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EC17B6" w14:textId="3F5C3F93" w:rsidR="00CB4C2A" w:rsidRPr="004136AD" w:rsidRDefault="007C5A56">
      <w:r>
        <w:rPr>
          <w:noProof/>
          <w:lang w:val="en-AU" w:eastAsia="en-AU"/>
        </w:rPr>
        <mc:AlternateContent>
          <mc:Choice Requires="wps">
            <w:drawing>
              <wp:anchor distT="0" distB="0" distL="114300" distR="114300" simplePos="0" relativeHeight="251653632" behindDoc="0" locked="0" layoutInCell="1" allowOverlap="1" wp14:anchorId="7AA11838" wp14:editId="391A5507">
                <wp:simplePos x="0" y="0"/>
                <wp:positionH relativeFrom="column">
                  <wp:posOffset>52070</wp:posOffset>
                </wp:positionH>
                <wp:positionV relativeFrom="paragraph">
                  <wp:posOffset>4805854</wp:posOffset>
                </wp:positionV>
                <wp:extent cx="4667250" cy="17145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667250" cy="1714500"/>
                        </a:xfrm>
                        <a:prstGeom prst="rect">
                          <a:avLst/>
                        </a:prstGeom>
                        <a:noFill/>
                        <a:ln w="6350">
                          <a:noFill/>
                        </a:ln>
                      </wps:spPr>
                      <wps:txbx>
                        <w:txbxContent>
                          <w:p w14:paraId="042D1BC6" w14:textId="44E5864C" w:rsidR="008C5E16" w:rsidRDefault="008C5E16" w:rsidP="0049380F">
                            <w:pPr>
                              <w:pStyle w:val="MainTitle"/>
                              <w:rPr>
                                <w:color w:val="FFFFFF" w:themeColor="background1"/>
                                <w:lang w:val="en-NZ"/>
                              </w:rPr>
                            </w:pPr>
                            <w:bookmarkStart w:id="0" w:name="_Hlk93395123"/>
                            <w:r w:rsidRPr="007A0882">
                              <w:rPr>
                                <w:color w:val="FFFFFF" w:themeColor="background1"/>
                                <w:lang w:val="en-NZ"/>
                              </w:rPr>
                              <w:t>National Blood Research and Development Strategic Priorities</w:t>
                            </w:r>
                            <w:r>
                              <w:rPr>
                                <w:color w:val="FFFFFF" w:themeColor="background1"/>
                                <w:lang w:val="en-NZ"/>
                              </w:rPr>
                              <w:t xml:space="preserve"> 2022-27</w:t>
                            </w:r>
                            <w:bookmarkEnd w:id="0"/>
                          </w:p>
                          <w:p w14:paraId="2ADB8739" w14:textId="534474F9" w:rsidR="008C5E16" w:rsidRPr="00CD1B13" w:rsidRDefault="008C5E16" w:rsidP="0049380F">
                            <w:pPr>
                              <w:pStyle w:val="MainTitle"/>
                              <w:rPr>
                                <w:color w:val="FFFFFF" w:themeColor="background1"/>
                                <w:sz w:val="32"/>
                                <w:szCs w:val="32"/>
                                <w:lang w:val="en-NZ"/>
                              </w:rPr>
                            </w:pPr>
                            <w:r>
                              <w:rPr>
                                <w:color w:val="FFFFFF" w:themeColor="background1"/>
                                <w:sz w:val="32"/>
                                <w:szCs w:val="32"/>
                                <w:lang w:val="en-NZ"/>
                              </w:rPr>
                              <w:t>december 2021</w:t>
                            </w:r>
                          </w:p>
                        </w:txbxContent>
                      </wps:txbx>
                      <wps:bodyPr rot="0" spcFirstLastPara="0" vertOverflow="overflow" horzOverflow="overflow" vert="horz" wrap="square" lIns="36000" tIns="72000" rIns="36000" bIns="72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A11838" id="_x0000_t202" coordsize="21600,21600" o:spt="202" path="m,l,21600r21600,l21600,xe">
                <v:stroke joinstyle="miter"/>
                <v:path gradientshapeok="t" o:connecttype="rect"/>
              </v:shapetype>
              <v:shape id="Text Box 5" o:spid="_x0000_s1026" type="#_x0000_t202" style="position:absolute;margin-left:4.1pt;margin-top:378.4pt;width:367.5pt;height:1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" filled="f" stroked="f" strokeweight=".5pt">
                <v:textbox inset="1mm,2mm,1mm,2mm">
                  <w:txbxContent>
                    <w:p w14:paraId="042D1BC6" w14:textId="44E5864C" w:rsidR="008C5E16" w:rsidRDefault="008C5E16" w:rsidP="0049380F">
                      <w:pPr>
                        <w:pStyle w:val="MainTitle"/>
                        <w:rPr>
                          <w:color w:val="FFFFFF" w:themeColor="background1"/>
                          <w:lang w:val="en-NZ"/>
                        </w:rPr>
                      </w:pPr>
                      <w:bookmarkStart w:id="1" w:name="_Hlk93395123"/>
                      <w:r w:rsidRPr="007A0882">
                        <w:rPr>
                          <w:color w:val="FFFFFF" w:themeColor="background1"/>
                          <w:lang w:val="en-NZ"/>
                        </w:rPr>
                        <w:t>National Blood Research and Development Strategic Priorities</w:t>
                      </w:r>
                      <w:r>
                        <w:rPr>
                          <w:color w:val="FFFFFF" w:themeColor="background1"/>
                          <w:lang w:val="en-NZ"/>
                        </w:rPr>
                        <w:t xml:space="preserve"> 2022-27</w:t>
                      </w:r>
                      <w:bookmarkEnd w:id="1"/>
                    </w:p>
                    <w:p w14:paraId="2ADB8739" w14:textId="534474F9" w:rsidR="008C5E16" w:rsidRPr="00CD1B13" w:rsidRDefault="008C5E16" w:rsidP="0049380F">
                      <w:pPr>
                        <w:pStyle w:val="MainTitle"/>
                        <w:rPr>
                          <w:color w:val="FFFFFF" w:themeColor="background1"/>
                          <w:sz w:val="32"/>
                          <w:szCs w:val="32"/>
                          <w:lang w:val="en-NZ"/>
                        </w:rPr>
                      </w:pPr>
                      <w:r>
                        <w:rPr>
                          <w:color w:val="FFFFFF" w:themeColor="background1"/>
                          <w:sz w:val="32"/>
                          <w:szCs w:val="32"/>
                          <w:lang w:val="en-NZ"/>
                        </w:rPr>
                        <w:t>december 2021</w:t>
                      </w:r>
                    </w:p>
                  </w:txbxContent>
                </v:textbox>
              </v:shape>
            </w:pict>
          </mc:Fallback>
        </mc:AlternateContent>
      </w:r>
      <w:r w:rsidR="006D5664">
        <w:rPr>
          <w:rFonts w:ascii="Arial" w:hAnsi="Arial"/>
          <w:noProof/>
          <w:sz w:val="16"/>
          <w:szCs w:val="16"/>
          <w:lang w:val="en-AU" w:eastAsia="en-AU"/>
        </w:rPr>
        <w:drawing>
          <wp:anchor distT="0" distB="0" distL="114300" distR="114300" simplePos="0" relativeHeight="251654656" behindDoc="1" locked="0" layoutInCell="1" allowOverlap="1" wp14:anchorId="57DEF860" wp14:editId="39A9049F">
            <wp:simplePos x="0" y="0"/>
            <wp:positionH relativeFrom="column">
              <wp:posOffset>-890905</wp:posOffset>
            </wp:positionH>
            <wp:positionV relativeFrom="paragraph">
              <wp:posOffset>-903744</wp:posOffset>
            </wp:positionV>
            <wp:extent cx="7546207" cy="10674231"/>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6207" cy="10674231"/>
                    </a:xfrm>
                    <a:prstGeom prst="rect">
                      <a:avLst/>
                    </a:prstGeom>
                  </pic:spPr>
                </pic:pic>
              </a:graphicData>
            </a:graphic>
            <wp14:sizeRelH relativeFrom="margin">
              <wp14:pctWidth>0</wp14:pctWidth>
            </wp14:sizeRelH>
            <wp14:sizeRelV relativeFrom="margin">
              <wp14:pctHeight>0</wp14:pctHeight>
            </wp14:sizeRelV>
          </wp:anchor>
        </w:drawing>
      </w:r>
      <w:bookmarkStart w:id="2" w:name="_Hlk494715641"/>
      <w:bookmarkEnd w:id="2"/>
      <w:r w:rsidR="00CB4C2A">
        <w:rPr>
          <w:rFonts w:asciiTheme="majorHAnsi" w:hAnsiTheme="majorHAnsi"/>
          <w:b/>
          <w:color w:val="36424A" w:themeColor="text2"/>
          <w:sz w:val="28"/>
        </w:rPr>
        <w:br w:type="page"/>
      </w:r>
    </w:p>
    <w:p w14:paraId="38569F13" w14:textId="77777777" w:rsidR="00172C6A" w:rsidRDefault="00172C6A" w:rsidP="00172C6A">
      <w:pPr>
        <w:pStyle w:val="Heading1"/>
      </w:pPr>
      <w:bookmarkStart w:id="3" w:name="_Toc90456660"/>
      <w:bookmarkStart w:id="4" w:name="_Hlk494457981"/>
      <w:r w:rsidRPr="006A3C41">
        <w:lastRenderedPageBreak/>
        <w:t>Acknowledgements</w:t>
      </w:r>
      <w:bookmarkEnd w:id="3"/>
    </w:p>
    <w:p w14:paraId="6E215C6A" w14:textId="20D5152D" w:rsidR="00825F45" w:rsidRDefault="00F52F8D" w:rsidP="00825F45">
      <w:pPr>
        <w:rPr>
          <w:rFonts w:eastAsia="Times New Roman"/>
        </w:rPr>
      </w:pPr>
      <w:r>
        <w:rPr>
          <w:noProof/>
          <w:lang w:val="en-AU" w:eastAsia="en-AU"/>
        </w:rPr>
        <w:drawing>
          <wp:inline distT="0" distB="0" distL="0" distR="0" wp14:anchorId="7C5F60BE" wp14:editId="77410991">
            <wp:extent cx="5759449" cy="1581150"/>
            <wp:effectExtent l="0" t="0" r="0" b="0"/>
            <wp:docPr id="7" name="Picture 7" descr="Acknowledgement of Country.&#10;&#10;Allen and Clarke acknowledges the Traditional Custodians of the land we work on and the communities that we work with. We acknowledge their history, culture and Elders past, present and emer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5759449" cy="1581150"/>
                    </a:xfrm>
                    <a:prstGeom prst="rect">
                      <a:avLst/>
                    </a:prstGeom>
                  </pic:spPr>
                </pic:pic>
              </a:graphicData>
            </a:graphic>
          </wp:inline>
        </w:drawing>
      </w:r>
    </w:p>
    <w:p w14:paraId="27B17C47" w14:textId="77777777" w:rsidR="002A34D7" w:rsidRDefault="002A34D7" w:rsidP="00825F45"/>
    <w:tbl>
      <w:tblPr>
        <w:tblStyle w:val="TableGrid"/>
        <w:tblpPr w:leftFromText="180" w:rightFromText="180" w:vertAnchor="text" w:tblpY="6367"/>
        <w:tblW w:w="49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8931"/>
      </w:tblGrid>
      <w:tr w:rsidR="007C5A56" w:rsidRPr="00172C6A" w14:paraId="776A3C1F" w14:textId="77777777" w:rsidTr="0073198B">
        <w:trPr>
          <w:trHeight w:val="296"/>
        </w:trPr>
        <w:tc>
          <w:tcPr>
            <w:tcW w:w="8931" w:type="dxa"/>
            <w:vMerge w:val="restart"/>
          </w:tcPr>
          <w:bookmarkEnd w:id="4"/>
          <w:p w14:paraId="2C960B8C" w14:textId="77777777" w:rsidR="007C5A56" w:rsidRDefault="007C5A56" w:rsidP="007C5A56">
            <w:pPr>
              <w:pStyle w:val="Table-para"/>
              <w:ind w:left="6132"/>
            </w:pPr>
            <w:r>
              <w:rPr>
                <w:i/>
                <w:noProof/>
                <w:lang w:val="en-AU" w:eastAsia="en-AU"/>
              </w:rPr>
              <w:drawing>
                <wp:anchor distT="0" distB="0" distL="114300" distR="114300" simplePos="0" relativeHeight="251639296" behindDoc="0" locked="0" layoutInCell="1" allowOverlap="1" wp14:anchorId="0054F68D" wp14:editId="45E60F6C">
                  <wp:simplePos x="0" y="0"/>
                  <wp:positionH relativeFrom="column">
                    <wp:posOffset>4857115</wp:posOffset>
                  </wp:positionH>
                  <wp:positionV relativeFrom="paragraph">
                    <wp:posOffset>979805</wp:posOffset>
                  </wp:positionV>
                  <wp:extent cx="540000" cy="1065600"/>
                  <wp:effectExtent l="0" t="0" r="0" b="1270"/>
                  <wp:wrapTopAndBottom/>
                  <wp:docPr id="12" name="Picture 12" descr="Telarc trade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larc trade mark"/>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 cy="1065600"/>
                          </a:xfrm>
                          <a:prstGeom prst="rect">
                            <a:avLst/>
                          </a:prstGeom>
                        </pic:spPr>
                      </pic:pic>
                    </a:graphicData>
                  </a:graphic>
                  <wp14:sizeRelH relativeFrom="margin">
                    <wp14:pctWidth>0</wp14:pctWidth>
                  </wp14:sizeRelH>
                  <wp14:sizeRelV relativeFrom="margin">
                    <wp14:pctHeight>0</wp14:pctHeight>
                  </wp14:sizeRelV>
                </wp:anchor>
              </w:drawing>
            </w:r>
            <w:r w:rsidRPr="65F918BC">
              <w:rPr>
                <w:i/>
                <w:iCs/>
              </w:rPr>
              <w:t>Allen + Clarke</w:t>
            </w:r>
            <w:r>
              <w:t xml:space="preserve"> has been independently certified as compliant with ISO9001:2015 Quality Management Systems</w:t>
            </w:r>
          </w:p>
          <w:p w14:paraId="1345CA30" w14:textId="77777777" w:rsidR="007C5A56" w:rsidRPr="00791AF5" w:rsidRDefault="007C5A56" w:rsidP="007C5A56">
            <w:pPr>
              <w:pStyle w:val="Table-para"/>
              <w:ind w:left="320"/>
              <w:jc w:val="right"/>
              <w:rPr>
                <w:noProof/>
              </w:rPr>
            </w:pPr>
            <w:r>
              <w:rPr>
                <w:noProof/>
              </w:rPr>
              <w:t xml:space="preserve"> </w:t>
            </w:r>
          </w:p>
        </w:tc>
      </w:tr>
      <w:tr w:rsidR="007C5A56" w:rsidRPr="00172C6A" w14:paraId="019B6C80" w14:textId="77777777" w:rsidTr="0073198B">
        <w:trPr>
          <w:trHeight w:val="300"/>
        </w:trPr>
        <w:tc>
          <w:tcPr>
            <w:tcW w:w="8931" w:type="dxa"/>
            <w:vMerge/>
          </w:tcPr>
          <w:p w14:paraId="4191634E" w14:textId="77777777" w:rsidR="007C5A56" w:rsidRPr="00172C6A" w:rsidRDefault="007C5A56" w:rsidP="007C5A56">
            <w:pPr>
              <w:pStyle w:val="Table-para"/>
              <w:rPr>
                <w:sz w:val="18"/>
              </w:rPr>
            </w:pPr>
          </w:p>
        </w:tc>
      </w:tr>
      <w:tr w:rsidR="007C5A56" w:rsidRPr="00172C6A" w14:paraId="44F40862" w14:textId="77777777" w:rsidTr="0073198B">
        <w:trPr>
          <w:trHeight w:val="300"/>
        </w:trPr>
        <w:tc>
          <w:tcPr>
            <w:tcW w:w="8931" w:type="dxa"/>
            <w:vMerge/>
          </w:tcPr>
          <w:p w14:paraId="429E10B7" w14:textId="77777777" w:rsidR="007C5A56" w:rsidRPr="00172C6A" w:rsidRDefault="007C5A56" w:rsidP="007C5A56">
            <w:pPr>
              <w:pStyle w:val="Table-para"/>
              <w:rPr>
                <w:sz w:val="18"/>
              </w:rPr>
            </w:pPr>
          </w:p>
        </w:tc>
      </w:tr>
      <w:tr w:rsidR="007C5A56" w:rsidRPr="00172C6A" w14:paraId="51B179CE" w14:textId="77777777" w:rsidTr="0073198B">
        <w:trPr>
          <w:trHeight w:val="300"/>
        </w:trPr>
        <w:tc>
          <w:tcPr>
            <w:tcW w:w="8931" w:type="dxa"/>
            <w:vMerge/>
          </w:tcPr>
          <w:p w14:paraId="60F27CFA" w14:textId="77777777" w:rsidR="007C5A56" w:rsidRPr="00172C6A" w:rsidRDefault="007C5A56" w:rsidP="007C5A56">
            <w:pPr>
              <w:pStyle w:val="Table-para"/>
              <w:rPr>
                <w:sz w:val="18"/>
              </w:rPr>
            </w:pPr>
          </w:p>
        </w:tc>
      </w:tr>
      <w:tr w:rsidR="007C5A56" w:rsidRPr="00172C6A" w14:paraId="6B94FA08" w14:textId="77777777" w:rsidTr="0073198B">
        <w:trPr>
          <w:trHeight w:val="300"/>
        </w:trPr>
        <w:tc>
          <w:tcPr>
            <w:tcW w:w="8931" w:type="dxa"/>
            <w:vMerge/>
          </w:tcPr>
          <w:p w14:paraId="209ABEC3" w14:textId="77777777" w:rsidR="007C5A56" w:rsidRPr="00172C6A" w:rsidRDefault="007C5A56" w:rsidP="007C5A56">
            <w:pPr>
              <w:pStyle w:val="Table-para"/>
              <w:rPr>
                <w:sz w:val="18"/>
              </w:rPr>
            </w:pPr>
          </w:p>
        </w:tc>
      </w:tr>
      <w:tr w:rsidR="007C5A56" w:rsidRPr="00172C6A" w14:paraId="0270364A" w14:textId="77777777" w:rsidTr="0073198B">
        <w:trPr>
          <w:trHeight w:val="300"/>
        </w:trPr>
        <w:tc>
          <w:tcPr>
            <w:tcW w:w="8931" w:type="dxa"/>
            <w:vMerge/>
          </w:tcPr>
          <w:p w14:paraId="4D48F1C7" w14:textId="77777777" w:rsidR="007C5A56" w:rsidRPr="00172C6A" w:rsidRDefault="007C5A56" w:rsidP="007C5A56">
            <w:pPr>
              <w:pStyle w:val="Table-para"/>
              <w:rPr>
                <w:sz w:val="18"/>
              </w:rPr>
            </w:pPr>
          </w:p>
        </w:tc>
      </w:tr>
      <w:tr w:rsidR="007C5A56" w:rsidRPr="00172C6A" w14:paraId="0609CABB" w14:textId="77777777" w:rsidTr="0073198B">
        <w:trPr>
          <w:trHeight w:val="300"/>
        </w:trPr>
        <w:tc>
          <w:tcPr>
            <w:tcW w:w="8931" w:type="dxa"/>
            <w:vMerge/>
          </w:tcPr>
          <w:p w14:paraId="25DF63F1" w14:textId="77777777" w:rsidR="007C5A56" w:rsidRPr="00172C6A" w:rsidRDefault="007C5A56" w:rsidP="007C5A56">
            <w:pPr>
              <w:pStyle w:val="Table-para"/>
              <w:rPr>
                <w:sz w:val="18"/>
              </w:rPr>
            </w:pPr>
          </w:p>
        </w:tc>
      </w:tr>
      <w:tr w:rsidR="007C5A56" w:rsidRPr="00172C6A" w14:paraId="31C221BB" w14:textId="77777777" w:rsidTr="0073198B">
        <w:trPr>
          <w:trHeight w:val="300"/>
        </w:trPr>
        <w:tc>
          <w:tcPr>
            <w:tcW w:w="8931" w:type="dxa"/>
            <w:vMerge/>
          </w:tcPr>
          <w:p w14:paraId="40B31890" w14:textId="77777777" w:rsidR="007C5A56" w:rsidRPr="00172C6A" w:rsidRDefault="007C5A56" w:rsidP="007C5A56">
            <w:pPr>
              <w:pStyle w:val="Table-para"/>
              <w:rPr>
                <w:sz w:val="18"/>
              </w:rPr>
            </w:pPr>
          </w:p>
        </w:tc>
      </w:tr>
      <w:tr w:rsidR="007C5A56" w:rsidRPr="00172C6A" w14:paraId="0D4DE4F3" w14:textId="77777777" w:rsidTr="0073198B">
        <w:trPr>
          <w:trHeight w:val="300"/>
        </w:trPr>
        <w:tc>
          <w:tcPr>
            <w:tcW w:w="8931" w:type="dxa"/>
            <w:vMerge/>
          </w:tcPr>
          <w:p w14:paraId="7F94DF77" w14:textId="77777777" w:rsidR="007C5A56" w:rsidRPr="00172C6A" w:rsidRDefault="007C5A56" w:rsidP="007C5A56">
            <w:pPr>
              <w:pStyle w:val="Table-para"/>
              <w:rPr>
                <w:sz w:val="18"/>
              </w:rPr>
            </w:pPr>
          </w:p>
        </w:tc>
      </w:tr>
    </w:tbl>
    <w:tbl>
      <w:tblPr>
        <w:tblStyle w:val="TableGrid"/>
        <w:tblpPr w:leftFromText="180" w:rightFromText="180" w:vertAnchor="text" w:horzAnchor="margin" w:tblpXSpec="center" w:tblpY="49"/>
        <w:tblW w:w="4626" w:type="pct"/>
        <w:tblBorders>
          <w:top w:val="single" w:sz="4" w:space="0" w:color="77B800"/>
          <w:left w:val="none" w:sz="0" w:space="0" w:color="auto"/>
          <w:bottom w:val="single" w:sz="4" w:space="0" w:color="77B800"/>
          <w:right w:val="none" w:sz="0" w:space="0" w:color="auto"/>
          <w:insideH w:val="single" w:sz="4" w:space="0" w:color="77B800"/>
          <w:insideV w:val="none" w:sz="0" w:space="0" w:color="auto"/>
        </w:tblBorders>
        <w:tblLayout w:type="fixed"/>
        <w:tblLook w:val="0480" w:firstRow="0" w:lastRow="0" w:firstColumn="1" w:lastColumn="0" w:noHBand="0" w:noVBand="1"/>
      </w:tblPr>
      <w:tblGrid>
        <w:gridCol w:w="2180"/>
        <w:gridCol w:w="6212"/>
      </w:tblGrid>
      <w:tr w:rsidR="008450F4" w:rsidRPr="00F27D78" w14:paraId="00A605D0" w14:textId="77777777" w:rsidTr="008450F4">
        <w:trPr>
          <w:trHeight w:val="827"/>
        </w:trPr>
        <w:tc>
          <w:tcPr>
            <w:tcW w:w="2180" w:type="dxa"/>
          </w:tcPr>
          <w:p w14:paraId="4BD282E9" w14:textId="77777777" w:rsidR="008450F4" w:rsidRDefault="008450F4" w:rsidP="00F4670A">
            <w:pPr>
              <w:pStyle w:val="FigureorTableTitle"/>
              <w:jc w:val="left"/>
              <w:rPr>
                <w:sz w:val="16"/>
                <w:szCs w:val="16"/>
                <w:lang w:val="en-US"/>
              </w:rPr>
            </w:pPr>
            <w:r>
              <w:rPr>
                <w:sz w:val="16"/>
                <w:szCs w:val="16"/>
                <w:lang w:val="en-US"/>
              </w:rPr>
              <w:t>Art acknowledgement</w:t>
            </w:r>
          </w:p>
        </w:tc>
        <w:tc>
          <w:tcPr>
            <w:tcW w:w="6212" w:type="dxa"/>
          </w:tcPr>
          <w:p w14:paraId="65F4EFF2" w14:textId="77777777" w:rsidR="008450F4" w:rsidRDefault="008450F4" w:rsidP="00F4670A">
            <w:pPr>
              <w:pStyle w:val="FigureorTableTitle"/>
              <w:rPr>
                <w:b w:val="0"/>
                <w:bCs w:val="0"/>
                <w:sz w:val="16"/>
                <w:szCs w:val="16"/>
                <w:lang w:val="en-US"/>
              </w:rPr>
            </w:pPr>
            <w:r>
              <w:rPr>
                <w:b w:val="0"/>
                <w:bCs w:val="0"/>
                <w:sz w:val="16"/>
                <w:szCs w:val="16"/>
                <w:lang w:val="en-US"/>
              </w:rPr>
              <w:t>The original artwork in our Acknowledgement of Country was produced by Emma Walke. Emma is a Bundjalung Aboriginal woman from northern NSW.</w:t>
            </w:r>
          </w:p>
        </w:tc>
      </w:tr>
    </w:tbl>
    <w:p w14:paraId="352F866E" w14:textId="77DC237F" w:rsidR="00CB4C2A" w:rsidRDefault="00CB4C2A">
      <w:pPr>
        <w:rPr>
          <w:rFonts w:asciiTheme="majorHAnsi" w:hAnsiTheme="majorHAnsi"/>
          <w:b/>
          <w:color w:val="36424A" w:themeColor="text2"/>
          <w:sz w:val="28"/>
        </w:rPr>
      </w:pPr>
      <w:r>
        <w:rPr>
          <w:rFonts w:asciiTheme="majorHAnsi" w:hAnsiTheme="majorHAnsi"/>
          <w:b/>
          <w:color w:val="36424A" w:themeColor="text2"/>
          <w:sz w:val="28"/>
        </w:rPr>
        <w:br w:type="page"/>
      </w:r>
    </w:p>
    <w:p w14:paraId="7B450346" w14:textId="208B9933" w:rsidR="00607625" w:rsidRDefault="00EC7994" w:rsidP="00EF1FE6">
      <w:pPr>
        <w:pStyle w:val="BodyText"/>
        <w:spacing w:before="0"/>
        <w:rPr>
          <w:rFonts w:asciiTheme="majorHAnsi" w:hAnsiTheme="majorHAnsi"/>
          <w:b/>
          <w:color w:val="36424A" w:themeColor="text2"/>
          <w:sz w:val="28"/>
        </w:rPr>
      </w:pPr>
      <w:r w:rsidRPr="006A3C41">
        <w:rPr>
          <w:rFonts w:asciiTheme="majorHAnsi" w:hAnsiTheme="majorHAnsi"/>
          <w:b/>
          <w:color w:val="36424A" w:themeColor="text2"/>
          <w:sz w:val="28"/>
        </w:rPr>
        <w:lastRenderedPageBreak/>
        <w:t>CONTENTS</w:t>
      </w:r>
    </w:p>
    <w:p w14:paraId="219B820D" w14:textId="77777777" w:rsidR="00364C3D" w:rsidRPr="00364C3D" w:rsidRDefault="00364C3D" w:rsidP="00364C3D">
      <w:pPr>
        <w:pStyle w:val="BodyText"/>
      </w:pPr>
    </w:p>
    <w:p w14:paraId="69DCADA4" w14:textId="09A212C3" w:rsidR="009676B6" w:rsidRDefault="003743F7">
      <w:pPr>
        <w:pStyle w:val="TOC1"/>
        <w:rPr>
          <w:rFonts w:asciiTheme="minorHAnsi" w:eastAsiaTheme="minorEastAsia" w:hAnsiTheme="minorHAnsi"/>
          <w:b w:val="0"/>
          <w:caps w:val="0"/>
          <w:lang w:val="en-AU" w:eastAsia="en-AU"/>
        </w:rPr>
      </w:pPr>
      <w:r w:rsidRPr="00654C3D">
        <w:fldChar w:fldCharType="begin"/>
      </w:r>
      <w:r w:rsidRPr="00654C3D">
        <w:instrText xml:space="preserve"> TOC \o "1-3" \h \z \u </w:instrText>
      </w:r>
      <w:r w:rsidRPr="00654C3D">
        <w:fldChar w:fldCharType="separate"/>
      </w:r>
      <w:hyperlink w:anchor="_Toc90456660" w:history="1">
        <w:r w:rsidR="009676B6" w:rsidRPr="00802B4D">
          <w:rPr>
            <w:rStyle w:val="Hyperlink"/>
          </w:rPr>
          <w:t>Acknowledgements</w:t>
        </w:r>
        <w:r w:rsidR="009676B6">
          <w:rPr>
            <w:webHidden/>
          </w:rPr>
          <w:tab/>
        </w:r>
        <w:r w:rsidR="009676B6">
          <w:rPr>
            <w:webHidden/>
          </w:rPr>
          <w:fldChar w:fldCharType="begin"/>
        </w:r>
        <w:r w:rsidR="009676B6">
          <w:rPr>
            <w:webHidden/>
          </w:rPr>
          <w:instrText xml:space="preserve"> PAGEREF _Toc90456660 \h </w:instrText>
        </w:r>
        <w:r w:rsidR="009676B6">
          <w:rPr>
            <w:webHidden/>
          </w:rPr>
        </w:r>
        <w:r w:rsidR="009676B6">
          <w:rPr>
            <w:webHidden/>
          </w:rPr>
          <w:fldChar w:fldCharType="separate"/>
        </w:r>
        <w:r w:rsidR="00A25C74">
          <w:rPr>
            <w:webHidden/>
          </w:rPr>
          <w:t>ii</w:t>
        </w:r>
        <w:r w:rsidR="009676B6">
          <w:rPr>
            <w:webHidden/>
          </w:rPr>
          <w:fldChar w:fldCharType="end"/>
        </w:r>
      </w:hyperlink>
    </w:p>
    <w:p w14:paraId="51FE673C" w14:textId="36DEAD9C" w:rsidR="009676B6" w:rsidRDefault="0013686B">
      <w:pPr>
        <w:pStyle w:val="TOC1"/>
        <w:rPr>
          <w:rFonts w:asciiTheme="minorHAnsi" w:eastAsiaTheme="minorEastAsia" w:hAnsiTheme="minorHAnsi"/>
          <w:b w:val="0"/>
          <w:caps w:val="0"/>
          <w:lang w:val="en-AU" w:eastAsia="en-AU"/>
        </w:rPr>
      </w:pPr>
      <w:hyperlink w:anchor="_Toc90456661" w:history="1">
        <w:r w:rsidR="009676B6" w:rsidRPr="00802B4D">
          <w:rPr>
            <w:rStyle w:val="Hyperlink"/>
          </w:rPr>
          <w:t>Tables &amp; Figures</w:t>
        </w:r>
        <w:r w:rsidR="009676B6">
          <w:rPr>
            <w:webHidden/>
          </w:rPr>
          <w:tab/>
        </w:r>
        <w:r w:rsidR="009676B6">
          <w:rPr>
            <w:webHidden/>
          </w:rPr>
          <w:fldChar w:fldCharType="begin"/>
        </w:r>
        <w:r w:rsidR="009676B6">
          <w:rPr>
            <w:webHidden/>
          </w:rPr>
          <w:instrText xml:space="preserve"> PAGEREF _Toc90456661 \h </w:instrText>
        </w:r>
        <w:r w:rsidR="009676B6">
          <w:rPr>
            <w:webHidden/>
          </w:rPr>
        </w:r>
        <w:r w:rsidR="009676B6">
          <w:rPr>
            <w:webHidden/>
          </w:rPr>
          <w:fldChar w:fldCharType="separate"/>
        </w:r>
        <w:r w:rsidR="00A25C74">
          <w:rPr>
            <w:webHidden/>
          </w:rPr>
          <w:t>iv</w:t>
        </w:r>
        <w:r w:rsidR="009676B6">
          <w:rPr>
            <w:webHidden/>
          </w:rPr>
          <w:fldChar w:fldCharType="end"/>
        </w:r>
      </w:hyperlink>
    </w:p>
    <w:p w14:paraId="27CB4FE6" w14:textId="652F5D5D" w:rsidR="009676B6" w:rsidRDefault="0013686B">
      <w:pPr>
        <w:pStyle w:val="TOC1"/>
        <w:rPr>
          <w:rFonts w:asciiTheme="minorHAnsi" w:eastAsiaTheme="minorEastAsia" w:hAnsiTheme="minorHAnsi"/>
          <w:b w:val="0"/>
          <w:caps w:val="0"/>
          <w:lang w:val="en-AU" w:eastAsia="en-AU"/>
        </w:rPr>
      </w:pPr>
      <w:hyperlink w:anchor="_Toc90456662" w:history="1">
        <w:r w:rsidR="009676B6" w:rsidRPr="00802B4D">
          <w:rPr>
            <w:rStyle w:val="Hyperlink"/>
          </w:rPr>
          <w:t>Executive Summary</w:t>
        </w:r>
        <w:r w:rsidR="009676B6">
          <w:rPr>
            <w:webHidden/>
          </w:rPr>
          <w:tab/>
        </w:r>
        <w:r w:rsidR="009676B6">
          <w:rPr>
            <w:webHidden/>
          </w:rPr>
          <w:fldChar w:fldCharType="begin"/>
        </w:r>
        <w:r w:rsidR="009676B6">
          <w:rPr>
            <w:webHidden/>
          </w:rPr>
          <w:instrText xml:space="preserve"> PAGEREF _Toc90456662 \h </w:instrText>
        </w:r>
        <w:r w:rsidR="009676B6">
          <w:rPr>
            <w:webHidden/>
          </w:rPr>
        </w:r>
        <w:r w:rsidR="009676B6">
          <w:rPr>
            <w:webHidden/>
          </w:rPr>
          <w:fldChar w:fldCharType="separate"/>
        </w:r>
        <w:r w:rsidR="00A25C74">
          <w:rPr>
            <w:webHidden/>
          </w:rPr>
          <w:t>1</w:t>
        </w:r>
        <w:r w:rsidR="009676B6">
          <w:rPr>
            <w:webHidden/>
          </w:rPr>
          <w:fldChar w:fldCharType="end"/>
        </w:r>
      </w:hyperlink>
    </w:p>
    <w:p w14:paraId="50D8D580" w14:textId="3DD0704B" w:rsidR="009676B6" w:rsidRDefault="0013686B">
      <w:pPr>
        <w:pStyle w:val="TOC1"/>
        <w:rPr>
          <w:rFonts w:asciiTheme="minorHAnsi" w:eastAsiaTheme="minorEastAsia" w:hAnsiTheme="minorHAnsi"/>
          <w:b w:val="0"/>
          <w:caps w:val="0"/>
          <w:lang w:val="en-AU" w:eastAsia="en-AU"/>
        </w:rPr>
      </w:pPr>
      <w:hyperlink w:anchor="_Toc90456668" w:history="1">
        <w:r w:rsidR="009676B6" w:rsidRPr="00802B4D">
          <w:rPr>
            <w:rStyle w:val="Hyperlink"/>
            <w:lang w:eastAsia="zh-CN"/>
          </w:rPr>
          <w:t>Introduction</w:t>
        </w:r>
        <w:r w:rsidR="009676B6">
          <w:rPr>
            <w:webHidden/>
          </w:rPr>
          <w:tab/>
        </w:r>
        <w:r w:rsidR="009676B6">
          <w:rPr>
            <w:webHidden/>
          </w:rPr>
          <w:fldChar w:fldCharType="begin"/>
        </w:r>
        <w:r w:rsidR="009676B6">
          <w:rPr>
            <w:webHidden/>
          </w:rPr>
          <w:instrText xml:space="preserve"> PAGEREF _Toc90456668 \h </w:instrText>
        </w:r>
        <w:r w:rsidR="009676B6">
          <w:rPr>
            <w:webHidden/>
          </w:rPr>
        </w:r>
        <w:r w:rsidR="009676B6">
          <w:rPr>
            <w:webHidden/>
          </w:rPr>
          <w:fldChar w:fldCharType="separate"/>
        </w:r>
        <w:r w:rsidR="00A25C74">
          <w:rPr>
            <w:webHidden/>
          </w:rPr>
          <w:t>7</w:t>
        </w:r>
        <w:r w:rsidR="009676B6">
          <w:rPr>
            <w:webHidden/>
          </w:rPr>
          <w:fldChar w:fldCharType="end"/>
        </w:r>
      </w:hyperlink>
    </w:p>
    <w:p w14:paraId="3928066A" w14:textId="00A0F388" w:rsidR="009676B6" w:rsidRDefault="0013686B">
      <w:pPr>
        <w:pStyle w:val="TOC1"/>
        <w:rPr>
          <w:rFonts w:asciiTheme="minorHAnsi" w:eastAsiaTheme="minorEastAsia" w:hAnsiTheme="minorHAnsi"/>
          <w:b w:val="0"/>
          <w:caps w:val="0"/>
          <w:lang w:val="en-AU" w:eastAsia="en-AU"/>
        </w:rPr>
      </w:pPr>
      <w:hyperlink w:anchor="_Toc90456671" w:history="1">
        <w:r w:rsidR="009676B6" w:rsidRPr="00802B4D">
          <w:rPr>
            <w:rStyle w:val="Hyperlink"/>
            <w:lang w:eastAsia="zh-CN"/>
          </w:rPr>
          <w:t>Context of the blood research and development sector</w:t>
        </w:r>
        <w:r w:rsidR="009676B6">
          <w:rPr>
            <w:webHidden/>
          </w:rPr>
          <w:tab/>
        </w:r>
        <w:r w:rsidR="009676B6">
          <w:rPr>
            <w:webHidden/>
          </w:rPr>
          <w:fldChar w:fldCharType="begin"/>
        </w:r>
        <w:r w:rsidR="009676B6">
          <w:rPr>
            <w:webHidden/>
          </w:rPr>
          <w:instrText xml:space="preserve"> PAGEREF _Toc90456671 \h </w:instrText>
        </w:r>
        <w:r w:rsidR="009676B6">
          <w:rPr>
            <w:webHidden/>
          </w:rPr>
        </w:r>
        <w:r w:rsidR="009676B6">
          <w:rPr>
            <w:webHidden/>
          </w:rPr>
          <w:fldChar w:fldCharType="separate"/>
        </w:r>
        <w:r w:rsidR="00A25C74">
          <w:rPr>
            <w:webHidden/>
          </w:rPr>
          <w:t>9</w:t>
        </w:r>
        <w:r w:rsidR="009676B6">
          <w:rPr>
            <w:webHidden/>
          </w:rPr>
          <w:fldChar w:fldCharType="end"/>
        </w:r>
      </w:hyperlink>
    </w:p>
    <w:p w14:paraId="575ABC63" w14:textId="7E02097E" w:rsidR="009676B6" w:rsidRPr="009676B6" w:rsidRDefault="0013686B" w:rsidP="00087B72">
      <w:pPr>
        <w:pStyle w:val="TOC1"/>
        <w:rPr>
          <w:rFonts w:asciiTheme="minorHAnsi" w:eastAsiaTheme="minorEastAsia" w:hAnsiTheme="minorHAnsi"/>
          <w:lang w:val="en-AU" w:eastAsia="en-AU"/>
        </w:rPr>
      </w:pPr>
      <w:hyperlink w:anchor="_Toc90456675" w:history="1">
        <w:r w:rsidR="009676B6" w:rsidRPr="00802B4D">
          <w:rPr>
            <w:rStyle w:val="Hyperlink"/>
          </w:rPr>
          <w:t xml:space="preserve">2022-27 National BLOOD RESEARCH AND DEVELOPMENT </w:t>
        </w:r>
        <w:r w:rsidR="009676B6">
          <w:rPr>
            <w:rStyle w:val="Hyperlink"/>
          </w:rPr>
          <w:t xml:space="preserve">                                                        </w:t>
        </w:r>
        <w:r w:rsidR="009676B6" w:rsidRPr="00802B4D">
          <w:rPr>
            <w:rStyle w:val="Hyperlink"/>
          </w:rPr>
          <w:t>strategic PRIORITIES</w:t>
        </w:r>
        <w:r w:rsidR="009676B6">
          <w:rPr>
            <w:webHidden/>
          </w:rPr>
          <w:tab/>
        </w:r>
        <w:r w:rsidR="009676B6">
          <w:rPr>
            <w:webHidden/>
          </w:rPr>
          <w:fldChar w:fldCharType="begin"/>
        </w:r>
        <w:r w:rsidR="009676B6">
          <w:rPr>
            <w:webHidden/>
          </w:rPr>
          <w:instrText xml:space="preserve"> PAGEREF _Toc90456675 \h </w:instrText>
        </w:r>
        <w:r w:rsidR="009676B6">
          <w:rPr>
            <w:webHidden/>
          </w:rPr>
        </w:r>
        <w:r w:rsidR="009676B6">
          <w:rPr>
            <w:webHidden/>
          </w:rPr>
          <w:fldChar w:fldCharType="separate"/>
        </w:r>
        <w:r w:rsidR="00A25C74">
          <w:rPr>
            <w:webHidden/>
          </w:rPr>
          <w:t>18</w:t>
        </w:r>
        <w:r w:rsidR="009676B6">
          <w:rPr>
            <w:webHidden/>
          </w:rPr>
          <w:fldChar w:fldCharType="end"/>
        </w:r>
      </w:hyperlink>
    </w:p>
    <w:p w14:paraId="4EFA0864" w14:textId="5925EE16" w:rsidR="009676B6" w:rsidRDefault="0013686B">
      <w:pPr>
        <w:pStyle w:val="TOC1"/>
        <w:rPr>
          <w:rFonts w:asciiTheme="minorHAnsi" w:eastAsiaTheme="minorEastAsia" w:hAnsiTheme="minorHAnsi"/>
          <w:b w:val="0"/>
          <w:caps w:val="0"/>
          <w:lang w:val="en-AU" w:eastAsia="en-AU"/>
        </w:rPr>
      </w:pPr>
      <w:hyperlink w:anchor="_Toc90456681" w:history="1">
        <w:r w:rsidR="009676B6" w:rsidRPr="00802B4D">
          <w:rPr>
            <w:rStyle w:val="Hyperlink"/>
          </w:rPr>
          <w:t>Monitoring</w:t>
        </w:r>
        <w:r w:rsidR="009676B6" w:rsidRPr="00802B4D">
          <w:rPr>
            <w:rStyle w:val="Hyperlink"/>
            <w:lang w:eastAsia="zh-CN"/>
          </w:rPr>
          <w:t xml:space="preserve"> plan</w:t>
        </w:r>
        <w:r w:rsidR="009676B6">
          <w:rPr>
            <w:webHidden/>
          </w:rPr>
          <w:tab/>
        </w:r>
        <w:r w:rsidR="009676B6">
          <w:rPr>
            <w:webHidden/>
          </w:rPr>
          <w:fldChar w:fldCharType="begin"/>
        </w:r>
        <w:r w:rsidR="009676B6">
          <w:rPr>
            <w:webHidden/>
          </w:rPr>
          <w:instrText xml:space="preserve"> PAGEREF _Toc90456681 \h </w:instrText>
        </w:r>
        <w:r w:rsidR="009676B6">
          <w:rPr>
            <w:webHidden/>
          </w:rPr>
        </w:r>
        <w:r w:rsidR="009676B6">
          <w:rPr>
            <w:webHidden/>
          </w:rPr>
          <w:fldChar w:fldCharType="separate"/>
        </w:r>
        <w:r w:rsidR="00A25C74">
          <w:rPr>
            <w:webHidden/>
          </w:rPr>
          <w:t>33</w:t>
        </w:r>
        <w:r w:rsidR="009676B6">
          <w:rPr>
            <w:webHidden/>
          </w:rPr>
          <w:fldChar w:fldCharType="end"/>
        </w:r>
      </w:hyperlink>
    </w:p>
    <w:p w14:paraId="2BA1A176" w14:textId="670EABA9" w:rsidR="009676B6" w:rsidRPr="009676B6" w:rsidRDefault="0013686B" w:rsidP="00087B72">
      <w:pPr>
        <w:pStyle w:val="TOC1"/>
        <w:rPr>
          <w:rFonts w:asciiTheme="minorHAnsi" w:eastAsiaTheme="minorEastAsia" w:hAnsiTheme="minorHAnsi"/>
          <w:lang w:val="en-AU" w:eastAsia="en-AU"/>
        </w:rPr>
      </w:pPr>
      <w:hyperlink w:anchor="_Toc90456682" w:history="1">
        <w:r w:rsidR="009676B6" w:rsidRPr="00802B4D">
          <w:rPr>
            <w:rStyle w:val="Hyperlink"/>
            <w:lang w:eastAsia="zh-CN"/>
          </w:rPr>
          <w:t>Appendix A - Background</w:t>
        </w:r>
        <w:r w:rsidR="009676B6">
          <w:rPr>
            <w:webHidden/>
          </w:rPr>
          <w:tab/>
        </w:r>
        <w:r w:rsidR="009676B6">
          <w:rPr>
            <w:webHidden/>
          </w:rPr>
          <w:fldChar w:fldCharType="begin"/>
        </w:r>
        <w:r w:rsidR="009676B6">
          <w:rPr>
            <w:webHidden/>
          </w:rPr>
          <w:instrText xml:space="preserve"> PAGEREF _Toc90456682 \h </w:instrText>
        </w:r>
        <w:r w:rsidR="009676B6">
          <w:rPr>
            <w:webHidden/>
          </w:rPr>
        </w:r>
        <w:r w:rsidR="009676B6">
          <w:rPr>
            <w:webHidden/>
          </w:rPr>
          <w:fldChar w:fldCharType="separate"/>
        </w:r>
        <w:r w:rsidR="00A25C74">
          <w:rPr>
            <w:webHidden/>
          </w:rPr>
          <w:t>38</w:t>
        </w:r>
        <w:r w:rsidR="009676B6">
          <w:rPr>
            <w:webHidden/>
          </w:rPr>
          <w:fldChar w:fldCharType="end"/>
        </w:r>
      </w:hyperlink>
    </w:p>
    <w:p w14:paraId="72BC01F5" w14:textId="7A399F5E" w:rsidR="009676B6" w:rsidRDefault="0013686B">
      <w:pPr>
        <w:pStyle w:val="TOC1"/>
        <w:rPr>
          <w:rFonts w:asciiTheme="minorHAnsi" w:eastAsiaTheme="minorEastAsia" w:hAnsiTheme="minorHAnsi"/>
          <w:b w:val="0"/>
          <w:caps w:val="0"/>
          <w:lang w:val="en-AU" w:eastAsia="en-AU"/>
        </w:rPr>
      </w:pPr>
      <w:hyperlink w:anchor="_Toc90456684" w:history="1">
        <w:r w:rsidR="009676B6" w:rsidRPr="00802B4D">
          <w:rPr>
            <w:rStyle w:val="Hyperlink"/>
            <w:lang w:eastAsia="zh-CN"/>
          </w:rPr>
          <w:t>Appendix B - Methodology</w:t>
        </w:r>
        <w:r w:rsidR="009676B6">
          <w:rPr>
            <w:webHidden/>
          </w:rPr>
          <w:tab/>
        </w:r>
        <w:r w:rsidR="009676B6">
          <w:rPr>
            <w:webHidden/>
          </w:rPr>
          <w:fldChar w:fldCharType="begin"/>
        </w:r>
        <w:r w:rsidR="009676B6">
          <w:rPr>
            <w:webHidden/>
          </w:rPr>
          <w:instrText xml:space="preserve"> PAGEREF _Toc90456684 \h </w:instrText>
        </w:r>
        <w:r w:rsidR="009676B6">
          <w:rPr>
            <w:webHidden/>
          </w:rPr>
        </w:r>
        <w:r w:rsidR="009676B6">
          <w:rPr>
            <w:webHidden/>
          </w:rPr>
          <w:fldChar w:fldCharType="separate"/>
        </w:r>
        <w:r w:rsidR="00A25C74">
          <w:rPr>
            <w:webHidden/>
          </w:rPr>
          <w:t>40</w:t>
        </w:r>
        <w:r w:rsidR="009676B6">
          <w:rPr>
            <w:webHidden/>
          </w:rPr>
          <w:fldChar w:fldCharType="end"/>
        </w:r>
      </w:hyperlink>
    </w:p>
    <w:p w14:paraId="3FB50741" w14:textId="18246E11" w:rsidR="009676B6" w:rsidRDefault="0013686B">
      <w:pPr>
        <w:pStyle w:val="TOC1"/>
        <w:rPr>
          <w:rFonts w:asciiTheme="minorHAnsi" w:eastAsiaTheme="minorEastAsia" w:hAnsiTheme="minorHAnsi"/>
          <w:b w:val="0"/>
          <w:caps w:val="0"/>
          <w:lang w:val="en-AU" w:eastAsia="en-AU"/>
        </w:rPr>
      </w:pPr>
      <w:hyperlink w:anchor="_Toc90456695" w:history="1">
        <w:r w:rsidR="009676B6" w:rsidRPr="00802B4D">
          <w:rPr>
            <w:rStyle w:val="Hyperlink"/>
            <w:lang w:eastAsia="zh-CN"/>
          </w:rPr>
          <w:t>Appendix C - References</w:t>
        </w:r>
        <w:r w:rsidR="009676B6">
          <w:rPr>
            <w:webHidden/>
          </w:rPr>
          <w:tab/>
        </w:r>
        <w:r w:rsidR="009676B6">
          <w:rPr>
            <w:webHidden/>
          </w:rPr>
          <w:fldChar w:fldCharType="begin"/>
        </w:r>
        <w:r w:rsidR="009676B6">
          <w:rPr>
            <w:webHidden/>
          </w:rPr>
          <w:instrText xml:space="preserve"> PAGEREF _Toc90456695 \h </w:instrText>
        </w:r>
        <w:r w:rsidR="009676B6">
          <w:rPr>
            <w:webHidden/>
          </w:rPr>
        </w:r>
        <w:r w:rsidR="009676B6">
          <w:rPr>
            <w:webHidden/>
          </w:rPr>
          <w:fldChar w:fldCharType="separate"/>
        </w:r>
        <w:r w:rsidR="00A25C74">
          <w:rPr>
            <w:webHidden/>
          </w:rPr>
          <w:t>44</w:t>
        </w:r>
        <w:r w:rsidR="009676B6">
          <w:rPr>
            <w:webHidden/>
          </w:rPr>
          <w:fldChar w:fldCharType="end"/>
        </w:r>
      </w:hyperlink>
    </w:p>
    <w:p w14:paraId="6AEAF1B0" w14:textId="319BEE98" w:rsidR="00195495" w:rsidRPr="00FA7483" w:rsidRDefault="003743F7">
      <w:r w:rsidRPr="00654C3D">
        <w:fldChar w:fldCharType="end"/>
      </w:r>
      <w:r w:rsidR="00195495">
        <w:rPr>
          <w:rFonts w:asciiTheme="majorHAnsi" w:eastAsia="SimSun" w:hAnsiTheme="majorHAnsi" w:cstheme="majorBidi"/>
          <w:lang w:eastAsia="zh-CN"/>
        </w:rPr>
        <w:br w:type="page"/>
      </w:r>
    </w:p>
    <w:p w14:paraId="77F22492" w14:textId="24A4E515" w:rsidR="0081174B" w:rsidRPr="0090207E" w:rsidRDefault="0090207E">
      <w:pPr>
        <w:pStyle w:val="Heading1"/>
      </w:pPr>
      <w:bookmarkStart w:id="5" w:name="_Toc90456661"/>
      <w:r w:rsidRPr="0090207E">
        <w:lastRenderedPageBreak/>
        <w:t xml:space="preserve">Tables &amp; </w:t>
      </w:r>
      <w:r w:rsidR="009C2EC0">
        <w:t>F</w:t>
      </w:r>
      <w:r w:rsidRPr="0090207E">
        <w:t>igures</w:t>
      </w:r>
      <w:bookmarkEnd w:id="5"/>
    </w:p>
    <w:p w14:paraId="67D26A5C" w14:textId="7D59FAD8" w:rsidR="003B680C" w:rsidRPr="001862CA" w:rsidRDefault="003B680C" w:rsidP="003B680C">
      <w:pPr>
        <w:rPr>
          <w:rFonts w:asciiTheme="majorHAnsi" w:eastAsia="SimSun" w:hAnsiTheme="majorHAnsi" w:cstheme="majorBidi"/>
          <w:lang w:eastAsia="zh-CN"/>
        </w:rPr>
      </w:pPr>
    </w:p>
    <w:p w14:paraId="1F71DCE4" w14:textId="1A521D86" w:rsidR="00E1668D" w:rsidRPr="006A3C41" w:rsidRDefault="00E1668D" w:rsidP="000968A5">
      <w:pPr>
        <w:pStyle w:val="Heading2-NOTinTOC"/>
      </w:pPr>
      <w:r w:rsidRPr="006A3C41">
        <w:t>Tables</w:t>
      </w:r>
    </w:p>
    <w:p w14:paraId="7682D366" w14:textId="48780C65" w:rsidR="00164FC6" w:rsidRDefault="00E1668D">
      <w:pPr>
        <w:pStyle w:val="TableofFigures"/>
        <w:rPr>
          <w:rFonts w:asciiTheme="minorHAnsi" w:eastAsiaTheme="minorEastAsia" w:hAnsiTheme="minorHAnsi"/>
          <w:noProof/>
          <w:lang w:val="en-AU" w:eastAsia="en-AU"/>
        </w:rPr>
      </w:pPr>
      <w:r>
        <w:fldChar w:fldCharType="begin"/>
      </w:r>
      <w:r w:rsidRPr="006A3C41">
        <w:instrText xml:space="preserve"> TOC \h \z \c "Table" </w:instrText>
      </w:r>
      <w:r>
        <w:fldChar w:fldCharType="separate"/>
      </w:r>
      <w:hyperlink w:anchor="_Toc90462712" w:history="1">
        <w:r w:rsidR="00164FC6" w:rsidRPr="00CB5B3B">
          <w:rPr>
            <w:rStyle w:val="Hyperlink"/>
            <w:noProof/>
          </w:rPr>
          <w:t>Table 1: Examples of universities funded to undertake research</w:t>
        </w:r>
        <w:r w:rsidR="00164FC6">
          <w:rPr>
            <w:noProof/>
            <w:webHidden/>
          </w:rPr>
          <w:tab/>
        </w:r>
        <w:r w:rsidR="00164FC6">
          <w:rPr>
            <w:noProof/>
            <w:webHidden/>
          </w:rPr>
          <w:fldChar w:fldCharType="begin"/>
        </w:r>
        <w:r w:rsidR="00164FC6">
          <w:rPr>
            <w:noProof/>
            <w:webHidden/>
          </w:rPr>
          <w:instrText xml:space="preserve"> PAGEREF _Toc90462712 \h </w:instrText>
        </w:r>
        <w:r w:rsidR="00164FC6">
          <w:rPr>
            <w:noProof/>
            <w:webHidden/>
          </w:rPr>
        </w:r>
        <w:r w:rsidR="00164FC6">
          <w:rPr>
            <w:noProof/>
            <w:webHidden/>
          </w:rPr>
          <w:fldChar w:fldCharType="separate"/>
        </w:r>
        <w:r w:rsidR="00A25C74">
          <w:rPr>
            <w:noProof/>
            <w:webHidden/>
          </w:rPr>
          <w:t>13</w:t>
        </w:r>
        <w:r w:rsidR="00164FC6">
          <w:rPr>
            <w:noProof/>
            <w:webHidden/>
          </w:rPr>
          <w:fldChar w:fldCharType="end"/>
        </w:r>
      </w:hyperlink>
    </w:p>
    <w:p w14:paraId="13F4F4FB" w14:textId="19CAE8CF" w:rsidR="00164FC6" w:rsidRDefault="0013686B">
      <w:pPr>
        <w:pStyle w:val="TableofFigures"/>
        <w:rPr>
          <w:rFonts w:asciiTheme="minorHAnsi" w:eastAsiaTheme="minorEastAsia" w:hAnsiTheme="minorHAnsi"/>
          <w:noProof/>
          <w:lang w:val="en-AU" w:eastAsia="en-AU"/>
        </w:rPr>
      </w:pPr>
      <w:hyperlink w:anchor="_Toc90462713" w:history="1">
        <w:r w:rsidR="00164FC6" w:rsidRPr="00CB5B3B">
          <w:rPr>
            <w:rStyle w:val="Hyperlink"/>
            <w:noProof/>
          </w:rPr>
          <w:t>Table 2: Research projects undertaken by Lifeblood, as stated in their</w:t>
        </w:r>
        <w:r w:rsidR="00164FC6">
          <w:rPr>
            <w:rStyle w:val="Hyperlink"/>
            <w:noProof/>
          </w:rPr>
          <w:t xml:space="preserve">                                          </w:t>
        </w:r>
        <w:r w:rsidR="00164FC6" w:rsidRPr="00CB5B3B">
          <w:rPr>
            <w:rStyle w:val="Hyperlink"/>
            <w:noProof/>
          </w:rPr>
          <w:t xml:space="preserve"> Research Annual Report 2019-20</w:t>
        </w:r>
        <w:r w:rsidR="00164FC6">
          <w:rPr>
            <w:noProof/>
            <w:webHidden/>
          </w:rPr>
          <w:tab/>
        </w:r>
        <w:r w:rsidR="00164FC6">
          <w:rPr>
            <w:noProof/>
            <w:webHidden/>
          </w:rPr>
          <w:fldChar w:fldCharType="begin"/>
        </w:r>
        <w:r w:rsidR="00164FC6">
          <w:rPr>
            <w:noProof/>
            <w:webHidden/>
          </w:rPr>
          <w:instrText xml:space="preserve"> PAGEREF _Toc90462713 \h </w:instrText>
        </w:r>
        <w:r w:rsidR="00164FC6">
          <w:rPr>
            <w:noProof/>
            <w:webHidden/>
          </w:rPr>
        </w:r>
        <w:r w:rsidR="00164FC6">
          <w:rPr>
            <w:noProof/>
            <w:webHidden/>
          </w:rPr>
          <w:fldChar w:fldCharType="separate"/>
        </w:r>
        <w:r w:rsidR="00A25C74">
          <w:rPr>
            <w:noProof/>
            <w:webHidden/>
          </w:rPr>
          <w:t>14</w:t>
        </w:r>
        <w:r w:rsidR="00164FC6">
          <w:rPr>
            <w:noProof/>
            <w:webHidden/>
          </w:rPr>
          <w:fldChar w:fldCharType="end"/>
        </w:r>
      </w:hyperlink>
    </w:p>
    <w:p w14:paraId="584031D4" w14:textId="3766FDA7" w:rsidR="0052685B" w:rsidRDefault="00E1668D" w:rsidP="65F918BC">
      <w:pPr>
        <w:pStyle w:val="BodyText"/>
        <w:rPr>
          <w:highlight w:val="magenta"/>
        </w:rPr>
      </w:pPr>
      <w:r>
        <w:fldChar w:fldCharType="end"/>
      </w:r>
    </w:p>
    <w:p w14:paraId="31C477D8" w14:textId="77777777" w:rsidR="00E1668D" w:rsidRPr="006A3C41" w:rsidRDefault="00E1668D" w:rsidP="000968A5">
      <w:pPr>
        <w:pStyle w:val="Heading2-NOTinTOC"/>
      </w:pPr>
      <w:r w:rsidRPr="006A3C41">
        <w:t>Figures</w:t>
      </w:r>
    </w:p>
    <w:p w14:paraId="27709B9F" w14:textId="1FF03BFE" w:rsidR="00164FC6" w:rsidRDefault="00E1668D">
      <w:pPr>
        <w:pStyle w:val="TableofFigures"/>
        <w:rPr>
          <w:rFonts w:asciiTheme="minorHAnsi" w:eastAsiaTheme="minorEastAsia" w:hAnsiTheme="minorHAnsi"/>
          <w:noProof/>
          <w:lang w:val="en-AU" w:eastAsia="en-AU"/>
        </w:rPr>
      </w:pPr>
      <w:r w:rsidRPr="006A3C41">
        <w:fldChar w:fldCharType="begin"/>
      </w:r>
      <w:r w:rsidRPr="006A3C41">
        <w:instrText xml:space="preserve"> TOC \h \z \c "Figure" </w:instrText>
      </w:r>
      <w:r w:rsidRPr="006A3C41">
        <w:fldChar w:fldCharType="separate"/>
      </w:r>
      <w:hyperlink w:anchor="_Toc90462699" w:history="1">
        <w:r w:rsidR="00164FC6" w:rsidRPr="00B80A76">
          <w:rPr>
            <w:rStyle w:val="Hyperlink"/>
            <w:noProof/>
          </w:rPr>
          <w:t>Figure 1: 2022-27 Priorities</w:t>
        </w:r>
        <w:r w:rsidR="00164FC6">
          <w:rPr>
            <w:noProof/>
            <w:webHidden/>
          </w:rPr>
          <w:tab/>
        </w:r>
        <w:r w:rsidR="00164FC6">
          <w:rPr>
            <w:noProof/>
            <w:webHidden/>
          </w:rPr>
          <w:fldChar w:fldCharType="begin"/>
        </w:r>
        <w:r w:rsidR="00164FC6">
          <w:rPr>
            <w:noProof/>
            <w:webHidden/>
          </w:rPr>
          <w:instrText xml:space="preserve"> PAGEREF _Toc90462699 \h </w:instrText>
        </w:r>
        <w:r w:rsidR="00164FC6">
          <w:rPr>
            <w:noProof/>
            <w:webHidden/>
          </w:rPr>
        </w:r>
        <w:r w:rsidR="00164FC6">
          <w:rPr>
            <w:noProof/>
            <w:webHidden/>
          </w:rPr>
          <w:fldChar w:fldCharType="separate"/>
        </w:r>
        <w:r w:rsidR="00A25C74">
          <w:rPr>
            <w:noProof/>
            <w:webHidden/>
          </w:rPr>
          <w:t>1</w:t>
        </w:r>
        <w:r w:rsidR="00164FC6">
          <w:rPr>
            <w:noProof/>
            <w:webHidden/>
          </w:rPr>
          <w:fldChar w:fldCharType="end"/>
        </w:r>
      </w:hyperlink>
    </w:p>
    <w:p w14:paraId="260EDE08" w14:textId="7B7D0D1D" w:rsidR="00164FC6" w:rsidRDefault="0013686B">
      <w:pPr>
        <w:pStyle w:val="TableofFigures"/>
        <w:rPr>
          <w:rFonts w:asciiTheme="minorHAnsi" w:eastAsiaTheme="minorEastAsia" w:hAnsiTheme="minorHAnsi"/>
          <w:noProof/>
          <w:lang w:val="en-AU" w:eastAsia="en-AU"/>
        </w:rPr>
      </w:pPr>
      <w:hyperlink w:anchor="_Toc90462700" w:history="1">
        <w:r w:rsidR="00164FC6" w:rsidRPr="00B80A76">
          <w:rPr>
            <w:rStyle w:val="Hyperlink"/>
            <w:noProof/>
          </w:rPr>
          <w:t>Figure 2: National Blood Research and Development Strategic Priorities Review Questions</w:t>
        </w:r>
        <w:r w:rsidR="00164FC6">
          <w:rPr>
            <w:noProof/>
            <w:webHidden/>
          </w:rPr>
          <w:tab/>
        </w:r>
        <w:r w:rsidR="00164FC6">
          <w:rPr>
            <w:noProof/>
            <w:webHidden/>
          </w:rPr>
          <w:fldChar w:fldCharType="begin"/>
        </w:r>
        <w:r w:rsidR="00164FC6">
          <w:rPr>
            <w:noProof/>
            <w:webHidden/>
          </w:rPr>
          <w:instrText xml:space="preserve"> PAGEREF _Toc90462700 \h </w:instrText>
        </w:r>
        <w:r w:rsidR="00164FC6">
          <w:rPr>
            <w:noProof/>
            <w:webHidden/>
          </w:rPr>
        </w:r>
        <w:r w:rsidR="00164FC6">
          <w:rPr>
            <w:noProof/>
            <w:webHidden/>
          </w:rPr>
          <w:fldChar w:fldCharType="separate"/>
        </w:r>
        <w:r w:rsidR="00A25C74">
          <w:rPr>
            <w:noProof/>
            <w:webHidden/>
          </w:rPr>
          <w:t>2</w:t>
        </w:r>
        <w:r w:rsidR="00164FC6">
          <w:rPr>
            <w:noProof/>
            <w:webHidden/>
          </w:rPr>
          <w:fldChar w:fldCharType="end"/>
        </w:r>
      </w:hyperlink>
    </w:p>
    <w:p w14:paraId="2368A662" w14:textId="7F036955" w:rsidR="00164FC6" w:rsidRDefault="0013686B">
      <w:pPr>
        <w:pStyle w:val="TableofFigures"/>
        <w:rPr>
          <w:rFonts w:asciiTheme="minorHAnsi" w:eastAsiaTheme="minorEastAsia" w:hAnsiTheme="minorHAnsi"/>
          <w:noProof/>
          <w:lang w:val="en-AU" w:eastAsia="en-AU"/>
        </w:rPr>
      </w:pPr>
      <w:hyperlink w:anchor="_Toc90462701" w:history="1">
        <w:r w:rsidR="00164FC6" w:rsidRPr="00B80A76">
          <w:rPr>
            <w:rStyle w:val="Hyperlink"/>
            <w:noProof/>
          </w:rPr>
          <w:t>Figure 3:  2022-27 Priorities and Enablers, and research activities</w:t>
        </w:r>
        <w:r w:rsidR="00164FC6">
          <w:rPr>
            <w:noProof/>
            <w:webHidden/>
          </w:rPr>
          <w:tab/>
        </w:r>
        <w:r w:rsidR="00164FC6">
          <w:rPr>
            <w:noProof/>
            <w:webHidden/>
          </w:rPr>
          <w:fldChar w:fldCharType="begin"/>
        </w:r>
        <w:r w:rsidR="00164FC6">
          <w:rPr>
            <w:noProof/>
            <w:webHidden/>
          </w:rPr>
          <w:instrText xml:space="preserve"> PAGEREF _Toc90462701 \h </w:instrText>
        </w:r>
        <w:r w:rsidR="00164FC6">
          <w:rPr>
            <w:noProof/>
            <w:webHidden/>
          </w:rPr>
        </w:r>
        <w:r w:rsidR="00164FC6">
          <w:rPr>
            <w:noProof/>
            <w:webHidden/>
          </w:rPr>
          <w:fldChar w:fldCharType="separate"/>
        </w:r>
        <w:r w:rsidR="00A25C74">
          <w:rPr>
            <w:noProof/>
            <w:webHidden/>
          </w:rPr>
          <w:t>4</w:t>
        </w:r>
        <w:r w:rsidR="00164FC6">
          <w:rPr>
            <w:noProof/>
            <w:webHidden/>
          </w:rPr>
          <w:fldChar w:fldCharType="end"/>
        </w:r>
      </w:hyperlink>
    </w:p>
    <w:p w14:paraId="00C3D067" w14:textId="5845CCFF" w:rsidR="00164FC6" w:rsidRDefault="0013686B">
      <w:pPr>
        <w:pStyle w:val="TableofFigures"/>
        <w:rPr>
          <w:rFonts w:asciiTheme="minorHAnsi" w:eastAsiaTheme="minorEastAsia" w:hAnsiTheme="minorHAnsi"/>
          <w:noProof/>
          <w:lang w:val="en-AU" w:eastAsia="en-AU"/>
        </w:rPr>
      </w:pPr>
      <w:hyperlink w:anchor="_Toc90462702" w:history="1">
        <w:r w:rsidR="00164FC6" w:rsidRPr="00B80A76">
          <w:rPr>
            <w:rStyle w:val="Hyperlink"/>
            <w:noProof/>
          </w:rPr>
          <w:t>Figure 4: National Blood Research and Development Sector</w:t>
        </w:r>
        <w:r w:rsidR="00164FC6">
          <w:rPr>
            <w:noProof/>
            <w:webHidden/>
          </w:rPr>
          <w:tab/>
        </w:r>
        <w:r w:rsidR="00164FC6">
          <w:rPr>
            <w:noProof/>
            <w:webHidden/>
          </w:rPr>
          <w:fldChar w:fldCharType="begin"/>
        </w:r>
        <w:r w:rsidR="00164FC6">
          <w:rPr>
            <w:noProof/>
            <w:webHidden/>
          </w:rPr>
          <w:instrText xml:space="preserve"> PAGEREF _Toc90462702 \h </w:instrText>
        </w:r>
        <w:r w:rsidR="00164FC6">
          <w:rPr>
            <w:noProof/>
            <w:webHidden/>
          </w:rPr>
        </w:r>
        <w:r w:rsidR="00164FC6">
          <w:rPr>
            <w:noProof/>
            <w:webHidden/>
          </w:rPr>
          <w:fldChar w:fldCharType="separate"/>
        </w:r>
        <w:r w:rsidR="00A25C74">
          <w:rPr>
            <w:noProof/>
            <w:webHidden/>
          </w:rPr>
          <w:t>9</w:t>
        </w:r>
        <w:r w:rsidR="00164FC6">
          <w:rPr>
            <w:noProof/>
            <w:webHidden/>
          </w:rPr>
          <w:fldChar w:fldCharType="end"/>
        </w:r>
      </w:hyperlink>
    </w:p>
    <w:p w14:paraId="731EA7E0" w14:textId="1CCB269B" w:rsidR="00164FC6" w:rsidRDefault="0013686B">
      <w:pPr>
        <w:pStyle w:val="TableofFigures"/>
        <w:rPr>
          <w:rFonts w:asciiTheme="minorHAnsi" w:eastAsiaTheme="minorEastAsia" w:hAnsiTheme="minorHAnsi"/>
          <w:noProof/>
          <w:lang w:val="en-AU" w:eastAsia="en-AU"/>
        </w:rPr>
      </w:pPr>
      <w:hyperlink w:anchor="_Toc90462703" w:history="1">
        <w:r w:rsidR="00164FC6" w:rsidRPr="00B80A76">
          <w:rPr>
            <w:rStyle w:val="Hyperlink"/>
            <w:noProof/>
          </w:rPr>
          <w:t>Figure 5: Research funders</w:t>
        </w:r>
        <w:r w:rsidR="00164FC6">
          <w:rPr>
            <w:noProof/>
            <w:webHidden/>
          </w:rPr>
          <w:tab/>
        </w:r>
        <w:r w:rsidR="00164FC6">
          <w:rPr>
            <w:noProof/>
            <w:webHidden/>
          </w:rPr>
          <w:fldChar w:fldCharType="begin"/>
        </w:r>
        <w:r w:rsidR="00164FC6">
          <w:rPr>
            <w:noProof/>
            <w:webHidden/>
          </w:rPr>
          <w:instrText xml:space="preserve"> PAGEREF _Toc90462703 \h </w:instrText>
        </w:r>
        <w:r w:rsidR="00164FC6">
          <w:rPr>
            <w:noProof/>
            <w:webHidden/>
          </w:rPr>
        </w:r>
        <w:r w:rsidR="00164FC6">
          <w:rPr>
            <w:noProof/>
            <w:webHidden/>
          </w:rPr>
          <w:fldChar w:fldCharType="separate"/>
        </w:r>
        <w:r w:rsidR="00A25C74">
          <w:rPr>
            <w:noProof/>
            <w:webHidden/>
          </w:rPr>
          <w:t>9</w:t>
        </w:r>
        <w:r w:rsidR="00164FC6">
          <w:rPr>
            <w:noProof/>
            <w:webHidden/>
          </w:rPr>
          <w:fldChar w:fldCharType="end"/>
        </w:r>
      </w:hyperlink>
    </w:p>
    <w:p w14:paraId="7A1B3FDF" w14:textId="3E22B21D" w:rsidR="00164FC6" w:rsidRDefault="0013686B">
      <w:pPr>
        <w:pStyle w:val="TableofFigures"/>
        <w:rPr>
          <w:rFonts w:asciiTheme="minorHAnsi" w:eastAsiaTheme="minorEastAsia" w:hAnsiTheme="minorHAnsi"/>
          <w:noProof/>
          <w:lang w:val="en-AU" w:eastAsia="en-AU"/>
        </w:rPr>
      </w:pPr>
      <w:hyperlink w:anchor="_Toc90462704" w:history="1">
        <w:r w:rsidR="00164FC6" w:rsidRPr="00B80A76">
          <w:rPr>
            <w:rStyle w:val="Hyperlink"/>
            <w:noProof/>
          </w:rPr>
          <w:t>Figure 6: Questionnaire: Support for retaining, amending, retiring Priority 1</w:t>
        </w:r>
        <w:r w:rsidR="00164FC6">
          <w:rPr>
            <w:noProof/>
            <w:webHidden/>
          </w:rPr>
          <w:tab/>
        </w:r>
        <w:r w:rsidR="00164FC6">
          <w:rPr>
            <w:noProof/>
            <w:webHidden/>
          </w:rPr>
          <w:fldChar w:fldCharType="begin"/>
        </w:r>
        <w:r w:rsidR="00164FC6">
          <w:rPr>
            <w:noProof/>
            <w:webHidden/>
          </w:rPr>
          <w:instrText xml:space="preserve"> PAGEREF _Toc90462704 \h </w:instrText>
        </w:r>
        <w:r w:rsidR="00164FC6">
          <w:rPr>
            <w:noProof/>
            <w:webHidden/>
          </w:rPr>
        </w:r>
        <w:r w:rsidR="00164FC6">
          <w:rPr>
            <w:noProof/>
            <w:webHidden/>
          </w:rPr>
          <w:fldChar w:fldCharType="separate"/>
        </w:r>
        <w:r w:rsidR="00A25C74">
          <w:rPr>
            <w:noProof/>
            <w:webHidden/>
          </w:rPr>
          <w:t>20</w:t>
        </w:r>
        <w:r w:rsidR="00164FC6">
          <w:rPr>
            <w:noProof/>
            <w:webHidden/>
          </w:rPr>
          <w:fldChar w:fldCharType="end"/>
        </w:r>
      </w:hyperlink>
    </w:p>
    <w:p w14:paraId="026E515D" w14:textId="30C1D3D1" w:rsidR="00164FC6" w:rsidRDefault="0013686B">
      <w:pPr>
        <w:pStyle w:val="TableofFigures"/>
        <w:rPr>
          <w:rFonts w:asciiTheme="minorHAnsi" w:eastAsiaTheme="minorEastAsia" w:hAnsiTheme="minorHAnsi"/>
          <w:noProof/>
          <w:lang w:val="en-AU" w:eastAsia="en-AU"/>
        </w:rPr>
      </w:pPr>
      <w:hyperlink w:anchor="_Toc90462705" w:history="1">
        <w:r w:rsidR="00164FC6" w:rsidRPr="00B80A76">
          <w:rPr>
            <w:rStyle w:val="Hyperlink"/>
            <w:noProof/>
          </w:rPr>
          <w:t>Figure 7: Support for retaining, amending, retiring Priority 2</w:t>
        </w:r>
        <w:r w:rsidR="00164FC6">
          <w:rPr>
            <w:noProof/>
            <w:webHidden/>
          </w:rPr>
          <w:tab/>
        </w:r>
        <w:r w:rsidR="00164FC6">
          <w:rPr>
            <w:noProof/>
            <w:webHidden/>
          </w:rPr>
          <w:fldChar w:fldCharType="begin"/>
        </w:r>
        <w:r w:rsidR="00164FC6">
          <w:rPr>
            <w:noProof/>
            <w:webHidden/>
          </w:rPr>
          <w:instrText xml:space="preserve"> PAGEREF _Toc90462705 \h </w:instrText>
        </w:r>
        <w:r w:rsidR="00164FC6">
          <w:rPr>
            <w:noProof/>
            <w:webHidden/>
          </w:rPr>
        </w:r>
        <w:r w:rsidR="00164FC6">
          <w:rPr>
            <w:noProof/>
            <w:webHidden/>
          </w:rPr>
          <w:fldChar w:fldCharType="separate"/>
        </w:r>
        <w:r w:rsidR="00A25C74">
          <w:rPr>
            <w:noProof/>
            <w:webHidden/>
          </w:rPr>
          <w:t>22</w:t>
        </w:r>
        <w:r w:rsidR="00164FC6">
          <w:rPr>
            <w:noProof/>
            <w:webHidden/>
          </w:rPr>
          <w:fldChar w:fldCharType="end"/>
        </w:r>
      </w:hyperlink>
    </w:p>
    <w:p w14:paraId="5D34204B" w14:textId="5684DB43" w:rsidR="00164FC6" w:rsidRDefault="0013686B">
      <w:pPr>
        <w:pStyle w:val="TableofFigures"/>
        <w:rPr>
          <w:rFonts w:asciiTheme="minorHAnsi" w:eastAsiaTheme="minorEastAsia" w:hAnsiTheme="minorHAnsi"/>
          <w:noProof/>
          <w:lang w:val="en-AU" w:eastAsia="en-AU"/>
        </w:rPr>
      </w:pPr>
      <w:hyperlink w:anchor="_Toc90462706" w:history="1">
        <w:r w:rsidR="00164FC6" w:rsidRPr="00B80A76">
          <w:rPr>
            <w:rStyle w:val="Hyperlink"/>
            <w:noProof/>
          </w:rPr>
          <w:t>Figure 8: Support for retaining, amending, retiring Priority 3</w:t>
        </w:r>
        <w:r w:rsidR="00164FC6">
          <w:rPr>
            <w:noProof/>
            <w:webHidden/>
          </w:rPr>
          <w:tab/>
        </w:r>
        <w:r w:rsidR="00164FC6">
          <w:rPr>
            <w:noProof/>
            <w:webHidden/>
          </w:rPr>
          <w:fldChar w:fldCharType="begin"/>
        </w:r>
        <w:r w:rsidR="00164FC6">
          <w:rPr>
            <w:noProof/>
            <w:webHidden/>
          </w:rPr>
          <w:instrText xml:space="preserve"> PAGEREF _Toc90462706 \h </w:instrText>
        </w:r>
        <w:r w:rsidR="00164FC6">
          <w:rPr>
            <w:noProof/>
            <w:webHidden/>
          </w:rPr>
        </w:r>
        <w:r w:rsidR="00164FC6">
          <w:rPr>
            <w:noProof/>
            <w:webHidden/>
          </w:rPr>
          <w:fldChar w:fldCharType="separate"/>
        </w:r>
        <w:r w:rsidR="00A25C74">
          <w:rPr>
            <w:noProof/>
            <w:webHidden/>
          </w:rPr>
          <w:t>24</w:t>
        </w:r>
        <w:r w:rsidR="00164FC6">
          <w:rPr>
            <w:noProof/>
            <w:webHidden/>
          </w:rPr>
          <w:fldChar w:fldCharType="end"/>
        </w:r>
      </w:hyperlink>
    </w:p>
    <w:p w14:paraId="33C7D057" w14:textId="430488D2" w:rsidR="00164FC6" w:rsidRDefault="0013686B">
      <w:pPr>
        <w:pStyle w:val="TableofFigures"/>
        <w:rPr>
          <w:rFonts w:asciiTheme="minorHAnsi" w:eastAsiaTheme="minorEastAsia" w:hAnsiTheme="minorHAnsi"/>
          <w:noProof/>
          <w:lang w:val="en-AU" w:eastAsia="en-AU"/>
        </w:rPr>
      </w:pPr>
      <w:hyperlink w:anchor="_Toc90462707" w:history="1">
        <w:r w:rsidR="00164FC6" w:rsidRPr="00B80A76">
          <w:rPr>
            <w:rStyle w:val="Hyperlink"/>
            <w:noProof/>
          </w:rPr>
          <w:t>Figure 9: Support for retaining, amending, retiring Priority 5</w:t>
        </w:r>
        <w:r w:rsidR="00164FC6">
          <w:rPr>
            <w:noProof/>
            <w:webHidden/>
          </w:rPr>
          <w:tab/>
        </w:r>
        <w:r w:rsidR="00164FC6">
          <w:rPr>
            <w:noProof/>
            <w:webHidden/>
          </w:rPr>
          <w:fldChar w:fldCharType="begin"/>
        </w:r>
        <w:r w:rsidR="00164FC6">
          <w:rPr>
            <w:noProof/>
            <w:webHidden/>
          </w:rPr>
          <w:instrText xml:space="preserve"> PAGEREF _Toc90462707 \h </w:instrText>
        </w:r>
        <w:r w:rsidR="00164FC6">
          <w:rPr>
            <w:noProof/>
            <w:webHidden/>
          </w:rPr>
        </w:r>
        <w:r w:rsidR="00164FC6">
          <w:rPr>
            <w:noProof/>
            <w:webHidden/>
          </w:rPr>
          <w:fldChar w:fldCharType="separate"/>
        </w:r>
        <w:r w:rsidR="00A25C74">
          <w:rPr>
            <w:noProof/>
            <w:webHidden/>
          </w:rPr>
          <w:t>27</w:t>
        </w:r>
        <w:r w:rsidR="00164FC6">
          <w:rPr>
            <w:noProof/>
            <w:webHidden/>
          </w:rPr>
          <w:fldChar w:fldCharType="end"/>
        </w:r>
      </w:hyperlink>
    </w:p>
    <w:p w14:paraId="13906416" w14:textId="7CC73BBC" w:rsidR="00164FC6" w:rsidRDefault="0013686B">
      <w:pPr>
        <w:pStyle w:val="TableofFigures"/>
        <w:rPr>
          <w:rFonts w:asciiTheme="minorHAnsi" w:eastAsiaTheme="minorEastAsia" w:hAnsiTheme="minorHAnsi"/>
          <w:noProof/>
          <w:lang w:val="en-AU" w:eastAsia="en-AU"/>
        </w:rPr>
      </w:pPr>
      <w:hyperlink w:anchor="_Toc90462708" w:history="1">
        <w:r w:rsidR="00164FC6" w:rsidRPr="00B80A76">
          <w:rPr>
            <w:rStyle w:val="Hyperlink"/>
            <w:noProof/>
          </w:rPr>
          <w:t>Figure 10: Issues relating to data sharing and linkages</w:t>
        </w:r>
        <w:r w:rsidR="00164FC6">
          <w:rPr>
            <w:noProof/>
            <w:webHidden/>
          </w:rPr>
          <w:tab/>
        </w:r>
        <w:r w:rsidR="00164FC6">
          <w:rPr>
            <w:noProof/>
            <w:webHidden/>
          </w:rPr>
          <w:fldChar w:fldCharType="begin"/>
        </w:r>
        <w:r w:rsidR="00164FC6">
          <w:rPr>
            <w:noProof/>
            <w:webHidden/>
          </w:rPr>
          <w:instrText xml:space="preserve"> PAGEREF _Toc90462708 \h </w:instrText>
        </w:r>
        <w:r w:rsidR="00164FC6">
          <w:rPr>
            <w:noProof/>
            <w:webHidden/>
          </w:rPr>
        </w:r>
        <w:r w:rsidR="00164FC6">
          <w:rPr>
            <w:noProof/>
            <w:webHidden/>
          </w:rPr>
          <w:fldChar w:fldCharType="separate"/>
        </w:r>
        <w:r w:rsidR="00A25C74">
          <w:rPr>
            <w:noProof/>
            <w:webHidden/>
          </w:rPr>
          <w:t>28</w:t>
        </w:r>
        <w:r w:rsidR="00164FC6">
          <w:rPr>
            <w:noProof/>
            <w:webHidden/>
          </w:rPr>
          <w:fldChar w:fldCharType="end"/>
        </w:r>
      </w:hyperlink>
    </w:p>
    <w:p w14:paraId="255C689A" w14:textId="29CFECDE" w:rsidR="00164FC6" w:rsidRDefault="0013686B">
      <w:pPr>
        <w:pStyle w:val="TableofFigures"/>
        <w:rPr>
          <w:rFonts w:asciiTheme="minorHAnsi" w:eastAsiaTheme="minorEastAsia" w:hAnsiTheme="minorHAnsi"/>
          <w:noProof/>
          <w:lang w:val="en-AU" w:eastAsia="en-AU"/>
        </w:rPr>
      </w:pPr>
      <w:hyperlink w:anchor="_Toc90462709" w:history="1">
        <w:r w:rsidR="00164FC6" w:rsidRPr="00B80A76">
          <w:rPr>
            <w:rStyle w:val="Hyperlink"/>
            <w:noProof/>
          </w:rPr>
          <w:t>Figure 11: Support for retaining, amending, retiring Priority 4</w:t>
        </w:r>
        <w:r w:rsidR="00164FC6">
          <w:rPr>
            <w:noProof/>
            <w:webHidden/>
          </w:rPr>
          <w:tab/>
        </w:r>
        <w:r w:rsidR="00164FC6">
          <w:rPr>
            <w:noProof/>
            <w:webHidden/>
          </w:rPr>
          <w:fldChar w:fldCharType="begin"/>
        </w:r>
        <w:r w:rsidR="00164FC6">
          <w:rPr>
            <w:noProof/>
            <w:webHidden/>
          </w:rPr>
          <w:instrText xml:space="preserve"> PAGEREF _Toc90462709 \h </w:instrText>
        </w:r>
        <w:r w:rsidR="00164FC6">
          <w:rPr>
            <w:noProof/>
            <w:webHidden/>
          </w:rPr>
        </w:r>
        <w:r w:rsidR="00164FC6">
          <w:rPr>
            <w:noProof/>
            <w:webHidden/>
          </w:rPr>
          <w:fldChar w:fldCharType="separate"/>
        </w:r>
        <w:r w:rsidR="00A25C74">
          <w:rPr>
            <w:noProof/>
            <w:webHidden/>
          </w:rPr>
          <w:t>30</w:t>
        </w:r>
        <w:r w:rsidR="00164FC6">
          <w:rPr>
            <w:noProof/>
            <w:webHidden/>
          </w:rPr>
          <w:fldChar w:fldCharType="end"/>
        </w:r>
      </w:hyperlink>
    </w:p>
    <w:p w14:paraId="65258FCB" w14:textId="38DA23BD" w:rsidR="00164FC6" w:rsidRDefault="0013686B">
      <w:pPr>
        <w:pStyle w:val="TableofFigures"/>
        <w:rPr>
          <w:rFonts w:asciiTheme="minorHAnsi" w:eastAsiaTheme="minorEastAsia" w:hAnsiTheme="minorHAnsi"/>
          <w:noProof/>
          <w:lang w:val="en-AU" w:eastAsia="en-AU"/>
        </w:rPr>
      </w:pPr>
      <w:hyperlink w:anchor="_Toc90462710" w:history="1">
        <w:r w:rsidR="00164FC6" w:rsidRPr="00B80A76">
          <w:rPr>
            <w:rStyle w:val="Hyperlink"/>
            <w:noProof/>
          </w:rPr>
          <w:t>Figure 12: National Blood Research and Development Strategic Priorities Review Questions</w:t>
        </w:r>
        <w:r w:rsidR="00164FC6">
          <w:rPr>
            <w:noProof/>
            <w:webHidden/>
          </w:rPr>
          <w:tab/>
        </w:r>
        <w:r w:rsidR="00164FC6">
          <w:rPr>
            <w:noProof/>
            <w:webHidden/>
          </w:rPr>
          <w:fldChar w:fldCharType="begin"/>
        </w:r>
        <w:r w:rsidR="00164FC6">
          <w:rPr>
            <w:noProof/>
            <w:webHidden/>
          </w:rPr>
          <w:instrText xml:space="preserve"> PAGEREF _Toc90462710 \h </w:instrText>
        </w:r>
        <w:r w:rsidR="00164FC6">
          <w:rPr>
            <w:noProof/>
            <w:webHidden/>
          </w:rPr>
        </w:r>
        <w:r w:rsidR="00164FC6">
          <w:rPr>
            <w:noProof/>
            <w:webHidden/>
          </w:rPr>
          <w:fldChar w:fldCharType="separate"/>
        </w:r>
        <w:r w:rsidR="00A25C74">
          <w:rPr>
            <w:noProof/>
            <w:webHidden/>
          </w:rPr>
          <w:t>39</w:t>
        </w:r>
        <w:r w:rsidR="00164FC6">
          <w:rPr>
            <w:noProof/>
            <w:webHidden/>
          </w:rPr>
          <w:fldChar w:fldCharType="end"/>
        </w:r>
      </w:hyperlink>
    </w:p>
    <w:p w14:paraId="6D0A5342" w14:textId="5FD68CE6" w:rsidR="00164FC6" w:rsidRDefault="0013686B">
      <w:pPr>
        <w:pStyle w:val="TableofFigures"/>
        <w:rPr>
          <w:rFonts w:asciiTheme="minorHAnsi" w:eastAsiaTheme="minorEastAsia" w:hAnsiTheme="minorHAnsi"/>
          <w:noProof/>
          <w:lang w:val="en-AU" w:eastAsia="en-AU"/>
        </w:rPr>
      </w:pPr>
      <w:hyperlink w:anchor="_Toc90462711" w:history="1">
        <w:r w:rsidR="00164FC6" w:rsidRPr="00B80A76">
          <w:rPr>
            <w:rStyle w:val="Hyperlink"/>
            <w:noProof/>
          </w:rPr>
          <w:t>Figure 13: Committees engaged during the Review</w:t>
        </w:r>
        <w:r w:rsidR="00164FC6">
          <w:rPr>
            <w:noProof/>
            <w:webHidden/>
          </w:rPr>
          <w:tab/>
        </w:r>
        <w:r w:rsidR="00164FC6">
          <w:rPr>
            <w:noProof/>
            <w:webHidden/>
          </w:rPr>
          <w:fldChar w:fldCharType="begin"/>
        </w:r>
        <w:r w:rsidR="00164FC6">
          <w:rPr>
            <w:noProof/>
            <w:webHidden/>
          </w:rPr>
          <w:instrText xml:space="preserve"> PAGEREF _Toc90462711 \h </w:instrText>
        </w:r>
        <w:r w:rsidR="00164FC6">
          <w:rPr>
            <w:noProof/>
            <w:webHidden/>
          </w:rPr>
        </w:r>
        <w:r w:rsidR="00164FC6">
          <w:rPr>
            <w:noProof/>
            <w:webHidden/>
          </w:rPr>
          <w:fldChar w:fldCharType="separate"/>
        </w:r>
        <w:r w:rsidR="00A25C74">
          <w:rPr>
            <w:noProof/>
            <w:webHidden/>
          </w:rPr>
          <w:t>41</w:t>
        </w:r>
        <w:r w:rsidR="00164FC6">
          <w:rPr>
            <w:noProof/>
            <w:webHidden/>
          </w:rPr>
          <w:fldChar w:fldCharType="end"/>
        </w:r>
      </w:hyperlink>
    </w:p>
    <w:p w14:paraId="18151955" w14:textId="4028F620" w:rsidR="00E1668D" w:rsidRDefault="00E1668D" w:rsidP="0081174B">
      <w:pPr>
        <w:pStyle w:val="BodyText"/>
      </w:pPr>
      <w:r w:rsidRPr="006A3C41">
        <w:fldChar w:fldCharType="end"/>
      </w:r>
    </w:p>
    <w:p w14:paraId="37125103" w14:textId="77777777" w:rsidR="00F723A5" w:rsidRPr="00654C3D" w:rsidRDefault="00F723A5" w:rsidP="00654C3D">
      <w:pPr>
        <w:sectPr w:rsidR="00F723A5" w:rsidRPr="00654C3D" w:rsidSect="00EC1E46">
          <w:headerReference w:type="even" r:id="rId14"/>
          <w:headerReference w:type="default" r:id="rId15"/>
          <w:footerReference w:type="even" r:id="rId16"/>
          <w:footerReference w:type="default" r:id="rId17"/>
          <w:headerReference w:type="first" r:id="rId18"/>
          <w:footerReference w:type="first" r:id="rId19"/>
          <w:pgSz w:w="11907" w:h="16839" w:code="9"/>
          <w:pgMar w:top="1418" w:right="1418" w:bottom="1418" w:left="1418" w:header="964" w:footer="964" w:gutter="0"/>
          <w:pgNumType w:fmt="lowerRoman" w:start="1"/>
          <w:cols w:space="708"/>
          <w:titlePg/>
          <w:docGrid w:linePitch="360"/>
        </w:sectPr>
      </w:pPr>
    </w:p>
    <w:p w14:paraId="54BAAA0B" w14:textId="68C6ADD1" w:rsidR="00576B86" w:rsidRPr="006A3C41" w:rsidRDefault="004768A9" w:rsidP="0073198B">
      <w:pPr>
        <w:pStyle w:val="Heading1"/>
        <w:spacing w:before="600"/>
      </w:pPr>
      <w:bookmarkStart w:id="6" w:name="_Toc90456662"/>
      <w:r>
        <w:rPr>
          <w:noProof/>
          <w:lang w:val="en-AU" w:eastAsia="en-AU"/>
        </w:rPr>
        <w:lastRenderedPageBreak/>
        <w:drawing>
          <wp:anchor distT="0" distB="0" distL="114300" distR="114300" simplePos="0" relativeHeight="251641344" behindDoc="1" locked="0" layoutInCell="1" allowOverlap="1" wp14:anchorId="54652699" wp14:editId="721AC1A3">
            <wp:simplePos x="0" y="0"/>
            <wp:positionH relativeFrom="column">
              <wp:posOffset>-900430</wp:posOffset>
            </wp:positionH>
            <wp:positionV relativeFrom="paragraph">
              <wp:posOffset>-902335</wp:posOffset>
            </wp:positionV>
            <wp:extent cx="7560000" cy="899266"/>
            <wp:effectExtent l="0" t="0" r="3175" b="0"/>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0000" cy="899266"/>
                    </a:xfrm>
                    <a:prstGeom prst="rect">
                      <a:avLst/>
                    </a:prstGeom>
                  </pic:spPr>
                </pic:pic>
              </a:graphicData>
            </a:graphic>
            <wp14:sizeRelH relativeFrom="margin">
              <wp14:pctWidth>0</wp14:pctWidth>
            </wp14:sizeRelH>
            <wp14:sizeRelV relativeFrom="margin">
              <wp14:pctHeight>0</wp14:pctHeight>
            </wp14:sizeRelV>
          </wp:anchor>
        </w:drawing>
      </w:r>
      <w:r w:rsidR="00576B86" w:rsidRPr="006A3C41">
        <w:t>Executive Summary</w:t>
      </w:r>
      <w:bookmarkEnd w:id="6"/>
    </w:p>
    <w:p w14:paraId="623DC9C1" w14:textId="5D2119DB" w:rsidR="001A14EE" w:rsidRPr="0073198B" w:rsidRDefault="001A14EE" w:rsidP="0073198B">
      <w:pPr>
        <w:pStyle w:val="Heading3"/>
        <w:rPr>
          <w:rFonts w:ascii="Arial" w:hAnsi="Arial" w:cs="Arial"/>
        </w:rPr>
      </w:pPr>
      <w:bookmarkStart w:id="7" w:name="_Toc79570819"/>
      <w:bookmarkStart w:id="8" w:name="_Toc90456663"/>
      <w:r w:rsidRPr="0073198B">
        <w:rPr>
          <w:rFonts w:ascii="Arial" w:hAnsi="Arial" w:cs="Arial"/>
        </w:rPr>
        <w:t xml:space="preserve">National Blood Research and Development </w:t>
      </w:r>
      <w:r w:rsidR="005F01DF">
        <w:rPr>
          <w:rFonts w:ascii="Arial" w:hAnsi="Arial" w:cs="Arial"/>
        </w:rPr>
        <w:t xml:space="preserve">Strategic </w:t>
      </w:r>
      <w:r w:rsidRPr="0073198B">
        <w:rPr>
          <w:rFonts w:ascii="Arial" w:hAnsi="Arial" w:cs="Arial"/>
        </w:rPr>
        <w:t>Priorities</w:t>
      </w:r>
      <w:r w:rsidR="00915A75">
        <w:rPr>
          <w:rFonts w:ascii="Arial" w:hAnsi="Arial" w:cs="Arial"/>
        </w:rPr>
        <w:t xml:space="preserve"> </w:t>
      </w:r>
      <w:r w:rsidR="00956F3D" w:rsidRPr="0073198B">
        <w:rPr>
          <w:rFonts w:ascii="Arial" w:hAnsi="Arial" w:cs="Arial"/>
        </w:rPr>
        <w:t>202</w:t>
      </w:r>
      <w:r w:rsidR="00956F3D">
        <w:rPr>
          <w:rFonts w:ascii="Arial" w:hAnsi="Arial" w:cs="Arial"/>
        </w:rPr>
        <w:t>2</w:t>
      </w:r>
      <w:r w:rsidRPr="0073198B">
        <w:rPr>
          <w:rFonts w:ascii="Arial" w:hAnsi="Arial" w:cs="Arial"/>
        </w:rPr>
        <w:t>-27</w:t>
      </w:r>
      <w:bookmarkEnd w:id="7"/>
      <w:bookmarkEnd w:id="8"/>
    </w:p>
    <w:p w14:paraId="437AB3EF" w14:textId="52F7EC91" w:rsidR="003570F2" w:rsidRDefault="008F2C4B" w:rsidP="003570F2">
      <w:pPr>
        <w:pStyle w:val="BodyText"/>
        <w:jc w:val="both"/>
        <w:rPr>
          <w:rFonts w:ascii="Arial" w:hAnsi="Arial" w:cs="Arial"/>
        </w:rPr>
      </w:pPr>
      <w:r>
        <w:rPr>
          <w:rFonts w:ascii="Arial" w:hAnsi="Arial" w:cs="Arial"/>
        </w:rPr>
        <w:t>In consultation with the sector, t</w:t>
      </w:r>
      <w:r w:rsidR="004839E8">
        <w:rPr>
          <w:rFonts w:ascii="Arial" w:hAnsi="Arial" w:cs="Arial"/>
        </w:rPr>
        <w:t>he National Blood Authority</w:t>
      </w:r>
      <w:r w:rsidR="000C1CF6">
        <w:rPr>
          <w:rFonts w:ascii="Arial" w:hAnsi="Arial" w:cs="Arial"/>
        </w:rPr>
        <w:t xml:space="preserve"> (NBA)</w:t>
      </w:r>
      <w:r w:rsidR="004839E8">
        <w:rPr>
          <w:rFonts w:ascii="Arial" w:hAnsi="Arial" w:cs="Arial"/>
        </w:rPr>
        <w:t xml:space="preserve"> is establishing </w:t>
      </w:r>
      <w:r w:rsidR="00EC7C61">
        <w:rPr>
          <w:rFonts w:ascii="Arial" w:hAnsi="Arial" w:cs="Arial"/>
        </w:rPr>
        <w:t xml:space="preserve">three </w:t>
      </w:r>
      <w:r w:rsidR="000A2593">
        <w:rPr>
          <w:rFonts w:ascii="Arial" w:hAnsi="Arial" w:cs="Arial"/>
        </w:rPr>
        <w:t>P</w:t>
      </w:r>
      <w:r w:rsidR="008673A2">
        <w:rPr>
          <w:rFonts w:ascii="Arial" w:hAnsi="Arial" w:cs="Arial"/>
        </w:rPr>
        <w:t xml:space="preserve">riorities </w:t>
      </w:r>
      <w:r w:rsidR="00624C08">
        <w:rPr>
          <w:rFonts w:ascii="Arial" w:hAnsi="Arial" w:cs="Arial"/>
        </w:rPr>
        <w:t xml:space="preserve">and three key Enablers </w:t>
      </w:r>
      <w:r w:rsidR="008673A2">
        <w:rPr>
          <w:rFonts w:ascii="Arial" w:hAnsi="Arial" w:cs="Arial"/>
        </w:rPr>
        <w:t>for research and development in the Australia</w:t>
      </w:r>
      <w:r w:rsidR="004F241F">
        <w:rPr>
          <w:rFonts w:ascii="Arial" w:hAnsi="Arial" w:cs="Arial"/>
        </w:rPr>
        <w:t>n</w:t>
      </w:r>
      <w:r w:rsidR="008673A2">
        <w:rPr>
          <w:rFonts w:ascii="Arial" w:hAnsi="Arial" w:cs="Arial"/>
        </w:rPr>
        <w:t xml:space="preserve"> blood sector</w:t>
      </w:r>
      <w:r w:rsidR="0000353B">
        <w:rPr>
          <w:rFonts w:ascii="Arial" w:hAnsi="Arial" w:cs="Arial"/>
        </w:rPr>
        <w:t xml:space="preserve"> for </w:t>
      </w:r>
      <w:r w:rsidR="00621E3A">
        <w:rPr>
          <w:rFonts w:ascii="Arial" w:hAnsi="Arial" w:cs="Arial"/>
        </w:rPr>
        <w:t>202</w:t>
      </w:r>
      <w:r w:rsidR="007A3A3C">
        <w:rPr>
          <w:rFonts w:ascii="Arial" w:hAnsi="Arial" w:cs="Arial"/>
        </w:rPr>
        <w:t>2</w:t>
      </w:r>
      <w:r w:rsidR="00621E3A">
        <w:rPr>
          <w:rFonts w:ascii="Arial" w:hAnsi="Arial" w:cs="Arial"/>
        </w:rPr>
        <w:t>-27</w:t>
      </w:r>
      <w:r w:rsidR="00F93041">
        <w:rPr>
          <w:rFonts w:ascii="Arial" w:hAnsi="Arial" w:cs="Arial"/>
        </w:rPr>
        <w:t xml:space="preserve"> (</w:t>
      </w:r>
      <w:r w:rsidR="007A3A3C">
        <w:rPr>
          <w:rFonts w:ascii="Arial" w:hAnsi="Arial" w:cs="Arial"/>
        </w:rPr>
        <w:t>2022</w:t>
      </w:r>
      <w:r w:rsidR="00F93041">
        <w:rPr>
          <w:rFonts w:ascii="Arial" w:hAnsi="Arial" w:cs="Arial"/>
        </w:rPr>
        <w:t>-27 Priorities)</w:t>
      </w:r>
      <w:r w:rsidR="008673A2">
        <w:rPr>
          <w:rFonts w:ascii="Arial" w:hAnsi="Arial" w:cs="Arial"/>
        </w:rPr>
        <w:t xml:space="preserve">. </w:t>
      </w:r>
      <w:r w:rsidR="00A31589">
        <w:rPr>
          <w:rFonts w:ascii="Arial" w:hAnsi="Arial" w:cs="Arial"/>
        </w:rPr>
        <w:t>T</w:t>
      </w:r>
      <w:r w:rsidR="00F376DB">
        <w:rPr>
          <w:rFonts w:ascii="Arial" w:hAnsi="Arial" w:cs="Arial"/>
        </w:rPr>
        <w:t xml:space="preserve">his change is intended to make clearer the </w:t>
      </w:r>
      <w:r w:rsidR="00F376DB" w:rsidRPr="00F376DB">
        <w:rPr>
          <w:rFonts w:ascii="Arial" w:hAnsi="Arial" w:cs="Arial"/>
        </w:rPr>
        <w:t>distinction between the research and development priorities and the enabling systems and infrastructures that support them</w:t>
      </w:r>
      <w:r w:rsidR="00F376DB">
        <w:rPr>
          <w:rFonts w:ascii="Arial" w:hAnsi="Arial" w:cs="Arial"/>
        </w:rPr>
        <w:t>.</w:t>
      </w:r>
      <w:r w:rsidR="00F376DB">
        <w:t xml:space="preserve"> </w:t>
      </w:r>
      <w:r w:rsidR="003570F2">
        <w:rPr>
          <w:rFonts w:ascii="Arial" w:hAnsi="Arial" w:cs="Arial"/>
        </w:rPr>
        <w:t xml:space="preserve">The </w:t>
      </w:r>
      <w:r w:rsidR="007A3A3C">
        <w:rPr>
          <w:rFonts w:ascii="Arial" w:hAnsi="Arial" w:cs="Arial"/>
        </w:rPr>
        <w:t>2022</w:t>
      </w:r>
      <w:r w:rsidR="003570F2">
        <w:rPr>
          <w:rFonts w:ascii="Arial" w:hAnsi="Arial" w:cs="Arial"/>
        </w:rPr>
        <w:t>-27 Priorities</w:t>
      </w:r>
      <w:r w:rsidR="007A43A5">
        <w:rPr>
          <w:rFonts w:ascii="Arial" w:hAnsi="Arial" w:cs="Arial"/>
        </w:rPr>
        <w:t xml:space="preserve"> </w:t>
      </w:r>
      <w:r w:rsidR="003570F2">
        <w:rPr>
          <w:rFonts w:ascii="Arial" w:hAnsi="Arial" w:cs="Arial"/>
        </w:rPr>
        <w:t xml:space="preserve">aim to enhance the </w:t>
      </w:r>
      <w:r w:rsidR="003570F2" w:rsidRPr="00D21E30">
        <w:rPr>
          <w:rFonts w:ascii="Arial" w:hAnsi="Arial" w:cs="Arial"/>
        </w:rPr>
        <w:t>wellbeing of patients and donors, by directing research and development efforts in the blood sector toward improving the sustainability, provision, and safety of Australia’s blood supply.</w:t>
      </w:r>
      <w:r w:rsidR="00E2679F" w:rsidRPr="00D21E30">
        <w:rPr>
          <w:rFonts w:ascii="Arial" w:hAnsi="Arial" w:cs="Arial"/>
        </w:rPr>
        <w:t xml:space="preserve"> A set of </w:t>
      </w:r>
      <w:r w:rsidR="00225E7E" w:rsidRPr="00D21E30">
        <w:rPr>
          <w:rFonts w:ascii="Arial" w:hAnsi="Arial" w:cs="Arial"/>
        </w:rPr>
        <w:t>research and development</w:t>
      </w:r>
      <w:r w:rsidR="00E2679F" w:rsidRPr="00D21E30">
        <w:rPr>
          <w:rFonts w:ascii="Arial" w:hAnsi="Arial" w:cs="Arial"/>
        </w:rPr>
        <w:t xml:space="preserve"> activities within each priority</w:t>
      </w:r>
      <w:r w:rsidR="00F57CB4">
        <w:rPr>
          <w:rFonts w:ascii="Arial" w:hAnsi="Arial" w:cs="Arial"/>
        </w:rPr>
        <w:t>,</w:t>
      </w:r>
      <w:r w:rsidR="00931002">
        <w:rPr>
          <w:rFonts w:ascii="Arial" w:hAnsi="Arial" w:cs="Arial"/>
        </w:rPr>
        <w:t xml:space="preserve"> </w:t>
      </w:r>
      <w:r w:rsidR="00F376DB">
        <w:rPr>
          <w:rFonts w:ascii="Arial" w:hAnsi="Arial" w:cs="Arial"/>
        </w:rPr>
        <w:t>a</w:t>
      </w:r>
      <w:r w:rsidR="00931002">
        <w:rPr>
          <w:rFonts w:ascii="Arial" w:hAnsi="Arial" w:cs="Arial"/>
        </w:rPr>
        <w:t>long with descriptors and context for the enablers</w:t>
      </w:r>
      <w:r w:rsidR="00F57CB4">
        <w:rPr>
          <w:rFonts w:ascii="Arial" w:hAnsi="Arial" w:cs="Arial"/>
        </w:rPr>
        <w:t>,</w:t>
      </w:r>
      <w:r w:rsidR="00E2679F" w:rsidRPr="00D21E30">
        <w:rPr>
          <w:rFonts w:ascii="Arial" w:hAnsi="Arial" w:cs="Arial"/>
        </w:rPr>
        <w:t xml:space="preserve"> provides further guidance to the national blood research and development sector on how they can contribute to enhance the ongoing wellbeing of patients and donors in Australia.</w:t>
      </w:r>
      <w:r w:rsidR="003570F2">
        <w:rPr>
          <w:rFonts w:ascii="Arial" w:hAnsi="Arial" w:cs="Arial"/>
        </w:rPr>
        <w:t xml:space="preserve"> </w:t>
      </w:r>
    </w:p>
    <w:p w14:paraId="61A92B8D" w14:textId="1A9425F3" w:rsidR="00D367FC" w:rsidRDefault="00D367FC" w:rsidP="00087B72">
      <w:pPr>
        <w:pStyle w:val="Caption"/>
        <w:rPr>
          <w:rFonts w:ascii="Arial" w:hAnsi="Arial" w:cs="Arial"/>
        </w:rPr>
      </w:pPr>
      <w:bookmarkStart w:id="9" w:name="_Toc90462699"/>
      <w:r>
        <w:t xml:space="preserve">Figure </w:t>
      </w:r>
      <w:r>
        <w:fldChar w:fldCharType="begin"/>
      </w:r>
      <w:r>
        <w:instrText xml:space="preserve"> SEQ Figure \* ARABIC </w:instrText>
      </w:r>
      <w:r>
        <w:fldChar w:fldCharType="separate"/>
      </w:r>
      <w:r w:rsidR="00A25C74">
        <w:rPr>
          <w:noProof/>
        </w:rPr>
        <w:t>1</w:t>
      </w:r>
      <w:r>
        <w:fldChar w:fldCharType="end"/>
      </w:r>
      <w:r>
        <w:t>: 202</w:t>
      </w:r>
      <w:r w:rsidR="001E6ACB">
        <w:t>2</w:t>
      </w:r>
      <w:r>
        <w:t xml:space="preserve">-27 Priorities </w:t>
      </w:r>
      <w:bookmarkEnd w:id="9"/>
    </w:p>
    <w:p w14:paraId="409D5F0E" w14:textId="433BA82F" w:rsidR="00E03C85" w:rsidRPr="00087B72" w:rsidRDefault="00356AAC" w:rsidP="00087B72">
      <w:r w:rsidRPr="00087B72">
        <w:rPr>
          <w:noProof/>
        </w:rPr>
        <mc:AlternateContent>
          <mc:Choice Requires="wpg">
            <w:drawing>
              <wp:anchor distT="0" distB="0" distL="114300" distR="114300" simplePos="0" relativeHeight="251642368" behindDoc="0" locked="0" layoutInCell="1" allowOverlap="1" wp14:anchorId="0D0DAE3E" wp14:editId="735084E2">
                <wp:simplePos x="0" y="0"/>
                <wp:positionH relativeFrom="margin">
                  <wp:posOffset>0</wp:posOffset>
                </wp:positionH>
                <wp:positionV relativeFrom="paragraph">
                  <wp:posOffset>359410</wp:posOffset>
                </wp:positionV>
                <wp:extent cx="5760085" cy="2687320"/>
                <wp:effectExtent l="0" t="0" r="12065" b="17780"/>
                <wp:wrapTopAndBottom/>
                <wp:docPr id="83" name="Group 83" descr="2021-27 Priorities:&#10;1. Ensure the optimal use of blood and blood products&#10;&#10;2. Ensure the sustainability of supply and realise supply chain efficiencies with a focus on contingency planning&#10;&#10;3. Reduce donor and patient adverse events&#10;&#10;4. Optimise health and service delivery to best meet patient needs&#10;&#10;5. Strengthen data collection, accuracy and sharing"/>
                <wp:cNvGraphicFramePr/>
                <a:graphic xmlns:a="http://schemas.openxmlformats.org/drawingml/2006/main">
                  <a:graphicData uri="http://schemas.microsoft.com/office/word/2010/wordprocessingGroup">
                    <wpg:wgp>
                      <wpg:cNvGrpSpPr/>
                      <wpg:grpSpPr>
                        <a:xfrm>
                          <a:off x="0" y="0"/>
                          <a:ext cx="5760085" cy="2687320"/>
                          <a:chOff x="0" y="0"/>
                          <a:chExt cx="5760720" cy="2689015"/>
                        </a:xfrm>
                      </wpg:grpSpPr>
                      <wpg:grpSp>
                        <wpg:cNvPr id="84" name="Group 84"/>
                        <wpg:cNvGrpSpPr/>
                        <wpg:grpSpPr>
                          <a:xfrm>
                            <a:off x="0" y="0"/>
                            <a:ext cx="5760720" cy="2689015"/>
                            <a:chOff x="0" y="0"/>
                            <a:chExt cx="5760720" cy="2689015"/>
                          </a:xfrm>
                        </wpg:grpSpPr>
                        <wps:wsp>
                          <wps:cNvPr id="85" name="Rectangle: Rounded Corners 85"/>
                          <wps:cNvSpPr/>
                          <wps:spPr>
                            <a:xfrm>
                              <a:off x="0" y="0"/>
                              <a:ext cx="5760720" cy="411480"/>
                            </a:xfrm>
                            <a:prstGeom prst="roundRect">
                              <a:avLst>
                                <a:gd name="adj" fmla="val 50000"/>
                              </a:avLst>
                            </a:prstGeom>
                            <a:noFill/>
                            <a:ln w="19050">
                              <a:solidFill>
                                <a:srgbClr val="F2646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15BBC" w14:textId="64DC6C2F" w:rsidR="008C5E16" w:rsidRPr="007A4BC4" w:rsidRDefault="008C5E16" w:rsidP="002E3A9E">
                                <w:pPr>
                                  <w:spacing w:after="0"/>
                                  <w:rPr>
                                    <w:rFonts w:ascii="Arial" w:hAnsi="Arial" w:cs="Arial"/>
                                    <w:color w:val="000000" w:themeColor="text1"/>
                                    <w:sz w:val="20"/>
                                    <w:szCs w:val="20"/>
                                  </w:rPr>
                                </w:pPr>
                                <w:r w:rsidRPr="00087B72">
                                  <w:rPr>
                                    <w:rFonts w:ascii="Arial" w:hAnsi="Arial" w:cs="Arial"/>
                                    <w:color w:val="000000" w:themeColor="text1"/>
                                    <w:sz w:val="20"/>
                                    <w:szCs w:val="20"/>
                                  </w:rPr>
                                  <w:t>Optimise the use of blood and blood products</w:t>
                                </w:r>
                                <w:r w:rsidRPr="007A4BC4" w:rsidDel="000112AD">
                                  <w:rPr>
                                    <w:rFonts w:ascii="Arial" w:hAnsi="Arial" w:cs="Arial"/>
                                    <w:color w:val="000000" w:themeColor="text1"/>
                                    <w:sz w:val="20"/>
                                    <w:szCs w:val="20"/>
                                  </w:rPr>
                                  <w:t xml:space="preserve"> </w:t>
                                </w:r>
                              </w:p>
                            </w:txbxContent>
                          </wps:txbx>
                          <wps:bodyPr rot="0" spcFirstLastPara="0" vertOverflow="overflow" horzOverflow="overflow" vert="horz" wrap="square" lIns="576000" tIns="0" rIns="0" bIns="0" numCol="1" spcCol="0" rtlCol="0" fromWordArt="0" anchor="ctr" anchorCtr="0" forceAA="0" compatLnSpc="1">
                            <a:prstTxWarp prst="textNoShape">
                              <a:avLst/>
                            </a:prstTxWarp>
                            <a:noAutofit/>
                          </wps:bodyPr>
                        </wps:wsp>
                        <wps:wsp>
                          <wps:cNvPr id="86" name="Rectangle: Rounded Corners 86"/>
                          <wps:cNvSpPr/>
                          <wps:spPr>
                            <a:xfrm>
                              <a:off x="0" y="489858"/>
                              <a:ext cx="5760720" cy="411480"/>
                            </a:xfrm>
                            <a:prstGeom prst="roundRect">
                              <a:avLst>
                                <a:gd name="adj" fmla="val 50000"/>
                              </a:avLst>
                            </a:prstGeom>
                            <a:noFill/>
                            <a:ln w="19050">
                              <a:solidFill>
                                <a:srgbClr val="F2646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8FB6F" w14:textId="6A4FF1AA" w:rsidR="008C5E16" w:rsidRPr="007A4BC4" w:rsidRDefault="008C5E16" w:rsidP="002E3A9E">
                                <w:pPr>
                                  <w:spacing w:after="0" w:line="192" w:lineRule="auto"/>
                                  <w:rPr>
                                    <w:rFonts w:ascii="Arial" w:hAnsi="Arial" w:cs="Arial"/>
                                    <w:color w:val="000000" w:themeColor="text1"/>
                                    <w:sz w:val="20"/>
                                    <w:szCs w:val="20"/>
                                  </w:rPr>
                                </w:pPr>
                                <w:r w:rsidRPr="00087B72">
                                  <w:rPr>
                                    <w:rFonts w:ascii="Arial" w:hAnsi="Arial" w:cs="Arial"/>
                                    <w:color w:val="000000" w:themeColor="text1"/>
                                    <w:sz w:val="20"/>
                                    <w:szCs w:val="20"/>
                                  </w:rPr>
                                  <w:t>Optimise supply including product innovation and supply chain efficiencies</w:t>
                                </w:r>
                                <w:r w:rsidRPr="007A4BC4" w:rsidDel="00497D8D">
                                  <w:rPr>
                                    <w:rFonts w:ascii="Arial" w:hAnsi="Arial" w:cs="Arial"/>
                                    <w:color w:val="000000" w:themeColor="text1"/>
                                    <w:sz w:val="20"/>
                                    <w:szCs w:val="20"/>
                                  </w:rPr>
                                  <w:t xml:space="preserve"> </w:t>
                                </w:r>
                              </w:p>
                            </w:txbxContent>
                          </wps:txbx>
                          <wps:bodyPr rot="0" spcFirstLastPara="0" vertOverflow="overflow" horzOverflow="overflow" vert="horz" wrap="square" lIns="576000" tIns="0" rIns="0" bIns="0" numCol="1" spcCol="0" rtlCol="0" fromWordArt="0" anchor="ctr" anchorCtr="0" forceAA="0" compatLnSpc="1">
                            <a:prstTxWarp prst="textNoShape">
                              <a:avLst/>
                            </a:prstTxWarp>
                            <a:noAutofit/>
                          </wps:bodyPr>
                        </wps:wsp>
                        <wps:wsp>
                          <wps:cNvPr id="87" name="Rectangle: Rounded Corners 87"/>
                          <wps:cNvSpPr/>
                          <wps:spPr>
                            <a:xfrm>
                              <a:off x="0" y="974272"/>
                              <a:ext cx="5760720" cy="411480"/>
                            </a:xfrm>
                            <a:prstGeom prst="roundRect">
                              <a:avLst>
                                <a:gd name="adj" fmla="val 50000"/>
                              </a:avLst>
                            </a:prstGeom>
                            <a:noFill/>
                            <a:ln w="19050">
                              <a:solidFill>
                                <a:srgbClr val="F2646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2BDBE" w14:textId="77777777" w:rsidR="008C5E16" w:rsidRPr="007A4BC4" w:rsidRDefault="008C5E16" w:rsidP="002E3A9E">
                                <w:pPr>
                                  <w:spacing w:after="0"/>
                                  <w:rPr>
                                    <w:rFonts w:ascii="Arial" w:hAnsi="Arial" w:cs="Arial"/>
                                    <w:color w:val="000000" w:themeColor="text1"/>
                                    <w:sz w:val="20"/>
                                    <w:szCs w:val="20"/>
                                  </w:rPr>
                                </w:pPr>
                                <w:r w:rsidRPr="007A4BC4">
                                  <w:rPr>
                                    <w:rFonts w:ascii="Arial" w:hAnsi="Arial" w:cs="Arial"/>
                                    <w:color w:val="000000" w:themeColor="text1"/>
                                    <w:sz w:val="20"/>
                                    <w:szCs w:val="20"/>
                                  </w:rPr>
                                  <w:t>Reduce donor and patient adverse events</w:t>
                                </w:r>
                              </w:p>
                            </w:txbxContent>
                          </wps:txbx>
                          <wps:bodyPr rot="0" spcFirstLastPara="0" vertOverflow="overflow" horzOverflow="overflow" vert="horz" wrap="square" lIns="576000" tIns="0" rIns="0" bIns="0" numCol="1" spcCol="0" rtlCol="0" fromWordArt="0" anchor="ctr" anchorCtr="0" forceAA="0" compatLnSpc="1">
                            <a:prstTxWarp prst="textNoShape">
                              <a:avLst/>
                            </a:prstTxWarp>
                            <a:noAutofit/>
                          </wps:bodyPr>
                        </wps:wsp>
                        <wps:wsp>
                          <wps:cNvPr id="88" name="Rectangle: Rounded Corners 88"/>
                          <wps:cNvSpPr/>
                          <wps:spPr>
                            <a:xfrm>
                              <a:off x="0" y="1799670"/>
                              <a:ext cx="5760720" cy="411480"/>
                            </a:xfrm>
                            <a:prstGeom prst="roundRect">
                              <a:avLst>
                                <a:gd name="adj" fmla="val 50000"/>
                              </a:avLst>
                            </a:prstGeom>
                            <a:noFill/>
                            <a:ln w="19050">
                              <a:solidFill>
                                <a:srgbClr val="F2646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61BDB" w14:textId="17F6EB3D" w:rsidR="008C5E16" w:rsidRPr="007A4BC4" w:rsidRDefault="008C5E16" w:rsidP="002E3A9E">
                                <w:pPr>
                                  <w:spacing w:after="0"/>
                                  <w:rPr>
                                    <w:rFonts w:ascii="Arial" w:hAnsi="Arial" w:cs="Arial"/>
                                    <w:color w:val="000000" w:themeColor="text1"/>
                                    <w:sz w:val="20"/>
                                    <w:szCs w:val="20"/>
                                  </w:rPr>
                                </w:pPr>
                                <w:r>
                                  <w:rPr>
                                    <w:rFonts w:ascii="Arial" w:hAnsi="Arial" w:cs="Arial"/>
                                    <w:color w:val="000000" w:themeColor="text1"/>
                                    <w:sz w:val="20"/>
                                    <w:szCs w:val="20"/>
                                  </w:rPr>
                                  <w:t>Improved data collection, accuracy and sharing</w:t>
                                </w:r>
                              </w:p>
                            </w:txbxContent>
                          </wps:txbx>
                          <wps:bodyPr rot="0" spcFirstLastPara="0" vertOverflow="overflow" horzOverflow="overflow" vert="horz" wrap="square" lIns="576000" tIns="0" rIns="0" bIns="0" numCol="1" spcCol="0" rtlCol="0" fromWordArt="0" anchor="ctr" anchorCtr="0" forceAA="0" compatLnSpc="1">
                            <a:prstTxWarp prst="textNoShape">
                              <a:avLst/>
                            </a:prstTxWarp>
                            <a:noAutofit/>
                          </wps:bodyPr>
                        </wps:wsp>
                        <wps:wsp>
                          <wps:cNvPr id="89" name="Rectangle: Rounded Corners 89"/>
                          <wps:cNvSpPr/>
                          <wps:spPr>
                            <a:xfrm>
                              <a:off x="0" y="2277535"/>
                              <a:ext cx="5760720" cy="411480"/>
                            </a:xfrm>
                            <a:prstGeom prst="roundRect">
                              <a:avLst>
                                <a:gd name="adj" fmla="val 50000"/>
                              </a:avLst>
                            </a:prstGeom>
                            <a:noFill/>
                            <a:ln w="19050">
                              <a:solidFill>
                                <a:srgbClr val="F2646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787BD" w14:textId="24B1967B" w:rsidR="008C5E16" w:rsidRPr="007A4BC4" w:rsidRDefault="008C5E16" w:rsidP="002E3A9E">
                                <w:pPr>
                                  <w:spacing w:after="0"/>
                                  <w:rPr>
                                    <w:rFonts w:ascii="Arial" w:hAnsi="Arial" w:cs="Arial"/>
                                    <w:color w:val="000000" w:themeColor="text1"/>
                                    <w:sz w:val="20"/>
                                    <w:szCs w:val="20"/>
                                  </w:rPr>
                                </w:pPr>
                                <w:r>
                                  <w:rPr>
                                    <w:rFonts w:ascii="Arial" w:hAnsi="Arial" w:cs="Arial"/>
                                    <w:color w:val="000000" w:themeColor="text1"/>
                                    <w:sz w:val="20"/>
                                    <w:szCs w:val="20"/>
                                  </w:rPr>
                                  <w:t>Optimised health service delivery to best meet patient needs</w:t>
                                </w:r>
                              </w:p>
                            </w:txbxContent>
                          </wps:txbx>
                          <wps:bodyPr rot="0" spcFirstLastPara="0" vertOverflow="overflow" horzOverflow="overflow" vert="horz" wrap="square" lIns="576000" tIns="0" rIns="0" bIns="0" numCol="1" spcCol="0" rtlCol="0" fromWordArt="0" anchor="ctr" anchorCtr="0" forceAA="0" compatLnSpc="1">
                            <a:prstTxWarp prst="textNoShape">
                              <a:avLst/>
                            </a:prstTxWarp>
                            <a:noAutofit/>
                          </wps:bodyPr>
                        </wps:wsp>
                      </wpg:grpSp>
                      <wps:wsp>
                        <wps:cNvPr id="90" name="Oval 90"/>
                        <wps:cNvSpPr/>
                        <wps:spPr>
                          <a:xfrm>
                            <a:off x="0" y="3337"/>
                            <a:ext cx="410400" cy="410400"/>
                          </a:xfrm>
                          <a:prstGeom prst="ellipse">
                            <a:avLst/>
                          </a:prstGeom>
                          <a:solidFill>
                            <a:srgbClr val="F264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AF15C8" w14:textId="77777777" w:rsidR="008C5E16" w:rsidRPr="007A4BC4" w:rsidRDefault="008C5E16" w:rsidP="002E3A9E">
                              <w:pPr>
                                <w:jc w:val="center"/>
                                <w:rPr>
                                  <w:rFonts w:ascii="Arial" w:hAnsi="Arial" w:cs="Arial"/>
                                  <w:b/>
                                  <w:bCs/>
                                </w:rPr>
                              </w:pPr>
                              <w:r w:rsidRPr="007A4BC4">
                                <w:rPr>
                                  <w:rFonts w:ascii="Arial" w:hAnsi="Arial" w:cs="Arial"/>
                                  <w:b/>
                                  <w:bC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Oval 91"/>
                        <wps:cNvSpPr/>
                        <wps:spPr>
                          <a:xfrm>
                            <a:off x="0" y="490572"/>
                            <a:ext cx="410400" cy="410400"/>
                          </a:xfrm>
                          <a:prstGeom prst="ellipse">
                            <a:avLst/>
                          </a:prstGeom>
                          <a:solidFill>
                            <a:srgbClr val="F264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E3755F" w14:textId="77777777" w:rsidR="008C5E16" w:rsidRPr="007A4BC4" w:rsidRDefault="008C5E16" w:rsidP="002E3A9E">
                              <w:pPr>
                                <w:jc w:val="center"/>
                                <w:rPr>
                                  <w:rFonts w:ascii="Arial" w:hAnsi="Arial" w:cs="Arial"/>
                                  <w:b/>
                                  <w:bCs/>
                                </w:rPr>
                              </w:pPr>
                              <w:r w:rsidRPr="007A4BC4">
                                <w:rPr>
                                  <w:rFonts w:ascii="Arial" w:hAnsi="Arial" w:cs="Arial"/>
                                  <w:b/>
                                  <w:bC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Oval 92"/>
                        <wps:cNvSpPr/>
                        <wps:spPr>
                          <a:xfrm>
                            <a:off x="0" y="974470"/>
                            <a:ext cx="410400" cy="410400"/>
                          </a:xfrm>
                          <a:prstGeom prst="ellipse">
                            <a:avLst/>
                          </a:prstGeom>
                          <a:solidFill>
                            <a:srgbClr val="F264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1A7D93" w14:textId="77777777" w:rsidR="008C5E16" w:rsidRPr="007A4BC4" w:rsidRDefault="008C5E16" w:rsidP="002E3A9E">
                              <w:pPr>
                                <w:jc w:val="center"/>
                                <w:rPr>
                                  <w:rFonts w:ascii="Arial" w:hAnsi="Arial" w:cs="Arial"/>
                                  <w:b/>
                                  <w:bCs/>
                                </w:rPr>
                              </w:pPr>
                              <w:r w:rsidRPr="007A4BC4">
                                <w:rPr>
                                  <w:rFonts w:ascii="Arial" w:hAnsi="Arial" w:cs="Arial"/>
                                  <w:b/>
                                  <w:bC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Oval 93"/>
                        <wps:cNvSpPr/>
                        <wps:spPr>
                          <a:xfrm>
                            <a:off x="0" y="1799670"/>
                            <a:ext cx="410400" cy="410400"/>
                          </a:xfrm>
                          <a:prstGeom prst="ellipse">
                            <a:avLst/>
                          </a:prstGeom>
                          <a:solidFill>
                            <a:srgbClr val="F264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055DB" w14:textId="4BE6A375" w:rsidR="008C5E16" w:rsidRPr="007A4BC4" w:rsidRDefault="008C5E16" w:rsidP="002E3A9E">
                              <w:pPr>
                                <w:jc w:val="center"/>
                                <w:rPr>
                                  <w:rFonts w:ascii="Arial" w:hAnsi="Arial" w:cs="Arial"/>
                                  <w:b/>
                                  <w:bCs/>
                                </w:rPr>
                              </w:pPr>
                              <w:r>
                                <w:rPr>
                                  <w:rFonts w:ascii="Arial" w:hAnsi="Arial" w:cs="Arial"/>
                                  <w:b/>
                                  <w:bC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Oval 94"/>
                        <wps:cNvSpPr/>
                        <wps:spPr>
                          <a:xfrm>
                            <a:off x="6676" y="2272047"/>
                            <a:ext cx="410400" cy="410400"/>
                          </a:xfrm>
                          <a:prstGeom prst="ellipse">
                            <a:avLst/>
                          </a:prstGeom>
                          <a:solidFill>
                            <a:srgbClr val="F264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FA8A26" w14:textId="6A1990E0" w:rsidR="008C5E16" w:rsidRPr="007A4BC4" w:rsidRDefault="008C5E16" w:rsidP="002E3A9E">
                              <w:pPr>
                                <w:jc w:val="center"/>
                                <w:rPr>
                                  <w:rFonts w:ascii="Arial" w:hAnsi="Arial" w:cs="Arial"/>
                                  <w:b/>
                                  <w:bCs/>
                                </w:rPr>
                              </w:pPr>
                              <w:r>
                                <w:rPr>
                                  <w:rFonts w:ascii="Arial" w:hAnsi="Arial" w:cs="Arial"/>
                                  <w:b/>
                                  <w:bC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D0DAE3E" id="Group 83" o:spid="_x0000_s1027" alt="2021-27 Priorities:&#10;1. Ensure the optimal use of blood and blood products&#10;&#10;2. Ensure the sustainability of supply and realise supply chain efficiencies with a focus on contingency planning&#10;&#10;3. Reduce donor and patient adverse events&#10;&#10;4. Optimise health and service delivery to best meet patient needs&#10;&#10;5. Strengthen data collection, accuracy and sharing" style="position:absolute;margin-left:0;margin-top:28.3pt;width:453.55pt;height:211.6pt;z-index:251642368;mso-position-horizontal-relative:margin;mso-height-relative:margin" coordsize="57607,26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">
                <v:group id="Group 84" o:spid="_x0000_s1028" style="position:absolute;width:57607;height:26890" coordsize="57607,2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oundrect id="Rectangle: Rounded Corners 85" o:spid="_x0000_s1029" style="position:absolute;width:57607;height:411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" filled="f" strokecolor="#f26464" strokeweight="1.5pt">
                    <v:stroke joinstyle="miter"/>
                    <v:textbox inset="16mm,0,0,0">
                      <w:txbxContent>
                        <w:p w14:paraId="15B15BBC" w14:textId="64DC6C2F" w:rsidR="008C5E16" w:rsidRPr="007A4BC4" w:rsidRDefault="008C5E16" w:rsidP="002E3A9E">
                          <w:pPr>
                            <w:spacing w:after="0"/>
                            <w:rPr>
                              <w:rFonts w:ascii="Arial" w:hAnsi="Arial" w:cs="Arial"/>
                              <w:color w:val="000000" w:themeColor="text1"/>
                              <w:sz w:val="20"/>
                              <w:szCs w:val="20"/>
                            </w:rPr>
                          </w:pPr>
                          <w:r w:rsidRPr="00087B72">
                            <w:rPr>
                              <w:rFonts w:ascii="Arial" w:hAnsi="Arial" w:cs="Arial"/>
                              <w:color w:val="000000" w:themeColor="text1"/>
                              <w:sz w:val="20"/>
                              <w:szCs w:val="20"/>
                            </w:rPr>
                            <w:t>Optimise the use of blood and blood products</w:t>
                          </w:r>
                          <w:r w:rsidRPr="007A4BC4" w:rsidDel="000112AD">
                            <w:rPr>
                              <w:rFonts w:ascii="Arial" w:hAnsi="Arial" w:cs="Arial"/>
                              <w:color w:val="000000" w:themeColor="text1"/>
                              <w:sz w:val="20"/>
                              <w:szCs w:val="20"/>
                            </w:rPr>
                            <w:t xml:space="preserve"> </w:t>
                          </w:r>
                        </w:p>
                      </w:txbxContent>
                    </v:textbox>
                  </v:roundrect>
                  <v:roundrect id="Rectangle: Rounded Corners 86" o:spid="_x0000_s1030" style="position:absolute;top:4898;width:57607;height:411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" filled="f" strokecolor="#f26464" strokeweight="1.5pt">
                    <v:stroke joinstyle="miter"/>
                    <v:textbox inset="16mm,0,0,0">
                      <w:txbxContent>
                        <w:p w14:paraId="5018FB6F" w14:textId="6A4FF1AA" w:rsidR="008C5E16" w:rsidRPr="007A4BC4" w:rsidRDefault="008C5E16" w:rsidP="002E3A9E">
                          <w:pPr>
                            <w:spacing w:after="0" w:line="192" w:lineRule="auto"/>
                            <w:rPr>
                              <w:rFonts w:ascii="Arial" w:hAnsi="Arial" w:cs="Arial"/>
                              <w:color w:val="000000" w:themeColor="text1"/>
                              <w:sz w:val="20"/>
                              <w:szCs w:val="20"/>
                            </w:rPr>
                          </w:pPr>
                          <w:r w:rsidRPr="00087B72">
                            <w:rPr>
                              <w:rFonts w:ascii="Arial" w:hAnsi="Arial" w:cs="Arial"/>
                              <w:color w:val="000000" w:themeColor="text1"/>
                              <w:sz w:val="20"/>
                              <w:szCs w:val="20"/>
                            </w:rPr>
                            <w:t>Optimise supply including product innovation and supply chain efficiencies</w:t>
                          </w:r>
                          <w:r w:rsidRPr="007A4BC4" w:rsidDel="00497D8D">
                            <w:rPr>
                              <w:rFonts w:ascii="Arial" w:hAnsi="Arial" w:cs="Arial"/>
                              <w:color w:val="000000" w:themeColor="text1"/>
                              <w:sz w:val="20"/>
                              <w:szCs w:val="20"/>
                            </w:rPr>
                            <w:t xml:space="preserve"> </w:t>
                          </w:r>
                        </w:p>
                      </w:txbxContent>
                    </v:textbox>
                  </v:roundrect>
                  <v:roundrect id="Rectangle: Rounded Corners 87" o:spid="_x0000_s1031" style="position:absolute;top:9742;width:57607;height:411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" filled="f" strokecolor="#f26464" strokeweight="1.5pt">
                    <v:stroke joinstyle="miter"/>
                    <v:textbox inset="16mm,0,0,0">
                      <w:txbxContent>
                        <w:p w14:paraId="6972BDBE" w14:textId="77777777" w:rsidR="008C5E16" w:rsidRPr="007A4BC4" w:rsidRDefault="008C5E16" w:rsidP="002E3A9E">
                          <w:pPr>
                            <w:spacing w:after="0"/>
                            <w:rPr>
                              <w:rFonts w:ascii="Arial" w:hAnsi="Arial" w:cs="Arial"/>
                              <w:color w:val="000000" w:themeColor="text1"/>
                              <w:sz w:val="20"/>
                              <w:szCs w:val="20"/>
                            </w:rPr>
                          </w:pPr>
                          <w:r w:rsidRPr="007A4BC4">
                            <w:rPr>
                              <w:rFonts w:ascii="Arial" w:hAnsi="Arial" w:cs="Arial"/>
                              <w:color w:val="000000" w:themeColor="text1"/>
                              <w:sz w:val="20"/>
                              <w:szCs w:val="20"/>
                            </w:rPr>
                            <w:t>Reduce donor and patient adverse events</w:t>
                          </w:r>
                        </w:p>
                      </w:txbxContent>
                    </v:textbox>
                  </v:roundrect>
                  <v:roundrect id="Rectangle: Rounded Corners 88" o:spid="_x0000_s1032" style="position:absolute;top:17996;width:57607;height:411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" filled="f" strokecolor="#f26464" strokeweight="1.5pt">
                    <v:stroke joinstyle="miter"/>
                    <v:textbox inset="16mm,0,0,0">
                      <w:txbxContent>
                        <w:p w14:paraId="71E61BDB" w14:textId="17F6EB3D" w:rsidR="008C5E16" w:rsidRPr="007A4BC4" w:rsidRDefault="008C5E16" w:rsidP="002E3A9E">
                          <w:pPr>
                            <w:spacing w:after="0"/>
                            <w:rPr>
                              <w:rFonts w:ascii="Arial" w:hAnsi="Arial" w:cs="Arial"/>
                              <w:color w:val="000000" w:themeColor="text1"/>
                              <w:sz w:val="20"/>
                              <w:szCs w:val="20"/>
                            </w:rPr>
                          </w:pPr>
                          <w:r>
                            <w:rPr>
                              <w:rFonts w:ascii="Arial" w:hAnsi="Arial" w:cs="Arial"/>
                              <w:color w:val="000000" w:themeColor="text1"/>
                              <w:sz w:val="20"/>
                              <w:szCs w:val="20"/>
                            </w:rPr>
                            <w:t>Improved data collection, accuracy and sharing</w:t>
                          </w:r>
                        </w:p>
                      </w:txbxContent>
                    </v:textbox>
                  </v:roundrect>
                  <v:roundrect id="Rectangle: Rounded Corners 89" o:spid="_x0000_s1033" style="position:absolute;top:22775;width:57607;height:411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" filled="f" strokecolor="#f26464" strokeweight="1.5pt">
                    <v:stroke joinstyle="miter"/>
                    <v:textbox inset="16mm,0,0,0">
                      <w:txbxContent>
                        <w:p w14:paraId="23C787BD" w14:textId="24B1967B" w:rsidR="008C5E16" w:rsidRPr="007A4BC4" w:rsidRDefault="008C5E16" w:rsidP="002E3A9E">
                          <w:pPr>
                            <w:spacing w:after="0"/>
                            <w:rPr>
                              <w:rFonts w:ascii="Arial" w:hAnsi="Arial" w:cs="Arial"/>
                              <w:color w:val="000000" w:themeColor="text1"/>
                              <w:sz w:val="20"/>
                              <w:szCs w:val="20"/>
                            </w:rPr>
                          </w:pPr>
                          <w:r>
                            <w:rPr>
                              <w:rFonts w:ascii="Arial" w:hAnsi="Arial" w:cs="Arial"/>
                              <w:color w:val="000000" w:themeColor="text1"/>
                              <w:sz w:val="20"/>
                              <w:szCs w:val="20"/>
                            </w:rPr>
                            <w:t>Optimised health service delivery to best meet patient needs</w:t>
                          </w:r>
                        </w:p>
                      </w:txbxContent>
                    </v:textbox>
                  </v:roundrect>
                </v:group>
                <v:oval id="Oval 90" o:spid="_x0000_s1034" style="position:absolute;top:33;width:4104;height:4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" fillcolor="#f26464" stroked="f" strokeweight="1pt">
                  <v:stroke joinstyle="miter"/>
                  <v:textbox>
                    <w:txbxContent>
                      <w:p w14:paraId="38AF15C8" w14:textId="77777777" w:rsidR="008C5E16" w:rsidRPr="007A4BC4" w:rsidRDefault="008C5E16" w:rsidP="002E3A9E">
                        <w:pPr>
                          <w:jc w:val="center"/>
                          <w:rPr>
                            <w:rFonts w:ascii="Arial" w:hAnsi="Arial" w:cs="Arial"/>
                            <w:b/>
                            <w:bCs/>
                          </w:rPr>
                        </w:pPr>
                        <w:r w:rsidRPr="007A4BC4">
                          <w:rPr>
                            <w:rFonts w:ascii="Arial" w:hAnsi="Arial" w:cs="Arial"/>
                            <w:b/>
                            <w:bCs/>
                          </w:rPr>
                          <w:t>1</w:t>
                        </w:r>
                      </w:p>
                    </w:txbxContent>
                  </v:textbox>
                </v:oval>
                <v:oval id="Oval 91" o:spid="_x0000_s1035" style="position:absolute;top:4905;width:4104;height:4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" fillcolor="#f26464" stroked="f" strokeweight="1pt">
                  <v:stroke joinstyle="miter"/>
                  <v:textbox>
                    <w:txbxContent>
                      <w:p w14:paraId="2FE3755F" w14:textId="77777777" w:rsidR="008C5E16" w:rsidRPr="007A4BC4" w:rsidRDefault="008C5E16" w:rsidP="002E3A9E">
                        <w:pPr>
                          <w:jc w:val="center"/>
                          <w:rPr>
                            <w:rFonts w:ascii="Arial" w:hAnsi="Arial" w:cs="Arial"/>
                            <w:b/>
                            <w:bCs/>
                          </w:rPr>
                        </w:pPr>
                        <w:r w:rsidRPr="007A4BC4">
                          <w:rPr>
                            <w:rFonts w:ascii="Arial" w:hAnsi="Arial" w:cs="Arial"/>
                            <w:b/>
                            <w:bCs/>
                          </w:rPr>
                          <w:t>2</w:t>
                        </w:r>
                      </w:p>
                    </w:txbxContent>
                  </v:textbox>
                </v:oval>
                <v:oval id="Oval 92" o:spid="_x0000_s1036" style="position:absolute;top:9744;width:4104;height:4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" fillcolor="#f26464" stroked="f" strokeweight="1pt">
                  <v:stroke joinstyle="miter"/>
                  <v:textbox>
                    <w:txbxContent>
                      <w:p w14:paraId="441A7D93" w14:textId="77777777" w:rsidR="008C5E16" w:rsidRPr="007A4BC4" w:rsidRDefault="008C5E16" w:rsidP="002E3A9E">
                        <w:pPr>
                          <w:jc w:val="center"/>
                          <w:rPr>
                            <w:rFonts w:ascii="Arial" w:hAnsi="Arial" w:cs="Arial"/>
                            <w:b/>
                            <w:bCs/>
                          </w:rPr>
                        </w:pPr>
                        <w:r w:rsidRPr="007A4BC4">
                          <w:rPr>
                            <w:rFonts w:ascii="Arial" w:hAnsi="Arial" w:cs="Arial"/>
                            <w:b/>
                            <w:bCs/>
                          </w:rPr>
                          <w:t>3</w:t>
                        </w:r>
                      </w:p>
                    </w:txbxContent>
                  </v:textbox>
                </v:oval>
                <v:oval id="Oval 93" o:spid="_x0000_s1037" style="position:absolute;top:17996;width:4104;height:4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" fillcolor="#f26464" stroked="f" strokeweight="1pt">
                  <v:stroke joinstyle="miter"/>
                  <v:textbox>
                    <w:txbxContent>
                      <w:p w14:paraId="475055DB" w14:textId="4BE6A375" w:rsidR="008C5E16" w:rsidRPr="007A4BC4" w:rsidRDefault="008C5E16" w:rsidP="002E3A9E">
                        <w:pPr>
                          <w:jc w:val="center"/>
                          <w:rPr>
                            <w:rFonts w:ascii="Arial" w:hAnsi="Arial" w:cs="Arial"/>
                            <w:b/>
                            <w:bCs/>
                          </w:rPr>
                        </w:pPr>
                        <w:r>
                          <w:rPr>
                            <w:rFonts w:ascii="Arial" w:hAnsi="Arial" w:cs="Arial"/>
                            <w:b/>
                            <w:bCs/>
                          </w:rPr>
                          <w:t>1</w:t>
                        </w:r>
                      </w:p>
                    </w:txbxContent>
                  </v:textbox>
                </v:oval>
                <v:oval id="Oval 94" o:spid="_x0000_s1038" style="position:absolute;left:66;top:22720;width:4104;height:4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" fillcolor="#f26464" stroked="f" strokeweight="1pt">
                  <v:stroke joinstyle="miter"/>
                  <v:textbox>
                    <w:txbxContent>
                      <w:p w14:paraId="6FFA8A26" w14:textId="6A1990E0" w:rsidR="008C5E16" w:rsidRPr="007A4BC4" w:rsidRDefault="008C5E16" w:rsidP="002E3A9E">
                        <w:pPr>
                          <w:jc w:val="center"/>
                          <w:rPr>
                            <w:rFonts w:ascii="Arial" w:hAnsi="Arial" w:cs="Arial"/>
                            <w:b/>
                            <w:bCs/>
                          </w:rPr>
                        </w:pPr>
                        <w:r>
                          <w:rPr>
                            <w:rFonts w:ascii="Arial" w:hAnsi="Arial" w:cs="Arial"/>
                            <w:b/>
                            <w:bCs/>
                          </w:rPr>
                          <w:t>2</w:t>
                        </w:r>
                      </w:p>
                    </w:txbxContent>
                  </v:textbox>
                </v:oval>
                <w10:wrap type="topAndBottom" anchorx="margin"/>
              </v:group>
            </w:pict>
          </mc:Fallback>
        </mc:AlternateContent>
      </w:r>
      <w:r w:rsidR="00915A75" w:rsidRPr="00A11994">
        <w:rPr>
          <w:noProof/>
        </w:rPr>
        <mc:AlternateContent>
          <mc:Choice Requires="wps">
            <w:drawing>
              <wp:anchor distT="45720" distB="45720" distL="114300" distR="114300" simplePos="0" relativeHeight="251672064" behindDoc="0" locked="0" layoutInCell="1" allowOverlap="1" wp14:anchorId="51ABA1D5" wp14:editId="62AFE618">
                <wp:simplePos x="0" y="0"/>
                <wp:positionH relativeFrom="column">
                  <wp:posOffset>-18397</wp:posOffset>
                </wp:positionH>
                <wp:positionV relativeFrom="paragraph">
                  <wp:posOffset>1795145</wp:posOffset>
                </wp:positionV>
                <wp:extent cx="2360930" cy="299720"/>
                <wp:effectExtent l="0" t="0" r="127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9720"/>
                        </a:xfrm>
                        <a:prstGeom prst="rect">
                          <a:avLst/>
                        </a:prstGeom>
                        <a:solidFill>
                          <a:srgbClr val="FFFFFF"/>
                        </a:solidFill>
                        <a:ln w="9525">
                          <a:noFill/>
                          <a:miter lim="800000"/>
                          <a:headEnd/>
                          <a:tailEnd/>
                        </a:ln>
                      </wps:spPr>
                      <wps:txbx>
                        <w:txbxContent>
                          <w:p w14:paraId="506A0E9F" w14:textId="762253DF" w:rsidR="008C5E16" w:rsidRPr="00087B72" w:rsidRDefault="008C5E16">
                            <w:pPr>
                              <w:rPr>
                                <w:rFonts w:ascii="Arial" w:hAnsi="Arial" w:cs="Arial"/>
                                <w:b/>
                                <w:bCs/>
                              </w:rPr>
                            </w:pPr>
                            <w:r w:rsidRPr="00087B72">
                              <w:rPr>
                                <w:rFonts w:ascii="Arial" w:hAnsi="Arial" w:cs="Arial"/>
                                <w:b/>
                                <w:bCs/>
                              </w:rPr>
                              <w:t>Enablers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ABA1D5" id="Text Box 2" o:spid="_x0000_s1039" type="#_x0000_t202" style="position:absolute;margin-left:-1.45pt;margin-top:141.35pt;width:185.9pt;height:23.6pt;z-index:2516720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" stroked="f">
                <v:textbox>
                  <w:txbxContent>
                    <w:p w14:paraId="506A0E9F" w14:textId="762253DF" w:rsidR="008C5E16" w:rsidRPr="00087B72" w:rsidRDefault="008C5E16">
                      <w:pPr>
                        <w:rPr>
                          <w:rFonts w:ascii="Arial" w:hAnsi="Arial" w:cs="Arial"/>
                          <w:b/>
                          <w:bCs/>
                        </w:rPr>
                      </w:pPr>
                      <w:r w:rsidRPr="00087B72">
                        <w:rPr>
                          <w:rFonts w:ascii="Arial" w:hAnsi="Arial" w:cs="Arial"/>
                          <w:b/>
                          <w:bCs/>
                        </w:rPr>
                        <w:t>Enablers</w:t>
                      </w:r>
                    </w:p>
                  </w:txbxContent>
                </v:textbox>
                <w10:wrap type="square"/>
              </v:shape>
            </w:pict>
          </mc:Fallback>
        </mc:AlternateContent>
      </w:r>
      <w:r w:rsidR="00EF6B22" w:rsidRPr="005D37A4">
        <w:t xml:space="preserve"> </w:t>
      </w:r>
      <w:r w:rsidR="00915A75" w:rsidRPr="00087B72">
        <w:rPr>
          <w:rFonts w:ascii="Arial" w:hAnsi="Arial" w:cs="Arial"/>
          <w:b/>
          <w:bCs/>
        </w:rPr>
        <w:t>Priorities</w:t>
      </w:r>
    </w:p>
    <w:p w14:paraId="7E7FAFF0" w14:textId="34F42FC1" w:rsidR="00ED62AF" w:rsidRPr="005D37A4" w:rsidRDefault="00356AAC" w:rsidP="00087B72">
      <w:bookmarkStart w:id="10" w:name="_Toc79570820"/>
      <w:r w:rsidRPr="00A11994">
        <w:rPr>
          <w:noProof/>
        </w:rPr>
        <mc:AlternateContent>
          <mc:Choice Requires="wps">
            <w:drawing>
              <wp:anchor distT="0" distB="0" distL="114300" distR="114300" simplePos="0" relativeHeight="251674112" behindDoc="0" locked="0" layoutInCell="1" allowOverlap="1" wp14:anchorId="28ADA5C4" wp14:editId="2670FE93">
                <wp:simplePos x="0" y="0"/>
                <wp:positionH relativeFrom="column">
                  <wp:posOffset>7821</wp:posOffset>
                </wp:positionH>
                <wp:positionV relativeFrom="paragraph">
                  <wp:posOffset>2844369</wp:posOffset>
                </wp:positionV>
                <wp:extent cx="410355" cy="410146"/>
                <wp:effectExtent l="0" t="0" r="0" b="0"/>
                <wp:wrapNone/>
                <wp:docPr id="26" name="Oval 26"/>
                <wp:cNvGraphicFramePr/>
                <a:graphic xmlns:a="http://schemas.openxmlformats.org/drawingml/2006/main">
                  <a:graphicData uri="http://schemas.microsoft.com/office/word/2010/wordprocessingShape">
                    <wps:wsp>
                      <wps:cNvSpPr/>
                      <wps:spPr>
                        <a:xfrm>
                          <a:off x="0" y="0"/>
                          <a:ext cx="410355" cy="410146"/>
                        </a:xfrm>
                        <a:prstGeom prst="ellipse">
                          <a:avLst/>
                        </a:prstGeom>
                        <a:solidFill>
                          <a:srgbClr val="F264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8B03B" w14:textId="04484DC7" w:rsidR="008C5E16" w:rsidRPr="007A4BC4" w:rsidRDefault="008C5E16" w:rsidP="00ED62AF">
                            <w:pPr>
                              <w:jc w:val="center"/>
                              <w:rPr>
                                <w:rFonts w:ascii="Arial" w:hAnsi="Arial" w:cs="Arial"/>
                                <w:b/>
                                <w:bCs/>
                              </w:rPr>
                            </w:pPr>
                            <w:r>
                              <w:rPr>
                                <w:rFonts w:ascii="Arial" w:hAnsi="Arial" w:cs="Arial"/>
                                <w:b/>
                                <w:bC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ADA5C4" id="Oval 26" o:spid="_x0000_s1040" style="position:absolute;margin-left:.6pt;margin-top:223.95pt;width:32.3pt;height:32.3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" fillcolor="#f26464" stroked="f" strokeweight="1pt">
                <v:stroke joinstyle="miter"/>
                <v:textbox>
                  <w:txbxContent>
                    <w:p w14:paraId="6428B03B" w14:textId="04484DC7" w:rsidR="008C5E16" w:rsidRPr="007A4BC4" w:rsidRDefault="008C5E16" w:rsidP="00ED62AF">
                      <w:pPr>
                        <w:jc w:val="center"/>
                        <w:rPr>
                          <w:rFonts w:ascii="Arial" w:hAnsi="Arial" w:cs="Arial"/>
                          <w:b/>
                          <w:bCs/>
                        </w:rPr>
                      </w:pPr>
                      <w:r>
                        <w:rPr>
                          <w:rFonts w:ascii="Arial" w:hAnsi="Arial" w:cs="Arial"/>
                          <w:b/>
                          <w:bCs/>
                        </w:rPr>
                        <w:t>3</w:t>
                      </w:r>
                    </w:p>
                  </w:txbxContent>
                </v:textbox>
              </v:oval>
            </w:pict>
          </mc:Fallback>
        </mc:AlternateContent>
      </w:r>
      <w:r w:rsidRPr="00A11994">
        <w:rPr>
          <w:noProof/>
        </w:rPr>
        <mc:AlternateContent>
          <mc:Choice Requires="wps">
            <w:drawing>
              <wp:anchor distT="0" distB="0" distL="114300" distR="114300" simplePos="0" relativeHeight="251673088" behindDoc="0" locked="0" layoutInCell="1" allowOverlap="1" wp14:anchorId="2208684E" wp14:editId="74BE420F">
                <wp:simplePos x="0" y="0"/>
                <wp:positionH relativeFrom="column">
                  <wp:posOffset>0</wp:posOffset>
                </wp:positionH>
                <wp:positionV relativeFrom="paragraph">
                  <wp:posOffset>2842788</wp:posOffset>
                </wp:positionV>
                <wp:extent cx="5760085" cy="411225"/>
                <wp:effectExtent l="0" t="0" r="0" b="0"/>
                <wp:wrapNone/>
                <wp:docPr id="24" name="Rectangle: Rounded Corners 24"/>
                <wp:cNvGraphicFramePr/>
                <a:graphic xmlns:a="http://schemas.openxmlformats.org/drawingml/2006/main">
                  <a:graphicData uri="http://schemas.microsoft.com/office/word/2010/wordprocessingShape">
                    <wps:wsp>
                      <wps:cNvSpPr/>
                      <wps:spPr>
                        <a:xfrm>
                          <a:off x="0" y="0"/>
                          <a:ext cx="5760085" cy="411225"/>
                        </a:xfrm>
                        <a:prstGeom prst="roundRect">
                          <a:avLst>
                            <a:gd name="adj" fmla="val 50000"/>
                          </a:avLst>
                        </a:prstGeom>
                        <a:noFill/>
                        <a:ln w="19050">
                          <a:solidFill>
                            <a:srgbClr val="F2646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753B1" w14:textId="71D7C540" w:rsidR="008C5E16" w:rsidRPr="007A4BC4" w:rsidRDefault="008C5E16" w:rsidP="00ED62AF">
                            <w:pPr>
                              <w:spacing w:after="0"/>
                              <w:rPr>
                                <w:rFonts w:ascii="Arial" w:hAnsi="Arial" w:cs="Arial"/>
                                <w:color w:val="000000" w:themeColor="text1"/>
                                <w:sz w:val="20"/>
                                <w:szCs w:val="20"/>
                              </w:rPr>
                            </w:pPr>
                            <w:r>
                              <w:rPr>
                                <w:rFonts w:ascii="Arial" w:hAnsi="Arial" w:cs="Arial"/>
                                <w:color w:val="000000" w:themeColor="text1"/>
                                <w:sz w:val="20"/>
                                <w:szCs w:val="20"/>
                              </w:rPr>
                              <w:t>Strengthening workforce capability</w:t>
                            </w:r>
                          </w:p>
                        </w:txbxContent>
                      </wps:txbx>
                      <wps:bodyPr rot="0" spcFirstLastPara="0" vertOverflow="overflow" horzOverflow="overflow" vert="horz" wrap="square" lIns="576000" tIns="0" rIns="0" bIns="0" numCol="1" spcCol="0" rtlCol="0" fromWordArt="0" anchor="ctr" anchorCtr="0" forceAA="0" compatLnSpc="1">
                        <a:prstTxWarp prst="textNoShape">
                          <a:avLst/>
                        </a:prstTxWarp>
                        <a:noAutofit/>
                      </wps:bodyPr>
                    </wps:wsp>
                  </a:graphicData>
                </a:graphic>
              </wp:anchor>
            </w:drawing>
          </mc:Choice>
          <mc:Fallback>
            <w:pict>
              <v:roundrect w14:anchorId="2208684E" id="Rectangle: Rounded Corners 24" o:spid="_x0000_s1041" style="position:absolute;margin-left:0;margin-top:223.85pt;width:453.55pt;height:32.4pt;z-index:251673088;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" filled="f" strokecolor="#f26464" strokeweight="1.5pt">
                <v:stroke joinstyle="miter"/>
                <v:textbox inset="16mm,0,0,0">
                  <w:txbxContent>
                    <w:p w14:paraId="498753B1" w14:textId="71D7C540" w:rsidR="008C5E16" w:rsidRPr="007A4BC4" w:rsidRDefault="008C5E16" w:rsidP="00ED62AF">
                      <w:pPr>
                        <w:spacing w:after="0"/>
                        <w:rPr>
                          <w:rFonts w:ascii="Arial" w:hAnsi="Arial" w:cs="Arial"/>
                          <w:color w:val="000000" w:themeColor="text1"/>
                          <w:sz w:val="20"/>
                          <w:szCs w:val="20"/>
                        </w:rPr>
                      </w:pPr>
                      <w:r>
                        <w:rPr>
                          <w:rFonts w:ascii="Arial" w:hAnsi="Arial" w:cs="Arial"/>
                          <w:color w:val="000000" w:themeColor="text1"/>
                          <w:sz w:val="20"/>
                          <w:szCs w:val="20"/>
                        </w:rPr>
                        <w:t>Strengthening workforce capability</w:t>
                      </w:r>
                    </w:p>
                  </w:txbxContent>
                </v:textbox>
              </v:roundrect>
            </w:pict>
          </mc:Fallback>
        </mc:AlternateContent>
      </w:r>
    </w:p>
    <w:p w14:paraId="652E90AA" w14:textId="77777777" w:rsidR="00ED62AF" w:rsidRPr="005D37A4" w:rsidRDefault="00ED62AF" w:rsidP="00087B72"/>
    <w:p w14:paraId="7BB1E320" w14:textId="2981F93C" w:rsidR="003857F2" w:rsidRPr="0073198B" w:rsidRDefault="003857F2" w:rsidP="003857F2">
      <w:pPr>
        <w:pStyle w:val="Heading3"/>
        <w:rPr>
          <w:rFonts w:ascii="Arial" w:hAnsi="Arial" w:cs="Arial"/>
        </w:rPr>
      </w:pPr>
      <w:bookmarkStart w:id="11" w:name="_Toc90456664"/>
      <w:r w:rsidRPr="0073198B">
        <w:rPr>
          <w:rFonts w:ascii="Arial" w:hAnsi="Arial" w:cs="Arial"/>
        </w:rPr>
        <w:t>Developing the 202</w:t>
      </w:r>
      <w:r w:rsidR="004B5778">
        <w:rPr>
          <w:rFonts w:ascii="Arial" w:hAnsi="Arial" w:cs="Arial"/>
        </w:rPr>
        <w:t>2</w:t>
      </w:r>
      <w:r w:rsidRPr="0073198B">
        <w:rPr>
          <w:rFonts w:ascii="Arial" w:hAnsi="Arial" w:cs="Arial"/>
        </w:rPr>
        <w:t>-27 Priorities</w:t>
      </w:r>
      <w:r w:rsidR="00915A75">
        <w:rPr>
          <w:rFonts w:ascii="Arial" w:hAnsi="Arial" w:cs="Arial"/>
        </w:rPr>
        <w:t xml:space="preserve"> </w:t>
      </w:r>
      <w:bookmarkEnd w:id="11"/>
    </w:p>
    <w:p w14:paraId="726340F4" w14:textId="7A43387A" w:rsidR="003857F2" w:rsidRDefault="003857F2" w:rsidP="003857F2">
      <w:pPr>
        <w:pStyle w:val="BodyText"/>
        <w:jc w:val="both"/>
        <w:rPr>
          <w:rFonts w:ascii="Arial" w:hAnsi="Arial" w:cs="Arial"/>
        </w:rPr>
      </w:pPr>
      <w:r>
        <w:rPr>
          <w:rFonts w:ascii="Arial" w:hAnsi="Arial" w:cs="Arial"/>
        </w:rPr>
        <w:t>The 202</w:t>
      </w:r>
      <w:r w:rsidR="004B5778">
        <w:rPr>
          <w:rFonts w:ascii="Arial" w:hAnsi="Arial" w:cs="Arial"/>
        </w:rPr>
        <w:t>2</w:t>
      </w:r>
      <w:r>
        <w:rPr>
          <w:rFonts w:ascii="Arial" w:hAnsi="Arial" w:cs="Arial"/>
        </w:rPr>
        <w:t>-27 Priorities</w:t>
      </w:r>
      <w:r w:rsidR="007A43A5">
        <w:rPr>
          <w:rFonts w:ascii="Arial" w:hAnsi="Arial" w:cs="Arial"/>
        </w:rPr>
        <w:t xml:space="preserve"> and </w:t>
      </w:r>
      <w:r w:rsidR="00A31589">
        <w:rPr>
          <w:rFonts w:ascii="Arial" w:hAnsi="Arial" w:cs="Arial"/>
        </w:rPr>
        <w:t>supporting e</w:t>
      </w:r>
      <w:r w:rsidR="007A43A5">
        <w:rPr>
          <w:rFonts w:ascii="Arial" w:hAnsi="Arial" w:cs="Arial"/>
        </w:rPr>
        <w:t>nablers</w:t>
      </w:r>
      <w:r>
        <w:rPr>
          <w:rFonts w:ascii="Arial" w:hAnsi="Arial" w:cs="Arial"/>
        </w:rPr>
        <w:t xml:space="preserve">, and accompanying research and development activities, are informed by a review of the previous 2013-16 National Blood Research and Development Strategic Priorities (2013-16 Priorities). </w:t>
      </w:r>
    </w:p>
    <w:p w14:paraId="64BFB412" w14:textId="20B06840" w:rsidR="003857F2" w:rsidRDefault="003857F2" w:rsidP="003857F2">
      <w:pPr>
        <w:pStyle w:val="BodyText"/>
        <w:jc w:val="both"/>
        <w:rPr>
          <w:rFonts w:ascii="Arial" w:hAnsi="Arial" w:cs="Arial"/>
        </w:rPr>
      </w:pPr>
      <w:r>
        <w:rPr>
          <w:rFonts w:ascii="Arial" w:hAnsi="Arial" w:cs="Arial"/>
        </w:rPr>
        <w:t>The review of the 2013-16 Priorities was made with</w:t>
      </w:r>
      <w:r w:rsidRPr="00A828CF">
        <w:rPr>
          <w:rFonts w:ascii="Arial" w:hAnsi="Arial" w:cs="Arial"/>
        </w:rPr>
        <w:t xml:space="preserve"> reference to six questions regarding </w:t>
      </w:r>
      <w:r>
        <w:rPr>
          <w:rFonts w:ascii="Arial" w:hAnsi="Arial" w:cs="Arial"/>
        </w:rPr>
        <w:t xml:space="preserve">the </w:t>
      </w:r>
      <w:r w:rsidRPr="00A828CF">
        <w:rPr>
          <w:rFonts w:ascii="Arial" w:hAnsi="Arial" w:cs="Arial"/>
        </w:rPr>
        <w:t>National Blood Research and Development Strategic Priorities</w:t>
      </w:r>
      <w:r>
        <w:rPr>
          <w:rFonts w:ascii="Arial" w:hAnsi="Arial" w:cs="Arial"/>
        </w:rPr>
        <w:t xml:space="preserve"> (the Review)</w:t>
      </w:r>
      <w:r w:rsidRPr="00A828CF">
        <w:rPr>
          <w:rFonts w:ascii="Arial" w:hAnsi="Arial" w:cs="Arial"/>
        </w:rPr>
        <w:t>. The</w:t>
      </w:r>
      <w:r>
        <w:rPr>
          <w:rFonts w:ascii="Arial" w:hAnsi="Arial" w:cs="Arial"/>
        </w:rPr>
        <w:t xml:space="preserve"> Review questions, set out in </w:t>
      </w:r>
      <w:hyperlink w:anchor="Figure_10" w:history="1">
        <w:r>
          <w:rPr>
            <w:rStyle w:val="Hyperlink"/>
            <w:rFonts w:ascii="Arial" w:hAnsi="Arial" w:cs="Arial"/>
            <w:color w:val="auto"/>
            <w:u w:val="none"/>
          </w:rPr>
          <w:t>F</w:t>
        </w:r>
        <w:r w:rsidRPr="00A23DA2">
          <w:rPr>
            <w:rStyle w:val="Hyperlink"/>
            <w:rFonts w:ascii="Arial" w:hAnsi="Arial" w:cs="Arial"/>
            <w:color w:val="auto"/>
            <w:u w:val="none"/>
          </w:rPr>
          <w:t xml:space="preserve">igure </w:t>
        </w:r>
        <w:r w:rsidR="000F63F1">
          <w:rPr>
            <w:rStyle w:val="Hyperlink"/>
            <w:rFonts w:ascii="Arial" w:hAnsi="Arial" w:cs="Arial"/>
            <w:color w:val="auto"/>
            <w:u w:val="none"/>
          </w:rPr>
          <w:t>2</w:t>
        </w:r>
      </w:hyperlink>
      <w:r>
        <w:rPr>
          <w:rFonts w:ascii="Arial" w:hAnsi="Arial" w:cs="Arial"/>
        </w:rPr>
        <w:t>, included questions</w:t>
      </w:r>
      <w:r w:rsidR="008A03A9">
        <w:rPr>
          <w:rFonts w:ascii="Arial" w:hAnsi="Arial" w:cs="Arial"/>
        </w:rPr>
        <w:t xml:space="preserve"> which</w:t>
      </w:r>
      <w:r>
        <w:rPr>
          <w:rFonts w:ascii="Arial" w:hAnsi="Arial" w:cs="Arial"/>
        </w:rPr>
        <w:t xml:space="preserve"> focused on understanding the status of the 2013-16 Priorities, the context of the blood research and development sector and what should be included in the future research and development priorities. </w:t>
      </w:r>
      <w:r w:rsidR="00B9140A">
        <w:rPr>
          <w:rFonts w:ascii="Arial" w:hAnsi="Arial" w:cs="Arial"/>
        </w:rPr>
        <w:t>It is noted the Review questions were framed in reference to the new priorities being finalised in 2021. However, the priorities were finalised in 2022, creating a new reporting period for the priorities - 2022-27.</w:t>
      </w:r>
    </w:p>
    <w:p w14:paraId="427BC7E4" w14:textId="00DFCB58" w:rsidR="00F6578C" w:rsidRDefault="00F6578C" w:rsidP="00F6578C">
      <w:pPr>
        <w:pStyle w:val="BodyText"/>
        <w:jc w:val="both"/>
        <w:rPr>
          <w:rFonts w:ascii="Arial" w:hAnsi="Arial" w:cs="Arial"/>
        </w:rPr>
      </w:pPr>
      <w:r>
        <w:rPr>
          <w:rFonts w:ascii="Arial" w:hAnsi="Arial" w:cs="Arial"/>
        </w:rPr>
        <w:lastRenderedPageBreak/>
        <w:t>The 2013-16 Priorities set five priorities for research and development in Australia’s blood sector which similarly focused on the sustainability, provision and safety of Australia’s blood supply. The 202</w:t>
      </w:r>
      <w:r w:rsidR="001E6ACB">
        <w:rPr>
          <w:rFonts w:ascii="Arial" w:hAnsi="Arial" w:cs="Arial"/>
        </w:rPr>
        <w:t>2</w:t>
      </w:r>
      <w:r>
        <w:rPr>
          <w:rFonts w:ascii="Arial" w:hAnsi="Arial" w:cs="Arial"/>
        </w:rPr>
        <w:t>-27 Priorities</w:t>
      </w:r>
      <w:r w:rsidR="00F75D11">
        <w:rPr>
          <w:rFonts w:ascii="Arial" w:hAnsi="Arial" w:cs="Arial"/>
        </w:rPr>
        <w:t xml:space="preserve"> </w:t>
      </w:r>
      <w:r>
        <w:rPr>
          <w:rFonts w:ascii="Arial" w:hAnsi="Arial" w:cs="Arial"/>
        </w:rPr>
        <w:t>maintain this focus but create an emphasis on action and delivering for the Australian community. This includes creating a more targeted set of research and development activities against each priority</w:t>
      </w:r>
      <w:r w:rsidR="00F376DB">
        <w:rPr>
          <w:rFonts w:ascii="Arial" w:hAnsi="Arial" w:cs="Arial"/>
        </w:rPr>
        <w:t xml:space="preserve"> a</w:t>
      </w:r>
      <w:r w:rsidR="00931002">
        <w:rPr>
          <w:rFonts w:ascii="Arial" w:hAnsi="Arial" w:cs="Arial"/>
        </w:rPr>
        <w:t>long with</w:t>
      </w:r>
      <w:r w:rsidR="00F376DB">
        <w:rPr>
          <w:rFonts w:ascii="Arial" w:hAnsi="Arial" w:cs="Arial"/>
        </w:rPr>
        <w:t xml:space="preserve"> </w:t>
      </w:r>
      <w:r w:rsidR="00931002">
        <w:rPr>
          <w:rFonts w:ascii="Arial" w:hAnsi="Arial" w:cs="Arial"/>
        </w:rPr>
        <w:t xml:space="preserve">descriptors and </w:t>
      </w:r>
      <w:r w:rsidR="00F376DB">
        <w:rPr>
          <w:rFonts w:ascii="Arial" w:hAnsi="Arial" w:cs="Arial"/>
        </w:rPr>
        <w:t>context regarding the enablers</w:t>
      </w:r>
      <w:r>
        <w:rPr>
          <w:rFonts w:ascii="Arial" w:hAnsi="Arial" w:cs="Arial"/>
        </w:rPr>
        <w:t xml:space="preserve">, to ensure the finite resources of the sector can be mobilised effectively and efficiently to deliver outcomes, </w:t>
      </w:r>
      <w:r w:rsidRPr="00087B72">
        <w:rPr>
          <w:rFonts w:ascii="Arial" w:hAnsi="Arial" w:cs="Arial"/>
        </w:rPr>
        <w:t>better patient and donor outcomes</w:t>
      </w:r>
      <w:r>
        <w:rPr>
          <w:rFonts w:ascii="Arial" w:hAnsi="Arial" w:cs="Arial"/>
        </w:rPr>
        <w:t xml:space="preserve"> and ensure value-for-money for the Australian community.</w:t>
      </w:r>
      <w:r w:rsidRPr="003A6BA5">
        <w:rPr>
          <w:rFonts w:ascii="Arial" w:hAnsi="Arial" w:cs="Arial"/>
        </w:rPr>
        <w:t xml:space="preserve"> </w:t>
      </w:r>
    </w:p>
    <w:p w14:paraId="21B04AF3" w14:textId="36316E56" w:rsidR="00F6578C" w:rsidRDefault="00F6578C" w:rsidP="00F6578C">
      <w:pPr>
        <w:pStyle w:val="BodyText"/>
        <w:jc w:val="both"/>
        <w:rPr>
          <w:rFonts w:ascii="Arial" w:hAnsi="Arial" w:cs="Arial"/>
          <w:lang w:val="en-AU"/>
        </w:rPr>
      </w:pPr>
      <w:r>
        <w:rPr>
          <w:rFonts w:ascii="Arial" w:hAnsi="Arial" w:cs="Arial"/>
        </w:rPr>
        <w:t>The 202</w:t>
      </w:r>
      <w:r w:rsidR="001E6ACB">
        <w:rPr>
          <w:rFonts w:ascii="Arial" w:hAnsi="Arial" w:cs="Arial"/>
        </w:rPr>
        <w:t>2</w:t>
      </w:r>
      <w:r>
        <w:rPr>
          <w:rFonts w:ascii="Arial" w:hAnsi="Arial" w:cs="Arial"/>
        </w:rPr>
        <w:t xml:space="preserve">-27 Priorities are informed by a document review, which included assessing </w:t>
      </w:r>
      <w:r w:rsidRPr="00AF2276">
        <w:rPr>
          <w:rFonts w:ascii="Arial" w:hAnsi="Arial" w:cs="Arial"/>
        </w:rPr>
        <w:t xml:space="preserve">legislation, government agreements, frameworks and guidance, academic journals, web-based information about domestic research funding programs and research projects and </w:t>
      </w:r>
      <w:r w:rsidRPr="00AF2276">
        <w:rPr>
          <w:rFonts w:ascii="Arial" w:hAnsi="Arial" w:cs="Arial"/>
          <w:lang w:val="en-AU"/>
        </w:rPr>
        <w:t>international blood research and development programs.</w:t>
      </w:r>
      <w:r>
        <w:rPr>
          <w:rFonts w:ascii="Arial" w:hAnsi="Arial" w:cs="Arial"/>
          <w:lang w:val="en-AU"/>
        </w:rPr>
        <w:t xml:space="preserve"> The document review provided the domestic and international context for the 202</w:t>
      </w:r>
      <w:r w:rsidR="001E6ACB">
        <w:rPr>
          <w:rFonts w:ascii="Arial" w:hAnsi="Arial" w:cs="Arial"/>
          <w:lang w:val="en-AU"/>
        </w:rPr>
        <w:t>2</w:t>
      </w:r>
      <w:r>
        <w:rPr>
          <w:rFonts w:ascii="Arial" w:hAnsi="Arial" w:cs="Arial"/>
          <w:lang w:val="en-AU"/>
        </w:rPr>
        <w:t>-27 Priorities</w:t>
      </w:r>
      <w:r w:rsidR="001E6ACB">
        <w:rPr>
          <w:rFonts w:ascii="Arial" w:hAnsi="Arial" w:cs="Arial"/>
          <w:lang w:val="en-AU"/>
        </w:rPr>
        <w:t xml:space="preserve"> </w:t>
      </w:r>
      <w:r>
        <w:rPr>
          <w:rFonts w:ascii="Arial" w:hAnsi="Arial" w:cs="Arial"/>
          <w:lang w:val="en-AU"/>
        </w:rPr>
        <w:t xml:space="preserve">and highlighted the gaps in existing research or development in the blood sector. </w:t>
      </w:r>
    </w:p>
    <w:p w14:paraId="72540D52" w14:textId="315D1AF6" w:rsidR="00C75CA2" w:rsidRPr="008C3D78" w:rsidRDefault="00C75CA2" w:rsidP="00C75CA2">
      <w:pPr>
        <w:pStyle w:val="Caption"/>
        <w:rPr>
          <w:rFonts w:ascii="Arial" w:hAnsi="Arial" w:cs="Arial"/>
        </w:rPr>
      </w:pPr>
      <w:bookmarkStart w:id="12" w:name="_Toc90462700"/>
      <w:bookmarkEnd w:id="10"/>
      <w:r>
        <w:t xml:space="preserve">Figure </w:t>
      </w:r>
      <w:r>
        <w:fldChar w:fldCharType="begin"/>
      </w:r>
      <w:r>
        <w:instrText xml:space="preserve"> SEQ Figure \* ARABIC </w:instrText>
      </w:r>
      <w:r>
        <w:fldChar w:fldCharType="separate"/>
      </w:r>
      <w:r w:rsidR="00A25C74">
        <w:rPr>
          <w:noProof/>
        </w:rPr>
        <w:t>2</w:t>
      </w:r>
      <w:r>
        <w:fldChar w:fldCharType="end"/>
      </w:r>
      <w:r w:rsidR="008202BC">
        <w:t xml:space="preserve">: </w:t>
      </w:r>
      <w:r>
        <w:t>National Blood Research and Development Strategic Priorities Review Questions</w:t>
      </w:r>
      <w:bookmarkEnd w:id="12"/>
    </w:p>
    <w:tbl>
      <w:tblPr>
        <w:tblStyle w:val="ListTable4-Accent1"/>
        <w:tblW w:w="0" w:type="auto"/>
        <w:tblBorders>
          <w:top w:val="none" w:sz="0" w:space="0" w:color="auto"/>
          <w:left w:val="none" w:sz="0" w:space="0" w:color="auto"/>
          <w:bottom w:val="none" w:sz="0" w:space="0" w:color="auto"/>
          <w:right w:val="none" w:sz="0" w:space="0" w:color="auto"/>
          <w:insideH w:val="none" w:sz="0" w:space="0" w:color="auto"/>
        </w:tblBorders>
        <w:tblCellMar>
          <w:top w:w="85" w:type="dxa"/>
          <w:left w:w="142" w:type="dxa"/>
          <w:bottom w:w="85" w:type="dxa"/>
          <w:right w:w="142" w:type="dxa"/>
        </w:tblCellMar>
        <w:tblLook w:val="04A0" w:firstRow="1" w:lastRow="0" w:firstColumn="1" w:lastColumn="0" w:noHBand="0" w:noVBand="1"/>
      </w:tblPr>
      <w:tblGrid>
        <w:gridCol w:w="851"/>
        <w:gridCol w:w="8175"/>
      </w:tblGrid>
      <w:tr w:rsidR="00C75CA2" w14:paraId="34FB6832" w14:textId="77777777" w:rsidTr="0011708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26" w:type="dxa"/>
            <w:gridSpan w:val="2"/>
            <w:vAlign w:val="center"/>
          </w:tcPr>
          <w:p w14:paraId="1D8FE971" w14:textId="77777777" w:rsidR="00C75CA2" w:rsidRPr="00D92910" w:rsidRDefault="00C75CA2" w:rsidP="0011708B">
            <w:pPr>
              <w:pStyle w:val="BodyText"/>
              <w:spacing w:before="0" w:after="0"/>
              <w:jc w:val="center"/>
              <w:rPr>
                <w:rFonts w:ascii="Arial" w:hAnsi="Arial" w:cs="Arial"/>
                <w:szCs w:val="24"/>
              </w:rPr>
            </w:pPr>
            <w:r w:rsidRPr="00D90CBD">
              <w:rPr>
                <w:rFonts w:ascii="Arial" w:hAnsi="Arial" w:cs="Arial"/>
                <w:szCs w:val="24"/>
              </w:rPr>
              <w:t>National Blood Research and Development Strategic Priorities (review question</w:t>
            </w:r>
            <w:r>
              <w:rPr>
                <w:rFonts w:ascii="Arial" w:hAnsi="Arial" w:cs="Arial"/>
                <w:szCs w:val="24"/>
              </w:rPr>
              <w:t>s</w:t>
            </w:r>
            <w:r w:rsidRPr="00D90CBD">
              <w:rPr>
                <w:rFonts w:ascii="Arial" w:hAnsi="Arial" w:cs="Arial"/>
                <w:szCs w:val="24"/>
              </w:rPr>
              <w:t>)</w:t>
            </w:r>
          </w:p>
        </w:tc>
      </w:tr>
      <w:tr w:rsidR="00C75CA2" w14:paraId="1534B1A5" w14:textId="77777777" w:rsidTr="0011708B">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851" w:type="dxa"/>
          </w:tcPr>
          <w:p w14:paraId="2BD91F55" w14:textId="77777777" w:rsidR="00C75CA2" w:rsidRPr="00D92910" w:rsidRDefault="00C75CA2" w:rsidP="0011708B">
            <w:pPr>
              <w:pStyle w:val="BodyText"/>
              <w:rPr>
                <w:rFonts w:ascii="Arial" w:hAnsi="Arial" w:cs="Arial"/>
              </w:rPr>
            </w:pPr>
            <w:r>
              <w:rPr>
                <w:noProof/>
                <w:lang w:val="en-AU" w:eastAsia="en-AU"/>
              </w:rPr>
              <w:drawing>
                <wp:anchor distT="0" distB="0" distL="114300" distR="114300" simplePos="0" relativeHeight="251665920" behindDoc="0" locked="0" layoutInCell="1" allowOverlap="1" wp14:anchorId="6AA960F6" wp14:editId="7EF9B3FA">
                  <wp:simplePos x="0" y="0"/>
                  <wp:positionH relativeFrom="column">
                    <wp:posOffset>-1270</wp:posOffset>
                  </wp:positionH>
                  <wp:positionV relativeFrom="paragraph">
                    <wp:posOffset>-2540</wp:posOffset>
                  </wp:positionV>
                  <wp:extent cx="359410" cy="359410"/>
                  <wp:effectExtent l="0" t="0" r="2540" b="2540"/>
                  <wp:wrapNone/>
                  <wp:docPr id="2" name="Graphic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59410" cy="359410"/>
                          </a:xfrm>
                          <a:prstGeom prst="rect">
                            <a:avLst/>
                          </a:prstGeom>
                        </pic:spPr>
                      </pic:pic>
                    </a:graphicData>
                  </a:graphic>
                </wp:anchor>
              </w:drawing>
            </w:r>
          </w:p>
        </w:tc>
        <w:tc>
          <w:tcPr>
            <w:tcW w:w="8175" w:type="dxa"/>
          </w:tcPr>
          <w:p w14:paraId="4393B933" w14:textId="77777777" w:rsidR="00C75CA2" w:rsidRPr="00765AB9" w:rsidRDefault="00C75CA2" w:rsidP="0011708B">
            <w:pPr>
              <w:pStyle w:val="BodyText"/>
              <w:spacing w:before="0" w:after="80"/>
              <w:ind w:left="27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79C9">
              <w:rPr>
                <w:rFonts w:ascii="Arial" w:hAnsi="Arial" w:cs="Arial"/>
                <w:sz w:val="20"/>
                <w:szCs w:val="20"/>
              </w:rPr>
              <w:t>What is the current status, and what has the progress been, against the 2013-16 Priorities?</w:t>
            </w:r>
          </w:p>
        </w:tc>
      </w:tr>
      <w:tr w:rsidR="00C75CA2" w14:paraId="5EF4F7C5" w14:textId="77777777" w:rsidTr="0011708B">
        <w:trPr>
          <w:trHeight w:val="841"/>
        </w:trPr>
        <w:tc>
          <w:tcPr>
            <w:cnfStyle w:val="001000000000" w:firstRow="0" w:lastRow="0" w:firstColumn="1" w:lastColumn="0" w:oddVBand="0" w:evenVBand="0" w:oddHBand="0" w:evenHBand="0" w:firstRowFirstColumn="0" w:firstRowLastColumn="0" w:lastRowFirstColumn="0" w:lastRowLastColumn="0"/>
            <w:tcW w:w="851" w:type="dxa"/>
          </w:tcPr>
          <w:p w14:paraId="218FD1CC" w14:textId="77777777" w:rsidR="00C75CA2" w:rsidRPr="00D92910" w:rsidRDefault="00C75CA2" w:rsidP="0011708B">
            <w:pPr>
              <w:pStyle w:val="BodyText"/>
              <w:rPr>
                <w:rFonts w:ascii="Arial" w:hAnsi="Arial" w:cs="Arial"/>
              </w:rPr>
            </w:pPr>
            <w:r>
              <w:rPr>
                <w:noProof/>
                <w:lang w:val="en-AU" w:eastAsia="en-AU"/>
              </w:rPr>
              <w:drawing>
                <wp:anchor distT="0" distB="0" distL="114300" distR="114300" simplePos="0" relativeHeight="251666944" behindDoc="0" locked="0" layoutInCell="1" allowOverlap="1" wp14:anchorId="4C7A6C44" wp14:editId="0F983CA8">
                  <wp:simplePos x="0" y="0"/>
                  <wp:positionH relativeFrom="column">
                    <wp:posOffset>-1270</wp:posOffset>
                  </wp:positionH>
                  <wp:positionV relativeFrom="paragraph">
                    <wp:posOffset>129129</wp:posOffset>
                  </wp:positionV>
                  <wp:extent cx="359410" cy="359410"/>
                  <wp:effectExtent l="0" t="0" r="2540" b="2540"/>
                  <wp:wrapNone/>
                  <wp:docPr id="3" name="Graphic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2"/>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59410" cy="359410"/>
                          </a:xfrm>
                          <a:prstGeom prst="rect">
                            <a:avLst/>
                          </a:prstGeom>
                        </pic:spPr>
                      </pic:pic>
                    </a:graphicData>
                  </a:graphic>
                </wp:anchor>
              </w:drawing>
            </w:r>
          </w:p>
        </w:tc>
        <w:tc>
          <w:tcPr>
            <w:tcW w:w="8175" w:type="dxa"/>
          </w:tcPr>
          <w:p w14:paraId="25704432" w14:textId="77777777" w:rsidR="00C75CA2" w:rsidRPr="00765AB9" w:rsidRDefault="00C75CA2" w:rsidP="0011708B">
            <w:pPr>
              <w:pStyle w:val="BodyText"/>
              <w:spacing w:before="0" w:after="80"/>
              <w:ind w:left="275"/>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79C9">
              <w:rPr>
                <w:rFonts w:ascii="Arial" w:hAnsi="Arial" w:cs="Arial"/>
                <w:sz w:val="20"/>
                <w:szCs w:val="20"/>
              </w:rPr>
              <w:t>To what extent has the 2013 strategy been used or useful by the sector? What was or would have been realistic to expect in the period 2013 to now in terms of progress against the strategy, and its use?</w:t>
            </w:r>
          </w:p>
        </w:tc>
      </w:tr>
      <w:tr w:rsidR="00C75CA2" w14:paraId="18ADA8F3" w14:textId="77777777" w:rsidTr="00117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6D236F3" w14:textId="77777777" w:rsidR="00C75CA2" w:rsidRPr="00D92910" w:rsidRDefault="00C75CA2" w:rsidP="0011708B">
            <w:pPr>
              <w:pStyle w:val="BodyText"/>
              <w:rPr>
                <w:rFonts w:ascii="Arial" w:hAnsi="Arial" w:cs="Arial"/>
              </w:rPr>
            </w:pPr>
            <w:r>
              <w:rPr>
                <w:noProof/>
                <w:lang w:val="en-AU" w:eastAsia="en-AU"/>
              </w:rPr>
              <w:drawing>
                <wp:anchor distT="0" distB="0" distL="114300" distR="114300" simplePos="0" relativeHeight="251667968" behindDoc="0" locked="0" layoutInCell="1" allowOverlap="1" wp14:anchorId="5E5BA53D" wp14:editId="7CDEF571">
                  <wp:simplePos x="0" y="0"/>
                  <wp:positionH relativeFrom="column">
                    <wp:posOffset>-896</wp:posOffset>
                  </wp:positionH>
                  <wp:positionV relativeFrom="paragraph">
                    <wp:posOffset>17892</wp:posOffset>
                  </wp:positionV>
                  <wp:extent cx="360000" cy="360000"/>
                  <wp:effectExtent l="0" t="0" r="2540" b="2540"/>
                  <wp:wrapNone/>
                  <wp:docPr id="4" name="Graphic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3"/>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60000" cy="360000"/>
                          </a:xfrm>
                          <a:prstGeom prst="rect">
                            <a:avLst/>
                          </a:prstGeom>
                        </pic:spPr>
                      </pic:pic>
                    </a:graphicData>
                  </a:graphic>
                </wp:anchor>
              </w:drawing>
            </w:r>
          </w:p>
        </w:tc>
        <w:tc>
          <w:tcPr>
            <w:tcW w:w="8175" w:type="dxa"/>
          </w:tcPr>
          <w:p w14:paraId="7993082D" w14:textId="77777777" w:rsidR="00C75CA2" w:rsidRPr="00765AB9" w:rsidRDefault="00C75CA2" w:rsidP="0011708B">
            <w:pPr>
              <w:pStyle w:val="BodyText"/>
              <w:spacing w:before="0" w:after="80"/>
              <w:ind w:left="27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79C9">
              <w:rPr>
                <w:rFonts w:ascii="Arial" w:hAnsi="Arial" w:cs="Arial"/>
                <w:sz w:val="20"/>
                <w:szCs w:val="20"/>
              </w:rPr>
              <w:t>What if any, other main items of relevance have been undertaken and achieved in the period 2013 to now, not noted in the strategy?</w:t>
            </w:r>
          </w:p>
        </w:tc>
      </w:tr>
      <w:tr w:rsidR="00C75CA2" w14:paraId="35B714BC" w14:textId="77777777" w:rsidTr="0011708B">
        <w:tc>
          <w:tcPr>
            <w:cnfStyle w:val="001000000000" w:firstRow="0" w:lastRow="0" w:firstColumn="1" w:lastColumn="0" w:oddVBand="0" w:evenVBand="0" w:oddHBand="0" w:evenHBand="0" w:firstRowFirstColumn="0" w:firstRowLastColumn="0" w:lastRowFirstColumn="0" w:lastRowLastColumn="0"/>
            <w:tcW w:w="851" w:type="dxa"/>
          </w:tcPr>
          <w:p w14:paraId="59373CD4" w14:textId="77777777" w:rsidR="00C75CA2" w:rsidRPr="00D92910" w:rsidRDefault="00C75CA2" w:rsidP="0011708B">
            <w:pPr>
              <w:pStyle w:val="BodyText"/>
              <w:rPr>
                <w:rFonts w:ascii="Arial" w:hAnsi="Arial" w:cs="Arial"/>
              </w:rPr>
            </w:pPr>
            <w:r>
              <w:rPr>
                <w:noProof/>
                <w:lang w:val="en-AU" w:eastAsia="en-AU"/>
              </w:rPr>
              <w:drawing>
                <wp:anchor distT="0" distB="0" distL="114300" distR="114300" simplePos="0" relativeHeight="251668992" behindDoc="0" locked="0" layoutInCell="1" allowOverlap="1" wp14:anchorId="107AD98E" wp14:editId="53F8C678">
                  <wp:simplePos x="0" y="0"/>
                  <wp:positionH relativeFrom="column">
                    <wp:posOffset>-1270</wp:posOffset>
                  </wp:positionH>
                  <wp:positionV relativeFrom="paragraph">
                    <wp:posOffset>13335</wp:posOffset>
                  </wp:positionV>
                  <wp:extent cx="359410" cy="359410"/>
                  <wp:effectExtent l="0" t="0" r="2540" b="2540"/>
                  <wp:wrapNone/>
                  <wp:docPr id="16" name="Graphic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4"/>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tc>
        <w:tc>
          <w:tcPr>
            <w:tcW w:w="8175" w:type="dxa"/>
          </w:tcPr>
          <w:p w14:paraId="372586F4" w14:textId="77777777" w:rsidR="00C75CA2" w:rsidRPr="00765AB9" w:rsidRDefault="00C75CA2" w:rsidP="0011708B">
            <w:pPr>
              <w:pStyle w:val="BodyText"/>
              <w:spacing w:before="0" w:after="80"/>
              <w:ind w:left="275"/>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79C9">
              <w:rPr>
                <w:rFonts w:ascii="Arial" w:hAnsi="Arial" w:cs="Arial"/>
                <w:sz w:val="20"/>
                <w:szCs w:val="20"/>
              </w:rPr>
              <w:t xml:space="preserve">What is the relevant context of the blood </w:t>
            </w:r>
            <w:r>
              <w:rPr>
                <w:rFonts w:ascii="Arial" w:hAnsi="Arial" w:cs="Arial"/>
                <w:sz w:val="20"/>
                <w:szCs w:val="20"/>
              </w:rPr>
              <w:t>‘</w:t>
            </w:r>
            <w:r w:rsidRPr="00CE79C9">
              <w:rPr>
                <w:rFonts w:ascii="Arial" w:hAnsi="Arial" w:cs="Arial"/>
                <w:sz w:val="20"/>
                <w:szCs w:val="20"/>
              </w:rPr>
              <w:t>research and development</w:t>
            </w:r>
            <w:r>
              <w:rPr>
                <w:rFonts w:ascii="Arial" w:hAnsi="Arial" w:cs="Arial"/>
                <w:sz w:val="20"/>
                <w:szCs w:val="20"/>
              </w:rPr>
              <w:t>’</w:t>
            </w:r>
            <w:r w:rsidRPr="00CE79C9">
              <w:rPr>
                <w:rFonts w:ascii="Arial" w:hAnsi="Arial" w:cs="Arial"/>
                <w:sz w:val="20"/>
                <w:szCs w:val="20"/>
              </w:rPr>
              <w:t xml:space="preserve"> sector?</w:t>
            </w:r>
          </w:p>
        </w:tc>
      </w:tr>
      <w:tr w:rsidR="00C75CA2" w14:paraId="3A5A23DD" w14:textId="77777777" w:rsidTr="001170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BA33ED2" w14:textId="77777777" w:rsidR="00C75CA2" w:rsidRPr="00D92910" w:rsidRDefault="00C75CA2" w:rsidP="0011708B">
            <w:pPr>
              <w:pStyle w:val="BodyText"/>
              <w:rPr>
                <w:rFonts w:ascii="Arial" w:hAnsi="Arial" w:cs="Arial"/>
              </w:rPr>
            </w:pPr>
            <w:r>
              <w:rPr>
                <w:noProof/>
                <w:lang w:val="en-AU" w:eastAsia="en-AU"/>
              </w:rPr>
              <w:drawing>
                <wp:anchor distT="0" distB="0" distL="114300" distR="114300" simplePos="0" relativeHeight="251670016" behindDoc="0" locked="0" layoutInCell="1" allowOverlap="1" wp14:anchorId="09E2D80B" wp14:editId="5E86C76E">
                  <wp:simplePos x="0" y="0"/>
                  <wp:positionH relativeFrom="column">
                    <wp:posOffset>-1270</wp:posOffset>
                  </wp:positionH>
                  <wp:positionV relativeFrom="paragraph">
                    <wp:posOffset>13335</wp:posOffset>
                  </wp:positionV>
                  <wp:extent cx="359410" cy="359410"/>
                  <wp:effectExtent l="0" t="0" r="2540" b="2540"/>
                  <wp:wrapNone/>
                  <wp:docPr id="17" name="Graphic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5"/>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tc>
        <w:tc>
          <w:tcPr>
            <w:tcW w:w="8175" w:type="dxa"/>
          </w:tcPr>
          <w:p w14:paraId="50ADE5EA" w14:textId="77777777" w:rsidR="00C75CA2" w:rsidRPr="00765AB9" w:rsidRDefault="00C75CA2" w:rsidP="0011708B">
            <w:pPr>
              <w:pStyle w:val="BodyText"/>
              <w:spacing w:before="0" w:after="80"/>
              <w:ind w:left="27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79C9">
              <w:rPr>
                <w:rFonts w:ascii="Arial" w:hAnsi="Arial" w:cs="Arial"/>
                <w:sz w:val="20"/>
                <w:szCs w:val="20"/>
              </w:rPr>
              <w:t>What should the 2021 document include and focus on?</w:t>
            </w:r>
          </w:p>
        </w:tc>
      </w:tr>
      <w:tr w:rsidR="00C75CA2" w14:paraId="6071D488" w14:textId="77777777" w:rsidTr="0011708B">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tcPr>
          <w:p w14:paraId="2F1EB7AB" w14:textId="77777777" w:rsidR="00C75CA2" w:rsidRDefault="00C75CA2" w:rsidP="0011708B">
            <w:pPr>
              <w:pStyle w:val="BodyText"/>
              <w:rPr>
                <w:noProof/>
              </w:rPr>
            </w:pPr>
            <w:r>
              <w:rPr>
                <w:noProof/>
                <w:lang w:val="en-AU" w:eastAsia="en-AU"/>
              </w:rPr>
              <w:drawing>
                <wp:anchor distT="0" distB="0" distL="114300" distR="114300" simplePos="0" relativeHeight="251671040" behindDoc="0" locked="0" layoutInCell="1" allowOverlap="1" wp14:anchorId="739DB1F5" wp14:editId="03C0EC88">
                  <wp:simplePos x="0" y="0"/>
                  <wp:positionH relativeFrom="column">
                    <wp:posOffset>-635</wp:posOffset>
                  </wp:positionH>
                  <wp:positionV relativeFrom="paragraph">
                    <wp:posOffset>38735</wp:posOffset>
                  </wp:positionV>
                  <wp:extent cx="359410" cy="359410"/>
                  <wp:effectExtent l="0" t="0" r="2540" b="2540"/>
                  <wp:wrapNone/>
                  <wp:docPr id="18" name="Graphic 1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6"/>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59410" cy="359410"/>
                          </a:xfrm>
                          <a:prstGeom prst="rect">
                            <a:avLst/>
                          </a:prstGeom>
                        </pic:spPr>
                      </pic:pic>
                    </a:graphicData>
                  </a:graphic>
                </wp:anchor>
              </w:drawing>
            </w:r>
          </w:p>
        </w:tc>
        <w:tc>
          <w:tcPr>
            <w:tcW w:w="8175" w:type="dxa"/>
            <w:tcBorders>
              <w:bottom w:val="single" w:sz="4" w:space="0" w:color="auto"/>
            </w:tcBorders>
          </w:tcPr>
          <w:p w14:paraId="4878E18E" w14:textId="77777777" w:rsidR="00C75CA2" w:rsidRPr="00CE79C9" w:rsidRDefault="00C75CA2" w:rsidP="0011708B">
            <w:pPr>
              <w:pStyle w:val="BodyText"/>
              <w:spacing w:before="0" w:after="80"/>
              <w:ind w:left="27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79C9">
              <w:rPr>
                <w:rFonts w:ascii="Arial" w:hAnsi="Arial" w:cs="Arial"/>
                <w:sz w:val="20"/>
                <w:szCs w:val="20"/>
              </w:rPr>
              <w:t>What can usefully and pragmatically be put in place in 2021 to enable monitoring of progress in relation to the new version?</w:t>
            </w:r>
          </w:p>
        </w:tc>
      </w:tr>
    </w:tbl>
    <w:p w14:paraId="405A4CFB" w14:textId="77777777" w:rsidR="00A67DAA" w:rsidRDefault="00A67DAA" w:rsidP="00C75CA2">
      <w:pPr>
        <w:rPr>
          <w:lang w:eastAsia="zh-CN"/>
        </w:rPr>
      </w:pPr>
    </w:p>
    <w:p w14:paraId="664F0C64" w14:textId="77777777" w:rsidR="003F6EA2" w:rsidRDefault="00A67DAA" w:rsidP="0019642D">
      <w:pPr>
        <w:rPr>
          <w:rFonts w:ascii="Arial" w:hAnsi="Arial" w:cs="Arial"/>
        </w:rPr>
      </w:pPr>
      <w:r w:rsidRPr="008F7CD7">
        <w:rPr>
          <w:rFonts w:ascii="Arial" w:hAnsi="Arial" w:cs="Arial"/>
        </w:rPr>
        <w:t xml:space="preserve">The Review </w:t>
      </w:r>
      <w:r>
        <w:rPr>
          <w:rFonts w:ascii="Arial" w:hAnsi="Arial" w:cs="Arial"/>
        </w:rPr>
        <w:t>sought to answer</w:t>
      </w:r>
      <w:r w:rsidRPr="008F7CD7">
        <w:rPr>
          <w:rFonts w:ascii="Arial" w:hAnsi="Arial" w:cs="Arial"/>
        </w:rPr>
        <w:t xml:space="preserve"> the </w:t>
      </w:r>
      <w:r w:rsidR="0088557F">
        <w:rPr>
          <w:rFonts w:ascii="Arial" w:hAnsi="Arial" w:cs="Arial"/>
        </w:rPr>
        <w:t>above</w:t>
      </w:r>
      <w:r w:rsidR="0088557F" w:rsidRPr="008F7CD7">
        <w:rPr>
          <w:rFonts w:ascii="Arial" w:hAnsi="Arial" w:cs="Arial"/>
        </w:rPr>
        <w:t xml:space="preserve"> </w:t>
      </w:r>
      <w:r w:rsidRPr="008F7CD7">
        <w:rPr>
          <w:rFonts w:ascii="Arial" w:hAnsi="Arial" w:cs="Arial"/>
        </w:rPr>
        <w:t>questions by undertaking a document revie</w:t>
      </w:r>
      <w:r w:rsidR="00470A16">
        <w:rPr>
          <w:rFonts w:ascii="Arial" w:hAnsi="Arial" w:cs="Arial"/>
        </w:rPr>
        <w:t>w</w:t>
      </w:r>
      <w:r w:rsidRPr="008F7CD7">
        <w:rPr>
          <w:rFonts w:ascii="Arial" w:hAnsi="Arial" w:cs="Arial"/>
        </w:rPr>
        <w:t xml:space="preserve"> and scanning blood sector research and development strategic frameworks in international jurisdictions, including </w:t>
      </w:r>
      <w:r w:rsidRPr="00087B72">
        <w:rPr>
          <w:rFonts w:ascii="Arial" w:hAnsi="Arial" w:cs="Arial"/>
        </w:rPr>
        <w:t>New Zealand, Canada, United Kingdom, Germany, and the Netherlands</w:t>
      </w:r>
      <w:r w:rsidR="0037537E" w:rsidRPr="00087B72">
        <w:rPr>
          <w:rFonts w:ascii="Arial" w:hAnsi="Arial" w:cs="Arial"/>
        </w:rPr>
        <w:t>.</w:t>
      </w:r>
      <w:r w:rsidR="0019642D" w:rsidRPr="00087B72">
        <w:rPr>
          <w:rFonts w:ascii="Arial" w:hAnsi="Arial" w:cs="Arial"/>
        </w:rPr>
        <w:t xml:space="preserve"> </w:t>
      </w:r>
      <w:r w:rsidR="0019642D">
        <w:rPr>
          <w:rFonts w:ascii="Arial" w:hAnsi="Arial" w:cs="Arial"/>
        </w:rPr>
        <w:t xml:space="preserve"> </w:t>
      </w:r>
    </w:p>
    <w:p w14:paraId="0A63D31D" w14:textId="777DCF8C" w:rsidR="00FF1778" w:rsidRDefault="003F6EA2" w:rsidP="0019642D">
      <w:pPr>
        <w:rPr>
          <w:rFonts w:ascii="Arial" w:hAnsi="Arial" w:cs="Arial"/>
        </w:rPr>
      </w:pPr>
      <w:r>
        <w:rPr>
          <w:rFonts w:ascii="Arial" w:hAnsi="Arial" w:cs="Arial"/>
        </w:rPr>
        <w:t xml:space="preserve">Further background to the Review is set out </w:t>
      </w:r>
      <w:r w:rsidR="002D68A4">
        <w:rPr>
          <w:rFonts w:ascii="Arial" w:hAnsi="Arial" w:cs="Arial"/>
        </w:rPr>
        <w:t xml:space="preserve">at </w:t>
      </w:r>
      <w:hyperlink w:anchor="_Appendix_A_-" w:history="1">
        <w:r w:rsidR="002D68A4" w:rsidRPr="002D68A4">
          <w:rPr>
            <w:rStyle w:val="Hyperlink"/>
            <w:rFonts w:ascii="Arial" w:hAnsi="Arial" w:cs="Arial"/>
          </w:rPr>
          <w:t>Appendix A</w:t>
        </w:r>
      </w:hyperlink>
      <w:r w:rsidR="002D68A4">
        <w:rPr>
          <w:rFonts w:ascii="Arial" w:hAnsi="Arial" w:cs="Arial"/>
        </w:rPr>
        <w:t xml:space="preserve">. </w:t>
      </w:r>
      <w:r w:rsidR="00470A16">
        <w:rPr>
          <w:rFonts w:ascii="Arial" w:hAnsi="Arial" w:cs="Arial"/>
        </w:rPr>
        <w:t xml:space="preserve">Detailed information about the </w:t>
      </w:r>
      <w:r w:rsidR="001565CA">
        <w:rPr>
          <w:rFonts w:ascii="Arial" w:hAnsi="Arial" w:cs="Arial"/>
        </w:rPr>
        <w:t xml:space="preserve">Review’s document review and international scan is set out in </w:t>
      </w:r>
      <w:hyperlink w:anchor="_Appendix_B_-" w:history="1">
        <w:r w:rsidR="00C072BA" w:rsidRPr="00B24CA1">
          <w:rPr>
            <w:rStyle w:val="Hyperlink"/>
            <w:rFonts w:ascii="Arial" w:hAnsi="Arial" w:cs="Arial"/>
          </w:rPr>
          <w:t>Appendix B</w:t>
        </w:r>
      </w:hyperlink>
      <w:r w:rsidR="006A163E">
        <w:rPr>
          <w:rFonts w:ascii="Arial" w:hAnsi="Arial" w:cs="Arial"/>
        </w:rPr>
        <w:t>.</w:t>
      </w:r>
    </w:p>
    <w:p w14:paraId="7E497A25" w14:textId="58F7DF9C" w:rsidR="006A163E" w:rsidRDefault="006A163E" w:rsidP="0019642D">
      <w:pPr>
        <w:rPr>
          <w:rFonts w:ascii="Arial" w:hAnsi="Arial" w:cs="Arial"/>
        </w:rPr>
      </w:pPr>
    </w:p>
    <w:p w14:paraId="1DD44BF4" w14:textId="77777777" w:rsidR="00470A16" w:rsidRDefault="00470A16" w:rsidP="0019642D">
      <w:pPr>
        <w:rPr>
          <w:rFonts w:ascii="Arial" w:hAnsi="Arial" w:cs="Arial"/>
        </w:rPr>
      </w:pPr>
    </w:p>
    <w:p w14:paraId="5BE903E2" w14:textId="77777777" w:rsidR="0037537E" w:rsidRDefault="0037537E">
      <w:pPr>
        <w:rPr>
          <w:rFonts w:ascii="Arial" w:hAnsi="Arial" w:cs="Arial"/>
          <w:lang w:val="en-AU"/>
        </w:rPr>
      </w:pPr>
      <w:r>
        <w:rPr>
          <w:rFonts w:ascii="Arial" w:hAnsi="Arial" w:cs="Arial"/>
          <w:lang w:val="en-AU"/>
        </w:rPr>
        <w:br w:type="page"/>
      </w:r>
    </w:p>
    <w:p w14:paraId="55901603" w14:textId="431FD7CE" w:rsidR="000D2A3C" w:rsidRDefault="000D2A3C" w:rsidP="0073198B">
      <w:pPr>
        <w:pStyle w:val="Heading3"/>
        <w:rPr>
          <w:lang w:val="en-AU"/>
        </w:rPr>
      </w:pPr>
      <w:bookmarkStart w:id="13" w:name="_Toc79570821"/>
      <w:bookmarkStart w:id="14" w:name="_Toc90456665"/>
      <w:r>
        <w:rPr>
          <w:rFonts w:ascii="Arial" w:hAnsi="Arial" w:cs="Arial"/>
          <w:lang w:val="en-AU"/>
        </w:rPr>
        <w:lastRenderedPageBreak/>
        <w:t xml:space="preserve">Voices of Australia’s </w:t>
      </w:r>
      <w:r w:rsidR="00E15C93">
        <w:rPr>
          <w:rFonts w:ascii="Arial" w:hAnsi="Arial" w:cs="Arial"/>
          <w:lang w:val="en-AU"/>
        </w:rPr>
        <w:t xml:space="preserve">national </w:t>
      </w:r>
      <w:r>
        <w:rPr>
          <w:rFonts w:ascii="Arial" w:hAnsi="Arial" w:cs="Arial"/>
          <w:lang w:val="en-AU"/>
        </w:rPr>
        <w:t>blood</w:t>
      </w:r>
      <w:r w:rsidR="00E15C93">
        <w:rPr>
          <w:rFonts w:ascii="Arial" w:hAnsi="Arial" w:cs="Arial"/>
          <w:lang w:val="en-AU"/>
        </w:rPr>
        <w:t xml:space="preserve"> research and development</w:t>
      </w:r>
      <w:r>
        <w:rPr>
          <w:rFonts w:ascii="Arial" w:hAnsi="Arial" w:cs="Arial"/>
          <w:lang w:val="en-AU"/>
        </w:rPr>
        <w:t xml:space="preserve"> sector</w:t>
      </w:r>
      <w:bookmarkEnd w:id="13"/>
      <w:bookmarkEnd w:id="14"/>
    </w:p>
    <w:p w14:paraId="03E01608" w14:textId="43ACB396" w:rsidR="00713A89" w:rsidRDefault="003C1623" w:rsidP="00392AA9">
      <w:pPr>
        <w:pStyle w:val="BodyText"/>
        <w:jc w:val="both"/>
        <w:rPr>
          <w:rFonts w:ascii="Arial" w:hAnsi="Arial" w:cs="Arial"/>
          <w:lang w:val="en-AU"/>
        </w:rPr>
      </w:pPr>
      <w:r>
        <w:rPr>
          <w:rFonts w:ascii="Arial" w:hAnsi="Arial" w:cs="Arial"/>
          <w:lang w:val="en-AU"/>
        </w:rPr>
        <w:t>The</w:t>
      </w:r>
      <w:r w:rsidR="00CF487E">
        <w:rPr>
          <w:rFonts w:ascii="Arial" w:hAnsi="Arial" w:cs="Arial"/>
          <w:lang w:val="en-AU"/>
        </w:rPr>
        <w:t xml:space="preserve"> </w:t>
      </w:r>
      <w:r>
        <w:rPr>
          <w:rFonts w:ascii="Arial" w:hAnsi="Arial" w:cs="Arial"/>
          <w:lang w:val="en-AU"/>
        </w:rPr>
        <w:t xml:space="preserve">voices of </w:t>
      </w:r>
      <w:r w:rsidR="0084306B">
        <w:rPr>
          <w:rFonts w:ascii="Arial" w:hAnsi="Arial" w:cs="Arial"/>
          <w:lang w:val="en-AU"/>
        </w:rPr>
        <w:t xml:space="preserve">Australia’s </w:t>
      </w:r>
      <w:r w:rsidR="00E15C93">
        <w:rPr>
          <w:rFonts w:ascii="Arial" w:hAnsi="Arial" w:cs="Arial"/>
          <w:lang w:val="en-AU"/>
        </w:rPr>
        <w:t xml:space="preserve">national </w:t>
      </w:r>
      <w:r w:rsidR="0084306B">
        <w:rPr>
          <w:rFonts w:ascii="Arial" w:hAnsi="Arial" w:cs="Arial"/>
          <w:lang w:val="en-AU"/>
        </w:rPr>
        <w:t xml:space="preserve">blood </w:t>
      </w:r>
      <w:r w:rsidR="00E15C93">
        <w:rPr>
          <w:rFonts w:ascii="Arial" w:hAnsi="Arial" w:cs="Arial"/>
          <w:lang w:val="en-AU"/>
        </w:rPr>
        <w:t xml:space="preserve">research and development </w:t>
      </w:r>
      <w:r w:rsidR="0084306B">
        <w:rPr>
          <w:rFonts w:ascii="Arial" w:hAnsi="Arial" w:cs="Arial"/>
          <w:lang w:val="en-AU"/>
        </w:rPr>
        <w:t xml:space="preserve">sector </w:t>
      </w:r>
      <w:r>
        <w:rPr>
          <w:rFonts w:ascii="Arial" w:hAnsi="Arial" w:cs="Arial"/>
          <w:lang w:val="en-AU"/>
        </w:rPr>
        <w:t xml:space="preserve">also shaped </w:t>
      </w:r>
      <w:r w:rsidR="0084306B">
        <w:rPr>
          <w:rFonts w:ascii="Arial" w:hAnsi="Arial" w:cs="Arial"/>
          <w:lang w:val="en-AU"/>
        </w:rPr>
        <w:t xml:space="preserve">the </w:t>
      </w:r>
      <w:r w:rsidR="004C03A8">
        <w:rPr>
          <w:rFonts w:ascii="Arial" w:hAnsi="Arial" w:cs="Arial"/>
          <w:lang w:val="en-AU"/>
        </w:rPr>
        <w:t>2022</w:t>
      </w:r>
      <w:r w:rsidR="0084306B">
        <w:rPr>
          <w:rFonts w:ascii="Arial" w:hAnsi="Arial" w:cs="Arial"/>
          <w:lang w:val="en-AU"/>
        </w:rPr>
        <w:t xml:space="preserve">-27 Priorities. </w:t>
      </w:r>
      <w:r w:rsidR="00E3142C">
        <w:rPr>
          <w:rFonts w:ascii="Arial" w:hAnsi="Arial" w:cs="Arial"/>
          <w:lang w:val="en-AU"/>
        </w:rPr>
        <w:t>Throughout A</w:t>
      </w:r>
      <w:r w:rsidR="00F63BCD">
        <w:rPr>
          <w:rFonts w:ascii="Arial" w:hAnsi="Arial" w:cs="Arial"/>
          <w:lang w:val="en-AU"/>
        </w:rPr>
        <w:t>pril to May 2021</w:t>
      </w:r>
      <w:r w:rsidR="00361178">
        <w:rPr>
          <w:rFonts w:ascii="Arial" w:hAnsi="Arial" w:cs="Arial"/>
          <w:lang w:val="en-AU"/>
        </w:rPr>
        <w:t>,</w:t>
      </w:r>
      <w:r w:rsidR="008C0414">
        <w:rPr>
          <w:rFonts w:ascii="Arial" w:hAnsi="Arial" w:cs="Arial"/>
          <w:lang w:val="en-AU"/>
        </w:rPr>
        <w:t xml:space="preserve"> </w:t>
      </w:r>
      <w:r w:rsidR="00046011">
        <w:rPr>
          <w:rFonts w:ascii="Arial" w:hAnsi="Arial" w:cs="Arial"/>
        </w:rPr>
        <w:t>o</w:t>
      </w:r>
      <w:r w:rsidR="00017E5B" w:rsidRPr="00D73A80">
        <w:rPr>
          <w:rFonts w:ascii="Arial" w:hAnsi="Arial" w:cs="Arial"/>
        </w:rPr>
        <w:t>ver 150 stakeholders</w:t>
      </w:r>
      <w:r w:rsidR="00017E5B">
        <w:rPr>
          <w:rFonts w:ascii="Arial" w:hAnsi="Arial" w:cs="Arial"/>
        </w:rPr>
        <w:t xml:space="preserve"> had the opportunity to contribute to the development of the 202</w:t>
      </w:r>
      <w:r w:rsidR="004C03A8">
        <w:rPr>
          <w:rFonts w:ascii="Arial" w:hAnsi="Arial" w:cs="Arial"/>
        </w:rPr>
        <w:t>2</w:t>
      </w:r>
      <w:r w:rsidR="00017E5B">
        <w:rPr>
          <w:rFonts w:ascii="Arial" w:hAnsi="Arial" w:cs="Arial"/>
        </w:rPr>
        <w:t>-27 Priorities.</w:t>
      </w:r>
      <w:r w:rsidR="00046011">
        <w:rPr>
          <w:rFonts w:ascii="Arial" w:hAnsi="Arial" w:cs="Arial"/>
        </w:rPr>
        <w:t xml:space="preserve"> These stakeholders</w:t>
      </w:r>
      <w:r w:rsidR="0071538C">
        <w:rPr>
          <w:rFonts w:ascii="Arial" w:hAnsi="Arial" w:cs="Arial"/>
        </w:rPr>
        <w:t>, which</w:t>
      </w:r>
      <w:r w:rsidR="00046011">
        <w:rPr>
          <w:rFonts w:ascii="Arial" w:hAnsi="Arial" w:cs="Arial"/>
        </w:rPr>
        <w:t xml:space="preserve"> included </w:t>
      </w:r>
      <w:r w:rsidR="004C03A8">
        <w:rPr>
          <w:rFonts w:ascii="Arial" w:hAnsi="Arial" w:cs="Arial"/>
          <w:lang w:val="en-AU"/>
        </w:rPr>
        <w:t>Australian</w:t>
      </w:r>
      <w:r w:rsidR="00C63338">
        <w:rPr>
          <w:rFonts w:ascii="Arial" w:hAnsi="Arial" w:cs="Arial"/>
          <w:lang w:val="en-AU"/>
        </w:rPr>
        <w:t xml:space="preserve">, </w:t>
      </w:r>
      <w:r w:rsidR="004C03A8">
        <w:rPr>
          <w:rFonts w:ascii="Arial" w:hAnsi="Arial" w:cs="Arial"/>
          <w:lang w:val="en-AU"/>
        </w:rPr>
        <w:t xml:space="preserve">state </w:t>
      </w:r>
      <w:r w:rsidR="00C63338">
        <w:rPr>
          <w:rFonts w:ascii="Arial" w:hAnsi="Arial" w:cs="Arial"/>
          <w:lang w:val="en-AU"/>
        </w:rPr>
        <w:t xml:space="preserve">and </w:t>
      </w:r>
      <w:r w:rsidR="004C03A8">
        <w:rPr>
          <w:rFonts w:ascii="Arial" w:hAnsi="Arial" w:cs="Arial"/>
          <w:lang w:val="en-AU"/>
        </w:rPr>
        <w:t xml:space="preserve">territory </w:t>
      </w:r>
      <w:r w:rsidR="00C63338">
        <w:rPr>
          <w:rFonts w:ascii="Arial" w:hAnsi="Arial" w:cs="Arial"/>
          <w:lang w:val="en-AU"/>
        </w:rPr>
        <w:t xml:space="preserve">governments, </w:t>
      </w:r>
      <w:r w:rsidR="00985091">
        <w:rPr>
          <w:rFonts w:ascii="Arial" w:hAnsi="Arial" w:cs="Arial"/>
          <w:lang w:val="en-AU"/>
        </w:rPr>
        <w:t>researchers, clinicia</w:t>
      </w:r>
      <w:r w:rsidR="00D426F3">
        <w:rPr>
          <w:rFonts w:ascii="Arial" w:hAnsi="Arial" w:cs="Arial"/>
          <w:lang w:val="en-AU"/>
        </w:rPr>
        <w:t xml:space="preserve">ns, </w:t>
      </w:r>
      <w:r w:rsidR="00227355">
        <w:rPr>
          <w:rFonts w:ascii="Arial" w:hAnsi="Arial" w:cs="Arial"/>
          <w:lang w:val="en-AU"/>
        </w:rPr>
        <w:t xml:space="preserve">medical </w:t>
      </w:r>
      <w:r w:rsidR="005A014A">
        <w:rPr>
          <w:rFonts w:ascii="Arial" w:hAnsi="Arial" w:cs="Arial"/>
          <w:lang w:val="en-AU"/>
        </w:rPr>
        <w:t xml:space="preserve">professional </w:t>
      </w:r>
      <w:r w:rsidR="00227355">
        <w:rPr>
          <w:rFonts w:ascii="Arial" w:hAnsi="Arial" w:cs="Arial"/>
          <w:lang w:val="en-AU"/>
        </w:rPr>
        <w:t xml:space="preserve">colleges and societies, blood manufacturers, </w:t>
      </w:r>
      <w:r w:rsidR="0016505C">
        <w:rPr>
          <w:rFonts w:ascii="Arial" w:hAnsi="Arial" w:cs="Arial"/>
          <w:lang w:val="en-AU"/>
        </w:rPr>
        <w:t xml:space="preserve">patient advocacy groups, and community representatives, </w:t>
      </w:r>
      <w:r w:rsidR="00F835D1">
        <w:rPr>
          <w:rFonts w:ascii="Arial" w:hAnsi="Arial" w:cs="Arial"/>
          <w:lang w:val="en-AU"/>
        </w:rPr>
        <w:t>shared their views on what the</w:t>
      </w:r>
      <w:r w:rsidR="00361178">
        <w:rPr>
          <w:rFonts w:ascii="Arial" w:hAnsi="Arial" w:cs="Arial"/>
          <w:lang w:val="en-AU"/>
        </w:rPr>
        <w:t xml:space="preserve"> </w:t>
      </w:r>
      <w:r w:rsidR="00CB3B57">
        <w:rPr>
          <w:rFonts w:ascii="Arial" w:hAnsi="Arial" w:cs="Arial"/>
          <w:lang w:val="en-AU"/>
        </w:rPr>
        <w:t>future</w:t>
      </w:r>
      <w:r w:rsidR="00361178">
        <w:rPr>
          <w:rFonts w:ascii="Arial" w:hAnsi="Arial" w:cs="Arial"/>
          <w:lang w:val="en-AU"/>
        </w:rPr>
        <w:t xml:space="preserve"> </w:t>
      </w:r>
      <w:r w:rsidR="00CB3B57">
        <w:rPr>
          <w:rFonts w:ascii="Arial" w:hAnsi="Arial" w:cs="Arial"/>
          <w:lang w:val="en-AU"/>
        </w:rPr>
        <w:t>p</w:t>
      </w:r>
      <w:r w:rsidR="00361178">
        <w:rPr>
          <w:rFonts w:ascii="Arial" w:hAnsi="Arial" w:cs="Arial"/>
          <w:lang w:val="en-AU"/>
        </w:rPr>
        <w:t xml:space="preserve">riorities should </w:t>
      </w:r>
      <w:r w:rsidR="00931002">
        <w:rPr>
          <w:rFonts w:ascii="Arial" w:hAnsi="Arial" w:cs="Arial"/>
          <w:lang w:val="en-AU"/>
        </w:rPr>
        <w:t>look like</w:t>
      </w:r>
      <w:r w:rsidR="00361178">
        <w:rPr>
          <w:rFonts w:ascii="Arial" w:hAnsi="Arial" w:cs="Arial"/>
          <w:lang w:val="en-AU"/>
        </w:rPr>
        <w:t>.</w:t>
      </w:r>
      <w:r w:rsidR="00EF11D1">
        <w:rPr>
          <w:rFonts w:ascii="Arial" w:hAnsi="Arial" w:cs="Arial"/>
          <w:lang w:val="en-AU"/>
        </w:rPr>
        <w:t xml:space="preserve"> </w:t>
      </w:r>
      <w:r w:rsidR="007E1B9F">
        <w:rPr>
          <w:rFonts w:ascii="Arial" w:hAnsi="Arial" w:cs="Arial"/>
          <w:lang w:val="en-AU"/>
        </w:rPr>
        <w:t xml:space="preserve">For example: </w:t>
      </w:r>
    </w:p>
    <w:p w14:paraId="7817EADD" w14:textId="77777777" w:rsidR="00885F1C" w:rsidRPr="00885F1C" w:rsidRDefault="00885F1C" w:rsidP="00885F1C">
      <w:pPr>
        <w:pStyle w:val="BodyText"/>
        <w:ind w:left="720" w:right="140"/>
        <w:jc w:val="both"/>
        <w:rPr>
          <w:rFonts w:ascii="Arial" w:hAnsi="Arial" w:cs="Arial"/>
        </w:rPr>
      </w:pPr>
      <w:r w:rsidRPr="00885F1C">
        <w:rPr>
          <w:rFonts w:ascii="Arial" w:hAnsi="Arial" w:cs="Arial"/>
          <w:lang w:val="en-AU"/>
        </w:rPr>
        <w:t xml:space="preserve">A state government </w:t>
      </w:r>
      <w:r w:rsidRPr="00885F1C">
        <w:rPr>
          <w:rFonts w:ascii="Arial" w:hAnsi="Arial" w:cs="Arial"/>
        </w:rPr>
        <w:t>agency representative said the ‘</w:t>
      </w:r>
      <w:r w:rsidRPr="00087B72">
        <w:rPr>
          <w:rFonts w:ascii="Arial" w:hAnsi="Arial" w:cs="Arial"/>
        </w:rPr>
        <w:t>appropriate immunoglobulin use in particular should be a priority</w:t>
      </w:r>
      <w:r w:rsidRPr="00885F1C">
        <w:rPr>
          <w:rFonts w:ascii="Arial" w:hAnsi="Arial" w:cs="Arial"/>
        </w:rPr>
        <w:t xml:space="preserve">’ towards ensuring the optimal use of blood and blood products (Priority 1). </w:t>
      </w:r>
    </w:p>
    <w:p w14:paraId="489A1F5D" w14:textId="77777777" w:rsidR="00885F1C" w:rsidRPr="00885F1C" w:rsidRDefault="00885F1C" w:rsidP="00885F1C">
      <w:pPr>
        <w:pStyle w:val="BodyText"/>
        <w:ind w:left="720" w:right="140"/>
        <w:jc w:val="both"/>
        <w:rPr>
          <w:rFonts w:ascii="Arial" w:hAnsi="Arial" w:cs="Arial"/>
        </w:rPr>
      </w:pPr>
      <w:r w:rsidRPr="00885F1C">
        <w:rPr>
          <w:rFonts w:ascii="Arial" w:hAnsi="Arial" w:cs="Arial"/>
        </w:rPr>
        <w:t>A researcher said we need further research and development to answer the question ‘</w:t>
      </w:r>
      <w:r w:rsidRPr="00087B72">
        <w:rPr>
          <w:rFonts w:ascii="Arial" w:hAnsi="Arial" w:cs="Arial"/>
        </w:rPr>
        <w:t>how do we ensure sustainability of a secure and cost-effective blood supply</w:t>
      </w:r>
      <w:r w:rsidRPr="00885F1C">
        <w:rPr>
          <w:rFonts w:ascii="Arial" w:hAnsi="Arial" w:cs="Arial"/>
        </w:rPr>
        <w:t xml:space="preserve">’ (Priority 2). </w:t>
      </w:r>
    </w:p>
    <w:p w14:paraId="5BB20F05" w14:textId="77777777" w:rsidR="00885F1C" w:rsidRPr="00885F1C" w:rsidRDefault="00885F1C" w:rsidP="00885F1C">
      <w:pPr>
        <w:pStyle w:val="BodyText"/>
        <w:ind w:left="720" w:right="140"/>
        <w:jc w:val="both"/>
        <w:rPr>
          <w:rFonts w:ascii="Arial" w:hAnsi="Arial" w:cs="Arial"/>
        </w:rPr>
      </w:pPr>
      <w:r w:rsidRPr="00885F1C">
        <w:rPr>
          <w:rFonts w:ascii="Arial" w:hAnsi="Arial" w:cs="Arial"/>
        </w:rPr>
        <w:t>Members of an NBA Advisory Committee supported further work towards a ‘</w:t>
      </w:r>
      <w:r w:rsidRPr="00087B72">
        <w:rPr>
          <w:rFonts w:ascii="Arial" w:hAnsi="Arial" w:cs="Arial"/>
        </w:rPr>
        <w:t>better understanding of what adverse reactions are, and what people know about adverse reactions</w:t>
      </w:r>
      <w:r w:rsidRPr="00885F1C">
        <w:rPr>
          <w:rFonts w:ascii="Arial" w:hAnsi="Arial" w:cs="Arial"/>
        </w:rPr>
        <w:t xml:space="preserve">’, to reduce donor and patient adverse events (Priority 3). </w:t>
      </w:r>
    </w:p>
    <w:p w14:paraId="58F723A8" w14:textId="77777777" w:rsidR="00885F1C" w:rsidRPr="00885F1C" w:rsidRDefault="00885F1C" w:rsidP="00885F1C">
      <w:pPr>
        <w:pStyle w:val="BodyText"/>
        <w:ind w:left="720" w:right="140"/>
        <w:jc w:val="both"/>
        <w:rPr>
          <w:rFonts w:ascii="Arial" w:hAnsi="Arial" w:cs="Arial"/>
        </w:rPr>
      </w:pPr>
      <w:r w:rsidRPr="00885F1C">
        <w:rPr>
          <w:rFonts w:ascii="Arial" w:hAnsi="Arial" w:cs="Arial"/>
        </w:rPr>
        <w:t>Most stakeholders also wanted data collection, accuracy and sharing to be a focus for the national blood research and development sector in the future. One manufacturer saying they wanted ‘</w:t>
      </w:r>
      <w:r w:rsidRPr="00087B72">
        <w:rPr>
          <w:rFonts w:ascii="Arial" w:hAnsi="Arial" w:cs="Arial"/>
        </w:rPr>
        <w:t>improved data collection and cross-sector sharing</w:t>
      </w:r>
      <w:r w:rsidRPr="00885F1C">
        <w:rPr>
          <w:rFonts w:ascii="Arial" w:hAnsi="Arial" w:cs="Arial"/>
        </w:rPr>
        <w:t>’ as a key priority moving forward (Enabler 1).</w:t>
      </w:r>
    </w:p>
    <w:p w14:paraId="1C1FD301" w14:textId="77777777" w:rsidR="00885F1C" w:rsidRPr="00885F1C" w:rsidRDefault="00885F1C" w:rsidP="00885F1C">
      <w:pPr>
        <w:pStyle w:val="BodyText"/>
        <w:ind w:left="720" w:right="140"/>
        <w:jc w:val="both"/>
        <w:rPr>
          <w:rFonts w:ascii="Arial" w:hAnsi="Arial" w:cs="Arial"/>
        </w:rPr>
      </w:pPr>
      <w:r w:rsidRPr="00885F1C">
        <w:rPr>
          <w:rFonts w:ascii="Arial" w:hAnsi="Arial" w:cs="Arial"/>
        </w:rPr>
        <w:t>To optimise health and service delivery to best meet patient needs (Enabler 2), a research funding body said, ‘</w:t>
      </w:r>
      <w:r w:rsidRPr="00087B72">
        <w:rPr>
          <w:rFonts w:ascii="Arial" w:hAnsi="Arial" w:cs="Arial"/>
        </w:rPr>
        <w:t>health services research should be enhanced in this area, particularly effective strategies to implement evidence-based strategies in different settings.</w:t>
      </w:r>
      <w:r w:rsidRPr="00885F1C">
        <w:rPr>
          <w:rFonts w:ascii="Arial" w:hAnsi="Arial" w:cs="Arial"/>
        </w:rPr>
        <w:t>’</w:t>
      </w:r>
    </w:p>
    <w:p w14:paraId="45A3F7D3" w14:textId="53725CC1" w:rsidR="009450A5" w:rsidRDefault="005D5EB3" w:rsidP="00D55F24">
      <w:pPr>
        <w:pStyle w:val="BodyText"/>
        <w:ind w:right="140"/>
        <w:jc w:val="both"/>
        <w:rPr>
          <w:rFonts w:ascii="Arial" w:hAnsi="Arial" w:cs="Arial"/>
        </w:rPr>
      </w:pPr>
      <w:r w:rsidRPr="00087B72">
        <w:rPr>
          <w:rFonts w:ascii="Arial" w:hAnsi="Arial" w:cs="Arial"/>
        </w:rPr>
        <w:t xml:space="preserve">A mix of </w:t>
      </w:r>
      <w:r w:rsidR="00AE6AFB" w:rsidRPr="00087B72">
        <w:rPr>
          <w:rFonts w:ascii="Arial" w:hAnsi="Arial" w:cs="Arial"/>
        </w:rPr>
        <w:t xml:space="preserve">primary research </w:t>
      </w:r>
      <w:r w:rsidRPr="00087B72">
        <w:rPr>
          <w:rFonts w:ascii="Arial" w:hAnsi="Arial" w:cs="Arial"/>
        </w:rPr>
        <w:t xml:space="preserve">and research translation activities </w:t>
      </w:r>
      <w:r w:rsidR="002B02A4" w:rsidRPr="00087B72">
        <w:rPr>
          <w:rFonts w:ascii="Arial" w:hAnsi="Arial" w:cs="Arial"/>
        </w:rPr>
        <w:t>w</w:t>
      </w:r>
      <w:r w:rsidR="00F654AA" w:rsidRPr="00087B72">
        <w:rPr>
          <w:rFonts w:ascii="Arial" w:hAnsi="Arial" w:cs="Arial"/>
        </w:rPr>
        <w:t>ere</w:t>
      </w:r>
      <w:r w:rsidR="002B02A4" w:rsidRPr="00087B72">
        <w:rPr>
          <w:rFonts w:ascii="Arial" w:hAnsi="Arial" w:cs="Arial"/>
        </w:rPr>
        <w:t xml:space="preserve"> recommended across </w:t>
      </w:r>
      <w:r w:rsidR="009450A5" w:rsidRPr="00896035">
        <w:rPr>
          <w:rFonts w:ascii="Arial" w:hAnsi="Arial" w:cs="Arial"/>
        </w:rPr>
        <w:t xml:space="preserve">these stakeholder </w:t>
      </w:r>
      <w:r w:rsidR="00896035" w:rsidRPr="00896035">
        <w:rPr>
          <w:rFonts w:ascii="Arial" w:hAnsi="Arial" w:cs="Arial"/>
        </w:rPr>
        <w:t>group</w:t>
      </w:r>
      <w:r w:rsidR="0086544C">
        <w:rPr>
          <w:rFonts w:ascii="Arial" w:hAnsi="Arial" w:cs="Arial"/>
        </w:rPr>
        <w:t xml:space="preserve">s. This </w:t>
      </w:r>
      <w:r w:rsidR="001910CB" w:rsidRPr="00896035">
        <w:rPr>
          <w:rFonts w:ascii="Arial" w:hAnsi="Arial" w:cs="Arial"/>
        </w:rPr>
        <w:t>has been reflected in the 202</w:t>
      </w:r>
      <w:r w:rsidR="00885F1C">
        <w:rPr>
          <w:rFonts w:ascii="Arial" w:hAnsi="Arial" w:cs="Arial"/>
        </w:rPr>
        <w:t>2</w:t>
      </w:r>
      <w:r w:rsidR="001910CB" w:rsidRPr="00896035">
        <w:rPr>
          <w:rFonts w:ascii="Arial" w:hAnsi="Arial" w:cs="Arial"/>
        </w:rPr>
        <w:t>-27 Priorities, and activities</w:t>
      </w:r>
      <w:r w:rsidR="00F454CC">
        <w:rPr>
          <w:rFonts w:ascii="Arial" w:hAnsi="Arial" w:cs="Arial"/>
        </w:rPr>
        <w:t xml:space="preserve"> (as set out in Figure </w:t>
      </w:r>
      <w:r w:rsidR="00A950B8">
        <w:rPr>
          <w:rFonts w:ascii="Arial" w:hAnsi="Arial" w:cs="Arial"/>
        </w:rPr>
        <w:t>3</w:t>
      </w:r>
      <w:r w:rsidR="00F454CC">
        <w:rPr>
          <w:rFonts w:ascii="Arial" w:hAnsi="Arial" w:cs="Arial"/>
        </w:rPr>
        <w:t>)</w:t>
      </w:r>
      <w:r w:rsidR="006939CF" w:rsidRPr="00896035">
        <w:rPr>
          <w:rFonts w:ascii="Arial" w:hAnsi="Arial" w:cs="Arial"/>
        </w:rPr>
        <w:t>.</w:t>
      </w:r>
    </w:p>
    <w:p w14:paraId="72230923" w14:textId="62873D8D" w:rsidR="000D2A3C" w:rsidRPr="004527B7" w:rsidRDefault="000D2A3C" w:rsidP="0073198B">
      <w:pPr>
        <w:pStyle w:val="Heading3"/>
        <w:rPr>
          <w:rFonts w:ascii="Arial" w:hAnsi="Arial" w:cs="Arial"/>
        </w:rPr>
      </w:pPr>
      <w:bookmarkStart w:id="15" w:name="_Toc79570822"/>
      <w:bookmarkStart w:id="16" w:name="_Toc90456666"/>
      <w:r w:rsidRPr="0073198B">
        <w:rPr>
          <w:rFonts w:ascii="Arial" w:hAnsi="Arial" w:cs="Arial"/>
        </w:rPr>
        <w:t>Monitoring plan</w:t>
      </w:r>
      <w:bookmarkEnd w:id="15"/>
      <w:bookmarkEnd w:id="16"/>
    </w:p>
    <w:p w14:paraId="1D3BABB4" w14:textId="4E800E1A" w:rsidR="008E4F35" w:rsidRPr="0059794B" w:rsidRDefault="006E323F" w:rsidP="008E4F35">
      <w:pPr>
        <w:pStyle w:val="1Dot-point"/>
        <w:numPr>
          <w:ilvl w:val="0"/>
          <w:numId w:val="0"/>
        </w:numPr>
        <w:spacing w:line="280" w:lineRule="exact"/>
        <w:jc w:val="both"/>
        <w:rPr>
          <w:rFonts w:cs="Arial"/>
          <w:b/>
        </w:rPr>
      </w:pPr>
      <w:r>
        <w:rPr>
          <w:rFonts w:cs="Arial"/>
        </w:rPr>
        <w:t xml:space="preserve">The </w:t>
      </w:r>
      <w:r w:rsidR="00885F1C">
        <w:rPr>
          <w:rFonts w:cs="Arial"/>
        </w:rPr>
        <w:t>2022</w:t>
      </w:r>
      <w:r>
        <w:rPr>
          <w:rFonts w:cs="Arial"/>
        </w:rPr>
        <w:t>-27 Priorities</w:t>
      </w:r>
      <w:r w:rsidR="00885F1C">
        <w:rPr>
          <w:rFonts w:cs="Arial"/>
        </w:rPr>
        <w:t xml:space="preserve"> </w:t>
      </w:r>
      <w:r>
        <w:rPr>
          <w:rFonts w:cs="Arial"/>
        </w:rPr>
        <w:t>are accompanied by a</w:t>
      </w:r>
      <w:r w:rsidR="00F376DB">
        <w:rPr>
          <w:rFonts w:cs="Arial"/>
        </w:rPr>
        <w:t xml:space="preserve"> proposed</w:t>
      </w:r>
      <w:r>
        <w:rPr>
          <w:rFonts w:cs="Arial"/>
        </w:rPr>
        <w:t xml:space="preserve"> monitoring plan. The </w:t>
      </w:r>
      <w:r w:rsidR="00802DB9" w:rsidRPr="00A20474">
        <w:rPr>
          <w:rFonts w:cs="Arial"/>
        </w:rPr>
        <w:t>monitoring plan</w:t>
      </w:r>
      <w:r w:rsidR="00C8522D">
        <w:rPr>
          <w:rFonts w:cs="Arial"/>
        </w:rPr>
        <w:t xml:space="preserve"> </w:t>
      </w:r>
      <w:r w:rsidR="00F376DB">
        <w:rPr>
          <w:rFonts w:cs="Arial"/>
        </w:rPr>
        <w:t xml:space="preserve">would </w:t>
      </w:r>
      <w:r w:rsidR="00C8522D">
        <w:rPr>
          <w:rFonts w:cs="Arial"/>
        </w:rPr>
        <w:t>enable the NBA</w:t>
      </w:r>
      <w:r w:rsidR="00802DB9" w:rsidRPr="00A20474">
        <w:rPr>
          <w:rFonts w:cs="Arial"/>
        </w:rPr>
        <w:t xml:space="preserve"> to measure and communicate progress </w:t>
      </w:r>
      <w:r w:rsidR="00802DB9">
        <w:rPr>
          <w:rFonts w:cs="Arial"/>
        </w:rPr>
        <w:t xml:space="preserve">against the </w:t>
      </w:r>
      <w:r w:rsidR="00885F1C">
        <w:rPr>
          <w:rFonts w:cs="Arial"/>
        </w:rPr>
        <w:t>2022</w:t>
      </w:r>
      <w:r w:rsidR="00802DB9">
        <w:rPr>
          <w:rFonts w:cs="Arial"/>
        </w:rPr>
        <w:t>-27 Priorities</w:t>
      </w:r>
      <w:r w:rsidR="00885F1C">
        <w:rPr>
          <w:rFonts w:cs="Arial"/>
        </w:rPr>
        <w:t xml:space="preserve"> and Enablers</w:t>
      </w:r>
      <w:r w:rsidR="00802DB9">
        <w:rPr>
          <w:rFonts w:cs="Arial"/>
        </w:rPr>
        <w:t xml:space="preserve">. The plan </w:t>
      </w:r>
      <w:r w:rsidR="00F376DB">
        <w:rPr>
          <w:rFonts w:cs="Arial"/>
        </w:rPr>
        <w:t xml:space="preserve">proposes </w:t>
      </w:r>
      <w:r w:rsidR="00CA0AC7">
        <w:rPr>
          <w:rFonts w:cs="Arial"/>
        </w:rPr>
        <w:t xml:space="preserve">a </w:t>
      </w:r>
      <w:r w:rsidR="0084292D">
        <w:rPr>
          <w:rFonts w:cs="Arial"/>
        </w:rPr>
        <w:t xml:space="preserve">monitoring </w:t>
      </w:r>
      <w:r w:rsidR="00CA0AC7">
        <w:rPr>
          <w:rFonts w:cs="Arial"/>
        </w:rPr>
        <w:t>framework which is</w:t>
      </w:r>
      <w:r w:rsidR="006707F2">
        <w:rPr>
          <w:rFonts w:cs="Arial"/>
        </w:rPr>
        <w:t xml:space="preserve"> efficient,</w:t>
      </w:r>
      <w:r w:rsidR="006707F2" w:rsidRPr="00A20474">
        <w:rPr>
          <w:rFonts w:cs="Arial"/>
        </w:rPr>
        <w:t xml:space="preserve"> proportionate, and transparent</w:t>
      </w:r>
      <w:r w:rsidR="00CA0AC7">
        <w:rPr>
          <w:rFonts w:cs="Arial"/>
        </w:rPr>
        <w:t>. It has three key elements which incl</w:t>
      </w:r>
      <w:r w:rsidR="008E4F35">
        <w:rPr>
          <w:rFonts w:cs="Arial"/>
        </w:rPr>
        <w:t xml:space="preserve">ude, </w:t>
      </w:r>
      <w:r w:rsidR="008E4F35" w:rsidRPr="0073198B">
        <w:rPr>
          <w:rFonts w:cs="Arial"/>
        </w:rPr>
        <w:t>targeted information collection and annual stakeholder engagement, regular reporting and proactive communication and continuous monitoring and improvement.</w:t>
      </w:r>
    </w:p>
    <w:p w14:paraId="77977B0C" w14:textId="77777777" w:rsidR="00F248DA" w:rsidRDefault="00F248DA">
      <w:pPr>
        <w:rPr>
          <w:rFonts w:ascii="Arial" w:hAnsi="Arial" w:cs="Arial"/>
        </w:rPr>
      </w:pPr>
      <w:r>
        <w:rPr>
          <w:rFonts w:ascii="Arial" w:hAnsi="Arial" w:cs="Arial"/>
        </w:rPr>
        <w:br w:type="page"/>
      </w:r>
    </w:p>
    <w:p w14:paraId="1BBD9C45" w14:textId="562ABBEB" w:rsidR="00565326" w:rsidRPr="00EF59F5" w:rsidRDefault="00565326" w:rsidP="00565326">
      <w:pPr>
        <w:pStyle w:val="Heading3"/>
        <w:spacing w:before="480"/>
        <w:rPr>
          <w:rFonts w:ascii="Arial" w:hAnsi="Arial" w:cs="Arial"/>
        </w:rPr>
      </w:pPr>
      <w:bookmarkStart w:id="17" w:name="Figure_1"/>
      <w:bookmarkStart w:id="18" w:name="_Toc90456667"/>
      <w:bookmarkStart w:id="19" w:name="_Toc79570823"/>
      <w:bookmarkEnd w:id="17"/>
      <w:r w:rsidRPr="00EF59F5">
        <w:rPr>
          <w:rFonts w:ascii="Arial" w:hAnsi="Arial" w:cs="Arial"/>
        </w:rPr>
        <w:lastRenderedPageBreak/>
        <w:t>The 202</w:t>
      </w:r>
      <w:r w:rsidR="00885F1C">
        <w:rPr>
          <w:rFonts w:ascii="Arial" w:hAnsi="Arial" w:cs="Arial"/>
        </w:rPr>
        <w:t>2</w:t>
      </w:r>
      <w:r w:rsidRPr="00EF59F5">
        <w:rPr>
          <w:rFonts w:ascii="Arial" w:hAnsi="Arial" w:cs="Arial"/>
        </w:rPr>
        <w:t>-27 Priorities</w:t>
      </w:r>
      <w:r w:rsidR="00F35721">
        <w:rPr>
          <w:rFonts w:ascii="Arial" w:hAnsi="Arial" w:cs="Arial"/>
        </w:rPr>
        <w:t xml:space="preserve"> </w:t>
      </w:r>
      <w:r w:rsidRPr="00EF59F5">
        <w:rPr>
          <w:rFonts w:ascii="Arial" w:hAnsi="Arial" w:cs="Arial"/>
        </w:rPr>
        <w:t xml:space="preserve">and </w:t>
      </w:r>
      <w:r w:rsidR="00D4611B">
        <w:rPr>
          <w:rFonts w:ascii="Arial" w:hAnsi="Arial" w:cs="Arial"/>
        </w:rPr>
        <w:t xml:space="preserve">research </w:t>
      </w:r>
      <w:r w:rsidRPr="00EF59F5">
        <w:rPr>
          <w:rFonts w:ascii="Arial" w:hAnsi="Arial" w:cs="Arial"/>
        </w:rPr>
        <w:t>activities</w:t>
      </w:r>
      <w:bookmarkEnd w:id="18"/>
      <w:r w:rsidRPr="00EF59F5">
        <w:rPr>
          <w:rFonts w:ascii="Arial" w:hAnsi="Arial" w:cs="Arial"/>
        </w:rPr>
        <w:t xml:space="preserve"> </w:t>
      </w:r>
    </w:p>
    <w:p w14:paraId="5420C2E8" w14:textId="7FEF294C" w:rsidR="00565326" w:rsidRDefault="00DE22C5">
      <w:pPr>
        <w:pStyle w:val="Caption"/>
      </w:pPr>
      <w:bookmarkStart w:id="20" w:name="_Toc90462701"/>
      <w:r>
        <w:t xml:space="preserve">Figure </w:t>
      </w:r>
      <w:r>
        <w:fldChar w:fldCharType="begin"/>
      </w:r>
      <w:r>
        <w:instrText xml:space="preserve"> SEQ Figure \* ARABIC </w:instrText>
      </w:r>
      <w:r>
        <w:fldChar w:fldCharType="separate"/>
      </w:r>
      <w:r w:rsidR="00A25C74">
        <w:rPr>
          <w:noProof/>
        </w:rPr>
        <w:t>3</w:t>
      </w:r>
      <w:r>
        <w:fldChar w:fldCharType="end"/>
      </w:r>
      <w:r w:rsidR="008202BC">
        <w:t xml:space="preserve">: </w:t>
      </w:r>
      <w:r w:rsidR="00282377">
        <w:t xml:space="preserve"> </w:t>
      </w:r>
      <w:r w:rsidR="00565326" w:rsidRPr="00EF59F5">
        <w:t>202</w:t>
      </w:r>
      <w:r w:rsidR="00885F1C">
        <w:t>2</w:t>
      </w:r>
      <w:r w:rsidR="00565326" w:rsidRPr="00EF59F5">
        <w:t>-27 Priorities</w:t>
      </w:r>
      <w:r w:rsidR="00280E25">
        <w:t xml:space="preserve"> and Enablers, </w:t>
      </w:r>
      <w:r w:rsidR="00565326" w:rsidRPr="00EF59F5">
        <w:t>and research activities</w:t>
      </w:r>
      <w:bookmarkEnd w:id="20"/>
    </w:p>
    <w:tbl>
      <w:tblPr>
        <w:tblStyle w:val="ListTable4-Accent1"/>
        <w:tblW w:w="9498" w:type="dxa"/>
        <w:jc w:val="center"/>
        <w:tblBorders>
          <w:top w:val="none" w:sz="0" w:space="0" w:color="auto"/>
          <w:left w:val="none" w:sz="0" w:space="0" w:color="auto"/>
          <w:bottom w:val="none" w:sz="0" w:space="0" w:color="auto"/>
          <w:right w:val="none" w:sz="0" w:space="0" w:color="auto"/>
          <w:insideH w:val="none" w:sz="0" w:space="0" w:color="auto"/>
        </w:tblBorders>
        <w:tblCellMar>
          <w:top w:w="57" w:type="dxa"/>
          <w:left w:w="113" w:type="dxa"/>
          <w:bottom w:w="57" w:type="dxa"/>
          <w:right w:w="113" w:type="dxa"/>
        </w:tblCellMar>
        <w:tblLook w:val="04A0" w:firstRow="1" w:lastRow="0" w:firstColumn="1" w:lastColumn="0" w:noHBand="0" w:noVBand="1"/>
      </w:tblPr>
      <w:tblGrid>
        <w:gridCol w:w="567"/>
        <w:gridCol w:w="8931"/>
      </w:tblGrid>
      <w:tr w:rsidR="00DF484E" w:rsidRPr="009E75B7" w14:paraId="065FBEF9" w14:textId="77777777" w:rsidTr="006B3DB4">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9498" w:type="dxa"/>
            <w:gridSpan w:val="2"/>
            <w:vAlign w:val="center"/>
          </w:tcPr>
          <w:p w14:paraId="07E20ED5" w14:textId="55E69236" w:rsidR="00DF484E" w:rsidRPr="009E75B7" w:rsidRDefault="00DF484E" w:rsidP="00087B72">
            <w:pPr>
              <w:pStyle w:val="BodyText"/>
              <w:spacing w:before="0" w:after="0"/>
              <w:rPr>
                <w:rFonts w:ascii="Arial" w:hAnsi="Arial" w:cs="Arial"/>
                <w:szCs w:val="24"/>
              </w:rPr>
            </w:pPr>
            <w:r w:rsidRPr="009E75B7">
              <w:rPr>
                <w:rFonts w:ascii="Arial" w:hAnsi="Arial" w:cs="Arial"/>
                <w:szCs w:val="24"/>
              </w:rPr>
              <w:t>202</w:t>
            </w:r>
            <w:r>
              <w:rPr>
                <w:rFonts w:ascii="Arial" w:hAnsi="Arial" w:cs="Arial"/>
                <w:szCs w:val="24"/>
              </w:rPr>
              <w:t>2</w:t>
            </w:r>
            <w:r w:rsidRPr="009E75B7">
              <w:rPr>
                <w:rFonts w:ascii="Arial" w:hAnsi="Arial" w:cs="Arial"/>
                <w:szCs w:val="24"/>
              </w:rPr>
              <w:t>-27 Priorities</w:t>
            </w:r>
            <w:r>
              <w:rPr>
                <w:rFonts w:ascii="Arial" w:hAnsi="Arial" w:cs="Arial"/>
                <w:szCs w:val="24"/>
              </w:rPr>
              <w:t xml:space="preserve"> </w:t>
            </w:r>
            <w:r w:rsidRPr="009E75B7">
              <w:rPr>
                <w:rFonts w:ascii="Arial" w:hAnsi="Arial" w:cs="Arial"/>
                <w:szCs w:val="24"/>
              </w:rPr>
              <w:t>and research activities</w:t>
            </w:r>
          </w:p>
        </w:tc>
      </w:tr>
      <w:tr w:rsidR="00DF484E" w:rsidRPr="009E75B7" w14:paraId="6561517C" w14:textId="77777777" w:rsidTr="006B3D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tcPr>
          <w:p w14:paraId="222E15C6" w14:textId="77777777" w:rsidR="00DF484E" w:rsidRPr="009E75B7" w:rsidRDefault="00DF484E" w:rsidP="00DF484E">
            <w:pPr>
              <w:pStyle w:val="BodyText"/>
              <w:rPr>
                <w:rFonts w:ascii="Arial" w:hAnsi="Arial" w:cs="Arial"/>
              </w:rPr>
            </w:pPr>
          </w:p>
        </w:tc>
        <w:tc>
          <w:tcPr>
            <w:tcW w:w="8931" w:type="dxa"/>
          </w:tcPr>
          <w:p w14:paraId="5D061310" w14:textId="77777777" w:rsidR="00DF484E" w:rsidRPr="009E75B7" w:rsidRDefault="00DF484E" w:rsidP="00DF484E">
            <w:pPr>
              <w:pStyle w:val="BodyText"/>
              <w:spacing w:before="0" w:after="8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E75B7">
              <w:rPr>
                <w:rFonts w:ascii="Arial" w:hAnsi="Arial" w:cs="Arial"/>
                <w:b/>
                <w:bCs/>
                <w:sz w:val="20"/>
                <w:szCs w:val="20"/>
              </w:rPr>
              <w:t>Priority 1: Optimise the use of blood and blood products</w:t>
            </w:r>
          </w:p>
          <w:p w14:paraId="4D162740" w14:textId="77777777" w:rsidR="00DF484E" w:rsidRPr="009E75B7" w:rsidRDefault="00DF484E" w:rsidP="00DF484E">
            <w:pPr>
              <w:pStyle w:val="BodyText"/>
              <w:spacing w:before="0" w:after="8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E75B7">
              <w:rPr>
                <w:rFonts w:ascii="Arial" w:hAnsi="Arial" w:cs="Arial"/>
                <w:b/>
                <w:bCs/>
                <w:sz w:val="20"/>
                <w:szCs w:val="20"/>
              </w:rPr>
              <w:t>Research activities that:</w:t>
            </w:r>
          </w:p>
          <w:p w14:paraId="65ECA54E" w14:textId="77777777" w:rsidR="00DF484E" w:rsidRPr="009E75B7" w:rsidRDefault="00DF484E" w:rsidP="00DF484E">
            <w:pPr>
              <w:pStyle w:val="BodyText"/>
              <w:numPr>
                <w:ilvl w:val="0"/>
                <w:numId w:val="38"/>
              </w:numPr>
              <w:spacing w:before="0" w:after="80"/>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75B7">
              <w:rPr>
                <w:rFonts w:ascii="Arial" w:hAnsi="Arial" w:cs="Arial"/>
                <w:sz w:val="20"/>
                <w:szCs w:val="20"/>
              </w:rPr>
              <w:t>Identify strategies to optimise the use of immunoglobulin, including aligning immunoglobulin provision with individual patient needs, cost-effectiveness, and the minimum effective dose to achieve the desired clinical outcomes.</w:t>
            </w:r>
          </w:p>
          <w:p w14:paraId="428E801F" w14:textId="613D9514" w:rsidR="00DF484E" w:rsidRPr="009E75B7" w:rsidRDefault="00DF484E" w:rsidP="00DF484E">
            <w:pPr>
              <w:pStyle w:val="BodyText"/>
              <w:numPr>
                <w:ilvl w:val="0"/>
                <w:numId w:val="38"/>
              </w:numPr>
              <w:spacing w:before="0" w:after="80"/>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75B7">
              <w:rPr>
                <w:rFonts w:ascii="Arial" w:hAnsi="Arial" w:cs="Arial"/>
                <w:sz w:val="20"/>
                <w:szCs w:val="20"/>
              </w:rPr>
              <w:t>Develop strategies that reduce reliance on donated blood products, including identification and analysis of alternative treatment pathways.</w:t>
            </w:r>
          </w:p>
          <w:p w14:paraId="6FD5F67B" w14:textId="77777777" w:rsidR="00DF484E" w:rsidRPr="009E75B7" w:rsidRDefault="00DF484E" w:rsidP="00DF484E">
            <w:pPr>
              <w:pStyle w:val="BodyText"/>
              <w:numPr>
                <w:ilvl w:val="0"/>
                <w:numId w:val="38"/>
              </w:numPr>
              <w:spacing w:before="0" w:after="80"/>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75B7">
              <w:rPr>
                <w:rFonts w:ascii="Arial" w:hAnsi="Arial" w:cs="Arial"/>
                <w:sz w:val="20"/>
                <w:szCs w:val="20"/>
              </w:rPr>
              <w:t>Undertake effective and efficient horizon scanning and surveillance of</w:t>
            </w:r>
            <w:r w:rsidRPr="009E75B7" w:rsidDel="00445F7D">
              <w:rPr>
                <w:rFonts w:ascii="Arial" w:hAnsi="Arial" w:cs="Arial"/>
                <w:sz w:val="20"/>
                <w:szCs w:val="20"/>
              </w:rPr>
              <w:t xml:space="preserve"> </w:t>
            </w:r>
            <w:r w:rsidRPr="009E75B7">
              <w:rPr>
                <w:rFonts w:ascii="Arial" w:hAnsi="Arial" w:cs="Arial"/>
                <w:sz w:val="20"/>
                <w:szCs w:val="20"/>
              </w:rPr>
              <w:t>international best practice trends in blood and blood product use.</w:t>
            </w:r>
          </w:p>
          <w:p w14:paraId="7E5DC8FC" w14:textId="77777777" w:rsidR="00DF484E" w:rsidRPr="009E75B7" w:rsidRDefault="00DF484E" w:rsidP="00DF484E">
            <w:pPr>
              <w:pStyle w:val="BodyText"/>
              <w:spacing w:before="0" w:after="8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E75B7">
              <w:rPr>
                <w:rFonts w:ascii="Arial" w:hAnsi="Arial" w:cs="Arial"/>
                <w:b/>
                <w:bCs/>
                <w:sz w:val="20"/>
                <w:szCs w:val="20"/>
              </w:rPr>
              <w:t>Research translation activities that:</w:t>
            </w:r>
          </w:p>
          <w:p w14:paraId="6EF478EF" w14:textId="77777777" w:rsidR="00DF484E" w:rsidRPr="009E75B7" w:rsidRDefault="00DF484E" w:rsidP="00DF484E">
            <w:pPr>
              <w:pStyle w:val="BodyText"/>
              <w:numPr>
                <w:ilvl w:val="0"/>
                <w:numId w:val="38"/>
              </w:numPr>
              <w:spacing w:before="0" w:after="80"/>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75B7">
              <w:rPr>
                <w:rFonts w:ascii="Arial" w:hAnsi="Arial" w:cs="Arial"/>
                <w:sz w:val="20"/>
                <w:szCs w:val="20"/>
              </w:rPr>
              <w:t>Evaluate models empowering patients to understand when the use of blood and blood products is appropriate, and the risks and benefits.</w:t>
            </w:r>
          </w:p>
          <w:p w14:paraId="33D05FBD" w14:textId="77777777" w:rsidR="00DF484E" w:rsidRPr="009E75B7" w:rsidRDefault="00DF484E" w:rsidP="00DF484E">
            <w:pPr>
              <w:pStyle w:val="BodyText"/>
              <w:numPr>
                <w:ilvl w:val="0"/>
                <w:numId w:val="38"/>
              </w:numPr>
              <w:spacing w:before="0" w:after="80"/>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75B7">
              <w:rPr>
                <w:rFonts w:ascii="Arial" w:hAnsi="Arial" w:cs="Arial"/>
                <w:sz w:val="20"/>
                <w:szCs w:val="20"/>
              </w:rPr>
              <w:t>Identify and evaluate strategies aimed at improving collection and the appropriate use of plasma and plasma derived products.</w:t>
            </w:r>
          </w:p>
          <w:p w14:paraId="5BF59353" w14:textId="77777777" w:rsidR="00DF484E" w:rsidRPr="009E75B7" w:rsidRDefault="00DF484E" w:rsidP="00DF484E">
            <w:pPr>
              <w:pStyle w:val="BodyText"/>
              <w:numPr>
                <w:ilvl w:val="0"/>
                <w:numId w:val="38"/>
              </w:numPr>
              <w:spacing w:before="0" w:after="80"/>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75B7">
              <w:rPr>
                <w:rFonts w:ascii="Arial" w:hAnsi="Arial" w:cs="Arial"/>
                <w:sz w:val="20"/>
                <w:szCs w:val="20"/>
              </w:rPr>
              <w:t>Identify and evaluate approaches to promoting patient blood management including increasing the uptake of PBM clinical guidelines, and analysis of barriers to implementation.</w:t>
            </w:r>
          </w:p>
          <w:p w14:paraId="7721C3CC" w14:textId="77777777" w:rsidR="00DF484E" w:rsidRPr="00FC0F75" w:rsidRDefault="00DF484E" w:rsidP="00DF484E">
            <w:pPr>
              <w:pStyle w:val="BodyText"/>
              <w:numPr>
                <w:ilvl w:val="0"/>
                <w:numId w:val="38"/>
              </w:numPr>
              <w:spacing w:before="0" w:after="80"/>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75B7">
              <w:rPr>
                <w:rFonts w:ascii="Arial" w:hAnsi="Arial" w:cs="Arial"/>
                <w:sz w:val="20"/>
                <w:szCs w:val="20"/>
              </w:rPr>
              <w:t>Identify characteristics of the different needs of different patient demographics in relation to blood and blood products, particularly for Aboriginal and Torres Strait Islander, migrant and refugee and ageing people and communities.</w:t>
            </w:r>
          </w:p>
        </w:tc>
      </w:tr>
      <w:tr w:rsidR="00DF484E" w:rsidRPr="009E75B7" w14:paraId="6E29DD9B" w14:textId="77777777" w:rsidTr="006B3DB4">
        <w:trPr>
          <w:jc w:val="center"/>
        </w:trPr>
        <w:tc>
          <w:tcPr>
            <w:cnfStyle w:val="001000000000" w:firstRow="0" w:lastRow="0" w:firstColumn="1" w:lastColumn="0" w:oddVBand="0" w:evenVBand="0" w:oddHBand="0" w:evenHBand="0" w:firstRowFirstColumn="0" w:firstRowLastColumn="0" w:lastRowFirstColumn="0" w:lastRowLastColumn="0"/>
            <w:tcW w:w="567" w:type="dxa"/>
          </w:tcPr>
          <w:p w14:paraId="617FDCEF" w14:textId="77777777" w:rsidR="00DF484E" w:rsidRPr="009E75B7" w:rsidRDefault="00DF484E" w:rsidP="00DF484E">
            <w:pPr>
              <w:pStyle w:val="BodyText"/>
              <w:rPr>
                <w:rFonts w:ascii="Arial" w:hAnsi="Arial" w:cs="Arial"/>
              </w:rPr>
            </w:pPr>
          </w:p>
        </w:tc>
        <w:tc>
          <w:tcPr>
            <w:tcW w:w="8931" w:type="dxa"/>
          </w:tcPr>
          <w:p w14:paraId="014BA355" w14:textId="77777777" w:rsidR="00DF484E" w:rsidRPr="009E75B7" w:rsidRDefault="00DF484E" w:rsidP="00DF484E">
            <w:pPr>
              <w:pStyle w:val="BodyText"/>
              <w:spacing w:before="0" w:after="8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E75B7">
              <w:rPr>
                <w:rFonts w:ascii="Arial" w:hAnsi="Arial" w:cs="Arial"/>
                <w:b/>
                <w:bCs/>
                <w:sz w:val="20"/>
                <w:szCs w:val="20"/>
              </w:rPr>
              <w:t xml:space="preserve">Priority 2:  Optimise supply including product innovation and supply chain efficiencies </w:t>
            </w:r>
          </w:p>
          <w:p w14:paraId="4DC59393" w14:textId="77777777" w:rsidR="00DF484E" w:rsidRPr="009E75B7" w:rsidRDefault="00DF484E" w:rsidP="00DF484E">
            <w:pPr>
              <w:pStyle w:val="BodyText"/>
              <w:spacing w:before="0" w:after="8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E75B7">
              <w:rPr>
                <w:rFonts w:ascii="Arial" w:hAnsi="Arial" w:cs="Arial"/>
                <w:b/>
                <w:bCs/>
                <w:sz w:val="20"/>
                <w:szCs w:val="20"/>
              </w:rPr>
              <w:t>Research activities that:</w:t>
            </w:r>
          </w:p>
          <w:p w14:paraId="2FBB41E0" w14:textId="77777777" w:rsidR="00DF484E" w:rsidRPr="009E75B7" w:rsidRDefault="00DF484E" w:rsidP="00DF484E">
            <w:pPr>
              <w:pStyle w:val="BodyText"/>
              <w:numPr>
                <w:ilvl w:val="0"/>
                <w:numId w:val="39"/>
              </w:numPr>
              <w:spacing w:before="0" w:after="80"/>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E75B7">
              <w:rPr>
                <w:rFonts w:ascii="Arial" w:hAnsi="Arial" w:cs="Arial"/>
                <w:sz w:val="20"/>
                <w:szCs w:val="20"/>
              </w:rPr>
              <w:t>Develop and report evidence related to activities aimed at promoting sustainable donor rates by improving understanding of donor behaviour and motivation.</w:t>
            </w:r>
          </w:p>
          <w:p w14:paraId="3DDAFAA7" w14:textId="77777777" w:rsidR="00DF484E" w:rsidRPr="009E75B7" w:rsidRDefault="00DF484E" w:rsidP="00DF484E">
            <w:pPr>
              <w:pStyle w:val="BodyText"/>
              <w:numPr>
                <w:ilvl w:val="0"/>
                <w:numId w:val="39"/>
              </w:numPr>
              <w:spacing w:before="0" w:after="80"/>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E75B7">
              <w:rPr>
                <w:rFonts w:ascii="Arial" w:hAnsi="Arial" w:cs="Arial"/>
                <w:sz w:val="20"/>
                <w:szCs w:val="20"/>
              </w:rPr>
              <w:t>Identify opportunities and modelling to improving blood demand and supply forecasting.</w:t>
            </w:r>
          </w:p>
          <w:p w14:paraId="14CEAF10" w14:textId="77777777" w:rsidR="00DF484E" w:rsidRPr="009E75B7" w:rsidRDefault="00DF484E" w:rsidP="00DF484E">
            <w:pPr>
              <w:pStyle w:val="BodyText"/>
              <w:numPr>
                <w:ilvl w:val="0"/>
                <w:numId w:val="39"/>
              </w:numPr>
              <w:spacing w:before="0" w:after="80"/>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E75B7">
              <w:rPr>
                <w:rFonts w:ascii="Arial" w:hAnsi="Arial" w:cs="Arial"/>
                <w:sz w:val="20"/>
                <w:szCs w:val="20"/>
              </w:rPr>
              <w:t>Undertake systematic examinations of global innovations in therapies and products to reduce demand on blood products, including a focus on new treatments and emerging conditions, haemophilia, subcutaneous products and gene therapies.</w:t>
            </w:r>
          </w:p>
          <w:p w14:paraId="581EBCD9" w14:textId="77777777" w:rsidR="00DF484E" w:rsidRPr="009E75B7" w:rsidRDefault="00DF484E" w:rsidP="00DF484E">
            <w:pPr>
              <w:pStyle w:val="BodyText"/>
              <w:spacing w:before="0" w:after="8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9E75B7">
              <w:rPr>
                <w:rFonts w:ascii="Arial" w:hAnsi="Arial" w:cs="Arial"/>
                <w:b/>
                <w:bCs/>
                <w:sz w:val="20"/>
                <w:szCs w:val="20"/>
              </w:rPr>
              <w:t>Research translation activities that:</w:t>
            </w:r>
          </w:p>
          <w:p w14:paraId="2E3FA7FA" w14:textId="77777777" w:rsidR="00DF484E" w:rsidRPr="009E75B7" w:rsidRDefault="00DF484E" w:rsidP="00DF484E">
            <w:pPr>
              <w:pStyle w:val="BodyText"/>
              <w:numPr>
                <w:ilvl w:val="0"/>
                <w:numId w:val="39"/>
              </w:numPr>
              <w:spacing w:before="0" w:after="80"/>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E75B7">
              <w:rPr>
                <w:rFonts w:ascii="Arial" w:hAnsi="Arial" w:cs="Arial"/>
                <w:sz w:val="20"/>
                <w:szCs w:val="20"/>
              </w:rPr>
              <w:t xml:space="preserve">Identify and evaluate characteristics of strategies to improve the quality of blood and blood products during storage, such as packaging, storage and handling processes. </w:t>
            </w:r>
          </w:p>
          <w:p w14:paraId="5B1BDED0" w14:textId="77777777" w:rsidR="00DF484E" w:rsidRDefault="00DF484E" w:rsidP="00DF484E">
            <w:pPr>
              <w:pStyle w:val="BodyText"/>
              <w:numPr>
                <w:ilvl w:val="0"/>
                <w:numId w:val="39"/>
              </w:numPr>
              <w:spacing w:before="0" w:after="80"/>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E75B7">
              <w:rPr>
                <w:rFonts w:ascii="Arial" w:hAnsi="Arial" w:cs="Arial"/>
                <w:sz w:val="20"/>
                <w:szCs w:val="20"/>
              </w:rPr>
              <w:t>Assess the potential application of novel technology related to new and emerging blood technologies/ components/ substitutes.</w:t>
            </w:r>
          </w:p>
          <w:p w14:paraId="573FA5DB" w14:textId="77777777" w:rsidR="00DF484E" w:rsidRDefault="00DF484E" w:rsidP="00DF484E">
            <w:pPr>
              <w:pStyle w:val="BodyText"/>
              <w:spacing w:before="0" w:after="8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FCAA9A9" w14:textId="77777777" w:rsidR="00DF484E" w:rsidRDefault="00DF484E" w:rsidP="00DF484E">
            <w:pPr>
              <w:pStyle w:val="BodyText"/>
              <w:spacing w:before="0" w:after="8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79E226D" w14:textId="77777777" w:rsidR="00DF484E" w:rsidRDefault="00DF484E" w:rsidP="00DF484E">
            <w:pPr>
              <w:pStyle w:val="BodyText"/>
              <w:spacing w:before="0" w:after="8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CDB8FD6" w14:textId="77777777" w:rsidR="00DF484E" w:rsidRPr="009E75B7" w:rsidRDefault="00DF484E" w:rsidP="00DF484E">
            <w:pPr>
              <w:pStyle w:val="BodyText"/>
              <w:spacing w:before="0" w:after="8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DF484E" w:rsidRPr="009E75B7" w14:paraId="726DE964" w14:textId="77777777" w:rsidTr="006B3D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tcPr>
          <w:p w14:paraId="57276D7B" w14:textId="77777777" w:rsidR="00DF484E" w:rsidRPr="009E75B7" w:rsidRDefault="00DF484E" w:rsidP="00DF484E">
            <w:pPr>
              <w:pStyle w:val="BodyText"/>
              <w:rPr>
                <w:rFonts w:ascii="Arial" w:hAnsi="Arial" w:cs="Arial"/>
              </w:rPr>
            </w:pPr>
          </w:p>
        </w:tc>
        <w:tc>
          <w:tcPr>
            <w:tcW w:w="8931" w:type="dxa"/>
          </w:tcPr>
          <w:p w14:paraId="1E9FF05C" w14:textId="77777777" w:rsidR="00DF484E" w:rsidRPr="009E75B7" w:rsidRDefault="00DF484E" w:rsidP="00DF484E">
            <w:pPr>
              <w:pStyle w:val="BodyText"/>
              <w:spacing w:before="0" w:after="8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E75B7">
              <w:rPr>
                <w:rFonts w:ascii="Arial" w:hAnsi="Arial" w:cs="Arial"/>
                <w:b/>
                <w:bCs/>
                <w:sz w:val="20"/>
                <w:szCs w:val="20"/>
              </w:rPr>
              <w:t>Priority 3:  Reduce donor and patient adverse events</w:t>
            </w:r>
          </w:p>
          <w:p w14:paraId="78D4C9BE" w14:textId="77777777" w:rsidR="00DF484E" w:rsidRPr="009E75B7" w:rsidRDefault="00DF484E" w:rsidP="00DF484E">
            <w:pPr>
              <w:pStyle w:val="BodyText"/>
              <w:spacing w:before="0" w:after="8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E75B7">
              <w:rPr>
                <w:rFonts w:ascii="Arial" w:hAnsi="Arial" w:cs="Arial"/>
                <w:b/>
                <w:bCs/>
                <w:sz w:val="20"/>
                <w:szCs w:val="20"/>
              </w:rPr>
              <w:t>Research activities that:</w:t>
            </w:r>
          </w:p>
          <w:p w14:paraId="164C7370" w14:textId="77777777" w:rsidR="00DF484E" w:rsidRPr="009E75B7" w:rsidRDefault="00DF484E" w:rsidP="00DF484E">
            <w:pPr>
              <w:pStyle w:val="BodyText"/>
              <w:numPr>
                <w:ilvl w:val="0"/>
                <w:numId w:val="40"/>
              </w:numPr>
              <w:spacing w:before="0" w:after="80"/>
              <w:ind w:left="432"/>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75B7">
              <w:rPr>
                <w:rFonts w:ascii="Arial" w:hAnsi="Arial" w:cs="Arial"/>
                <w:sz w:val="20"/>
                <w:szCs w:val="20"/>
              </w:rPr>
              <w:t>Develop evidence and strategies related to systematic and timely monitoring of adverse events following transfusion.</w:t>
            </w:r>
          </w:p>
          <w:p w14:paraId="0DF55B72" w14:textId="77777777" w:rsidR="00DF484E" w:rsidRPr="009E75B7" w:rsidRDefault="00DF484E" w:rsidP="00DF484E">
            <w:pPr>
              <w:pStyle w:val="BodyText"/>
              <w:numPr>
                <w:ilvl w:val="0"/>
                <w:numId w:val="40"/>
              </w:numPr>
              <w:spacing w:before="0" w:after="80"/>
              <w:ind w:left="432"/>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75B7">
              <w:rPr>
                <w:rFonts w:ascii="Arial" w:hAnsi="Arial" w:cs="Arial"/>
                <w:sz w:val="20"/>
                <w:szCs w:val="20"/>
              </w:rPr>
              <w:t>Identify and analyse characteristics of human factors, technology changes, physiological and product characteristics which contribute to adverse events, and identification of opportunities for improvement.</w:t>
            </w:r>
          </w:p>
          <w:p w14:paraId="18C1CA08" w14:textId="77777777" w:rsidR="00DF484E" w:rsidRPr="009E75B7" w:rsidRDefault="00DF484E" w:rsidP="00DF484E">
            <w:pPr>
              <w:pStyle w:val="BodyText"/>
              <w:numPr>
                <w:ilvl w:val="0"/>
                <w:numId w:val="40"/>
              </w:numPr>
              <w:spacing w:before="0" w:after="80"/>
              <w:ind w:left="432"/>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75B7">
              <w:rPr>
                <w:rFonts w:ascii="Arial" w:hAnsi="Arial" w:cs="Arial"/>
                <w:sz w:val="20"/>
                <w:szCs w:val="20"/>
              </w:rPr>
              <w:t>Undertake systematic examination and review of blood sector strategies related to reducing, recognising and responding to adverse events.</w:t>
            </w:r>
          </w:p>
          <w:p w14:paraId="5D704F6C" w14:textId="77777777" w:rsidR="00DF484E" w:rsidRPr="009E75B7" w:rsidRDefault="00DF484E" w:rsidP="00DF484E">
            <w:pPr>
              <w:pStyle w:val="BodyText"/>
              <w:spacing w:before="0" w:after="8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9E75B7">
              <w:rPr>
                <w:rFonts w:ascii="Arial" w:hAnsi="Arial" w:cs="Arial"/>
                <w:b/>
                <w:bCs/>
                <w:sz w:val="20"/>
                <w:szCs w:val="20"/>
              </w:rPr>
              <w:t>Research translation activities that:</w:t>
            </w:r>
          </w:p>
          <w:p w14:paraId="38A3DD1E" w14:textId="77777777" w:rsidR="00DF484E" w:rsidRPr="009E75B7" w:rsidRDefault="00DF484E" w:rsidP="00DF484E">
            <w:pPr>
              <w:pStyle w:val="BodyText"/>
              <w:numPr>
                <w:ilvl w:val="0"/>
                <w:numId w:val="40"/>
              </w:numPr>
              <w:spacing w:before="0" w:after="80"/>
              <w:ind w:left="432"/>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75B7">
              <w:rPr>
                <w:rFonts w:ascii="Arial" w:hAnsi="Arial" w:cs="Arial"/>
                <w:sz w:val="20"/>
                <w:szCs w:val="20"/>
              </w:rPr>
              <w:t>Develop and evaluate models aimed at empowering patients and donors to understand and respond to an adverse event.</w:t>
            </w:r>
          </w:p>
          <w:p w14:paraId="01669D8C" w14:textId="77777777" w:rsidR="00DF484E" w:rsidRPr="009E75B7" w:rsidRDefault="00DF484E" w:rsidP="00DF484E">
            <w:pPr>
              <w:pStyle w:val="BodyText"/>
              <w:numPr>
                <w:ilvl w:val="0"/>
                <w:numId w:val="40"/>
              </w:numPr>
              <w:spacing w:before="0" w:after="80"/>
              <w:ind w:left="432"/>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75B7">
              <w:rPr>
                <w:rFonts w:ascii="Arial" w:hAnsi="Arial" w:cs="Arial"/>
                <w:sz w:val="20"/>
                <w:szCs w:val="20"/>
              </w:rPr>
              <w:t>Identify and analyses changes in blood characteristics following multiple blood donations related to the development of iron deficiency in donors, and strategies to reduce its occurrence.</w:t>
            </w:r>
          </w:p>
          <w:p w14:paraId="58B6A893" w14:textId="128D1B73" w:rsidR="00DF484E" w:rsidRPr="00FC0F75" w:rsidRDefault="00DF484E" w:rsidP="00DF484E">
            <w:pPr>
              <w:pStyle w:val="BodyText"/>
              <w:numPr>
                <w:ilvl w:val="0"/>
                <w:numId w:val="40"/>
              </w:numPr>
              <w:spacing w:before="0" w:after="80"/>
              <w:ind w:left="432"/>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75B7">
              <w:rPr>
                <w:rFonts w:ascii="Arial" w:hAnsi="Arial" w:cs="Arial"/>
                <w:sz w:val="20"/>
                <w:szCs w:val="20"/>
              </w:rPr>
              <w:t>Identify and evaluate treatment protocols for bleeding disorders that most effectively reduce the risk of, and manage the development of, inhibitory antibody responses.</w:t>
            </w:r>
          </w:p>
        </w:tc>
      </w:tr>
      <w:tr w:rsidR="00DF484E" w:rsidRPr="009E75B7" w14:paraId="40AB74CF" w14:textId="77777777" w:rsidTr="006B3DB4">
        <w:trPr>
          <w:jc w:val="center"/>
        </w:trPr>
        <w:tc>
          <w:tcPr>
            <w:cnfStyle w:val="001000000000" w:firstRow="0" w:lastRow="0" w:firstColumn="1" w:lastColumn="0" w:oddVBand="0" w:evenVBand="0" w:oddHBand="0" w:evenHBand="0" w:firstRowFirstColumn="0" w:firstRowLastColumn="0" w:lastRowFirstColumn="0" w:lastRowLastColumn="0"/>
            <w:tcW w:w="567" w:type="dxa"/>
          </w:tcPr>
          <w:p w14:paraId="7D9F8C66" w14:textId="77777777" w:rsidR="00DF484E" w:rsidRPr="009E75B7" w:rsidRDefault="00DF484E" w:rsidP="00DF484E">
            <w:pPr>
              <w:pStyle w:val="BodyText"/>
              <w:rPr>
                <w:rFonts w:ascii="Arial" w:hAnsi="Arial" w:cs="Arial"/>
              </w:rPr>
            </w:pPr>
          </w:p>
        </w:tc>
        <w:tc>
          <w:tcPr>
            <w:tcW w:w="8931" w:type="dxa"/>
          </w:tcPr>
          <w:p w14:paraId="065C7CD0" w14:textId="77777777" w:rsidR="00094940" w:rsidRPr="004D365B" w:rsidRDefault="00094940" w:rsidP="00D16FA5">
            <w:pPr>
              <w:pStyle w:val="BodyText"/>
              <w:spacing w:before="0" w:after="80"/>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4D365B">
              <w:rPr>
                <w:rFonts w:ascii="Arial" w:hAnsi="Arial" w:cs="Arial"/>
                <w:b/>
                <w:bCs/>
                <w:sz w:val="20"/>
                <w:szCs w:val="20"/>
              </w:rPr>
              <w:t xml:space="preserve">Enabler 1: Improved data collection, accuracy and sharing </w:t>
            </w:r>
          </w:p>
          <w:p w14:paraId="4E5A6EC7" w14:textId="77777777" w:rsidR="00D16FA5" w:rsidRDefault="00094940" w:rsidP="004D365B">
            <w:pPr>
              <w:pStyle w:val="BodyText"/>
              <w:spacing w:before="0" w:after="8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E75B7">
              <w:rPr>
                <w:rFonts w:ascii="Arial" w:hAnsi="Arial" w:cs="Arial"/>
                <w:sz w:val="20"/>
                <w:szCs w:val="20"/>
              </w:rPr>
              <w:t>Look for strengthened data linkages with relevant health systems to improve the management and use of blood and blood products promoting timely and efficient data access and consistent data collection practices across Australia.</w:t>
            </w:r>
          </w:p>
          <w:p w14:paraId="1675CFA4" w14:textId="22910917" w:rsidR="00DF484E" w:rsidRPr="009E75B7" w:rsidRDefault="00094940" w:rsidP="00087B72">
            <w:pPr>
              <w:pStyle w:val="BodyText"/>
              <w:numPr>
                <w:ilvl w:val="0"/>
                <w:numId w:val="41"/>
              </w:numPr>
              <w:spacing w:before="0" w:after="80"/>
              <w:ind w:left="737" w:hanging="28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16FA5">
              <w:rPr>
                <w:rFonts w:ascii="Arial" w:hAnsi="Arial" w:cs="Arial"/>
                <w:sz w:val="20"/>
                <w:szCs w:val="20"/>
              </w:rPr>
              <w:t>Develop and promot</w:t>
            </w:r>
            <w:r w:rsidR="008E5E2D">
              <w:rPr>
                <w:rFonts w:ascii="Arial" w:hAnsi="Arial" w:cs="Arial"/>
                <w:sz w:val="20"/>
                <w:szCs w:val="20"/>
              </w:rPr>
              <w:t>e</w:t>
            </w:r>
            <w:r w:rsidRPr="00D16FA5">
              <w:rPr>
                <w:rFonts w:ascii="Arial" w:hAnsi="Arial" w:cs="Arial"/>
                <w:sz w:val="20"/>
                <w:szCs w:val="20"/>
              </w:rPr>
              <w:t xml:space="preserve"> platforms and forums to share data insights and trends, ensuring that this will be accessible and engaging for the intended audience</w:t>
            </w:r>
            <w:r w:rsidR="000D6C21">
              <w:rPr>
                <w:rFonts w:ascii="Arial" w:hAnsi="Arial" w:cs="Arial"/>
                <w:sz w:val="20"/>
                <w:szCs w:val="20"/>
              </w:rPr>
              <w:t>.</w:t>
            </w:r>
          </w:p>
        </w:tc>
      </w:tr>
      <w:tr w:rsidR="00094940" w:rsidRPr="009E75B7" w14:paraId="1874F799" w14:textId="77777777" w:rsidTr="006B3D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7" w:type="dxa"/>
          </w:tcPr>
          <w:p w14:paraId="7EC685DA" w14:textId="77777777" w:rsidR="00094940" w:rsidRPr="009E75B7" w:rsidRDefault="00094940" w:rsidP="00DF484E">
            <w:pPr>
              <w:pStyle w:val="BodyText"/>
              <w:rPr>
                <w:rFonts w:ascii="Arial" w:hAnsi="Arial" w:cs="Arial"/>
              </w:rPr>
            </w:pPr>
          </w:p>
        </w:tc>
        <w:tc>
          <w:tcPr>
            <w:tcW w:w="8931" w:type="dxa"/>
          </w:tcPr>
          <w:p w14:paraId="386B1D66" w14:textId="77777777" w:rsidR="00C345F6" w:rsidRPr="009E75B7" w:rsidRDefault="00C345F6" w:rsidP="00C345F6">
            <w:pPr>
              <w:pStyle w:val="BodyText"/>
              <w:spacing w:before="0" w:after="80"/>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 xml:space="preserve">Enabler 2: </w:t>
            </w:r>
            <w:r w:rsidRPr="009E75B7">
              <w:rPr>
                <w:rFonts w:ascii="Arial" w:hAnsi="Arial" w:cs="Arial"/>
                <w:b/>
                <w:bCs/>
                <w:sz w:val="20"/>
                <w:szCs w:val="20"/>
              </w:rPr>
              <w:t xml:space="preserve">Optimised health service delivery to best meet patient needs </w:t>
            </w:r>
          </w:p>
          <w:p w14:paraId="00539D36" w14:textId="77777777" w:rsidR="00C345F6" w:rsidRPr="009E75B7" w:rsidRDefault="00C345F6" w:rsidP="00C345F6">
            <w:pPr>
              <w:pStyle w:val="BodyText"/>
              <w:spacing w:before="0" w:after="80"/>
              <w:ind w:left="26"/>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75B7">
              <w:rPr>
                <w:rFonts w:ascii="Arial" w:hAnsi="Arial" w:cs="Arial"/>
                <w:sz w:val="20"/>
                <w:szCs w:val="20"/>
              </w:rPr>
              <w:t xml:space="preserve">Design and application of frameworks to promote patient and donor engagement in research with a focus on improving patient and donor experience and outcomes. </w:t>
            </w:r>
          </w:p>
          <w:p w14:paraId="22C2DB37" w14:textId="77777777" w:rsidR="00C345F6" w:rsidRPr="009E75B7" w:rsidRDefault="00C345F6" w:rsidP="00C345F6">
            <w:pPr>
              <w:pStyle w:val="BodyText"/>
              <w:numPr>
                <w:ilvl w:val="0"/>
                <w:numId w:val="41"/>
              </w:numPr>
              <w:spacing w:before="0" w:after="80"/>
              <w:ind w:left="737"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75B7">
              <w:rPr>
                <w:rFonts w:ascii="Arial" w:hAnsi="Arial" w:cs="Arial"/>
                <w:sz w:val="20"/>
                <w:szCs w:val="20"/>
              </w:rPr>
              <w:t>Improved understanding of how to align blood-related services with community expectations, particularly for Aboriginal and Torres Strait Islander, diverse cultural and older people and communities.</w:t>
            </w:r>
          </w:p>
          <w:p w14:paraId="426B9991" w14:textId="77777777" w:rsidR="00D16FA5" w:rsidRDefault="00C345F6" w:rsidP="00C345F6">
            <w:pPr>
              <w:pStyle w:val="BodyText"/>
              <w:numPr>
                <w:ilvl w:val="0"/>
                <w:numId w:val="41"/>
              </w:numPr>
              <w:spacing w:before="0" w:after="80"/>
              <w:ind w:left="737"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E75B7">
              <w:rPr>
                <w:rFonts w:ascii="Arial" w:hAnsi="Arial" w:cs="Arial"/>
                <w:sz w:val="20"/>
                <w:szCs w:val="20"/>
              </w:rPr>
              <w:t>Analysis of different ways of providing blood and blood products to patients, such as home administration of treatments, impact the effectiveness and efficiency of the health system and on patient treatment, outcomes and quality of life.</w:t>
            </w:r>
          </w:p>
          <w:p w14:paraId="210A052B" w14:textId="69F04A9F" w:rsidR="00094940" w:rsidRPr="00087B72" w:rsidRDefault="00C345F6" w:rsidP="00087B72">
            <w:pPr>
              <w:pStyle w:val="BodyText"/>
              <w:numPr>
                <w:ilvl w:val="0"/>
                <w:numId w:val="41"/>
              </w:numPr>
              <w:spacing w:before="0" w:after="80"/>
              <w:ind w:left="737" w:hanging="28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16FA5">
              <w:rPr>
                <w:rFonts w:ascii="Arial" w:hAnsi="Arial" w:cs="Arial"/>
                <w:sz w:val="20"/>
                <w:szCs w:val="20"/>
              </w:rPr>
              <w:t>Engage with donors to identify and evaluate current models to inform strategies for increasing supply and improving donor experience.</w:t>
            </w:r>
          </w:p>
        </w:tc>
      </w:tr>
      <w:tr w:rsidR="00C345F6" w:rsidRPr="009E75B7" w14:paraId="2CC21336" w14:textId="77777777" w:rsidTr="006B3DB4">
        <w:trPr>
          <w:jc w:val="center"/>
        </w:trPr>
        <w:tc>
          <w:tcPr>
            <w:cnfStyle w:val="001000000000" w:firstRow="0" w:lastRow="0" w:firstColumn="1" w:lastColumn="0" w:oddVBand="0" w:evenVBand="0" w:oddHBand="0" w:evenHBand="0" w:firstRowFirstColumn="0" w:firstRowLastColumn="0" w:lastRowFirstColumn="0" w:lastRowLastColumn="0"/>
            <w:tcW w:w="567" w:type="dxa"/>
          </w:tcPr>
          <w:p w14:paraId="06F424A9" w14:textId="77777777" w:rsidR="00C345F6" w:rsidRPr="009E75B7" w:rsidRDefault="00C345F6" w:rsidP="00DF484E">
            <w:pPr>
              <w:pStyle w:val="BodyText"/>
              <w:rPr>
                <w:rFonts w:ascii="Arial" w:hAnsi="Arial" w:cs="Arial"/>
              </w:rPr>
            </w:pPr>
          </w:p>
        </w:tc>
        <w:tc>
          <w:tcPr>
            <w:tcW w:w="8931" w:type="dxa"/>
          </w:tcPr>
          <w:p w14:paraId="6FA3D950" w14:textId="77777777" w:rsidR="00D4611B" w:rsidRPr="009E75B7" w:rsidRDefault="00D4611B" w:rsidP="00D4611B">
            <w:pPr>
              <w:pStyle w:val="BodyText"/>
              <w:spacing w:before="0" w:after="8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b/>
                <w:bCs/>
                <w:sz w:val="20"/>
                <w:szCs w:val="20"/>
              </w:rPr>
              <w:t xml:space="preserve">Enabler 3: </w:t>
            </w:r>
            <w:r w:rsidRPr="009E75B7">
              <w:rPr>
                <w:rFonts w:ascii="Arial" w:hAnsi="Arial" w:cs="Arial"/>
                <w:b/>
                <w:bCs/>
                <w:sz w:val="20"/>
                <w:szCs w:val="20"/>
              </w:rPr>
              <w:t>Strengthening workforce capability</w:t>
            </w:r>
          </w:p>
          <w:p w14:paraId="7BD4B291" w14:textId="31168C07" w:rsidR="00D4611B" w:rsidRPr="009E75B7" w:rsidRDefault="00D4611B" w:rsidP="00D4611B">
            <w:pPr>
              <w:pStyle w:val="BodyText"/>
              <w:numPr>
                <w:ilvl w:val="0"/>
                <w:numId w:val="41"/>
              </w:numPr>
              <w:spacing w:before="0" w:after="80"/>
              <w:ind w:left="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E75B7">
              <w:rPr>
                <w:rFonts w:ascii="Arial" w:hAnsi="Arial" w:cs="Arial"/>
                <w:sz w:val="20"/>
                <w:szCs w:val="20"/>
              </w:rPr>
              <w:t>Develop and regular</w:t>
            </w:r>
            <w:r w:rsidR="000D6C21">
              <w:rPr>
                <w:rFonts w:ascii="Arial" w:hAnsi="Arial" w:cs="Arial"/>
                <w:sz w:val="20"/>
                <w:szCs w:val="20"/>
              </w:rPr>
              <w:t>ly</w:t>
            </w:r>
            <w:r w:rsidRPr="009E75B7">
              <w:rPr>
                <w:rFonts w:ascii="Arial" w:hAnsi="Arial" w:cs="Arial"/>
                <w:sz w:val="20"/>
                <w:szCs w:val="20"/>
              </w:rPr>
              <w:t xml:space="preserve"> review clinical education in undergraduate and postgraduate curricula and liaison between accrediting bodies including universities, colleges, societies, workplace, and prevocational trainers to determine and provide core skills required by the workforce.</w:t>
            </w:r>
          </w:p>
          <w:p w14:paraId="2D6AB806" w14:textId="4906A5C2" w:rsidR="00D16FA5" w:rsidRDefault="00D4611B" w:rsidP="00D4611B">
            <w:pPr>
              <w:pStyle w:val="BodyText"/>
              <w:numPr>
                <w:ilvl w:val="0"/>
                <w:numId w:val="41"/>
              </w:numPr>
              <w:spacing w:before="0" w:after="80"/>
              <w:ind w:left="738" w:hanging="28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E75B7">
              <w:rPr>
                <w:rFonts w:ascii="Arial" w:hAnsi="Arial" w:cs="Arial"/>
                <w:sz w:val="20"/>
                <w:szCs w:val="20"/>
              </w:rPr>
              <w:t>Develop and maint</w:t>
            </w:r>
            <w:r w:rsidR="000D6C21">
              <w:rPr>
                <w:rFonts w:ascii="Arial" w:hAnsi="Arial" w:cs="Arial"/>
                <w:sz w:val="20"/>
                <w:szCs w:val="20"/>
              </w:rPr>
              <w:t>ain</w:t>
            </w:r>
            <w:r w:rsidRPr="009E75B7">
              <w:rPr>
                <w:rFonts w:ascii="Arial" w:hAnsi="Arial" w:cs="Arial"/>
                <w:sz w:val="20"/>
                <w:szCs w:val="20"/>
              </w:rPr>
              <w:t xml:space="preserve"> clinical guidelines to support treatment decisions relating to blood and blood products and alternatives.</w:t>
            </w:r>
          </w:p>
          <w:p w14:paraId="5F2F183F" w14:textId="501A1630" w:rsidR="00C345F6" w:rsidRPr="00087B72" w:rsidRDefault="00D4611B" w:rsidP="00087B72">
            <w:pPr>
              <w:pStyle w:val="BodyText"/>
              <w:numPr>
                <w:ilvl w:val="0"/>
                <w:numId w:val="41"/>
              </w:numPr>
              <w:spacing w:before="0" w:after="80"/>
              <w:ind w:left="738" w:hanging="28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D16FA5">
              <w:rPr>
                <w:rFonts w:ascii="Arial" w:hAnsi="Arial" w:cs="Arial"/>
                <w:sz w:val="20"/>
                <w:szCs w:val="20"/>
              </w:rPr>
              <w:t>Support for the development of training courses, conferences, and education materials for the continuing professional development of the workforce</w:t>
            </w:r>
            <w:r w:rsidR="000D6C21">
              <w:rPr>
                <w:rFonts w:ascii="Arial" w:hAnsi="Arial" w:cs="Arial"/>
                <w:sz w:val="20"/>
                <w:szCs w:val="20"/>
              </w:rPr>
              <w:t>.</w:t>
            </w:r>
          </w:p>
        </w:tc>
      </w:tr>
    </w:tbl>
    <w:bookmarkEnd w:id="19"/>
    <w:p w14:paraId="7D25EB07" w14:textId="1885DBC6" w:rsidR="00AA0C5A" w:rsidRDefault="00565326" w:rsidP="00AA0C5A">
      <w:r>
        <w:rPr>
          <w:noProof/>
          <w:lang w:val="en-AU" w:eastAsia="en-AU"/>
        </w:rPr>
        <w:lastRenderedPageBreak/>
        <w:drawing>
          <wp:anchor distT="0" distB="0" distL="114300" distR="114300" simplePos="0" relativeHeight="251643392" behindDoc="1" locked="0" layoutInCell="1" allowOverlap="1" wp14:anchorId="5F796CE2" wp14:editId="3679AAAB">
            <wp:simplePos x="0" y="0"/>
            <wp:positionH relativeFrom="column">
              <wp:posOffset>-887730</wp:posOffset>
            </wp:positionH>
            <wp:positionV relativeFrom="paragraph">
              <wp:posOffset>-903799</wp:posOffset>
            </wp:positionV>
            <wp:extent cx="7549888" cy="10655300"/>
            <wp:effectExtent l="0" t="0" r="0" b="0"/>
            <wp:wrapNone/>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val="0"/>
                        </a:ext>
                      </a:extLst>
                    </a:blip>
                    <a:srcRect b="8277"/>
                    <a:stretch/>
                  </pic:blipFill>
                  <pic:spPr bwMode="auto">
                    <a:xfrm>
                      <a:off x="0" y="0"/>
                      <a:ext cx="7549888" cy="1065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5F0696" w14:textId="35077AC6" w:rsidR="00AA0C5A" w:rsidRDefault="00AA0C5A" w:rsidP="00AA0C5A"/>
    <w:p w14:paraId="5BCC3E1A" w14:textId="151613A1" w:rsidR="005E6178" w:rsidRDefault="005E6178" w:rsidP="0073198B">
      <w:pPr>
        <w:rPr>
          <w:lang w:eastAsia="zh-CN"/>
        </w:rPr>
      </w:pPr>
    </w:p>
    <w:p w14:paraId="61A71F74" w14:textId="742C35EC" w:rsidR="00E275F9" w:rsidRPr="0073198B" w:rsidRDefault="00987D7F" w:rsidP="0073198B">
      <w:pPr>
        <w:pStyle w:val="Heading1-NOTinTOC"/>
        <w:rPr>
          <w:szCs w:val="56"/>
        </w:rPr>
      </w:pPr>
      <w:r w:rsidRPr="0073198B">
        <w:rPr>
          <w:szCs w:val="56"/>
        </w:rPr>
        <w:t>INTRODUCTION</w:t>
      </w:r>
    </w:p>
    <w:p w14:paraId="3AA3BA0B" w14:textId="2A536DFD" w:rsidR="00E25D04" w:rsidRDefault="00761D9B" w:rsidP="0073198B">
      <w:pPr>
        <w:rPr>
          <w:lang w:eastAsia="zh-CN"/>
        </w:rPr>
      </w:pPr>
      <w:r w:rsidRPr="004E1133">
        <w:rPr>
          <w:lang w:eastAsia="zh-CN"/>
        </w:rPr>
        <w:br w:type="page"/>
      </w:r>
    </w:p>
    <w:p w14:paraId="2B6E8B05" w14:textId="72641AA1" w:rsidR="00987D7F" w:rsidRDefault="00987D7F" w:rsidP="00B55CE6">
      <w:pPr>
        <w:pStyle w:val="Heading1"/>
        <w:rPr>
          <w:lang w:eastAsia="zh-CN"/>
        </w:rPr>
      </w:pPr>
      <w:bookmarkStart w:id="21" w:name="_Toc79071687"/>
      <w:bookmarkStart w:id="22" w:name="_Toc79071873"/>
      <w:bookmarkStart w:id="23" w:name="_Toc79154185"/>
      <w:bookmarkStart w:id="24" w:name="_Toc79154278"/>
      <w:bookmarkStart w:id="25" w:name="_Toc79154754"/>
      <w:bookmarkStart w:id="26" w:name="_Toc79570824"/>
      <w:bookmarkStart w:id="27" w:name="_Toc90456668"/>
      <w:r w:rsidRPr="0073198B">
        <w:rPr>
          <w:noProof/>
          <w:lang w:val="en-AU" w:eastAsia="en-AU"/>
        </w:rPr>
        <w:lastRenderedPageBreak/>
        <mc:AlternateContent>
          <mc:Choice Requires="wpg">
            <w:drawing>
              <wp:anchor distT="0" distB="0" distL="114300" distR="114300" simplePos="0" relativeHeight="251644416" behindDoc="0" locked="0" layoutInCell="1" allowOverlap="1" wp14:anchorId="42F7C776" wp14:editId="587D8FD9">
                <wp:simplePos x="0" y="0"/>
                <wp:positionH relativeFrom="column">
                  <wp:posOffset>-1283335</wp:posOffset>
                </wp:positionH>
                <wp:positionV relativeFrom="paragraph">
                  <wp:posOffset>-289617</wp:posOffset>
                </wp:positionV>
                <wp:extent cx="787222" cy="782411"/>
                <wp:effectExtent l="171450" t="171450" r="165735" b="17018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7222" cy="782411"/>
                          <a:chOff x="0" y="0"/>
                          <a:chExt cx="787222" cy="782411"/>
                        </a:xfrm>
                      </wpg:grpSpPr>
                      <wps:wsp>
                        <wps:cNvPr id="14" name="Rectangle 14"/>
                        <wps:cNvSpPr/>
                        <wps:spPr>
                          <a:xfrm rot="2700000">
                            <a:off x="17941" y="13131"/>
                            <a:ext cx="765125" cy="77343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rot="2700000">
                            <a:off x="0" y="0"/>
                            <a:ext cx="773289" cy="773289"/>
                          </a:xfrm>
                          <a:prstGeom prst="rect">
                            <a:avLst/>
                          </a:prstGeom>
                          <a:solidFill>
                            <a:srgbClr val="0E41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607FDE" id="Group 1" o:spid="_x0000_s1026" alt="&quot;&quot;" style="position:absolute;margin-left:-101.05pt;margin-top:-22.8pt;width:62pt;height:61.6pt;z-index:251644416" coordsize="7872,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">
                <v:rect id="Rectangle 14" o:spid="_x0000_s1027" style="position:absolute;left:179;top:130;width:7652;height:773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" fillcolor="red" stroked="f" strokeweight="1pt"/>
                <v:rect id="Rectangle 15" o:spid="_x0000_s1028" style="position:absolute;width:7732;height:7732;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" fillcolor="#0e4168" stroked="f" strokeweight="1pt"/>
              </v:group>
            </w:pict>
          </mc:Fallback>
        </mc:AlternateContent>
      </w:r>
      <w:bookmarkStart w:id="28" w:name="_Toc79056706"/>
      <w:bookmarkEnd w:id="21"/>
      <w:bookmarkEnd w:id="22"/>
      <w:bookmarkEnd w:id="23"/>
      <w:bookmarkEnd w:id="24"/>
      <w:bookmarkEnd w:id="25"/>
      <w:bookmarkEnd w:id="26"/>
      <w:r w:rsidR="005C4477">
        <w:rPr>
          <w:lang w:eastAsia="zh-CN"/>
        </w:rPr>
        <w:t>I</w:t>
      </w:r>
      <w:r>
        <w:rPr>
          <w:lang w:eastAsia="zh-CN"/>
        </w:rPr>
        <w:t>ntroduction</w:t>
      </w:r>
      <w:bookmarkEnd w:id="27"/>
      <w:bookmarkEnd w:id="28"/>
    </w:p>
    <w:p w14:paraId="4AD80433" w14:textId="77777777" w:rsidR="00987D7F" w:rsidRDefault="00987D7F" w:rsidP="00987D7F">
      <w:pPr>
        <w:pStyle w:val="Heading2"/>
        <w:rPr>
          <w:lang w:eastAsia="zh-CN"/>
        </w:rPr>
      </w:pPr>
      <w:bookmarkStart w:id="29" w:name="_Toc79056707"/>
      <w:bookmarkStart w:id="30" w:name="_Toc79071689"/>
      <w:bookmarkStart w:id="31" w:name="_Toc79071875"/>
      <w:bookmarkStart w:id="32" w:name="_Toc79154187"/>
      <w:bookmarkStart w:id="33" w:name="_Toc79154280"/>
      <w:bookmarkStart w:id="34" w:name="_Toc79154756"/>
      <w:bookmarkStart w:id="35" w:name="_Toc79570826"/>
      <w:bookmarkStart w:id="36" w:name="_Toc90456669"/>
      <w:r>
        <w:rPr>
          <w:lang w:eastAsia="zh-CN"/>
        </w:rPr>
        <w:t>Purpose</w:t>
      </w:r>
      <w:bookmarkEnd w:id="29"/>
      <w:bookmarkEnd w:id="30"/>
      <w:bookmarkEnd w:id="31"/>
      <w:bookmarkEnd w:id="32"/>
      <w:bookmarkEnd w:id="33"/>
      <w:bookmarkEnd w:id="34"/>
      <w:bookmarkEnd w:id="35"/>
      <w:bookmarkEnd w:id="36"/>
    </w:p>
    <w:p w14:paraId="5C25FA02" w14:textId="129C17DD" w:rsidR="00987D7F" w:rsidRDefault="00987D7F" w:rsidP="00987D7F">
      <w:pPr>
        <w:pStyle w:val="BodyText"/>
        <w:jc w:val="both"/>
        <w:rPr>
          <w:rFonts w:ascii="Arial" w:hAnsi="Arial" w:cs="Arial"/>
          <w:lang w:eastAsia="zh-CN"/>
        </w:rPr>
      </w:pPr>
      <w:r w:rsidRPr="006F7E13">
        <w:rPr>
          <w:rFonts w:ascii="Arial" w:hAnsi="Arial" w:cs="Arial"/>
          <w:lang w:eastAsia="zh-CN"/>
        </w:rPr>
        <w:t>Th</w:t>
      </w:r>
      <w:r>
        <w:rPr>
          <w:rFonts w:ascii="Arial" w:hAnsi="Arial" w:cs="Arial"/>
          <w:lang w:eastAsia="zh-CN"/>
        </w:rPr>
        <w:t xml:space="preserve">is report sets out the </w:t>
      </w:r>
      <w:r w:rsidR="003964AA">
        <w:rPr>
          <w:rFonts w:ascii="Arial" w:hAnsi="Arial" w:cs="Arial"/>
          <w:lang w:eastAsia="zh-CN"/>
        </w:rPr>
        <w:t>2022</w:t>
      </w:r>
      <w:r>
        <w:rPr>
          <w:rFonts w:ascii="Arial" w:hAnsi="Arial" w:cs="Arial"/>
          <w:lang w:eastAsia="zh-CN"/>
        </w:rPr>
        <w:t>-27 Priorities</w:t>
      </w:r>
      <w:r w:rsidR="003964AA">
        <w:rPr>
          <w:rFonts w:ascii="Arial" w:hAnsi="Arial" w:cs="Arial"/>
          <w:lang w:eastAsia="zh-CN"/>
        </w:rPr>
        <w:t xml:space="preserve"> </w:t>
      </w:r>
      <w:r w:rsidR="0062137E">
        <w:rPr>
          <w:rFonts w:ascii="Arial" w:hAnsi="Arial" w:cs="Arial"/>
          <w:lang w:eastAsia="zh-CN"/>
        </w:rPr>
        <w:t>and</w:t>
      </w:r>
      <w:r>
        <w:rPr>
          <w:rFonts w:ascii="Arial" w:hAnsi="Arial" w:cs="Arial"/>
          <w:lang w:eastAsia="zh-CN"/>
        </w:rPr>
        <w:t xml:space="preserve"> outlines a framework to monitor progress against the </w:t>
      </w:r>
      <w:r w:rsidR="003964AA">
        <w:rPr>
          <w:rFonts w:ascii="Arial" w:hAnsi="Arial" w:cs="Arial"/>
          <w:lang w:eastAsia="zh-CN"/>
        </w:rPr>
        <w:t>2022</w:t>
      </w:r>
      <w:r>
        <w:rPr>
          <w:rFonts w:ascii="Arial" w:hAnsi="Arial" w:cs="Arial"/>
          <w:lang w:eastAsia="zh-CN"/>
        </w:rPr>
        <w:t xml:space="preserve">-27 Priorities. </w:t>
      </w:r>
    </w:p>
    <w:p w14:paraId="37F504A1" w14:textId="3BE73BE9" w:rsidR="00987D7F" w:rsidRDefault="00987D7F" w:rsidP="00987D7F">
      <w:pPr>
        <w:pStyle w:val="Heading2"/>
        <w:rPr>
          <w:lang w:eastAsia="zh-CN"/>
        </w:rPr>
      </w:pPr>
      <w:bookmarkStart w:id="37" w:name="_Toc79056708"/>
      <w:bookmarkStart w:id="38" w:name="_Toc79071690"/>
      <w:bookmarkStart w:id="39" w:name="_Toc79071876"/>
      <w:bookmarkStart w:id="40" w:name="_Toc79154188"/>
      <w:bookmarkStart w:id="41" w:name="_Toc79154281"/>
      <w:bookmarkStart w:id="42" w:name="_Toc79154757"/>
      <w:bookmarkStart w:id="43" w:name="_Toc79570827"/>
      <w:bookmarkStart w:id="44" w:name="_Toc90456670"/>
      <w:r>
        <w:rPr>
          <w:lang w:eastAsia="zh-CN"/>
        </w:rPr>
        <w:t>Report structure</w:t>
      </w:r>
      <w:bookmarkEnd w:id="37"/>
      <w:bookmarkEnd w:id="38"/>
      <w:bookmarkEnd w:id="39"/>
      <w:bookmarkEnd w:id="40"/>
      <w:bookmarkEnd w:id="41"/>
      <w:bookmarkEnd w:id="42"/>
      <w:bookmarkEnd w:id="43"/>
      <w:bookmarkEnd w:id="44"/>
    </w:p>
    <w:p w14:paraId="4DBF6F87" w14:textId="77777777" w:rsidR="00987D7F" w:rsidRDefault="00987D7F" w:rsidP="00987D7F">
      <w:pPr>
        <w:pStyle w:val="BodyText"/>
        <w:rPr>
          <w:rFonts w:ascii="Arial" w:hAnsi="Arial" w:cs="Arial"/>
          <w:lang w:eastAsia="zh-CN"/>
        </w:rPr>
      </w:pPr>
      <w:r>
        <w:rPr>
          <w:rFonts w:ascii="Arial" w:hAnsi="Arial" w:cs="Arial"/>
          <w:lang w:eastAsia="zh-CN"/>
        </w:rPr>
        <w:t>The remainder of this report is set out as follows:</w:t>
      </w:r>
    </w:p>
    <w:p w14:paraId="44265C1E" w14:textId="68FB4839" w:rsidR="00987D7F" w:rsidRDefault="0013686B" w:rsidP="00987D7F">
      <w:pPr>
        <w:pStyle w:val="BodyText"/>
        <w:numPr>
          <w:ilvl w:val="0"/>
          <w:numId w:val="17"/>
        </w:numPr>
        <w:rPr>
          <w:rFonts w:ascii="Arial" w:hAnsi="Arial" w:cs="Arial"/>
          <w:lang w:eastAsia="zh-CN"/>
        </w:rPr>
      </w:pPr>
      <w:hyperlink w:anchor="_Context_of_the" w:history="1">
        <w:r w:rsidR="00987D7F" w:rsidRPr="002600E8">
          <w:rPr>
            <w:rStyle w:val="Hyperlink"/>
            <w:rFonts w:ascii="Arial" w:hAnsi="Arial" w:cs="Arial"/>
            <w:lang w:eastAsia="zh-CN"/>
          </w:rPr>
          <w:t>Context of the blood research and development sector</w:t>
        </w:r>
      </w:hyperlink>
    </w:p>
    <w:p w14:paraId="3374945E" w14:textId="49D18D45" w:rsidR="00882C20" w:rsidRPr="0056377E" w:rsidRDefault="002600E8" w:rsidP="00087B72">
      <w:pPr>
        <w:pStyle w:val="BodyText"/>
        <w:ind w:left="720"/>
        <w:jc w:val="both"/>
        <w:rPr>
          <w:rFonts w:ascii="Arial" w:hAnsi="Arial" w:cs="Arial"/>
          <w:lang w:eastAsia="zh-CN"/>
        </w:rPr>
      </w:pPr>
      <w:r>
        <w:rPr>
          <w:rFonts w:ascii="Arial" w:hAnsi="Arial" w:cs="Arial"/>
          <w:lang w:eastAsia="zh-CN"/>
        </w:rPr>
        <w:t>This section</w:t>
      </w:r>
      <w:r w:rsidR="00882C20">
        <w:rPr>
          <w:rFonts w:ascii="Arial" w:hAnsi="Arial" w:cs="Arial"/>
          <w:lang w:eastAsia="zh-CN"/>
        </w:rPr>
        <w:t xml:space="preserve"> outlines the context of the blood research and development sector. It sets out the main funders, main resources, main organisations doing and translating the research, and main organisations updating and implementing research findings. </w:t>
      </w:r>
    </w:p>
    <w:p w14:paraId="0EA8CF15" w14:textId="094C24BF" w:rsidR="00987D7F" w:rsidRDefault="0013686B" w:rsidP="00987D7F">
      <w:pPr>
        <w:pStyle w:val="BodyText"/>
        <w:numPr>
          <w:ilvl w:val="0"/>
          <w:numId w:val="17"/>
        </w:numPr>
        <w:rPr>
          <w:rFonts w:ascii="Arial" w:hAnsi="Arial" w:cs="Arial"/>
          <w:lang w:eastAsia="zh-CN"/>
        </w:rPr>
      </w:pPr>
      <w:hyperlink w:anchor="_2021-27_National_BLOOD" w:history="1">
        <w:r w:rsidR="00B403D6" w:rsidRPr="002600E8">
          <w:rPr>
            <w:rStyle w:val="Hyperlink"/>
            <w:rFonts w:ascii="Arial" w:hAnsi="Arial" w:cs="Arial"/>
            <w:lang w:eastAsia="zh-CN"/>
          </w:rPr>
          <w:t>2022</w:t>
        </w:r>
        <w:r w:rsidR="00987D7F" w:rsidRPr="002600E8">
          <w:rPr>
            <w:rStyle w:val="Hyperlink"/>
            <w:rFonts w:ascii="Arial" w:hAnsi="Arial" w:cs="Arial"/>
            <w:lang w:eastAsia="zh-CN"/>
          </w:rPr>
          <w:t>-27 Priorities</w:t>
        </w:r>
        <w:r w:rsidR="00280E25" w:rsidRPr="002600E8">
          <w:rPr>
            <w:rStyle w:val="Hyperlink"/>
            <w:rFonts w:ascii="Arial" w:hAnsi="Arial" w:cs="Arial"/>
            <w:lang w:eastAsia="zh-CN"/>
          </w:rPr>
          <w:t xml:space="preserve"> </w:t>
        </w:r>
      </w:hyperlink>
    </w:p>
    <w:p w14:paraId="40D35080" w14:textId="492A7459" w:rsidR="00B403D6" w:rsidRPr="0056377E" w:rsidRDefault="002600E8" w:rsidP="00087B72">
      <w:pPr>
        <w:pStyle w:val="BodyText"/>
        <w:ind w:left="720"/>
        <w:rPr>
          <w:rFonts w:ascii="Arial" w:hAnsi="Arial" w:cs="Arial"/>
          <w:lang w:eastAsia="zh-CN"/>
        </w:rPr>
      </w:pPr>
      <w:r>
        <w:rPr>
          <w:rFonts w:ascii="Arial" w:hAnsi="Arial" w:cs="Arial"/>
          <w:lang w:eastAsia="zh-CN"/>
        </w:rPr>
        <w:t xml:space="preserve">This section </w:t>
      </w:r>
      <w:r w:rsidR="00B403D6">
        <w:rPr>
          <w:rFonts w:ascii="Arial" w:hAnsi="Arial" w:cs="Arial"/>
          <w:lang w:eastAsia="zh-CN"/>
        </w:rPr>
        <w:t>sets out the 2022-27 Priorities, including the research activities for each priority</w:t>
      </w:r>
      <w:r w:rsidR="00931002">
        <w:rPr>
          <w:rFonts w:ascii="Arial" w:hAnsi="Arial" w:cs="Arial"/>
          <w:lang w:eastAsia="zh-CN"/>
        </w:rPr>
        <w:t xml:space="preserve"> </w:t>
      </w:r>
      <w:r w:rsidR="00931002">
        <w:rPr>
          <w:rFonts w:ascii="Arial" w:hAnsi="Arial" w:cs="Arial"/>
        </w:rPr>
        <w:t>along with descriptors and context for the enablers</w:t>
      </w:r>
      <w:r w:rsidR="00B403D6">
        <w:rPr>
          <w:rFonts w:ascii="Arial" w:hAnsi="Arial" w:cs="Arial"/>
          <w:lang w:eastAsia="zh-CN"/>
        </w:rPr>
        <w:t>. The section also explains what aspects of the document review and consultation process informed the development of the relevant priority or enabler</w:t>
      </w:r>
      <w:r w:rsidR="00931002">
        <w:rPr>
          <w:rFonts w:ascii="Arial" w:hAnsi="Arial" w:cs="Arial"/>
          <w:lang w:eastAsia="zh-CN"/>
        </w:rPr>
        <w:t>.</w:t>
      </w:r>
    </w:p>
    <w:p w14:paraId="7D1D067B" w14:textId="4C46457D" w:rsidR="00987D7F" w:rsidRDefault="0013686B" w:rsidP="00987D7F">
      <w:pPr>
        <w:pStyle w:val="BodyText"/>
        <w:numPr>
          <w:ilvl w:val="0"/>
          <w:numId w:val="17"/>
        </w:numPr>
        <w:jc w:val="both"/>
        <w:rPr>
          <w:rFonts w:ascii="Arial" w:hAnsi="Arial" w:cs="Arial"/>
          <w:lang w:eastAsia="zh-CN"/>
        </w:rPr>
      </w:pPr>
      <w:hyperlink w:anchor="_Monitoring_plan" w:history="1">
        <w:r w:rsidR="00987D7F" w:rsidRPr="002600E8">
          <w:rPr>
            <w:rStyle w:val="Hyperlink"/>
            <w:rFonts w:ascii="Arial" w:hAnsi="Arial" w:cs="Arial"/>
            <w:lang w:eastAsia="zh-CN"/>
          </w:rPr>
          <w:t>Monitoring Plan</w:t>
        </w:r>
      </w:hyperlink>
    </w:p>
    <w:p w14:paraId="194587FA" w14:textId="2F75EDB7" w:rsidR="00B6635F" w:rsidRDefault="002600E8" w:rsidP="00087B72">
      <w:pPr>
        <w:pStyle w:val="BodyText"/>
        <w:ind w:left="720"/>
        <w:jc w:val="both"/>
        <w:rPr>
          <w:rFonts w:ascii="Arial" w:hAnsi="Arial" w:cs="Arial"/>
          <w:lang w:eastAsia="zh-CN"/>
        </w:rPr>
      </w:pPr>
      <w:r>
        <w:rPr>
          <w:rFonts w:ascii="Arial" w:hAnsi="Arial" w:cs="Arial"/>
          <w:lang w:eastAsia="zh-CN"/>
        </w:rPr>
        <w:t>This section</w:t>
      </w:r>
      <w:r w:rsidR="00B6635F">
        <w:rPr>
          <w:rFonts w:ascii="Arial" w:hAnsi="Arial" w:cs="Arial"/>
          <w:lang w:eastAsia="zh-CN"/>
        </w:rPr>
        <w:t xml:space="preserve"> outlines a</w:t>
      </w:r>
      <w:r w:rsidR="00931002">
        <w:rPr>
          <w:rFonts w:ascii="Arial" w:hAnsi="Arial" w:cs="Arial"/>
          <w:lang w:eastAsia="zh-CN"/>
        </w:rPr>
        <w:t xml:space="preserve"> proposed</w:t>
      </w:r>
      <w:r w:rsidR="00B6635F">
        <w:rPr>
          <w:rFonts w:ascii="Arial" w:hAnsi="Arial" w:cs="Arial"/>
          <w:lang w:eastAsia="zh-CN"/>
        </w:rPr>
        <w:t xml:space="preserve"> monitoring plan for the 2022-27 Priorities, setting out what </w:t>
      </w:r>
      <w:r w:rsidR="00931002">
        <w:rPr>
          <w:rFonts w:ascii="Arial" w:hAnsi="Arial" w:cs="Arial"/>
          <w:lang w:eastAsia="zh-CN"/>
        </w:rPr>
        <w:t xml:space="preserve">could </w:t>
      </w:r>
      <w:r w:rsidR="00B6635F">
        <w:rPr>
          <w:rFonts w:ascii="Arial" w:hAnsi="Arial" w:cs="Arial"/>
          <w:lang w:eastAsia="zh-CN"/>
        </w:rPr>
        <w:t>be put in place in 202</w:t>
      </w:r>
      <w:r w:rsidR="003964AA">
        <w:rPr>
          <w:rFonts w:ascii="Arial" w:hAnsi="Arial" w:cs="Arial"/>
          <w:lang w:eastAsia="zh-CN"/>
        </w:rPr>
        <w:t>2</w:t>
      </w:r>
      <w:r w:rsidR="00B6635F">
        <w:rPr>
          <w:rFonts w:ascii="Arial" w:hAnsi="Arial" w:cs="Arial"/>
          <w:lang w:eastAsia="zh-CN"/>
        </w:rPr>
        <w:t xml:space="preserve"> and beyond to enable monitoring of progress. </w:t>
      </w:r>
    </w:p>
    <w:p w14:paraId="5D8EA32E" w14:textId="77777777" w:rsidR="00987D7F" w:rsidRDefault="00987D7F" w:rsidP="00987D7F">
      <w:pPr>
        <w:pStyle w:val="BodyText"/>
        <w:numPr>
          <w:ilvl w:val="0"/>
          <w:numId w:val="17"/>
        </w:numPr>
        <w:jc w:val="both"/>
        <w:rPr>
          <w:rFonts w:ascii="Arial" w:hAnsi="Arial" w:cs="Arial"/>
          <w:lang w:eastAsia="zh-CN"/>
        </w:rPr>
      </w:pPr>
      <w:r>
        <w:rPr>
          <w:rFonts w:ascii="Arial" w:hAnsi="Arial" w:cs="Arial"/>
          <w:lang w:eastAsia="zh-CN"/>
        </w:rPr>
        <w:t>Appendices</w:t>
      </w:r>
    </w:p>
    <w:p w14:paraId="4416F759" w14:textId="10535BE7" w:rsidR="00987D7F" w:rsidRDefault="0013686B" w:rsidP="00987D7F">
      <w:pPr>
        <w:pStyle w:val="BodyText"/>
        <w:numPr>
          <w:ilvl w:val="1"/>
          <w:numId w:val="17"/>
        </w:numPr>
        <w:jc w:val="both"/>
        <w:rPr>
          <w:rFonts w:ascii="Arial" w:hAnsi="Arial" w:cs="Arial"/>
          <w:lang w:eastAsia="zh-CN"/>
        </w:rPr>
      </w:pPr>
      <w:hyperlink w:anchor="_Appendix_A_-" w:history="1">
        <w:r w:rsidR="0080431D" w:rsidRPr="004D365B">
          <w:rPr>
            <w:rStyle w:val="Hyperlink"/>
            <w:rFonts w:ascii="Arial" w:hAnsi="Arial" w:cs="Arial"/>
            <w:lang w:eastAsia="zh-CN"/>
          </w:rPr>
          <w:t>Appendix A</w:t>
        </w:r>
      </w:hyperlink>
      <w:r w:rsidR="0080431D">
        <w:rPr>
          <w:rFonts w:ascii="Arial" w:hAnsi="Arial" w:cs="Arial"/>
          <w:lang w:eastAsia="zh-CN"/>
        </w:rPr>
        <w:t xml:space="preserve"> </w:t>
      </w:r>
      <w:r w:rsidR="001115EA" w:rsidRPr="0056377E">
        <w:rPr>
          <w:rFonts w:ascii="Arial" w:hAnsi="Arial" w:cs="Arial"/>
          <w:lang w:eastAsia="zh-CN"/>
        </w:rPr>
        <w:t>–</w:t>
      </w:r>
      <w:r w:rsidR="001115EA">
        <w:rPr>
          <w:rFonts w:ascii="Arial" w:hAnsi="Arial" w:cs="Arial"/>
          <w:lang w:eastAsia="zh-CN"/>
        </w:rPr>
        <w:t xml:space="preserve"> </w:t>
      </w:r>
      <w:r w:rsidR="00987D7F">
        <w:rPr>
          <w:rFonts w:ascii="Arial" w:hAnsi="Arial" w:cs="Arial"/>
          <w:lang w:eastAsia="zh-CN"/>
        </w:rPr>
        <w:t xml:space="preserve">Background </w:t>
      </w:r>
    </w:p>
    <w:p w14:paraId="4A0B1F21" w14:textId="168F826B" w:rsidR="00B6635F" w:rsidRDefault="00B6635F" w:rsidP="00087B72">
      <w:pPr>
        <w:pStyle w:val="BodyText"/>
        <w:ind w:left="1440"/>
        <w:jc w:val="both"/>
        <w:rPr>
          <w:rFonts w:ascii="Arial" w:hAnsi="Arial" w:cs="Arial"/>
          <w:lang w:eastAsia="zh-CN"/>
        </w:rPr>
      </w:pPr>
      <w:r>
        <w:rPr>
          <w:rFonts w:ascii="Arial" w:hAnsi="Arial" w:cs="Arial"/>
          <w:lang w:eastAsia="zh-CN"/>
        </w:rPr>
        <w:t>Appendix A outlines the background to the development of the 2022-27 Priorities. This includes outlining the NBA’s research and development role, the 2013-16 Priorities and the services the NBA engaged to support its development of the 2022-27 Priorities.</w:t>
      </w:r>
    </w:p>
    <w:p w14:paraId="401BF0CA" w14:textId="13571658" w:rsidR="00987D7F" w:rsidRDefault="0013686B" w:rsidP="00987D7F">
      <w:pPr>
        <w:pStyle w:val="BodyText"/>
        <w:numPr>
          <w:ilvl w:val="1"/>
          <w:numId w:val="17"/>
        </w:numPr>
        <w:jc w:val="both"/>
        <w:rPr>
          <w:rFonts w:ascii="Arial" w:hAnsi="Arial" w:cs="Arial"/>
          <w:lang w:eastAsia="zh-CN"/>
        </w:rPr>
      </w:pPr>
      <w:hyperlink w:anchor="_Appendix_B_-" w:history="1">
        <w:r w:rsidR="0080431D" w:rsidRPr="004D365B">
          <w:rPr>
            <w:rStyle w:val="Hyperlink"/>
            <w:rFonts w:ascii="Arial" w:hAnsi="Arial" w:cs="Arial"/>
            <w:lang w:eastAsia="zh-CN"/>
          </w:rPr>
          <w:t>Appendix B</w:t>
        </w:r>
      </w:hyperlink>
      <w:r w:rsidR="0080431D">
        <w:rPr>
          <w:rFonts w:ascii="Arial" w:hAnsi="Arial" w:cs="Arial"/>
          <w:lang w:eastAsia="zh-CN"/>
        </w:rPr>
        <w:t xml:space="preserve"> </w:t>
      </w:r>
      <w:r w:rsidR="001115EA" w:rsidRPr="0056377E">
        <w:rPr>
          <w:rFonts w:ascii="Arial" w:hAnsi="Arial" w:cs="Arial"/>
          <w:lang w:eastAsia="zh-CN"/>
        </w:rPr>
        <w:t>–</w:t>
      </w:r>
      <w:r w:rsidR="001115EA">
        <w:rPr>
          <w:rFonts w:ascii="Arial" w:hAnsi="Arial" w:cs="Arial"/>
          <w:lang w:eastAsia="zh-CN"/>
        </w:rPr>
        <w:t xml:space="preserve"> </w:t>
      </w:r>
      <w:r w:rsidR="00987D7F">
        <w:rPr>
          <w:rFonts w:ascii="Arial" w:hAnsi="Arial" w:cs="Arial"/>
          <w:lang w:eastAsia="zh-CN"/>
        </w:rPr>
        <w:t>Methodology</w:t>
      </w:r>
    </w:p>
    <w:p w14:paraId="060BB6B4" w14:textId="77777777" w:rsidR="00B6635F" w:rsidRDefault="00B6635F" w:rsidP="00087B72">
      <w:pPr>
        <w:pStyle w:val="BodyText"/>
        <w:ind w:left="1440"/>
        <w:jc w:val="both"/>
        <w:rPr>
          <w:rFonts w:ascii="Arial" w:hAnsi="Arial" w:cs="Arial"/>
        </w:rPr>
      </w:pPr>
      <w:r>
        <w:rPr>
          <w:rFonts w:ascii="Arial" w:hAnsi="Arial" w:cs="Arial"/>
          <w:lang w:eastAsia="zh-CN"/>
        </w:rPr>
        <w:t>Appendix B</w:t>
      </w:r>
      <w:r w:rsidRPr="0093369C">
        <w:rPr>
          <w:rFonts w:ascii="Arial" w:hAnsi="Arial" w:cs="Arial"/>
        </w:rPr>
        <w:t xml:space="preserve"> outlines the methodology</w:t>
      </w:r>
      <w:r>
        <w:rPr>
          <w:rFonts w:ascii="Arial" w:hAnsi="Arial" w:cs="Arial"/>
        </w:rPr>
        <w:t xml:space="preserve"> used</w:t>
      </w:r>
      <w:r w:rsidRPr="0093369C">
        <w:rPr>
          <w:rFonts w:ascii="Arial" w:hAnsi="Arial" w:cs="Arial"/>
        </w:rPr>
        <w:t xml:space="preserve"> by the Review. This </w:t>
      </w:r>
      <w:r>
        <w:rPr>
          <w:rFonts w:ascii="Arial" w:hAnsi="Arial" w:cs="Arial"/>
        </w:rPr>
        <w:t>section</w:t>
      </w:r>
      <w:r w:rsidRPr="0093369C">
        <w:rPr>
          <w:rFonts w:ascii="Arial" w:hAnsi="Arial" w:cs="Arial"/>
        </w:rPr>
        <w:t xml:space="preserve"> describes </w:t>
      </w:r>
      <w:r>
        <w:rPr>
          <w:rFonts w:ascii="Arial" w:hAnsi="Arial" w:cs="Arial"/>
        </w:rPr>
        <w:t>the</w:t>
      </w:r>
      <w:r w:rsidRPr="0093369C">
        <w:rPr>
          <w:rFonts w:ascii="Arial" w:hAnsi="Arial" w:cs="Arial"/>
        </w:rPr>
        <w:t xml:space="preserve"> document review and stakeholder engagement process. It summarises who </w:t>
      </w:r>
      <w:r>
        <w:rPr>
          <w:rFonts w:ascii="Arial" w:hAnsi="Arial" w:cs="Arial"/>
        </w:rPr>
        <w:t>was</w:t>
      </w:r>
      <w:r w:rsidRPr="0093369C">
        <w:rPr>
          <w:rFonts w:ascii="Arial" w:hAnsi="Arial" w:cs="Arial"/>
        </w:rPr>
        <w:t xml:space="preserve"> engaged to inform the Review, including the number of and types of stakeholders. It also outlines when and how stakeholders we</w:t>
      </w:r>
      <w:r>
        <w:rPr>
          <w:rFonts w:ascii="Arial" w:hAnsi="Arial" w:cs="Arial"/>
        </w:rPr>
        <w:t>re</w:t>
      </w:r>
      <w:r w:rsidRPr="0093369C">
        <w:rPr>
          <w:rFonts w:ascii="Arial" w:hAnsi="Arial" w:cs="Arial"/>
        </w:rPr>
        <w:t xml:space="preserve"> engaged and describes how</w:t>
      </w:r>
      <w:r>
        <w:rPr>
          <w:rFonts w:ascii="Arial" w:hAnsi="Arial" w:cs="Arial"/>
        </w:rPr>
        <w:t xml:space="preserve"> </w:t>
      </w:r>
      <w:r w:rsidRPr="0093369C">
        <w:rPr>
          <w:rFonts w:ascii="Arial" w:hAnsi="Arial" w:cs="Arial"/>
        </w:rPr>
        <w:t xml:space="preserve">their feedback </w:t>
      </w:r>
      <w:r>
        <w:rPr>
          <w:rFonts w:ascii="Arial" w:hAnsi="Arial" w:cs="Arial"/>
        </w:rPr>
        <w:t xml:space="preserve">has been used </w:t>
      </w:r>
      <w:r w:rsidRPr="0093369C">
        <w:rPr>
          <w:rFonts w:ascii="Arial" w:hAnsi="Arial" w:cs="Arial"/>
        </w:rPr>
        <w:t>to inform the Review.</w:t>
      </w:r>
    </w:p>
    <w:p w14:paraId="0AF15EF6" w14:textId="02D3493B" w:rsidR="00987D7F" w:rsidRPr="0056377E" w:rsidRDefault="0013686B" w:rsidP="00987D7F">
      <w:pPr>
        <w:pStyle w:val="BodyText"/>
        <w:numPr>
          <w:ilvl w:val="1"/>
          <w:numId w:val="17"/>
        </w:numPr>
        <w:jc w:val="both"/>
        <w:rPr>
          <w:rFonts w:ascii="Arial" w:hAnsi="Arial" w:cs="Arial"/>
          <w:lang w:eastAsia="zh-CN"/>
        </w:rPr>
      </w:pPr>
      <w:hyperlink w:anchor="_Appendix_C_-" w:history="1">
        <w:r w:rsidR="0080431D" w:rsidRPr="004D365B">
          <w:rPr>
            <w:rStyle w:val="Hyperlink"/>
            <w:rFonts w:ascii="Arial" w:hAnsi="Arial" w:cs="Arial"/>
            <w:lang w:eastAsia="zh-CN"/>
          </w:rPr>
          <w:t>Appendix C</w:t>
        </w:r>
      </w:hyperlink>
      <w:r w:rsidR="0080431D">
        <w:rPr>
          <w:rFonts w:ascii="Arial" w:hAnsi="Arial" w:cs="Arial"/>
          <w:lang w:eastAsia="zh-CN"/>
        </w:rPr>
        <w:t xml:space="preserve"> </w:t>
      </w:r>
      <w:r w:rsidR="001115EA" w:rsidRPr="0056377E">
        <w:rPr>
          <w:rFonts w:ascii="Arial" w:hAnsi="Arial" w:cs="Arial"/>
          <w:lang w:eastAsia="zh-CN"/>
        </w:rPr>
        <w:t>–</w:t>
      </w:r>
      <w:r w:rsidR="001115EA">
        <w:rPr>
          <w:rFonts w:ascii="Arial" w:hAnsi="Arial" w:cs="Arial"/>
          <w:lang w:eastAsia="zh-CN"/>
        </w:rPr>
        <w:t xml:space="preserve"> </w:t>
      </w:r>
      <w:r w:rsidR="00987D7F">
        <w:rPr>
          <w:rFonts w:ascii="Arial" w:hAnsi="Arial" w:cs="Arial"/>
          <w:lang w:eastAsia="zh-CN"/>
        </w:rPr>
        <w:t>Reference</w:t>
      </w:r>
      <w:r w:rsidR="0080431D">
        <w:rPr>
          <w:rFonts w:ascii="Arial" w:hAnsi="Arial" w:cs="Arial"/>
          <w:lang w:eastAsia="zh-CN"/>
        </w:rPr>
        <w:t>s</w:t>
      </w:r>
    </w:p>
    <w:p w14:paraId="4A7EFB6D" w14:textId="1A8AF0A8" w:rsidR="00CE4524" w:rsidRPr="00087B72" w:rsidRDefault="00CE4524" w:rsidP="00087B72">
      <w:pPr>
        <w:pStyle w:val="BodyText"/>
        <w:ind w:left="1440"/>
        <w:jc w:val="both"/>
        <w:rPr>
          <w:rFonts w:ascii="Arial" w:hAnsi="Arial" w:cs="Arial"/>
          <w:lang w:eastAsia="zh-CN"/>
        </w:rPr>
      </w:pPr>
      <w:r w:rsidRPr="00087B72">
        <w:rPr>
          <w:rFonts w:ascii="Arial" w:hAnsi="Arial" w:cs="Arial"/>
          <w:lang w:eastAsia="zh-CN"/>
        </w:rPr>
        <w:t xml:space="preserve">Appendix C sets out the references used to inform the </w:t>
      </w:r>
      <w:r w:rsidR="003964AA" w:rsidRPr="00087B72">
        <w:rPr>
          <w:rFonts w:ascii="Arial" w:hAnsi="Arial" w:cs="Arial"/>
          <w:lang w:eastAsia="zh-CN"/>
        </w:rPr>
        <w:t>202</w:t>
      </w:r>
      <w:r w:rsidR="003964AA">
        <w:rPr>
          <w:rFonts w:ascii="Arial" w:hAnsi="Arial" w:cs="Arial"/>
          <w:lang w:eastAsia="zh-CN"/>
        </w:rPr>
        <w:t>2</w:t>
      </w:r>
      <w:r w:rsidRPr="00087B72">
        <w:rPr>
          <w:rFonts w:ascii="Arial" w:hAnsi="Arial" w:cs="Arial"/>
          <w:lang w:eastAsia="zh-CN"/>
        </w:rPr>
        <w:t>-27 Priorities.</w:t>
      </w:r>
    </w:p>
    <w:p w14:paraId="2673ED5F" w14:textId="262AAB82" w:rsidR="007442C8" w:rsidRDefault="007442C8">
      <w:pPr>
        <w:rPr>
          <w:rFonts w:ascii="Arial" w:hAnsi="Arial" w:cs="Arial"/>
        </w:rPr>
      </w:pPr>
      <w:r>
        <w:rPr>
          <w:rFonts w:ascii="Arial" w:hAnsi="Arial" w:cs="Arial"/>
          <w:lang w:eastAsia="zh-CN"/>
        </w:rPr>
        <w:br w:type="page"/>
      </w:r>
    </w:p>
    <w:p w14:paraId="4E025FFC" w14:textId="3BA1532D" w:rsidR="005817F8" w:rsidRDefault="00AB34E9">
      <w:pPr>
        <w:rPr>
          <w:rFonts w:ascii="Arial" w:hAnsi="Arial" w:cs="Arial"/>
        </w:rPr>
      </w:pPr>
      <w:r>
        <w:rPr>
          <w:noProof/>
          <w:lang w:val="en-AU" w:eastAsia="en-AU"/>
        </w:rPr>
        <w:drawing>
          <wp:anchor distT="0" distB="0" distL="114300" distR="114300" simplePos="0" relativeHeight="251645440" behindDoc="1" locked="0" layoutInCell="1" allowOverlap="1" wp14:anchorId="0085972A" wp14:editId="65BE0938">
            <wp:simplePos x="0" y="0"/>
            <wp:positionH relativeFrom="column">
              <wp:posOffset>-901700</wp:posOffset>
            </wp:positionH>
            <wp:positionV relativeFrom="paragraph">
              <wp:posOffset>-902335</wp:posOffset>
            </wp:positionV>
            <wp:extent cx="7549888" cy="10655300"/>
            <wp:effectExtent l="0" t="0" r="0" b="0"/>
            <wp:wrapNone/>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val="0"/>
                        </a:ext>
                      </a:extLst>
                    </a:blip>
                    <a:srcRect b="8277"/>
                    <a:stretch/>
                  </pic:blipFill>
                  <pic:spPr bwMode="auto">
                    <a:xfrm>
                      <a:off x="0" y="0"/>
                      <a:ext cx="7549888" cy="1065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EC5E27" w14:textId="77777777" w:rsidR="005817F8" w:rsidRDefault="005817F8">
      <w:pPr>
        <w:rPr>
          <w:rFonts w:ascii="Arial" w:hAnsi="Arial" w:cs="Arial"/>
        </w:rPr>
      </w:pPr>
    </w:p>
    <w:p w14:paraId="7298EE51" w14:textId="77777777" w:rsidR="005817F8" w:rsidRPr="0073198B" w:rsidRDefault="005817F8">
      <w:pPr>
        <w:rPr>
          <w:rFonts w:ascii="Arial" w:hAnsi="Arial" w:cs="Arial"/>
          <w:b/>
          <w:bCs/>
        </w:rPr>
      </w:pPr>
    </w:p>
    <w:p w14:paraId="69F75BAB" w14:textId="6053ABF7" w:rsidR="005817F8" w:rsidRDefault="005817F8" w:rsidP="0073198B">
      <w:pPr>
        <w:pStyle w:val="Heading1-NOTinTOC"/>
        <w:rPr>
          <w:rFonts w:ascii="Arial" w:hAnsi="Arial" w:cs="Arial"/>
        </w:rPr>
      </w:pPr>
      <w:r w:rsidRPr="0073198B">
        <w:rPr>
          <w:lang w:eastAsia="zh-CN"/>
        </w:rPr>
        <w:t>CONTEXT OF THE NATIONAL BLOOD RESEARCH AND DEVELOPMENT</w:t>
      </w:r>
      <w:r w:rsidR="00B26C8D">
        <w:rPr>
          <w:lang w:eastAsia="zh-CN"/>
        </w:rPr>
        <w:t xml:space="preserve"> </w:t>
      </w:r>
      <w:r w:rsidRPr="0073198B">
        <w:rPr>
          <w:lang w:eastAsia="zh-CN"/>
        </w:rPr>
        <w:t>SECTOR</w:t>
      </w:r>
      <w:r>
        <w:rPr>
          <w:rFonts w:ascii="Arial" w:hAnsi="Arial" w:cs="Arial"/>
        </w:rPr>
        <w:br w:type="page"/>
      </w:r>
    </w:p>
    <w:p w14:paraId="6E2B7775" w14:textId="4C8062F8" w:rsidR="00F07462" w:rsidRPr="005817F8" w:rsidRDefault="005817F8">
      <w:pPr>
        <w:pStyle w:val="Heading1"/>
        <w:rPr>
          <w:lang w:eastAsia="zh-CN"/>
        </w:rPr>
      </w:pPr>
      <w:bookmarkStart w:id="45" w:name="_Context_of_the"/>
      <w:bookmarkStart w:id="46" w:name="_Toc79056710"/>
      <w:bookmarkStart w:id="47" w:name="_Toc90456671"/>
      <w:bookmarkEnd w:id="45"/>
      <w:r w:rsidRPr="0073198B">
        <w:rPr>
          <w:noProof/>
          <w:lang w:val="en-AU" w:eastAsia="en-AU"/>
        </w:rPr>
        <mc:AlternateContent>
          <mc:Choice Requires="wpg">
            <w:drawing>
              <wp:anchor distT="0" distB="0" distL="114300" distR="114300" simplePos="0" relativeHeight="251646464" behindDoc="0" locked="0" layoutInCell="1" allowOverlap="1" wp14:anchorId="7169A6F0" wp14:editId="64046A2C">
                <wp:simplePos x="0" y="0"/>
                <wp:positionH relativeFrom="column">
                  <wp:posOffset>-1294130</wp:posOffset>
                </wp:positionH>
                <wp:positionV relativeFrom="paragraph">
                  <wp:posOffset>-287077</wp:posOffset>
                </wp:positionV>
                <wp:extent cx="787222" cy="782411"/>
                <wp:effectExtent l="171450" t="171450" r="165735" b="170180"/>
                <wp:wrapNone/>
                <wp:docPr id="68" name="Group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7222" cy="782411"/>
                          <a:chOff x="0" y="0"/>
                          <a:chExt cx="787222" cy="782411"/>
                        </a:xfrm>
                      </wpg:grpSpPr>
                      <wps:wsp>
                        <wps:cNvPr id="69" name="Rectangle 69"/>
                        <wps:cNvSpPr/>
                        <wps:spPr>
                          <a:xfrm rot="2700000">
                            <a:off x="17941" y="13131"/>
                            <a:ext cx="765125" cy="77343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rot="2700000">
                            <a:off x="0" y="0"/>
                            <a:ext cx="773289" cy="773289"/>
                          </a:xfrm>
                          <a:prstGeom prst="rect">
                            <a:avLst/>
                          </a:prstGeom>
                          <a:solidFill>
                            <a:srgbClr val="0E41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5FDCDD" id="Group 68" o:spid="_x0000_s1026" alt="&quot;&quot;" style="position:absolute;margin-left:-101.9pt;margin-top:-22.6pt;width:62pt;height:61.6pt;z-index:251646464" coordsize="7872,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">
                <v:rect id="Rectangle 69" o:spid="_x0000_s1027" style="position:absolute;left:179;top:130;width:7652;height:773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" fillcolor="red" stroked="f" strokeweight="1pt"/>
                <v:rect id="Rectangle 70" o:spid="_x0000_s1028" style="position:absolute;width:7732;height:7732;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" fillcolor="#0e4168" stroked="f" strokeweight="1pt"/>
              </v:group>
            </w:pict>
          </mc:Fallback>
        </mc:AlternateContent>
      </w:r>
      <w:r w:rsidR="00F07462" w:rsidRPr="005817F8">
        <w:rPr>
          <w:lang w:eastAsia="zh-CN"/>
        </w:rPr>
        <w:t>Context of the blood research and development sector</w:t>
      </w:r>
      <w:bookmarkEnd w:id="46"/>
      <w:bookmarkEnd w:id="47"/>
    </w:p>
    <w:p w14:paraId="1492B89F" w14:textId="114F3E11" w:rsidR="00F07462" w:rsidRDefault="00F07462" w:rsidP="00F07462">
      <w:pPr>
        <w:pStyle w:val="ListParagraph"/>
        <w:numPr>
          <w:ilvl w:val="0"/>
          <w:numId w:val="12"/>
        </w:numPr>
        <w:ind w:left="0" w:firstLine="0"/>
        <w:jc w:val="both"/>
        <w:rPr>
          <w:rFonts w:ascii="Arial" w:hAnsi="Arial" w:cs="Arial"/>
          <w:lang w:eastAsia="zh-CN"/>
        </w:rPr>
      </w:pPr>
      <w:r w:rsidRPr="009A6700">
        <w:rPr>
          <w:rFonts w:ascii="Arial" w:hAnsi="Arial" w:cs="Arial"/>
          <w:lang w:eastAsia="zh-CN"/>
        </w:rPr>
        <w:t xml:space="preserve">The </w:t>
      </w:r>
      <w:r w:rsidR="00777D16">
        <w:rPr>
          <w:rFonts w:ascii="Arial" w:hAnsi="Arial" w:cs="Arial"/>
          <w:lang w:eastAsia="zh-CN"/>
        </w:rPr>
        <w:t>2022</w:t>
      </w:r>
      <w:r w:rsidR="00DC28AA">
        <w:rPr>
          <w:rFonts w:ascii="Arial" w:hAnsi="Arial" w:cs="Arial"/>
          <w:lang w:eastAsia="zh-CN"/>
        </w:rPr>
        <w:t xml:space="preserve">-27 </w:t>
      </w:r>
      <w:r w:rsidRPr="009A6700">
        <w:rPr>
          <w:rFonts w:ascii="Arial" w:hAnsi="Arial" w:cs="Arial"/>
          <w:lang w:eastAsia="zh-CN"/>
        </w:rPr>
        <w:t>Priorities</w:t>
      </w:r>
      <w:r w:rsidR="001D2922">
        <w:rPr>
          <w:rFonts w:ascii="Arial" w:hAnsi="Arial" w:cs="Arial"/>
          <w:lang w:eastAsia="zh-CN"/>
        </w:rPr>
        <w:t xml:space="preserve"> </w:t>
      </w:r>
      <w:r w:rsidRPr="009A6700">
        <w:rPr>
          <w:rFonts w:ascii="Arial" w:hAnsi="Arial" w:cs="Arial"/>
          <w:lang w:eastAsia="zh-CN"/>
        </w:rPr>
        <w:t xml:space="preserve">will be delivered within the context of the blood research and development sector. </w:t>
      </w:r>
      <w:r w:rsidR="00DC28AA">
        <w:rPr>
          <w:rFonts w:ascii="Arial" w:hAnsi="Arial" w:cs="Arial"/>
          <w:lang w:eastAsia="zh-CN"/>
        </w:rPr>
        <w:t>This</w:t>
      </w:r>
      <w:r w:rsidRPr="009A6700">
        <w:rPr>
          <w:rFonts w:ascii="Arial" w:hAnsi="Arial" w:cs="Arial"/>
          <w:lang w:eastAsia="zh-CN"/>
        </w:rPr>
        <w:t xml:space="preserve"> sector comprises funders, research and translation organisations, and organisations which implement the research findings.</w:t>
      </w:r>
      <w:r w:rsidR="00537752">
        <w:rPr>
          <w:rFonts w:ascii="Arial" w:hAnsi="Arial" w:cs="Arial"/>
          <w:lang w:eastAsia="zh-CN"/>
        </w:rPr>
        <w:t xml:space="preserve"> </w:t>
      </w:r>
      <w:r>
        <w:rPr>
          <w:rFonts w:ascii="Arial" w:hAnsi="Arial" w:cs="Arial"/>
          <w:lang w:eastAsia="zh-CN"/>
        </w:rPr>
        <w:t>A</w:t>
      </w:r>
      <w:r w:rsidR="00325FF6">
        <w:rPr>
          <w:rFonts w:ascii="Arial" w:hAnsi="Arial" w:cs="Arial"/>
          <w:lang w:eastAsia="zh-CN"/>
        </w:rPr>
        <w:t xml:space="preserve"> sector</w:t>
      </w:r>
      <w:r>
        <w:rPr>
          <w:rFonts w:ascii="Arial" w:hAnsi="Arial" w:cs="Arial"/>
          <w:lang w:eastAsia="zh-CN"/>
        </w:rPr>
        <w:t xml:space="preserve"> overview of the </w:t>
      </w:r>
      <w:r w:rsidRPr="00F85F14">
        <w:rPr>
          <w:rFonts w:ascii="Arial" w:hAnsi="Arial" w:cs="Arial"/>
          <w:lang w:eastAsia="zh-CN"/>
        </w:rPr>
        <w:t>blood research and development sector</w:t>
      </w:r>
      <w:r>
        <w:rPr>
          <w:rFonts w:ascii="Arial" w:hAnsi="Arial" w:cs="Arial"/>
          <w:lang w:eastAsia="zh-CN"/>
        </w:rPr>
        <w:t xml:space="preserve"> is provided in</w:t>
      </w:r>
      <w:r w:rsidR="00F26FB1">
        <w:rPr>
          <w:rFonts w:ascii="Arial" w:hAnsi="Arial" w:cs="Arial"/>
          <w:lang w:eastAsia="zh-CN"/>
        </w:rPr>
        <w:t xml:space="preserve"> Figure 4 </w:t>
      </w:r>
      <w:r>
        <w:rPr>
          <w:rFonts w:ascii="Arial" w:hAnsi="Arial" w:cs="Arial"/>
          <w:lang w:eastAsia="zh-CN"/>
        </w:rPr>
        <w:t>below.</w:t>
      </w:r>
    </w:p>
    <w:p w14:paraId="28A6FB5C" w14:textId="01866215" w:rsidR="00F26FB1" w:rsidRDefault="00F26FB1" w:rsidP="00087B72">
      <w:pPr>
        <w:pStyle w:val="Caption"/>
        <w:rPr>
          <w:rFonts w:ascii="Arial" w:hAnsi="Arial" w:cs="Arial"/>
          <w:lang w:eastAsia="zh-CN"/>
        </w:rPr>
      </w:pPr>
      <w:bookmarkStart w:id="48" w:name="_Toc90462702"/>
      <w:r>
        <w:t xml:space="preserve">Figure </w:t>
      </w:r>
      <w:r>
        <w:fldChar w:fldCharType="begin"/>
      </w:r>
      <w:r>
        <w:instrText xml:space="preserve"> SEQ Figure \* ARABIC </w:instrText>
      </w:r>
      <w:r>
        <w:fldChar w:fldCharType="separate"/>
      </w:r>
      <w:r w:rsidR="00A25C74">
        <w:rPr>
          <w:noProof/>
        </w:rPr>
        <w:t>4</w:t>
      </w:r>
      <w:r>
        <w:fldChar w:fldCharType="end"/>
      </w:r>
      <w:r>
        <w:t>: National Blood Research and Development Sector</w:t>
      </w:r>
      <w:bookmarkEnd w:id="48"/>
    </w:p>
    <w:p w14:paraId="5BC15BA4" w14:textId="5118CC70" w:rsidR="00F07462" w:rsidRDefault="00F07462" w:rsidP="00087B72">
      <w:pPr>
        <w:pStyle w:val="Caption"/>
      </w:pPr>
    </w:p>
    <w:p w14:paraId="23E57F0B" w14:textId="77777777" w:rsidR="00F07462" w:rsidRDefault="00F07462" w:rsidP="00F07462">
      <w:pPr>
        <w:pStyle w:val="Caption"/>
        <w:numPr>
          <w:ilvl w:val="0"/>
          <w:numId w:val="12"/>
        </w:numPr>
      </w:pPr>
      <w:r w:rsidRPr="00791B16">
        <w:rPr>
          <w:noProof/>
          <w:lang w:val="en-AU" w:eastAsia="en-AU"/>
        </w:rPr>
        <w:drawing>
          <wp:inline distT="0" distB="0" distL="0" distR="0" wp14:anchorId="7B49DCE0" wp14:editId="2878348D">
            <wp:extent cx="5760085" cy="1690370"/>
            <wp:effectExtent l="0" t="0" r="0" b="0"/>
            <wp:docPr id="20" name="Graphic 20" descr="Figure 2 - National Blood Research and Development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Figure 2 - National Blood Research and Development Sector"/>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760085" cy="1690370"/>
                    </a:xfrm>
                    <a:prstGeom prst="rect">
                      <a:avLst/>
                    </a:prstGeom>
                  </pic:spPr>
                </pic:pic>
              </a:graphicData>
            </a:graphic>
          </wp:inline>
        </w:drawing>
      </w:r>
    </w:p>
    <w:p w14:paraId="36478204" w14:textId="77777777" w:rsidR="00F07462" w:rsidRDefault="00F07462" w:rsidP="00F07462">
      <w:pPr>
        <w:pStyle w:val="ListParagraph"/>
        <w:numPr>
          <w:ilvl w:val="0"/>
          <w:numId w:val="12"/>
        </w:numPr>
        <w:ind w:left="0" w:firstLine="0"/>
        <w:jc w:val="both"/>
        <w:rPr>
          <w:rFonts w:ascii="Arial" w:hAnsi="Arial" w:cs="Arial"/>
          <w:lang w:eastAsia="zh-CN"/>
        </w:rPr>
      </w:pPr>
    </w:p>
    <w:p w14:paraId="567C38C9" w14:textId="77777777" w:rsidR="00F07462" w:rsidRPr="0057238B" w:rsidRDefault="00F07462" w:rsidP="00F07462">
      <w:pPr>
        <w:pStyle w:val="BodyText"/>
        <w:rPr>
          <w:rFonts w:ascii="Arial" w:hAnsi="Arial" w:cs="Arial"/>
          <w:lang w:val="en-AU"/>
        </w:rPr>
      </w:pPr>
      <w:r w:rsidRPr="0057238B">
        <w:rPr>
          <w:rFonts w:ascii="Arial" w:hAnsi="Arial" w:cs="Arial"/>
          <w:b/>
          <w:bCs/>
          <w:lang w:val="en-AU"/>
        </w:rPr>
        <w:t xml:space="preserve">Main funders </w:t>
      </w:r>
    </w:p>
    <w:p w14:paraId="769B610A" w14:textId="2C6AD728" w:rsidR="00F07462" w:rsidRDefault="00F07462" w:rsidP="00F07462">
      <w:pPr>
        <w:pStyle w:val="ListParagraph"/>
        <w:numPr>
          <w:ilvl w:val="0"/>
          <w:numId w:val="12"/>
        </w:numPr>
        <w:ind w:left="0" w:firstLine="0"/>
        <w:jc w:val="both"/>
        <w:rPr>
          <w:rFonts w:ascii="Arial" w:hAnsi="Arial" w:cs="Arial"/>
          <w:lang w:eastAsia="zh-CN"/>
        </w:rPr>
      </w:pPr>
      <w:r>
        <w:rPr>
          <w:rFonts w:ascii="Arial" w:hAnsi="Arial" w:cs="Arial"/>
          <w:lang w:eastAsia="zh-CN"/>
        </w:rPr>
        <w:t>There</w:t>
      </w:r>
      <w:r w:rsidRPr="009A6700">
        <w:rPr>
          <w:rFonts w:ascii="Arial" w:hAnsi="Arial" w:cs="Arial"/>
          <w:lang w:eastAsia="zh-CN"/>
        </w:rPr>
        <w:t xml:space="preserve"> are </w:t>
      </w:r>
      <w:r>
        <w:rPr>
          <w:rFonts w:ascii="Arial" w:hAnsi="Arial" w:cs="Arial"/>
          <w:lang w:eastAsia="zh-CN"/>
        </w:rPr>
        <w:t>multiple</w:t>
      </w:r>
      <w:r w:rsidRPr="009A6700">
        <w:rPr>
          <w:rFonts w:ascii="Arial" w:hAnsi="Arial" w:cs="Arial"/>
          <w:lang w:eastAsia="zh-CN"/>
        </w:rPr>
        <w:t xml:space="preserve"> sources of funding for blood-related research and development</w:t>
      </w:r>
      <w:r>
        <w:rPr>
          <w:rFonts w:ascii="Arial" w:hAnsi="Arial" w:cs="Arial"/>
          <w:lang w:eastAsia="zh-CN"/>
        </w:rPr>
        <w:t xml:space="preserve"> in Australia</w:t>
      </w:r>
      <w:r w:rsidRPr="009A6700">
        <w:rPr>
          <w:rFonts w:ascii="Arial" w:hAnsi="Arial" w:cs="Arial"/>
          <w:lang w:eastAsia="zh-CN"/>
        </w:rPr>
        <w:t xml:space="preserve">. </w:t>
      </w:r>
      <w:r>
        <w:rPr>
          <w:rFonts w:ascii="Arial" w:hAnsi="Arial" w:cs="Arial"/>
          <w:lang w:eastAsia="zh-CN"/>
        </w:rPr>
        <w:t>These include Australian governments, hospitals, higher education, business, not-for-profit organisations and donations from individuals or organisations. An overview of funders is provided in</w:t>
      </w:r>
      <w:r w:rsidR="00F26FB1">
        <w:rPr>
          <w:rFonts w:ascii="Arial" w:hAnsi="Arial" w:cs="Arial"/>
          <w:lang w:eastAsia="zh-CN"/>
        </w:rPr>
        <w:t xml:space="preserve"> Figure 5</w:t>
      </w:r>
      <w:r>
        <w:rPr>
          <w:rFonts w:ascii="Arial" w:hAnsi="Arial" w:cs="Arial"/>
          <w:lang w:eastAsia="zh-CN"/>
        </w:rPr>
        <w:t xml:space="preserve"> </w:t>
      </w:r>
      <w:r w:rsidR="00F26FB1">
        <w:rPr>
          <w:rFonts w:ascii="Arial" w:hAnsi="Arial" w:cs="Arial"/>
          <w:lang w:eastAsia="zh-CN"/>
        </w:rPr>
        <w:t>b</w:t>
      </w:r>
      <w:r>
        <w:rPr>
          <w:rFonts w:ascii="Arial" w:hAnsi="Arial" w:cs="Arial"/>
          <w:lang w:eastAsia="zh-CN"/>
        </w:rPr>
        <w:t>elow.</w:t>
      </w:r>
    </w:p>
    <w:p w14:paraId="6091C547" w14:textId="439A170D" w:rsidR="00F26FB1" w:rsidRDefault="00F26FB1" w:rsidP="00087B72">
      <w:pPr>
        <w:pStyle w:val="Caption"/>
        <w:rPr>
          <w:rFonts w:ascii="Arial" w:hAnsi="Arial" w:cs="Arial"/>
          <w:lang w:eastAsia="zh-CN"/>
        </w:rPr>
      </w:pPr>
      <w:bookmarkStart w:id="49" w:name="_Toc90462703"/>
      <w:r>
        <w:t xml:space="preserve">Figure </w:t>
      </w:r>
      <w:r>
        <w:fldChar w:fldCharType="begin"/>
      </w:r>
      <w:r>
        <w:instrText xml:space="preserve"> SEQ Figure \* ARABIC </w:instrText>
      </w:r>
      <w:r>
        <w:fldChar w:fldCharType="separate"/>
      </w:r>
      <w:r w:rsidR="00A25C74">
        <w:rPr>
          <w:noProof/>
        </w:rPr>
        <w:t>5</w:t>
      </w:r>
      <w:r>
        <w:fldChar w:fldCharType="end"/>
      </w:r>
      <w:r>
        <w:t xml:space="preserve">: </w:t>
      </w:r>
      <w:r w:rsidRPr="00EF39C7">
        <w:t>Research funders</w:t>
      </w:r>
      <w:bookmarkEnd w:id="49"/>
    </w:p>
    <w:p w14:paraId="4C06CE24" w14:textId="2CCEBD8F" w:rsidR="00F07462" w:rsidRDefault="00F07462" w:rsidP="00F07462">
      <w:pPr>
        <w:pStyle w:val="Caption"/>
        <w:numPr>
          <w:ilvl w:val="0"/>
          <w:numId w:val="12"/>
        </w:numPr>
      </w:pPr>
    </w:p>
    <w:p w14:paraId="3C1F1B70" w14:textId="68599B97" w:rsidR="00F07462" w:rsidRDefault="003214E0" w:rsidP="003214E0">
      <w:pPr>
        <w:spacing w:before="120" w:after="120"/>
        <w:jc w:val="center"/>
        <w:rPr>
          <w:rFonts w:ascii="Arial" w:hAnsi="Arial" w:cs="Arial"/>
          <w:lang w:eastAsia="zh-CN"/>
        </w:rPr>
      </w:pPr>
      <w:r>
        <w:rPr>
          <w:noProof/>
        </w:rPr>
        <mc:AlternateContent>
          <mc:Choice Requires="wpg">
            <w:drawing>
              <wp:anchor distT="0" distB="0" distL="114300" distR="114300" simplePos="0" relativeHeight="251677184" behindDoc="0" locked="0" layoutInCell="1" allowOverlap="1" wp14:anchorId="08F366FC" wp14:editId="0B5A62D0">
                <wp:simplePos x="0" y="0"/>
                <wp:positionH relativeFrom="column">
                  <wp:posOffset>158750</wp:posOffset>
                </wp:positionH>
                <wp:positionV relativeFrom="paragraph">
                  <wp:posOffset>9525</wp:posOffset>
                </wp:positionV>
                <wp:extent cx="5006834" cy="2600179"/>
                <wp:effectExtent l="0" t="0" r="3810" b="0"/>
                <wp:wrapNone/>
                <wp:docPr id="8" name="Graphic 23" descr="Figure 3 - Research funders"/>
                <wp:cNvGraphicFramePr/>
                <a:graphic xmlns:a="http://schemas.openxmlformats.org/drawingml/2006/main">
                  <a:graphicData uri="http://schemas.microsoft.com/office/word/2010/wordprocessingGroup">
                    <wpg:wgp>
                      <wpg:cNvGrpSpPr/>
                      <wpg:grpSpPr>
                        <a:xfrm>
                          <a:off x="0" y="0"/>
                          <a:ext cx="5006834" cy="2600179"/>
                          <a:chOff x="1278643" y="5736346"/>
                          <a:chExt cx="5006834" cy="2600179"/>
                        </a:xfrm>
                      </wpg:grpSpPr>
                      <wps:wsp>
                        <wps:cNvPr id="9" name="Freeform: Shape 9"/>
                        <wps:cNvSpPr/>
                        <wps:spPr>
                          <a:xfrm>
                            <a:off x="3757696" y="5736346"/>
                            <a:ext cx="1297391" cy="809892"/>
                          </a:xfrm>
                          <a:custGeom>
                            <a:avLst/>
                            <a:gdLst>
                              <a:gd name="connsiteX0" fmla="*/ 27410 w 1297391"/>
                              <a:gd name="connsiteY0" fmla="*/ 84076 h 809891"/>
                              <a:gd name="connsiteX1" fmla="*/ 84099 w 1297391"/>
                              <a:gd name="connsiteY1" fmla="*/ 27402 h 809891"/>
                              <a:gd name="connsiteX2" fmla="*/ 1213292 w 1297391"/>
                              <a:gd name="connsiteY2" fmla="*/ 27402 h 809891"/>
                              <a:gd name="connsiteX3" fmla="*/ 1269981 w 1297391"/>
                              <a:gd name="connsiteY3" fmla="*/ 84076 h 809891"/>
                              <a:gd name="connsiteX4" fmla="*/ 1269981 w 1297391"/>
                              <a:gd name="connsiteY4" fmla="*/ 725815 h 809891"/>
                              <a:gd name="connsiteX5" fmla="*/ 1213292 w 1297391"/>
                              <a:gd name="connsiteY5" fmla="*/ 782489 h 809891"/>
                              <a:gd name="connsiteX6" fmla="*/ 84099 w 1297391"/>
                              <a:gd name="connsiteY6" fmla="*/ 782489 h 809891"/>
                              <a:gd name="connsiteX7" fmla="*/ 27410 w 1297391"/>
                              <a:gd name="connsiteY7" fmla="*/ 725815 h 809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97391" h="809891">
                                <a:moveTo>
                                  <a:pt x="27410" y="84076"/>
                                </a:moveTo>
                                <a:cubicBezTo>
                                  <a:pt x="27410" y="52778"/>
                                  <a:pt x="52791" y="27402"/>
                                  <a:pt x="84099" y="27402"/>
                                </a:cubicBezTo>
                                <a:lnTo>
                                  <a:pt x="1213292" y="27402"/>
                                </a:lnTo>
                                <a:cubicBezTo>
                                  <a:pt x="1244600" y="27402"/>
                                  <a:pt x="1269981" y="52778"/>
                                  <a:pt x="1269981" y="84076"/>
                                </a:cubicBezTo>
                                <a:lnTo>
                                  <a:pt x="1269981" y="725815"/>
                                </a:lnTo>
                                <a:cubicBezTo>
                                  <a:pt x="1269981" y="757115"/>
                                  <a:pt x="1244600" y="782489"/>
                                  <a:pt x="1213292" y="782489"/>
                                </a:cubicBezTo>
                                <a:lnTo>
                                  <a:pt x="84099" y="782489"/>
                                </a:lnTo>
                                <a:cubicBezTo>
                                  <a:pt x="52791" y="782489"/>
                                  <a:pt x="27410" y="757115"/>
                                  <a:pt x="27410" y="725815"/>
                                </a:cubicBezTo>
                                <a:close/>
                              </a:path>
                            </a:pathLst>
                          </a:custGeom>
                          <a:noFill/>
                          <a:ln w="38100" cap="flat">
                            <a:solidFill>
                              <a:srgbClr val="5DB497"/>
                            </a:solidFill>
                            <a:prstDash val="solid"/>
                            <a:miter/>
                          </a:ln>
                        </wps:spPr>
                        <wps:txbx>
                          <w:txbxContent>
                            <w:p w14:paraId="4C02D9E9" w14:textId="25FC80CA" w:rsidR="003214E0" w:rsidRPr="003214E0" w:rsidRDefault="003214E0" w:rsidP="003214E0">
                              <w:pPr>
                                <w:spacing w:before="120" w:after="120"/>
                                <w:jc w:val="center"/>
                                <w:rPr>
                                  <w:rFonts w:asciiTheme="majorHAnsi" w:hAnsiTheme="majorHAnsi" w:cstheme="majorHAnsi"/>
                                  <w:i/>
                                  <w:sz w:val="20"/>
                                </w:rPr>
                              </w:pPr>
                              <w:r>
                                <w:rPr>
                                  <w:rFonts w:asciiTheme="majorHAnsi" w:hAnsiTheme="majorHAnsi" w:cstheme="majorHAnsi"/>
                                  <w:sz w:val="20"/>
                                </w:rPr>
                                <w:t>Hospitals</w:t>
                              </w:r>
                              <w:r>
                                <w:rPr>
                                  <w:rFonts w:asciiTheme="majorHAnsi" w:hAnsiTheme="majorHAnsi" w:cstheme="majorHAnsi"/>
                                  <w:sz w:val="20"/>
                                </w:rPr>
                                <w:br/>
                              </w:r>
                              <w:r>
                                <w:rPr>
                                  <w:rFonts w:asciiTheme="majorHAnsi" w:hAnsiTheme="majorHAnsi" w:cstheme="majorHAnsi"/>
                                  <w:i/>
                                  <w:sz w:val="20"/>
                                </w:rPr>
                                <w:t>e.g. Royal Melbourne Hospital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reeform: Shape 10"/>
                        <wps:cNvSpPr/>
                        <wps:spPr>
                          <a:xfrm>
                            <a:off x="2435941" y="5736346"/>
                            <a:ext cx="1230390" cy="809892"/>
                          </a:xfrm>
                          <a:custGeom>
                            <a:avLst/>
                            <a:gdLst>
                              <a:gd name="connsiteX0" fmla="*/ 27410 w 1230389"/>
                              <a:gd name="connsiteY0" fmla="*/ 84076 h 809891"/>
                              <a:gd name="connsiteX1" fmla="*/ 84099 w 1230389"/>
                              <a:gd name="connsiteY1" fmla="*/ 27402 h 809891"/>
                              <a:gd name="connsiteX2" fmla="*/ 1146291 w 1230389"/>
                              <a:gd name="connsiteY2" fmla="*/ 27402 h 809891"/>
                              <a:gd name="connsiteX3" fmla="*/ 1202980 w 1230389"/>
                              <a:gd name="connsiteY3" fmla="*/ 84076 h 809891"/>
                              <a:gd name="connsiteX4" fmla="*/ 1202980 w 1230389"/>
                              <a:gd name="connsiteY4" fmla="*/ 725815 h 809891"/>
                              <a:gd name="connsiteX5" fmla="*/ 1146291 w 1230389"/>
                              <a:gd name="connsiteY5" fmla="*/ 782489 h 809891"/>
                              <a:gd name="connsiteX6" fmla="*/ 84099 w 1230389"/>
                              <a:gd name="connsiteY6" fmla="*/ 782489 h 809891"/>
                              <a:gd name="connsiteX7" fmla="*/ 27410 w 1230389"/>
                              <a:gd name="connsiteY7" fmla="*/ 725815 h 809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30389" h="809891">
                                <a:moveTo>
                                  <a:pt x="27410" y="84076"/>
                                </a:moveTo>
                                <a:cubicBezTo>
                                  <a:pt x="27410" y="52778"/>
                                  <a:pt x="52791" y="27402"/>
                                  <a:pt x="84099" y="27402"/>
                                </a:cubicBezTo>
                                <a:lnTo>
                                  <a:pt x="1146291" y="27402"/>
                                </a:lnTo>
                                <a:cubicBezTo>
                                  <a:pt x="1177599" y="27402"/>
                                  <a:pt x="1202980" y="52778"/>
                                  <a:pt x="1202980" y="84076"/>
                                </a:cubicBezTo>
                                <a:lnTo>
                                  <a:pt x="1202980" y="725815"/>
                                </a:lnTo>
                                <a:cubicBezTo>
                                  <a:pt x="1202980" y="757115"/>
                                  <a:pt x="1177599" y="782489"/>
                                  <a:pt x="1146291" y="782489"/>
                                </a:cubicBezTo>
                                <a:lnTo>
                                  <a:pt x="84099" y="782489"/>
                                </a:lnTo>
                                <a:cubicBezTo>
                                  <a:pt x="52791" y="782489"/>
                                  <a:pt x="27410" y="757115"/>
                                  <a:pt x="27410" y="725815"/>
                                </a:cubicBezTo>
                                <a:close/>
                              </a:path>
                            </a:pathLst>
                          </a:custGeom>
                          <a:noFill/>
                          <a:ln w="38100" cap="flat">
                            <a:solidFill>
                              <a:srgbClr val="5DB497"/>
                            </a:solidFill>
                            <a:prstDash val="solid"/>
                            <a:miter/>
                          </a:ln>
                        </wps:spPr>
                        <wps:txbx>
                          <w:txbxContent>
                            <w:p w14:paraId="44A292C3" w14:textId="55A7D5CA" w:rsidR="003214E0" w:rsidRPr="003214E0" w:rsidRDefault="003214E0" w:rsidP="003214E0">
                              <w:pPr>
                                <w:spacing w:after="0"/>
                                <w:jc w:val="center"/>
                                <w:rPr>
                                  <w:rFonts w:asciiTheme="majorHAnsi" w:hAnsiTheme="majorHAnsi" w:cstheme="majorHAnsi"/>
                                  <w:sz w:val="20"/>
                                </w:rPr>
                              </w:pPr>
                              <w:r w:rsidRPr="003214E0">
                                <w:rPr>
                                  <w:rFonts w:asciiTheme="majorHAnsi" w:hAnsiTheme="majorHAnsi" w:cstheme="majorHAnsi"/>
                                  <w:sz w:val="20"/>
                                </w:rPr>
                                <w:t>Not for profit</w:t>
                              </w:r>
                            </w:p>
                            <w:p w14:paraId="22C193EE" w14:textId="7A9DD3FA" w:rsidR="003214E0" w:rsidRPr="003214E0" w:rsidRDefault="003214E0" w:rsidP="003214E0">
                              <w:pPr>
                                <w:spacing w:after="0"/>
                                <w:jc w:val="center"/>
                                <w:rPr>
                                  <w:rFonts w:asciiTheme="majorHAnsi" w:hAnsiTheme="majorHAnsi" w:cstheme="majorHAnsi"/>
                                  <w:i/>
                                  <w:sz w:val="20"/>
                                </w:rPr>
                              </w:pPr>
                              <w:r w:rsidRPr="003214E0">
                                <w:rPr>
                                  <w:rFonts w:asciiTheme="majorHAnsi" w:hAnsiTheme="majorHAnsi" w:cstheme="majorHAnsi"/>
                                  <w:i/>
                                  <w:sz w:val="20"/>
                                </w:rPr>
                                <w:t>e.g. Haemophilia Foundation Australia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4226706" y="7526633"/>
                            <a:ext cx="1346119" cy="809892"/>
                          </a:xfrm>
                          <a:custGeom>
                            <a:avLst/>
                            <a:gdLst>
                              <a:gd name="connsiteX0" fmla="*/ 27410 w 1346119"/>
                              <a:gd name="connsiteY0" fmla="*/ 84077 h 809891"/>
                              <a:gd name="connsiteX1" fmla="*/ 84099 w 1346119"/>
                              <a:gd name="connsiteY1" fmla="*/ 27402 h 809891"/>
                              <a:gd name="connsiteX2" fmla="*/ 1262020 w 1346119"/>
                              <a:gd name="connsiteY2" fmla="*/ 27402 h 809891"/>
                              <a:gd name="connsiteX3" fmla="*/ 1318710 w 1346119"/>
                              <a:gd name="connsiteY3" fmla="*/ 84077 h 809891"/>
                              <a:gd name="connsiteX4" fmla="*/ 1318710 w 1346119"/>
                              <a:gd name="connsiteY4" fmla="*/ 725815 h 809891"/>
                              <a:gd name="connsiteX5" fmla="*/ 1262020 w 1346119"/>
                              <a:gd name="connsiteY5" fmla="*/ 782489 h 809891"/>
                              <a:gd name="connsiteX6" fmla="*/ 84099 w 1346119"/>
                              <a:gd name="connsiteY6" fmla="*/ 782489 h 809891"/>
                              <a:gd name="connsiteX7" fmla="*/ 27410 w 1346119"/>
                              <a:gd name="connsiteY7" fmla="*/ 725815 h 809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346119" h="809891">
                                <a:moveTo>
                                  <a:pt x="27410" y="84077"/>
                                </a:moveTo>
                                <a:cubicBezTo>
                                  <a:pt x="27410" y="52777"/>
                                  <a:pt x="52791" y="27402"/>
                                  <a:pt x="84099" y="27402"/>
                                </a:cubicBezTo>
                                <a:lnTo>
                                  <a:pt x="1262020" y="27402"/>
                                </a:lnTo>
                                <a:cubicBezTo>
                                  <a:pt x="1293328" y="27402"/>
                                  <a:pt x="1318710" y="52777"/>
                                  <a:pt x="1318710" y="84077"/>
                                </a:cubicBezTo>
                                <a:lnTo>
                                  <a:pt x="1318710" y="725815"/>
                                </a:lnTo>
                                <a:cubicBezTo>
                                  <a:pt x="1318710" y="757115"/>
                                  <a:pt x="1293328" y="782489"/>
                                  <a:pt x="1262020" y="782489"/>
                                </a:cubicBezTo>
                                <a:lnTo>
                                  <a:pt x="84099" y="782489"/>
                                </a:lnTo>
                                <a:cubicBezTo>
                                  <a:pt x="52791" y="782489"/>
                                  <a:pt x="27410" y="757115"/>
                                  <a:pt x="27410" y="725815"/>
                                </a:cubicBezTo>
                                <a:close/>
                              </a:path>
                            </a:pathLst>
                          </a:custGeom>
                          <a:noFill/>
                          <a:ln w="38100" cap="flat">
                            <a:solidFill>
                              <a:srgbClr val="5DB497"/>
                            </a:solidFill>
                            <a:prstDash val="solid"/>
                            <a:miter/>
                          </a:ln>
                        </wps:spPr>
                        <wps:txbx>
                          <w:txbxContent>
                            <w:p w14:paraId="6A26519F" w14:textId="65D508EA" w:rsidR="003214E0" w:rsidRPr="00240DBC" w:rsidRDefault="003214E0" w:rsidP="00240DBC">
                              <w:pPr>
                                <w:spacing w:after="0"/>
                                <w:jc w:val="center"/>
                                <w:rPr>
                                  <w:rFonts w:asciiTheme="majorHAnsi" w:hAnsiTheme="majorHAnsi" w:cstheme="majorHAnsi"/>
                                  <w:sz w:val="20"/>
                                </w:rPr>
                              </w:pPr>
                              <w:r w:rsidRPr="00240DBC">
                                <w:rPr>
                                  <w:rFonts w:asciiTheme="majorHAnsi" w:hAnsiTheme="majorHAnsi" w:cstheme="majorHAnsi"/>
                                  <w:sz w:val="20"/>
                                </w:rPr>
                                <w:t>State and territor</w:t>
                              </w:r>
                              <w:r w:rsidR="00240DBC" w:rsidRPr="00240DBC">
                                <w:rPr>
                                  <w:rFonts w:asciiTheme="majorHAnsi" w:hAnsiTheme="majorHAnsi" w:cstheme="majorHAnsi"/>
                                  <w:sz w:val="20"/>
                                </w:rPr>
                                <w:t>ies governments</w:t>
                              </w:r>
                            </w:p>
                            <w:p w14:paraId="38C3E8F4" w14:textId="1326969C" w:rsidR="00240DBC" w:rsidRPr="00240DBC" w:rsidRDefault="00240DBC" w:rsidP="00240DBC">
                              <w:pPr>
                                <w:spacing w:after="120"/>
                                <w:jc w:val="center"/>
                                <w:rPr>
                                  <w:rFonts w:asciiTheme="majorHAnsi" w:hAnsiTheme="majorHAnsi" w:cstheme="majorHAnsi"/>
                                  <w:i/>
                                  <w:sz w:val="20"/>
                                </w:rPr>
                              </w:pPr>
                              <w:r w:rsidRPr="00240DBC">
                                <w:rPr>
                                  <w:rFonts w:asciiTheme="majorHAnsi" w:hAnsiTheme="majorHAnsi" w:cstheme="majorHAnsi"/>
                                  <w:i/>
                                  <w:sz w:val="20"/>
                                </w:rPr>
                                <w:t>e.g. Victorian Medical Acceleration Fund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1997315" y="7526296"/>
                            <a:ext cx="1049168" cy="803802"/>
                          </a:xfrm>
                          <a:custGeom>
                            <a:avLst/>
                            <a:gdLst>
                              <a:gd name="connsiteX0" fmla="*/ 27410 w 1017203"/>
                              <a:gd name="connsiteY0" fmla="*/ 83620 h 803802"/>
                              <a:gd name="connsiteX1" fmla="*/ 83642 w 1017203"/>
                              <a:gd name="connsiteY1" fmla="*/ 27402 h 803802"/>
                              <a:gd name="connsiteX2" fmla="*/ 933561 w 1017203"/>
                              <a:gd name="connsiteY2" fmla="*/ 27402 h 803802"/>
                              <a:gd name="connsiteX3" fmla="*/ 989794 w 1017203"/>
                              <a:gd name="connsiteY3" fmla="*/ 83620 h 803802"/>
                              <a:gd name="connsiteX4" fmla="*/ 989794 w 1017203"/>
                              <a:gd name="connsiteY4" fmla="*/ 720182 h 803802"/>
                              <a:gd name="connsiteX5" fmla="*/ 933561 w 1017203"/>
                              <a:gd name="connsiteY5" fmla="*/ 776400 h 803802"/>
                              <a:gd name="connsiteX6" fmla="*/ 83642 w 1017203"/>
                              <a:gd name="connsiteY6" fmla="*/ 776400 h 803802"/>
                              <a:gd name="connsiteX7" fmla="*/ 27410 w 1017203"/>
                              <a:gd name="connsiteY7" fmla="*/ 720182 h 803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17203" h="803802">
                                <a:moveTo>
                                  <a:pt x="27410" y="83620"/>
                                </a:moveTo>
                                <a:cubicBezTo>
                                  <a:pt x="27410" y="52570"/>
                                  <a:pt x="52584" y="27402"/>
                                  <a:pt x="83642" y="27402"/>
                                </a:cubicBezTo>
                                <a:lnTo>
                                  <a:pt x="933561" y="27402"/>
                                </a:lnTo>
                                <a:cubicBezTo>
                                  <a:pt x="964619" y="27402"/>
                                  <a:pt x="989794" y="52570"/>
                                  <a:pt x="989794" y="83620"/>
                                </a:cubicBezTo>
                                <a:lnTo>
                                  <a:pt x="989794" y="720182"/>
                                </a:lnTo>
                                <a:cubicBezTo>
                                  <a:pt x="989794" y="751232"/>
                                  <a:pt x="964619" y="776400"/>
                                  <a:pt x="933561" y="776400"/>
                                </a:cubicBezTo>
                                <a:lnTo>
                                  <a:pt x="83642" y="776400"/>
                                </a:lnTo>
                                <a:cubicBezTo>
                                  <a:pt x="52584" y="776400"/>
                                  <a:pt x="27410" y="751232"/>
                                  <a:pt x="27410" y="720182"/>
                                </a:cubicBezTo>
                                <a:close/>
                              </a:path>
                            </a:pathLst>
                          </a:custGeom>
                          <a:noFill/>
                          <a:ln w="38100" cap="flat">
                            <a:solidFill>
                              <a:srgbClr val="5DB497"/>
                            </a:solidFill>
                            <a:prstDash val="solid"/>
                            <a:miter/>
                          </a:ln>
                        </wps:spPr>
                        <wps:txbx>
                          <w:txbxContent>
                            <w:p w14:paraId="5F208FA1" w14:textId="1DDA0312" w:rsidR="003214E0" w:rsidRPr="003214E0" w:rsidRDefault="003214E0" w:rsidP="003214E0">
                              <w:pPr>
                                <w:spacing w:before="120" w:after="0"/>
                                <w:jc w:val="center"/>
                                <w:rPr>
                                  <w:rFonts w:asciiTheme="majorHAnsi" w:hAnsiTheme="majorHAnsi" w:cstheme="majorHAnsi"/>
                                  <w:sz w:val="20"/>
                                </w:rPr>
                              </w:pPr>
                              <w:r w:rsidRPr="003214E0">
                                <w:rPr>
                                  <w:rFonts w:asciiTheme="majorHAnsi" w:hAnsiTheme="majorHAnsi" w:cstheme="majorHAnsi"/>
                                  <w:sz w:val="20"/>
                                </w:rPr>
                                <w:t>Commonwealth government</w:t>
                              </w:r>
                            </w:p>
                            <w:p w14:paraId="4FB4875B" w14:textId="682C362C" w:rsidR="003214E0" w:rsidRPr="003214E0" w:rsidRDefault="003214E0" w:rsidP="003214E0">
                              <w:pPr>
                                <w:spacing w:after="120"/>
                                <w:jc w:val="center"/>
                                <w:rPr>
                                  <w:rFonts w:asciiTheme="majorHAnsi" w:hAnsiTheme="majorHAnsi" w:cstheme="majorHAnsi"/>
                                  <w:i/>
                                  <w:sz w:val="20"/>
                                </w:rPr>
                              </w:pPr>
                              <w:r w:rsidRPr="003214E0">
                                <w:rPr>
                                  <w:rFonts w:asciiTheme="majorHAnsi" w:hAnsiTheme="majorHAnsi" w:cstheme="majorHAnsi"/>
                                  <w:i/>
                                  <w:sz w:val="20"/>
                                </w:rPr>
                                <w:t>e.g. NHMRC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3124228" y="7526633"/>
                            <a:ext cx="986748" cy="809892"/>
                          </a:xfrm>
                          <a:custGeom>
                            <a:avLst/>
                            <a:gdLst>
                              <a:gd name="connsiteX0" fmla="*/ 27410 w 986748"/>
                              <a:gd name="connsiteY0" fmla="*/ 84077 h 809891"/>
                              <a:gd name="connsiteX1" fmla="*/ 84099 w 986748"/>
                              <a:gd name="connsiteY1" fmla="*/ 27402 h 809891"/>
                              <a:gd name="connsiteX2" fmla="*/ 902649 w 986748"/>
                              <a:gd name="connsiteY2" fmla="*/ 27402 h 809891"/>
                              <a:gd name="connsiteX3" fmla="*/ 959338 w 986748"/>
                              <a:gd name="connsiteY3" fmla="*/ 84077 h 809891"/>
                              <a:gd name="connsiteX4" fmla="*/ 959338 w 986748"/>
                              <a:gd name="connsiteY4" fmla="*/ 725815 h 809891"/>
                              <a:gd name="connsiteX5" fmla="*/ 902649 w 986748"/>
                              <a:gd name="connsiteY5" fmla="*/ 782489 h 809891"/>
                              <a:gd name="connsiteX6" fmla="*/ 84099 w 986748"/>
                              <a:gd name="connsiteY6" fmla="*/ 782489 h 809891"/>
                              <a:gd name="connsiteX7" fmla="*/ 27410 w 986748"/>
                              <a:gd name="connsiteY7" fmla="*/ 725815 h 809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86748" h="809891">
                                <a:moveTo>
                                  <a:pt x="27410" y="84077"/>
                                </a:moveTo>
                                <a:cubicBezTo>
                                  <a:pt x="27410" y="52777"/>
                                  <a:pt x="52791" y="27402"/>
                                  <a:pt x="84099" y="27402"/>
                                </a:cubicBezTo>
                                <a:lnTo>
                                  <a:pt x="902649" y="27402"/>
                                </a:lnTo>
                                <a:cubicBezTo>
                                  <a:pt x="933957" y="27402"/>
                                  <a:pt x="959338" y="52777"/>
                                  <a:pt x="959338" y="84077"/>
                                </a:cubicBezTo>
                                <a:lnTo>
                                  <a:pt x="959338" y="725815"/>
                                </a:lnTo>
                                <a:cubicBezTo>
                                  <a:pt x="959338" y="757115"/>
                                  <a:pt x="933957" y="782489"/>
                                  <a:pt x="902649" y="782489"/>
                                </a:cubicBezTo>
                                <a:lnTo>
                                  <a:pt x="84099" y="782489"/>
                                </a:lnTo>
                                <a:cubicBezTo>
                                  <a:pt x="52791" y="782489"/>
                                  <a:pt x="27410" y="757115"/>
                                  <a:pt x="27410" y="725815"/>
                                </a:cubicBezTo>
                                <a:close/>
                              </a:path>
                            </a:pathLst>
                          </a:custGeom>
                          <a:noFill/>
                          <a:ln w="38100" cap="flat">
                            <a:solidFill>
                              <a:srgbClr val="5DB497"/>
                            </a:solidFill>
                            <a:prstDash val="solid"/>
                            <a:miter/>
                          </a:ln>
                        </wps:spPr>
                        <wps:txbx>
                          <w:txbxContent>
                            <w:p w14:paraId="76F28F14" w14:textId="7E9BB661" w:rsidR="003214E0" w:rsidRPr="003214E0" w:rsidRDefault="003214E0" w:rsidP="003214E0">
                              <w:pPr>
                                <w:spacing w:before="120" w:after="0"/>
                                <w:jc w:val="center"/>
                                <w:rPr>
                                  <w:rFonts w:asciiTheme="majorHAnsi" w:hAnsiTheme="majorHAnsi" w:cstheme="majorHAnsi"/>
                                  <w:sz w:val="20"/>
                                </w:rPr>
                              </w:pPr>
                              <w:r w:rsidRPr="003214E0">
                                <w:rPr>
                                  <w:rFonts w:asciiTheme="majorHAnsi" w:hAnsiTheme="majorHAnsi" w:cstheme="majorHAnsi"/>
                                  <w:sz w:val="20"/>
                                </w:rPr>
                                <w:t>Business</w:t>
                              </w:r>
                            </w:p>
                            <w:p w14:paraId="36B0AE09" w14:textId="6597A06D" w:rsidR="003214E0" w:rsidRPr="003214E0" w:rsidRDefault="003214E0" w:rsidP="003214E0">
                              <w:pPr>
                                <w:jc w:val="center"/>
                                <w:rPr>
                                  <w:rFonts w:asciiTheme="majorHAnsi" w:hAnsiTheme="majorHAnsi" w:cstheme="majorHAnsi"/>
                                  <w:i/>
                                  <w:sz w:val="20"/>
                                </w:rPr>
                              </w:pPr>
                              <w:r w:rsidRPr="003214E0">
                                <w:rPr>
                                  <w:rFonts w:asciiTheme="majorHAnsi" w:hAnsiTheme="majorHAnsi" w:cstheme="majorHAnsi"/>
                                  <w:i/>
                                  <w:sz w:val="20"/>
                                </w:rPr>
                                <w:t>e.g. blood manufacturers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2289756" y="6710652"/>
                            <a:ext cx="3039428" cy="633299"/>
                          </a:xfrm>
                          <a:custGeom>
                            <a:avLst/>
                            <a:gdLst>
                              <a:gd name="connsiteX0" fmla="*/ 27410 w 3039427"/>
                              <a:gd name="connsiteY0" fmla="*/ 50719 h 633298"/>
                              <a:gd name="connsiteX1" fmla="*/ 50732 w 3039427"/>
                              <a:gd name="connsiteY1" fmla="*/ 27402 h 633298"/>
                              <a:gd name="connsiteX2" fmla="*/ 2988696 w 3039427"/>
                              <a:gd name="connsiteY2" fmla="*/ 27402 h 633298"/>
                              <a:gd name="connsiteX3" fmla="*/ 3012018 w 3039427"/>
                              <a:gd name="connsiteY3" fmla="*/ 50719 h 633298"/>
                              <a:gd name="connsiteX4" fmla="*/ 3012018 w 3039427"/>
                              <a:gd name="connsiteY4" fmla="*/ 582580 h 633298"/>
                              <a:gd name="connsiteX5" fmla="*/ 2988696 w 3039427"/>
                              <a:gd name="connsiteY5" fmla="*/ 605896 h 633298"/>
                              <a:gd name="connsiteX6" fmla="*/ 50732 w 3039427"/>
                              <a:gd name="connsiteY6" fmla="*/ 605896 h 633298"/>
                              <a:gd name="connsiteX7" fmla="*/ 27410 w 3039427"/>
                              <a:gd name="connsiteY7" fmla="*/ 582580 h 6332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039427" h="633298">
                                <a:moveTo>
                                  <a:pt x="27410" y="50719"/>
                                </a:moveTo>
                                <a:cubicBezTo>
                                  <a:pt x="27410" y="37840"/>
                                  <a:pt x="37850" y="27402"/>
                                  <a:pt x="50732" y="27402"/>
                                </a:cubicBezTo>
                                <a:lnTo>
                                  <a:pt x="2988696" y="27402"/>
                                </a:lnTo>
                                <a:cubicBezTo>
                                  <a:pt x="3001578" y="27402"/>
                                  <a:pt x="3012018" y="37840"/>
                                  <a:pt x="3012018" y="50719"/>
                                </a:cubicBezTo>
                                <a:lnTo>
                                  <a:pt x="3012018" y="582580"/>
                                </a:lnTo>
                                <a:cubicBezTo>
                                  <a:pt x="3012018" y="595459"/>
                                  <a:pt x="3001578" y="605896"/>
                                  <a:pt x="2988696" y="605896"/>
                                </a:cubicBezTo>
                                <a:lnTo>
                                  <a:pt x="50732" y="605896"/>
                                </a:lnTo>
                                <a:cubicBezTo>
                                  <a:pt x="37850" y="605896"/>
                                  <a:pt x="27410" y="595459"/>
                                  <a:pt x="27410" y="582580"/>
                                </a:cubicBezTo>
                                <a:close/>
                              </a:path>
                            </a:pathLst>
                          </a:custGeom>
                          <a:solidFill>
                            <a:srgbClr val="E2F0D9"/>
                          </a:solidFill>
                          <a:ln w="38100" cap="flat">
                            <a:solidFill>
                              <a:srgbClr val="70AD47"/>
                            </a:solidFill>
                            <a:prstDash val="dash"/>
                            <a:miter/>
                          </a:ln>
                        </wps:spPr>
                        <wps:txbx>
                          <w:txbxContent>
                            <w:p w14:paraId="0C9F276B" w14:textId="77777777" w:rsidR="003214E0" w:rsidRPr="003214E0" w:rsidRDefault="003214E0" w:rsidP="003214E0">
                              <w:pPr>
                                <w:pStyle w:val="ListParagraph"/>
                                <w:numPr>
                                  <w:ilvl w:val="0"/>
                                  <w:numId w:val="12"/>
                                </w:numPr>
                                <w:spacing w:before="0" w:after="0"/>
                                <w:ind w:left="0" w:firstLine="0"/>
                                <w:jc w:val="center"/>
                                <w:rPr>
                                  <w:rFonts w:asciiTheme="majorHAnsi" w:hAnsiTheme="majorHAnsi" w:cstheme="majorHAnsi"/>
                                  <w:b/>
                                  <w:sz w:val="20"/>
                                  <w:lang w:eastAsia="zh-CN"/>
                                </w:rPr>
                              </w:pPr>
                              <w:r w:rsidRPr="003214E0">
                                <w:rPr>
                                  <w:rFonts w:asciiTheme="majorHAnsi" w:hAnsiTheme="majorHAnsi" w:cstheme="majorHAnsi"/>
                                  <w:b/>
                                  <w:sz w:val="20"/>
                                  <w:lang w:eastAsia="zh-CN"/>
                                </w:rPr>
                                <w:t>Research</w:t>
                              </w:r>
                            </w:p>
                            <w:p w14:paraId="5DC41C11" w14:textId="06447DEA" w:rsidR="003214E0" w:rsidRPr="003214E0" w:rsidRDefault="003214E0" w:rsidP="003214E0">
                              <w:pPr>
                                <w:pStyle w:val="ListParagraph"/>
                                <w:numPr>
                                  <w:ilvl w:val="0"/>
                                  <w:numId w:val="12"/>
                                </w:numPr>
                                <w:spacing w:before="0" w:after="0"/>
                                <w:ind w:left="0" w:firstLine="0"/>
                                <w:jc w:val="center"/>
                                <w:rPr>
                                  <w:rFonts w:asciiTheme="majorHAnsi" w:hAnsiTheme="majorHAnsi" w:cstheme="majorHAnsi"/>
                                  <w:b/>
                                  <w:sz w:val="20"/>
                                  <w:lang w:eastAsia="zh-CN"/>
                                </w:rPr>
                              </w:pPr>
                              <w:r w:rsidRPr="003214E0">
                                <w:rPr>
                                  <w:rFonts w:asciiTheme="majorHAnsi" w:hAnsiTheme="majorHAnsi" w:cstheme="majorHAnsi"/>
                                  <w:b/>
                                  <w:sz w:val="20"/>
                                  <w:lang w:eastAsia="zh-CN"/>
                                </w:rPr>
                                <w:t>funders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1278643" y="6625400"/>
                            <a:ext cx="840563" cy="809892"/>
                          </a:xfrm>
                          <a:custGeom>
                            <a:avLst/>
                            <a:gdLst>
                              <a:gd name="connsiteX0" fmla="*/ 27410 w 840563"/>
                              <a:gd name="connsiteY0" fmla="*/ 84077 h 809891"/>
                              <a:gd name="connsiteX1" fmla="*/ 84099 w 840563"/>
                              <a:gd name="connsiteY1" fmla="*/ 27402 h 809891"/>
                              <a:gd name="connsiteX2" fmla="*/ 756464 w 840563"/>
                              <a:gd name="connsiteY2" fmla="*/ 27402 h 809891"/>
                              <a:gd name="connsiteX3" fmla="*/ 813154 w 840563"/>
                              <a:gd name="connsiteY3" fmla="*/ 84077 h 809891"/>
                              <a:gd name="connsiteX4" fmla="*/ 813154 w 840563"/>
                              <a:gd name="connsiteY4" fmla="*/ 725815 h 809891"/>
                              <a:gd name="connsiteX5" fmla="*/ 756464 w 840563"/>
                              <a:gd name="connsiteY5" fmla="*/ 782489 h 809891"/>
                              <a:gd name="connsiteX6" fmla="*/ 84099 w 840563"/>
                              <a:gd name="connsiteY6" fmla="*/ 782489 h 809891"/>
                              <a:gd name="connsiteX7" fmla="*/ 27410 w 840563"/>
                              <a:gd name="connsiteY7" fmla="*/ 725815 h 809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40563" h="809891">
                                <a:moveTo>
                                  <a:pt x="27410" y="84077"/>
                                </a:moveTo>
                                <a:cubicBezTo>
                                  <a:pt x="27410" y="52777"/>
                                  <a:pt x="52791" y="27402"/>
                                  <a:pt x="84099" y="27402"/>
                                </a:cubicBezTo>
                                <a:lnTo>
                                  <a:pt x="756464" y="27402"/>
                                </a:lnTo>
                                <a:cubicBezTo>
                                  <a:pt x="787772" y="27402"/>
                                  <a:pt x="813154" y="52777"/>
                                  <a:pt x="813154" y="84077"/>
                                </a:cubicBezTo>
                                <a:lnTo>
                                  <a:pt x="813154" y="725815"/>
                                </a:lnTo>
                                <a:cubicBezTo>
                                  <a:pt x="813154" y="757115"/>
                                  <a:pt x="787772" y="782489"/>
                                  <a:pt x="756464" y="782489"/>
                                </a:cubicBezTo>
                                <a:lnTo>
                                  <a:pt x="84099" y="782489"/>
                                </a:lnTo>
                                <a:cubicBezTo>
                                  <a:pt x="52791" y="782489"/>
                                  <a:pt x="27410" y="757115"/>
                                  <a:pt x="27410" y="725815"/>
                                </a:cubicBezTo>
                                <a:close/>
                              </a:path>
                            </a:pathLst>
                          </a:custGeom>
                          <a:noFill/>
                          <a:ln w="38100" cap="flat">
                            <a:solidFill>
                              <a:srgbClr val="5DB497"/>
                            </a:solidFill>
                            <a:prstDash val="solid"/>
                            <a:miter/>
                          </a:ln>
                        </wps:spPr>
                        <wps:txbx>
                          <w:txbxContent>
                            <w:p w14:paraId="3B0A08A3" w14:textId="34555697" w:rsidR="003214E0" w:rsidRPr="003214E0" w:rsidRDefault="003214E0" w:rsidP="003214E0">
                              <w:pPr>
                                <w:spacing w:before="120" w:after="120"/>
                                <w:jc w:val="center"/>
                                <w:rPr>
                                  <w:rFonts w:asciiTheme="majorHAnsi" w:hAnsiTheme="majorHAnsi" w:cstheme="majorHAnsi"/>
                                  <w:sz w:val="20"/>
                                </w:rPr>
                              </w:pPr>
                              <w:r w:rsidRPr="003214E0">
                                <w:rPr>
                                  <w:rFonts w:asciiTheme="majorHAnsi" w:hAnsiTheme="majorHAnsi" w:cstheme="majorHAnsi"/>
                                  <w:sz w:val="20"/>
                                </w:rPr>
                                <w:t>Higher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5481460" y="6625400"/>
                            <a:ext cx="804017" cy="809892"/>
                          </a:xfrm>
                          <a:custGeom>
                            <a:avLst/>
                            <a:gdLst>
                              <a:gd name="connsiteX0" fmla="*/ 27410 w 804016"/>
                              <a:gd name="connsiteY0" fmla="*/ 83620 h 809891"/>
                              <a:gd name="connsiteX1" fmla="*/ 83642 w 804016"/>
                              <a:gd name="connsiteY1" fmla="*/ 27402 h 809891"/>
                              <a:gd name="connsiteX2" fmla="*/ 720375 w 804016"/>
                              <a:gd name="connsiteY2" fmla="*/ 27402 h 809891"/>
                              <a:gd name="connsiteX3" fmla="*/ 776607 w 804016"/>
                              <a:gd name="connsiteY3" fmla="*/ 83620 h 809891"/>
                              <a:gd name="connsiteX4" fmla="*/ 776607 w 804016"/>
                              <a:gd name="connsiteY4" fmla="*/ 726272 h 809891"/>
                              <a:gd name="connsiteX5" fmla="*/ 720375 w 804016"/>
                              <a:gd name="connsiteY5" fmla="*/ 782489 h 809891"/>
                              <a:gd name="connsiteX6" fmla="*/ 83642 w 804016"/>
                              <a:gd name="connsiteY6" fmla="*/ 782489 h 809891"/>
                              <a:gd name="connsiteX7" fmla="*/ 27410 w 804016"/>
                              <a:gd name="connsiteY7" fmla="*/ 726272 h 8098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04016" h="809891">
                                <a:moveTo>
                                  <a:pt x="27410" y="83620"/>
                                </a:moveTo>
                                <a:cubicBezTo>
                                  <a:pt x="27410" y="52570"/>
                                  <a:pt x="52584" y="27402"/>
                                  <a:pt x="83642" y="27402"/>
                                </a:cubicBezTo>
                                <a:lnTo>
                                  <a:pt x="720375" y="27402"/>
                                </a:lnTo>
                                <a:cubicBezTo>
                                  <a:pt x="751433" y="27402"/>
                                  <a:pt x="776607" y="52570"/>
                                  <a:pt x="776607" y="83620"/>
                                </a:cubicBezTo>
                                <a:lnTo>
                                  <a:pt x="776607" y="726272"/>
                                </a:lnTo>
                                <a:cubicBezTo>
                                  <a:pt x="776607" y="757322"/>
                                  <a:pt x="751433" y="782489"/>
                                  <a:pt x="720375" y="782489"/>
                                </a:cubicBezTo>
                                <a:lnTo>
                                  <a:pt x="83642" y="782489"/>
                                </a:lnTo>
                                <a:cubicBezTo>
                                  <a:pt x="52584" y="782489"/>
                                  <a:pt x="27410" y="757322"/>
                                  <a:pt x="27410" y="726272"/>
                                </a:cubicBezTo>
                                <a:close/>
                              </a:path>
                            </a:pathLst>
                          </a:custGeom>
                          <a:noFill/>
                          <a:ln w="38100" cap="flat">
                            <a:solidFill>
                              <a:srgbClr val="5DB497"/>
                            </a:solidFill>
                            <a:prstDash val="solid"/>
                            <a:miter/>
                          </a:ln>
                        </wps:spPr>
                        <wps:txbx>
                          <w:txbxContent>
                            <w:p w14:paraId="19114DCE" w14:textId="5029AA9C" w:rsidR="003214E0" w:rsidRPr="003214E0" w:rsidRDefault="003214E0" w:rsidP="003214E0">
                              <w:pPr>
                                <w:spacing w:before="120" w:after="120"/>
                                <w:jc w:val="center"/>
                                <w:rPr>
                                  <w:rFonts w:asciiTheme="majorHAnsi" w:hAnsiTheme="majorHAnsi" w:cstheme="majorHAnsi"/>
                                  <w:sz w:val="20"/>
                                </w:rPr>
                              </w:pPr>
                              <w:r w:rsidRPr="003214E0">
                                <w:rPr>
                                  <w:rFonts w:asciiTheme="majorHAnsi" w:hAnsiTheme="majorHAnsi" w:cstheme="majorHAnsi"/>
                                  <w:sz w:val="20"/>
                                </w:rPr>
                                <w:t>Donations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F366FC" id="Graphic 23" o:spid="_x0000_s1042" alt="Figure 3 - Research funders" style="position:absolute;left:0;text-align:left;margin-left:12.5pt;margin-top:.75pt;width:394.25pt;height:204.75pt;z-index:251677184;mso-width-relative:margin;mso-height-relative:margin" coordorigin="12786,57363" coordsize="50068,2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">
                <v:shape id="Freeform: Shape 9" o:spid="_x0000_s1043" style="position:absolute;left:37576;top:57363;width:12974;height:8099;visibility:visible;mso-wrap-style:square;v-text-anchor:middle" coordsize="1297391,809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" adj="-11796480,,5400" path="m27410,84076v,-31298,25381,-56674,56689,-56674l1213292,27402v31308,,56689,25376,56689,56674l1269981,725815v,31300,-25381,56674,-56689,56674l84099,782489v-31308,,-56689,-25374,-56689,-56674l27410,84076xe" filled="f" strokecolor="#5db497" strokeweight="3pt">
                  <v:stroke joinstyle="miter"/>
                  <v:formulas/>
                  <v:path arrowok="t" o:connecttype="custom" o:connectlocs="27410,84076;84099,27402;1213292,27402;1269981,84076;1269981,725816;1213292,782490;84099,782490;27410,725816" o:connectangles="0,0,0,0,0,0,0,0" textboxrect="0,0,1297391,809891"/>
                  <v:textbox>
                    <w:txbxContent>
                      <w:p w14:paraId="4C02D9E9" w14:textId="25FC80CA" w:rsidR="003214E0" w:rsidRPr="003214E0" w:rsidRDefault="003214E0" w:rsidP="003214E0">
                        <w:pPr>
                          <w:spacing w:before="120" w:after="120"/>
                          <w:jc w:val="center"/>
                          <w:rPr>
                            <w:rFonts w:asciiTheme="majorHAnsi" w:hAnsiTheme="majorHAnsi" w:cstheme="majorHAnsi"/>
                            <w:i/>
                            <w:sz w:val="20"/>
                          </w:rPr>
                        </w:pPr>
                        <w:r>
                          <w:rPr>
                            <w:rFonts w:asciiTheme="majorHAnsi" w:hAnsiTheme="majorHAnsi" w:cstheme="majorHAnsi"/>
                            <w:sz w:val="20"/>
                          </w:rPr>
                          <w:t>Hospitals</w:t>
                        </w:r>
                        <w:r>
                          <w:rPr>
                            <w:rFonts w:asciiTheme="majorHAnsi" w:hAnsiTheme="majorHAnsi" w:cstheme="majorHAnsi"/>
                            <w:sz w:val="20"/>
                          </w:rPr>
                          <w:br/>
                        </w:r>
                        <w:r>
                          <w:rPr>
                            <w:rFonts w:asciiTheme="majorHAnsi" w:hAnsiTheme="majorHAnsi" w:cstheme="majorHAnsi"/>
                            <w:i/>
                            <w:sz w:val="20"/>
                          </w:rPr>
                          <w:t>e.g. Royal Melbourne Hospital</w:t>
                        </w:r>
                      </w:p>
                    </w:txbxContent>
                  </v:textbox>
                </v:shape>
                <v:shape id="Freeform: Shape 10" o:spid="_x0000_s1044" style="position:absolute;left:24359;top:57363;width:12304;height:8099;visibility:visible;mso-wrap-style:square;v-text-anchor:middle" coordsize="1230389,809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" adj="-11796480,,5400" path="m27410,84076v,-31298,25381,-56674,56689,-56674l1146291,27402v31308,,56689,25376,56689,56674l1202980,725815v,31300,-25381,56674,-56689,56674l84099,782489v-31308,,-56689,-25374,-56689,-56674l27410,84076xe" filled="f" strokecolor="#5db497" strokeweight="3pt">
                  <v:stroke joinstyle="miter"/>
                  <v:formulas/>
                  <v:path arrowok="t" o:connecttype="custom" o:connectlocs="27410,84076;84099,27402;1146292,27402;1202981,84076;1202981,725816;1146292,782490;84099,782490;27410,725816" o:connectangles="0,0,0,0,0,0,0,0" textboxrect="0,0,1230389,809891"/>
                  <v:textbox>
                    <w:txbxContent>
                      <w:p w14:paraId="44A292C3" w14:textId="55A7D5CA" w:rsidR="003214E0" w:rsidRPr="003214E0" w:rsidRDefault="003214E0" w:rsidP="003214E0">
                        <w:pPr>
                          <w:spacing w:after="0"/>
                          <w:jc w:val="center"/>
                          <w:rPr>
                            <w:rFonts w:asciiTheme="majorHAnsi" w:hAnsiTheme="majorHAnsi" w:cstheme="majorHAnsi"/>
                            <w:sz w:val="20"/>
                          </w:rPr>
                        </w:pPr>
                        <w:r w:rsidRPr="003214E0">
                          <w:rPr>
                            <w:rFonts w:asciiTheme="majorHAnsi" w:hAnsiTheme="majorHAnsi" w:cstheme="majorHAnsi"/>
                            <w:sz w:val="20"/>
                          </w:rPr>
                          <w:t>Not for profit</w:t>
                        </w:r>
                      </w:p>
                      <w:p w14:paraId="22C193EE" w14:textId="7A9DD3FA" w:rsidR="003214E0" w:rsidRPr="003214E0" w:rsidRDefault="003214E0" w:rsidP="003214E0">
                        <w:pPr>
                          <w:spacing w:after="0"/>
                          <w:jc w:val="center"/>
                          <w:rPr>
                            <w:rFonts w:asciiTheme="majorHAnsi" w:hAnsiTheme="majorHAnsi" w:cstheme="majorHAnsi"/>
                            <w:i/>
                            <w:sz w:val="20"/>
                          </w:rPr>
                        </w:pPr>
                        <w:r w:rsidRPr="003214E0">
                          <w:rPr>
                            <w:rFonts w:asciiTheme="majorHAnsi" w:hAnsiTheme="majorHAnsi" w:cstheme="majorHAnsi"/>
                            <w:i/>
                            <w:sz w:val="20"/>
                          </w:rPr>
                          <w:t>e.g. Haemophilia Foundation Australia</w:t>
                        </w:r>
                      </w:p>
                    </w:txbxContent>
                  </v:textbox>
                </v:shape>
                <v:shape id="Freeform: Shape 11" o:spid="_x0000_s1045" style="position:absolute;left:42267;top:75266;width:13461;height:8099;visibility:visible;mso-wrap-style:square;v-text-anchor:middle" coordsize="1346119,809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" adj="-11796480,,5400" path="m27410,84077v,-31300,25381,-56675,56689,-56675l1262020,27402v31308,,56690,25375,56690,56675l1318710,725815v,31300,-25382,56674,-56690,56674l84099,782489v-31308,,-56689,-25374,-56689,-56674l27410,84077xe" filled="f" strokecolor="#5db497" strokeweight="3pt">
                  <v:stroke joinstyle="miter"/>
                  <v:formulas/>
                  <v:path arrowok="t" o:connecttype="custom" o:connectlocs="27410,84077;84099,27402;1262020,27402;1318710,84077;1318710,725816;1262020,782490;84099,782490;27410,725816" o:connectangles="0,0,0,0,0,0,0,0" textboxrect="0,0,1346119,809891"/>
                  <v:textbox>
                    <w:txbxContent>
                      <w:p w14:paraId="6A26519F" w14:textId="65D508EA" w:rsidR="003214E0" w:rsidRPr="00240DBC" w:rsidRDefault="003214E0" w:rsidP="00240DBC">
                        <w:pPr>
                          <w:spacing w:after="0"/>
                          <w:jc w:val="center"/>
                          <w:rPr>
                            <w:rFonts w:asciiTheme="majorHAnsi" w:hAnsiTheme="majorHAnsi" w:cstheme="majorHAnsi"/>
                            <w:sz w:val="20"/>
                          </w:rPr>
                        </w:pPr>
                        <w:r w:rsidRPr="00240DBC">
                          <w:rPr>
                            <w:rFonts w:asciiTheme="majorHAnsi" w:hAnsiTheme="majorHAnsi" w:cstheme="majorHAnsi"/>
                            <w:sz w:val="20"/>
                          </w:rPr>
                          <w:t>State and territor</w:t>
                        </w:r>
                        <w:r w:rsidR="00240DBC" w:rsidRPr="00240DBC">
                          <w:rPr>
                            <w:rFonts w:asciiTheme="majorHAnsi" w:hAnsiTheme="majorHAnsi" w:cstheme="majorHAnsi"/>
                            <w:sz w:val="20"/>
                          </w:rPr>
                          <w:t>ies governments</w:t>
                        </w:r>
                      </w:p>
                      <w:p w14:paraId="38C3E8F4" w14:textId="1326969C" w:rsidR="00240DBC" w:rsidRPr="00240DBC" w:rsidRDefault="00240DBC" w:rsidP="00240DBC">
                        <w:pPr>
                          <w:spacing w:after="120"/>
                          <w:jc w:val="center"/>
                          <w:rPr>
                            <w:rFonts w:asciiTheme="majorHAnsi" w:hAnsiTheme="majorHAnsi" w:cstheme="majorHAnsi"/>
                            <w:i/>
                            <w:sz w:val="20"/>
                          </w:rPr>
                        </w:pPr>
                        <w:r w:rsidRPr="00240DBC">
                          <w:rPr>
                            <w:rFonts w:asciiTheme="majorHAnsi" w:hAnsiTheme="majorHAnsi" w:cstheme="majorHAnsi"/>
                            <w:i/>
                            <w:sz w:val="20"/>
                          </w:rPr>
                          <w:t>e.g. Victorian Medical Acceleration Fund</w:t>
                        </w:r>
                      </w:p>
                    </w:txbxContent>
                  </v:textbox>
                </v:shape>
                <v:shape id="Freeform: Shape 13" o:spid="_x0000_s1046" style="position:absolute;left:19973;top:75262;width:10491;height:8038;visibility:visible;mso-wrap-style:square;v-text-anchor:middle" coordsize="1017203,8038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" adj="-11796480,,5400" path="m27410,83620v,-31050,25174,-56218,56232,-56218l933561,27402v31058,,56233,25168,56233,56218l989794,720182v,31050,-25175,56218,-56233,56218l83642,776400v-31058,,-56232,-25168,-56232,-56218l27410,83620xe" filled="f" strokecolor="#5db497" strokeweight="3pt">
                  <v:stroke joinstyle="miter"/>
                  <v:formulas/>
                  <v:path arrowok="t" o:connecttype="custom" o:connectlocs="28271,83620;86270,27402;962898,27402;1020898,83620;1020898,720182;962898,776400;86270,776400;28271,720182" o:connectangles="0,0,0,0,0,0,0,0" textboxrect="0,0,1017203,803802"/>
                  <v:textbox>
                    <w:txbxContent>
                      <w:p w14:paraId="5F208FA1" w14:textId="1DDA0312" w:rsidR="003214E0" w:rsidRPr="003214E0" w:rsidRDefault="003214E0" w:rsidP="003214E0">
                        <w:pPr>
                          <w:spacing w:before="120" w:after="0"/>
                          <w:jc w:val="center"/>
                          <w:rPr>
                            <w:rFonts w:asciiTheme="majorHAnsi" w:hAnsiTheme="majorHAnsi" w:cstheme="majorHAnsi"/>
                            <w:sz w:val="20"/>
                          </w:rPr>
                        </w:pPr>
                        <w:r w:rsidRPr="003214E0">
                          <w:rPr>
                            <w:rFonts w:asciiTheme="majorHAnsi" w:hAnsiTheme="majorHAnsi" w:cstheme="majorHAnsi"/>
                            <w:sz w:val="20"/>
                          </w:rPr>
                          <w:t>Commonwealth government</w:t>
                        </w:r>
                      </w:p>
                      <w:p w14:paraId="4FB4875B" w14:textId="682C362C" w:rsidR="003214E0" w:rsidRPr="003214E0" w:rsidRDefault="003214E0" w:rsidP="003214E0">
                        <w:pPr>
                          <w:spacing w:after="120"/>
                          <w:jc w:val="center"/>
                          <w:rPr>
                            <w:rFonts w:asciiTheme="majorHAnsi" w:hAnsiTheme="majorHAnsi" w:cstheme="majorHAnsi"/>
                            <w:i/>
                            <w:sz w:val="20"/>
                          </w:rPr>
                        </w:pPr>
                        <w:r w:rsidRPr="003214E0">
                          <w:rPr>
                            <w:rFonts w:asciiTheme="majorHAnsi" w:hAnsiTheme="majorHAnsi" w:cstheme="majorHAnsi"/>
                            <w:i/>
                            <w:sz w:val="20"/>
                          </w:rPr>
                          <w:t>e.g. NHMRC</w:t>
                        </w:r>
                      </w:p>
                    </w:txbxContent>
                  </v:textbox>
                </v:shape>
                <v:shape id="Freeform: Shape 19" o:spid="_x0000_s1047" style="position:absolute;left:31242;top:75266;width:9867;height:8099;visibility:visible;mso-wrap-style:square;v-text-anchor:middle" coordsize="986748,809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" adj="-11796480,,5400" path="m27410,84077v,-31300,25381,-56675,56689,-56675l902649,27402v31308,,56689,25375,56689,56675l959338,725815v,31300,-25381,56674,-56689,56674l84099,782489v-31308,,-56689,-25374,-56689,-56674l27410,84077xe" filled="f" strokecolor="#5db497" strokeweight="3pt">
                  <v:stroke joinstyle="miter"/>
                  <v:formulas/>
                  <v:path arrowok="t" o:connecttype="custom" o:connectlocs="27410,84077;84099,27402;902649,27402;959338,84077;959338,725816;902649,782490;84099,782490;27410,725816" o:connectangles="0,0,0,0,0,0,0,0" textboxrect="0,0,986748,809891"/>
                  <v:textbox>
                    <w:txbxContent>
                      <w:p w14:paraId="76F28F14" w14:textId="7E9BB661" w:rsidR="003214E0" w:rsidRPr="003214E0" w:rsidRDefault="003214E0" w:rsidP="003214E0">
                        <w:pPr>
                          <w:spacing w:before="120" w:after="0"/>
                          <w:jc w:val="center"/>
                          <w:rPr>
                            <w:rFonts w:asciiTheme="majorHAnsi" w:hAnsiTheme="majorHAnsi" w:cstheme="majorHAnsi"/>
                            <w:sz w:val="20"/>
                          </w:rPr>
                        </w:pPr>
                        <w:r w:rsidRPr="003214E0">
                          <w:rPr>
                            <w:rFonts w:asciiTheme="majorHAnsi" w:hAnsiTheme="majorHAnsi" w:cstheme="majorHAnsi"/>
                            <w:sz w:val="20"/>
                          </w:rPr>
                          <w:t>Business</w:t>
                        </w:r>
                      </w:p>
                      <w:p w14:paraId="36B0AE09" w14:textId="6597A06D" w:rsidR="003214E0" w:rsidRPr="003214E0" w:rsidRDefault="003214E0" w:rsidP="003214E0">
                        <w:pPr>
                          <w:jc w:val="center"/>
                          <w:rPr>
                            <w:rFonts w:asciiTheme="majorHAnsi" w:hAnsiTheme="majorHAnsi" w:cstheme="majorHAnsi"/>
                            <w:i/>
                            <w:sz w:val="20"/>
                          </w:rPr>
                        </w:pPr>
                        <w:r w:rsidRPr="003214E0">
                          <w:rPr>
                            <w:rFonts w:asciiTheme="majorHAnsi" w:hAnsiTheme="majorHAnsi" w:cstheme="majorHAnsi"/>
                            <w:i/>
                            <w:sz w:val="20"/>
                          </w:rPr>
                          <w:t>e.g. blood manufacturers</w:t>
                        </w:r>
                      </w:p>
                    </w:txbxContent>
                  </v:textbox>
                </v:shape>
                <v:shape id="Freeform: Shape 21" o:spid="_x0000_s1048" style="position:absolute;left:22897;top:67106;width:30394;height:6333;visibility:visible;mso-wrap-style:square;v-text-anchor:middle" coordsize="3039427,6332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" adj="-11796480,,5400" path="m27410,50719v,-12879,10440,-23317,23322,-23317l2988696,27402v12882,,23322,10438,23322,23317l3012018,582580v,12879,-10440,23316,-23322,23316l50732,605896v-12882,,-23322,-10437,-23322,-23316l27410,50719xe" fillcolor="#e2f0d9" strokecolor="#70ad47" strokeweight="3pt">
                  <v:stroke dashstyle="dash" joinstyle="miter"/>
                  <v:formulas/>
                  <v:path arrowok="t" o:connecttype="custom" o:connectlocs="27410,50719;50732,27402;2988697,27402;3012019,50719;3012019,582581;2988697,605897;50732,605897;27410,582581" o:connectangles="0,0,0,0,0,0,0,0" textboxrect="0,0,3039427,633298"/>
                  <v:textbox>
                    <w:txbxContent>
                      <w:p w14:paraId="0C9F276B" w14:textId="77777777" w:rsidR="003214E0" w:rsidRPr="003214E0" w:rsidRDefault="003214E0" w:rsidP="003214E0">
                        <w:pPr>
                          <w:pStyle w:val="ListParagraph"/>
                          <w:numPr>
                            <w:ilvl w:val="0"/>
                            <w:numId w:val="12"/>
                          </w:numPr>
                          <w:spacing w:before="0" w:after="0"/>
                          <w:ind w:left="0" w:firstLine="0"/>
                          <w:jc w:val="center"/>
                          <w:rPr>
                            <w:rFonts w:asciiTheme="majorHAnsi" w:hAnsiTheme="majorHAnsi" w:cstheme="majorHAnsi"/>
                            <w:b/>
                            <w:sz w:val="20"/>
                            <w:lang w:eastAsia="zh-CN"/>
                          </w:rPr>
                        </w:pPr>
                        <w:r w:rsidRPr="003214E0">
                          <w:rPr>
                            <w:rFonts w:asciiTheme="majorHAnsi" w:hAnsiTheme="majorHAnsi" w:cstheme="majorHAnsi"/>
                            <w:b/>
                            <w:sz w:val="20"/>
                            <w:lang w:eastAsia="zh-CN"/>
                          </w:rPr>
                          <w:t>Research</w:t>
                        </w:r>
                      </w:p>
                      <w:p w14:paraId="5DC41C11" w14:textId="06447DEA" w:rsidR="003214E0" w:rsidRPr="003214E0" w:rsidRDefault="003214E0" w:rsidP="003214E0">
                        <w:pPr>
                          <w:pStyle w:val="ListParagraph"/>
                          <w:numPr>
                            <w:ilvl w:val="0"/>
                            <w:numId w:val="12"/>
                          </w:numPr>
                          <w:spacing w:before="0" w:after="0"/>
                          <w:ind w:left="0" w:firstLine="0"/>
                          <w:jc w:val="center"/>
                          <w:rPr>
                            <w:rFonts w:asciiTheme="majorHAnsi" w:hAnsiTheme="majorHAnsi" w:cstheme="majorHAnsi"/>
                            <w:b/>
                            <w:sz w:val="20"/>
                            <w:lang w:eastAsia="zh-CN"/>
                          </w:rPr>
                        </w:pPr>
                        <w:r w:rsidRPr="003214E0">
                          <w:rPr>
                            <w:rFonts w:asciiTheme="majorHAnsi" w:hAnsiTheme="majorHAnsi" w:cstheme="majorHAnsi"/>
                            <w:b/>
                            <w:sz w:val="20"/>
                            <w:lang w:eastAsia="zh-CN"/>
                          </w:rPr>
                          <w:t>funders</w:t>
                        </w:r>
                      </w:p>
                    </w:txbxContent>
                  </v:textbox>
                </v:shape>
                <v:shape id="Freeform: Shape 36" o:spid="_x0000_s1049" style="position:absolute;left:12786;top:66254;width:8406;height:8098;visibility:visible;mso-wrap-style:square;v-text-anchor:middle" coordsize="840563,809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" adj="-11796480,,5400" path="m27410,84077v,-31300,25381,-56675,56689,-56675l756464,27402v31308,,56690,25375,56690,56675l813154,725815v,31300,-25382,56674,-56690,56674l84099,782489v-31308,,-56689,-25374,-56689,-56674l27410,84077xe" filled="f" strokecolor="#5db497" strokeweight="3pt">
                  <v:stroke joinstyle="miter"/>
                  <v:formulas/>
                  <v:path arrowok="t" o:connecttype="custom" o:connectlocs="27410,84077;84099,27402;756464,27402;813154,84077;813154,725816;756464,782490;84099,782490;27410,725816" o:connectangles="0,0,0,0,0,0,0,0" textboxrect="0,0,840563,809891"/>
                  <v:textbox>
                    <w:txbxContent>
                      <w:p w14:paraId="3B0A08A3" w14:textId="34555697" w:rsidR="003214E0" w:rsidRPr="003214E0" w:rsidRDefault="003214E0" w:rsidP="003214E0">
                        <w:pPr>
                          <w:spacing w:before="120" w:after="120"/>
                          <w:jc w:val="center"/>
                          <w:rPr>
                            <w:rFonts w:asciiTheme="majorHAnsi" w:hAnsiTheme="majorHAnsi" w:cstheme="majorHAnsi"/>
                            <w:sz w:val="20"/>
                          </w:rPr>
                        </w:pPr>
                        <w:r w:rsidRPr="003214E0">
                          <w:rPr>
                            <w:rFonts w:asciiTheme="majorHAnsi" w:hAnsiTheme="majorHAnsi" w:cstheme="majorHAnsi"/>
                            <w:sz w:val="20"/>
                          </w:rPr>
                          <w:t>Higher education</w:t>
                        </w:r>
                      </w:p>
                    </w:txbxContent>
                  </v:textbox>
                </v:shape>
                <v:shape id="Freeform: Shape 37" o:spid="_x0000_s1050" style="position:absolute;left:54814;top:66254;width:8040;height:8098;visibility:visible;mso-wrap-style:square;v-text-anchor:middle" coordsize="804016,8098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" adj="-11796480,,5400" path="m27410,83620v,-31050,25174,-56218,56232,-56218l720375,27402v31058,,56232,25168,56232,56218l776607,726272v,31050,-25174,56217,-56232,56217l83642,782489v-31058,,-56232,-25167,-56232,-56217l27410,83620xe" filled="f" strokecolor="#5db497" strokeweight="3pt">
                  <v:stroke joinstyle="miter"/>
                  <v:formulas/>
                  <v:path arrowok="t" o:connecttype="custom" o:connectlocs="27410,83620;83642,27402;720376,27402;776608,83620;776608,726273;720376,782490;83642,782490;27410,726273" o:connectangles="0,0,0,0,0,0,0,0" textboxrect="0,0,804016,809891"/>
                  <v:textbox>
                    <w:txbxContent>
                      <w:p w14:paraId="19114DCE" w14:textId="5029AA9C" w:rsidR="003214E0" w:rsidRPr="003214E0" w:rsidRDefault="003214E0" w:rsidP="003214E0">
                        <w:pPr>
                          <w:spacing w:before="120" w:after="120"/>
                          <w:jc w:val="center"/>
                          <w:rPr>
                            <w:rFonts w:asciiTheme="majorHAnsi" w:hAnsiTheme="majorHAnsi" w:cstheme="majorHAnsi"/>
                            <w:sz w:val="20"/>
                          </w:rPr>
                        </w:pPr>
                        <w:r w:rsidRPr="003214E0">
                          <w:rPr>
                            <w:rFonts w:asciiTheme="majorHAnsi" w:hAnsiTheme="majorHAnsi" w:cstheme="majorHAnsi"/>
                            <w:sz w:val="20"/>
                          </w:rPr>
                          <w:t>Donations</w:t>
                        </w:r>
                      </w:p>
                    </w:txbxContent>
                  </v:textbox>
                </v:shape>
              </v:group>
            </w:pict>
          </mc:Fallback>
        </mc:AlternateContent>
      </w:r>
    </w:p>
    <w:p w14:paraId="21822408" w14:textId="5F7B705E" w:rsidR="00F745AC" w:rsidRPr="00721D47" w:rsidRDefault="00F23573" w:rsidP="000F6CD3">
      <w:pPr>
        <w:pStyle w:val="ListParagraph"/>
        <w:keepNext/>
        <w:keepLines/>
        <w:numPr>
          <w:ilvl w:val="0"/>
          <w:numId w:val="12"/>
        </w:numPr>
        <w:ind w:left="0" w:firstLine="0"/>
        <w:jc w:val="both"/>
        <w:rPr>
          <w:rFonts w:ascii="Arial" w:hAnsi="Arial" w:cs="Arial"/>
          <w:lang w:eastAsia="zh-CN"/>
        </w:rPr>
      </w:pPr>
      <w:r w:rsidRPr="007A0882">
        <w:rPr>
          <w:rFonts w:ascii="Arial" w:hAnsi="Arial" w:cs="Arial"/>
        </w:rPr>
        <w:t xml:space="preserve">Commonwealth bodies and programs </w:t>
      </w:r>
      <w:r>
        <w:rPr>
          <w:rFonts w:ascii="Arial" w:hAnsi="Arial" w:cs="Arial"/>
        </w:rPr>
        <w:t xml:space="preserve">which fund blood-related research </w:t>
      </w:r>
      <w:r w:rsidRPr="00BE72D9">
        <w:rPr>
          <w:rFonts w:ascii="Arial" w:hAnsi="Arial" w:cs="Arial"/>
        </w:rPr>
        <w:t>include</w:t>
      </w:r>
      <w:r w:rsidRPr="00BE72D9">
        <w:rPr>
          <w:rFonts w:ascii="Arial" w:hAnsi="Arial" w:cs="Arial"/>
          <w:lang w:eastAsia="zh-CN"/>
        </w:rPr>
        <w:t xml:space="preserve"> t</w:t>
      </w:r>
      <w:r w:rsidRPr="0015525B">
        <w:rPr>
          <w:rFonts w:ascii="Arial" w:hAnsi="Arial" w:cs="Arial"/>
          <w:lang w:eastAsia="zh-CN"/>
        </w:rPr>
        <w:t>he</w:t>
      </w:r>
      <w:r w:rsidRPr="009A6700">
        <w:rPr>
          <w:rFonts w:ascii="Arial" w:hAnsi="Arial" w:cs="Arial"/>
          <w:lang w:eastAsia="zh-CN"/>
        </w:rPr>
        <w:t xml:space="preserve"> National Health and Medical Research Council</w:t>
      </w:r>
      <w:r>
        <w:rPr>
          <w:rFonts w:ascii="Arial" w:hAnsi="Arial" w:cs="Arial"/>
          <w:lang w:eastAsia="zh-CN"/>
        </w:rPr>
        <w:t xml:space="preserve"> (NHMRC)</w:t>
      </w:r>
      <w:r w:rsidRPr="009A6700">
        <w:rPr>
          <w:rFonts w:ascii="Arial" w:hAnsi="Arial" w:cs="Arial"/>
          <w:lang w:eastAsia="zh-CN"/>
        </w:rPr>
        <w:t>, Medical Research Future Fund, Australian Research Council</w:t>
      </w:r>
      <w:r>
        <w:rPr>
          <w:rFonts w:ascii="Arial" w:hAnsi="Arial" w:cs="Arial"/>
          <w:lang w:eastAsia="zh-CN"/>
        </w:rPr>
        <w:t xml:space="preserve"> (ARC) and Research Block Grants</w:t>
      </w:r>
      <w:r w:rsidRPr="009A6700">
        <w:rPr>
          <w:rFonts w:ascii="Arial" w:hAnsi="Arial" w:cs="Arial"/>
          <w:lang w:eastAsia="zh-CN"/>
        </w:rPr>
        <w:t xml:space="preserve">. </w:t>
      </w:r>
      <w:r w:rsidRPr="00721D47">
        <w:rPr>
          <w:rFonts w:ascii="Arial" w:hAnsi="Arial" w:cs="Arial"/>
          <w:lang w:eastAsia="zh-CN"/>
        </w:rPr>
        <w:t xml:space="preserve">For example, from 2013 to 2020, the NHMRC funded </w:t>
      </w:r>
      <w:r w:rsidR="00F07462" w:rsidRPr="00721D47">
        <w:rPr>
          <w:rFonts w:ascii="Arial" w:hAnsi="Arial" w:cs="Arial"/>
          <w:lang w:eastAsia="zh-CN"/>
        </w:rPr>
        <w:t>$190.3 million in research projects relating to blood diseases.</w:t>
      </w:r>
      <w:r w:rsidR="00F07462">
        <w:rPr>
          <w:rStyle w:val="FootnoteReference"/>
          <w:rFonts w:ascii="Arial" w:hAnsi="Arial" w:cs="Arial"/>
          <w:lang w:eastAsia="zh-CN"/>
        </w:rPr>
        <w:footnoteReference w:id="2"/>
      </w:r>
      <w:r w:rsidR="00F07462" w:rsidRPr="00721D47">
        <w:rPr>
          <w:rFonts w:ascii="Arial" w:hAnsi="Arial" w:cs="Arial"/>
          <w:lang w:eastAsia="zh-CN"/>
        </w:rPr>
        <w:t xml:space="preserve"> There was also $1.25 billion spent on research relating to infectious diseases during the same period, which included $2.5 million allocated to Monash University in June 2021 to research preventing infections in patients with blood cancer through evidence-based use of immunoglobulin or alternatives.</w:t>
      </w:r>
      <w:r w:rsidR="00F07462">
        <w:rPr>
          <w:rStyle w:val="FootnoteReference"/>
          <w:rFonts w:ascii="Arial" w:hAnsi="Arial" w:cs="Arial"/>
          <w:lang w:eastAsia="zh-CN"/>
        </w:rPr>
        <w:footnoteReference w:id="3"/>
      </w:r>
      <w:r w:rsidR="00F07462" w:rsidRPr="00721D47">
        <w:rPr>
          <w:rFonts w:ascii="Arial" w:hAnsi="Arial" w:cs="Arial"/>
          <w:lang w:eastAsia="zh-CN"/>
        </w:rPr>
        <w:t xml:space="preserve"> Research block grants are also provided by the Department of Education, Skills and Employment to higher education providers for research and training.</w:t>
      </w:r>
      <w:r w:rsidR="00F07462">
        <w:rPr>
          <w:rStyle w:val="FootnoteReference"/>
          <w:rFonts w:ascii="Arial" w:hAnsi="Arial" w:cs="Arial"/>
          <w:lang w:eastAsia="zh-CN"/>
        </w:rPr>
        <w:footnoteReference w:id="4"/>
      </w:r>
      <w:r w:rsidR="00F07462" w:rsidRPr="00721D47">
        <w:rPr>
          <w:rFonts w:ascii="Arial" w:hAnsi="Arial" w:cs="Arial"/>
          <w:lang w:eastAsia="zh-CN"/>
        </w:rPr>
        <w:t xml:space="preserve"> In 2021, the Commonwealth Government provided $2.99 billion in block grants to 42 providers, including $1.9 billion to support the systemic costs of university research.</w:t>
      </w:r>
      <w:r w:rsidR="00F07462">
        <w:rPr>
          <w:rStyle w:val="FootnoteReference"/>
          <w:rFonts w:ascii="Arial" w:hAnsi="Arial" w:cs="Arial"/>
          <w:lang w:eastAsia="zh-CN"/>
        </w:rPr>
        <w:footnoteReference w:id="5"/>
      </w:r>
      <w:r w:rsidR="00F07462" w:rsidRPr="00721D47">
        <w:rPr>
          <w:rFonts w:ascii="Arial" w:hAnsi="Arial" w:cs="Arial"/>
          <w:lang w:eastAsia="zh-CN"/>
        </w:rPr>
        <w:t xml:space="preserve"> Health and medical research accounts for almost one third of research and development in the higher education sector.</w:t>
      </w:r>
      <w:r w:rsidR="00F07462">
        <w:rPr>
          <w:rStyle w:val="FootnoteReference"/>
          <w:rFonts w:ascii="Arial" w:hAnsi="Arial" w:cs="Arial"/>
          <w:lang w:eastAsia="zh-CN"/>
        </w:rPr>
        <w:footnoteReference w:id="6"/>
      </w:r>
    </w:p>
    <w:p w14:paraId="106C61CB" w14:textId="18E3DB85" w:rsidR="00F07462" w:rsidRPr="00F745AC" w:rsidRDefault="00F07462" w:rsidP="004527B7">
      <w:pPr>
        <w:pStyle w:val="ListParagraph"/>
        <w:numPr>
          <w:ilvl w:val="0"/>
          <w:numId w:val="12"/>
        </w:numPr>
        <w:ind w:left="0" w:firstLine="0"/>
        <w:jc w:val="both"/>
        <w:rPr>
          <w:rFonts w:ascii="Arial" w:hAnsi="Arial" w:cs="Arial"/>
          <w:lang w:eastAsia="zh-CN"/>
        </w:rPr>
      </w:pPr>
      <w:r w:rsidRPr="004527B7">
        <w:rPr>
          <w:rFonts w:ascii="Arial" w:hAnsi="Arial" w:cs="Arial"/>
          <w:lang w:eastAsia="zh-CN"/>
        </w:rPr>
        <w:t xml:space="preserve">The NBA also delivers funding through its National Blood Sector Research and Development Program. </w:t>
      </w:r>
      <w:r w:rsidR="00B82E13">
        <w:rPr>
          <w:rFonts w:ascii="Arial" w:hAnsi="Arial" w:cs="Arial"/>
          <w:lang w:eastAsia="zh-CN"/>
        </w:rPr>
        <w:t>Through</w:t>
      </w:r>
      <w:r w:rsidR="00B82E13" w:rsidRPr="004527B7">
        <w:rPr>
          <w:rFonts w:ascii="Arial" w:hAnsi="Arial" w:cs="Arial"/>
          <w:lang w:eastAsia="zh-CN"/>
        </w:rPr>
        <w:t xml:space="preserve"> </w:t>
      </w:r>
      <w:r w:rsidRPr="004527B7">
        <w:rPr>
          <w:rFonts w:ascii="Arial" w:hAnsi="Arial" w:cs="Arial"/>
          <w:lang w:eastAsia="zh-CN"/>
        </w:rPr>
        <w:t xml:space="preserve">its latest round of funding (round 5), the NBA </w:t>
      </w:r>
      <w:r w:rsidR="00B82E13">
        <w:rPr>
          <w:rFonts w:ascii="Arial" w:hAnsi="Arial" w:cs="Arial"/>
          <w:lang w:eastAsia="zh-CN"/>
        </w:rPr>
        <w:t>is providing</w:t>
      </w:r>
      <w:r w:rsidR="00B82E13" w:rsidRPr="004527B7">
        <w:rPr>
          <w:rFonts w:ascii="Arial" w:hAnsi="Arial" w:cs="Arial"/>
          <w:lang w:eastAsia="zh-CN"/>
        </w:rPr>
        <w:t xml:space="preserve"> </w:t>
      </w:r>
      <w:r w:rsidRPr="004527B7">
        <w:rPr>
          <w:rFonts w:ascii="Arial" w:hAnsi="Arial" w:cs="Arial"/>
          <w:lang w:eastAsia="zh-CN"/>
        </w:rPr>
        <w:t>$1.5</w:t>
      </w:r>
      <w:r w:rsidR="00B82E13">
        <w:rPr>
          <w:rFonts w:ascii="Arial" w:hAnsi="Arial" w:cs="Arial"/>
          <w:lang w:eastAsia="zh-CN"/>
        </w:rPr>
        <w:t> </w:t>
      </w:r>
      <w:r w:rsidRPr="004527B7">
        <w:rPr>
          <w:rFonts w:ascii="Arial" w:hAnsi="Arial" w:cs="Arial"/>
          <w:lang w:eastAsia="zh-CN"/>
        </w:rPr>
        <w:t>million for seven research projects relating to immunoglobulin and patient blood m</w:t>
      </w:r>
      <w:r w:rsidRPr="00F745AC">
        <w:rPr>
          <w:rFonts w:ascii="Arial" w:hAnsi="Arial" w:cs="Arial"/>
          <w:lang w:eastAsia="zh-CN"/>
        </w:rPr>
        <w:t xml:space="preserve">anagement. This included projects focused on </w:t>
      </w:r>
      <w:r w:rsidRPr="00F745AC">
        <w:rPr>
          <w:rFonts w:ascii="Arial" w:hAnsi="Arial" w:cs="Arial"/>
          <w:color w:val="000000"/>
          <w:shd w:val="clear" w:color="auto" w:fill="FFFFFF"/>
        </w:rPr>
        <w:t xml:space="preserve">personalised blood product therapy after cardiopulmonary bypass in neonates and </w:t>
      </w:r>
      <w:r w:rsidR="0062137E" w:rsidRPr="00F745AC">
        <w:rPr>
          <w:rFonts w:ascii="Arial" w:hAnsi="Arial" w:cs="Arial"/>
          <w:color w:val="000000"/>
          <w:shd w:val="clear" w:color="auto" w:fill="FFFFFF"/>
        </w:rPr>
        <w:t>infants</w:t>
      </w:r>
      <w:r w:rsidR="0062137E">
        <w:rPr>
          <w:rFonts w:ascii="Arial" w:hAnsi="Arial" w:cs="Arial"/>
          <w:color w:val="000000"/>
          <w:shd w:val="clear" w:color="auto" w:fill="FFFFFF"/>
        </w:rPr>
        <w:t xml:space="preserve"> and</w:t>
      </w:r>
      <w:r w:rsidRPr="00F745AC">
        <w:rPr>
          <w:rFonts w:ascii="Arial" w:hAnsi="Arial" w:cs="Arial"/>
          <w:color w:val="000000"/>
          <w:shd w:val="clear" w:color="auto" w:fill="FFFFFF"/>
        </w:rPr>
        <w:t xml:space="preserve"> evaluating vaccine responses in specific antibody deficient patients receiving immunoglobulin treatment.</w:t>
      </w:r>
    </w:p>
    <w:p w14:paraId="28F074E0" w14:textId="22FDF8F2" w:rsidR="00F07462" w:rsidRPr="009A6700" w:rsidRDefault="00F07462" w:rsidP="00F07462">
      <w:pPr>
        <w:pStyle w:val="ListParagraph"/>
        <w:numPr>
          <w:ilvl w:val="0"/>
          <w:numId w:val="12"/>
        </w:numPr>
        <w:ind w:left="0" w:firstLine="0"/>
        <w:jc w:val="both"/>
        <w:rPr>
          <w:rFonts w:ascii="Arial" w:hAnsi="Arial" w:cs="Arial"/>
          <w:lang w:eastAsia="zh-CN"/>
        </w:rPr>
      </w:pPr>
      <w:r w:rsidRPr="009A6700">
        <w:rPr>
          <w:rFonts w:ascii="Arial" w:hAnsi="Arial" w:cs="Arial"/>
          <w:lang w:eastAsia="zh-CN"/>
        </w:rPr>
        <w:t xml:space="preserve">State governments also </w:t>
      </w:r>
      <w:r w:rsidR="00BB090A">
        <w:rPr>
          <w:rFonts w:ascii="Arial" w:hAnsi="Arial" w:cs="Arial"/>
          <w:lang w:eastAsia="zh-CN"/>
        </w:rPr>
        <w:t>fund</w:t>
      </w:r>
      <w:r w:rsidRPr="009A6700">
        <w:rPr>
          <w:rFonts w:ascii="Arial" w:hAnsi="Arial" w:cs="Arial"/>
          <w:lang w:eastAsia="zh-CN"/>
        </w:rPr>
        <w:t xml:space="preserve"> medical research, including the Victorian Government’s $3 million Victorian Medical Acceleration Fund.</w:t>
      </w:r>
      <w:r>
        <w:rPr>
          <w:rStyle w:val="FootnoteReference"/>
          <w:rFonts w:ascii="Arial" w:hAnsi="Arial" w:cs="Arial"/>
          <w:lang w:eastAsia="zh-CN"/>
        </w:rPr>
        <w:footnoteReference w:id="7"/>
      </w:r>
      <w:r w:rsidRPr="009A6700">
        <w:rPr>
          <w:rFonts w:ascii="Arial" w:hAnsi="Arial" w:cs="Arial"/>
          <w:lang w:eastAsia="zh-CN"/>
        </w:rPr>
        <w:t xml:space="preserve"> </w:t>
      </w:r>
      <w:r>
        <w:rPr>
          <w:rFonts w:ascii="Arial" w:hAnsi="Arial" w:cs="Arial"/>
          <w:lang w:eastAsia="zh-CN"/>
        </w:rPr>
        <w:t>While data is limited on the quantum of funds directed towards</w:t>
      </w:r>
      <w:r w:rsidRPr="009A6700">
        <w:rPr>
          <w:rFonts w:ascii="Arial" w:hAnsi="Arial" w:cs="Arial"/>
          <w:lang w:eastAsia="zh-CN"/>
        </w:rPr>
        <w:t xml:space="preserve"> blood-related research projects</w:t>
      </w:r>
      <w:r>
        <w:rPr>
          <w:rFonts w:ascii="Arial" w:hAnsi="Arial" w:cs="Arial"/>
          <w:lang w:eastAsia="zh-CN"/>
        </w:rPr>
        <w:t>,</w:t>
      </w:r>
      <w:r w:rsidRPr="009A6700">
        <w:rPr>
          <w:rFonts w:ascii="Arial" w:hAnsi="Arial" w:cs="Arial"/>
          <w:lang w:eastAsia="zh-CN"/>
        </w:rPr>
        <w:t xml:space="preserve"> the latest Australian Bureau of Statistics data on research and development expenditure shows state and territory governments spent $457 million on research and development in higher education in 2018.</w:t>
      </w:r>
      <w:r>
        <w:rPr>
          <w:rStyle w:val="FootnoteReference"/>
          <w:rFonts w:ascii="Arial" w:hAnsi="Arial" w:cs="Arial"/>
          <w:lang w:eastAsia="zh-CN"/>
        </w:rPr>
        <w:footnoteReference w:id="8"/>
      </w:r>
    </w:p>
    <w:p w14:paraId="2BC07DD5" w14:textId="77777777" w:rsidR="00F07462" w:rsidRDefault="00F07462" w:rsidP="00F07462">
      <w:pPr>
        <w:pStyle w:val="ListParagraph"/>
        <w:numPr>
          <w:ilvl w:val="0"/>
          <w:numId w:val="12"/>
        </w:numPr>
        <w:ind w:left="0" w:firstLine="0"/>
        <w:jc w:val="both"/>
        <w:rPr>
          <w:rFonts w:ascii="Arial" w:hAnsi="Arial" w:cs="Arial"/>
          <w:lang w:eastAsia="zh-CN"/>
        </w:rPr>
      </w:pPr>
      <w:r w:rsidRPr="009A6700">
        <w:rPr>
          <w:rFonts w:ascii="Arial" w:hAnsi="Arial" w:cs="Arial"/>
          <w:lang w:eastAsia="zh-CN"/>
        </w:rPr>
        <w:t>Hospitals</w:t>
      </w:r>
      <w:r>
        <w:rPr>
          <w:rFonts w:ascii="Arial" w:hAnsi="Arial" w:cs="Arial"/>
          <w:lang w:eastAsia="zh-CN"/>
        </w:rPr>
        <w:t xml:space="preserve"> </w:t>
      </w:r>
      <w:r w:rsidRPr="009A6700">
        <w:rPr>
          <w:rFonts w:ascii="Arial" w:hAnsi="Arial" w:cs="Arial"/>
          <w:lang w:eastAsia="zh-CN"/>
        </w:rPr>
        <w:t xml:space="preserve">make funding available for blood-related research too. For example, the Royal Melbourne Hospital made $24,914 available in 2018 for </w:t>
      </w:r>
      <w:r>
        <w:rPr>
          <w:rFonts w:ascii="Arial" w:hAnsi="Arial" w:cs="Arial"/>
          <w:lang w:eastAsia="zh-CN"/>
        </w:rPr>
        <w:t xml:space="preserve">a </w:t>
      </w:r>
      <w:r w:rsidRPr="009A6700">
        <w:rPr>
          <w:rFonts w:ascii="Arial" w:hAnsi="Arial" w:cs="Arial"/>
          <w:lang w:eastAsia="zh-CN"/>
        </w:rPr>
        <w:t>research project into the assessment of a novel blood separator device as a sample collection approach for the diagnosis of infectious diseases.</w:t>
      </w:r>
      <w:r>
        <w:rPr>
          <w:rStyle w:val="FootnoteReference"/>
          <w:rFonts w:ascii="Arial" w:hAnsi="Arial" w:cs="Arial"/>
          <w:lang w:eastAsia="zh-CN"/>
        </w:rPr>
        <w:footnoteReference w:id="9"/>
      </w:r>
      <w:r w:rsidRPr="009A6700">
        <w:rPr>
          <w:rFonts w:ascii="Arial" w:hAnsi="Arial" w:cs="Arial"/>
          <w:lang w:eastAsia="zh-CN"/>
        </w:rPr>
        <w:t xml:space="preserve"> </w:t>
      </w:r>
    </w:p>
    <w:p w14:paraId="12A820A9" w14:textId="77777777" w:rsidR="00F07462" w:rsidRPr="009A6700" w:rsidRDefault="00F07462" w:rsidP="000F6CD3">
      <w:pPr>
        <w:pStyle w:val="ListParagraph"/>
        <w:keepNext/>
        <w:keepLines/>
        <w:numPr>
          <w:ilvl w:val="0"/>
          <w:numId w:val="12"/>
        </w:numPr>
        <w:ind w:left="0" w:firstLine="0"/>
        <w:jc w:val="both"/>
        <w:rPr>
          <w:rFonts w:ascii="Arial" w:hAnsi="Arial" w:cs="Arial"/>
          <w:lang w:eastAsia="zh-CN"/>
        </w:rPr>
      </w:pPr>
      <w:r>
        <w:rPr>
          <w:rFonts w:ascii="Arial" w:hAnsi="Arial" w:cs="Arial"/>
          <w:lang w:eastAsia="zh-CN"/>
        </w:rPr>
        <w:t>The higher education sector also funds health and medical research and development activities in Australia. For example, the University of Sydney has their own internal grants and fellowships. This includes funding available to researchers whose NHMRC fellowship has finished.</w:t>
      </w:r>
      <w:r>
        <w:rPr>
          <w:rStyle w:val="FootnoteReference"/>
          <w:rFonts w:ascii="Arial" w:hAnsi="Arial" w:cs="Arial"/>
          <w:lang w:eastAsia="zh-CN"/>
        </w:rPr>
        <w:footnoteReference w:id="10"/>
      </w:r>
      <w:r>
        <w:rPr>
          <w:rFonts w:ascii="Arial" w:hAnsi="Arial" w:cs="Arial"/>
          <w:lang w:eastAsia="zh-CN"/>
        </w:rPr>
        <w:t xml:space="preserve"> The Review was unable to ascertain the financial amount of internal university funds spent on blood-related research in the Australian higher education sector. </w:t>
      </w:r>
    </w:p>
    <w:p w14:paraId="56F9A36C" w14:textId="69193BA7" w:rsidR="00F07462" w:rsidRPr="001645F8" w:rsidRDefault="00F07462" w:rsidP="00F07462">
      <w:pPr>
        <w:pStyle w:val="ListParagraph"/>
        <w:numPr>
          <w:ilvl w:val="0"/>
          <w:numId w:val="12"/>
        </w:numPr>
        <w:ind w:left="0" w:firstLine="0"/>
        <w:jc w:val="both"/>
        <w:rPr>
          <w:rFonts w:ascii="Arial" w:hAnsi="Arial" w:cs="Arial"/>
          <w:lang w:eastAsia="zh-CN"/>
        </w:rPr>
      </w:pPr>
      <w:r w:rsidRPr="009A6700">
        <w:rPr>
          <w:rFonts w:ascii="Arial" w:hAnsi="Arial" w:cs="Arial"/>
          <w:lang w:eastAsia="zh-CN"/>
        </w:rPr>
        <w:t xml:space="preserve">Medical research is also funded by </w:t>
      </w:r>
      <w:r>
        <w:rPr>
          <w:rFonts w:ascii="Arial" w:hAnsi="Arial" w:cs="Arial"/>
          <w:lang w:eastAsia="zh-CN"/>
        </w:rPr>
        <w:t>business</w:t>
      </w:r>
      <w:r w:rsidRPr="009A6700">
        <w:rPr>
          <w:rFonts w:ascii="Arial" w:hAnsi="Arial" w:cs="Arial"/>
          <w:lang w:eastAsia="zh-CN"/>
        </w:rPr>
        <w:t>, including blood manufacturers such as Sanofi</w:t>
      </w:r>
      <w:r w:rsidR="005F6C91">
        <w:rPr>
          <w:rFonts w:ascii="Arial" w:hAnsi="Arial" w:cs="Arial"/>
          <w:lang w:eastAsia="zh-CN"/>
        </w:rPr>
        <w:t xml:space="preserve"> or CSL</w:t>
      </w:r>
      <w:r w:rsidR="00EE7A48">
        <w:rPr>
          <w:rFonts w:ascii="Arial" w:hAnsi="Arial" w:cs="Arial"/>
          <w:lang w:eastAsia="zh-CN"/>
        </w:rPr>
        <w:t xml:space="preserve"> Behring</w:t>
      </w:r>
      <w:r w:rsidRPr="009A6700">
        <w:rPr>
          <w:rFonts w:ascii="Arial" w:hAnsi="Arial" w:cs="Arial"/>
          <w:lang w:eastAsia="zh-CN"/>
        </w:rPr>
        <w:t>.</w:t>
      </w:r>
      <w:r w:rsidRPr="004E18E3">
        <w:rPr>
          <w:rStyle w:val="FootnoteReference"/>
          <w:rFonts w:ascii="Arial" w:hAnsi="Arial" w:cs="Arial"/>
          <w:lang w:eastAsia="zh-CN"/>
        </w:rPr>
        <w:footnoteReference w:id="11"/>
      </w:r>
      <w:r w:rsidRPr="004E18E3">
        <w:rPr>
          <w:rStyle w:val="FootnoteReference"/>
        </w:rPr>
        <w:t xml:space="preserve"> </w:t>
      </w:r>
      <w:r w:rsidRPr="004E18E3">
        <w:rPr>
          <w:rFonts w:ascii="Arial" w:hAnsi="Arial" w:cs="Arial"/>
          <w:lang w:eastAsia="zh-CN"/>
        </w:rPr>
        <w:t>It is noted that in 2018 businesses spent $106 million on medical related research and development, although not specifically focussed on blood-related research projects</w:t>
      </w:r>
      <w:r w:rsidRPr="009A6700">
        <w:rPr>
          <w:rFonts w:ascii="Arial" w:hAnsi="Arial" w:cs="Arial"/>
          <w:lang w:eastAsia="zh-CN"/>
        </w:rPr>
        <w:t>.</w:t>
      </w:r>
      <w:r>
        <w:rPr>
          <w:rStyle w:val="FootnoteReference"/>
          <w:rFonts w:ascii="Arial" w:hAnsi="Arial" w:cs="Arial"/>
          <w:lang w:eastAsia="zh-CN"/>
        </w:rPr>
        <w:footnoteReference w:id="12"/>
      </w:r>
    </w:p>
    <w:p w14:paraId="41FF50A2" w14:textId="0B78955B" w:rsidR="00F07462" w:rsidRPr="001731D7" w:rsidRDefault="00F07462" w:rsidP="00F07462">
      <w:pPr>
        <w:pStyle w:val="ListParagraph"/>
        <w:ind w:left="0" w:firstLine="0"/>
        <w:jc w:val="both"/>
        <w:rPr>
          <w:rFonts w:ascii="Arial" w:hAnsi="Arial" w:cs="Arial"/>
          <w:lang w:eastAsia="zh-CN"/>
        </w:rPr>
      </w:pPr>
      <w:r>
        <w:rPr>
          <w:rFonts w:ascii="Arial" w:hAnsi="Arial" w:cs="Arial"/>
          <w:lang w:eastAsia="zh-CN"/>
        </w:rPr>
        <w:t>Several not-for-profit organisations in the blood sector</w:t>
      </w:r>
      <w:r w:rsidRPr="009A6700">
        <w:rPr>
          <w:rFonts w:ascii="Arial" w:hAnsi="Arial" w:cs="Arial"/>
          <w:lang w:eastAsia="zh-CN"/>
        </w:rPr>
        <w:t xml:space="preserve"> have research grant programs, including Haemophilia Foundation Australia </w:t>
      </w:r>
      <w:r>
        <w:rPr>
          <w:rFonts w:ascii="Arial" w:hAnsi="Arial" w:cs="Arial"/>
          <w:lang w:eastAsia="zh-CN"/>
        </w:rPr>
        <w:t xml:space="preserve">(HFA) </w:t>
      </w:r>
      <w:r w:rsidRPr="009A6700">
        <w:rPr>
          <w:rFonts w:ascii="Arial" w:hAnsi="Arial" w:cs="Arial"/>
          <w:lang w:eastAsia="zh-CN"/>
        </w:rPr>
        <w:t>and the Australian and New Zealand Society of Blood Transfusion</w:t>
      </w:r>
      <w:r>
        <w:rPr>
          <w:rFonts w:ascii="Arial" w:hAnsi="Arial" w:cs="Arial"/>
          <w:lang w:eastAsia="zh-CN"/>
        </w:rPr>
        <w:t xml:space="preserve"> (ANZSBT)</w:t>
      </w:r>
      <w:r w:rsidRPr="009A6700">
        <w:rPr>
          <w:rFonts w:ascii="Arial" w:hAnsi="Arial" w:cs="Arial"/>
          <w:lang w:eastAsia="zh-CN"/>
        </w:rPr>
        <w:t xml:space="preserve">. </w:t>
      </w:r>
      <w:r>
        <w:rPr>
          <w:rFonts w:ascii="Arial" w:hAnsi="Arial" w:cs="Arial"/>
          <w:lang w:eastAsia="zh-CN"/>
        </w:rPr>
        <w:t>The HFA has a Haemophilia Foundation Research Fund that has provided $630,000 in funding for research projects over 22 years focused on the care and treatment of people with haemophilia and related bleeding disorders, such as von Willebrand disease (VWD).</w:t>
      </w:r>
      <w:r>
        <w:rPr>
          <w:rStyle w:val="FootnoteReference"/>
          <w:rFonts w:ascii="Arial" w:hAnsi="Arial" w:cs="Arial"/>
          <w:lang w:eastAsia="zh-CN"/>
        </w:rPr>
        <w:footnoteReference w:id="13"/>
      </w:r>
      <w:r w:rsidR="009C0A20">
        <w:rPr>
          <w:rFonts w:ascii="Arial" w:hAnsi="Arial" w:cs="Arial"/>
          <w:vertAlign w:val="superscript"/>
          <w:lang w:eastAsia="zh-CN"/>
        </w:rPr>
        <w:t>,</w:t>
      </w:r>
      <w:r>
        <w:rPr>
          <w:rFonts w:ascii="Arial" w:hAnsi="Arial" w:cs="Arial"/>
          <w:lang w:eastAsia="zh-CN"/>
        </w:rPr>
        <w:t xml:space="preserve"> </w:t>
      </w:r>
      <w:r w:rsidRPr="00231F5A">
        <w:rPr>
          <w:rStyle w:val="FootnoteReference"/>
          <w:rFonts w:ascii="Arial" w:hAnsi="Arial" w:cs="Arial"/>
          <w:lang w:eastAsia="zh-CN"/>
        </w:rPr>
        <w:footnoteReference w:id="14"/>
      </w:r>
      <w:r w:rsidRPr="00231F5A">
        <w:rPr>
          <w:rStyle w:val="FootnoteReference"/>
        </w:rPr>
        <w:t xml:space="preserve"> </w:t>
      </w:r>
      <w:r>
        <w:rPr>
          <w:rFonts w:ascii="Arial" w:hAnsi="Arial" w:cs="Arial"/>
          <w:lang w:eastAsia="zh-CN"/>
        </w:rPr>
        <w:t>Projects the HFA Research Fund has focused on include quality of life in haemophilia, a cure for haemophilia, von Willebrand factor and causes of bleeding and i</w:t>
      </w:r>
      <w:r w:rsidRPr="00CB2034">
        <w:rPr>
          <w:rFonts w:ascii="Arial" w:hAnsi="Arial" w:cs="Arial"/>
          <w:lang w:eastAsia="zh-CN"/>
        </w:rPr>
        <w:t>ssues for people with bleeding disorders and hepatitis C.</w:t>
      </w:r>
      <w:r>
        <w:rPr>
          <w:rFonts w:ascii="Arial" w:hAnsi="Arial" w:cs="Arial"/>
          <w:lang w:eastAsia="zh-CN"/>
        </w:rPr>
        <w:t xml:space="preserve"> T</w:t>
      </w:r>
      <w:r w:rsidRPr="009A6700">
        <w:rPr>
          <w:rFonts w:ascii="Arial" w:hAnsi="Arial" w:cs="Arial"/>
          <w:lang w:eastAsia="zh-CN"/>
        </w:rPr>
        <w:t xml:space="preserve">he </w:t>
      </w:r>
      <w:r w:rsidR="002E7E3A">
        <w:rPr>
          <w:rFonts w:ascii="Arial" w:hAnsi="Arial" w:cs="Arial"/>
          <w:lang w:eastAsia="zh-CN"/>
        </w:rPr>
        <w:t>ANZBT</w:t>
      </w:r>
      <w:r>
        <w:rPr>
          <w:rFonts w:ascii="Arial" w:hAnsi="Arial" w:cs="Arial"/>
          <w:lang w:eastAsia="zh-CN"/>
        </w:rPr>
        <w:t xml:space="preserve"> also facilitates research by providing grants on research in transfusion medicine and science.</w:t>
      </w:r>
      <w:r>
        <w:rPr>
          <w:rStyle w:val="FootnoteReference"/>
          <w:rFonts w:ascii="Arial" w:hAnsi="Arial" w:cs="Arial"/>
          <w:lang w:eastAsia="zh-CN"/>
        </w:rPr>
        <w:footnoteReference w:id="15"/>
      </w:r>
      <w:r>
        <w:rPr>
          <w:rFonts w:ascii="Arial" w:hAnsi="Arial" w:cs="Arial"/>
          <w:lang w:eastAsia="zh-CN"/>
        </w:rPr>
        <w:t xml:space="preserve"> This includes funding research into improving access to Ambulance Service blood product transfusions and </w:t>
      </w:r>
      <w:r w:rsidRPr="001731D7">
        <w:rPr>
          <w:rFonts w:ascii="Arial" w:hAnsi="Arial" w:cs="Arial"/>
          <w:lang w:eastAsia="zh-CN"/>
        </w:rPr>
        <w:t>alternatives to red cell transfusion to treat anaemia.</w:t>
      </w:r>
    </w:p>
    <w:p w14:paraId="253E5CD1" w14:textId="6DFF446E" w:rsidR="00A62C16" w:rsidRPr="00087B72" w:rsidRDefault="00F07462" w:rsidP="003F1BF5">
      <w:pPr>
        <w:pStyle w:val="BodyText"/>
        <w:jc w:val="both"/>
        <w:rPr>
          <w:lang w:eastAsia="zh-CN"/>
        </w:rPr>
      </w:pPr>
      <w:r w:rsidRPr="00087B72">
        <w:rPr>
          <w:rFonts w:ascii="Arial" w:hAnsi="Arial" w:cs="Arial"/>
          <w:lang w:eastAsia="zh-CN"/>
        </w:rPr>
        <w:t xml:space="preserve">Research can also be funded from </w:t>
      </w:r>
      <w:r w:rsidR="002E7E3A" w:rsidRPr="00087B72">
        <w:rPr>
          <w:rFonts w:ascii="Arial" w:hAnsi="Arial" w:cs="Arial"/>
          <w:lang w:eastAsia="zh-CN"/>
        </w:rPr>
        <w:t xml:space="preserve">individual </w:t>
      </w:r>
      <w:r w:rsidRPr="00087B72">
        <w:rPr>
          <w:rFonts w:ascii="Arial" w:hAnsi="Arial" w:cs="Arial"/>
          <w:lang w:eastAsia="zh-CN"/>
        </w:rPr>
        <w:t>financial donations. For example, the Heart</w:t>
      </w:r>
      <w:r w:rsidR="009C0A20" w:rsidRPr="00087B72">
        <w:rPr>
          <w:rFonts w:ascii="Arial" w:hAnsi="Arial" w:cs="Arial"/>
          <w:lang w:eastAsia="zh-CN"/>
        </w:rPr>
        <w:t> </w:t>
      </w:r>
      <w:r w:rsidRPr="00087B72">
        <w:rPr>
          <w:rFonts w:ascii="Arial" w:hAnsi="Arial" w:cs="Arial"/>
          <w:lang w:eastAsia="zh-CN"/>
        </w:rPr>
        <w:t>Research Institute in New South Wales received over 72,000 individual funding donations for research purposes in 2020. Among other areas, the Health Research Institute undertakes haematology research to develop efficient and safe antithrombotic drugs.</w:t>
      </w:r>
      <w:r w:rsidRPr="00087B72">
        <w:rPr>
          <w:rStyle w:val="FootnoteReference"/>
          <w:rFonts w:ascii="Arial" w:hAnsi="Arial" w:cs="Arial"/>
          <w:lang w:eastAsia="zh-CN"/>
        </w:rPr>
        <w:footnoteReference w:id="16"/>
      </w:r>
      <w:r w:rsidRPr="00087B72">
        <w:rPr>
          <w:rFonts w:ascii="Arial" w:hAnsi="Arial" w:cs="Arial"/>
          <w:lang w:eastAsia="zh-CN"/>
        </w:rPr>
        <w:t xml:space="preserve"> </w:t>
      </w:r>
      <w:r w:rsidR="006B3F6D" w:rsidRPr="00087B72">
        <w:rPr>
          <w:rFonts w:ascii="Arial" w:hAnsi="Arial" w:cs="Arial"/>
          <w:lang w:eastAsia="zh-CN"/>
        </w:rPr>
        <w:t>The Australian Red Cross also received</w:t>
      </w:r>
      <w:r w:rsidR="007B55D1" w:rsidRPr="00087B72">
        <w:rPr>
          <w:rFonts w:ascii="Arial" w:hAnsi="Arial" w:cs="Arial"/>
          <w:lang w:eastAsia="zh-CN"/>
        </w:rPr>
        <w:t xml:space="preserve"> $316.681M in donations</w:t>
      </w:r>
      <w:r w:rsidR="006B3F6D" w:rsidRPr="00087B72">
        <w:rPr>
          <w:rFonts w:ascii="Arial" w:hAnsi="Arial" w:cs="Arial"/>
          <w:lang w:eastAsia="zh-CN"/>
        </w:rPr>
        <w:t xml:space="preserve"> </w:t>
      </w:r>
      <w:r w:rsidR="007B55D1" w:rsidRPr="00087B72">
        <w:rPr>
          <w:rFonts w:ascii="Arial" w:hAnsi="Arial" w:cs="Arial"/>
          <w:lang w:eastAsia="zh-CN"/>
        </w:rPr>
        <w:t>from the Australian and international public.</w:t>
      </w:r>
      <w:r w:rsidR="007B55D1" w:rsidRPr="00087B72">
        <w:rPr>
          <w:rStyle w:val="FootnoteReference"/>
          <w:rFonts w:ascii="Arial" w:hAnsi="Arial" w:cs="Arial"/>
          <w:lang w:eastAsia="zh-CN"/>
        </w:rPr>
        <w:footnoteReference w:id="17"/>
      </w:r>
      <w:r w:rsidR="007B55D1" w:rsidRPr="00087B72">
        <w:rPr>
          <w:rFonts w:ascii="Arial" w:hAnsi="Arial" w:cs="Arial"/>
          <w:lang w:eastAsia="zh-CN"/>
        </w:rPr>
        <w:t xml:space="preserve"> </w:t>
      </w:r>
    </w:p>
    <w:p w14:paraId="79824CA0" w14:textId="77777777" w:rsidR="00F07462" w:rsidRDefault="00F07462" w:rsidP="00F07462">
      <w:pPr>
        <w:pStyle w:val="Heading3"/>
        <w:rPr>
          <w:lang w:eastAsia="zh-CN"/>
        </w:rPr>
      </w:pPr>
      <w:bookmarkStart w:id="50" w:name="_Toc79056711"/>
      <w:bookmarkStart w:id="51" w:name="_Toc79071692"/>
      <w:bookmarkStart w:id="52" w:name="_Toc79071878"/>
      <w:bookmarkStart w:id="53" w:name="_Toc79154190"/>
      <w:bookmarkStart w:id="54" w:name="_Toc79154283"/>
      <w:bookmarkStart w:id="55" w:name="_Toc79154759"/>
      <w:bookmarkStart w:id="56" w:name="_Toc79570829"/>
      <w:bookmarkStart w:id="57" w:name="_Toc90456672"/>
      <w:r>
        <w:rPr>
          <w:lang w:eastAsia="zh-CN"/>
        </w:rPr>
        <w:t>Main resources</w:t>
      </w:r>
      <w:bookmarkEnd w:id="50"/>
      <w:bookmarkEnd w:id="51"/>
      <w:bookmarkEnd w:id="52"/>
      <w:bookmarkEnd w:id="53"/>
      <w:bookmarkEnd w:id="54"/>
      <w:bookmarkEnd w:id="55"/>
      <w:bookmarkEnd w:id="56"/>
      <w:bookmarkEnd w:id="57"/>
    </w:p>
    <w:p w14:paraId="16C290EF" w14:textId="05053532" w:rsidR="00F07462" w:rsidRPr="00BA38A2" w:rsidRDefault="00120E5F" w:rsidP="00F07462">
      <w:pPr>
        <w:pStyle w:val="BodyText"/>
        <w:jc w:val="both"/>
        <w:rPr>
          <w:rFonts w:ascii="Arial" w:hAnsi="Arial" w:cs="Arial"/>
          <w:lang w:eastAsia="zh-CN"/>
        </w:rPr>
      </w:pPr>
      <w:r>
        <w:rPr>
          <w:rFonts w:ascii="Arial" w:hAnsi="Arial" w:cs="Arial"/>
          <w:lang w:eastAsia="zh-CN"/>
        </w:rPr>
        <w:t>The m</w:t>
      </w:r>
      <w:r w:rsidRPr="00BA38A2">
        <w:rPr>
          <w:rFonts w:ascii="Arial" w:hAnsi="Arial" w:cs="Arial"/>
          <w:lang w:eastAsia="zh-CN"/>
        </w:rPr>
        <w:t xml:space="preserve">ain </w:t>
      </w:r>
      <w:r w:rsidR="009225C5" w:rsidRPr="00BA38A2">
        <w:rPr>
          <w:rFonts w:ascii="Arial" w:hAnsi="Arial" w:cs="Arial"/>
          <w:lang w:eastAsia="zh-CN"/>
        </w:rPr>
        <w:t>resources guiding</w:t>
      </w:r>
      <w:r w:rsidRPr="00BA38A2">
        <w:rPr>
          <w:rFonts w:ascii="Arial" w:hAnsi="Arial" w:cs="Arial"/>
          <w:lang w:eastAsia="zh-CN"/>
        </w:rPr>
        <w:t xml:space="preserve"> research and development in the Australian blood sector </w:t>
      </w:r>
      <w:r>
        <w:rPr>
          <w:rFonts w:ascii="Arial" w:hAnsi="Arial" w:cs="Arial"/>
          <w:lang w:eastAsia="zh-CN"/>
        </w:rPr>
        <w:t>are</w:t>
      </w:r>
      <w:r w:rsidRPr="00BA38A2">
        <w:rPr>
          <w:rFonts w:ascii="Arial" w:hAnsi="Arial" w:cs="Arial"/>
          <w:lang w:eastAsia="zh-CN"/>
        </w:rPr>
        <w:t xml:space="preserve"> legislative frameworks, policy agreements and strategic guidance documents from key blood authorities and organisations in Australia</w:t>
      </w:r>
      <w:r w:rsidR="00F07462" w:rsidRPr="00BA38A2">
        <w:rPr>
          <w:rFonts w:ascii="Arial" w:hAnsi="Arial" w:cs="Arial"/>
          <w:lang w:eastAsia="zh-CN"/>
        </w:rPr>
        <w:t>.</w:t>
      </w:r>
    </w:p>
    <w:p w14:paraId="413EEF93" w14:textId="02343A2A" w:rsidR="00F07462" w:rsidRPr="00BA38A2" w:rsidRDefault="00F07462" w:rsidP="008D4B95">
      <w:pPr>
        <w:pStyle w:val="BodyText"/>
        <w:keepNext/>
        <w:keepLines/>
        <w:jc w:val="both"/>
        <w:rPr>
          <w:rFonts w:ascii="Arial" w:hAnsi="Arial" w:cs="Arial"/>
          <w:lang w:eastAsia="zh-CN"/>
        </w:rPr>
      </w:pPr>
      <w:r w:rsidRPr="00BA38A2">
        <w:rPr>
          <w:rFonts w:ascii="Arial" w:hAnsi="Arial" w:cs="Arial"/>
          <w:lang w:eastAsia="zh-CN"/>
        </w:rPr>
        <w:t xml:space="preserve">The </w:t>
      </w:r>
      <w:r w:rsidRPr="0073198B">
        <w:rPr>
          <w:rFonts w:ascii="Arial" w:hAnsi="Arial" w:cs="Arial"/>
          <w:i/>
          <w:iCs/>
          <w:lang w:eastAsia="zh-CN"/>
        </w:rPr>
        <w:t>National Blood Authority Act 2003</w:t>
      </w:r>
      <w:r w:rsidRPr="00BA38A2">
        <w:rPr>
          <w:rFonts w:ascii="Arial" w:hAnsi="Arial" w:cs="Arial"/>
          <w:lang w:eastAsia="zh-CN"/>
        </w:rPr>
        <w:t xml:space="preserve"> establishes a statutory obligation on the NBA to ‘carry out national blood arrangements relating to the facilitation and funding of research</w:t>
      </w:r>
      <w:r>
        <w:rPr>
          <w:rFonts w:ascii="Arial" w:hAnsi="Arial" w:cs="Arial"/>
          <w:lang w:eastAsia="zh-CN"/>
        </w:rPr>
        <w:t>…</w:t>
      </w:r>
      <w:r w:rsidRPr="00BA38A2">
        <w:rPr>
          <w:rFonts w:ascii="Arial" w:hAnsi="Arial" w:cs="Arial"/>
          <w:lang w:eastAsia="zh-CN"/>
        </w:rPr>
        <w:t>relating to blood products and service</w:t>
      </w:r>
      <w:r>
        <w:rPr>
          <w:rFonts w:ascii="Arial" w:hAnsi="Arial" w:cs="Arial"/>
          <w:lang w:eastAsia="zh-CN"/>
        </w:rPr>
        <w:t>s</w:t>
      </w:r>
      <w:r w:rsidRPr="00BA38A2">
        <w:rPr>
          <w:rFonts w:ascii="Arial" w:hAnsi="Arial" w:cs="Arial"/>
          <w:lang w:eastAsia="zh-CN"/>
        </w:rPr>
        <w:t>.’</w:t>
      </w:r>
      <w:r w:rsidRPr="00BA38A2">
        <w:rPr>
          <w:rStyle w:val="FootnoteReference"/>
          <w:rFonts w:ascii="Arial" w:hAnsi="Arial" w:cs="Arial"/>
          <w:lang w:eastAsia="zh-CN"/>
        </w:rPr>
        <w:footnoteReference w:id="18"/>
      </w:r>
      <w:r w:rsidRPr="00BA38A2">
        <w:rPr>
          <w:rFonts w:ascii="Arial" w:hAnsi="Arial" w:cs="Arial"/>
          <w:lang w:eastAsia="zh-CN"/>
        </w:rPr>
        <w:t xml:space="preserve"> This means it is a required function of the NBA to facilitate and fund blood-related research in Australia.</w:t>
      </w:r>
      <w:r w:rsidR="00EC2F7F">
        <w:rPr>
          <w:rFonts w:ascii="Arial" w:hAnsi="Arial" w:cs="Arial"/>
          <w:lang w:eastAsia="zh-CN"/>
        </w:rPr>
        <w:t xml:space="preserve"> Funding is discussed in the section above.</w:t>
      </w:r>
    </w:p>
    <w:p w14:paraId="2679B092" w14:textId="339DB3F8" w:rsidR="00F07462" w:rsidRPr="00BA38A2" w:rsidRDefault="00F07462" w:rsidP="00F07462">
      <w:pPr>
        <w:pStyle w:val="BodyText"/>
        <w:jc w:val="both"/>
        <w:rPr>
          <w:rFonts w:ascii="Arial" w:hAnsi="Arial" w:cs="Arial"/>
          <w:lang w:eastAsia="zh-CN"/>
        </w:rPr>
      </w:pPr>
      <w:r w:rsidRPr="00BA38A2">
        <w:rPr>
          <w:rFonts w:ascii="Arial" w:hAnsi="Arial" w:cs="Arial"/>
          <w:lang w:eastAsia="zh-CN"/>
        </w:rPr>
        <w:t xml:space="preserve">The National Blood Agreement, signed </w:t>
      </w:r>
      <w:r>
        <w:rPr>
          <w:rFonts w:ascii="Arial" w:hAnsi="Arial" w:cs="Arial"/>
          <w:lang w:eastAsia="zh-CN"/>
        </w:rPr>
        <w:t>by Australian governments during</w:t>
      </w:r>
      <w:r w:rsidRPr="00BA38A2">
        <w:rPr>
          <w:rFonts w:ascii="Arial" w:hAnsi="Arial" w:cs="Arial"/>
          <w:lang w:eastAsia="zh-CN"/>
        </w:rPr>
        <w:t xml:space="preserve"> 2002 and 2003, is a federal agreement which establishes </w:t>
      </w:r>
      <w:r>
        <w:rPr>
          <w:rFonts w:ascii="Arial" w:hAnsi="Arial" w:cs="Arial"/>
          <w:lang w:eastAsia="zh-CN"/>
        </w:rPr>
        <w:t xml:space="preserve">a </w:t>
      </w:r>
      <w:r w:rsidRPr="00BA38A2">
        <w:rPr>
          <w:rFonts w:ascii="Arial" w:hAnsi="Arial" w:cs="Arial"/>
          <w:lang w:eastAsia="zh-CN"/>
        </w:rPr>
        <w:t>policy framework for the governance and administration of the Australian blood sector.</w:t>
      </w:r>
      <w:r w:rsidRPr="00BA38A2">
        <w:rPr>
          <w:rStyle w:val="FootnoteReference"/>
          <w:rFonts w:ascii="Arial" w:hAnsi="Arial" w:cs="Arial"/>
          <w:lang w:eastAsia="zh-CN"/>
        </w:rPr>
        <w:footnoteReference w:id="19"/>
      </w:r>
      <w:r>
        <w:rPr>
          <w:rFonts w:ascii="Arial" w:hAnsi="Arial" w:cs="Arial"/>
          <w:lang w:eastAsia="zh-CN"/>
        </w:rPr>
        <w:t xml:space="preserve"> </w:t>
      </w:r>
      <w:r w:rsidRPr="00BA38A2">
        <w:rPr>
          <w:rFonts w:ascii="Arial" w:hAnsi="Arial" w:cs="Arial"/>
          <w:lang w:eastAsia="zh-CN"/>
        </w:rPr>
        <w:t>This includes</w:t>
      </w:r>
      <w:r>
        <w:rPr>
          <w:rFonts w:ascii="Arial" w:hAnsi="Arial" w:cs="Arial"/>
          <w:lang w:eastAsia="zh-CN"/>
        </w:rPr>
        <w:t xml:space="preserve"> </w:t>
      </w:r>
      <w:r w:rsidRPr="00BA38A2">
        <w:rPr>
          <w:rFonts w:ascii="Arial" w:hAnsi="Arial" w:cs="Arial"/>
          <w:lang w:eastAsia="zh-CN"/>
        </w:rPr>
        <w:t>providing for a research and development focus for the NBA.</w:t>
      </w:r>
    </w:p>
    <w:p w14:paraId="2577A689" w14:textId="23DFA627" w:rsidR="00F07462" w:rsidRDefault="00F07462" w:rsidP="00F07462">
      <w:pPr>
        <w:pStyle w:val="BodyText"/>
        <w:jc w:val="both"/>
        <w:rPr>
          <w:rFonts w:ascii="Arial" w:hAnsi="Arial" w:cs="Arial"/>
          <w:lang w:eastAsia="zh-CN"/>
        </w:rPr>
      </w:pPr>
      <w:r w:rsidRPr="00BA38A2">
        <w:rPr>
          <w:rFonts w:ascii="Arial" w:hAnsi="Arial" w:cs="Arial"/>
          <w:lang w:eastAsia="zh-CN"/>
        </w:rPr>
        <w:t xml:space="preserve">Apart from the </w:t>
      </w:r>
      <w:r w:rsidR="00325AF4">
        <w:rPr>
          <w:rFonts w:ascii="Arial" w:hAnsi="Arial" w:cs="Arial"/>
          <w:lang w:eastAsia="zh-CN"/>
        </w:rPr>
        <w:t>2013-16 Priorities</w:t>
      </w:r>
      <w:r w:rsidRPr="00BA38A2">
        <w:rPr>
          <w:rFonts w:ascii="Arial" w:hAnsi="Arial" w:cs="Arial"/>
          <w:lang w:eastAsia="zh-CN"/>
        </w:rPr>
        <w:t xml:space="preserve">, other </w:t>
      </w:r>
      <w:r>
        <w:rPr>
          <w:rFonts w:ascii="Arial" w:hAnsi="Arial" w:cs="Arial"/>
          <w:lang w:eastAsia="zh-CN"/>
        </w:rPr>
        <w:t>direction setting</w:t>
      </w:r>
      <w:r w:rsidRPr="00BA38A2">
        <w:rPr>
          <w:rFonts w:ascii="Arial" w:hAnsi="Arial" w:cs="Arial"/>
          <w:lang w:eastAsia="zh-CN"/>
        </w:rPr>
        <w:t xml:space="preserve"> resources within Australia’s blood research and development sector include the Australian Red Cross Lifeblood’s published research program</w:t>
      </w:r>
      <w:r w:rsidRPr="00BA38A2">
        <w:rPr>
          <w:rStyle w:val="FootnoteReference"/>
          <w:rFonts w:ascii="Arial" w:hAnsi="Arial" w:cs="Arial"/>
          <w:lang w:eastAsia="zh-CN"/>
        </w:rPr>
        <w:footnoteReference w:id="20"/>
      </w:r>
      <w:r w:rsidRPr="00BA38A2">
        <w:rPr>
          <w:rFonts w:ascii="Arial" w:hAnsi="Arial" w:cs="Arial"/>
          <w:lang w:eastAsia="zh-CN"/>
        </w:rPr>
        <w:t xml:space="preserve"> and funding guidelines from main funders, including the </w:t>
      </w:r>
      <w:r>
        <w:rPr>
          <w:rFonts w:ascii="Arial" w:hAnsi="Arial" w:cs="Arial"/>
          <w:lang w:eastAsia="zh-CN"/>
        </w:rPr>
        <w:t>NHMRC</w:t>
      </w:r>
      <w:r w:rsidRPr="00BA38A2">
        <w:rPr>
          <w:rFonts w:ascii="Arial" w:hAnsi="Arial" w:cs="Arial"/>
          <w:lang w:eastAsia="zh-CN"/>
        </w:rPr>
        <w:t>.</w:t>
      </w:r>
    </w:p>
    <w:p w14:paraId="55F5E6D4" w14:textId="78280C66" w:rsidR="004B79E9" w:rsidRPr="00BA38A2" w:rsidRDefault="003E541D" w:rsidP="00F07462">
      <w:pPr>
        <w:pStyle w:val="BodyText"/>
        <w:jc w:val="both"/>
        <w:rPr>
          <w:rFonts w:ascii="Arial" w:hAnsi="Arial" w:cs="Arial"/>
          <w:lang w:eastAsia="zh-CN"/>
        </w:rPr>
      </w:pPr>
      <w:r>
        <w:rPr>
          <w:rFonts w:ascii="Arial" w:hAnsi="Arial" w:cs="Arial"/>
          <w:lang w:eastAsia="zh-CN"/>
        </w:rPr>
        <w:t xml:space="preserve">Further detail is set out in </w:t>
      </w:r>
      <w:hyperlink w:anchor="_Appendix_B_-" w:history="1">
        <w:r w:rsidRPr="000E704C">
          <w:rPr>
            <w:rStyle w:val="Hyperlink"/>
            <w:rFonts w:ascii="Arial" w:hAnsi="Arial" w:cs="Arial"/>
            <w:lang w:eastAsia="zh-CN"/>
          </w:rPr>
          <w:t>Appendix B</w:t>
        </w:r>
      </w:hyperlink>
      <w:r>
        <w:rPr>
          <w:rFonts w:ascii="Arial" w:hAnsi="Arial" w:cs="Arial"/>
          <w:lang w:eastAsia="zh-CN"/>
        </w:rPr>
        <w:t>.</w:t>
      </w:r>
    </w:p>
    <w:p w14:paraId="7A3C92E8" w14:textId="77777777" w:rsidR="00F07462" w:rsidRDefault="00F07462" w:rsidP="00F07462">
      <w:pPr>
        <w:pStyle w:val="Heading3"/>
        <w:rPr>
          <w:lang w:eastAsia="zh-CN"/>
        </w:rPr>
      </w:pPr>
      <w:bookmarkStart w:id="58" w:name="_Toc79056712"/>
      <w:bookmarkStart w:id="59" w:name="_Toc79071693"/>
      <w:bookmarkStart w:id="60" w:name="_Toc79071879"/>
      <w:bookmarkStart w:id="61" w:name="_Toc79154191"/>
      <w:bookmarkStart w:id="62" w:name="_Toc79154284"/>
      <w:bookmarkStart w:id="63" w:name="_Toc79154760"/>
      <w:bookmarkStart w:id="64" w:name="_Toc79570830"/>
      <w:bookmarkStart w:id="65" w:name="_Toc90456673"/>
      <w:r>
        <w:rPr>
          <w:lang w:eastAsia="zh-CN"/>
        </w:rPr>
        <w:t>Main organisations doing the research and the translation</w:t>
      </w:r>
      <w:bookmarkEnd w:id="58"/>
      <w:bookmarkEnd w:id="59"/>
      <w:bookmarkEnd w:id="60"/>
      <w:bookmarkEnd w:id="61"/>
      <w:bookmarkEnd w:id="62"/>
      <w:bookmarkEnd w:id="63"/>
      <w:bookmarkEnd w:id="64"/>
      <w:bookmarkEnd w:id="65"/>
    </w:p>
    <w:p w14:paraId="00DCD6E1" w14:textId="77777777" w:rsidR="00F07462" w:rsidRPr="00BA38A2" w:rsidRDefault="00F07462" w:rsidP="00F07462">
      <w:pPr>
        <w:pStyle w:val="BodyText"/>
        <w:jc w:val="both"/>
        <w:rPr>
          <w:rFonts w:ascii="Arial" w:hAnsi="Arial" w:cs="Arial"/>
          <w:lang w:eastAsia="zh-CN"/>
        </w:rPr>
      </w:pPr>
      <w:r w:rsidRPr="00BA38A2">
        <w:rPr>
          <w:rFonts w:ascii="Arial" w:hAnsi="Arial" w:cs="Arial"/>
          <w:lang w:eastAsia="zh-CN"/>
        </w:rPr>
        <w:t xml:space="preserve">In Australia, the main organisations doing the research and its translation, </w:t>
      </w:r>
      <w:r>
        <w:rPr>
          <w:rFonts w:ascii="Arial" w:hAnsi="Arial" w:cs="Arial"/>
          <w:lang w:eastAsia="zh-CN"/>
        </w:rPr>
        <w:t>are</w:t>
      </w:r>
      <w:r w:rsidRPr="00BA38A2">
        <w:rPr>
          <w:rFonts w:ascii="Arial" w:hAnsi="Arial" w:cs="Arial"/>
          <w:lang w:eastAsia="zh-CN"/>
        </w:rPr>
        <w:t xml:space="preserve"> higher education, business, and not-for-profit organisations.</w:t>
      </w:r>
    </w:p>
    <w:p w14:paraId="52782DB0" w14:textId="77777777" w:rsidR="009D6B96" w:rsidRDefault="00F07462" w:rsidP="00F07462">
      <w:pPr>
        <w:pStyle w:val="BodyText"/>
        <w:jc w:val="both"/>
        <w:rPr>
          <w:rFonts w:ascii="Arial" w:hAnsi="Arial" w:cs="Arial"/>
          <w:lang w:eastAsia="zh-CN"/>
        </w:rPr>
      </w:pPr>
      <w:r w:rsidRPr="00BA38A2">
        <w:rPr>
          <w:rFonts w:ascii="Arial" w:hAnsi="Arial" w:cs="Arial"/>
          <w:lang w:eastAsia="zh-CN"/>
        </w:rPr>
        <w:t xml:space="preserve">Higher education institutions, such as universities, undertake </w:t>
      </w:r>
      <w:r w:rsidR="009014D9" w:rsidRPr="00BA38A2">
        <w:rPr>
          <w:rFonts w:ascii="Arial" w:hAnsi="Arial" w:cs="Arial"/>
          <w:lang w:eastAsia="zh-CN"/>
        </w:rPr>
        <w:t>most of the</w:t>
      </w:r>
      <w:r w:rsidRPr="00BA38A2">
        <w:rPr>
          <w:rFonts w:ascii="Arial" w:hAnsi="Arial" w:cs="Arial"/>
          <w:lang w:eastAsia="zh-CN"/>
        </w:rPr>
        <w:t xml:space="preserve"> health and medical research in Australia. Research Australia states over 50 per cent of Australian health and medical research is undertaken in higher education institutions.</w:t>
      </w:r>
      <w:r w:rsidRPr="00BA38A2">
        <w:rPr>
          <w:rStyle w:val="FootnoteReference"/>
          <w:rFonts w:ascii="Arial" w:hAnsi="Arial" w:cs="Arial"/>
          <w:lang w:eastAsia="zh-CN"/>
        </w:rPr>
        <w:footnoteReference w:id="21"/>
      </w:r>
      <w:r w:rsidRPr="00BA38A2">
        <w:rPr>
          <w:rFonts w:ascii="Arial" w:hAnsi="Arial" w:cs="Arial"/>
          <w:lang w:eastAsia="zh-CN"/>
        </w:rPr>
        <w:t xml:space="preserve"> </w:t>
      </w:r>
      <w:r>
        <w:rPr>
          <w:rFonts w:ascii="Arial" w:hAnsi="Arial" w:cs="Arial"/>
          <w:lang w:eastAsia="zh-CN"/>
        </w:rPr>
        <w:t>A</w:t>
      </w:r>
      <w:r w:rsidRPr="00BA38A2">
        <w:rPr>
          <w:rFonts w:ascii="Arial" w:hAnsi="Arial" w:cs="Arial"/>
          <w:lang w:eastAsia="zh-CN"/>
        </w:rPr>
        <w:t xml:space="preserve"> range of universities undertake blood-related research including the University of Sydney, University of Queensland, RMIT University and Monash University. For example, Monash University’s Transfusion Unit delivers Blood Synergy, which is a N</w:t>
      </w:r>
      <w:r w:rsidR="00D9772E">
        <w:rPr>
          <w:rFonts w:ascii="Arial" w:hAnsi="Arial" w:cs="Arial"/>
          <w:lang w:eastAsia="zh-CN"/>
        </w:rPr>
        <w:t>HMRC</w:t>
      </w:r>
      <w:r w:rsidRPr="00BA38A2">
        <w:rPr>
          <w:rFonts w:ascii="Arial" w:hAnsi="Arial" w:cs="Arial"/>
          <w:lang w:eastAsia="zh-CN"/>
        </w:rPr>
        <w:t xml:space="preserve"> funded program focused on studies and trials relating to blood transfusion practice and patient outcome.</w:t>
      </w:r>
      <w:r w:rsidRPr="00BA38A2">
        <w:rPr>
          <w:rStyle w:val="FootnoteReference"/>
          <w:rFonts w:ascii="Arial" w:hAnsi="Arial" w:cs="Arial"/>
          <w:lang w:eastAsia="zh-CN"/>
        </w:rPr>
        <w:footnoteReference w:id="22"/>
      </w:r>
      <w:r w:rsidRPr="00BA38A2">
        <w:rPr>
          <w:rFonts w:ascii="Arial" w:hAnsi="Arial" w:cs="Arial"/>
          <w:lang w:eastAsia="zh-CN"/>
        </w:rPr>
        <w:t xml:space="preserve"> </w:t>
      </w:r>
    </w:p>
    <w:p w14:paraId="332C2E4F" w14:textId="394D82FF" w:rsidR="00F07462" w:rsidRPr="00977A6B" w:rsidRDefault="009D6B96" w:rsidP="00F07462">
      <w:pPr>
        <w:pStyle w:val="BodyText"/>
        <w:jc w:val="both"/>
        <w:rPr>
          <w:rFonts w:ascii="Arial" w:hAnsi="Arial" w:cs="Arial"/>
          <w:lang w:eastAsia="zh-CN"/>
        </w:rPr>
      </w:pPr>
      <w:r w:rsidRPr="008D4B95">
        <w:rPr>
          <w:rFonts w:ascii="Arial" w:hAnsi="Arial" w:cs="Arial"/>
          <w:lang w:eastAsia="zh-CN"/>
        </w:rPr>
        <w:t xml:space="preserve">Table </w:t>
      </w:r>
      <w:r w:rsidR="008C129A">
        <w:rPr>
          <w:rFonts w:ascii="Arial" w:hAnsi="Arial" w:cs="Arial"/>
          <w:lang w:eastAsia="zh-CN"/>
        </w:rPr>
        <w:t>1</w:t>
      </w:r>
      <w:r>
        <w:rPr>
          <w:rFonts w:ascii="Arial" w:hAnsi="Arial" w:cs="Arial"/>
          <w:lang w:eastAsia="zh-CN"/>
        </w:rPr>
        <w:t xml:space="preserve">, on the following page, </w:t>
      </w:r>
      <w:r w:rsidR="009D2A01" w:rsidRPr="00BA38A2">
        <w:rPr>
          <w:rFonts w:ascii="Arial" w:hAnsi="Arial" w:cs="Arial"/>
          <w:lang w:eastAsia="zh-CN"/>
        </w:rPr>
        <w:t xml:space="preserve">provides further examples of universities </w:t>
      </w:r>
      <w:r w:rsidR="009D2A01">
        <w:rPr>
          <w:rFonts w:ascii="Arial" w:hAnsi="Arial" w:cs="Arial"/>
          <w:lang w:eastAsia="zh-CN"/>
        </w:rPr>
        <w:t>undertaking</w:t>
      </w:r>
      <w:r w:rsidR="009D2A01" w:rsidRPr="00BA38A2">
        <w:rPr>
          <w:rFonts w:ascii="Arial" w:hAnsi="Arial" w:cs="Arial"/>
          <w:lang w:eastAsia="zh-CN"/>
        </w:rPr>
        <w:t xml:space="preserve"> blood-related research </w:t>
      </w:r>
      <w:r w:rsidR="009D2A01">
        <w:rPr>
          <w:rFonts w:ascii="Arial" w:hAnsi="Arial" w:cs="Arial"/>
          <w:lang w:eastAsia="zh-CN"/>
        </w:rPr>
        <w:t xml:space="preserve">under NHMRC </w:t>
      </w:r>
      <w:r w:rsidR="009D2A01" w:rsidRPr="00BA38A2">
        <w:rPr>
          <w:rFonts w:ascii="Arial" w:hAnsi="Arial" w:cs="Arial"/>
          <w:lang w:eastAsia="zh-CN"/>
        </w:rPr>
        <w:t>fund</w:t>
      </w:r>
      <w:r w:rsidR="009D2A01">
        <w:rPr>
          <w:rFonts w:ascii="Arial" w:hAnsi="Arial" w:cs="Arial"/>
          <w:lang w:eastAsia="zh-CN"/>
        </w:rPr>
        <w:t>ing.</w:t>
      </w:r>
      <w:r w:rsidR="009D2A01" w:rsidRPr="00BA38A2">
        <w:rPr>
          <w:rFonts w:ascii="Arial" w:hAnsi="Arial" w:cs="Arial"/>
          <w:lang w:eastAsia="zh-CN"/>
        </w:rPr>
        <w:t xml:space="preserve"> </w:t>
      </w:r>
    </w:p>
    <w:p w14:paraId="40F96BDC" w14:textId="77777777" w:rsidR="00F07462" w:rsidRDefault="00F07462" w:rsidP="00F07462">
      <w:pPr>
        <w:rPr>
          <w:rFonts w:ascii="Arial" w:hAnsi="Arial" w:cs="Arial"/>
          <w:lang w:eastAsia="zh-CN"/>
        </w:rPr>
      </w:pPr>
      <w:r>
        <w:rPr>
          <w:rFonts w:ascii="Arial" w:hAnsi="Arial" w:cs="Arial"/>
          <w:lang w:eastAsia="zh-CN"/>
        </w:rPr>
        <w:br w:type="page"/>
      </w:r>
    </w:p>
    <w:p w14:paraId="130A279C" w14:textId="24DE81B7" w:rsidR="00B827E1" w:rsidRPr="00087B72" w:rsidRDefault="00B827E1" w:rsidP="00B827E1">
      <w:pPr>
        <w:pStyle w:val="Caption"/>
      </w:pPr>
      <w:bookmarkStart w:id="66" w:name="_Toc90462712"/>
      <w:r>
        <w:t xml:space="preserve">Table </w:t>
      </w:r>
      <w:r>
        <w:fldChar w:fldCharType="begin"/>
      </w:r>
      <w:r>
        <w:instrText xml:space="preserve"> SEQ Table \* ARABIC </w:instrText>
      </w:r>
      <w:r>
        <w:fldChar w:fldCharType="separate"/>
      </w:r>
      <w:r w:rsidR="00A25C74">
        <w:rPr>
          <w:noProof/>
        </w:rPr>
        <w:t>1</w:t>
      </w:r>
      <w:r>
        <w:fldChar w:fldCharType="end"/>
      </w:r>
      <w:r>
        <w:t>: Examples of universities funded to undertake research</w:t>
      </w:r>
      <w:bookmarkEnd w:id="66"/>
    </w:p>
    <w:tbl>
      <w:tblPr>
        <w:tblStyle w:val="ListTable4-Accent1"/>
        <w:tblW w:w="9209" w:type="dxa"/>
        <w:tblLayout w:type="fixed"/>
        <w:tblLook w:val="04A0" w:firstRow="1" w:lastRow="0" w:firstColumn="1" w:lastColumn="0" w:noHBand="0" w:noVBand="1"/>
      </w:tblPr>
      <w:tblGrid>
        <w:gridCol w:w="1402"/>
        <w:gridCol w:w="2390"/>
        <w:gridCol w:w="5417"/>
      </w:tblGrid>
      <w:tr w:rsidR="00F07462" w14:paraId="36CD1483" w14:textId="77777777" w:rsidTr="004459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Pr>
          <w:p w14:paraId="44908BA6" w14:textId="77777777" w:rsidR="00F07462" w:rsidRDefault="00F07462" w:rsidP="004F419B">
            <w:pPr>
              <w:pStyle w:val="BodyText"/>
              <w:rPr>
                <w:lang w:eastAsia="zh-CN"/>
              </w:rPr>
            </w:pPr>
            <w:r>
              <w:rPr>
                <w:lang w:eastAsia="zh-CN"/>
              </w:rPr>
              <w:t>Year</w:t>
            </w:r>
          </w:p>
        </w:tc>
        <w:tc>
          <w:tcPr>
            <w:tcW w:w="2390" w:type="dxa"/>
          </w:tcPr>
          <w:p w14:paraId="784A38D7" w14:textId="77777777" w:rsidR="00F07462" w:rsidRDefault="00F07462" w:rsidP="00087B72">
            <w:pPr>
              <w:pStyle w:val="BodyText"/>
              <w:cnfStyle w:val="100000000000" w:firstRow="1" w:lastRow="0" w:firstColumn="0" w:lastColumn="0" w:oddVBand="0" w:evenVBand="0" w:oddHBand="0" w:evenHBand="0" w:firstRowFirstColumn="0" w:firstRowLastColumn="0" w:lastRowFirstColumn="0" w:lastRowLastColumn="0"/>
              <w:rPr>
                <w:lang w:eastAsia="zh-CN"/>
              </w:rPr>
            </w:pPr>
            <w:r>
              <w:rPr>
                <w:lang w:eastAsia="zh-CN"/>
              </w:rPr>
              <w:t>Higher Education Institution</w:t>
            </w:r>
          </w:p>
        </w:tc>
        <w:tc>
          <w:tcPr>
            <w:tcW w:w="5417" w:type="dxa"/>
          </w:tcPr>
          <w:p w14:paraId="527392A1" w14:textId="77777777" w:rsidR="00F07462" w:rsidRDefault="00F07462" w:rsidP="004F419B">
            <w:pPr>
              <w:pStyle w:val="BodyText"/>
              <w:cnfStyle w:val="100000000000" w:firstRow="1" w:lastRow="0" w:firstColumn="0" w:lastColumn="0" w:oddVBand="0" w:evenVBand="0" w:oddHBand="0" w:evenHBand="0" w:firstRowFirstColumn="0" w:firstRowLastColumn="0" w:lastRowFirstColumn="0" w:lastRowLastColumn="0"/>
              <w:rPr>
                <w:lang w:eastAsia="zh-CN"/>
              </w:rPr>
            </w:pPr>
            <w:r>
              <w:rPr>
                <w:lang w:eastAsia="zh-CN"/>
              </w:rPr>
              <w:t>Project</w:t>
            </w:r>
          </w:p>
        </w:tc>
      </w:tr>
      <w:tr w:rsidR="00F07462" w14:paraId="06AB3ADA" w14:textId="77777777" w:rsidTr="00445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Borders>
              <w:bottom w:val="nil"/>
            </w:tcBorders>
          </w:tcPr>
          <w:p w14:paraId="7498C040" w14:textId="77777777" w:rsidR="00F07462" w:rsidRPr="0057238B" w:rsidRDefault="00F07462" w:rsidP="004459FB">
            <w:pPr>
              <w:pStyle w:val="BodyText"/>
              <w:ind w:left="112" w:right="46"/>
              <w:rPr>
                <w:sz w:val="20"/>
                <w:szCs w:val="20"/>
              </w:rPr>
            </w:pPr>
            <w:r w:rsidRPr="0057238B">
              <w:rPr>
                <w:sz w:val="20"/>
                <w:szCs w:val="20"/>
              </w:rPr>
              <w:t>2018</w:t>
            </w:r>
          </w:p>
        </w:tc>
        <w:tc>
          <w:tcPr>
            <w:tcW w:w="2390" w:type="dxa"/>
            <w:tcBorders>
              <w:bottom w:val="nil"/>
            </w:tcBorders>
          </w:tcPr>
          <w:p w14:paraId="23144F36" w14:textId="77777777" w:rsidR="00F07462" w:rsidRPr="0073198B" w:rsidRDefault="00F07462" w:rsidP="004459FB">
            <w:pPr>
              <w:pStyle w:val="BodyText"/>
              <w:ind w:left="112" w:right="46"/>
              <w:cnfStyle w:val="000000100000" w:firstRow="0" w:lastRow="0" w:firstColumn="0" w:lastColumn="0" w:oddVBand="0" w:evenVBand="0" w:oddHBand="1" w:evenHBand="0" w:firstRowFirstColumn="0" w:firstRowLastColumn="0" w:lastRowFirstColumn="0" w:lastRowLastColumn="0"/>
              <w:rPr>
                <w:sz w:val="20"/>
                <w:szCs w:val="20"/>
              </w:rPr>
            </w:pPr>
            <w:r w:rsidRPr="0073198B">
              <w:rPr>
                <w:sz w:val="20"/>
                <w:szCs w:val="20"/>
              </w:rPr>
              <w:t>RMIT University</w:t>
            </w:r>
          </w:p>
        </w:tc>
        <w:tc>
          <w:tcPr>
            <w:tcW w:w="5417" w:type="dxa"/>
            <w:tcBorders>
              <w:bottom w:val="nil"/>
            </w:tcBorders>
          </w:tcPr>
          <w:p w14:paraId="5D2F9D1D" w14:textId="77777777" w:rsidR="00F07462" w:rsidRPr="0073198B" w:rsidRDefault="00F07462" w:rsidP="004459FB">
            <w:pPr>
              <w:pStyle w:val="BodyText"/>
              <w:ind w:left="112" w:right="46"/>
              <w:cnfStyle w:val="000000100000" w:firstRow="0" w:lastRow="0" w:firstColumn="0" w:lastColumn="0" w:oddVBand="0" w:evenVBand="0" w:oddHBand="1" w:evenHBand="0" w:firstRowFirstColumn="0" w:firstRowLastColumn="0" w:lastRowFirstColumn="0" w:lastRowLastColumn="0"/>
              <w:rPr>
                <w:sz w:val="20"/>
                <w:szCs w:val="20"/>
              </w:rPr>
            </w:pPr>
            <w:r w:rsidRPr="0073198B">
              <w:rPr>
                <w:sz w:val="20"/>
                <w:szCs w:val="20"/>
              </w:rPr>
              <w:t>Development of a microfluidic blood platelet analyser</w:t>
            </w:r>
          </w:p>
        </w:tc>
      </w:tr>
      <w:tr w:rsidR="00F07462" w14:paraId="64A3443B" w14:textId="77777777" w:rsidTr="004459FB">
        <w:tc>
          <w:tcPr>
            <w:cnfStyle w:val="001000000000" w:firstRow="0" w:lastRow="0" w:firstColumn="1" w:lastColumn="0" w:oddVBand="0" w:evenVBand="0" w:oddHBand="0" w:evenHBand="0" w:firstRowFirstColumn="0" w:firstRowLastColumn="0" w:lastRowFirstColumn="0" w:lastRowLastColumn="0"/>
            <w:tcW w:w="1402" w:type="dxa"/>
            <w:tcBorders>
              <w:top w:val="nil"/>
              <w:left w:val="single" w:sz="4" w:space="0" w:color="0E4168"/>
              <w:bottom w:val="nil"/>
            </w:tcBorders>
          </w:tcPr>
          <w:p w14:paraId="71FD8473" w14:textId="77777777" w:rsidR="00F07462" w:rsidRPr="0057238B" w:rsidRDefault="00F07462" w:rsidP="004459FB">
            <w:pPr>
              <w:pStyle w:val="BodyText"/>
              <w:ind w:left="112" w:right="46"/>
              <w:rPr>
                <w:sz w:val="20"/>
                <w:szCs w:val="20"/>
              </w:rPr>
            </w:pPr>
            <w:r w:rsidRPr="0057238B">
              <w:rPr>
                <w:sz w:val="20"/>
                <w:szCs w:val="20"/>
              </w:rPr>
              <w:t>2019</w:t>
            </w:r>
          </w:p>
        </w:tc>
        <w:tc>
          <w:tcPr>
            <w:tcW w:w="2390" w:type="dxa"/>
            <w:tcBorders>
              <w:top w:val="nil"/>
              <w:bottom w:val="nil"/>
            </w:tcBorders>
            <w:shd w:val="clear" w:color="auto" w:fill="auto"/>
          </w:tcPr>
          <w:p w14:paraId="25CF2604" w14:textId="77777777" w:rsidR="00F07462" w:rsidRPr="00644F4F" w:rsidRDefault="00F07462" w:rsidP="004459FB">
            <w:pPr>
              <w:pStyle w:val="BodyText"/>
              <w:ind w:left="112" w:right="46"/>
              <w:cnfStyle w:val="000000000000" w:firstRow="0" w:lastRow="0" w:firstColumn="0" w:lastColumn="0" w:oddVBand="0" w:evenVBand="0" w:oddHBand="0" w:evenHBand="0" w:firstRowFirstColumn="0" w:firstRowLastColumn="0" w:lastRowFirstColumn="0" w:lastRowLastColumn="0"/>
              <w:rPr>
                <w:sz w:val="20"/>
                <w:szCs w:val="20"/>
              </w:rPr>
            </w:pPr>
            <w:r w:rsidRPr="00644F4F">
              <w:rPr>
                <w:sz w:val="20"/>
                <w:szCs w:val="20"/>
              </w:rPr>
              <w:t>University of Sydney</w:t>
            </w:r>
          </w:p>
        </w:tc>
        <w:tc>
          <w:tcPr>
            <w:tcW w:w="5417" w:type="dxa"/>
            <w:tcBorders>
              <w:top w:val="nil"/>
              <w:bottom w:val="nil"/>
              <w:right w:val="single" w:sz="4" w:space="0" w:color="0E4168"/>
            </w:tcBorders>
            <w:shd w:val="clear" w:color="auto" w:fill="auto"/>
          </w:tcPr>
          <w:p w14:paraId="16F23335" w14:textId="77777777" w:rsidR="00F07462" w:rsidRPr="00644F4F" w:rsidRDefault="00F07462" w:rsidP="004459FB">
            <w:pPr>
              <w:pStyle w:val="BodyText"/>
              <w:ind w:left="112" w:right="46"/>
              <w:cnfStyle w:val="000000000000" w:firstRow="0" w:lastRow="0" w:firstColumn="0" w:lastColumn="0" w:oddVBand="0" w:evenVBand="0" w:oddHBand="0" w:evenHBand="0" w:firstRowFirstColumn="0" w:firstRowLastColumn="0" w:lastRowFirstColumn="0" w:lastRowLastColumn="0"/>
              <w:rPr>
                <w:sz w:val="20"/>
                <w:szCs w:val="20"/>
              </w:rPr>
            </w:pPr>
            <w:r w:rsidRPr="00644F4F">
              <w:rPr>
                <w:sz w:val="20"/>
                <w:szCs w:val="20"/>
              </w:rPr>
              <w:t>A multi-pronged approach for the development of effective and safe anticoagulants</w:t>
            </w:r>
          </w:p>
        </w:tc>
      </w:tr>
      <w:tr w:rsidR="00F07462" w14:paraId="4476591A" w14:textId="77777777" w:rsidTr="00445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 w:type="dxa"/>
            <w:tcBorders>
              <w:top w:val="nil"/>
            </w:tcBorders>
          </w:tcPr>
          <w:p w14:paraId="667D6C50" w14:textId="77777777" w:rsidR="00F07462" w:rsidRPr="0057238B" w:rsidRDefault="00F07462" w:rsidP="004459FB">
            <w:pPr>
              <w:pStyle w:val="BodyText"/>
              <w:ind w:left="112" w:right="46"/>
              <w:rPr>
                <w:sz w:val="20"/>
                <w:szCs w:val="20"/>
              </w:rPr>
            </w:pPr>
            <w:r w:rsidRPr="0057238B">
              <w:rPr>
                <w:sz w:val="20"/>
                <w:szCs w:val="20"/>
              </w:rPr>
              <w:t>2020</w:t>
            </w:r>
          </w:p>
        </w:tc>
        <w:tc>
          <w:tcPr>
            <w:tcW w:w="2390" w:type="dxa"/>
            <w:tcBorders>
              <w:top w:val="nil"/>
            </w:tcBorders>
          </w:tcPr>
          <w:p w14:paraId="74B133F1" w14:textId="77777777" w:rsidR="00F07462" w:rsidRPr="0073198B" w:rsidRDefault="00F07462" w:rsidP="004459FB">
            <w:pPr>
              <w:pStyle w:val="BodyText"/>
              <w:ind w:left="112" w:right="46"/>
              <w:cnfStyle w:val="000000100000" w:firstRow="0" w:lastRow="0" w:firstColumn="0" w:lastColumn="0" w:oddVBand="0" w:evenVBand="0" w:oddHBand="1" w:evenHBand="0" w:firstRowFirstColumn="0" w:firstRowLastColumn="0" w:lastRowFirstColumn="0" w:lastRowLastColumn="0"/>
              <w:rPr>
                <w:sz w:val="20"/>
                <w:szCs w:val="20"/>
              </w:rPr>
            </w:pPr>
            <w:r w:rsidRPr="0073198B">
              <w:rPr>
                <w:sz w:val="20"/>
                <w:szCs w:val="20"/>
              </w:rPr>
              <w:t>University of Queensland</w:t>
            </w:r>
          </w:p>
        </w:tc>
        <w:tc>
          <w:tcPr>
            <w:tcW w:w="5417" w:type="dxa"/>
            <w:tcBorders>
              <w:top w:val="nil"/>
            </w:tcBorders>
          </w:tcPr>
          <w:p w14:paraId="4D22A08E" w14:textId="77777777" w:rsidR="00F07462" w:rsidRPr="0073198B" w:rsidRDefault="00F07462" w:rsidP="004459FB">
            <w:pPr>
              <w:pStyle w:val="BodyText"/>
              <w:ind w:left="112" w:right="46"/>
              <w:cnfStyle w:val="000000100000" w:firstRow="0" w:lastRow="0" w:firstColumn="0" w:lastColumn="0" w:oddVBand="0" w:evenVBand="0" w:oddHBand="1" w:evenHBand="0" w:firstRowFirstColumn="0" w:firstRowLastColumn="0" w:lastRowFirstColumn="0" w:lastRowLastColumn="0"/>
              <w:rPr>
                <w:sz w:val="20"/>
                <w:szCs w:val="20"/>
              </w:rPr>
            </w:pPr>
            <w:r w:rsidRPr="0073198B">
              <w:rPr>
                <w:sz w:val="20"/>
                <w:szCs w:val="20"/>
              </w:rPr>
              <w:t>Overcoming the barriers to treatment of multi-drug resistant Gram-negative bloodstream infections in Australian children</w:t>
            </w:r>
          </w:p>
        </w:tc>
      </w:tr>
      <w:tr w:rsidR="00F07462" w14:paraId="63DC6C49" w14:textId="77777777" w:rsidTr="004459FB">
        <w:tc>
          <w:tcPr>
            <w:cnfStyle w:val="001000000000" w:firstRow="0" w:lastRow="0" w:firstColumn="1" w:lastColumn="0" w:oddVBand="0" w:evenVBand="0" w:oddHBand="0" w:evenHBand="0" w:firstRowFirstColumn="0" w:firstRowLastColumn="0" w:lastRowFirstColumn="0" w:lastRowLastColumn="0"/>
            <w:tcW w:w="1402" w:type="dxa"/>
          </w:tcPr>
          <w:p w14:paraId="0B451B68" w14:textId="77777777" w:rsidR="00F07462" w:rsidRPr="0057238B" w:rsidRDefault="00F07462" w:rsidP="004459FB">
            <w:pPr>
              <w:pStyle w:val="BodyText"/>
              <w:ind w:left="112" w:right="46"/>
              <w:rPr>
                <w:sz w:val="20"/>
                <w:szCs w:val="20"/>
              </w:rPr>
            </w:pPr>
            <w:r w:rsidRPr="0057238B">
              <w:rPr>
                <w:sz w:val="20"/>
                <w:szCs w:val="20"/>
              </w:rPr>
              <w:t>2021</w:t>
            </w:r>
          </w:p>
        </w:tc>
        <w:tc>
          <w:tcPr>
            <w:tcW w:w="2390" w:type="dxa"/>
          </w:tcPr>
          <w:p w14:paraId="753919E7" w14:textId="77777777" w:rsidR="00F07462" w:rsidRPr="0057238B" w:rsidRDefault="00F07462" w:rsidP="004459FB">
            <w:pPr>
              <w:pStyle w:val="BodyText"/>
              <w:ind w:left="112" w:right="46"/>
              <w:cnfStyle w:val="000000000000" w:firstRow="0" w:lastRow="0" w:firstColumn="0" w:lastColumn="0" w:oddVBand="0" w:evenVBand="0" w:oddHBand="0" w:evenHBand="0" w:firstRowFirstColumn="0" w:firstRowLastColumn="0" w:lastRowFirstColumn="0" w:lastRowLastColumn="0"/>
              <w:rPr>
                <w:sz w:val="20"/>
                <w:szCs w:val="20"/>
              </w:rPr>
            </w:pPr>
            <w:r w:rsidRPr="0057238B">
              <w:rPr>
                <w:sz w:val="20"/>
                <w:szCs w:val="20"/>
              </w:rPr>
              <w:t>Monash University</w:t>
            </w:r>
          </w:p>
        </w:tc>
        <w:tc>
          <w:tcPr>
            <w:tcW w:w="5417" w:type="dxa"/>
          </w:tcPr>
          <w:p w14:paraId="2AA3AACE" w14:textId="77777777" w:rsidR="00F07462" w:rsidRPr="0057238B" w:rsidRDefault="00F07462" w:rsidP="004459FB">
            <w:pPr>
              <w:pStyle w:val="BodyText"/>
              <w:ind w:left="112" w:right="46"/>
              <w:cnfStyle w:val="000000000000" w:firstRow="0" w:lastRow="0" w:firstColumn="0" w:lastColumn="0" w:oddVBand="0" w:evenVBand="0" w:oddHBand="0" w:evenHBand="0" w:firstRowFirstColumn="0" w:firstRowLastColumn="0" w:lastRowFirstColumn="0" w:lastRowLastColumn="0"/>
              <w:rPr>
                <w:sz w:val="20"/>
                <w:szCs w:val="20"/>
              </w:rPr>
            </w:pPr>
            <w:r w:rsidRPr="0057238B">
              <w:rPr>
                <w:sz w:val="20"/>
                <w:szCs w:val="20"/>
              </w:rPr>
              <w:t>Preventing infections in patients with blood cancer through evidence-based use of immunoglobulin or alternatives: The RATIONALISE trial</w:t>
            </w:r>
          </w:p>
        </w:tc>
      </w:tr>
    </w:tbl>
    <w:p w14:paraId="37C62CB3" w14:textId="77777777" w:rsidR="00F07462" w:rsidRPr="00BA38A2" w:rsidRDefault="00F07462" w:rsidP="00F07462">
      <w:pPr>
        <w:pStyle w:val="BodyText"/>
        <w:jc w:val="both"/>
        <w:rPr>
          <w:rFonts w:ascii="Arial" w:hAnsi="Arial" w:cs="Arial"/>
          <w:lang w:eastAsia="zh-CN"/>
        </w:rPr>
      </w:pPr>
      <w:r w:rsidRPr="00BA38A2">
        <w:rPr>
          <w:rFonts w:ascii="Arial" w:hAnsi="Arial" w:cs="Arial"/>
          <w:lang w:eastAsia="zh-CN"/>
        </w:rPr>
        <w:t>Private businesses associated with the blood sector also undertake blood-related research and development in Australia. Blood product manufacturer, CSL Behring, undertakes blood-related research relating to plasma fractionation, recombinant technology and gene and cell therapy</w:t>
      </w:r>
      <w:r>
        <w:rPr>
          <w:rFonts w:ascii="Arial" w:hAnsi="Arial" w:cs="Arial"/>
          <w:lang w:eastAsia="zh-CN"/>
        </w:rPr>
        <w:t>.</w:t>
      </w:r>
      <w:r w:rsidRPr="00BA38A2">
        <w:rPr>
          <w:rStyle w:val="FootnoteReference"/>
          <w:rFonts w:ascii="Arial" w:hAnsi="Arial" w:cs="Arial"/>
          <w:lang w:eastAsia="zh-CN"/>
        </w:rPr>
        <w:footnoteReference w:id="23"/>
      </w:r>
      <w:r w:rsidRPr="00BA38A2">
        <w:rPr>
          <w:rFonts w:ascii="Arial" w:hAnsi="Arial" w:cs="Arial"/>
          <w:lang w:eastAsia="zh-CN"/>
        </w:rPr>
        <w:t xml:space="preserve"> Sanofi,</w:t>
      </w:r>
      <w:r>
        <w:rPr>
          <w:rFonts w:ascii="Arial" w:hAnsi="Arial" w:cs="Arial"/>
          <w:lang w:eastAsia="zh-CN"/>
        </w:rPr>
        <w:t xml:space="preserve"> another blood product manufacturer,</w:t>
      </w:r>
      <w:r w:rsidRPr="00BA38A2">
        <w:rPr>
          <w:rFonts w:ascii="Arial" w:hAnsi="Arial" w:cs="Arial"/>
          <w:lang w:eastAsia="zh-CN"/>
        </w:rPr>
        <w:t xml:space="preserve"> has </w:t>
      </w:r>
      <w:r>
        <w:rPr>
          <w:rFonts w:ascii="Arial" w:hAnsi="Arial" w:cs="Arial"/>
          <w:lang w:eastAsia="zh-CN"/>
        </w:rPr>
        <w:t xml:space="preserve">a </w:t>
      </w:r>
      <w:r w:rsidRPr="00BA38A2">
        <w:rPr>
          <w:rFonts w:ascii="Arial" w:hAnsi="Arial" w:cs="Arial"/>
          <w:lang w:eastAsia="zh-CN"/>
        </w:rPr>
        <w:t>rare blood disorders research program.</w:t>
      </w:r>
      <w:r w:rsidRPr="00BA38A2">
        <w:rPr>
          <w:rStyle w:val="FootnoteReference"/>
          <w:rFonts w:ascii="Arial" w:hAnsi="Arial" w:cs="Arial"/>
          <w:lang w:eastAsia="zh-CN"/>
        </w:rPr>
        <w:footnoteReference w:id="24"/>
      </w:r>
      <w:r w:rsidRPr="00BA38A2">
        <w:rPr>
          <w:rFonts w:ascii="Arial" w:hAnsi="Arial" w:cs="Arial"/>
          <w:lang w:eastAsia="zh-CN"/>
        </w:rPr>
        <w:t xml:space="preserve">  </w:t>
      </w:r>
    </w:p>
    <w:p w14:paraId="48ADA20C" w14:textId="77777777" w:rsidR="00F07462" w:rsidRPr="00BA38A2" w:rsidRDefault="00F07462" w:rsidP="00F07462">
      <w:pPr>
        <w:pStyle w:val="BodyText"/>
        <w:jc w:val="both"/>
        <w:rPr>
          <w:rFonts w:ascii="Arial" w:hAnsi="Arial" w:cs="Arial"/>
          <w:lang w:eastAsia="zh-CN"/>
        </w:rPr>
      </w:pPr>
      <w:r w:rsidRPr="00BA38A2">
        <w:rPr>
          <w:rFonts w:ascii="Arial" w:hAnsi="Arial" w:cs="Arial"/>
          <w:lang w:eastAsia="zh-CN"/>
        </w:rPr>
        <w:t xml:space="preserve">Not-for-profit organisations, including medical research institutes and health service delivery organisations are involved in delivering blood-related research in Australia. </w:t>
      </w:r>
    </w:p>
    <w:p w14:paraId="482E8A17" w14:textId="7482D8F9" w:rsidR="00F07462" w:rsidRPr="00BA38A2" w:rsidRDefault="00F07462" w:rsidP="00F07462">
      <w:pPr>
        <w:pStyle w:val="BodyText"/>
        <w:jc w:val="both"/>
        <w:rPr>
          <w:rFonts w:ascii="Arial" w:hAnsi="Arial" w:cs="Arial"/>
          <w:lang w:eastAsia="zh-CN"/>
        </w:rPr>
      </w:pPr>
      <w:r w:rsidRPr="00BA38A2">
        <w:rPr>
          <w:rFonts w:ascii="Arial" w:hAnsi="Arial" w:cs="Arial"/>
          <w:lang w:eastAsia="zh-CN"/>
        </w:rPr>
        <w:t>Medical research institutes, such as the Florey Institute of Neuroscience and Mental Health</w:t>
      </w:r>
      <w:r>
        <w:rPr>
          <w:rFonts w:ascii="Arial" w:hAnsi="Arial" w:cs="Arial"/>
          <w:lang w:eastAsia="zh-CN"/>
        </w:rPr>
        <w:t xml:space="preserve"> (the Florey Institute)</w:t>
      </w:r>
      <w:r w:rsidRPr="00BA38A2">
        <w:rPr>
          <w:rFonts w:ascii="Arial" w:hAnsi="Arial" w:cs="Arial"/>
          <w:lang w:eastAsia="zh-CN"/>
        </w:rPr>
        <w:t xml:space="preserve"> and Burnet Institute </w:t>
      </w:r>
      <w:r>
        <w:rPr>
          <w:rFonts w:ascii="Arial" w:hAnsi="Arial" w:cs="Arial"/>
          <w:lang w:eastAsia="zh-CN"/>
        </w:rPr>
        <w:t>received funding from the NHMRC</w:t>
      </w:r>
      <w:r w:rsidRPr="00BA38A2">
        <w:rPr>
          <w:rFonts w:ascii="Arial" w:hAnsi="Arial" w:cs="Arial"/>
          <w:lang w:eastAsia="zh-CN"/>
        </w:rPr>
        <w:t xml:space="preserve"> to </w:t>
      </w:r>
      <w:r w:rsidRPr="007C43FC">
        <w:rPr>
          <w:rFonts w:ascii="Arial" w:hAnsi="Arial" w:cs="Arial"/>
          <w:lang w:eastAsia="zh-CN"/>
        </w:rPr>
        <w:t>undertake</w:t>
      </w:r>
      <w:r>
        <w:rPr>
          <w:rFonts w:ascii="Arial" w:hAnsi="Arial" w:cs="Arial"/>
          <w:lang w:eastAsia="zh-CN"/>
        </w:rPr>
        <w:t xml:space="preserve"> blood-related</w:t>
      </w:r>
      <w:r w:rsidRPr="007C43FC">
        <w:rPr>
          <w:rFonts w:ascii="Arial" w:hAnsi="Arial" w:cs="Arial"/>
          <w:lang w:eastAsia="zh-CN"/>
        </w:rPr>
        <w:t xml:space="preserve"> research</w:t>
      </w:r>
      <w:r w:rsidRPr="00BA38A2">
        <w:rPr>
          <w:rFonts w:ascii="Arial" w:hAnsi="Arial" w:cs="Arial"/>
          <w:lang w:eastAsia="zh-CN"/>
        </w:rPr>
        <w:t xml:space="preserve"> in 2017 and 2020, respectively.</w:t>
      </w:r>
      <w:r w:rsidRPr="00BA38A2">
        <w:rPr>
          <w:rStyle w:val="FootnoteReference"/>
          <w:rFonts w:ascii="Arial" w:hAnsi="Arial" w:cs="Arial"/>
          <w:lang w:eastAsia="zh-CN"/>
        </w:rPr>
        <w:footnoteReference w:id="25"/>
      </w:r>
      <w:r w:rsidR="009D2A01">
        <w:rPr>
          <w:rFonts w:ascii="Arial" w:hAnsi="Arial" w:cs="Arial"/>
          <w:lang w:eastAsia="zh-CN"/>
        </w:rPr>
        <w:t xml:space="preserve"> </w:t>
      </w:r>
      <w:r w:rsidRPr="00BA38A2">
        <w:rPr>
          <w:rFonts w:ascii="Arial" w:hAnsi="Arial" w:cs="Arial"/>
          <w:lang w:eastAsia="zh-CN"/>
        </w:rPr>
        <w:t xml:space="preserve">The Florey Institute was funded by the </w:t>
      </w:r>
      <w:r>
        <w:rPr>
          <w:rFonts w:ascii="Arial" w:hAnsi="Arial" w:cs="Arial"/>
          <w:lang w:eastAsia="zh-CN"/>
        </w:rPr>
        <w:t>NHMRC</w:t>
      </w:r>
      <w:r w:rsidRPr="00BA38A2">
        <w:rPr>
          <w:rFonts w:ascii="Arial" w:hAnsi="Arial" w:cs="Arial"/>
          <w:lang w:eastAsia="zh-CN"/>
        </w:rPr>
        <w:t xml:space="preserve"> to develop blood-based biomarkers for the early detection of brain amyloid and the investigation of the natural history of Alzheimer’s Disease.</w:t>
      </w:r>
      <w:r w:rsidRPr="00BA38A2">
        <w:rPr>
          <w:rStyle w:val="FootnoteReference"/>
          <w:rFonts w:ascii="Arial" w:hAnsi="Arial" w:cs="Arial"/>
          <w:lang w:eastAsia="zh-CN"/>
        </w:rPr>
        <w:footnoteReference w:id="26"/>
      </w:r>
      <w:r w:rsidRPr="00BA38A2">
        <w:rPr>
          <w:rFonts w:ascii="Arial" w:hAnsi="Arial" w:cs="Arial"/>
          <w:lang w:eastAsia="zh-CN"/>
        </w:rPr>
        <w:t xml:space="preserve"> </w:t>
      </w:r>
      <w:r>
        <w:rPr>
          <w:rFonts w:ascii="Arial" w:hAnsi="Arial" w:cs="Arial"/>
          <w:lang w:eastAsia="zh-CN"/>
        </w:rPr>
        <w:t>Th</w:t>
      </w:r>
      <w:r w:rsidRPr="00BA38A2">
        <w:rPr>
          <w:rFonts w:ascii="Arial" w:hAnsi="Arial" w:cs="Arial"/>
          <w:lang w:eastAsia="zh-CN"/>
        </w:rPr>
        <w:t xml:space="preserve">e Burnet Institute was funded to undertake blood related research regarding developing novel anti-malaria drugs and </w:t>
      </w:r>
      <w:r w:rsidRPr="00E66574">
        <w:rPr>
          <w:rFonts w:ascii="Arial" w:hAnsi="Arial" w:cs="Arial"/>
          <w:lang w:eastAsia="zh-CN"/>
        </w:rPr>
        <w:t>eliminating</w:t>
      </w:r>
      <w:r w:rsidRPr="00BA38A2">
        <w:rPr>
          <w:rFonts w:ascii="Arial" w:hAnsi="Arial" w:cs="Arial"/>
          <w:lang w:eastAsia="zh-CN"/>
        </w:rPr>
        <w:t xml:space="preserve"> viral hepatitis and HIV/AIDS as global health threats.</w:t>
      </w:r>
      <w:r w:rsidRPr="00BA38A2">
        <w:rPr>
          <w:rStyle w:val="FootnoteReference"/>
          <w:rFonts w:ascii="Arial" w:hAnsi="Arial" w:cs="Arial"/>
          <w:lang w:eastAsia="zh-CN"/>
        </w:rPr>
        <w:footnoteReference w:id="27"/>
      </w:r>
      <w:r w:rsidR="00990ECE">
        <w:rPr>
          <w:rFonts w:ascii="Arial" w:hAnsi="Arial" w:cs="Arial"/>
          <w:lang w:eastAsia="zh-CN"/>
        </w:rPr>
        <w:t xml:space="preserve"> The NHMRC is also supporting </w:t>
      </w:r>
      <w:r w:rsidR="00717903">
        <w:rPr>
          <w:rFonts w:ascii="Arial" w:hAnsi="Arial" w:cs="Arial"/>
          <w:lang w:eastAsia="zh-CN"/>
        </w:rPr>
        <w:t xml:space="preserve">the Kirby Institute to </w:t>
      </w:r>
      <w:r w:rsidR="00872EB2">
        <w:rPr>
          <w:rFonts w:ascii="Arial" w:hAnsi="Arial" w:cs="Arial"/>
          <w:lang w:eastAsia="zh-CN"/>
        </w:rPr>
        <w:t xml:space="preserve">undertake research to </w:t>
      </w:r>
      <w:r w:rsidR="00717903" w:rsidRPr="00087B72">
        <w:rPr>
          <w:rFonts w:ascii="Arial" w:hAnsi="Arial" w:cs="Arial"/>
          <w:lang w:eastAsia="zh-CN"/>
        </w:rPr>
        <w:t xml:space="preserve">understand what people know about the </w:t>
      </w:r>
      <w:r w:rsidR="00A8268B" w:rsidRPr="00087B72">
        <w:rPr>
          <w:rFonts w:ascii="Arial" w:hAnsi="Arial" w:cs="Arial"/>
          <w:lang w:eastAsia="zh-CN"/>
        </w:rPr>
        <w:t xml:space="preserve">blood donation </w:t>
      </w:r>
      <w:r w:rsidR="00717903" w:rsidRPr="00087B72">
        <w:rPr>
          <w:rFonts w:ascii="Arial" w:hAnsi="Arial" w:cs="Arial"/>
          <w:lang w:eastAsia="zh-CN"/>
        </w:rPr>
        <w:t>eligibility criteria, and what motivates or deters people from giving blood</w:t>
      </w:r>
      <w:r w:rsidR="00A8268B">
        <w:rPr>
          <w:rFonts w:ascii="Arial" w:hAnsi="Arial" w:cs="Arial"/>
          <w:color w:val="231F20"/>
          <w:shd w:val="clear" w:color="auto" w:fill="F6F6F6"/>
        </w:rPr>
        <w:t>.</w:t>
      </w:r>
      <w:r w:rsidR="00A8268B">
        <w:rPr>
          <w:rStyle w:val="FootnoteReference"/>
          <w:rFonts w:ascii="Arial" w:hAnsi="Arial" w:cs="Arial"/>
          <w:color w:val="231F20"/>
          <w:shd w:val="clear" w:color="auto" w:fill="F6F6F6"/>
        </w:rPr>
        <w:footnoteReference w:id="28"/>
      </w:r>
    </w:p>
    <w:p w14:paraId="1933958D" w14:textId="41505EB7" w:rsidR="008C129A" w:rsidRDefault="00F07462" w:rsidP="00F07462">
      <w:pPr>
        <w:pStyle w:val="BodyText"/>
        <w:jc w:val="both"/>
        <w:rPr>
          <w:rFonts w:ascii="Arial" w:hAnsi="Arial" w:cs="Arial"/>
        </w:rPr>
      </w:pPr>
      <w:r w:rsidRPr="00BA38A2">
        <w:rPr>
          <w:rFonts w:ascii="Arial" w:hAnsi="Arial" w:cs="Arial"/>
          <w:lang w:eastAsia="zh-CN"/>
        </w:rPr>
        <w:t xml:space="preserve">Not-for-profit health service delivery organisations, such as </w:t>
      </w:r>
      <w:r>
        <w:rPr>
          <w:rFonts w:ascii="Arial" w:hAnsi="Arial" w:cs="Arial"/>
          <w:lang w:eastAsia="zh-CN"/>
        </w:rPr>
        <w:t>Lifeblood</w:t>
      </w:r>
      <w:r w:rsidRPr="00BA38A2">
        <w:rPr>
          <w:rFonts w:ascii="Arial" w:hAnsi="Arial" w:cs="Arial"/>
          <w:lang w:eastAsia="zh-CN"/>
        </w:rPr>
        <w:t>, also deliver a blood-related research and development program.</w:t>
      </w:r>
      <w:r w:rsidRPr="00BA38A2">
        <w:rPr>
          <w:rFonts w:ascii="Arial" w:hAnsi="Arial" w:cs="Arial"/>
        </w:rPr>
        <w:t xml:space="preserve"> </w:t>
      </w:r>
    </w:p>
    <w:p w14:paraId="085BC3D2" w14:textId="77777777" w:rsidR="008C129A" w:rsidRDefault="008C129A" w:rsidP="00F07462">
      <w:pPr>
        <w:pStyle w:val="BodyText"/>
        <w:jc w:val="both"/>
        <w:rPr>
          <w:rFonts w:ascii="Arial" w:hAnsi="Arial" w:cs="Arial"/>
        </w:rPr>
      </w:pPr>
    </w:p>
    <w:p w14:paraId="3C746521" w14:textId="6AFD0954" w:rsidR="00F07462" w:rsidRPr="00BA38A2" w:rsidRDefault="00F07462" w:rsidP="00F07462">
      <w:pPr>
        <w:pStyle w:val="BodyText"/>
        <w:jc w:val="both"/>
        <w:rPr>
          <w:rFonts w:ascii="Arial" w:hAnsi="Arial" w:cs="Arial"/>
        </w:rPr>
      </w:pPr>
      <w:r w:rsidRPr="00BA38A2">
        <w:rPr>
          <w:rFonts w:ascii="Arial" w:hAnsi="Arial" w:cs="Arial"/>
        </w:rPr>
        <w:t>Their program focuses on five areas including:</w:t>
      </w:r>
    </w:p>
    <w:p w14:paraId="5858757C" w14:textId="77777777" w:rsidR="00F07462" w:rsidRPr="00BA38A2" w:rsidRDefault="00F07462" w:rsidP="00F07462">
      <w:pPr>
        <w:pStyle w:val="BodyText"/>
        <w:numPr>
          <w:ilvl w:val="0"/>
          <w:numId w:val="60"/>
        </w:numPr>
        <w:jc w:val="both"/>
        <w:rPr>
          <w:rFonts w:ascii="Arial" w:hAnsi="Arial" w:cs="Arial"/>
        </w:rPr>
      </w:pPr>
      <w:r w:rsidRPr="00BA38A2">
        <w:rPr>
          <w:rFonts w:ascii="Arial" w:hAnsi="Arial" w:cs="Arial"/>
        </w:rPr>
        <w:t xml:space="preserve">donor behaviour </w:t>
      </w:r>
    </w:p>
    <w:p w14:paraId="549FEF5C" w14:textId="77777777" w:rsidR="00F07462" w:rsidRPr="00BA38A2" w:rsidRDefault="00F07462" w:rsidP="00F07462">
      <w:pPr>
        <w:pStyle w:val="BodyText"/>
        <w:numPr>
          <w:ilvl w:val="0"/>
          <w:numId w:val="60"/>
        </w:numPr>
        <w:jc w:val="both"/>
        <w:rPr>
          <w:rFonts w:ascii="Arial" w:hAnsi="Arial" w:cs="Arial"/>
        </w:rPr>
      </w:pPr>
      <w:r w:rsidRPr="00BA38A2">
        <w:rPr>
          <w:rFonts w:ascii="Arial" w:hAnsi="Arial" w:cs="Arial"/>
        </w:rPr>
        <w:t xml:space="preserve">donor health and wellbeing </w:t>
      </w:r>
    </w:p>
    <w:p w14:paraId="16AE8A0B" w14:textId="77777777" w:rsidR="00F07462" w:rsidRPr="00BA38A2" w:rsidRDefault="00F07462" w:rsidP="00F07462">
      <w:pPr>
        <w:pStyle w:val="BodyText"/>
        <w:numPr>
          <w:ilvl w:val="0"/>
          <w:numId w:val="60"/>
        </w:numPr>
        <w:jc w:val="both"/>
        <w:rPr>
          <w:rFonts w:ascii="Arial" w:hAnsi="Arial" w:cs="Arial"/>
        </w:rPr>
      </w:pPr>
      <w:r w:rsidRPr="00BA38A2">
        <w:rPr>
          <w:rFonts w:ascii="Arial" w:hAnsi="Arial" w:cs="Arial"/>
        </w:rPr>
        <w:t>product development</w:t>
      </w:r>
    </w:p>
    <w:p w14:paraId="40F297DF" w14:textId="77777777" w:rsidR="00F07462" w:rsidRPr="00BA38A2" w:rsidRDefault="00F07462" w:rsidP="00F07462">
      <w:pPr>
        <w:pStyle w:val="BodyText"/>
        <w:numPr>
          <w:ilvl w:val="0"/>
          <w:numId w:val="60"/>
        </w:numPr>
        <w:jc w:val="both"/>
        <w:rPr>
          <w:rFonts w:ascii="Arial" w:hAnsi="Arial" w:cs="Arial"/>
        </w:rPr>
      </w:pPr>
      <w:r w:rsidRPr="00BA38A2">
        <w:rPr>
          <w:rFonts w:ascii="Arial" w:hAnsi="Arial" w:cs="Arial"/>
        </w:rPr>
        <w:t xml:space="preserve">product safety </w:t>
      </w:r>
    </w:p>
    <w:p w14:paraId="35B9119E" w14:textId="77777777" w:rsidR="00F07462" w:rsidRPr="00BA38A2" w:rsidRDefault="00F07462" w:rsidP="00F07462">
      <w:pPr>
        <w:pStyle w:val="BodyText"/>
        <w:numPr>
          <w:ilvl w:val="0"/>
          <w:numId w:val="60"/>
        </w:numPr>
        <w:jc w:val="both"/>
        <w:rPr>
          <w:rFonts w:ascii="Arial" w:hAnsi="Arial" w:cs="Arial"/>
        </w:rPr>
      </w:pPr>
      <w:r w:rsidRPr="00BA38A2">
        <w:rPr>
          <w:rFonts w:ascii="Arial" w:hAnsi="Arial" w:cs="Arial"/>
        </w:rPr>
        <w:t>product usage.</w:t>
      </w:r>
      <w:r w:rsidRPr="00BA38A2">
        <w:rPr>
          <w:rStyle w:val="FootnoteReference"/>
          <w:rFonts w:ascii="Arial" w:hAnsi="Arial" w:cs="Arial"/>
        </w:rPr>
        <w:footnoteReference w:id="29"/>
      </w:r>
    </w:p>
    <w:p w14:paraId="17E59871" w14:textId="258547B2" w:rsidR="00F07462" w:rsidRPr="00BA38A2" w:rsidRDefault="00F07462" w:rsidP="00F07462">
      <w:pPr>
        <w:pStyle w:val="BodyText"/>
        <w:jc w:val="both"/>
        <w:rPr>
          <w:rFonts w:ascii="Arial" w:hAnsi="Arial" w:cs="Arial"/>
          <w:sz w:val="20"/>
          <w:szCs w:val="20"/>
        </w:rPr>
      </w:pPr>
      <w:r w:rsidRPr="00BA38A2">
        <w:rPr>
          <w:rFonts w:ascii="Arial" w:hAnsi="Arial" w:cs="Arial"/>
          <w:lang w:eastAsia="zh-CN"/>
        </w:rPr>
        <w:t xml:space="preserve">In the financial year ending 30 June 2020, Lifeblood received </w:t>
      </w:r>
      <w:r w:rsidRPr="00BA38A2">
        <w:rPr>
          <w:rFonts w:ascii="Arial" w:hAnsi="Arial" w:cs="Arial"/>
        </w:rPr>
        <w:t>$9.8 million from the NBA for its research and development program.</w:t>
      </w:r>
      <w:r w:rsidRPr="00BA38A2">
        <w:rPr>
          <w:rStyle w:val="FootnoteReference"/>
          <w:rFonts w:ascii="Arial" w:hAnsi="Arial" w:cs="Arial"/>
        </w:rPr>
        <w:footnoteReference w:id="30"/>
      </w:r>
      <w:r w:rsidRPr="00BA38A2">
        <w:rPr>
          <w:rFonts w:ascii="Arial" w:hAnsi="Arial" w:cs="Arial"/>
        </w:rPr>
        <w:t xml:space="preserve"> In </w:t>
      </w:r>
      <w:r>
        <w:rPr>
          <w:rFonts w:ascii="Arial" w:hAnsi="Arial" w:cs="Arial"/>
        </w:rPr>
        <w:t xml:space="preserve">the </w:t>
      </w:r>
      <w:r w:rsidRPr="00BA38A2">
        <w:rPr>
          <w:rFonts w:ascii="Arial" w:hAnsi="Arial" w:cs="Arial"/>
        </w:rPr>
        <w:t xml:space="preserve">same year, they </w:t>
      </w:r>
      <w:r w:rsidRPr="00BA38A2">
        <w:rPr>
          <w:rFonts w:ascii="Arial" w:hAnsi="Arial" w:cs="Arial"/>
          <w:lang w:eastAsia="zh-CN"/>
        </w:rPr>
        <w:t>delivered seven research projects.</w:t>
      </w:r>
      <w:r w:rsidRPr="00BA38A2">
        <w:rPr>
          <w:rStyle w:val="FootnoteReference"/>
          <w:rFonts w:ascii="Arial" w:hAnsi="Arial" w:cs="Arial"/>
          <w:lang w:eastAsia="zh-CN"/>
        </w:rPr>
        <w:footnoteReference w:id="31"/>
      </w:r>
      <w:r w:rsidRPr="00BA38A2">
        <w:rPr>
          <w:rFonts w:ascii="Arial" w:hAnsi="Arial" w:cs="Arial"/>
          <w:lang w:eastAsia="zh-CN"/>
        </w:rPr>
        <w:t xml:space="preserve"> </w:t>
      </w:r>
      <w:r w:rsidRPr="00BA38A2">
        <w:rPr>
          <w:rFonts w:ascii="Arial" w:hAnsi="Arial" w:cs="Arial"/>
        </w:rPr>
        <w:t>These included research projects focused on understanding why donors lapse and return and mosquito</w:t>
      </w:r>
      <w:r w:rsidRPr="00BA38A2">
        <w:rPr>
          <w:rFonts w:ascii="Cambria Math" w:hAnsi="Cambria Math" w:cs="Cambria Math"/>
        </w:rPr>
        <w:t>‐</w:t>
      </w:r>
      <w:r w:rsidRPr="00BA38A2">
        <w:rPr>
          <w:rFonts w:ascii="Arial" w:hAnsi="Arial" w:cs="Arial"/>
        </w:rPr>
        <w:t xml:space="preserve">borne virus threats to blood safety. </w:t>
      </w:r>
      <w:r w:rsidR="00A0023D" w:rsidRPr="00B3406B">
        <w:rPr>
          <w:rFonts w:ascii="Arial" w:hAnsi="Arial" w:cs="Arial"/>
        </w:rPr>
        <w:t xml:space="preserve">Table </w:t>
      </w:r>
      <w:r w:rsidR="00B3406B" w:rsidRPr="00B3406B">
        <w:rPr>
          <w:rFonts w:ascii="Arial" w:hAnsi="Arial" w:cs="Arial"/>
        </w:rPr>
        <w:t>2</w:t>
      </w:r>
      <w:r w:rsidR="00EF133C" w:rsidRPr="00B3406B">
        <w:rPr>
          <w:rFonts w:ascii="Arial" w:hAnsi="Arial" w:cs="Arial"/>
        </w:rPr>
        <w:t xml:space="preserve"> </w:t>
      </w:r>
      <w:r w:rsidRPr="00B3406B">
        <w:rPr>
          <w:rFonts w:ascii="Arial" w:hAnsi="Arial" w:cs="Arial"/>
        </w:rPr>
        <w:t>summarises</w:t>
      </w:r>
      <w:r w:rsidRPr="00BA38A2">
        <w:rPr>
          <w:rFonts w:ascii="Arial" w:hAnsi="Arial" w:cs="Arial"/>
        </w:rPr>
        <w:t xml:space="preserve"> the seven research projects undertaken by </w:t>
      </w:r>
      <w:r>
        <w:rPr>
          <w:rFonts w:ascii="Arial" w:hAnsi="Arial" w:cs="Arial"/>
        </w:rPr>
        <w:t>Lifeblood</w:t>
      </w:r>
      <w:r w:rsidRPr="00BA38A2">
        <w:rPr>
          <w:rFonts w:ascii="Arial" w:hAnsi="Arial" w:cs="Arial"/>
        </w:rPr>
        <w:t xml:space="preserve"> during 2019/20</w:t>
      </w:r>
      <w:r w:rsidRPr="00BA38A2">
        <w:rPr>
          <w:rFonts w:ascii="Arial" w:hAnsi="Arial" w:cs="Arial"/>
          <w:lang w:eastAsia="zh-CN"/>
        </w:rPr>
        <w:t xml:space="preserve">. </w:t>
      </w:r>
    </w:p>
    <w:p w14:paraId="42C342E5" w14:textId="28177761" w:rsidR="00B827E1" w:rsidRPr="00B827E1" w:rsidRDefault="00B827E1" w:rsidP="00B827E1">
      <w:pPr>
        <w:pStyle w:val="Caption"/>
      </w:pPr>
      <w:bookmarkStart w:id="67" w:name="_Toc90462713"/>
      <w:bookmarkStart w:id="68" w:name="_Toc73109342"/>
      <w:r>
        <w:t xml:space="preserve">Table </w:t>
      </w:r>
      <w:r>
        <w:fldChar w:fldCharType="begin"/>
      </w:r>
      <w:r>
        <w:instrText xml:space="preserve"> SEQ Table \* ARABIC </w:instrText>
      </w:r>
      <w:r>
        <w:fldChar w:fldCharType="separate"/>
      </w:r>
      <w:r w:rsidR="00A25C74">
        <w:rPr>
          <w:noProof/>
        </w:rPr>
        <w:t>2</w:t>
      </w:r>
      <w:r>
        <w:fldChar w:fldCharType="end"/>
      </w:r>
      <w:r>
        <w:t xml:space="preserve">: </w:t>
      </w:r>
      <w:r w:rsidRPr="002E5DFB">
        <w:t>Research projects undertaken by Lifeblood, as stated in their Research Annual Report 2019-20</w:t>
      </w:r>
      <w:r w:rsidR="00D641D0">
        <w:t xml:space="preserve"> </w:t>
      </w:r>
      <w:r>
        <w:rPr>
          <w:rStyle w:val="FootnoteReference"/>
        </w:rPr>
        <w:footnoteReference w:id="32"/>
      </w:r>
      <w:bookmarkEnd w:id="67"/>
    </w:p>
    <w:tbl>
      <w:tblPr>
        <w:tblStyle w:val="ListTable4-Accent1"/>
        <w:tblW w:w="9493" w:type="dxa"/>
        <w:tblLook w:val="04A0" w:firstRow="1" w:lastRow="0" w:firstColumn="1" w:lastColumn="0" w:noHBand="0" w:noVBand="1"/>
      </w:tblPr>
      <w:tblGrid>
        <w:gridCol w:w="2972"/>
        <w:gridCol w:w="6521"/>
      </w:tblGrid>
      <w:tr w:rsidR="00F07462" w14:paraId="5168E19A" w14:textId="77777777" w:rsidTr="003214E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972" w:type="dxa"/>
          </w:tcPr>
          <w:p w14:paraId="09B7A456" w14:textId="77777777" w:rsidR="00F07462" w:rsidRDefault="00F07462" w:rsidP="004459FB">
            <w:pPr>
              <w:pStyle w:val="BodyText"/>
              <w:rPr>
                <w:lang w:eastAsia="zh-CN"/>
              </w:rPr>
            </w:pPr>
            <w:r>
              <w:rPr>
                <w:lang w:eastAsia="zh-CN"/>
              </w:rPr>
              <w:t>Project</w:t>
            </w:r>
          </w:p>
        </w:tc>
        <w:tc>
          <w:tcPr>
            <w:tcW w:w="6521" w:type="dxa"/>
          </w:tcPr>
          <w:p w14:paraId="65282D90" w14:textId="77777777" w:rsidR="00F07462" w:rsidRDefault="00F07462" w:rsidP="004459FB">
            <w:pPr>
              <w:pStyle w:val="BodyText"/>
              <w:cnfStyle w:val="100000000000" w:firstRow="1" w:lastRow="0" w:firstColumn="0" w:lastColumn="0" w:oddVBand="0" w:evenVBand="0" w:oddHBand="0" w:evenHBand="0" w:firstRowFirstColumn="0" w:firstRowLastColumn="0" w:lastRowFirstColumn="0" w:lastRowLastColumn="0"/>
              <w:rPr>
                <w:lang w:eastAsia="zh-CN"/>
              </w:rPr>
            </w:pPr>
            <w:r>
              <w:rPr>
                <w:lang w:eastAsia="zh-CN"/>
              </w:rPr>
              <w:t>Learning</w:t>
            </w:r>
          </w:p>
        </w:tc>
      </w:tr>
      <w:tr w:rsidR="00F07462" w14:paraId="4E2F2EF0" w14:textId="77777777" w:rsidTr="003214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3FA3A730" w14:textId="77777777" w:rsidR="00F07462" w:rsidRPr="008854FF" w:rsidRDefault="00F07462" w:rsidP="008C3CD5">
            <w:pPr>
              <w:pStyle w:val="BodyText"/>
              <w:ind w:left="112" w:right="46"/>
              <w:rPr>
                <w:sz w:val="20"/>
                <w:szCs w:val="20"/>
                <w:lang w:eastAsia="zh-CN"/>
              </w:rPr>
            </w:pPr>
            <w:r w:rsidRPr="008854FF">
              <w:rPr>
                <w:sz w:val="20"/>
                <w:szCs w:val="20"/>
              </w:rPr>
              <w:t>Why do donors lapse? Developing an understanding of what predicts plasma donors and testing tailored reactivation strategies</w:t>
            </w:r>
          </w:p>
        </w:tc>
        <w:tc>
          <w:tcPr>
            <w:tcW w:w="6521" w:type="dxa"/>
          </w:tcPr>
          <w:p w14:paraId="0451B8E7" w14:textId="77777777" w:rsidR="00F07462" w:rsidRPr="008854FF" w:rsidRDefault="00F07462" w:rsidP="008C3CD5">
            <w:pPr>
              <w:pStyle w:val="BodyText"/>
              <w:ind w:left="52" w:right="263"/>
              <w:cnfStyle w:val="000000100000" w:firstRow="0" w:lastRow="0" w:firstColumn="0" w:lastColumn="0" w:oddVBand="0" w:evenVBand="0" w:oddHBand="1" w:evenHBand="0" w:firstRowFirstColumn="0" w:firstRowLastColumn="0" w:lastRowFirstColumn="0" w:lastRowLastColumn="0"/>
              <w:rPr>
                <w:sz w:val="20"/>
                <w:szCs w:val="20"/>
              </w:rPr>
            </w:pPr>
            <w:r w:rsidRPr="008854FF">
              <w:rPr>
                <w:sz w:val="20"/>
                <w:szCs w:val="20"/>
              </w:rPr>
              <w:t xml:space="preserve">Women were at higher risk of lapsing from plasma donation, as were donors under 40 years old, O negative donors and those with fewer prior donations. People stop donating plasma for a range of reasons, such as: they’re no longer eligible; their circumstances change; they’ve a negative donation experience; or they have concerns about the apheresis procedure. </w:t>
            </w:r>
            <w:r>
              <w:rPr>
                <w:sz w:val="20"/>
                <w:szCs w:val="20"/>
              </w:rPr>
              <w:t>Lifeblood</w:t>
            </w:r>
            <w:r w:rsidRPr="008854FF">
              <w:rPr>
                <w:sz w:val="20"/>
                <w:szCs w:val="20"/>
              </w:rPr>
              <w:t xml:space="preserve"> learned that most would like to return, so we’re working with our operational colleagues at Lifeblood to create strategies to reactivate these lapsed donors.</w:t>
            </w:r>
          </w:p>
        </w:tc>
      </w:tr>
      <w:tr w:rsidR="00F07462" w14:paraId="03BE2195" w14:textId="77777777" w:rsidTr="003214E0">
        <w:trPr>
          <w:cantSplit/>
        </w:trPr>
        <w:tc>
          <w:tcPr>
            <w:cnfStyle w:val="001000000000" w:firstRow="0" w:lastRow="0" w:firstColumn="1" w:lastColumn="0" w:oddVBand="0" w:evenVBand="0" w:oddHBand="0" w:evenHBand="0" w:firstRowFirstColumn="0" w:firstRowLastColumn="0" w:lastRowFirstColumn="0" w:lastRowLastColumn="0"/>
            <w:tcW w:w="2972" w:type="dxa"/>
          </w:tcPr>
          <w:p w14:paraId="03288FCC" w14:textId="77777777" w:rsidR="00F07462" w:rsidRPr="008854FF" w:rsidRDefault="00F07462" w:rsidP="008C3CD5">
            <w:pPr>
              <w:pStyle w:val="BodyText"/>
              <w:ind w:left="112" w:right="46"/>
              <w:rPr>
                <w:sz w:val="20"/>
                <w:szCs w:val="20"/>
                <w:lang w:eastAsia="zh-CN"/>
              </w:rPr>
            </w:pPr>
            <w:r w:rsidRPr="008854FF">
              <w:rPr>
                <w:sz w:val="20"/>
                <w:szCs w:val="20"/>
              </w:rPr>
              <w:t>Analysis of donor return pattern by age at first recruitment in Australia</w:t>
            </w:r>
          </w:p>
        </w:tc>
        <w:tc>
          <w:tcPr>
            <w:tcW w:w="6521" w:type="dxa"/>
          </w:tcPr>
          <w:p w14:paraId="46213A15" w14:textId="77777777" w:rsidR="00F07462" w:rsidRPr="008854FF" w:rsidRDefault="00F07462" w:rsidP="008C3CD5">
            <w:pPr>
              <w:pStyle w:val="BodyText"/>
              <w:ind w:left="52" w:right="263"/>
              <w:cnfStyle w:val="000000000000" w:firstRow="0" w:lastRow="0" w:firstColumn="0" w:lastColumn="0" w:oddVBand="0" w:evenVBand="0" w:oddHBand="0" w:evenHBand="0" w:firstRowFirstColumn="0" w:firstRowLastColumn="0" w:lastRowFirstColumn="0" w:lastRowLastColumn="0"/>
              <w:rPr>
                <w:sz w:val="20"/>
                <w:szCs w:val="20"/>
              </w:rPr>
            </w:pPr>
            <w:r w:rsidRPr="008854FF">
              <w:rPr>
                <w:sz w:val="20"/>
                <w:szCs w:val="20"/>
              </w:rPr>
              <w:t>Donors who started to donate after their 30th birthday were more likely to return and provided more donations compared with younger donors. Under existing recruitment strategies, fewer than half of our new donors are aged over 30, suggesting that we could explore opportunities to target this specific group of donors for recruitment.</w:t>
            </w:r>
          </w:p>
        </w:tc>
      </w:tr>
      <w:tr w:rsidR="00F07462" w14:paraId="6FF9AAF8" w14:textId="77777777" w:rsidTr="003214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301B1577" w14:textId="77777777" w:rsidR="00F07462" w:rsidRPr="008854FF" w:rsidRDefault="00F07462" w:rsidP="008C3CD5">
            <w:pPr>
              <w:pStyle w:val="BodyText"/>
              <w:ind w:left="112" w:right="46"/>
              <w:rPr>
                <w:sz w:val="20"/>
                <w:szCs w:val="20"/>
              </w:rPr>
            </w:pPr>
            <w:r w:rsidRPr="008854FF">
              <w:rPr>
                <w:sz w:val="20"/>
                <w:szCs w:val="20"/>
              </w:rPr>
              <w:t>Comparison of X-irradiation and gamma irradiation on blood components (EXGAM study)</w:t>
            </w:r>
          </w:p>
        </w:tc>
        <w:tc>
          <w:tcPr>
            <w:tcW w:w="6521" w:type="dxa"/>
          </w:tcPr>
          <w:p w14:paraId="1A1342E2" w14:textId="78221D39" w:rsidR="00F07462" w:rsidRPr="008854FF" w:rsidRDefault="00F07462" w:rsidP="008C3CD5">
            <w:pPr>
              <w:pStyle w:val="BodyText"/>
              <w:ind w:left="52" w:right="263"/>
              <w:cnfStyle w:val="000000100000" w:firstRow="0" w:lastRow="0" w:firstColumn="0" w:lastColumn="0" w:oddVBand="0" w:evenVBand="0" w:oddHBand="1" w:evenHBand="0" w:firstRowFirstColumn="0" w:firstRowLastColumn="0" w:lastRowFirstColumn="0" w:lastRowLastColumn="0"/>
              <w:rPr>
                <w:sz w:val="20"/>
                <w:szCs w:val="20"/>
              </w:rPr>
            </w:pPr>
            <w:r w:rsidRPr="008854FF">
              <w:rPr>
                <w:sz w:val="20"/>
                <w:szCs w:val="20"/>
              </w:rPr>
              <w:t xml:space="preserve">X-irradiation of blood components can replace gamma irradiation to inactivate lymphocytes without affecting product quality. This study was a major component of a successful application to the Therapeutic Goods Administration, requesting a manufacturing process change from gamma to X-irradiation. As a </w:t>
            </w:r>
            <w:r w:rsidR="003C4EA3" w:rsidRPr="008854FF">
              <w:rPr>
                <w:sz w:val="20"/>
                <w:szCs w:val="20"/>
              </w:rPr>
              <w:t xml:space="preserve">result, </w:t>
            </w:r>
            <w:r w:rsidR="003C4EA3">
              <w:rPr>
                <w:sz w:val="20"/>
                <w:szCs w:val="20"/>
              </w:rPr>
              <w:t>Lifeblood</w:t>
            </w:r>
            <w:r>
              <w:rPr>
                <w:sz w:val="20"/>
                <w:szCs w:val="20"/>
              </w:rPr>
              <w:t xml:space="preserve"> will</w:t>
            </w:r>
            <w:r w:rsidRPr="008854FF">
              <w:rPr>
                <w:sz w:val="20"/>
                <w:szCs w:val="20"/>
              </w:rPr>
              <w:t xml:space="preserve"> implement X-irradiation at Lifeblood, increasing safety for our staff while maintaining the safety and quality of our products</w:t>
            </w:r>
          </w:p>
        </w:tc>
      </w:tr>
      <w:tr w:rsidR="00F07462" w14:paraId="5BFEBA52" w14:textId="77777777" w:rsidTr="003214E0">
        <w:trPr>
          <w:cantSplit/>
        </w:trPr>
        <w:tc>
          <w:tcPr>
            <w:cnfStyle w:val="001000000000" w:firstRow="0" w:lastRow="0" w:firstColumn="1" w:lastColumn="0" w:oddVBand="0" w:evenVBand="0" w:oddHBand="0" w:evenHBand="0" w:firstRowFirstColumn="0" w:firstRowLastColumn="0" w:lastRowFirstColumn="0" w:lastRowLastColumn="0"/>
            <w:tcW w:w="2972" w:type="dxa"/>
          </w:tcPr>
          <w:p w14:paraId="5820E840" w14:textId="77777777" w:rsidR="00F07462" w:rsidRPr="008854FF" w:rsidRDefault="00F07462" w:rsidP="004459FB">
            <w:pPr>
              <w:pStyle w:val="BodyText"/>
              <w:ind w:left="112" w:right="46"/>
              <w:rPr>
                <w:sz w:val="20"/>
                <w:szCs w:val="20"/>
              </w:rPr>
            </w:pPr>
            <w:r w:rsidRPr="008854FF">
              <w:rPr>
                <w:sz w:val="20"/>
                <w:szCs w:val="20"/>
              </w:rPr>
              <w:t>Exotic mosquito‐ borne virus threats to Australia (including WNV, CHIKV, LNV, etc.): disease burden and consequences for blood supply safety</w:t>
            </w:r>
          </w:p>
        </w:tc>
        <w:tc>
          <w:tcPr>
            <w:tcW w:w="6521" w:type="dxa"/>
          </w:tcPr>
          <w:p w14:paraId="017AB858" w14:textId="77777777" w:rsidR="00F07462" w:rsidRPr="008854FF" w:rsidRDefault="00F07462" w:rsidP="004459FB">
            <w:pPr>
              <w:pStyle w:val="BodyText"/>
              <w:ind w:left="52" w:right="263"/>
              <w:cnfStyle w:val="000000000000" w:firstRow="0" w:lastRow="0" w:firstColumn="0" w:lastColumn="0" w:oddVBand="0" w:evenVBand="0" w:oddHBand="0" w:evenHBand="0" w:firstRowFirstColumn="0" w:firstRowLastColumn="0" w:lastRowFirstColumn="0" w:lastRowLastColumn="0"/>
              <w:rPr>
                <w:sz w:val="20"/>
                <w:szCs w:val="20"/>
              </w:rPr>
            </w:pPr>
            <w:r w:rsidRPr="008854FF">
              <w:rPr>
                <w:sz w:val="20"/>
                <w:szCs w:val="20"/>
              </w:rPr>
              <w:t xml:space="preserve">Viruses spread by mosquitoes (such as West Nile virus, chikungunya virus, dengue virus and Liao Ning virus) pose a low risk to blood safety in Australia. </w:t>
            </w:r>
            <w:r w:rsidRPr="00DE1D16">
              <w:rPr>
                <w:sz w:val="20"/>
                <w:szCs w:val="20"/>
              </w:rPr>
              <w:t>Lifeblood</w:t>
            </w:r>
            <w:r>
              <w:rPr>
                <w:sz w:val="20"/>
                <w:szCs w:val="20"/>
              </w:rPr>
              <w:t>’s</w:t>
            </w:r>
            <w:r w:rsidRPr="00DE1D16">
              <w:t xml:space="preserve"> </w:t>
            </w:r>
            <w:r w:rsidRPr="008854FF">
              <w:rPr>
                <w:sz w:val="20"/>
                <w:szCs w:val="20"/>
              </w:rPr>
              <w:t>current donor management strategies are appropriate to manage the risks associated with these viruses.</w:t>
            </w:r>
          </w:p>
        </w:tc>
      </w:tr>
      <w:tr w:rsidR="00F07462" w14:paraId="4BCD0DFF" w14:textId="77777777" w:rsidTr="003214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563EB807" w14:textId="77777777" w:rsidR="00F07462" w:rsidRPr="008854FF" w:rsidRDefault="00F07462" w:rsidP="004459FB">
            <w:pPr>
              <w:pStyle w:val="BodyText"/>
              <w:ind w:left="112" w:right="46"/>
              <w:rPr>
                <w:sz w:val="20"/>
                <w:szCs w:val="20"/>
              </w:rPr>
            </w:pPr>
            <w:r w:rsidRPr="008854FF">
              <w:rPr>
                <w:sz w:val="20"/>
                <w:szCs w:val="20"/>
              </w:rPr>
              <w:t>The efficacy of anti-D prophylaxis in obstetric cohorts with high body mass index</w:t>
            </w:r>
          </w:p>
        </w:tc>
        <w:tc>
          <w:tcPr>
            <w:tcW w:w="6521" w:type="dxa"/>
          </w:tcPr>
          <w:p w14:paraId="3F26BA7C" w14:textId="45D0F015" w:rsidR="00F07462" w:rsidRPr="008854FF" w:rsidRDefault="00F07462" w:rsidP="004459FB">
            <w:pPr>
              <w:pStyle w:val="BodyText"/>
              <w:ind w:left="52" w:right="263"/>
              <w:cnfStyle w:val="000000100000" w:firstRow="0" w:lastRow="0" w:firstColumn="0" w:lastColumn="0" w:oddVBand="0" w:evenVBand="0" w:oddHBand="1" w:evenHBand="0" w:firstRowFirstColumn="0" w:firstRowLastColumn="0" w:lastRowFirstColumn="0" w:lastRowLastColumn="0"/>
              <w:rPr>
                <w:sz w:val="20"/>
                <w:szCs w:val="20"/>
              </w:rPr>
            </w:pPr>
            <w:r w:rsidRPr="008854FF">
              <w:rPr>
                <w:sz w:val="20"/>
                <w:szCs w:val="20"/>
              </w:rPr>
              <w:t xml:space="preserve">This research aimed to provide evidence for whether we need to adjust the dose of anti-D for pregnant women who are overweight. </w:t>
            </w:r>
            <w:r w:rsidRPr="00013747">
              <w:rPr>
                <w:sz w:val="20"/>
                <w:szCs w:val="20"/>
              </w:rPr>
              <w:t>Lifeblood</w:t>
            </w:r>
            <w:r w:rsidRPr="008854FF">
              <w:rPr>
                <w:sz w:val="20"/>
                <w:szCs w:val="20"/>
              </w:rPr>
              <w:t xml:space="preserve"> tried several </w:t>
            </w:r>
            <w:r w:rsidR="003C4EA3" w:rsidRPr="008854FF">
              <w:rPr>
                <w:sz w:val="20"/>
                <w:szCs w:val="20"/>
              </w:rPr>
              <w:t>approaches but</w:t>
            </w:r>
            <w:r w:rsidRPr="008854FF">
              <w:rPr>
                <w:sz w:val="20"/>
                <w:szCs w:val="20"/>
              </w:rPr>
              <w:t xml:space="preserve"> couldn’t find an assay that was both sensitive and reliable enough for the project to proceed. At this time, there isn’t a reliable method to monitor the levels of anti-D immunoglobulin in the circulation of women after they receive injections of anti-D to help prevent haemolytic disease of the fetus and newborn.</w:t>
            </w:r>
          </w:p>
        </w:tc>
      </w:tr>
      <w:tr w:rsidR="00F07462" w14:paraId="1A236B85" w14:textId="77777777" w:rsidTr="003214E0">
        <w:trPr>
          <w:cantSplit/>
        </w:trPr>
        <w:tc>
          <w:tcPr>
            <w:cnfStyle w:val="001000000000" w:firstRow="0" w:lastRow="0" w:firstColumn="1" w:lastColumn="0" w:oddVBand="0" w:evenVBand="0" w:oddHBand="0" w:evenHBand="0" w:firstRowFirstColumn="0" w:firstRowLastColumn="0" w:lastRowFirstColumn="0" w:lastRowLastColumn="0"/>
            <w:tcW w:w="2972" w:type="dxa"/>
          </w:tcPr>
          <w:p w14:paraId="149EDF82" w14:textId="77777777" w:rsidR="00F07462" w:rsidRPr="008854FF" w:rsidRDefault="00F07462" w:rsidP="004459FB">
            <w:pPr>
              <w:pStyle w:val="BodyText"/>
              <w:ind w:left="112" w:right="46"/>
              <w:rPr>
                <w:sz w:val="20"/>
                <w:szCs w:val="20"/>
              </w:rPr>
            </w:pPr>
            <w:r w:rsidRPr="008854FF">
              <w:rPr>
                <w:sz w:val="20"/>
                <w:szCs w:val="20"/>
              </w:rPr>
              <w:t>Inactivation of Japanese encephalitis virus following treatment with THERAFLEX pathogen inactivation technologies</w:t>
            </w:r>
          </w:p>
        </w:tc>
        <w:tc>
          <w:tcPr>
            <w:tcW w:w="6521" w:type="dxa"/>
          </w:tcPr>
          <w:p w14:paraId="2DF138F9" w14:textId="2425B119" w:rsidR="00F07462" w:rsidRPr="008854FF" w:rsidRDefault="00F07462" w:rsidP="004459FB">
            <w:pPr>
              <w:pStyle w:val="BodyText"/>
              <w:ind w:left="52" w:right="263"/>
              <w:cnfStyle w:val="000000000000" w:firstRow="0" w:lastRow="0" w:firstColumn="0" w:lastColumn="0" w:oddVBand="0" w:evenVBand="0" w:oddHBand="0" w:evenHBand="0" w:firstRowFirstColumn="0" w:firstRowLastColumn="0" w:lastRowFirstColumn="0" w:lastRowLastColumn="0"/>
              <w:rPr>
                <w:sz w:val="20"/>
                <w:szCs w:val="20"/>
              </w:rPr>
            </w:pPr>
            <w:r w:rsidRPr="008854FF">
              <w:rPr>
                <w:sz w:val="20"/>
                <w:szCs w:val="20"/>
              </w:rPr>
              <w:t xml:space="preserve">The THERAFLEX pathogen inactivation systems can inactivate Japanese encephalitis virus in platelets and plasma. This study adds to our previous work using this </w:t>
            </w:r>
            <w:r w:rsidR="003C4EA3" w:rsidRPr="008854FF">
              <w:rPr>
                <w:sz w:val="20"/>
                <w:szCs w:val="20"/>
              </w:rPr>
              <w:t>system and</w:t>
            </w:r>
            <w:r w:rsidRPr="008854FF">
              <w:rPr>
                <w:sz w:val="20"/>
                <w:szCs w:val="20"/>
              </w:rPr>
              <w:t xml:space="preserve"> contributes to a business case if Lifeblood decides to introduce pathogen inactivation in the future.</w:t>
            </w:r>
          </w:p>
        </w:tc>
      </w:tr>
      <w:tr w:rsidR="00F07462" w14:paraId="20AEE972" w14:textId="77777777" w:rsidTr="003214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972" w:type="dxa"/>
          </w:tcPr>
          <w:p w14:paraId="5BE09698" w14:textId="77777777" w:rsidR="00F07462" w:rsidRPr="008854FF" w:rsidRDefault="00F07462" w:rsidP="004459FB">
            <w:pPr>
              <w:pStyle w:val="BodyText"/>
              <w:ind w:left="112" w:right="46"/>
              <w:rPr>
                <w:sz w:val="20"/>
                <w:szCs w:val="20"/>
              </w:rPr>
            </w:pPr>
            <w:r w:rsidRPr="008854FF">
              <w:rPr>
                <w:sz w:val="20"/>
                <w:szCs w:val="20"/>
              </w:rPr>
              <w:t>An alternative to cryoprecipitate (The FEISTY trial)</w:t>
            </w:r>
          </w:p>
        </w:tc>
        <w:tc>
          <w:tcPr>
            <w:tcW w:w="6521" w:type="dxa"/>
          </w:tcPr>
          <w:p w14:paraId="51FE37C9" w14:textId="77777777" w:rsidR="00F07462" w:rsidRPr="008854FF" w:rsidRDefault="00F07462" w:rsidP="004459FB">
            <w:pPr>
              <w:pStyle w:val="BodyText"/>
              <w:ind w:left="52"/>
              <w:cnfStyle w:val="000000100000" w:firstRow="0" w:lastRow="0" w:firstColumn="0" w:lastColumn="0" w:oddVBand="0" w:evenVBand="0" w:oddHBand="1" w:evenHBand="0" w:firstRowFirstColumn="0" w:firstRowLastColumn="0" w:lastRowFirstColumn="0" w:lastRowLastColumn="0"/>
              <w:rPr>
                <w:sz w:val="20"/>
                <w:szCs w:val="20"/>
              </w:rPr>
            </w:pPr>
            <w:r w:rsidRPr="008854FF">
              <w:rPr>
                <w:sz w:val="20"/>
                <w:szCs w:val="20"/>
              </w:rPr>
              <w:t>For bleeding trauma patients, treatment with fibrinogen concentrate resulted in a much shorter time to administration of the fibrinogen replacement therapy than when cryoprecipitate was used. Since completing this pilot study, our clinical research collaborators have obtained funding to support two follow-on trials, one in paediatric trauma patients and the other an extended trial in adults.</w:t>
            </w:r>
          </w:p>
        </w:tc>
      </w:tr>
    </w:tbl>
    <w:p w14:paraId="0623F1CF" w14:textId="3E975592" w:rsidR="00F07462" w:rsidRPr="006E66E0" w:rsidRDefault="00F07462" w:rsidP="00F07462">
      <w:pPr>
        <w:pStyle w:val="Heading3"/>
        <w:jc w:val="both"/>
        <w:rPr>
          <w:sz w:val="22"/>
          <w:lang w:val="en-AU"/>
        </w:rPr>
      </w:pPr>
      <w:bookmarkStart w:id="69" w:name="_Toc79056713"/>
      <w:bookmarkStart w:id="70" w:name="_Toc79071694"/>
      <w:bookmarkStart w:id="71" w:name="_Toc79071880"/>
      <w:bookmarkStart w:id="72" w:name="_Toc79154192"/>
      <w:bookmarkStart w:id="73" w:name="_Toc79154285"/>
      <w:bookmarkStart w:id="74" w:name="_Toc79154761"/>
      <w:bookmarkStart w:id="75" w:name="_Toc79570831"/>
      <w:bookmarkStart w:id="76" w:name="_Toc90456674"/>
      <w:r w:rsidRPr="006E66E0">
        <w:rPr>
          <w:sz w:val="22"/>
          <w:lang w:val="en-AU"/>
        </w:rPr>
        <w:t xml:space="preserve">Main organisations to </w:t>
      </w:r>
      <w:r w:rsidR="001731D7">
        <w:rPr>
          <w:sz w:val="22"/>
          <w:lang w:val="en-AU"/>
        </w:rPr>
        <w:t>up</w:t>
      </w:r>
      <w:r w:rsidR="006452EA">
        <w:rPr>
          <w:sz w:val="22"/>
          <w:lang w:val="en-AU"/>
        </w:rPr>
        <w:t xml:space="preserve">take </w:t>
      </w:r>
      <w:r w:rsidRPr="006E66E0">
        <w:rPr>
          <w:sz w:val="22"/>
          <w:lang w:val="en-AU"/>
        </w:rPr>
        <w:t>and implement the research findings</w:t>
      </w:r>
      <w:bookmarkEnd w:id="69"/>
      <w:bookmarkEnd w:id="70"/>
      <w:bookmarkEnd w:id="71"/>
      <w:bookmarkEnd w:id="72"/>
      <w:bookmarkEnd w:id="73"/>
      <w:bookmarkEnd w:id="74"/>
      <w:bookmarkEnd w:id="75"/>
      <w:r w:rsidRPr="006E66E0">
        <w:rPr>
          <w:sz w:val="22"/>
          <w:lang w:val="en-AU"/>
        </w:rPr>
        <w:t xml:space="preserve"> </w:t>
      </w:r>
      <w:bookmarkEnd w:id="76"/>
    </w:p>
    <w:p w14:paraId="73BE65A1" w14:textId="23DF55C6" w:rsidR="003B7AB8" w:rsidRPr="001559A5" w:rsidRDefault="002A0524" w:rsidP="003B7AB8">
      <w:pPr>
        <w:pStyle w:val="1Dot-point"/>
        <w:numPr>
          <w:ilvl w:val="0"/>
          <w:numId w:val="0"/>
        </w:numPr>
        <w:tabs>
          <w:tab w:val="left" w:pos="720"/>
        </w:tabs>
        <w:spacing w:line="280" w:lineRule="exact"/>
      </w:pPr>
      <w:r w:rsidRPr="00AF2276">
        <w:rPr>
          <w:rFonts w:cs="Arial"/>
        </w:rPr>
        <w:t>Health organisations, including hospitals and clinician bodies, implement blood-related research findings</w:t>
      </w:r>
      <w:r w:rsidR="00717EC5">
        <w:rPr>
          <w:rFonts w:cs="Arial"/>
        </w:rPr>
        <w:t xml:space="preserve"> and outcomes</w:t>
      </w:r>
      <w:r w:rsidRPr="00AF2276">
        <w:rPr>
          <w:rFonts w:cs="Arial"/>
        </w:rPr>
        <w:t>. For example,</w:t>
      </w:r>
      <w:r w:rsidRPr="003B3EB3">
        <w:t xml:space="preserve"> </w:t>
      </w:r>
      <w:r w:rsidRPr="003B3EB3">
        <w:rPr>
          <w:rFonts w:cs="Arial"/>
        </w:rPr>
        <w:t>the George Institute for Global Health and Neuroscience Research Australia</w:t>
      </w:r>
      <w:r>
        <w:rPr>
          <w:rFonts w:cs="Arial"/>
        </w:rPr>
        <w:t xml:space="preserve"> developed</w:t>
      </w:r>
      <w:r w:rsidRPr="00AF2276">
        <w:rPr>
          <w:rFonts w:cs="Arial"/>
        </w:rPr>
        <w:t xml:space="preserve"> ‘BRuCE’</w:t>
      </w:r>
      <w:r>
        <w:rPr>
          <w:rFonts w:cs="Arial"/>
        </w:rPr>
        <w:t>,</w:t>
      </w:r>
      <w:r w:rsidRPr="00AF2276">
        <w:rPr>
          <w:rFonts w:cs="Arial"/>
        </w:rPr>
        <w:t xml:space="preserve"> a calculator for children with haemophilia and their families</w:t>
      </w:r>
      <w:r>
        <w:rPr>
          <w:rFonts w:cs="Arial"/>
        </w:rPr>
        <w:t>.</w:t>
      </w:r>
      <w:r w:rsidRPr="00AF2276">
        <w:rPr>
          <w:rFonts w:cs="Arial"/>
        </w:rPr>
        <w:t xml:space="preserve"> This tool is now being promoted and distributed by the Australian Haemophilia Centre Directors’ Organisation.</w:t>
      </w:r>
      <w:r w:rsidRPr="00AF2276">
        <w:rPr>
          <w:rStyle w:val="FootnoteReference"/>
          <w:rFonts w:cs="Arial"/>
        </w:rPr>
        <w:footnoteReference w:id="33"/>
      </w:r>
      <w:r w:rsidRPr="00AF2276">
        <w:rPr>
          <w:rFonts w:cs="Arial"/>
        </w:rPr>
        <w:t xml:space="preserve"> The</w:t>
      </w:r>
      <w:r w:rsidRPr="00AF2276">
        <w:rPr>
          <w:rFonts w:eastAsiaTheme="minorEastAsia" w:cs="Arial"/>
          <w:lang w:eastAsia="en-NZ"/>
        </w:rPr>
        <w:t xml:space="preserve"> Australian Centre for Blood Diseases (ACBD</w:t>
      </w:r>
      <w:r w:rsidRPr="00AF2276">
        <w:rPr>
          <w:rFonts w:cs="Arial"/>
        </w:rPr>
        <w:t xml:space="preserve">) </w:t>
      </w:r>
      <w:r w:rsidRPr="00AF2276">
        <w:rPr>
          <w:rFonts w:eastAsiaTheme="minorEastAsia" w:cs="Arial"/>
          <w:lang w:eastAsia="en-NZ"/>
        </w:rPr>
        <w:t>is</w:t>
      </w:r>
      <w:r w:rsidRPr="00AF2276">
        <w:rPr>
          <w:rFonts w:cs="Arial"/>
        </w:rPr>
        <w:t xml:space="preserve"> a national and international centre with research, treatment, and </w:t>
      </w:r>
      <w:r w:rsidRPr="001F7003">
        <w:rPr>
          <w:rFonts w:cs="Arial"/>
        </w:rPr>
        <w:t>educational programs for blood diseases. Its evidence-based clinical programs are delivered in association with T</w:t>
      </w:r>
      <w:r w:rsidRPr="001F7003">
        <w:rPr>
          <w:rFonts w:eastAsiaTheme="minorEastAsia" w:cs="Arial"/>
          <w:lang w:eastAsia="en-NZ"/>
        </w:rPr>
        <w:t>he Alfred, Monash</w:t>
      </w:r>
      <w:r w:rsidR="009766B8" w:rsidRPr="002B372B">
        <w:rPr>
          <w:rFonts w:eastAsiaTheme="minorEastAsia" w:cs="Arial"/>
          <w:lang w:eastAsia="en-NZ"/>
        </w:rPr>
        <w:t> </w:t>
      </w:r>
      <w:r w:rsidRPr="001F7003">
        <w:rPr>
          <w:rFonts w:eastAsiaTheme="minorEastAsia" w:cs="Arial"/>
          <w:lang w:eastAsia="en-NZ"/>
        </w:rPr>
        <w:t>University, Eastern Health and Southern Health</w:t>
      </w:r>
      <w:r w:rsidRPr="00087B72">
        <w:rPr>
          <w:rFonts w:eastAsiaTheme="minorEastAsia" w:cs="Arial"/>
          <w:lang w:eastAsia="en-NZ"/>
        </w:rPr>
        <w:t>.</w:t>
      </w:r>
      <w:r w:rsidRPr="00087B72">
        <w:rPr>
          <w:rStyle w:val="FootnoteReference"/>
          <w:rFonts w:cs="Arial"/>
        </w:rPr>
        <w:footnoteReference w:id="34"/>
      </w:r>
      <w:r w:rsidR="003B7AB8" w:rsidRPr="00087B72">
        <w:rPr>
          <w:rFonts w:eastAsiaTheme="minorEastAsia" w:cs="Arial"/>
          <w:lang w:eastAsia="en-NZ"/>
        </w:rPr>
        <w:t xml:space="preserve"> </w:t>
      </w:r>
      <w:r w:rsidR="002B372B">
        <w:rPr>
          <w:rFonts w:eastAsiaTheme="minorEastAsia" w:cs="Arial"/>
          <w:lang w:eastAsia="en-NZ"/>
        </w:rPr>
        <w:t>There are also Australian c</w:t>
      </w:r>
      <w:r w:rsidR="004600E9" w:rsidRPr="00087B72">
        <w:rPr>
          <w:rFonts w:eastAsiaTheme="minorEastAsia" w:cs="Arial"/>
          <w:lang w:eastAsia="en-NZ"/>
        </w:rPr>
        <w:t>lin</w:t>
      </w:r>
      <w:r w:rsidR="001F7003">
        <w:rPr>
          <w:rFonts w:eastAsiaTheme="minorEastAsia" w:cs="Arial"/>
          <w:lang w:eastAsia="en-NZ"/>
        </w:rPr>
        <w:t>i</w:t>
      </w:r>
      <w:r w:rsidR="004600E9" w:rsidRPr="00087B72">
        <w:rPr>
          <w:rFonts w:eastAsiaTheme="minorEastAsia" w:cs="Arial"/>
          <w:lang w:eastAsia="en-NZ"/>
        </w:rPr>
        <w:t xml:space="preserve">cians </w:t>
      </w:r>
      <w:r w:rsidR="002B372B">
        <w:rPr>
          <w:rFonts w:eastAsiaTheme="minorEastAsia" w:cs="Arial"/>
          <w:lang w:eastAsia="en-NZ"/>
        </w:rPr>
        <w:t>which apply</w:t>
      </w:r>
      <w:r w:rsidR="004600E9" w:rsidRPr="00087B72">
        <w:rPr>
          <w:rFonts w:eastAsiaTheme="minorEastAsia" w:cs="Arial"/>
          <w:lang w:eastAsia="en-NZ"/>
        </w:rPr>
        <w:t xml:space="preserve"> the</w:t>
      </w:r>
      <w:r w:rsidR="00147D93" w:rsidRPr="00087B72">
        <w:rPr>
          <w:rFonts w:eastAsiaTheme="minorEastAsia" w:cs="Arial"/>
          <w:lang w:eastAsia="en-NZ"/>
        </w:rPr>
        <w:t xml:space="preserve"> NBA-developed</w:t>
      </w:r>
      <w:r w:rsidR="004600E9" w:rsidRPr="00087B72">
        <w:rPr>
          <w:rFonts w:eastAsiaTheme="minorEastAsia" w:cs="Arial"/>
          <w:lang w:eastAsia="en-NZ"/>
        </w:rPr>
        <w:t xml:space="preserve"> </w:t>
      </w:r>
      <w:r w:rsidR="008062EA" w:rsidRPr="00087B72">
        <w:rPr>
          <w:rFonts w:eastAsiaTheme="minorEastAsia" w:cs="Arial"/>
          <w:lang w:eastAsia="en-NZ"/>
        </w:rPr>
        <w:t>Patient Blood Management Guidelines</w:t>
      </w:r>
      <w:r w:rsidR="002B372B">
        <w:rPr>
          <w:rFonts w:eastAsiaTheme="minorEastAsia" w:cs="Arial"/>
          <w:lang w:eastAsia="en-NZ"/>
        </w:rPr>
        <w:t>. Research</w:t>
      </w:r>
      <w:r w:rsidR="00147D93" w:rsidRPr="00087B72">
        <w:rPr>
          <w:rFonts w:eastAsiaTheme="minorEastAsia" w:cs="Arial"/>
          <w:lang w:eastAsia="en-NZ"/>
        </w:rPr>
        <w:t xml:space="preserve"> shows</w:t>
      </w:r>
      <w:r w:rsidR="005878D5">
        <w:rPr>
          <w:rFonts w:eastAsiaTheme="minorEastAsia" w:cs="Arial"/>
          <w:lang w:eastAsia="en-NZ"/>
        </w:rPr>
        <w:t xml:space="preserve"> the </w:t>
      </w:r>
      <w:r w:rsidR="005878D5" w:rsidRPr="00B96A63">
        <w:rPr>
          <w:rFonts w:eastAsiaTheme="minorEastAsia" w:cs="Arial"/>
          <w:lang w:eastAsia="en-NZ"/>
        </w:rPr>
        <w:t>Patient Blood Management Guidelines</w:t>
      </w:r>
      <w:r w:rsidR="005878D5">
        <w:rPr>
          <w:rFonts w:eastAsiaTheme="minorEastAsia" w:cs="Arial"/>
          <w:lang w:eastAsia="en-NZ"/>
        </w:rPr>
        <w:t xml:space="preserve"> </w:t>
      </w:r>
      <w:r w:rsidR="001F7003" w:rsidRPr="001F7003">
        <w:rPr>
          <w:rFonts w:cs="Arial"/>
        </w:rPr>
        <w:t>has</w:t>
      </w:r>
      <w:r w:rsidR="003B7AB8" w:rsidRPr="002B372B">
        <w:rPr>
          <w:rFonts w:cs="Arial"/>
        </w:rPr>
        <w:t xml:space="preserve"> been associated with a reduction in blood transfusions and hospital length of stay for cardiac surgery patients in Australia.</w:t>
      </w:r>
      <w:r w:rsidR="003B7AB8" w:rsidRPr="001F7003">
        <w:rPr>
          <w:rFonts w:cs="Arial"/>
          <w:vertAlign w:val="superscript"/>
        </w:rPr>
        <w:footnoteReference w:id="35"/>
      </w:r>
    </w:p>
    <w:p w14:paraId="7E40AA4D" w14:textId="6A4DB631" w:rsidR="003B7AB8" w:rsidRDefault="003B7AB8" w:rsidP="00B17472">
      <w:pPr>
        <w:pStyle w:val="1Dot-point"/>
        <w:numPr>
          <w:ilvl w:val="0"/>
          <w:numId w:val="0"/>
        </w:numPr>
        <w:tabs>
          <w:tab w:val="left" w:pos="720"/>
        </w:tabs>
        <w:spacing w:line="280" w:lineRule="exact"/>
      </w:pPr>
    </w:p>
    <w:p w14:paraId="5742CA68" w14:textId="64506D9C" w:rsidR="003B7AB8" w:rsidRDefault="003B7AB8"/>
    <w:p w14:paraId="4D8757A9" w14:textId="5C3ACFCD" w:rsidR="003B7AB8" w:rsidRDefault="003B7AB8">
      <w:pPr>
        <w:rPr>
          <w:rFonts w:ascii="Arial" w:hAnsi="Arial"/>
          <w:color w:val="000000"/>
          <w:lang w:val="en-AU"/>
        </w:rPr>
      </w:pPr>
      <w:r>
        <w:br w:type="page"/>
      </w:r>
    </w:p>
    <w:p w14:paraId="4D96492B" w14:textId="5376708B" w:rsidR="002A0524" w:rsidRPr="00AF2276" w:rsidRDefault="002145B2" w:rsidP="002A0524">
      <w:pPr>
        <w:jc w:val="both"/>
        <w:rPr>
          <w:rFonts w:ascii="Calibri" w:eastAsiaTheme="minorEastAsia" w:hAnsi="Calibri" w:cs="Calibri"/>
          <w:color w:val="000000"/>
          <w:lang w:val="en-AU" w:eastAsia="en-NZ"/>
        </w:rPr>
      </w:pPr>
      <w:r>
        <w:rPr>
          <w:noProof/>
          <w:lang w:val="en-AU" w:eastAsia="en-AU"/>
        </w:rPr>
        <w:drawing>
          <wp:anchor distT="0" distB="0" distL="114300" distR="114300" simplePos="0" relativeHeight="251640320" behindDoc="1" locked="0" layoutInCell="1" allowOverlap="1" wp14:anchorId="35FE1AE0" wp14:editId="3B272A9B">
            <wp:simplePos x="0" y="0"/>
            <wp:positionH relativeFrom="column">
              <wp:posOffset>-901700</wp:posOffset>
            </wp:positionH>
            <wp:positionV relativeFrom="paragraph">
              <wp:posOffset>-939800</wp:posOffset>
            </wp:positionV>
            <wp:extent cx="7549888" cy="10655300"/>
            <wp:effectExtent l="0" t="0" r="0" b="0"/>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val="0"/>
                        </a:ext>
                      </a:extLst>
                    </a:blip>
                    <a:srcRect b="8277"/>
                    <a:stretch/>
                  </pic:blipFill>
                  <pic:spPr bwMode="auto">
                    <a:xfrm>
                      <a:off x="0" y="0"/>
                      <a:ext cx="7549888" cy="1065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41BB62" w14:textId="0A8D27D2" w:rsidR="00016A8A" w:rsidRDefault="00016A8A">
      <w:pPr>
        <w:rPr>
          <w:rFonts w:asciiTheme="majorHAnsi" w:hAnsiTheme="majorHAnsi"/>
          <w:b/>
          <w:caps/>
          <w:color w:val="36424A" w:themeColor="text2"/>
          <w:sz w:val="28"/>
          <w:lang w:eastAsia="zh-CN"/>
        </w:rPr>
      </w:pPr>
    </w:p>
    <w:p w14:paraId="34C577B5" w14:textId="0ED66F3F" w:rsidR="006764A7" w:rsidRPr="0073198B" w:rsidRDefault="006764A7"/>
    <w:p w14:paraId="664E365E" w14:textId="77777777" w:rsidR="006764A7" w:rsidRPr="0073198B" w:rsidRDefault="006764A7"/>
    <w:p w14:paraId="4E40C927" w14:textId="77777777" w:rsidR="006764A7" w:rsidRPr="0073198B" w:rsidRDefault="006764A7"/>
    <w:p w14:paraId="643D67C6" w14:textId="434E6760" w:rsidR="005A30EF" w:rsidRDefault="005D571D" w:rsidP="0073198B">
      <w:pPr>
        <w:pStyle w:val="Heading1-NOTinTOC"/>
        <w:rPr>
          <w:lang w:eastAsia="zh-CN"/>
        </w:rPr>
      </w:pPr>
      <w:r w:rsidRPr="0073198B">
        <w:t>202</w:t>
      </w:r>
      <w:r>
        <w:t>2</w:t>
      </w:r>
      <w:r w:rsidR="005A30EF" w:rsidRPr="0073198B">
        <w:t xml:space="preserve">-27 National BLOOD RESEARCH AND DEVELOPMENT </w:t>
      </w:r>
      <w:r w:rsidR="00E25EBE">
        <w:t xml:space="preserve">strategic </w:t>
      </w:r>
      <w:r w:rsidR="005A30EF" w:rsidRPr="0073198B">
        <w:t>PRIORITIES</w:t>
      </w:r>
      <w:r w:rsidR="005A30EF">
        <w:rPr>
          <w:lang w:eastAsia="zh-CN"/>
        </w:rPr>
        <w:br w:type="page"/>
      </w:r>
    </w:p>
    <w:p w14:paraId="6EB8CE28" w14:textId="31E09FFF" w:rsidR="00E25EBE" w:rsidRDefault="00221979" w:rsidP="0073198B">
      <w:pPr>
        <w:pStyle w:val="Heading1"/>
        <w:rPr>
          <w:lang w:eastAsia="zh-CN"/>
        </w:rPr>
      </w:pPr>
      <w:bookmarkStart w:id="77" w:name="_2021-27_National_BLOOD"/>
      <w:bookmarkStart w:id="78" w:name="_Toc90456675"/>
      <w:bookmarkEnd w:id="77"/>
      <w:r w:rsidRPr="0073198B">
        <w:rPr>
          <w:noProof/>
          <w:lang w:val="en-AU" w:eastAsia="en-AU"/>
        </w:rPr>
        <mc:AlternateContent>
          <mc:Choice Requires="wpg">
            <w:drawing>
              <wp:anchor distT="0" distB="0" distL="114300" distR="114300" simplePos="0" relativeHeight="251676160" behindDoc="0" locked="0" layoutInCell="1" allowOverlap="1" wp14:anchorId="745907AE" wp14:editId="168880F8">
                <wp:simplePos x="0" y="0"/>
                <wp:positionH relativeFrom="column">
                  <wp:posOffset>-1296785</wp:posOffset>
                </wp:positionH>
                <wp:positionV relativeFrom="paragraph">
                  <wp:posOffset>-247478</wp:posOffset>
                </wp:positionV>
                <wp:extent cx="787222" cy="782411"/>
                <wp:effectExtent l="171450" t="171450" r="165735" b="170180"/>
                <wp:wrapNone/>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7222" cy="782411"/>
                          <a:chOff x="0" y="0"/>
                          <a:chExt cx="787222" cy="782411"/>
                        </a:xfrm>
                      </wpg:grpSpPr>
                      <wps:wsp>
                        <wps:cNvPr id="33" name="Rectangle 33"/>
                        <wps:cNvSpPr/>
                        <wps:spPr>
                          <a:xfrm rot="2700000">
                            <a:off x="17941" y="13131"/>
                            <a:ext cx="765125" cy="77343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rot="2700000">
                            <a:off x="0" y="0"/>
                            <a:ext cx="773289" cy="773289"/>
                          </a:xfrm>
                          <a:prstGeom prst="rect">
                            <a:avLst/>
                          </a:prstGeom>
                          <a:solidFill>
                            <a:srgbClr val="0E41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404801F" id="Group 27" o:spid="_x0000_s1026" alt="&quot;&quot;" style="position:absolute;margin-left:-102.1pt;margin-top:-19.5pt;width:62pt;height:61.6pt;z-index:251676160" coordsize="7872,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">
                <v:rect id="Rectangle 33" o:spid="_x0000_s1027" style="position:absolute;left:179;top:130;width:7652;height:773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" fillcolor="red" stroked="f" strokeweight="1pt"/>
                <v:rect id="Rectangle 34" o:spid="_x0000_s1028" style="position:absolute;width:7732;height:7732;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" fillcolor="#0e4168" stroked="f" strokeweight="1pt"/>
              </v:group>
            </w:pict>
          </mc:Fallback>
        </mc:AlternateContent>
      </w:r>
      <w:r w:rsidRPr="003B092E">
        <w:t>202</w:t>
      </w:r>
      <w:r>
        <w:t>2</w:t>
      </w:r>
      <w:r w:rsidR="00E25EBE" w:rsidRPr="003B092E">
        <w:t xml:space="preserve">-27 National BLOOD RESEARCH AND DEVELOPMENT </w:t>
      </w:r>
      <w:r w:rsidR="00E25EBE">
        <w:t xml:space="preserve">strategic </w:t>
      </w:r>
      <w:r w:rsidR="00E25EBE" w:rsidRPr="003B092E">
        <w:t>PRIORITIES</w:t>
      </w:r>
      <w:r w:rsidR="00DB43FF">
        <w:t xml:space="preserve"> </w:t>
      </w:r>
      <w:bookmarkEnd w:id="78"/>
    </w:p>
    <w:p w14:paraId="263117B6" w14:textId="1166D67A" w:rsidR="00E25EBE" w:rsidRPr="00D60802" w:rsidRDefault="00187B86">
      <w:pPr>
        <w:pStyle w:val="BodyText"/>
        <w:jc w:val="both"/>
        <w:rPr>
          <w:rFonts w:ascii="Arial" w:hAnsi="Arial" w:cs="Arial"/>
          <w:lang w:eastAsia="zh-CN"/>
        </w:rPr>
      </w:pPr>
      <w:r>
        <w:rPr>
          <w:rFonts w:ascii="Arial" w:hAnsi="Arial" w:cs="Arial"/>
        </w:rPr>
        <w:t xml:space="preserve">The </w:t>
      </w:r>
      <w:r w:rsidR="00221979">
        <w:rPr>
          <w:rFonts w:ascii="Arial" w:hAnsi="Arial" w:cs="Arial"/>
        </w:rPr>
        <w:t>2022</w:t>
      </w:r>
      <w:r>
        <w:rPr>
          <w:rFonts w:ascii="Arial" w:hAnsi="Arial" w:cs="Arial"/>
        </w:rPr>
        <w:t xml:space="preserve">-27 Priorities aim to enhance the wellbeing of patients and donors, by directing research efforts in the blood sector toward improving the sustainability, provision, and safety of Australia’s blood supply. </w:t>
      </w:r>
      <w:r w:rsidR="00E25EBE" w:rsidRPr="00415BC1">
        <w:rPr>
          <w:rFonts w:ascii="Arial" w:hAnsi="Arial" w:cs="Arial"/>
          <w:lang w:eastAsia="zh-CN"/>
        </w:rPr>
        <w:t>The</w:t>
      </w:r>
      <w:r w:rsidR="006D5659">
        <w:rPr>
          <w:rFonts w:ascii="Arial" w:hAnsi="Arial" w:cs="Arial"/>
          <w:lang w:eastAsia="zh-CN"/>
        </w:rPr>
        <w:t xml:space="preserve"> </w:t>
      </w:r>
      <w:r w:rsidR="00221979">
        <w:rPr>
          <w:rFonts w:ascii="Arial" w:hAnsi="Arial" w:cs="Arial"/>
          <w:lang w:eastAsia="zh-CN"/>
        </w:rPr>
        <w:t>2022</w:t>
      </w:r>
      <w:r w:rsidR="006D5659">
        <w:rPr>
          <w:rFonts w:ascii="Arial" w:hAnsi="Arial" w:cs="Arial"/>
          <w:lang w:eastAsia="zh-CN"/>
        </w:rPr>
        <w:t>-27 Priorities</w:t>
      </w:r>
      <w:r>
        <w:rPr>
          <w:rFonts w:ascii="Arial" w:hAnsi="Arial" w:cs="Arial"/>
          <w:lang w:eastAsia="zh-CN"/>
        </w:rPr>
        <w:t xml:space="preserve"> </w:t>
      </w:r>
      <w:r w:rsidR="00E25EBE">
        <w:rPr>
          <w:rFonts w:ascii="Arial" w:hAnsi="Arial" w:cs="Arial"/>
          <w:lang w:eastAsia="zh-CN"/>
        </w:rPr>
        <w:t>are</w:t>
      </w:r>
      <w:r w:rsidR="00E25EBE" w:rsidRPr="00D60802">
        <w:rPr>
          <w:rFonts w:ascii="Arial" w:hAnsi="Arial" w:cs="Arial"/>
          <w:lang w:eastAsia="zh-CN"/>
        </w:rPr>
        <w:t xml:space="preserve">: </w:t>
      </w:r>
    </w:p>
    <w:p w14:paraId="01FB16DA" w14:textId="0528E090" w:rsidR="00F246E9" w:rsidRPr="00087B72" w:rsidRDefault="00221979" w:rsidP="00087B72">
      <w:pPr>
        <w:pStyle w:val="1Dot-point"/>
        <w:numPr>
          <w:ilvl w:val="0"/>
          <w:numId w:val="84"/>
        </w:numPr>
        <w:spacing w:after="0"/>
        <w:rPr>
          <w:rFonts w:cs="Arial"/>
          <w:color w:val="000000" w:themeColor="text1"/>
        </w:rPr>
      </w:pPr>
      <w:r>
        <w:t>o</w:t>
      </w:r>
      <w:r w:rsidR="00F246E9" w:rsidRPr="00087B72">
        <w:rPr>
          <w:rFonts w:cs="Arial"/>
          <w:color w:val="000000" w:themeColor="text1"/>
        </w:rPr>
        <w:t>ptimise the use of blood and blood products</w:t>
      </w:r>
      <w:r w:rsidR="00F246E9" w:rsidRPr="00087B72" w:rsidDel="000112AD">
        <w:rPr>
          <w:rFonts w:cs="Arial"/>
          <w:color w:val="000000" w:themeColor="text1"/>
        </w:rPr>
        <w:t xml:space="preserve"> </w:t>
      </w:r>
    </w:p>
    <w:p w14:paraId="5AFCD72A" w14:textId="719630A8" w:rsidR="00356F27" w:rsidRPr="00087B72" w:rsidRDefault="00221979" w:rsidP="00356F27">
      <w:pPr>
        <w:pStyle w:val="1Dot-point"/>
        <w:spacing w:after="0" w:line="192" w:lineRule="auto"/>
        <w:rPr>
          <w:rFonts w:cs="Arial"/>
          <w:color w:val="000000" w:themeColor="text1"/>
        </w:rPr>
      </w:pPr>
      <w:r>
        <w:rPr>
          <w:rFonts w:cs="Arial"/>
          <w:color w:val="000000" w:themeColor="text1"/>
        </w:rPr>
        <w:t>o</w:t>
      </w:r>
      <w:r w:rsidR="00356F27" w:rsidRPr="00087B72">
        <w:rPr>
          <w:rFonts w:cs="Arial"/>
          <w:color w:val="000000" w:themeColor="text1"/>
        </w:rPr>
        <w:t>ptimise supply including product innovation and supply chain efficiencies</w:t>
      </w:r>
      <w:r w:rsidR="00356F27" w:rsidRPr="00087B72" w:rsidDel="00497D8D">
        <w:rPr>
          <w:rFonts w:cs="Arial"/>
          <w:color w:val="000000" w:themeColor="text1"/>
        </w:rPr>
        <w:t xml:space="preserve"> </w:t>
      </w:r>
    </w:p>
    <w:p w14:paraId="1C93E95B" w14:textId="5EC81F26" w:rsidR="00F760D0" w:rsidRPr="00087B72" w:rsidRDefault="00221979" w:rsidP="00087B72">
      <w:pPr>
        <w:pStyle w:val="1Dot-point"/>
        <w:rPr>
          <w:rFonts w:cs="Arial"/>
          <w:color w:val="000000" w:themeColor="text1"/>
        </w:rPr>
      </w:pPr>
      <w:r>
        <w:rPr>
          <w:rFonts w:cs="Arial"/>
          <w:color w:val="000000" w:themeColor="text1"/>
        </w:rPr>
        <w:t>r</w:t>
      </w:r>
      <w:r w:rsidR="00F760D0" w:rsidRPr="00087B72">
        <w:rPr>
          <w:rFonts w:cs="Arial"/>
          <w:color w:val="000000" w:themeColor="text1"/>
        </w:rPr>
        <w:t>educe donor and patient adverse events</w:t>
      </w:r>
      <w:r>
        <w:rPr>
          <w:rFonts w:cs="Arial"/>
          <w:color w:val="000000" w:themeColor="text1"/>
        </w:rPr>
        <w:t>.</w:t>
      </w:r>
    </w:p>
    <w:p w14:paraId="533E5C2C" w14:textId="1E269F0F" w:rsidR="004855AD" w:rsidRPr="00282377" w:rsidRDefault="006C76B6" w:rsidP="00087B72">
      <w:pPr>
        <w:pStyle w:val="1Dot-point"/>
        <w:numPr>
          <w:ilvl w:val="0"/>
          <w:numId w:val="0"/>
        </w:numPr>
        <w:rPr>
          <w:b/>
        </w:rPr>
      </w:pPr>
      <w:r>
        <w:t xml:space="preserve"> The 202</w:t>
      </w:r>
      <w:r w:rsidR="00221979">
        <w:t>2</w:t>
      </w:r>
      <w:r>
        <w:t>-27 Enablers are</w:t>
      </w:r>
      <w:r w:rsidR="00661C4C">
        <w:t xml:space="preserve">: </w:t>
      </w:r>
    </w:p>
    <w:p w14:paraId="01033DFF" w14:textId="497649E1" w:rsidR="00A25161" w:rsidRPr="00087B72" w:rsidRDefault="00221979" w:rsidP="00282377">
      <w:pPr>
        <w:pStyle w:val="1Dot-point"/>
      </w:pPr>
      <w:r>
        <w:rPr>
          <w:rFonts w:cs="Arial"/>
          <w:color w:val="000000" w:themeColor="text1"/>
        </w:rPr>
        <w:t>i</w:t>
      </w:r>
      <w:r w:rsidR="00A00D1C" w:rsidRPr="00087B72">
        <w:rPr>
          <w:rFonts w:cs="Arial"/>
          <w:color w:val="000000" w:themeColor="text1"/>
        </w:rPr>
        <w:t>mproved data collection, accuracy and sharing</w:t>
      </w:r>
    </w:p>
    <w:p w14:paraId="22736167" w14:textId="464224DC" w:rsidR="00A25161" w:rsidRPr="00087B72" w:rsidRDefault="00221979" w:rsidP="00A25161">
      <w:pPr>
        <w:pStyle w:val="1Dot-point"/>
        <w:rPr>
          <w:rFonts w:cs="Arial"/>
          <w:color w:val="000000" w:themeColor="text1"/>
        </w:rPr>
      </w:pPr>
      <w:r>
        <w:rPr>
          <w:rFonts w:cs="Arial"/>
          <w:color w:val="000000" w:themeColor="text1"/>
        </w:rPr>
        <w:t>o</w:t>
      </w:r>
      <w:r w:rsidR="00A25161" w:rsidRPr="00087B72">
        <w:rPr>
          <w:rFonts w:cs="Arial"/>
          <w:color w:val="000000" w:themeColor="text1"/>
        </w:rPr>
        <w:t>ptimised health service delivery to best meet patient needs</w:t>
      </w:r>
    </w:p>
    <w:p w14:paraId="3EFCA468" w14:textId="0A21E192" w:rsidR="00A25161" w:rsidRPr="00087B72" w:rsidRDefault="00221979" w:rsidP="00087B72">
      <w:pPr>
        <w:pStyle w:val="1Dot-point"/>
        <w:rPr>
          <w:rFonts w:cs="Arial"/>
          <w:color w:val="000000" w:themeColor="text1"/>
        </w:rPr>
      </w:pPr>
      <w:r>
        <w:rPr>
          <w:rFonts w:cs="Arial"/>
          <w:color w:val="000000" w:themeColor="text1"/>
        </w:rPr>
        <w:t>s</w:t>
      </w:r>
      <w:r w:rsidR="00661C4C" w:rsidRPr="00087B72">
        <w:rPr>
          <w:rFonts w:cs="Arial"/>
          <w:color w:val="000000" w:themeColor="text1"/>
        </w:rPr>
        <w:t>trengthening workforce capability</w:t>
      </w:r>
      <w:r>
        <w:rPr>
          <w:rFonts w:cs="Arial"/>
          <w:color w:val="000000" w:themeColor="text1"/>
        </w:rPr>
        <w:t>.</w:t>
      </w:r>
    </w:p>
    <w:p w14:paraId="264E3B57" w14:textId="791ED23D" w:rsidR="003B5856" w:rsidRDefault="00CF1F73" w:rsidP="00087B72">
      <w:pPr>
        <w:jc w:val="both"/>
        <w:rPr>
          <w:rFonts w:ascii="Arial" w:hAnsi="Arial" w:cs="Arial"/>
          <w:bCs/>
          <w:color w:val="000000"/>
          <w:lang w:val="en-AU"/>
        </w:rPr>
      </w:pPr>
      <w:r w:rsidRPr="00FB7F23">
        <w:rPr>
          <w:rFonts w:ascii="Arial" w:hAnsi="Arial" w:cs="Arial"/>
          <w:bCs/>
          <w:color w:val="000000"/>
          <w:lang w:val="en-AU"/>
        </w:rPr>
        <w:t xml:space="preserve">To support </w:t>
      </w:r>
      <w:r w:rsidRPr="0093654F">
        <w:rPr>
          <w:rFonts w:ascii="Arial" w:hAnsi="Arial" w:cs="Arial"/>
          <w:bCs/>
          <w:color w:val="000000"/>
          <w:lang w:val="en-AU"/>
        </w:rPr>
        <w:t>the achievement of each priority</w:t>
      </w:r>
      <w:r w:rsidR="00C128E4" w:rsidRPr="0093654F">
        <w:rPr>
          <w:rFonts w:ascii="Arial" w:hAnsi="Arial" w:cs="Arial"/>
          <w:bCs/>
          <w:color w:val="000000"/>
          <w:lang w:val="en-AU"/>
        </w:rPr>
        <w:t xml:space="preserve"> and enabler</w:t>
      </w:r>
      <w:r w:rsidRPr="0093654F">
        <w:rPr>
          <w:rFonts w:ascii="Arial" w:hAnsi="Arial" w:cs="Arial"/>
          <w:bCs/>
          <w:color w:val="000000"/>
          <w:lang w:val="en-AU"/>
        </w:rPr>
        <w:t xml:space="preserve">, </w:t>
      </w:r>
      <w:r w:rsidR="00E25EBE" w:rsidRPr="0093654F">
        <w:rPr>
          <w:rFonts w:ascii="Arial" w:hAnsi="Arial" w:cs="Arial"/>
          <w:bCs/>
          <w:color w:val="000000"/>
          <w:lang w:val="en-AU"/>
        </w:rPr>
        <w:t xml:space="preserve">there are </w:t>
      </w:r>
      <w:r w:rsidR="003B5856" w:rsidRPr="0093654F">
        <w:rPr>
          <w:rFonts w:ascii="Arial" w:hAnsi="Arial" w:cs="Arial"/>
        </w:rPr>
        <w:t xml:space="preserve">a set of </w:t>
      </w:r>
      <w:r w:rsidR="00880E29" w:rsidRPr="00087B72">
        <w:rPr>
          <w:rFonts w:ascii="Arial" w:hAnsi="Arial" w:cs="Arial"/>
        </w:rPr>
        <w:t xml:space="preserve">more specific </w:t>
      </w:r>
      <w:r w:rsidR="003B5856" w:rsidRPr="0093654F">
        <w:rPr>
          <w:rFonts w:ascii="Arial" w:hAnsi="Arial" w:cs="Arial"/>
        </w:rPr>
        <w:t xml:space="preserve">research </w:t>
      </w:r>
      <w:r w:rsidR="00880E29" w:rsidRPr="00087B72">
        <w:rPr>
          <w:rFonts w:ascii="Arial" w:hAnsi="Arial" w:cs="Arial"/>
        </w:rPr>
        <w:t>and</w:t>
      </w:r>
      <w:r w:rsidR="00A67D02" w:rsidRPr="00087B72">
        <w:rPr>
          <w:rFonts w:ascii="Arial" w:hAnsi="Arial" w:cs="Arial"/>
        </w:rPr>
        <w:t xml:space="preserve"> </w:t>
      </w:r>
      <w:r w:rsidR="00880E29" w:rsidRPr="00087B72">
        <w:rPr>
          <w:rFonts w:ascii="Arial" w:hAnsi="Arial" w:cs="Arial"/>
        </w:rPr>
        <w:t>research translation activities</w:t>
      </w:r>
      <w:r w:rsidR="003B5856" w:rsidRPr="0093654F">
        <w:rPr>
          <w:rFonts w:ascii="Arial" w:hAnsi="Arial" w:cs="Arial"/>
        </w:rPr>
        <w:t xml:space="preserve">. </w:t>
      </w:r>
      <w:r w:rsidR="006D5659" w:rsidRPr="0093654F">
        <w:rPr>
          <w:rFonts w:ascii="Arial" w:hAnsi="Arial" w:cs="Arial"/>
        </w:rPr>
        <w:t>By identifying these</w:t>
      </w:r>
      <w:r w:rsidR="003B5856" w:rsidRPr="0093654F">
        <w:rPr>
          <w:rFonts w:ascii="Arial" w:hAnsi="Arial" w:cs="Arial"/>
        </w:rPr>
        <w:t xml:space="preserve"> activities</w:t>
      </w:r>
      <w:r w:rsidR="006D5659" w:rsidRPr="0093654F">
        <w:rPr>
          <w:rFonts w:ascii="Arial" w:hAnsi="Arial" w:cs="Arial"/>
        </w:rPr>
        <w:t>, the NBA</w:t>
      </w:r>
      <w:r w:rsidR="003B5856" w:rsidRPr="0093654F">
        <w:rPr>
          <w:rFonts w:ascii="Arial" w:hAnsi="Arial" w:cs="Arial"/>
        </w:rPr>
        <w:t xml:space="preserve"> </w:t>
      </w:r>
      <w:r w:rsidR="006D5659" w:rsidRPr="0093654F">
        <w:rPr>
          <w:rFonts w:ascii="Arial" w:hAnsi="Arial" w:cs="Arial"/>
        </w:rPr>
        <w:t xml:space="preserve">is </w:t>
      </w:r>
      <w:r w:rsidR="003B5856" w:rsidRPr="0093654F">
        <w:rPr>
          <w:rFonts w:ascii="Arial" w:hAnsi="Arial" w:cs="Arial"/>
        </w:rPr>
        <w:t>signal</w:t>
      </w:r>
      <w:r w:rsidR="006D5659" w:rsidRPr="0093654F">
        <w:rPr>
          <w:rFonts w:ascii="Arial" w:hAnsi="Arial" w:cs="Arial"/>
        </w:rPr>
        <w:t>ling</w:t>
      </w:r>
      <w:r w:rsidR="003B5856" w:rsidRPr="0093654F">
        <w:rPr>
          <w:rFonts w:ascii="Arial" w:hAnsi="Arial" w:cs="Arial"/>
        </w:rPr>
        <w:t xml:space="preserve"> to the national blood research sector what </w:t>
      </w:r>
      <w:r w:rsidR="00763DBC" w:rsidRPr="0093654F">
        <w:rPr>
          <w:rFonts w:ascii="Arial" w:hAnsi="Arial" w:cs="Arial"/>
        </w:rPr>
        <w:t xml:space="preserve">they </w:t>
      </w:r>
      <w:r w:rsidR="00015DAC" w:rsidRPr="0093654F">
        <w:rPr>
          <w:rFonts w:ascii="Arial" w:hAnsi="Arial" w:cs="Arial"/>
        </w:rPr>
        <w:t>can</w:t>
      </w:r>
      <w:r w:rsidR="003B5856" w:rsidRPr="0093654F">
        <w:rPr>
          <w:rFonts w:ascii="Arial" w:hAnsi="Arial" w:cs="Arial"/>
        </w:rPr>
        <w:t xml:space="preserve"> contribute to promot</w:t>
      </w:r>
      <w:r w:rsidR="00763DBC" w:rsidRPr="0093654F">
        <w:rPr>
          <w:rFonts w:ascii="Arial" w:hAnsi="Arial" w:cs="Arial"/>
        </w:rPr>
        <w:t>e</w:t>
      </w:r>
      <w:r w:rsidR="003B5856" w:rsidRPr="0093654F">
        <w:rPr>
          <w:rFonts w:ascii="Arial" w:hAnsi="Arial" w:cs="Arial"/>
        </w:rPr>
        <w:t xml:space="preserve"> the ongoing wellbeing of patients and donors</w:t>
      </w:r>
      <w:r w:rsidR="003B5856">
        <w:rPr>
          <w:rFonts w:ascii="Arial" w:hAnsi="Arial" w:cs="Arial"/>
        </w:rPr>
        <w:t xml:space="preserve"> in Australia</w:t>
      </w:r>
      <w:r w:rsidR="00CC4795">
        <w:rPr>
          <w:rFonts w:ascii="Arial" w:hAnsi="Arial" w:cs="Arial"/>
        </w:rPr>
        <w:t xml:space="preserve">. </w:t>
      </w:r>
    </w:p>
    <w:p w14:paraId="2BB845F2" w14:textId="4EB8354A" w:rsidR="005A30EF" w:rsidRDefault="00CC4795" w:rsidP="00087B72">
      <w:pPr>
        <w:jc w:val="both"/>
        <w:rPr>
          <w:rFonts w:ascii="Arial" w:hAnsi="Arial" w:cs="Arial"/>
        </w:rPr>
      </w:pPr>
      <w:r>
        <w:rPr>
          <w:rFonts w:ascii="Arial" w:hAnsi="Arial" w:cs="Arial"/>
          <w:bCs/>
          <w:color w:val="000000"/>
          <w:lang w:val="en-AU"/>
        </w:rPr>
        <w:t xml:space="preserve">This </w:t>
      </w:r>
      <w:r w:rsidR="00F27420">
        <w:rPr>
          <w:rFonts w:ascii="Arial" w:hAnsi="Arial" w:cs="Arial"/>
          <w:bCs/>
          <w:color w:val="000000"/>
          <w:lang w:val="en-AU"/>
        </w:rPr>
        <w:t>section</w:t>
      </w:r>
      <w:r>
        <w:rPr>
          <w:rFonts w:ascii="Arial" w:hAnsi="Arial" w:cs="Arial"/>
          <w:bCs/>
          <w:color w:val="000000"/>
          <w:lang w:val="en-AU"/>
        </w:rPr>
        <w:t xml:space="preserve"> </w:t>
      </w:r>
      <w:r w:rsidR="00C7209B">
        <w:rPr>
          <w:rFonts w:ascii="Arial" w:hAnsi="Arial" w:cs="Arial"/>
          <w:bCs/>
          <w:color w:val="000000"/>
          <w:lang w:val="en-AU"/>
        </w:rPr>
        <w:t xml:space="preserve">sets out the </w:t>
      </w:r>
      <w:r w:rsidR="00221979">
        <w:rPr>
          <w:rFonts w:ascii="Arial" w:hAnsi="Arial" w:cs="Arial"/>
          <w:bCs/>
          <w:color w:val="000000"/>
          <w:lang w:val="en-AU"/>
        </w:rPr>
        <w:t>2022</w:t>
      </w:r>
      <w:r>
        <w:rPr>
          <w:rFonts w:ascii="Arial" w:hAnsi="Arial" w:cs="Arial"/>
          <w:bCs/>
          <w:color w:val="000000"/>
          <w:lang w:val="en-AU"/>
        </w:rPr>
        <w:t>-27 Priorities</w:t>
      </w:r>
      <w:r w:rsidR="00C17836">
        <w:rPr>
          <w:rFonts w:ascii="Arial" w:hAnsi="Arial" w:cs="Arial"/>
          <w:bCs/>
          <w:color w:val="000000"/>
          <w:lang w:val="en-AU"/>
        </w:rPr>
        <w:t>,</w:t>
      </w:r>
      <w:r w:rsidR="000E015B">
        <w:rPr>
          <w:rFonts w:ascii="Arial" w:hAnsi="Arial" w:cs="Arial"/>
          <w:bCs/>
          <w:color w:val="000000"/>
          <w:lang w:val="en-AU"/>
        </w:rPr>
        <w:t xml:space="preserve"> and </w:t>
      </w:r>
      <w:r w:rsidR="00C7209B">
        <w:rPr>
          <w:rFonts w:ascii="Arial" w:hAnsi="Arial" w:cs="Arial"/>
          <w:bCs/>
          <w:color w:val="000000"/>
          <w:lang w:val="en-AU"/>
        </w:rPr>
        <w:t xml:space="preserve">their </w:t>
      </w:r>
      <w:r w:rsidR="00DE5F9C">
        <w:rPr>
          <w:rFonts w:ascii="Arial" w:hAnsi="Arial" w:cs="Arial"/>
        </w:rPr>
        <w:t>research activities</w:t>
      </w:r>
      <w:r w:rsidR="000E015B">
        <w:rPr>
          <w:rFonts w:ascii="Arial" w:hAnsi="Arial" w:cs="Arial"/>
        </w:rPr>
        <w:t xml:space="preserve">. It also identifies </w:t>
      </w:r>
      <w:r w:rsidR="005E60F3">
        <w:rPr>
          <w:rFonts w:ascii="Arial" w:hAnsi="Arial" w:cs="Arial"/>
        </w:rPr>
        <w:t xml:space="preserve">how </w:t>
      </w:r>
      <w:r w:rsidR="004030AF">
        <w:rPr>
          <w:rFonts w:ascii="Arial" w:hAnsi="Arial" w:cs="Arial"/>
        </w:rPr>
        <w:t>the</w:t>
      </w:r>
      <w:r w:rsidR="008665C4">
        <w:rPr>
          <w:rFonts w:ascii="Arial" w:hAnsi="Arial" w:cs="Arial"/>
        </w:rPr>
        <w:t xml:space="preserve"> assessment of the 2013-16 Priorities,</w:t>
      </w:r>
      <w:r w:rsidR="005E60F3">
        <w:rPr>
          <w:rFonts w:ascii="Arial" w:hAnsi="Arial" w:cs="Arial"/>
        </w:rPr>
        <w:t xml:space="preserve"> stakeholder</w:t>
      </w:r>
      <w:r w:rsidR="008665C4">
        <w:rPr>
          <w:rFonts w:ascii="Arial" w:hAnsi="Arial" w:cs="Arial"/>
        </w:rPr>
        <w:t xml:space="preserve"> consultation and document review</w:t>
      </w:r>
      <w:r w:rsidR="005E60F3">
        <w:rPr>
          <w:rFonts w:ascii="Arial" w:hAnsi="Arial" w:cs="Arial"/>
        </w:rPr>
        <w:t xml:space="preserve"> informed their development.</w:t>
      </w:r>
    </w:p>
    <w:p w14:paraId="518CEF34" w14:textId="77777777" w:rsidR="00885859" w:rsidRDefault="00885859">
      <w:pPr>
        <w:rPr>
          <w:rFonts w:ascii="Arial" w:hAnsi="Arial" w:cs="Arial"/>
        </w:rPr>
      </w:pPr>
      <w:r>
        <w:rPr>
          <w:rFonts w:ascii="Arial" w:hAnsi="Arial" w:cs="Arial"/>
        </w:rPr>
        <w:br w:type="page"/>
      </w:r>
    </w:p>
    <w:p w14:paraId="4BBE815B" w14:textId="3C1E19E3" w:rsidR="00016A8A" w:rsidRPr="002909CF" w:rsidRDefault="00016A8A" w:rsidP="00565899">
      <w:pPr>
        <w:pStyle w:val="Heading2"/>
      </w:pPr>
      <w:bookmarkStart w:id="79" w:name="_Toc79056715"/>
      <w:bookmarkStart w:id="80" w:name="_Toc79071696"/>
      <w:bookmarkStart w:id="81" w:name="_Toc79071882"/>
      <w:bookmarkStart w:id="82" w:name="_Toc79154194"/>
      <w:bookmarkStart w:id="83" w:name="_Toc79154287"/>
      <w:bookmarkStart w:id="84" w:name="_Toc79154763"/>
      <w:bookmarkStart w:id="85" w:name="_Toc79570833"/>
      <w:bookmarkStart w:id="86" w:name="_Toc90456676"/>
      <w:r w:rsidRPr="002909CF">
        <w:t xml:space="preserve">Priority 1: </w:t>
      </w:r>
      <w:bookmarkEnd w:id="79"/>
      <w:bookmarkEnd w:id="80"/>
      <w:bookmarkEnd w:id="81"/>
      <w:bookmarkEnd w:id="82"/>
      <w:bookmarkEnd w:id="83"/>
      <w:bookmarkEnd w:id="84"/>
      <w:bookmarkEnd w:id="85"/>
      <w:r w:rsidR="0077447C">
        <w:t>Optimise the use of blood and blood products</w:t>
      </w:r>
      <w:r w:rsidRPr="002909CF">
        <w:t xml:space="preserve"> </w:t>
      </w:r>
      <w:bookmarkEnd w:id="86"/>
    </w:p>
    <w:p w14:paraId="66756955" w14:textId="3A91462C" w:rsidR="00016A8A" w:rsidRPr="002D41A4" w:rsidRDefault="00016A8A" w:rsidP="00016A8A">
      <w:pPr>
        <w:pStyle w:val="BodyText"/>
        <w:jc w:val="both"/>
        <w:rPr>
          <w:rFonts w:ascii="Arial" w:hAnsi="Arial" w:cs="Arial"/>
        </w:rPr>
      </w:pPr>
      <w:r>
        <w:rPr>
          <w:rFonts w:ascii="Arial" w:hAnsi="Arial" w:cs="Arial"/>
        </w:rPr>
        <w:t>P</w:t>
      </w:r>
      <w:r w:rsidRPr="002D41A4">
        <w:rPr>
          <w:rFonts w:ascii="Arial" w:hAnsi="Arial" w:cs="Arial"/>
        </w:rPr>
        <w:t xml:space="preserve">riority </w:t>
      </w:r>
      <w:r>
        <w:rPr>
          <w:rFonts w:ascii="Arial" w:hAnsi="Arial" w:cs="Arial"/>
        </w:rPr>
        <w:t>1</w:t>
      </w:r>
      <w:r w:rsidRPr="002D41A4">
        <w:rPr>
          <w:rFonts w:ascii="Arial" w:hAnsi="Arial" w:cs="Arial"/>
        </w:rPr>
        <w:t xml:space="preserve"> of the </w:t>
      </w:r>
      <w:r w:rsidR="00221979" w:rsidRPr="002D41A4">
        <w:rPr>
          <w:rFonts w:ascii="Arial" w:hAnsi="Arial" w:cs="Arial"/>
        </w:rPr>
        <w:t>202</w:t>
      </w:r>
      <w:r w:rsidR="00221979">
        <w:rPr>
          <w:rFonts w:ascii="Arial" w:hAnsi="Arial" w:cs="Arial"/>
        </w:rPr>
        <w:t>2</w:t>
      </w:r>
      <w:r w:rsidRPr="002D41A4">
        <w:rPr>
          <w:rFonts w:ascii="Arial" w:hAnsi="Arial" w:cs="Arial"/>
        </w:rPr>
        <w:t xml:space="preserve">-27 Priorities is to </w:t>
      </w:r>
      <w:r w:rsidR="0077447C" w:rsidRPr="000C6E50">
        <w:rPr>
          <w:rFonts w:ascii="Arial" w:hAnsi="Arial" w:cs="Arial"/>
        </w:rPr>
        <w:t>optimise the</w:t>
      </w:r>
      <w:r w:rsidRPr="000C6E50">
        <w:rPr>
          <w:rFonts w:ascii="Arial" w:hAnsi="Arial" w:cs="Arial"/>
        </w:rPr>
        <w:t xml:space="preserve"> </w:t>
      </w:r>
      <w:r w:rsidRPr="002D41A4">
        <w:rPr>
          <w:rFonts w:ascii="Arial" w:hAnsi="Arial" w:cs="Arial"/>
        </w:rPr>
        <w:t>use of blood and blood products. This represents a change f</w:t>
      </w:r>
      <w:r w:rsidR="00F71098">
        <w:rPr>
          <w:rFonts w:ascii="Arial" w:hAnsi="Arial" w:cs="Arial"/>
        </w:rPr>
        <w:t xml:space="preserve">or </w:t>
      </w:r>
      <w:r w:rsidR="00E74237">
        <w:rPr>
          <w:rFonts w:ascii="Arial" w:hAnsi="Arial" w:cs="Arial"/>
        </w:rPr>
        <w:t xml:space="preserve">Priority 1 from </w:t>
      </w:r>
      <w:r w:rsidR="00CA3752">
        <w:rPr>
          <w:rFonts w:ascii="Arial" w:hAnsi="Arial" w:cs="Arial"/>
        </w:rPr>
        <w:t>the 2013-16</w:t>
      </w:r>
      <w:r w:rsidRPr="002D41A4">
        <w:rPr>
          <w:rFonts w:ascii="Arial" w:hAnsi="Arial" w:cs="Arial"/>
        </w:rPr>
        <w:t xml:space="preserve"> </w:t>
      </w:r>
      <w:r w:rsidR="00CA3752">
        <w:rPr>
          <w:rFonts w:ascii="Arial" w:hAnsi="Arial" w:cs="Arial"/>
        </w:rPr>
        <w:t>Priorities</w:t>
      </w:r>
      <w:r w:rsidRPr="002D41A4">
        <w:rPr>
          <w:rFonts w:ascii="Arial" w:hAnsi="Arial" w:cs="Arial"/>
        </w:rPr>
        <w:t>, which was ‘To ensure the use of blood and blood products is appropriate.’</w:t>
      </w:r>
    </w:p>
    <w:p w14:paraId="646E103D" w14:textId="604F8102" w:rsidR="000C6E50" w:rsidRPr="00282377" w:rsidRDefault="000C6E50" w:rsidP="00016A8A">
      <w:pPr>
        <w:pStyle w:val="BodyText"/>
        <w:jc w:val="both"/>
        <w:rPr>
          <w:rFonts w:ascii="Arial" w:hAnsi="Arial" w:cs="Arial"/>
        </w:rPr>
      </w:pPr>
      <w:r>
        <w:rPr>
          <w:rFonts w:ascii="Arial" w:hAnsi="Arial" w:cs="Arial"/>
        </w:rPr>
        <w:t xml:space="preserve">The following research </w:t>
      </w:r>
      <w:r w:rsidR="00916A35">
        <w:rPr>
          <w:rFonts w:ascii="Arial" w:hAnsi="Arial" w:cs="Arial"/>
        </w:rPr>
        <w:t>and research translation activities are required to achieve Priority 1.</w:t>
      </w:r>
    </w:p>
    <w:p w14:paraId="6637DC0A" w14:textId="77777777" w:rsidR="00686BC4" w:rsidRPr="00087B72" w:rsidRDefault="00686BC4" w:rsidP="00686BC4">
      <w:pPr>
        <w:pStyle w:val="BodyText"/>
        <w:spacing w:before="0" w:after="80"/>
        <w:jc w:val="both"/>
        <w:rPr>
          <w:rFonts w:asciiTheme="majorHAnsi" w:hAnsiTheme="majorHAnsi"/>
          <w:b/>
          <w:color w:val="36424A" w:themeColor="text2"/>
          <w:sz w:val="24"/>
          <w:lang w:val="en-AU"/>
        </w:rPr>
      </w:pPr>
      <w:r w:rsidRPr="00087B72">
        <w:rPr>
          <w:rFonts w:asciiTheme="majorHAnsi" w:hAnsiTheme="majorHAnsi"/>
          <w:b/>
          <w:color w:val="36424A" w:themeColor="text2"/>
          <w:sz w:val="24"/>
          <w:lang w:val="en-AU"/>
        </w:rPr>
        <w:t>Research activities that:</w:t>
      </w:r>
    </w:p>
    <w:p w14:paraId="080156DC" w14:textId="77777777" w:rsidR="00686BC4" w:rsidRPr="00087B72" w:rsidRDefault="00686BC4" w:rsidP="00686BC4">
      <w:pPr>
        <w:pStyle w:val="BodyText"/>
        <w:numPr>
          <w:ilvl w:val="0"/>
          <w:numId w:val="38"/>
        </w:numPr>
        <w:spacing w:before="0" w:after="80"/>
        <w:ind w:left="360"/>
        <w:jc w:val="both"/>
        <w:rPr>
          <w:rFonts w:ascii="Arial" w:hAnsi="Arial" w:cs="Arial"/>
        </w:rPr>
      </w:pPr>
      <w:r w:rsidRPr="00087B72">
        <w:rPr>
          <w:rFonts w:ascii="Arial" w:hAnsi="Arial" w:cs="Arial"/>
        </w:rPr>
        <w:t>Identify strategies to optimise the use of immunoglobulin, including aligning immunoglobulin provision with individual patient needs, cost-effectiveness, and the minimum effective dose to achieve the desired clinical outcomes.</w:t>
      </w:r>
    </w:p>
    <w:p w14:paraId="366DE6A0" w14:textId="77777777" w:rsidR="00686BC4" w:rsidRPr="00087B72" w:rsidRDefault="00686BC4" w:rsidP="00686BC4">
      <w:pPr>
        <w:pStyle w:val="BodyText"/>
        <w:numPr>
          <w:ilvl w:val="0"/>
          <w:numId w:val="38"/>
        </w:numPr>
        <w:spacing w:before="0" w:after="80"/>
        <w:ind w:left="360"/>
        <w:jc w:val="both"/>
        <w:rPr>
          <w:rFonts w:ascii="Arial" w:hAnsi="Arial" w:cs="Arial"/>
        </w:rPr>
      </w:pPr>
      <w:r w:rsidRPr="00087B72">
        <w:rPr>
          <w:rFonts w:ascii="Arial" w:hAnsi="Arial" w:cs="Arial"/>
        </w:rPr>
        <w:t>Develops strategies that reduce reliance on donated blood products, including identification and analysis of alternative treatment pathways.</w:t>
      </w:r>
    </w:p>
    <w:p w14:paraId="31356483" w14:textId="77777777" w:rsidR="00686BC4" w:rsidRPr="00087B72" w:rsidRDefault="00686BC4" w:rsidP="00686BC4">
      <w:pPr>
        <w:pStyle w:val="BodyText"/>
        <w:numPr>
          <w:ilvl w:val="0"/>
          <w:numId w:val="38"/>
        </w:numPr>
        <w:spacing w:before="0" w:after="80"/>
        <w:ind w:left="360"/>
        <w:jc w:val="both"/>
        <w:rPr>
          <w:rFonts w:ascii="Arial" w:hAnsi="Arial" w:cs="Arial"/>
        </w:rPr>
      </w:pPr>
      <w:r w:rsidRPr="00087B72">
        <w:rPr>
          <w:rFonts w:ascii="Arial" w:hAnsi="Arial" w:cs="Arial"/>
        </w:rPr>
        <w:t>Undertake effective and efficient horizon scanning and surveillance of</w:t>
      </w:r>
      <w:r w:rsidRPr="00087B72" w:rsidDel="00445F7D">
        <w:rPr>
          <w:rFonts w:ascii="Arial" w:hAnsi="Arial" w:cs="Arial"/>
        </w:rPr>
        <w:t xml:space="preserve"> </w:t>
      </w:r>
      <w:r w:rsidRPr="00087B72">
        <w:rPr>
          <w:rFonts w:ascii="Arial" w:hAnsi="Arial" w:cs="Arial"/>
        </w:rPr>
        <w:t>international best practice trends in blood and blood product use.</w:t>
      </w:r>
    </w:p>
    <w:p w14:paraId="685DCE01" w14:textId="77777777" w:rsidR="00686BC4" w:rsidRPr="00087B72" w:rsidRDefault="00686BC4" w:rsidP="00686BC4">
      <w:pPr>
        <w:pStyle w:val="BodyText"/>
        <w:spacing w:before="0" w:after="80"/>
        <w:jc w:val="both"/>
        <w:rPr>
          <w:rFonts w:ascii="Arial" w:hAnsi="Arial" w:cs="Arial"/>
          <w:b/>
          <w:bCs/>
        </w:rPr>
      </w:pPr>
      <w:r w:rsidRPr="00087B72">
        <w:rPr>
          <w:rFonts w:asciiTheme="majorHAnsi" w:hAnsiTheme="majorHAnsi"/>
          <w:b/>
          <w:color w:val="36424A" w:themeColor="text2"/>
          <w:sz w:val="24"/>
          <w:lang w:val="en-AU"/>
        </w:rPr>
        <w:t>Research translation activities that:</w:t>
      </w:r>
    </w:p>
    <w:p w14:paraId="71B4E316" w14:textId="77777777" w:rsidR="00686BC4" w:rsidRPr="00087B72" w:rsidRDefault="00686BC4" w:rsidP="00686BC4">
      <w:pPr>
        <w:pStyle w:val="BodyText"/>
        <w:numPr>
          <w:ilvl w:val="0"/>
          <w:numId w:val="38"/>
        </w:numPr>
        <w:spacing w:before="0" w:after="80"/>
        <w:ind w:left="360"/>
        <w:jc w:val="both"/>
        <w:rPr>
          <w:rFonts w:ascii="Arial" w:hAnsi="Arial" w:cs="Arial"/>
        </w:rPr>
      </w:pPr>
      <w:r w:rsidRPr="00087B72">
        <w:rPr>
          <w:rFonts w:ascii="Arial" w:hAnsi="Arial" w:cs="Arial"/>
        </w:rPr>
        <w:t>Evaluate models empowering patients to understand when the use of blood and blood products is appropriate, and the risks and benefits.</w:t>
      </w:r>
    </w:p>
    <w:p w14:paraId="4378C452" w14:textId="77777777" w:rsidR="00686BC4" w:rsidRPr="00087B72" w:rsidRDefault="00686BC4" w:rsidP="00686BC4">
      <w:pPr>
        <w:pStyle w:val="BodyText"/>
        <w:numPr>
          <w:ilvl w:val="0"/>
          <w:numId w:val="38"/>
        </w:numPr>
        <w:spacing w:before="0" w:after="80"/>
        <w:ind w:left="360"/>
        <w:jc w:val="both"/>
        <w:rPr>
          <w:rFonts w:ascii="Arial" w:hAnsi="Arial" w:cs="Arial"/>
        </w:rPr>
      </w:pPr>
      <w:r w:rsidRPr="00087B72">
        <w:rPr>
          <w:rFonts w:ascii="Arial" w:hAnsi="Arial" w:cs="Arial"/>
        </w:rPr>
        <w:t>Identify and evaluate strategies aimed at improving collection and the appropriate use of plasma and plasma derived products.</w:t>
      </w:r>
    </w:p>
    <w:p w14:paraId="1F6F3AAA" w14:textId="77777777" w:rsidR="00686BC4" w:rsidRPr="00087B72" w:rsidRDefault="00686BC4" w:rsidP="00087B72">
      <w:pPr>
        <w:pStyle w:val="BodyText"/>
        <w:numPr>
          <w:ilvl w:val="0"/>
          <w:numId w:val="38"/>
        </w:numPr>
        <w:spacing w:before="0" w:after="80"/>
        <w:ind w:left="360"/>
        <w:jc w:val="both"/>
        <w:rPr>
          <w:rFonts w:ascii="Arial" w:hAnsi="Arial" w:cs="Arial"/>
        </w:rPr>
      </w:pPr>
      <w:r w:rsidRPr="00087B72">
        <w:rPr>
          <w:rFonts w:ascii="Arial" w:hAnsi="Arial" w:cs="Arial"/>
        </w:rPr>
        <w:t>Identify and evaluate approaches to promoting patient blood management including increasing the uptake of PBM clinical guidelines, and analysis of barriers to implementation.</w:t>
      </w:r>
    </w:p>
    <w:p w14:paraId="36F099A4" w14:textId="0DF4F120" w:rsidR="00686BC4" w:rsidRPr="00087B72" w:rsidRDefault="00686BC4" w:rsidP="00087B72">
      <w:pPr>
        <w:pStyle w:val="BodyText"/>
        <w:numPr>
          <w:ilvl w:val="0"/>
          <w:numId w:val="38"/>
        </w:numPr>
        <w:spacing w:before="0" w:after="80"/>
        <w:ind w:left="360"/>
        <w:jc w:val="both"/>
        <w:rPr>
          <w:rFonts w:ascii="Arial" w:hAnsi="Arial" w:cs="Arial"/>
          <w:sz w:val="20"/>
          <w:szCs w:val="20"/>
        </w:rPr>
      </w:pPr>
      <w:r w:rsidRPr="00087B72">
        <w:rPr>
          <w:rFonts w:ascii="Arial" w:hAnsi="Arial" w:cs="Arial"/>
        </w:rPr>
        <w:t>Identify characteristics of the different needs of different patient demographics in relation to blood and blood products, particularly for Aboriginal and Torres Strait Islander, migrant and refugee and ageing people and communities</w:t>
      </w:r>
      <w:r w:rsidR="00E4751C">
        <w:rPr>
          <w:rFonts w:ascii="Arial" w:hAnsi="Arial" w:cs="Arial"/>
        </w:rPr>
        <w:t>.</w:t>
      </w:r>
    </w:p>
    <w:p w14:paraId="1769486E" w14:textId="3D29BFF6" w:rsidR="00016A8A" w:rsidRPr="00502F12" w:rsidRDefault="00507FEC" w:rsidP="00087B72">
      <w:pPr>
        <w:pStyle w:val="BodyText"/>
        <w:rPr>
          <w:rFonts w:asciiTheme="majorHAnsi" w:hAnsiTheme="majorHAnsi"/>
          <w:b/>
          <w:color w:val="36424A" w:themeColor="text2"/>
          <w:sz w:val="24"/>
          <w:lang w:val="en-AU"/>
        </w:rPr>
      </w:pPr>
      <w:r>
        <w:rPr>
          <w:rFonts w:asciiTheme="majorHAnsi" w:hAnsiTheme="majorHAnsi"/>
          <w:b/>
          <w:color w:val="36424A" w:themeColor="text2"/>
          <w:sz w:val="24"/>
          <w:lang w:val="en-AU"/>
        </w:rPr>
        <w:t>A</w:t>
      </w:r>
      <w:r w:rsidR="00016A8A" w:rsidRPr="00502F12">
        <w:rPr>
          <w:rFonts w:asciiTheme="majorHAnsi" w:hAnsiTheme="majorHAnsi"/>
          <w:b/>
          <w:color w:val="36424A" w:themeColor="text2"/>
          <w:sz w:val="24"/>
          <w:lang w:val="en-AU"/>
        </w:rPr>
        <w:t>ssessment</w:t>
      </w:r>
      <w:r w:rsidR="00732766">
        <w:rPr>
          <w:rFonts w:asciiTheme="majorHAnsi" w:hAnsiTheme="majorHAnsi"/>
          <w:b/>
          <w:color w:val="36424A" w:themeColor="text2"/>
          <w:sz w:val="24"/>
          <w:lang w:val="en-AU"/>
        </w:rPr>
        <w:t xml:space="preserve"> of 2013-16 Priorities</w:t>
      </w:r>
    </w:p>
    <w:p w14:paraId="3D0C53EA" w14:textId="748AE64C" w:rsidR="00016A8A" w:rsidRDefault="00757862" w:rsidP="00016A8A">
      <w:pPr>
        <w:pStyle w:val="BodyText"/>
        <w:jc w:val="both"/>
        <w:rPr>
          <w:rFonts w:ascii="Arial" w:hAnsi="Arial" w:cs="Arial"/>
        </w:rPr>
      </w:pPr>
      <w:r>
        <w:rPr>
          <w:rFonts w:ascii="Arial" w:hAnsi="Arial" w:cs="Arial"/>
        </w:rPr>
        <w:t>Since 2013, r</w:t>
      </w:r>
      <w:r w:rsidR="00016A8A">
        <w:rPr>
          <w:rFonts w:ascii="Arial" w:hAnsi="Arial" w:cs="Arial"/>
        </w:rPr>
        <w:t>esearch and development activities have been funded or undertaken to ensure the use of blood and blood products is appropriate includ</w:t>
      </w:r>
      <w:r>
        <w:rPr>
          <w:rFonts w:ascii="Arial" w:hAnsi="Arial" w:cs="Arial"/>
        </w:rPr>
        <w:t>ing</w:t>
      </w:r>
      <w:r w:rsidR="00016A8A">
        <w:rPr>
          <w:rFonts w:ascii="Arial" w:hAnsi="Arial" w:cs="Arial"/>
        </w:rPr>
        <w:t xml:space="preserve"> the development of patient blood management and immunoglobulin frameworks. However, there remain research and development opportunities to strengthen the effectiveness of patient blood management and to better target the supply of immunoglobulin.</w:t>
      </w:r>
    </w:p>
    <w:p w14:paraId="1CFC1B71" w14:textId="77777777" w:rsidR="00016A8A" w:rsidRPr="00502F12" w:rsidRDefault="00016A8A" w:rsidP="00016A8A">
      <w:pPr>
        <w:pStyle w:val="BodyText-GREEN"/>
        <w:rPr>
          <w:rFonts w:asciiTheme="majorHAnsi" w:hAnsiTheme="majorHAnsi"/>
          <w:b/>
          <w:color w:val="36424A" w:themeColor="text2"/>
          <w:sz w:val="24"/>
          <w:lang w:val="en-AU"/>
        </w:rPr>
      </w:pPr>
      <w:r w:rsidRPr="00502F12">
        <w:rPr>
          <w:rFonts w:asciiTheme="majorHAnsi" w:hAnsiTheme="majorHAnsi"/>
          <w:b/>
          <w:color w:val="36424A" w:themeColor="text2"/>
          <w:sz w:val="24"/>
          <w:lang w:val="en-AU"/>
        </w:rPr>
        <w:t>Consultation</w:t>
      </w:r>
    </w:p>
    <w:p w14:paraId="641B2827" w14:textId="77777777" w:rsidR="00CF3D87" w:rsidRDefault="00016A8A" w:rsidP="00016A8A">
      <w:pPr>
        <w:numPr>
          <w:ilvl w:val="1"/>
          <w:numId w:val="0"/>
        </w:numPr>
        <w:spacing w:before="120" w:after="0" w:line="240" w:lineRule="exact"/>
        <w:jc w:val="both"/>
        <w:rPr>
          <w:rFonts w:ascii="Arial" w:hAnsi="Arial" w:cs="Arial"/>
          <w:color w:val="000000"/>
          <w:lang w:val="en-AU"/>
        </w:rPr>
      </w:pPr>
      <w:r w:rsidRPr="001A3502">
        <w:rPr>
          <w:rFonts w:ascii="Arial" w:hAnsi="Arial" w:cs="Arial"/>
          <w:color w:val="000000"/>
          <w:lang w:val="en-AU"/>
        </w:rPr>
        <w:t>The consultation process showed strong support for retaining the current/previous wording of Prior</w:t>
      </w:r>
      <w:r w:rsidRPr="00221979">
        <w:rPr>
          <w:rFonts w:ascii="Arial" w:hAnsi="Arial" w:cs="Arial"/>
          <w:color w:val="000000"/>
          <w:lang w:val="en-AU"/>
        </w:rPr>
        <w:t>ity 1 (</w:t>
      </w:r>
      <w:r w:rsidRPr="00087B72">
        <w:rPr>
          <w:rFonts w:ascii="Arial" w:hAnsi="Arial" w:cs="Arial"/>
          <w:color w:val="000000"/>
          <w:lang w:val="en-AU"/>
        </w:rPr>
        <w:t>To ensure the use of blood and blood products is appropriate</w:t>
      </w:r>
      <w:r w:rsidRPr="00221979">
        <w:rPr>
          <w:rFonts w:ascii="Arial" w:hAnsi="Arial" w:cs="Arial"/>
          <w:color w:val="000000"/>
          <w:lang w:val="en-AU"/>
        </w:rPr>
        <w:t xml:space="preserve">), with some amendments and updates. </w:t>
      </w:r>
    </w:p>
    <w:p w14:paraId="0EB572F4" w14:textId="164A6F80" w:rsidR="00016A8A" w:rsidRDefault="0028262A" w:rsidP="00016A8A">
      <w:pPr>
        <w:numPr>
          <w:ilvl w:val="1"/>
          <w:numId w:val="0"/>
        </w:numPr>
        <w:spacing w:before="120" w:after="0" w:line="240" w:lineRule="exact"/>
        <w:jc w:val="both"/>
        <w:rPr>
          <w:rFonts w:ascii="Arial" w:hAnsi="Arial" w:cs="Arial"/>
          <w:color w:val="000000"/>
          <w:lang w:val="en-AU"/>
        </w:rPr>
      </w:pPr>
      <w:r>
        <w:rPr>
          <w:rFonts w:ascii="Arial" w:hAnsi="Arial" w:cs="Arial"/>
          <w:color w:val="000000"/>
          <w:lang w:val="en-AU"/>
        </w:rPr>
        <w:t xml:space="preserve">Figure 6 </w:t>
      </w:r>
      <w:r w:rsidR="00016A8A">
        <w:rPr>
          <w:rFonts w:ascii="Arial" w:hAnsi="Arial" w:cs="Arial"/>
          <w:color w:val="000000"/>
          <w:lang w:val="en-AU"/>
        </w:rPr>
        <w:t xml:space="preserve">summarises the </w:t>
      </w:r>
      <w:r w:rsidR="00CF3D87">
        <w:rPr>
          <w:rFonts w:ascii="Arial" w:hAnsi="Arial" w:cs="Arial"/>
          <w:color w:val="000000"/>
          <w:lang w:val="en-AU"/>
        </w:rPr>
        <w:t xml:space="preserve">questionnaire </w:t>
      </w:r>
      <w:r w:rsidR="00016A8A">
        <w:rPr>
          <w:rFonts w:ascii="Arial" w:hAnsi="Arial" w:cs="Arial"/>
          <w:color w:val="000000"/>
          <w:lang w:val="en-AU"/>
        </w:rPr>
        <w:t>response</w:t>
      </w:r>
      <w:r w:rsidR="00CF3D87">
        <w:rPr>
          <w:rFonts w:ascii="Arial" w:hAnsi="Arial" w:cs="Arial"/>
          <w:color w:val="000000"/>
          <w:lang w:val="en-AU"/>
        </w:rPr>
        <w:t>s</w:t>
      </w:r>
      <w:r w:rsidR="00016A8A">
        <w:rPr>
          <w:rFonts w:ascii="Arial" w:hAnsi="Arial" w:cs="Arial"/>
          <w:color w:val="000000"/>
          <w:lang w:val="en-AU"/>
        </w:rPr>
        <w:t>.</w:t>
      </w:r>
    </w:p>
    <w:p w14:paraId="6207B742" w14:textId="69D66B2C" w:rsidR="008F2774" w:rsidRDefault="008F2774">
      <w:pPr>
        <w:rPr>
          <w:rFonts w:ascii="Arial" w:hAnsi="Arial" w:cs="Arial"/>
          <w:color w:val="000000"/>
          <w:lang w:val="en-AU"/>
        </w:rPr>
      </w:pPr>
      <w:r>
        <w:rPr>
          <w:rFonts w:ascii="Arial" w:hAnsi="Arial" w:cs="Arial"/>
          <w:color w:val="000000"/>
          <w:lang w:val="en-AU"/>
        </w:rPr>
        <w:br w:type="page"/>
      </w:r>
    </w:p>
    <w:p w14:paraId="5D0E36CB" w14:textId="2AEFA760" w:rsidR="00016A8A" w:rsidRPr="00EB1FFF" w:rsidRDefault="0028262A" w:rsidP="00016A8A">
      <w:pPr>
        <w:pStyle w:val="Caption"/>
        <w:rPr>
          <w:rFonts w:ascii="Arial" w:eastAsia="Arial" w:hAnsi="Arial" w:cs="Arial"/>
          <w:color w:val="000000"/>
        </w:rPr>
      </w:pPr>
      <w:bookmarkStart w:id="87" w:name="_Toc90462704"/>
      <w:r>
        <w:t xml:space="preserve">Figure </w:t>
      </w:r>
      <w:r>
        <w:fldChar w:fldCharType="begin"/>
      </w:r>
      <w:r>
        <w:instrText xml:space="preserve"> SEQ Figure \* ARABIC </w:instrText>
      </w:r>
      <w:r>
        <w:fldChar w:fldCharType="separate"/>
      </w:r>
      <w:r w:rsidR="00A25C74">
        <w:rPr>
          <w:noProof/>
        </w:rPr>
        <w:t>6</w:t>
      </w:r>
      <w:r>
        <w:fldChar w:fldCharType="end"/>
      </w:r>
      <w:r>
        <w:t xml:space="preserve">: </w:t>
      </w:r>
      <w:r w:rsidRPr="00DB3A89">
        <w:t xml:space="preserve">Questionnaire: Support for retaining, amending, retiring </w:t>
      </w:r>
      <w:r>
        <w:t>Priority 1</w:t>
      </w:r>
      <w:bookmarkEnd w:id="87"/>
    </w:p>
    <w:p w14:paraId="0558DF18" w14:textId="77777777" w:rsidR="00016A8A" w:rsidRPr="007A0882" w:rsidRDefault="00016A8A" w:rsidP="00016A8A">
      <w:pPr>
        <w:pStyle w:val="1Dot-point"/>
        <w:numPr>
          <w:ilvl w:val="0"/>
          <w:numId w:val="49"/>
        </w:numPr>
        <w:rPr>
          <w:rFonts w:cs="Arial"/>
          <w:color w:val="auto"/>
        </w:rPr>
      </w:pPr>
      <w:r w:rsidRPr="007A0882">
        <w:rPr>
          <w:rFonts w:cs="Arial"/>
          <w:color w:val="auto"/>
        </w:rPr>
        <w:t xml:space="preserve">Retain: 73% (34) </w:t>
      </w:r>
    </w:p>
    <w:p w14:paraId="3D734AED" w14:textId="77777777" w:rsidR="00016A8A" w:rsidRPr="007A0882" w:rsidRDefault="00016A8A" w:rsidP="00016A8A">
      <w:pPr>
        <w:pStyle w:val="1Dot-point"/>
        <w:numPr>
          <w:ilvl w:val="0"/>
          <w:numId w:val="49"/>
        </w:numPr>
        <w:rPr>
          <w:rFonts w:cs="Arial"/>
          <w:color w:val="auto"/>
        </w:rPr>
      </w:pPr>
      <w:r w:rsidRPr="007A0882">
        <w:rPr>
          <w:rFonts w:cs="Arial"/>
          <w:color w:val="auto"/>
        </w:rPr>
        <w:t>Retain with amendment: 27% (13)</w:t>
      </w:r>
    </w:p>
    <w:p w14:paraId="0B0E2A36" w14:textId="77777777" w:rsidR="00016A8A" w:rsidRPr="007A0882" w:rsidRDefault="00016A8A" w:rsidP="00016A8A">
      <w:pPr>
        <w:pStyle w:val="1Dot-point"/>
        <w:numPr>
          <w:ilvl w:val="0"/>
          <w:numId w:val="49"/>
        </w:numPr>
        <w:rPr>
          <w:rFonts w:cs="Arial"/>
          <w:color w:val="auto"/>
        </w:rPr>
      </w:pPr>
      <w:r w:rsidRPr="007A0882">
        <w:rPr>
          <w:rFonts w:cs="Arial"/>
          <w:color w:val="auto"/>
        </w:rPr>
        <w:t>Retire: 0</w:t>
      </w:r>
    </w:p>
    <w:p w14:paraId="3976115D" w14:textId="36717438" w:rsidR="00016A8A" w:rsidRDefault="006F1FC4" w:rsidP="00016A8A">
      <w:pPr>
        <w:pStyle w:val="1Dot-point"/>
        <w:numPr>
          <w:ilvl w:val="0"/>
          <w:numId w:val="0"/>
        </w:numPr>
      </w:pPr>
      <w:r>
        <w:rPr>
          <w:noProof/>
          <w:lang w:eastAsia="en-AU"/>
        </w:rPr>
        <w:drawing>
          <wp:inline distT="0" distB="0" distL="0" distR="0" wp14:anchorId="4E33572A" wp14:editId="41F2CA6E">
            <wp:extent cx="2880000" cy="1205581"/>
            <wp:effectExtent l="0" t="0" r="0" b="0"/>
            <wp:docPr id="100" name="Graphic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phic 100">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880000" cy="1205581"/>
                    </a:xfrm>
                    <a:prstGeom prst="rect">
                      <a:avLst/>
                    </a:prstGeom>
                  </pic:spPr>
                </pic:pic>
              </a:graphicData>
            </a:graphic>
          </wp:inline>
        </w:drawing>
      </w:r>
    </w:p>
    <w:p w14:paraId="65C5207C" w14:textId="77777777" w:rsidR="00016A8A" w:rsidRPr="001A3502" w:rsidRDefault="00016A8A" w:rsidP="00016A8A">
      <w:pPr>
        <w:pStyle w:val="BodyText"/>
        <w:jc w:val="both"/>
        <w:rPr>
          <w:rFonts w:ascii="Arial" w:hAnsi="Arial" w:cs="Arial"/>
        </w:rPr>
      </w:pPr>
      <w:r w:rsidRPr="001A3502">
        <w:rPr>
          <w:rFonts w:ascii="Arial" w:hAnsi="Arial" w:cs="Arial"/>
        </w:rPr>
        <w:t>One internal stakeholder commented that ‘We have to make sure that what we’re spending money on is appropriately utilised. We look at what drugs are issued, and to who and where. This will help optimisation, value for money and ensuring we’re making the right investment.’</w:t>
      </w:r>
    </w:p>
    <w:p w14:paraId="567C18A0" w14:textId="77777777" w:rsidR="00016A8A" w:rsidRPr="001A3502" w:rsidRDefault="00016A8A" w:rsidP="00016A8A">
      <w:pPr>
        <w:pStyle w:val="1Dot-point"/>
        <w:numPr>
          <w:ilvl w:val="0"/>
          <w:numId w:val="0"/>
        </w:numPr>
        <w:spacing w:line="280" w:lineRule="exact"/>
        <w:jc w:val="both"/>
        <w:rPr>
          <w:rFonts w:cs="Arial"/>
        </w:rPr>
      </w:pPr>
      <w:r w:rsidRPr="001A3502">
        <w:rPr>
          <w:rFonts w:cs="Arial"/>
        </w:rPr>
        <w:t xml:space="preserve">Other stakeholders suggested that ‘appropriate’ be replaced with ‘optimal’, to make the priority more aspirational and that ‘To’ be removed to make the priority more action oriented. For example, one NBA grant recipient stated ‘I think it is moving to optimal use rather than appropriate use. We need to test the current accepted thresholds, consider the use of alternate products etc.’ </w:t>
      </w:r>
    </w:p>
    <w:p w14:paraId="71C9A6C9" w14:textId="3A5CA25A" w:rsidR="00016A8A" w:rsidRPr="001A3502" w:rsidRDefault="00016A8A" w:rsidP="00016A8A">
      <w:pPr>
        <w:pStyle w:val="BodyText"/>
        <w:jc w:val="both"/>
        <w:rPr>
          <w:rFonts w:ascii="Arial" w:hAnsi="Arial" w:cs="Arial"/>
          <w:color w:val="000000"/>
          <w:lang w:val="en-AU"/>
        </w:rPr>
      </w:pPr>
      <w:r w:rsidRPr="001A3502">
        <w:rPr>
          <w:rFonts w:ascii="Arial" w:hAnsi="Arial" w:cs="Arial"/>
          <w:color w:val="000000"/>
          <w:lang w:val="en-AU"/>
        </w:rPr>
        <w:t>In terms of current activities to be actioned under Priority 1, the importance of optimising the use of immunoglobulin and reducing reliance on blood products came through strongly in the consultation process. One state government agency recommended ‘Appropriate Immunoglobulin use in particular should be a priority.’</w:t>
      </w:r>
    </w:p>
    <w:p w14:paraId="6010661A" w14:textId="77777777" w:rsidR="00016A8A" w:rsidRPr="00502F12" w:rsidRDefault="00016A8A" w:rsidP="00016A8A">
      <w:pPr>
        <w:pStyle w:val="BodyText-GREEN"/>
        <w:rPr>
          <w:rFonts w:asciiTheme="majorHAnsi" w:hAnsiTheme="majorHAnsi"/>
          <w:b/>
          <w:color w:val="36424A" w:themeColor="text2"/>
          <w:sz w:val="24"/>
          <w:lang w:val="en-AU"/>
        </w:rPr>
      </w:pPr>
      <w:r w:rsidRPr="00502F12">
        <w:rPr>
          <w:rFonts w:asciiTheme="majorHAnsi" w:hAnsiTheme="majorHAnsi"/>
          <w:b/>
          <w:color w:val="36424A" w:themeColor="text2"/>
          <w:sz w:val="24"/>
          <w:lang w:val="en-AU"/>
        </w:rPr>
        <w:t>Document review</w:t>
      </w:r>
    </w:p>
    <w:p w14:paraId="7029E1AA" w14:textId="0BE13519" w:rsidR="00016A8A" w:rsidRDefault="00016A8A" w:rsidP="00016A8A">
      <w:pPr>
        <w:pStyle w:val="1Dot-point"/>
        <w:numPr>
          <w:ilvl w:val="0"/>
          <w:numId w:val="0"/>
        </w:numPr>
        <w:spacing w:line="280" w:lineRule="exact"/>
        <w:jc w:val="both"/>
        <w:rPr>
          <w:rFonts w:eastAsia="Times New Roman"/>
        </w:rPr>
      </w:pPr>
      <w:r>
        <w:rPr>
          <w:rFonts w:cs="Arial"/>
        </w:rPr>
        <w:t xml:space="preserve">The </w:t>
      </w:r>
      <w:r w:rsidR="005021ED">
        <w:rPr>
          <w:rFonts w:cs="Arial"/>
        </w:rPr>
        <w:t xml:space="preserve">document review identified the </w:t>
      </w:r>
      <w:r>
        <w:rPr>
          <w:rFonts w:cs="Arial"/>
        </w:rPr>
        <w:t>need to maintain a focus on the ‘appropriate’ or optimal use of blood is also founded in regulation. The</w:t>
      </w:r>
      <w:r w:rsidRPr="00EB1FFF">
        <w:rPr>
          <w:rFonts w:cs="Arial"/>
        </w:rPr>
        <w:t xml:space="preserve"> Australian Commission on Safety and Quality in Health </w:t>
      </w:r>
      <w:r w:rsidR="005021ED">
        <w:rPr>
          <w:rFonts w:cs="Arial"/>
        </w:rPr>
        <w:t>C</w:t>
      </w:r>
      <w:r w:rsidRPr="00EB1FFF">
        <w:rPr>
          <w:rFonts w:cs="Arial"/>
        </w:rPr>
        <w:t>are (the Commission) establishes standards to promote safe outcomes for people who receive health care.</w:t>
      </w:r>
      <w:r w:rsidRPr="00EB1FFF">
        <w:rPr>
          <w:rFonts w:cs="Arial"/>
          <w:vertAlign w:val="superscript"/>
        </w:rPr>
        <w:footnoteReference w:id="36"/>
      </w:r>
      <w:r>
        <w:rPr>
          <w:rFonts w:cs="Arial"/>
        </w:rPr>
        <w:t xml:space="preserve"> </w:t>
      </w:r>
      <w:r w:rsidRPr="00EB1FFF">
        <w:rPr>
          <w:rFonts w:cs="Arial"/>
        </w:rPr>
        <w:t xml:space="preserve">These are </w:t>
      </w:r>
      <w:r w:rsidR="00CF7DB7">
        <w:rPr>
          <w:rFonts w:cs="Arial"/>
        </w:rPr>
        <w:t xml:space="preserve">accreditation </w:t>
      </w:r>
      <w:r w:rsidRPr="00EB1FFF">
        <w:rPr>
          <w:rFonts w:cs="Arial"/>
        </w:rPr>
        <w:t>standards which must be implemented in certain settings, including all hospitals and day procedures.</w:t>
      </w:r>
      <w:r>
        <w:rPr>
          <w:rFonts w:cs="Arial"/>
        </w:rPr>
        <w:t xml:space="preserve"> </w:t>
      </w:r>
      <w:r w:rsidRPr="00EB1FFF">
        <w:rPr>
          <w:rFonts w:cs="Arial"/>
        </w:rPr>
        <w:t xml:space="preserve">The Commission has published a </w:t>
      </w:r>
      <w:r w:rsidR="009F1895">
        <w:rPr>
          <w:rFonts w:cs="Arial"/>
        </w:rPr>
        <w:t xml:space="preserve">suite of </w:t>
      </w:r>
      <w:r w:rsidR="009F1895" w:rsidRPr="009F1895">
        <w:rPr>
          <w:rFonts w:cs="Arial"/>
        </w:rPr>
        <w:t xml:space="preserve">National Safety and Quality Health Service (NSQHS) Standards </w:t>
      </w:r>
      <w:r w:rsidR="009F1895">
        <w:rPr>
          <w:rFonts w:cs="Arial"/>
        </w:rPr>
        <w:t xml:space="preserve">to </w:t>
      </w:r>
      <w:r w:rsidR="009F1895" w:rsidRPr="009F1895">
        <w:rPr>
          <w:rFonts w:cs="Arial"/>
        </w:rPr>
        <w:t>provide a nationally consistent statement of the level of care consumers can expect from health service organisations.</w:t>
      </w:r>
      <w:r w:rsidR="009F1895">
        <w:rPr>
          <w:rFonts w:cs="Arial"/>
        </w:rPr>
        <w:t xml:space="preserve"> For example, there is a </w:t>
      </w:r>
      <w:r w:rsidRPr="00EB1FFF">
        <w:rPr>
          <w:rFonts w:cs="Arial"/>
        </w:rPr>
        <w:t>Blood Management Standard, which seeks to ensure that any blood or blood product that a patient receives is appropriate.</w:t>
      </w:r>
      <w:r w:rsidRPr="006361A7">
        <w:rPr>
          <w:rFonts w:eastAsia="Times New Roman"/>
        </w:rPr>
        <w:t xml:space="preserve"> </w:t>
      </w:r>
    </w:p>
    <w:p w14:paraId="11C31805" w14:textId="77777777" w:rsidR="00016A8A" w:rsidRPr="0057238B" w:rsidRDefault="00016A8A" w:rsidP="00016A8A">
      <w:pPr>
        <w:rPr>
          <w:rFonts w:ascii="Arial" w:eastAsia="Times New Roman" w:hAnsi="Arial"/>
          <w:color w:val="000000"/>
          <w:lang w:val="en-AU"/>
        </w:rPr>
      </w:pPr>
      <w:r>
        <w:rPr>
          <w:rFonts w:eastAsia="Times New Roman"/>
        </w:rPr>
        <w:br w:type="page"/>
      </w:r>
    </w:p>
    <w:p w14:paraId="047D229B" w14:textId="16B34A84" w:rsidR="00016A8A" w:rsidRDefault="00016A8A" w:rsidP="00016A8A">
      <w:pPr>
        <w:pStyle w:val="Heading2"/>
        <w:spacing w:before="120" w:line="280" w:lineRule="exact"/>
        <w:rPr>
          <w:rFonts w:eastAsia="Times New Roman"/>
        </w:rPr>
      </w:pPr>
      <w:bookmarkStart w:id="88" w:name="_Toc79056716"/>
      <w:bookmarkStart w:id="89" w:name="_Toc79071697"/>
      <w:bookmarkStart w:id="90" w:name="_Toc79071883"/>
      <w:bookmarkStart w:id="91" w:name="_Toc79154195"/>
      <w:bookmarkStart w:id="92" w:name="_Toc79154288"/>
      <w:bookmarkStart w:id="93" w:name="_Toc79154764"/>
      <w:bookmarkStart w:id="94" w:name="_Toc79570834"/>
      <w:bookmarkStart w:id="95" w:name="_Toc90456677"/>
      <w:r w:rsidRPr="006361A7">
        <w:rPr>
          <w:rFonts w:eastAsia="Times New Roman"/>
        </w:rPr>
        <w:t xml:space="preserve">Priority 2:  </w:t>
      </w:r>
      <w:bookmarkEnd w:id="88"/>
      <w:bookmarkEnd w:id="89"/>
      <w:bookmarkEnd w:id="90"/>
      <w:bookmarkEnd w:id="91"/>
      <w:bookmarkEnd w:id="92"/>
      <w:bookmarkEnd w:id="93"/>
      <w:bookmarkEnd w:id="94"/>
      <w:r w:rsidR="00727C9F">
        <w:rPr>
          <w:rFonts w:eastAsia="Times New Roman"/>
        </w:rPr>
        <w:t>Optimise supply including product innovation and supply chain efficiencies</w:t>
      </w:r>
      <w:bookmarkEnd w:id="95"/>
    </w:p>
    <w:p w14:paraId="16F11BA5" w14:textId="4540DFAD" w:rsidR="00CF20FE" w:rsidRDefault="00016A8A" w:rsidP="00016A8A">
      <w:pPr>
        <w:pStyle w:val="BodyText"/>
        <w:jc w:val="both"/>
        <w:rPr>
          <w:rFonts w:ascii="Arial" w:hAnsi="Arial" w:cs="Arial"/>
        </w:rPr>
      </w:pPr>
      <w:r>
        <w:rPr>
          <w:rFonts w:ascii="Arial" w:hAnsi="Arial" w:cs="Arial"/>
        </w:rPr>
        <w:t>Priority 2</w:t>
      </w:r>
      <w:r w:rsidRPr="002D41A4">
        <w:rPr>
          <w:rFonts w:ascii="Arial" w:hAnsi="Arial" w:cs="Arial"/>
        </w:rPr>
        <w:t xml:space="preserve"> of the </w:t>
      </w:r>
      <w:r w:rsidR="00517AB7" w:rsidRPr="002D41A4">
        <w:rPr>
          <w:rFonts w:ascii="Arial" w:hAnsi="Arial" w:cs="Arial"/>
        </w:rPr>
        <w:t>202</w:t>
      </w:r>
      <w:r w:rsidR="00517AB7">
        <w:rPr>
          <w:rFonts w:ascii="Arial" w:hAnsi="Arial" w:cs="Arial"/>
        </w:rPr>
        <w:t>2</w:t>
      </w:r>
      <w:r w:rsidRPr="002D41A4">
        <w:rPr>
          <w:rFonts w:ascii="Arial" w:hAnsi="Arial" w:cs="Arial"/>
        </w:rPr>
        <w:t xml:space="preserve">-27 Priorities is to </w:t>
      </w:r>
      <w:r>
        <w:rPr>
          <w:rFonts w:ascii="Arial" w:hAnsi="Arial" w:cs="Arial"/>
        </w:rPr>
        <w:t>‘</w:t>
      </w:r>
      <w:r w:rsidR="0037289A">
        <w:rPr>
          <w:rFonts w:ascii="Arial" w:hAnsi="Arial" w:cs="Arial"/>
        </w:rPr>
        <w:t xml:space="preserve">Optimise supply including product innovation and supply chain </w:t>
      </w:r>
      <w:r w:rsidR="009544A0">
        <w:rPr>
          <w:rFonts w:ascii="Arial" w:hAnsi="Arial" w:cs="Arial"/>
        </w:rPr>
        <w:t>efficiencies</w:t>
      </w:r>
      <w:r w:rsidRPr="002D41A4">
        <w:rPr>
          <w:rFonts w:ascii="Arial" w:hAnsi="Arial" w:cs="Arial"/>
        </w:rPr>
        <w:t xml:space="preserve">. This represents </w:t>
      </w:r>
      <w:r w:rsidR="007F2CD5" w:rsidRPr="002D41A4">
        <w:rPr>
          <w:rFonts w:ascii="Arial" w:hAnsi="Arial" w:cs="Arial"/>
        </w:rPr>
        <w:t>a change f</w:t>
      </w:r>
      <w:r w:rsidR="007F2CD5">
        <w:rPr>
          <w:rFonts w:ascii="Arial" w:hAnsi="Arial" w:cs="Arial"/>
        </w:rPr>
        <w:t>or Priority</w:t>
      </w:r>
      <w:r w:rsidR="00F8658C">
        <w:rPr>
          <w:rFonts w:ascii="Arial" w:hAnsi="Arial" w:cs="Arial"/>
        </w:rPr>
        <w:t> </w:t>
      </w:r>
      <w:r w:rsidR="007F2CD5">
        <w:rPr>
          <w:rFonts w:ascii="Arial" w:hAnsi="Arial" w:cs="Arial"/>
        </w:rPr>
        <w:t>2 from the 2013-16</w:t>
      </w:r>
      <w:r w:rsidR="007F2CD5" w:rsidRPr="002D41A4">
        <w:rPr>
          <w:rFonts w:ascii="Arial" w:hAnsi="Arial" w:cs="Arial"/>
        </w:rPr>
        <w:t xml:space="preserve"> </w:t>
      </w:r>
      <w:r w:rsidR="007F2CD5">
        <w:rPr>
          <w:rFonts w:ascii="Arial" w:hAnsi="Arial" w:cs="Arial"/>
        </w:rPr>
        <w:t>Priorities</w:t>
      </w:r>
      <w:r w:rsidRPr="002D41A4">
        <w:rPr>
          <w:rFonts w:ascii="Arial" w:hAnsi="Arial" w:cs="Arial"/>
        </w:rPr>
        <w:t>, which was ‘</w:t>
      </w:r>
      <w:r>
        <w:rPr>
          <w:rFonts w:ascii="Arial" w:hAnsi="Arial" w:cs="Arial"/>
        </w:rPr>
        <w:t>To ensure adequacy and sustainability of supply, realise supply chain efficiencies and improve performance</w:t>
      </w:r>
      <w:r w:rsidR="007F2CD5" w:rsidRPr="002D41A4">
        <w:rPr>
          <w:rFonts w:ascii="Arial" w:hAnsi="Arial" w:cs="Arial"/>
        </w:rPr>
        <w:t>.</w:t>
      </w:r>
      <w:r>
        <w:rPr>
          <w:rFonts w:ascii="Arial" w:hAnsi="Arial" w:cs="Arial"/>
        </w:rPr>
        <w:t>’</w:t>
      </w:r>
      <w:r w:rsidRPr="002D41A4">
        <w:rPr>
          <w:rFonts w:ascii="Arial" w:hAnsi="Arial" w:cs="Arial"/>
        </w:rPr>
        <w:t xml:space="preserve"> </w:t>
      </w:r>
    </w:p>
    <w:p w14:paraId="5725563F" w14:textId="4946D922" w:rsidR="005229E8" w:rsidRPr="00937CA2" w:rsidRDefault="005229E8" w:rsidP="00087B72">
      <w:pPr>
        <w:pStyle w:val="1Dot-point"/>
        <w:numPr>
          <w:ilvl w:val="0"/>
          <w:numId w:val="0"/>
        </w:numPr>
      </w:pPr>
      <w:r>
        <w:t xml:space="preserve">The following research and research translation activities are required to achieve Priority </w:t>
      </w:r>
      <w:r w:rsidR="0037289A">
        <w:t>2</w:t>
      </w:r>
      <w:r>
        <w:t>.</w:t>
      </w:r>
    </w:p>
    <w:p w14:paraId="4CCD67AB" w14:textId="77777777" w:rsidR="00F54CBA" w:rsidRPr="00087B72" w:rsidRDefault="00F54CBA" w:rsidP="00F54CBA">
      <w:pPr>
        <w:pStyle w:val="BodyText"/>
        <w:spacing w:before="0" w:after="80"/>
        <w:jc w:val="both"/>
        <w:rPr>
          <w:rFonts w:asciiTheme="majorHAnsi" w:hAnsiTheme="majorHAnsi"/>
          <w:b/>
          <w:color w:val="36424A" w:themeColor="text2"/>
          <w:sz w:val="24"/>
          <w:lang w:val="en-AU"/>
        </w:rPr>
      </w:pPr>
      <w:r w:rsidRPr="00087B72">
        <w:rPr>
          <w:rFonts w:asciiTheme="majorHAnsi" w:hAnsiTheme="majorHAnsi"/>
          <w:b/>
          <w:color w:val="36424A" w:themeColor="text2"/>
          <w:sz w:val="24"/>
          <w:lang w:val="en-AU"/>
        </w:rPr>
        <w:t>Research activities that:</w:t>
      </w:r>
    </w:p>
    <w:p w14:paraId="7F0EE841" w14:textId="77777777" w:rsidR="00F54CBA" w:rsidRPr="00087B72" w:rsidRDefault="00F54CBA" w:rsidP="00F54CBA">
      <w:pPr>
        <w:pStyle w:val="BodyText"/>
        <w:numPr>
          <w:ilvl w:val="0"/>
          <w:numId w:val="39"/>
        </w:numPr>
        <w:spacing w:before="0" w:after="80"/>
        <w:ind w:left="360"/>
        <w:jc w:val="both"/>
        <w:rPr>
          <w:rFonts w:ascii="Arial" w:hAnsi="Arial" w:cs="Arial"/>
        </w:rPr>
      </w:pPr>
      <w:r w:rsidRPr="00087B72">
        <w:rPr>
          <w:rFonts w:ascii="Arial" w:hAnsi="Arial" w:cs="Arial"/>
        </w:rPr>
        <w:t>Develop and report evidence related to activities aimed at promoting sustainable donor rates by improving understanding of donor behaviour and motivation.</w:t>
      </w:r>
    </w:p>
    <w:p w14:paraId="79F0FD58" w14:textId="77777777" w:rsidR="00F54CBA" w:rsidRPr="00087B72" w:rsidRDefault="00F54CBA" w:rsidP="00F54CBA">
      <w:pPr>
        <w:pStyle w:val="BodyText"/>
        <w:numPr>
          <w:ilvl w:val="0"/>
          <w:numId w:val="39"/>
        </w:numPr>
        <w:spacing w:before="0" w:after="80"/>
        <w:ind w:left="360"/>
        <w:jc w:val="both"/>
        <w:rPr>
          <w:rFonts w:ascii="Arial" w:hAnsi="Arial" w:cs="Arial"/>
        </w:rPr>
      </w:pPr>
      <w:r w:rsidRPr="00087B72">
        <w:rPr>
          <w:rFonts w:ascii="Arial" w:hAnsi="Arial" w:cs="Arial"/>
        </w:rPr>
        <w:t>Identify opportunities and modelling to improving blood demand and supply forecasting.</w:t>
      </w:r>
    </w:p>
    <w:p w14:paraId="2D34235D" w14:textId="77777777" w:rsidR="00F54CBA" w:rsidRPr="00087B72" w:rsidRDefault="00F54CBA" w:rsidP="00F54CBA">
      <w:pPr>
        <w:pStyle w:val="BodyText"/>
        <w:numPr>
          <w:ilvl w:val="0"/>
          <w:numId w:val="39"/>
        </w:numPr>
        <w:spacing w:before="0" w:after="80"/>
        <w:ind w:left="360"/>
        <w:jc w:val="both"/>
        <w:rPr>
          <w:rFonts w:ascii="Arial" w:hAnsi="Arial" w:cs="Arial"/>
        </w:rPr>
      </w:pPr>
      <w:r w:rsidRPr="00087B72">
        <w:rPr>
          <w:rFonts w:ascii="Arial" w:hAnsi="Arial" w:cs="Arial"/>
        </w:rPr>
        <w:t>Undertake systematic examinations of global innovations in therapies and products to reduce demand on blood products, including a focus on new treatments and emerging conditions, haemophilia, subcutaneous products and gene therapies.</w:t>
      </w:r>
    </w:p>
    <w:p w14:paraId="443D6D25" w14:textId="77777777" w:rsidR="00F54CBA" w:rsidRPr="00087B72" w:rsidRDefault="00F54CBA" w:rsidP="00F54CBA">
      <w:pPr>
        <w:pStyle w:val="BodyText"/>
        <w:spacing w:before="0" w:after="80"/>
        <w:jc w:val="both"/>
        <w:rPr>
          <w:rFonts w:asciiTheme="majorHAnsi" w:hAnsiTheme="majorHAnsi"/>
          <w:b/>
          <w:color w:val="36424A" w:themeColor="text2"/>
          <w:sz w:val="24"/>
          <w:lang w:val="en-AU"/>
        </w:rPr>
      </w:pPr>
      <w:r w:rsidRPr="00087B72">
        <w:rPr>
          <w:rFonts w:asciiTheme="majorHAnsi" w:hAnsiTheme="majorHAnsi"/>
          <w:b/>
          <w:color w:val="36424A" w:themeColor="text2"/>
          <w:sz w:val="24"/>
          <w:lang w:val="en-AU"/>
        </w:rPr>
        <w:t>Research translation activities that:</w:t>
      </w:r>
    </w:p>
    <w:p w14:paraId="0390ED6D" w14:textId="77777777" w:rsidR="00F54CBA" w:rsidRPr="00087B72" w:rsidRDefault="00F54CBA" w:rsidP="00F54CBA">
      <w:pPr>
        <w:pStyle w:val="BodyText"/>
        <w:numPr>
          <w:ilvl w:val="0"/>
          <w:numId w:val="39"/>
        </w:numPr>
        <w:spacing w:before="0" w:after="80"/>
        <w:ind w:left="360"/>
        <w:jc w:val="both"/>
        <w:rPr>
          <w:rFonts w:ascii="Arial" w:hAnsi="Arial" w:cs="Arial"/>
        </w:rPr>
      </w:pPr>
      <w:r w:rsidRPr="00087B72">
        <w:rPr>
          <w:rFonts w:ascii="Arial" w:hAnsi="Arial" w:cs="Arial"/>
        </w:rPr>
        <w:t xml:space="preserve">Identify and evaluate characteristics of strategies to improve the quality of blood and blood products during storage, such as packaging, storage and handling processes. </w:t>
      </w:r>
    </w:p>
    <w:p w14:paraId="69F11EED" w14:textId="77777777" w:rsidR="00F54CBA" w:rsidRPr="00087B72" w:rsidRDefault="00F54CBA" w:rsidP="00F54CBA">
      <w:pPr>
        <w:pStyle w:val="BodyText"/>
        <w:numPr>
          <w:ilvl w:val="0"/>
          <w:numId w:val="39"/>
        </w:numPr>
        <w:spacing w:before="0" w:after="80"/>
        <w:ind w:left="360"/>
        <w:jc w:val="both"/>
        <w:rPr>
          <w:rFonts w:ascii="Arial" w:hAnsi="Arial" w:cs="Arial"/>
        </w:rPr>
      </w:pPr>
      <w:r w:rsidRPr="00087B72">
        <w:rPr>
          <w:rFonts w:ascii="Arial" w:hAnsi="Arial" w:cs="Arial"/>
        </w:rPr>
        <w:t>Assess the potential application of novel technology related to new and emerging blood technologies/ components/ substitutes.</w:t>
      </w:r>
    </w:p>
    <w:p w14:paraId="55988CB4" w14:textId="057AF919" w:rsidR="00507FEC" w:rsidRPr="00502F12" w:rsidRDefault="00507FEC" w:rsidP="0073198B">
      <w:pPr>
        <w:pStyle w:val="BodyText-GREEN"/>
        <w:rPr>
          <w:rFonts w:asciiTheme="majorHAnsi" w:hAnsiTheme="majorHAnsi"/>
          <w:b/>
          <w:color w:val="36424A" w:themeColor="text2"/>
          <w:sz w:val="24"/>
          <w:lang w:val="en-AU"/>
        </w:rPr>
      </w:pPr>
      <w:r>
        <w:rPr>
          <w:rFonts w:asciiTheme="majorHAnsi" w:hAnsiTheme="majorHAnsi"/>
          <w:b/>
          <w:color w:val="36424A" w:themeColor="text2"/>
          <w:sz w:val="24"/>
          <w:lang w:val="en-AU"/>
        </w:rPr>
        <w:t>A</w:t>
      </w:r>
      <w:r w:rsidRPr="00502F12">
        <w:rPr>
          <w:rFonts w:asciiTheme="majorHAnsi" w:hAnsiTheme="majorHAnsi"/>
          <w:b/>
          <w:color w:val="36424A" w:themeColor="text2"/>
          <w:sz w:val="24"/>
          <w:lang w:val="en-AU"/>
        </w:rPr>
        <w:t>ssessment</w:t>
      </w:r>
      <w:r>
        <w:rPr>
          <w:rFonts w:asciiTheme="majorHAnsi" w:hAnsiTheme="majorHAnsi"/>
          <w:b/>
          <w:color w:val="36424A" w:themeColor="text2"/>
          <w:sz w:val="24"/>
          <w:lang w:val="en-AU"/>
        </w:rPr>
        <w:t xml:space="preserve"> of </w:t>
      </w:r>
      <w:r w:rsidR="00D74FA7">
        <w:rPr>
          <w:rFonts w:asciiTheme="majorHAnsi" w:hAnsiTheme="majorHAnsi"/>
          <w:b/>
          <w:color w:val="36424A" w:themeColor="text2"/>
          <w:sz w:val="24"/>
          <w:lang w:val="en-AU"/>
        </w:rPr>
        <w:t xml:space="preserve">the </w:t>
      </w:r>
      <w:r>
        <w:rPr>
          <w:rFonts w:asciiTheme="majorHAnsi" w:hAnsiTheme="majorHAnsi"/>
          <w:b/>
          <w:color w:val="36424A" w:themeColor="text2"/>
          <w:sz w:val="24"/>
          <w:lang w:val="en-AU"/>
        </w:rPr>
        <w:t>2013-16 Priorities</w:t>
      </w:r>
    </w:p>
    <w:p w14:paraId="1258C8D6" w14:textId="77777777" w:rsidR="00016A8A" w:rsidRPr="00AF2276" w:rsidRDefault="00016A8A" w:rsidP="00016A8A">
      <w:pPr>
        <w:spacing w:before="120" w:after="120" w:line="280" w:lineRule="exact"/>
        <w:jc w:val="both"/>
        <w:rPr>
          <w:rFonts w:ascii="Arial" w:hAnsi="Arial" w:cs="Arial"/>
        </w:rPr>
      </w:pPr>
      <w:r w:rsidRPr="00AF2276">
        <w:rPr>
          <w:rFonts w:ascii="Arial" w:hAnsi="Arial" w:cs="Arial"/>
        </w:rPr>
        <w:t>Research and development activities (including those led by the NBA and Monash University through the Blood Synergy program) have been funded or undertaken to ensure adequacy and sustainability of supply, realise supply chain efficiencies and improve performance. However, two NBA governance committee members and a researcher have said further research and development should be undertaken to promote the sustainability of supply.</w:t>
      </w:r>
    </w:p>
    <w:p w14:paraId="731D6739" w14:textId="77777777" w:rsidR="00016A8A" w:rsidRPr="002909CF" w:rsidRDefault="00016A8A" w:rsidP="00016A8A">
      <w:pPr>
        <w:pStyle w:val="BodyText-GREEN"/>
        <w:jc w:val="both"/>
        <w:rPr>
          <w:rFonts w:asciiTheme="majorHAnsi" w:hAnsiTheme="majorHAnsi"/>
          <w:b/>
          <w:color w:val="36424A" w:themeColor="text2"/>
          <w:sz w:val="24"/>
          <w:lang w:val="en-AU"/>
        </w:rPr>
      </w:pPr>
      <w:r w:rsidRPr="002909CF">
        <w:rPr>
          <w:rFonts w:asciiTheme="majorHAnsi" w:hAnsiTheme="majorHAnsi"/>
          <w:b/>
          <w:color w:val="36424A" w:themeColor="text2"/>
          <w:sz w:val="24"/>
          <w:lang w:val="en-AU"/>
        </w:rPr>
        <w:t>Consultation</w:t>
      </w:r>
    </w:p>
    <w:p w14:paraId="4A0DD95D" w14:textId="77777777" w:rsidR="00016A8A" w:rsidRDefault="00016A8A" w:rsidP="00016A8A">
      <w:pPr>
        <w:spacing w:before="120" w:after="120" w:line="280" w:lineRule="exact"/>
        <w:jc w:val="both"/>
        <w:rPr>
          <w:rFonts w:ascii="Arial" w:hAnsi="Arial" w:cs="Arial"/>
          <w:color w:val="000000"/>
        </w:rPr>
      </w:pPr>
      <w:r w:rsidRPr="006274A7">
        <w:rPr>
          <w:rFonts w:ascii="Arial" w:hAnsi="Arial" w:cs="Arial"/>
          <w:color w:val="000000"/>
        </w:rPr>
        <w:t xml:space="preserve">The consultation process showed strong support for retaining the current/previous wording of Priority 2 </w:t>
      </w:r>
      <w:r w:rsidRPr="00A72321">
        <w:rPr>
          <w:rFonts w:ascii="Arial" w:hAnsi="Arial" w:cs="Arial"/>
          <w:color w:val="000000"/>
        </w:rPr>
        <w:t>(</w:t>
      </w:r>
      <w:r w:rsidRPr="00087B72">
        <w:rPr>
          <w:rFonts w:ascii="Arial" w:hAnsi="Arial" w:cs="Arial"/>
          <w:color w:val="000000"/>
        </w:rPr>
        <w:t>To ensure adequacy and sustainability of supply, realise supply chain efficiencies and improve performance</w:t>
      </w:r>
      <w:r w:rsidRPr="00A72321">
        <w:rPr>
          <w:rFonts w:ascii="Arial" w:hAnsi="Arial" w:cs="Arial"/>
          <w:color w:val="000000"/>
        </w:rPr>
        <w:t>), with some</w:t>
      </w:r>
      <w:r w:rsidRPr="006274A7">
        <w:rPr>
          <w:rFonts w:ascii="Arial" w:hAnsi="Arial" w:cs="Arial"/>
          <w:color w:val="000000"/>
        </w:rPr>
        <w:t xml:space="preserve"> amendments and updates.</w:t>
      </w:r>
      <w:r>
        <w:rPr>
          <w:rFonts w:ascii="Arial" w:hAnsi="Arial" w:cs="Arial"/>
          <w:color w:val="000000"/>
        </w:rPr>
        <w:t xml:space="preserve"> </w:t>
      </w:r>
    </w:p>
    <w:p w14:paraId="10588EBE" w14:textId="77777777" w:rsidR="00016A8A" w:rsidRDefault="00016A8A" w:rsidP="00016A8A">
      <w:pPr>
        <w:spacing w:before="120" w:after="120" w:line="280" w:lineRule="exact"/>
        <w:jc w:val="both"/>
        <w:rPr>
          <w:rFonts w:ascii="Arial" w:hAnsi="Arial" w:cs="Arial"/>
          <w:color w:val="000000"/>
        </w:rPr>
      </w:pPr>
      <w:r>
        <w:rPr>
          <w:rFonts w:ascii="Arial" w:hAnsi="Arial" w:cs="Arial"/>
          <w:color w:val="000000"/>
        </w:rPr>
        <w:t>One manufacturer of blood products stated that ‘</w:t>
      </w:r>
      <w:r w:rsidRPr="00794BB0">
        <w:rPr>
          <w:rFonts w:ascii="Arial" w:hAnsi="Arial" w:cs="Arial"/>
          <w:color w:val="000000"/>
        </w:rPr>
        <w:t>Maintenance of an adequate and secure supply of blood and blood products should remain a key goal of the NBA – it is essential to provision of public health solutions that involve treatment with these products.</w:t>
      </w:r>
      <w:r>
        <w:rPr>
          <w:rFonts w:ascii="Arial" w:hAnsi="Arial" w:cs="Arial"/>
          <w:color w:val="000000"/>
        </w:rPr>
        <w:t>’</w:t>
      </w:r>
    </w:p>
    <w:p w14:paraId="26161FF1" w14:textId="77777777" w:rsidR="00392030" w:rsidRDefault="00016A8A" w:rsidP="00016A8A">
      <w:pPr>
        <w:spacing w:before="120" w:after="0" w:line="240" w:lineRule="exact"/>
        <w:jc w:val="both"/>
        <w:rPr>
          <w:rFonts w:ascii="Arial" w:hAnsi="Arial" w:cs="Arial"/>
          <w:color w:val="000000" w:themeColor="text1"/>
          <w:lang w:val="en-AU"/>
        </w:rPr>
      </w:pPr>
      <w:r w:rsidRPr="1D6FAFF4">
        <w:rPr>
          <w:rFonts w:ascii="Arial" w:hAnsi="Arial" w:cs="Arial"/>
          <w:color w:val="000000" w:themeColor="text1"/>
        </w:rPr>
        <w:t xml:space="preserve">This view was also supported internally within the NBA, with </w:t>
      </w:r>
      <w:r w:rsidRPr="1D6FAFF4">
        <w:rPr>
          <w:rFonts w:ascii="Arial" w:eastAsia="Arial" w:hAnsi="Arial" w:cs="Arial"/>
          <w:color w:val="000000" w:themeColor="text1"/>
        </w:rPr>
        <w:t>one internal stakeholder stat</w:t>
      </w:r>
      <w:r>
        <w:rPr>
          <w:rFonts w:ascii="Arial" w:eastAsia="Arial" w:hAnsi="Arial" w:cs="Arial"/>
          <w:color w:val="000000" w:themeColor="text1"/>
        </w:rPr>
        <w:t>ing</w:t>
      </w:r>
      <w:r w:rsidRPr="1D6FAFF4">
        <w:rPr>
          <w:rFonts w:ascii="Arial" w:eastAsia="Arial" w:hAnsi="Arial" w:cs="Arial"/>
          <w:color w:val="000000" w:themeColor="text1"/>
        </w:rPr>
        <w:t>, ‘The priority for the core business of the NBA is supply. Guaranteeing safe, supply [of] appropriate blood.’</w:t>
      </w:r>
      <w:r w:rsidRPr="1D6FAFF4">
        <w:rPr>
          <w:rFonts w:ascii="Arial" w:hAnsi="Arial" w:cs="Arial"/>
          <w:color w:val="000000" w:themeColor="text1"/>
          <w:lang w:val="en-AU"/>
        </w:rPr>
        <w:t xml:space="preserve"> </w:t>
      </w:r>
    </w:p>
    <w:p w14:paraId="3068CD37" w14:textId="2A56C603" w:rsidR="00016A8A" w:rsidRDefault="0028262A" w:rsidP="00016A8A">
      <w:pPr>
        <w:spacing w:before="120" w:after="0" w:line="240" w:lineRule="exact"/>
        <w:jc w:val="both"/>
        <w:rPr>
          <w:rFonts w:ascii="Arial" w:hAnsi="Arial" w:cs="Arial"/>
          <w:color w:val="000000"/>
          <w:lang w:val="en-AU"/>
        </w:rPr>
      </w:pPr>
      <w:r>
        <w:rPr>
          <w:rFonts w:ascii="Arial" w:eastAsia="Arial" w:hAnsi="Arial" w:cs="Arial"/>
          <w:color w:val="000000" w:themeColor="text1"/>
        </w:rPr>
        <w:t xml:space="preserve">Figure 7 </w:t>
      </w:r>
      <w:r w:rsidR="00016A8A" w:rsidRPr="1D6FAFF4">
        <w:rPr>
          <w:rFonts w:ascii="Arial" w:hAnsi="Arial" w:cs="Arial"/>
          <w:color w:val="000000" w:themeColor="text1"/>
          <w:lang w:val="en-AU"/>
        </w:rPr>
        <w:t>summarises the response from questionnaire respondents.</w:t>
      </w:r>
    </w:p>
    <w:p w14:paraId="3F9587AE" w14:textId="082D28B2" w:rsidR="00016A8A" w:rsidRDefault="003B51B3">
      <w:pPr>
        <w:rPr>
          <w:rFonts w:ascii="Arial" w:hAnsi="Arial" w:cs="Arial"/>
          <w:b/>
          <w:color w:val="000000"/>
          <w:sz w:val="18"/>
          <w:szCs w:val="18"/>
          <w:lang w:val="en-AU"/>
        </w:rPr>
      </w:pPr>
      <w:r>
        <w:rPr>
          <w:rFonts w:ascii="Arial" w:hAnsi="Arial" w:cs="Arial"/>
          <w:color w:val="000000"/>
          <w:lang w:val="en-AU"/>
        </w:rPr>
        <w:br w:type="page"/>
      </w:r>
    </w:p>
    <w:p w14:paraId="6682E9BD" w14:textId="4063BD58" w:rsidR="00016A8A" w:rsidRPr="002D162C" w:rsidRDefault="0028262A" w:rsidP="0028262A">
      <w:pPr>
        <w:pStyle w:val="Caption"/>
        <w:rPr>
          <w:rFonts w:ascii="Arial" w:eastAsia="Arial" w:hAnsi="Arial" w:cs="Arial"/>
          <w:color w:val="000000"/>
        </w:rPr>
      </w:pPr>
      <w:bookmarkStart w:id="96" w:name="_Toc90462705"/>
      <w:r>
        <w:t xml:space="preserve">Figure </w:t>
      </w:r>
      <w:r>
        <w:fldChar w:fldCharType="begin"/>
      </w:r>
      <w:r>
        <w:instrText xml:space="preserve"> SEQ Figure \* ARABIC </w:instrText>
      </w:r>
      <w:r>
        <w:fldChar w:fldCharType="separate"/>
      </w:r>
      <w:r w:rsidR="00A25C74">
        <w:rPr>
          <w:noProof/>
        </w:rPr>
        <w:t>7</w:t>
      </w:r>
      <w:r>
        <w:fldChar w:fldCharType="end"/>
      </w:r>
      <w:r>
        <w:t xml:space="preserve">: </w:t>
      </w:r>
      <w:r w:rsidRPr="00402AF7">
        <w:t xml:space="preserve">Support for retaining, amending, retiring </w:t>
      </w:r>
      <w:r>
        <w:t>Priority 2</w:t>
      </w:r>
      <w:bookmarkEnd w:id="96"/>
      <w:r w:rsidR="00016A8A">
        <w:t xml:space="preserve"> </w:t>
      </w:r>
    </w:p>
    <w:p w14:paraId="474DD518" w14:textId="77777777" w:rsidR="00016A8A" w:rsidRPr="002D162C" w:rsidRDefault="00016A8A" w:rsidP="00016A8A">
      <w:pPr>
        <w:pStyle w:val="1Dot-point"/>
        <w:numPr>
          <w:ilvl w:val="0"/>
          <w:numId w:val="51"/>
        </w:numPr>
        <w:spacing w:line="280" w:lineRule="exact"/>
        <w:jc w:val="both"/>
        <w:rPr>
          <w:rFonts w:cs="Arial"/>
        </w:rPr>
      </w:pPr>
      <w:r w:rsidRPr="002D162C">
        <w:rPr>
          <w:rFonts w:cs="Arial"/>
        </w:rPr>
        <w:t>Retain: 74% (35)</w:t>
      </w:r>
    </w:p>
    <w:p w14:paraId="0FF4E6F8" w14:textId="77777777" w:rsidR="00016A8A" w:rsidRPr="002D162C" w:rsidRDefault="00016A8A" w:rsidP="00016A8A">
      <w:pPr>
        <w:pStyle w:val="1Dot-point"/>
        <w:numPr>
          <w:ilvl w:val="0"/>
          <w:numId w:val="51"/>
        </w:numPr>
        <w:spacing w:line="280" w:lineRule="exact"/>
        <w:jc w:val="both"/>
        <w:rPr>
          <w:rFonts w:cs="Arial"/>
        </w:rPr>
      </w:pPr>
      <w:r w:rsidRPr="002D162C">
        <w:rPr>
          <w:rFonts w:cs="Arial"/>
        </w:rPr>
        <w:t>Retain with amendment: 26% (12)</w:t>
      </w:r>
    </w:p>
    <w:p w14:paraId="414D6520" w14:textId="39844A35" w:rsidR="00016A8A" w:rsidRPr="00282377" w:rsidRDefault="00016A8A" w:rsidP="00087B72">
      <w:pPr>
        <w:pStyle w:val="1Dot-point"/>
        <w:numPr>
          <w:ilvl w:val="0"/>
          <w:numId w:val="51"/>
        </w:numPr>
        <w:spacing w:line="280" w:lineRule="exact"/>
        <w:jc w:val="both"/>
        <w:rPr>
          <w:rFonts w:cs="Arial"/>
        </w:rPr>
      </w:pPr>
      <w:r w:rsidRPr="00282377">
        <w:rPr>
          <w:rFonts w:cs="Arial"/>
        </w:rPr>
        <w:t>Retire: 0</w:t>
      </w:r>
    </w:p>
    <w:p w14:paraId="512D5CD5" w14:textId="1E8DF4A5" w:rsidR="00016A8A" w:rsidRPr="002D162C" w:rsidRDefault="00637889" w:rsidP="00016A8A">
      <w:pPr>
        <w:pStyle w:val="1Dot-point"/>
        <w:numPr>
          <w:ilvl w:val="0"/>
          <w:numId w:val="0"/>
        </w:numPr>
        <w:spacing w:line="280" w:lineRule="exact"/>
        <w:jc w:val="both"/>
        <w:rPr>
          <w:rFonts w:cs="Arial"/>
        </w:rPr>
      </w:pPr>
      <w:r>
        <w:rPr>
          <w:noProof/>
          <w:lang w:eastAsia="en-AU"/>
        </w:rPr>
        <w:drawing>
          <wp:anchor distT="0" distB="0" distL="114300" distR="114300" simplePos="0" relativeHeight="251648512" behindDoc="0" locked="0" layoutInCell="1" allowOverlap="1" wp14:anchorId="28887FDF" wp14:editId="0CA6FFFA">
            <wp:simplePos x="0" y="0"/>
            <wp:positionH relativeFrom="column">
              <wp:posOffset>-3175</wp:posOffset>
            </wp:positionH>
            <wp:positionV relativeFrom="paragraph">
              <wp:posOffset>26035</wp:posOffset>
            </wp:positionV>
            <wp:extent cx="2880000" cy="1215150"/>
            <wp:effectExtent l="0" t="0" r="0" b="4445"/>
            <wp:wrapTopAndBottom/>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phic 103">
                      <a:extLst>
                        <a:ext uri="{C183D7F6-B498-43B3-948B-1728B52AA6E4}">
                          <adec:decorative xmlns:adec="http://schemas.microsoft.com/office/drawing/2017/decorative" val="1"/>
                        </a:ext>
                      </a:extLst>
                    </pic:cNvPr>
                    <pic:cNvPicPr/>
                  </pic:nvPicPr>
                  <pic:blipFill>
                    <a:blip r:embed="rId38">
                      <a:extLst>
                        <a:ext uri="{96DAC541-7B7A-43D3-8B79-37D633B846F1}">
                          <asvg:svgBlip xmlns:asvg="http://schemas.microsoft.com/office/drawing/2016/SVG/main" r:embed="rId39"/>
                        </a:ext>
                      </a:extLst>
                    </a:blip>
                    <a:stretch>
                      <a:fillRect/>
                    </a:stretch>
                  </pic:blipFill>
                  <pic:spPr>
                    <a:xfrm>
                      <a:off x="0" y="0"/>
                      <a:ext cx="2880000" cy="1215150"/>
                    </a:xfrm>
                    <a:prstGeom prst="rect">
                      <a:avLst/>
                    </a:prstGeom>
                  </pic:spPr>
                </pic:pic>
              </a:graphicData>
            </a:graphic>
            <wp14:sizeRelH relativeFrom="margin">
              <wp14:pctWidth>0</wp14:pctWidth>
            </wp14:sizeRelH>
            <wp14:sizeRelV relativeFrom="margin">
              <wp14:pctHeight>0</wp14:pctHeight>
            </wp14:sizeRelV>
          </wp:anchor>
        </w:drawing>
      </w:r>
    </w:p>
    <w:p w14:paraId="544F39E9" w14:textId="77777777" w:rsidR="00016A8A" w:rsidRPr="00A13E1A" w:rsidRDefault="00016A8A" w:rsidP="00016A8A">
      <w:pPr>
        <w:spacing w:before="120" w:after="120" w:line="280" w:lineRule="exact"/>
        <w:jc w:val="both"/>
        <w:rPr>
          <w:rFonts w:ascii="Arial" w:eastAsia="Arial" w:hAnsi="Arial" w:cs="Arial"/>
          <w:color w:val="000000"/>
        </w:rPr>
      </w:pPr>
      <w:r>
        <w:rPr>
          <w:rFonts w:ascii="Arial" w:eastAsia="Arial" w:hAnsi="Arial" w:cs="Arial"/>
          <w:color w:val="000000"/>
        </w:rPr>
        <w:t xml:space="preserve">Stakeholders suggested that the words ‘adequacy’ and ‘improved performance’ make the wording more aspirational and specific. </w:t>
      </w:r>
    </w:p>
    <w:p w14:paraId="7E6D7403" w14:textId="514EDCBB" w:rsidR="00016A8A" w:rsidRPr="002D162C" w:rsidRDefault="00016A8A" w:rsidP="00016A8A">
      <w:pPr>
        <w:pStyle w:val="1Dot-point"/>
        <w:numPr>
          <w:ilvl w:val="0"/>
          <w:numId w:val="0"/>
        </w:numPr>
        <w:spacing w:line="280" w:lineRule="exact"/>
        <w:ind w:left="530"/>
        <w:jc w:val="both"/>
        <w:rPr>
          <w:rFonts w:cs="Arial"/>
        </w:rPr>
      </w:pPr>
      <w:r w:rsidRPr="002D162C">
        <w:rPr>
          <w:rFonts w:cs="Arial"/>
        </w:rPr>
        <w:t>‘It is unclear what the term performance means in this setting. Performance of staff? Or of governance measures to audit process?’ (clinician/researcher)</w:t>
      </w:r>
    </w:p>
    <w:p w14:paraId="48088529" w14:textId="77777777" w:rsidR="00016A8A" w:rsidRPr="002D162C" w:rsidRDefault="00016A8A" w:rsidP="00016A8A">
      <w:pPr>
        <w:pStyle w:val="1Dot-point"/>
        <w:numPr>
          <w:ilvl w:val="0"/>
          <w:numId w:val="0"/>
        </w:numPr>
        <w:spacing w:line="280" w:lineRule="exact"/>
        <w:jc w:val="both"/>
        <w:rPr>
          <w:rFonts w:cs="Arial"/>
        </w:rPr>
      </w:pPr>
      <w:r>
        <w:rPr>
          <w:rFonts w:cs="Arial"/>
        </w:rPr>
        <w:t>Several stakeholders reflected on the current global context, also reinforcing the need to prioritise contingency planning and demand forecasting under this priority going forward:</w:t>
      </w:r>
    </w:p>
    <w:p w14:paraId="09E9494B" w14:textId="59BEB20F" w:rsidR="00016A8A" w:rsidRPr="00300AF6" w:rsidRDefault="00016A8A" w:rsidP="00016A8A">
      <w:pPr>
        <w:pStyle w:val="1Dot-point"/>
        <w:numPr>
          <w:ilvl w:val="0"/>
          <w:numId w:val="0"/>
        </w:numPr>
        <w:spacing w:line="280" w:lineRule="exact"/>
        <w:ind w:left="530"/>
        <w:jc w:val="both"/>
        <w:rPr>
          <w:rFonts w:cs="Arial"/>
        </w:rPr>
      </w:pPr>
      <w:r w:rsidRPr="002D162C">
        <w:rPr>
          <w:rFonts w:cs="Arial"/>
        </w:rPr>
        <w:t>‘Focus on contingencies if shortages occur e.g. pandemic’ (researcher)</w:t>
      </w:r>
    </w:p>
    <w:p w14:paraId="55AD7C17" w14:textId="46D318BE" w:rsidR="00016A8A" w:rsidRPr="00300AF6" w:rsidRDefault="00016A8A" w:rsidP="00016A8A">
      <w:pPr>
        <w:pStyle w:val="1Dot-point"/>
        <w:numPr>
          <w:ilvl w:val="0"/>
          <w:numId w:val="0"/>
        </w:numPr>
        <w:spacing w:line="280" w:lineRule="exact"/>
        <w:ind w:left="530"/>
        <w:jc w:val="both"/>
        <w:rPr>
          <w:rFonts w:cs="Arial"/>
        </w:rPr>
      </w:pPr>
      <w:r>
        <w:rPr>
          <w:rFonts w:cs="Arial"/>
        </w:rPr>
        <w:t>‘</w:t>
      </w:r>
      <w:r w:rsidRPr="00A94CB4">
        <w:rPr>
          <w:rFonts w:cs="Arial"/>
        </w:rPr>
        <w:t>Development of further enhanced demand forecasting capability that will further enhance the NBA's ability to support suppliers' work in ensuring adequate and sustained supply, and thereby further enhance management of Australia's blood and blood products supply.</w:t>
      </w:r>
      <w:r>
        <w:rPr>
          <w:rFonts w:cs="Arial"/>
        </w:rPr>
        <w:t xml:space="preserve">’ (manufacturer) </w:t>
      </w:r>
    </w:p>
    <w:p w14:paraId="7B7E60E2" w14:textId="77777777" w:rsidR="00016A8A" w:rsidRPr="002909CF" w:rsidRDefault="00016A8A" w:rsidP="00016A8A">
      <w:pPr>
        <w:pStyle w:val="BodyText-GREEN"/>
        <w:jc w:val="both"/>
        <w:rPr>
          <w:rFonts w:asciiTheme="majorHAnsi" w:hAnsiTheme="majorHAnsi"/>
          <w:b/>
          <w:color w:val="36424A" w:themeColor="text2"/>
          <w:sz w:val="24"/>
          <w:lang w:val="en-AU"/>
        </w:rPr>
      </w:pPr>
      <w:r w:rsidRPr="002909CF">
        <w:rPr>
          <w:rFonts w:asciiTheme="majorHAnsi" w:hAnsiTheme="majorHAnsi"/>
          <w:b/>
          <w:color w:val="36424A" w:themeColor="text2"/>
          <w:sz w:val="24"/>
          <w:lang w:val="en-AU"/>
        </w:rPr>
        <w:t>Document review</w:t>
      </w:r>
    </w:p>
    <w:p w14:paraId="3A57B8D6" w14:textId="08560A0D" w:rsidR="00016A8A" w:rsidRDefault="00016A8A" w:rsidP="00016A8A">
      <w:pPr>
        <w:pStyle w:val="1Dot-point"/>
        <w:numPr>
          <w:ilvl w:val="0"/>
          <w:numId w:val="0"/>
        </w:numPr>
        <w:spacing w:line="280" w:lineRule="exact"/>
        <w:jc w:val="both"/>
      </w:pPr>
      <w:r w:rsidRPr="006174DA">
        <w:rPr>
          <w:rFonts w:cs="Arial"/>
        </w:rPr>
        <w:t xml:space="preserve">The primary policy objective for the Australian blood sector, set out in </w:t>
      </w:r>
      <w:r w:rsidR="00E8252B">
        <w:rPr>
          <w:rFonts w:cs="Arial"/>
        </w:rPr>
        <w:t>the</w:t>
      </w:r>
      <w:r w:rsidRPr="006174DA">
        <w:rPr>
          <w:rFonts w:cs="Arial"/>
        </w:rPr>
        <w:t xml:space="preserve"> National Blood Agreement, includes delivering an adequate and secure supply of blood and blood</w:t>
      </w:r>
      <w:r w:rsidRPr="006361A7">
        <w:t xml:space="preserve"> related products and services.</w:t>
      </w:r>
      <w:r w:rsidRPr="006361A7">
        <w:rPr>
          <w:vertAlign w:val="superscript"/>
        </w:rPr>
        <w:footnoteReference w:id="37"/>
      </w:r>
      <w:r>
        <w:t xml:space="preserve"> </w:t>
      </w:r>
    </w:p>
    <w:p w14:paraId="525AB199" w14:textId="4B0134CA" w:rsidR="00016A8A" w:rsidRPr="006361A7" w:rsidRDefault="00016A8A" w:rsidP="00016A8A">
      <w:pPr>
        <w:pStyle w:val="1Dot-point"/>
        <w:numPr>
          <w:ilvl w:val="0"/>
          <w:numId w:val="0"/>
        </w:numPr>
        <w:spacing w:line="280" w:lineRule="exact"/>
        <w:jc w:val="both"/>
      </w:pPr>
      <w:r w:rsidRPr="006361A7">
        <w:t>Ensuring sufficient donor levels is a critical input towards achieving an adequate blood supply</w:t>
      </w:r>
      <w:r>
        <w:t>, noting the research and development of artificial blood products. U</w:t>
      </w:r>
      <w:r w:rsidRPr="006361A7">
        <w:t>nderstanding donor behaviour is a key focus for blood authorities in other countries.</w:t>
      </w:r>
      <w:r>
        <w:t xml:space="preserve"> For example</w:t>
      </w:r>
      <w:r w:rsidR="00E8252B">
        <w:t>:</w:t>
      </w:r>
    </w:p>
    <w:p w14:paraId="7C5C1BD6" w14:textId="77777777" w:rsidR="00016A8A" w:rsidRPr="006361A7" w:rsidRDefault="00016A8A" w:rsidP="00087B72">
      <w:pPr>
        <w:pStyle w:val="1Dot-point"/>
        <w:numPr>
          <w:ilvl w:val="0"/>
          <w:numId w:val="86"/>
        </w:numPr>
        <w:spacing w:line="280" w:lineRule="exact"/>
        <w:jc w:val="both"/>
      </w:pPr>
      <w:r w:rsidRPr="006361A7">
        <w:t>A focus area of the Canadian Blood Service’s research and development program is to build and deepen relationships with the donors of the future, by developing a deeper understanding of their future donors.</w:t>
      </w:r>
      <w:r w:rsidRPr="006361A7">
        <w:rPr>
          <w:vertAlign w:val="superscript"/>
        </w:rPr>
        <w:footnoteReference w:id="38"/>
      </w:r>
    </w:p>
    <w:p w14:paraId="74A4D81A" w14:textId="5284BA3F" w:rsidR="00016A8A" w:rsidRPr="006361A7" w:rsidRDefault="00016A8A" w:rsidP="00087B72">
      <w:pPr>
        <w:pStyle w:val="1Dot-point"/>
        <w:keepNext/>
        <w:keepLines/>
        <w:numPr>
          <w:ilvl w:val="0"/>
          <w:numId w:val="86"/>
        </w:numPr>
        <w:spacing w:line="280" w:lineRule="exact"/>
        <w:jc w:val="both"/>
      </w:pPr>
      <w:r w:rsidRPr="006361A7">
        <w:t xml:space="preserve">The United Kingdom’s National Health Service Blood and Transplant Research and Development Program establishes </w:t>
      </w:r>
      <w:r w:rsidR="00E8252B">
        <w:t>eight</w:t>
      </w:r>
      <w:r w:rsidRPr="006361A7">
        <w:t xml:space="preserve"> strategic goals for improving outcomes for patients and donors. This includes a strategic goal to establish a behavioural research program to identify behavioural change interventions which significantly increase donation and consent rates.</w:t>
      </w:r>
      <w:r w:rsidRPr="006361A7">
        <w:rPr>
          <w:vertAlign w:val="superscript"/>
        </w:rPr>
        <w:footnoteReference w:id="39"/>
      </w:r>
      <w:r w:rsidRPr="006361A7">
        <w:t xml:space="preserve"> </w:t>
      </w:r>
    </w:p>
    <w:p w14:paraId="730344EB" w14:textId="7820B419" w:rsidR="00016A8A" w:rsidRPr="006361A7" w:rsidRDefault="00016A8A" w:rsidP="00016A8A">
      <w:pPr>
        <w:pStyle w:val="1Dot-point"/>
        <w:numPr>
          <w:ilvl w:val="0"/>
          <w:numId w:val="0"/>
        </w:numPr>
        <w:spacing w:line="280" w:lineRule="exact"/>
        <w:jc w:val="both"/>
      </w:pPr>
      <w:r w:rsidRPr="006361A7">
        <w:t>In Australia, research is being undertaken to strengthen donor engagement. Lifeblood</w:t>
      </w:r>
      <w:r>
        <w:t>’s</w:t>
      </w:r>
      <w:r w:rsidRPr="006361A7">
        <w:t xml:space="preserve"> research program includes a focus on donor behaviour and donor health and wellbeing.</w:t>
      </w:r>
      <w:r w:rsidRPr="006361A7">
        <w:rPr>
          <w:vertAlign w:val="superscript"/>
        </w:rPr>
        <w:footnoteReference w:id="40"/>
      </w:r>
      <w:r w:rsidRPr="006361A7">
        <w:t xml:space="preserve"> However, research into donor behaviour since the onset of COVID</w:t>
      </w:r>
      <w:r w:rsidR="00F43AA4">
        <w:t>-19</w:t>
      </w:r>
      <w:r w:rsidRPr="006361A7">
        <w:t xml:space="preserve"> is limited and it is unclear to what extent </w:t>
      </w:r>
      <w:r w:rsidR="00F43AA4">
        <w:t xml:space="preserve">the pandemic </w:t>
      </w:r>
      <w:r w:rsidRPr="006361A7">
        <w:t>will impact the adequacy of supply.</w:t>
      </w:r>
    </w:p>
    <w:p w14:paraId="5F77E5BA" w14:textId="70702B91" w:rsidR="00016A8A" w:rsidRPr="006361A7" w:rsidRDefault="00016A8A" w:rsidP="00016A8A">
      <w:pPr>
        <w:pStyle w:val="1Dot-point"/>
        <w:numPr>
          <w:ilvl w:val="0"/>
          <w:numId w:val="0"/>
        </w:numPr>
        <w:spacing w:line="280" w:lineRule="exact"/>
        <w:jc w:val="both"/>
      </w:pPr>
      <w:r w:rsidRPr="006361A7">
        <w:t xml:space="preserve">Climate change may also impact the adequacy and sustainability of blood supply. This is because it will enable disease carrying-species, such as mosquitos, to survive in more regions </w:t>
      </w:r>
      <w:r w:rsidR="00303196">
        <w:t>across</w:t>
      </w:r>
      <w:r w:rsidRPr="006361A7">
        <w:t xml:space="preserve"> the globe due to new warmer climatic conditions.</w:t>
      </w:r>
      <w:r w:rsidRPr="006361A7">
        <w:rPr>
          <w:vertAlign w:val="superscript"/>
        </w:rPr>
        <w:footnoteReference w:id="41"/>
      </w:r>
      <w:r w:rsidRPr="006361A7">
        <w:t xml:space="preserve"> With more people carrying infectious diseases, particularly as global travel picks up, the supply of safe blood supplies may be compromised.</w:t>
      </w:r>
      <w:r w:rsidRPr="006361A7">
        <w:rPr>
          <w:vertAlign w:val="superscript"/>
        </w:rPr>
        <w:footnoteReference w:id="42"/>
      </w:r>
    </w:p>
    <w:p w14:paraId="15B5023D" w14:textId="77777777" w:rsidR="00016A8A" w:rsidRDefault="00016A8A" w:rsidP="00016A8A">
      <w:pPr>
        <w:pStyle w:val="1Dot-point"/>
        <w:numPr>
          <w:ilvl w:val="0"/>
          <w:numId w:val="0"/>
        </w:numPr>
        <w:spacing w:line="280" w:lineRule="exact"/>
        <w:jc w:val="both"/>
      </w:pPr>
      <w:r w:rsidRPr="006361A7">
        <w:t>Within this context, a continued focus on adequacy and sustainability of supply is necessitated by governmental agreements and demanded by evolving environmental conditions.</w:t>
      </w:r>
    </w:p>
    <w:p w14:paraId="5C23A6B0" w14:textId="77777777" w:rsidR="00016A8A" w:rsidRPr="0057238B" w:rsidRDefault="00016A8A" w:rsidP="00016A8A">
      <w:pPr>
        <w:rPr>
          <w:rFonts w:ascii="Arial" w:hAnsi="Arial"/>
          <w:color w:val="000000"/>
          <w:lang w:val="en-AU"/>
        </w:rPr>
      </w:pPr>
      <w:r>
        <w:br w:type="page"/>
      </w:r>
    </w:p>
    <w:p w14:paraId="5EBEA78B" w14:textId="77777777" w:rsidR="00016A8A" w:rsidRPr="00374299" w:rsidRDefault="00016A8A" w:rsidP="00016A8A">
      <w:pPr>
        <w:pStyle w:val="Heading2"/>
        <w:spacing w:before="120" w:line="280" w:lineRule="exact"/>
        <w:jc w:val="both"/>
        <w:rPr>
          <w:rFonts w:eastAsia="Times New Roman"/>
        </w:rPr>
      </w:pPr>
      <w:bookmarkStart w:id="97" w:name="_Toc79056717"/>
      <w:bookmarkStart w:id="98" w:name="_Toc79071698"/>
      <w:bookmarkStart w:id="99" w:name="_Toc79071884"/>
      <w:bookmarkStart w:id="100" w:name="_Toc79154196"/>
      <w:bookmarkStart w:id="101" w:name="_Toc79154289"/>
      <w:bookmarkStart w:id="102" w:name="_Toc79154765"/>
      <w:bookmarkStart w:id="103" w:name="_Toc79570835"/>
      <w:bookmarkStart w:id="104" w:name="_Toc90456678"/>
      <w:r w:rsidRPr="006361A7">
        <w:rPr>
          <w:rFonts w:eastAsia="Times New Roman"/>
        </w:rPr>
        <w:t xml:space="preserve">Priority 3:  </w:t>
      </w:r>
      <w:r w:rsidRPr="00AB7D05">
        <w:rPr>
          <w:rFonts w:eastAsia="Times New Roman"/>
        </w:rPr>
        <w:t>Reduce donor and patient adverse events</w:t>
      </w:r>
      <w:bookmarkEnd w:id="97"/>
      <w:bookmarkEnd w:id="98"/>
      <w:bookmarkEnd w:id="99"/>
      <w:bookmarkEnd w:id="100"/>
      <w:bookmarkEnd w:id="101"/>
      <w:bookmarkEnd w:id="102"/>
      <w:bookmarkEnd w:id="103"/>
      <w:bookmarkEnd w:id="104"/>
    </w:p>
    <w:p w14:paraId="483D78E7" w14:textId="46510779" w:rsidR="0037289A" w:rsidRDefault="00016A8A" w:rsidP="00016A8A">
      <w:pPr>
        <w:pStyle w:val="1Dot-point"/>
        <w:numPr>
          <w:ilvl w:val="0"/>
          <w:numId w:val="0"/>
        </w:numPr>
        <w:spacing w:line="280" w:lineRule="exact"/>
        <w:jc w:val="both"/>
        <w:rPr>
          <w:rFonts w:cs="Arial"/>
        </w:rPr>
      </w:pPr>
      <w:r>
        <w:rPr>
          <w:rFonts w:cs="Arial"/>
        </w:rPr>
        <w:t>Priority 3</w:t>
      </w:r>
      <w:r w:rsidRPr="002D41A4">
        <w:rPr>
          <w:rFonts w:cs="Arial"/>
        </w:rPr>
        <w:t xml:space="preserve"> of the </w:t>
      </w:r>
      <w:r w:rsidR="00517AB7" w:rsidRPr="002D41A4">
        <w:rPr>
          <w:rFonts w:cs="Arial"/>
        </w:rPr>
        <w:t>202</w:t>
      </w:r>
      <w:r w:rsidR="00517AB7">
        <w:rPr>
          <w:rFonts w:cs="Arial"/>
        </w:rPr>
        <w:t>2</w:t>
      </w:r>
      <w:r w:rsidRPr="002D41A4">
        <w:rPr>
          <w:rFonts w:cs="Arial"/>
        </w:rPr>
        <w:t xml:space="preserve">-27 Priorities is to </w:t>
      </w:r>
      <w:r>
        <w:rPr>
          <w:rFonts w:cs="Arial"/>
        </w:rPr>
        <w:t>‘</w:t>
      </w:r>
      <w:r w:rsidRPr="00AB7D05">
        <w:rPr>
          <w:rFonts w:eastAsia="Times New Roman"/>
        </w:rPr>
        <w:t>Reduce donor and patient adverse events</w:t>
      </w:r>
      <w:r w:rsidRPr="002D41A4">
        <w:rPr>
          <w:rFonts w:cs="Arial"/>
        </w:rPr>
        <w:t>.</w:t>
      </w:r>
      <w:r>
        <w:rPr>
          <w:rFonts w:eastAsia="Times New Roman"/>
        </w:rPr>
        <w:t>’</w:t>
      </w:r>
      <w:r w:rsidRPr="002D41A4">
        <w:rPr>
          <w:rFonts w:cs="Arial"/>
        </w:rPr>
        <w:t xml:space="preserve"> This represents a change </w:t>
      </w:r>
      <w:r w:rsidR="00DA2943" w:rsidRPr="002D41A4">
        <w:rPr>
          <w:rFonts w:cs="Arial"/>
        </w:rPr>
        <w:t>f</w:t>
      </w:r>
      <w:r w:rsidR="00DA2943">
        <w:rPr>
          <w:rFonts w:cs="Arial"/>
        </w:rPr>
        <w:t>or Priority 3 from the 2013-16</w:t>
      </w:r>
      <w:r w:rsidR="00DA2943" w:rsidRPr="002D41A4">
        <w:rPr>
          <w:rFonts w:cs="Arial"/>
        </w:rPr>
        <w:t xml:space="preserve"> </w:t>
      </w:r>
      <w:r w:rsidR="00DA2943">
        <w:rPr>
          <w:rFonts w:cs="Arial"/>
        </w:rPr>
        <w:t>Priorities</w:t>
      </w:r>
      <w:r w:rsidRPr="002D41A4">
        <w:rPr>
          <w:rFonts w:cs="Arial"/>
        </w:rPr>
        <w:t>, which was ‘</w:t>
      </w:r>
      <w:r>
        <w:rPr>
          <w:rFonts w:cs="Arial"/>
        </w:rPr>
        <w:t>To reduce donor and patient adverse events</w:t>
      </w:r>
      <w:r w:rsidRPr="002D41A4">
        <w:rPr>
          <w:rFonts w:cs="Arial"/>
        </w:rPr>
        <w:t>.</w:t>
      </w:r>
      <w:r>
        <w:rPr>
          <w:rFonts w:cs="Arial"/>
        </w:rPr>
        <w:t>’</w:t>
      </w:r>
      <w:r w:rsidRPr="002D41A4">
        <w:rPr>
          <w:rFonts w:cs="Arial"/>
        </w:rPr>
        <w:t xml:space="preserve"> </w:t>
      </w:r>
    </w:p>
    <w:p w14:paraId="774A5518" w14:textId="77777777" w:rsidR="00E00DC4" w:rsidRPr="00087B72" w:rsidRDefault="00E00DC4" w:rsidP="00E00DC4">
      <w:pPr>
        <w:pStyle w:val="BodyText"/>
        <w:spacing w:before="0" w:after="80"/>
        <w:jc w:val="both"/>
        <w:rPr>
          <w:rFonts w:asciiTheme="majorHAnsi" w:hAnsiTheme="majorHAnsi"/>
          <w:b/>
          <w:color w:val="36424A" w:themeColor="text2"/>
          <w:sz w:val="24"/>
          <w:lang w:val="en-AU"/>
        </w:rPr>
      </w:pPr>
      <w:r w:rsidRPr="00087B72">
        <w:rPr>
          <w:rFonts w:asciiTheme="majorHAnsi" w:hAnsiTheme="majorHAnsi"/>
          <w:b/>
          <w:color w:val="36424A" w:themeColor="text2"/>
          <w:sz w:val="24"/>
          <w:lang w:val="en-AU"/>
        </w:rPr>
        <w:t>Research activities that:</w:t>
      </w:r>
    </w:p>
    <w:p w14:paraId="79AF6B62" w14:textId="77777777" w:rsidR="00E00DC4" w:rsidRPr="00087B72" w:rsidRDefault="00E00DC4" w:rsidP="00E00DC4">
      <w:pPr>
        <w:pStyle w:val="BodyText"/>
        <w:numPr>
          <w:ilvl w:val="0"/>
          <w:numId w:val="40"/>
        </w:numPr>
        <w:spacing w:before="0" w:after="80"/>
        <w:ind w:left="432"/>
        <w:jc w:val="both"/>
        <w:rPr>
          <w:rFonts w:ascii="Arial" w:hAnsi="Arial" w:cs="Arial"/>
        </w:rPr>
      </w:pPr>
      <w:r w:rsidRPr="00087B72">
        <w:rPr>
          <w:rFonts w:ascii="Arial" w:hAnsi="Arial" w:cs="Arial"/>
        </w:rPr>
        <w:t>Develop evidence and strategies related to systematic and timely monitoring of adverse events following transfusion.</w:t>
      </w:r>
    </w:p>
    <w:p w14:paraId="59B77D92" w14:textId="77777777" w:rsidR="00E00DC4" w:rsidRPr="00087B72" w:rsidRDefault="00E00DC4" w:rsidP="00E00DC4">
      <w:pPr>
        <w:pStyle w:val="BodyText"/>
        <w:numPr>
          <w:ilvl w:val="0"/>
          <w:numId w:val="40"/>
        </w:numPr>
        <w:spacing w:before="0" w:after="80"/>
        <w:ind w:left="432"/>
        <w:jc w:val="both"/>
        <w:rPr>
          <w:rFonts w:ascii="Arial" w:hAnsi="Arial" w:cs="Arial"/>
        </w:rPr>
      </w:pPr>
      <w:r w:rsidRPr="00087B72">
        <w:rPr>
          <w:rFonts w:ascii="Arial" w:hAnsi="Arial" w:cs="Arial"/>
        </w:rPr>
        <w:t>Identify and analyse characteristics of human factors, technology changes, physiological and product characteristics which contribute to adverse events, and identification of opportunities for improvement.</w:t>
      </w:r>
    </w:p>
    <w:p w14:paraId="6F592453" w14:textId="77777777" w:rsidR="00E00DC4" w:rsidRPr="00087B72" w:rsidRDefault="00E00DC4" w:rsidP="00E00DC4">
      <w:pPr>
        <w:pStyle w:val="BodyText"/>
        <w:numPr>
          <w:ilvl w:val="0"/>
          <w:numId w:val="40"/>
        </w:numPr>
        <w:spacing w:before="0" w:after="80"/>
        <w:ind w:left="432"/>
        <w:jc w:val="both"/>
        <w:rPr>
          <w:rFonts w:ascii="Arial" w:hAnsi="Arial" w:cs="Arial"/>
        </w:rPr>
      </w:pPr>
      <w:r w:rsidRPr="00087B72">
        <w:rPr>
          <w:rFonts w:ascii="Arial" w:hAnsi="Arial" w:cs="Arial"/>
        </w:rPr>
        <w:t>Undertake systematic examination and review of blood sector strategies related to reducing, recognising and responding to adverse events.</w:t>
      </w:r>
    </w:p>
    <w:p w14:paraId="49D37FA2" w14:textId="77777777" w:rsidR="00E00DC4" w:rsidRPr="00087B72" w:rsidRDefault="00E00DC4" w:rsidP="00E00DC4">
      <w:pPr>
        <w:pStyle w:val="BodyText"/>
        <w:spacing w:before="0" w:after="80"/>
        <w:jc w:val="both"/>
        <w:rPr>
          <w:rFonts w:asciiTheme="majorHAnsi" w:hAnsiTheme="majorHAnsi"/>
          <w:b/>
          <w:color w:val="36424A" w:themeColor="text2"/>
          <w:sz w:val="24"/>
          <w:lang w:val="en-AU"/>
        </w:rPr>
      </w:pPr>
      <w:r w:rsidRPr="00087B72">
        <w:rPr>
          <w:rFonts w:asciiTheme="majorHAnsi" w:hAnsiTheme="majorHAnsi"/>
          <w:b/>
          <w:color w:val="36424A" w:themeColor="text2"/>
          <w:sz w:val="24"/>
          <w:lang w:val="en-AU"/>
        </w:rPr>
        <w:t>Research translation activities that:</w:t>
      </w:r>
    </w:p>
    <w:p w14:paraId="7C8C11F4" w14:textId="77777777" w:rsidR="00CB3575" w:rsidRPr="00087B72" w:rsidRDefault="00E00DC4" w:rsidP="00E00DC4">
      <w:pPr>
        <w:pStyle w:val="BodyText"/>
        <w:numPr>
          <w:ilvl w:val="0"/>
          <w:numId w:val="40"/>
        </w:numPr>
        <w:spacing w:before="0" w:after="80"/>
        <w:ind w:left="432"/>
        <w:jc w:val="both"/>
        <w:rPr>
          <w:rFonts w:ascii="Arial" w:hAnsi="Arial" w:cs="Arial"/>
        </w:rPr>
      </w:pPr>
      <w:r w:rsidRPr="00087B72">
        <w:rPr>
          <w:rFonts w:ascii="Arial" w:hAnsi="Arial" w:cs="Arial"/>
        </w:rPr>
        <w:t>Develop and evaluate models aimed at empowering patients and donors to understand and respond to an adverse event.</w:t>
      </w:r>
    </w:p>
    <w:p w14:paraId="63D7CC50" w14:textId="77777777" w:rsidR="00CB3575" w:rsidRPr="00087B72" w:rsidRDefault="00E00DC4" w:rsidP="00CB3575">
      <w:pPr>
        <w:pStyle w:val="BodyText"/>
        <w:numPr>
          <w:ilvl w:val="0"/>
          <w:numId w:val="40"/>
        </w:numPr>
        <w:spacing w:before="0" w:after="80"/>
        <w:ind w:left="432"/>
        <w:jc w:val="both"/>
        <w:rPr>
          <w:rFonts w:ascii="Arial" w:hAnsi="Arial" w:cs="Arial"/>
        </w:rPr>
      </w:pPr>
      <w:r w:rsidRPr="00087B72">
        <w:rPr>
          <w:rFonts w:ascii="Arial" w:hAnsi="Arial" w:cs="Arial"/>
        </w:rPr>
        <w:t>Identif</w:t>
      </w:r>
      <w:r w:rsidR="00CB3575" w:rsidRPr="00087B72">
        <w:rPr>
          <w:rFonts w:ascii="Arial" w:hAnsi="Arial" w:cs="Arial"/>
        </w:rPr>
        <w:t>ies</w:t>
      </w:r>
      <w:r w:rsidRPr="00087B72">
        <w:rPr>
          <w:rFonts w:ascii="Arial" w:hAnsi="Arial" w:cs="Arial"/>
        </w:rPr>
        <w:t xml:space="preserve"> and analyses changes in blood characteristics following multiple blood donations related to the development of iron deficiency in donors, and strategies to reduce its occurrence.</w:t>
      </w:r>
      <w:r w:rsidR="00CB3575" w:rsidRPr="00087B72">
        <w:rPr>
          <w:rFonts w:ascii="Arial" w:hAnsi="Arial" w:cs="Arial"/>
        </w:rPr>
        <w:t xml:space="preserve"> </w:t>
      </w:r>
    </w:p>
    <w:p w14:paraId="13623AF1" w14:textId="238942E3" w:rsidR="00CB3575" w:rsidRPr="00087B72" w:rsidRDefault="00CB3575" w:rsidP="00087B72">
      <w:pPr>
        <w:pStyle w:val="BodyText"/>
        <w:numPr>
          <w:ilvl w:val="0"/>
          <w:numId w:val="40"/>
        </w:numPr>
        <w:spacing w:before="0" w:after="80"/>
        <w:ind w:left="432"/>
        <w:jc w:val="both"/>
        <w:rPr>
          <w:rFonts w:ascii="Arial" w:hAnsi="Arial" w:cs="Arial"/>
        </w:rPr>
      </w:pPr>
      <w:r w:rsidRPr="00087B72">
        <w:rPr>
          <w:rFonts w:ascii="Arial" w:hAnsi="Arial" w:cs="Arial"/>
        </w:rPr>
        <w:t>Identifies and evaluates treatment protocols for bleeding disorders that most effectively reduce the risk of, and manage the development of, inhibitory antibody responses.</w:t>
      </w:r>
    </w:p>
    <w:p w14:paraId="101005D7" w14:textId="06817C0C" w:rsidR="00507FEC" w:rsidRPr="0073198B" w:rsidRDefault="00507FEC" w:rsidP="0073198B">
      <w:pPr>
        <w:pStyle w:val="1Dot-point"/>
        <w:numPr>
          <w:ilvl w:val="0"/>
          <w:numId w:val="0"/>
        </w:numPr>
        <w:spacing w:line="280" w:lineRule="exact"/>
        <w:jc w:val="both"/>
        <w:rPr>
          <w:rFonts w:asciiTheme="majorHAnsi" w:hAnsiTheme="majorHAnsi"/>
          <w:b/>
          <w:color w:val="36424A" w:themeColor="text2"/>
          <w:sz w:val="24"/>
        </w:rPr>
      </w:pPr>
      <w:r w:rsidRPr="0073198B">
        <w:rPr>
          <w:rFonts w:asciiTheme="majorHAnsi" w:hAnsiTheme="majorHAnsi"/>
          <w:b/>
          <w:color w:val="36424A" w:themeColor="text2"/>
          <w:sz w:val="24"/>
        </w:rPr>
        <w:t xml:space="preserve">Assessment of </w:t>
      </w:r>
      <w:r w:rsidR="00D74FA7">
        <w:rPr>
          <w:rFonts w:asciiTheme="majorHAnsi" w:hAnsiTheme="majorHAnsi"/>
          <w:b/>
          <w:color w:val="36424A" w:themeColor="text2"/>
          <w:sz w:val="24"/>
        </w:rPr>
        <w:t xml:space="preserve">the </w:t>
      </w:r>
      <w:r w:rsidRPr="0073198B">
        <w:rPr>
          <w:rFonts w:asciiTheme="majorHAnsi" w:hAnsiTheme="majorHAnsi"/>
          <w:b/>
          <w:color w:val="36424A" w:themeColor="text2"/>
          <w:sz w:val="24"/>
        </w:rPr>
        <w:t>2013-16 Priorities</w:t>
      </w:r>
    </w:p>
    <w:p w14:paraId="6F9C727D" w14:textId="1A3F3FE7" w:rsidR="00016A8A" w:rsidRPr="00AF2276" w:rsidRDefault="00620DFF" w:rsidP="00016A8A">
      <w:pPr>
        <w:spacing w:before="120" w:after="120" w:line="280" w:lineRule="exact"/>
        <w:jc w:val="both"/>
        <w:rPr>
          <w:rFonts w:ascii="Arial" w:hAnsi="Arial" w:cs="Arial"/>
        </w:rPr>
      </w:pPr>
      <w:r>
        <w:rPr>
          <w:rFonts w:ascii="Arial" w:hAnsi="Arial" w:cs="Arial"/>
        </w:rPr>
        <w:t>Since</w:t>
      </w:r>
      <w:r w:rsidRPr="00AF2276">
        <w:rPr>
          <w:rFonts w:ascii="Arial" w:hAnsi="Arial" w:cs="Arial"/>
        </w:rPr>
        <w:t xml:space="preserve"> 2013</w:t>
      </w:r>
      <w:r>
        <w:rPr>
          <w:rFonts w:ascii="Arial" w:hAnsi="Arial" w:cs="Arial"/>
        </w:rPr>
        <w:t>,</w:t>
      </w:r>
      <w:r w:rsidRPr="00AF2276">
        <w:rPr>
          <w:rFonts w:ascii="Arial" w:hAnsi="Arial" w:cs="Arial"/>
        </w:rPr>
        <w:t xml:space="preserve"> </w:t>
      </w:r>
      <w:r>
        <w:rPr>
          <w:rFonts w:ascii="Arial" w:hAnsi="Arial" w:cs="Arial"/>
        </w:rPr>
        <w:t>r</w:t>
      </w:r>
      <w:r w:rsidR="00016A8A" w:rsidRPr="00AF2276">
        <w:rPr>
          <w:rFonts w:ascii="Arial" w:hAnsi="Arial" w:cs="Arial"/>
        </w:rPr>
        <w:t>esearch and development activities funded or undertaken to reduce donor and patient adverse events includ</w:t>
      </w:r>
      <w:r w:rsidR="00D95967">
        <w:rPr>
          <w:rFonts w:ascii="Arial" w:hAnsi="Arial" w:cs="Arial"/>
        </w:rPr>
        <w:t>e</w:t>
      </w:r>
      <w:r w:rsidR="00016A8A" w:rsidRPr="00AF2276">
        <w:rPr>
          <w:rFonts w:ascii="Arial" w:hAnsi="Arial" w:cs="Arial"/>
        </w:rPr>
        <w:t xml:space="preserve"> national haemovigilance reporting and research by the Australian Red Cross Lifeblood. However, several researchers say there needs to be a greater focus on haemovigilance data collection to enhance monitoring of adverse events.</w:t>
      </w:r>
    </w:p>
    <w:p w14:paraId="5FE12B01" w14:textId="77777777" w:rsidR="00016A8A" w:rsidRPr="0044778D" w:rsidRDefault="00016A8A" w:rsidP="00016A8A">
      <w:pPr>
        <w:pStyle w:val="1Dot-point"/>
        <w:numPr>
          <w:ilvl w:val="0"/>
          <w:numId w:val="0"/>
        </w:numPr>
        <w:spacing w:line="280" w:lineRule="exact"/>
        <w:jc w:val="both"/>
        <w:rPr>
          <w:rFonts w:asciiTheme="majorHAnsi" w:hAnsiTheme="majorHAnsi"/>
          <w:b/>
          <w:color w:val="36424A" w:themeColor="text2"/>
          <w:sz w:val="24"/>
        </w:rPr>
      </w:pPr>
      <w:r w:rsidRPr="0044778D">
        <w:rPr>
          <w:rFonts w:asciiTheme="majorHAnsi" w:hAnsiTheme="majorHAnsi"/>
          <w:b/>
          <w:color w:val="36424A" w:themeColor="text2"/>
          <w:sz w:val="24"/>
        </w:rPr>
        <w:t>Consultation</w:t>
      </w:r>
    </w:p>
    <w:p w14:paraId="524AB998" w14:textId="77777777" w:rsidR="00620DFF" w:rsidRDefault="00016A8A" w:rsidP="00016A8A">
      <w:pPr>
        <w:spacing w:before="120" w:after="120" w:line="280" w:lineRule="exact"/>
        <w:jc w:val="both"/>
        <w:rPr>
          <w:rFonts w:ascii="Arial" w:hAnsi="Arial" w:cs="Arial"/>
          <w:color w:val="000000"/>
        </w:rPr>
      </w:pPr>
      <w:r w:rsidRPr="00E465C1">
        <w:rPr>
          <w:rFonts w:ascii="Arial" w:hAnsi="Arial" w:cs="Arial"/>
          <w:color w:val="000000"/>
        </w:rPr>
        <w:t>The consultation process showed strong support for retaining the current/previous wording of Priority 3 (</w:t>
      </w:r>
      <w:r w:rsidRPr="00E465C1">
        <w:rPr>
          <w:rFonts w:ascii="Arial" w:hAnsi="Arial" w:cs="Arial"/>
          <w:i/>
          <w:color w:val="000000"/>
        </w:rPr>
        <w:t>To reduce donor and patient adverse events</w:t>
      </w:r>
      <w:r w:rsidRPr="00E465C1">
        <w:rPr>
          <w:rFonts w:ascii="Arial" w:hAnsi="Arial" w:cs="Arial"/>
          <w:color w:val="000000"/>
        </w:rPr>
        <w:t>), with some amendments and updates.</w:t>
      </w:r>
      <w:r>
        <w:rPr>
          <w:rFonts w:ascii="Arial" w:hAnsi="Arial" w:cs="Arial"/>
          <w:color w:val="000000"/>
        </w:rPr>
        <w:t xml:space="preserve"> </w:t>
      </w:r>
    </w:p>
    <w:p w14:paraId="5C3BC078" w14:textId="74E07240" w:rsidR="00016A8A" w:rsidRDefault="00CE2306" w:rsidP="00016A8A">
      <w:pPr>
        <w:spacing w:before="120" w:after="120" w:line="280" w:lineRule="exact"/>
        <w:jc w:val="both"/>
        <w:rPr>
          <w:rFonts w:ascii="Arial" w:hAnsi="Arial" w:cs="Arial"/>
          <w:color w:val="000000"/>
          <w:lang w:val="en-AU"/>
        </w:rPr>
      </w:pPr>
      <w:r>
        <w:rPr>
          <w:rFonts w:ascii="Arial" w:hAnsi="Arial" w:cs="Arial"/>
          <w:color w:val="000000"/>
          <w:lang w:val="en-AU"/>
        </w:rPr>
        <w:t xml:space="preserve">Figure 8 </w:t>
      </w:r>
      <w:r w:rsidR="00016A8A">
        <w:rPr>
          <w:rFonts w:ascii="Arial" w:hAnsi="Arial" w:cs="Arial"/>
          <w:color w:val="000000"/>
          <w:lang w:val="en-AU"/>
        </w:rPr>
        <w:t xml:space="preserve">summarises the </w:t>
      </w:r>
      <w:r w:rsidR="00620DFF">
        <w:rPr>
          <w:rFonts w:ascii="Arial" w:hAnsi="Arial" w:cs="Arial"/>
          <w:color w:val="000000"/>
          <w:lang w:val="en-AU"/>
        </w:rPr>
        <w:t xml:space="preserve">questionnaire </w:t>
      </w:r>
      <w:r w:rsidR="00016A8A">
        <w:rPr>
          <w:rFonts w:ascii="Arial" w:hAnsi="Arial" w:cs="Arial"/>
          <w:color w:val="000000"/>
          <w:lang w:val="en-AU"/>
        </w:rPr>
        <w:t>response</w:t>
      </w:r>
      <w:r w:rsidR="00620DFF">
        <w:rPr>
          <w:rFonts w:ascii="Arial" w:hAnsi="Arial" w:cs="Arial"/>
          <w:color w:val="000000"/>
          <w:lang w:val="en-AU"/>
        </w:rPr>
        <w:t>s</w:t>
      </w:r>
      <w:r w:rsidR="00016A8A">
        <w:rPr>
          <w:rFonts w:ascii="Arial" w:hAnsi="Arial" w:cs="Arial"/>
          <w:color w:val="000000"/>
          <w:lang w:val="en-AU"/>
        </w:rPr>
        <w:t>.</w:t>
      </w:r>
    </w:p>
    <w:p w14:paraId="39A80079" w14:textId="73AA037C" w:rsidR="00CE2306" w:rsidRPr="004B3E3E" w:rsidRDefault="00CE2306" w:rsidP="00087B72">
      <w:pPr>
        <w:pStyle w:val="Caption"/>
        <w:rPr>
          <w:rFonts w:ascii="Arial" w:hAnsi="Arial" w:cs="Arial"/>
          <w:color w:val="000000"/>
          <w:lang w:val="en-AU"/>
        </w:rPr>
      </w:pPr>
      <w:bookmarkStart w:id="105" w:name="_Toc90462706"/>
      <w:r>
        <w:t xml:space="preserve">Figure </w:t>
      </w:r>
      <w:r>
        <w:fldChar w:fldCharType="begin"/>
      </w:r>
      <w:r>
        <w:instrText xml:space="preserve"> SEQ Figure \* ARABIC </w:instrText>
      </w:r>
      <w:r>
        <w:fldChar w:fldCharType="separate"/>
      </w:r>
      <w:r w:rsidR="00A25C74">
        <w:rPr>
          <w:noProof/>
        </w:rPr>
        <w:t>8</w:t>
      </w:r>
      <w:r>
        <w:fldChar w:fldCharType="end"/>
      </w:r>
      <w:r>
        <w:t xml:space="preserve">: </w:t>
      </w:r>
      <w:r w:rsidRPr="00E46645">
        <w:t>Support for retaining, amending, retiring Priority 3</w:t>
      </w:r>
      <w:bookmarkEnd w:id="105"/>
    </w:p>
    <w:p w14:paraId="53199828" w14:textId="77777777" w:rsidR="00016A8A" w:rsidRPr="00374299" w:rsidRDefault="00016A8A" w:rsidP="00016A8A">
      <w:pPr>
        <w:pStyle w:val="1Dot-point"/>
        <w:spacing w:line="280" w:lineRule="exact"/>
        <w:jc w:val="both"/>
        <w:rPr>
          <w:rFonts w:cs="Arial"/>
        </w:rPr>
      </w:pPr>
      <w:r w:rsidRPr="00374299">
        <w:rPr>
          <w:rFonts w:cs="Arial"/>
        </w:rPr>
        <w:t>Retain: 73% (30)</w:t>
      </w:r>
    </w:p>
    <w:p w14:paraId="17EF11B9" w14:textId="77777777" w:rsidR="00016A8A" w:rsidRPr="00374299" w:rsidRDefault="00016A8A" w:rsidP="00016A8A">
      <w:pPr>
        <w:pStyle w:val="1Dot-point"/>
        <w:spacing w:line="280" w:lineRule="exact"/>
        <w:jc w:val="both"/>
        <w:rPr>
          <w:rFonts w:cs="Arial"/>
        </w:rPr>
      </w:pPr>
      <w:r w:rsidRPr="00374299">
        <w:rPr>
          <w:rFonts w:cs="Arial"/>
        </w:rPr>
        <w:t>Retain with amendment: 22% (9)</w:t>
      </w:r>
    </w:p>
    <w:p w14:paraId="49879BDB" w14:textId="231FA022" w:rsidR="00016A8A" w:rsidRDefault="00FD2BFD" w:rsidP="00016A8A">
      <w:pPr>
        <w:pStyle w:val="1Dot-point"/>
        <w:spacing w:line="280" w:lineRule="exact"/>
        <w:jc w:val="both"/>
        <w:rPr>
          <w:rFonts w:cs="Arial"/>
        </w:rPr>
      </w:pPr>
      <w:r>
        <w:rPr>
          <w:noProof/>
          <w:lang w:eastAsia="en-AU"/>
        </w:rPr>
        <w:drawing>
          <wp:anchor distT="0" distB="0" distL="114300" distR="114300" simplePos="0" relativeHeight="251649536" behindDoc="0" locked="0" layoutInCell="1" allowOverlap="1" wp14:anchorId="6F436C98" wp14:editId="7DB6C174">
            <wp:simplePos x="0" y="0"/>
            <wp:positionH relativeFrom="column">
              <wp:posOffset>-3175</wp:posOffset>
            </wp:positionH>
            <wp:positionV relativeFrom="paragraph">
              <wp:posOffset>266700</wp:posOffset>
            </wp:positionV>
            <wp:extent cx="2880000" cy="1349103"/>
            <wp:effectExtent l="0" t="0" r="0" b="3810"/>
            <wp:wrapTopAndBottom/>
            <wp:docPr id="102" name="Graphic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phic 102">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0" cy="1349103"/>
                    </a:xfrm>
                    <a:prstGeom prst="rect">
                      <a:avLst/>
                    </a:prstGeom>
                  </pic:spPr>
                </pic:pic>
              </a:graphicData>
            </a:graphic>
            <wp14:sizeRelH relativeFrom="margin">
              <wp14:pctWidth>0</wp14:pctWidth>
            </wp14:sizeRelH>
            <wp14:sizeRelV relativeFrom="margin">
              <wp14:pctHeight>0</wp14:pctHeight>
            </wp14:sizeRelV>
          </wp:anchor>
        </w:drawing>
      </w:r>
      <w:r w:rsidR="00016A8A" w:rsidRPr="00374299">
        <w:rPr>
          <w:rFonts w:cs="Arial"/>
        </w:rPr>
        <w:t>Retire: 5% (2)</w:t>
      </w:r>
    </w:p>
    <w:p w14:paraId="7272FC7E" w14:textId="77777777" w:rsidR="00016A8A" w:rsidRDefault="00016A8A" w:rsidP="00016A8A">
      <w:pPr>
        <w:pStyle w:val="1Dot-point"/>
        <w:numPr>
          <w:ilvl w:val="0"/>
          <w:numId w:val="0"/>
        </w:numPr>
        <w:spacing w:line="280" w:lineRule="exact"/>
        <w:jc w:val="both"/>
        <w:rPr>
          <w:rFonts w:cs="Arial"/>
        </w:rPr>
      </w:pPr>
    </w:p>
    <w:p w14:paraId="74C60A0C" w14:textId="77777777" w:rsidR="00016A8A" w:rsidRDefault="00016A8A" w:rsidP="00016A8A">
      <w:pPr>
        <w:pStyle w:val="1Dot-point"/>
        <w:numPr>
          <w:ilvl w:val="0"/>
          <w:numId w:val="0"/>
        </w:numPr>
        <w:spacing w:line="280" w:lineRule="exact"/>
        <w:jc w:val="both"/>
        <w:rPr>
          <w:rFonts w:cs="Arial"/>
        </w:rPr>
      </w:pPr>
      <w:r>
        <w:rPr>
          <w:rFonts w:cs="Arial"/>
        </w:rPr>
        <w:t>Representatives from s</w:t>
      </w:r>
      <w:r w:rsidRPr="00374299">
        <w:rPr>
          <w:rFonts w:cs="Arial"/>
        </w:rPr>
        <w:t>tate government agencies supported the continuation of this priority.</w:t>
      </w:r>
      <w:r>
        <w:rPr>
          <w:rFonts w:cs="Arial"/>
        </w:rPr>
        <w:t xml:space="preserve"> One state government agency said that </w:t>
      </w:r>
      <w:r w:rsidRPr="00A13E1A">
        <w:rPr>
          <w:rFonts w:cs="Arial"/>
        </w:rPr>
        <w:t>‘Donor adverse events</w:t>
      </w:r>
      <w:r w:rsidRPr="00374299">
        <w:rPr>
          <w:rFonts w:cs="Arial"/>
        </w:rPr>
        <w:t xml:space="preserve"> relate to the priorities of Lifeblood and should be reported to the NBA</w:t>
      </w:r>
      <w:r>
        <w:rPr>
          <w:rFonts w:cs="Arial"/>
        </w:rPr>
        <w:t>.</w:t>
      </w:r>
      <w:r w:rsidRPr="00374299">
        <w:rPr>
          <w:rFonts w:cs="Arial"/>
        </w:rPr>
        <w:t xml:space="preserve"> Patient adverse events continue as a priority for all jurisdictions’ - </w:t>
      </w:r>
      <w:r>
        <w:rPr>
          <w:rFonts w:cs="Arial"/>
        </w:rPr>
        <w:t>recommending that</w:t>
      </w:r>
      <w:r w:rsidRPr="00374299">
        <w:rPr>
          <w:rFonts w:cs="Arial"/>
        </w:rPr>
        <w:t xml:space="preserve"> data collection </w:t>
      </w:r>
      <w:r>
        <w:rPr>
          <w:rFonts w:cs="Arial"/>
        </w:rPr>
        <w:t xml:space="preserve">be expanded </w:t>
      </w:r>
      <w:r w:rsidRPr="00374299">
        <w:rPr>
          <w:rFonts w:cs="Arial"/>
        </w:rPr>
        <w:t xml:space="preserve">to include procedural events and </w:t>
      </w:r>
      <w:r>
        <w:rPr>
          <w:rFonts w:cs="Arial"/>
        </w:rPr>
        <w:t>‘</w:t>
      </w:r>
      <w:r w:rsidRPr="00374299">
        <w:rPr>
          <w:rFonts w:cs="Arial"/>
        </w:rPr>
        <w:t>near miss</w:t>
      </w:r>
      <w:r>
        <w:rPr>
          <w:rFonts w:cs="Arial"/>
        </w:rPr>
        <w:t>es</w:t>
      </w:r>
      <w:r w:rsidRPr="00374299">
        <w:rPr>
          <w:rFonts w:cs="Arial"/>
        </w:rPr>
        <w:t>.</w:t>
      </w:r>
      <w:r>
        <w:rPr>
          <w:rFonts w:cs="Arial"/>
        </w:rPr>
        <w:t>’</w:t>
      </w:r>
      <w:r w:rsidRPr="00374299">
        <w:rPr>
          <w:rFonts w:cs="Arial"/>
        </w:rPr>
        <w:t xml:space="preserve"> </w:t>
      </w:r>
      <w:r>
        <w:rPr>
          <w:rFonts w:cs="Arial"/>
        </w:rPr>
        <w:t>One state government agency wished to ‘</w:t>
      </w:r>
      <w:r w:rsidRPr="00374299">
        <w:rPr>
          <w:rFonts w:cs="Arial"/>
        </w:rPr>
        <w:t>Emphasise the importance to health services of appropriate recognition of adverse events</w:t>
      </w:r>
      <w:r>
        <w:rPr>
          <w:rFonts w:cs="Arial"/>
        </w:rPr>
        <w:t>.</w:t>
      </w:r>
      <w:r w:rsidRPr="00374299">
        <w:rPr>
          <w:rFonts w:cs="Arial"/>
        </w:rPr>
        <w:t>’</w:t>
      </w:r>
      <w:r>
        <w:rPr>
          <w:rFonts w:cs="Arial"/>
        </w:rPr>
        <w:t xml:space="preserve"> </w:t>
      </w:r>
    </w:p>
    <w:p w14:paraId="6C7C5502" w14:textId="77777777" w:rsidR="00016A8A" w:rsidRPr="00E465C1" w:rsidRDefault="00016A8A" w:rsidP="00016A8A">
      <w:pPr>
        <w:pStyle w:val="1Dot-point"/>
        <w:numPr>
          <w:ilvl w:val="0"/>
          <w:numId w:val="0"/>
        </w:numPr>
        <w:spacing w:line="280" w:lineRule="exact"/>
        <w:jc w:val="both"/>
      </w:pPr>
      <w:r w:rsidRPr="00A13E1A">
        <w:t>Internal</w:t>
      </w:r>
      <w:r>
        <w:t xml:space="preserve"> stakeholders</w:t>
      </w:r>
      <w:r w:rsidRPr="00A13E1A">
        <w:t xml:space="preserve"> </w:t>
      </w:r>
      <w:r>
        <w:t>supported this view, with a focus on patient outcomes</w:t>
      </w:r>
      <w:r w:rsidRPr="00A13E1A">
        <w:t>: ‘Optimising delivery for the patient. Got to be a priority</w:t>
      </w:r>
      <w:r>
        <w:t>.</w:t>
      </w:r>
      <w:r w:rsidRPr="00A13E1A">
        <w:t>’</w:t>
      </w:r>
      <w:r w:rsidRPr="00492312">
        <w:t xml:space="preserve"> </w:t>
      </w:r>
      <w:r w:rsidRPr="00AE6648">
        <w:rPr>
          <w:rFonts w:cstheme="majorHAnsi"/>
          <w:color w:val="auto"/>
        </w:rPr>
        <w:t>Members of an NBA Advisory Committee also</w:t>
      </w:r>
      <w:r w:rsidRPr="00492312">
        <w:rPr>
          <w:rFonts w:cstheme="majorHAnsi"/>
          <w:color w:val="auto"/>
        </w:rPr>
        <w:t xml:space="preserve"> supported work toward</w:t>
      </w:r>
      <w:r>
        <w:rPr>
          <w:rFonts w:cstheme="majorHAnsi"/>
          <w:color w:val="auto"/>
        </w:rPr>
        <w:t>s</w:t>
      </w:r>
      <w:r w:rsidRPr="00492312">
        <w:rPr>
          <w:rFonts w:cstheme="majorHAnsi"/>
          <w:color w:val="auto"/>
        </w:rPr>
        <w:t xml:space="preserve"> a ‘</w:t>
      </w:r>
      <w:r w:rsidRPr="00492312">
        <w:rPr>
          <w:rFonts w:cstheme="majorHAnsi"/>
        </w:rPr>
        <w:t xml:space="preserve">Better understanding </w:t>
      </w:r>
      <w:r>
        <w:rPr>
          <w:rFonts w:cstheme="majorHAnsi"/>
        </w:rPr>
        <w:t xml:space="preserve">of </w:t>
      </w:r>
      <w:r w:rsidRPr="00492312">
        <w:rPr>
          <w:rFonts w:cstheme="majorHAnsi"/>
        </w:rPr>
        <w:t>what adverse reactions are, and what people know about adverse reactions.’</w:t>
      </w:r>
    </w:p>
    <w:p w14:paraId="78D6283B" w14:textId="77777777" w:rsidR="00016A8A" w:rsidRPr="0044778D" w:rsidRDefault="00016A8A" w:rsidP="00016A8A">
      <w:pPr>
        <w:pStyle w:val="1Dot-point"/>
        <w:numPr>
          <w:ilvl w:val="0"/>
          <w:numId w:val="0"/>
        </w:numPr>
        <w:spacing w:line="280" w:lineRule="exact"/>
        <w:jc w:val="both"/>
        <w:rPr>
          <w:rFonts w:asciiTheme="majorHAnsi" w:hAnsiTheme="majorHAnsi"/>
          <w:b/>
          <w:color w:val="36424A" w:themeColor="text2"/>
          <w:sz w:val="24"/>
        </w:rPr>
      </w:pPr>
      <w:r w:rsidRPr="0044778D">
        <w:rPr>
          <w:rFonts w:asciiTheme="majorHAnsi" w:hAnsiTheme="majorHAnsi"/>
          <w:b/>
          <w:color w:val="36424A" w:themeColor="text2"/>
          <w:sz w:val="24"/>
        </w:rPr>
        <w:t>Document review</w:t>
      </w:r>
    </w:p>
    <w:p w14:paraId="4AD25F09" w14:textId="76F43649" w:rsidR="00016A8A" w:rsidRPr="00374299" w:rsidRDefault="00016A8A" w:rsidP="00591260">
      <w:pPr>
        <w:pStyle w:val="1Dot-point"/>
        <w:numPr>
          <w:ilvl w:val="0"/>
          <w:numId w:val="0"/>
        </w:numPr>
        <w:spacing w:line="280" w:lineRule="exact"/>
        <w:jc w:val="both"/>
        <w:rPr>
          <w:rFonts w:cs="Arial"/>
        </w:rPr>
      </w:pPr>
      <w:r w:rsidRPr="00144CE3">
        <w:rPr>
          <w:rFonts w:cs="Arial"/>
        </w:rPr>
        <w:t xml:space="preserve">The </w:t>
      </w:r>
      <w:r w:rsidR="00790F46" w:rsidRPr="00063760">
        <w:rPr>
          <w:rFonts w:cs="Arial"/>
        </w:rPr>
        <w:t>National Safety and Quality Health Service (</w:t>
      </w:r>
      <w:r w:rsidR="00790F46" w:rsidRPr="00063760">
        <w:t>NSQHS</w:t>
      </w:r>
      <w:r w:rsidR="00790F46" w:rsidRPr="00063760">
        <w:rPr>
          <w:rFonts w:cs="Arial"/>
        </w:rPr>
        <w:t>) </w:t>
      </w:r>
      <w:r w:rsidR="00790F46" w:rsidRPr="00063760">
        <w:t>Standards</w:t>
      </w:r>
      <w:r w:rsidR="00790F46" w:rsidRPr="00591260">
        <w:rPr>
          <w:rFonts w:cs="Arial"/>
          <w:color w:val="auto"/>
        </w:rPr>
        <w:t xml:space="preserve"> </w:t>
      </w:r>
      <w:r w:rsidRPr="00591260">
        <w:rPr>
          <w:rFonts w:cs="Arial"/>
          <w:color w:val="auto"/>
        </w:rPr>
        <w:t xml:space="preserve">Blood Management </w:t>
      </w:r>
      <w:r w:rsidRPr="00790F46">
        <w:rPr>
          <w:rFonts w:cs="Arial"/>
        </w:rPr>
        <w:t>Standard and the National Blood Agreement establish</w:t>
      </w:r>
      <w:r w:rsidRPr="00144CE3">
        <w:rPr>
          <w:rFonts w:cs="Arial"/>
        </w:rPr>
        <w:t xml:space="preserve"> a focus on promoting safe blood and blood product-related services for patients and</w:t>
      </w:r>
      <w:r w:rsidRPr="00374299">
        <w:rPr>
          <w:rFonts w:cs="Arial"/>
        </w:rPr>
        <w:t xml:space="preserve"> donors.</w:t>
      </w:r>
      <w:r>
        <w:rPr>
          <w:rFonts w:cs="Arial"/>
        </w:rPr>
        <w:t xml:space="preserve"> </w:t>
      </w:r>
      <w:r w:rsidR="00151F30">
        <w:rPr>
          <w:rFonts w:cs="Arial"/>
        </w:rPr>
        <w:t xml:space="preserve">Specifically, the National Blood Agreement </w:t>
      </w:r>
      <w:r w:rsidR="00BC7911">
        <w:rPr>
          <w:rFonts w:cs="Arial"/>
        </w:rPr>
        <w:t xml:space="preserve">seeks to promote safe, </w:t>
      </w:r>
      <w:r w:rsidR="00D05C54">
        <w:rPr>
          <w:rFonts w:cs="Arial"/>
        </w:rPr>
        <w:t>high-quality</w:t>
      </w:r>
      <w:r w:rsidR="00BC7911">
        <w:rPr>
          <w:rFonts w:cs="Arial"/>
        </w:rPr>
        <w:t xml:space="preserve"> management and use of blood </w:t>
      </w:r>
      <w:r w:rsidR="00C8067B">
        <w:rPr>
          <w:rFonts w:cs="Arial"/>
        </w:rPr>
        <w:t xml:space="preserve">related </w:t>
      </w:r>
      <w:r w:rsidR="00BC7911">
        <w:rPr>
          <w:rFonts w:cs="Arial"/>
        </w:rPr>
        <w:t>products</w:t>
      </w:r>
      <w:r w:rsidR="00797E04">
        <w:rPr>
          <w:rFonts w:cs="Arial"/>
        </w:rPr>
        <w:t xml:space="preserve"> </w:t>
      </w:r>
      <w:r w:rsidR="00C8067B">
        <w:rPr>
          <w:rFonts w:cs="Arial"/>
        </w:rPr>
        <w:t>and blood related services in Australia.</w:t>
      </w:r>
      <w:r w:rsidR="00C8067B">
        <w:rPr>
          <w:rStyle w:val="FootnoteReference"/>
          <w:rFonts w:cs="Arial"/>
        </w:rPr>
        <w:footnoteReference w:id="43"/>
      </w:r>
    </w:p>
    <w:p w14:paraId="0394C300" w14:textId="77777777" w:rsidR="00016A8A" w:rsidRPr="00374299" w:rsidRDefault="00016A8A" w:rsidP="00591260">
      <w:pPr>
        <w:pStyle w:val="1Dot-point"/>
        <w:numPr>
          <w:ilvl w:val="0"/>
          <w:numId w:val="0"/>
        </w:numPr>
        <w:spacing w:line="280" w:lineRule="exact"/>
        <w:jc w:val="both"/>
        <w:rPr>
          <w:rFonts w:cs="Arial"/>
        </w:rPr>
      </w:pPr>
      <w:r w:rsidRPr="00374299">
        <w:rPr>
          <w:rFonts w:cs="Arial"/>
        </w:rPr>
        <w:t xml:space="preserve">Monitoring and reporting on unsafe outcomes, or adverse events, in patients and donors is a key mechanism which is used by researchers, clinicians and policy makers to design </w:t>
      </w:r>
      <w:r>
        <w:rPr>
          <w:rFonts w:cs="Arial"/>
        </w:rPr>
        <w:t xml:space="preserve">strategies </w:t>
      </w:r>
      <w:r w:rsidRPr="00374299">
        <w:rPr>
          <w:rFonts w:cs="Arial"/>
        </w:rPr>
        <w:t xml:space="preserve">to minimise adverse events. </w:t>
      </w:r>
    </w:p>
    <w:p w14:paraId="7D098B99" w14:textId="1A8B51F7" w:rsidR="00016A8A" w:rsidRDefault="00016A8A" w:rsidP="00591260">
      <w:pPr>
        <w:pStyle w:val="1Dot-point"/>
        <w:numPr>
          <w:ilvl w:val="0"/>
          <w:numId w:val="0"/>
        </w:numPr>
        <w:spacing w:line="280" w:lineRule="exact"/>
        <w:jc w:val="both"/>
        <w:rPr>
          <w:rFonts w:cs="Arial"/>
        </w:rPr>
      </w:pPr>
      <w:r w:rsidRPr="00374299">
        <w:rPr>
          <w:rFonts w:cs="Arial"/>
        </w:rPr>
        <w:t>To some</w:t>
      </w:r>
      <w:r w:rsidRPr="00591260">
        <w:rPr>
          <w:rFonts w:cs="Arial"/>
        </w:rPr>
        <w:t xml:space="preserve"> extent, this reporting occurs </w:t>
      </w:r>
      <w:r w:rsidRPr="006361A7">
        <w:t>through the regular publication of the National Haemovigilance Report</w:t>
      </w:r>
      <w:r w:rsidRPr="006361A7">
        <w:rPr>
          <w:vertAlign w:val="superscript"/>
        </w:rPr>
        <w:footnoteReference w:id="44"/>
      </w:r>
      <w:r w:rsidRPr="006361A7">
        <w:t xml:space="preserve"> and jurisdictional adverse transfusion reporting process </w:t>
      </w:r>
      <w:r>
        <w:t>such as</w:t>
      </w:r>
      <w:r w:rsidRPr="006361A7">
        <w:t xml:space="preserve"> Victoria’s Serious Transfusion Incident Reporting System.</w:t>
      </w:r>
      <w:r w:rsidRPr="006361A7">
        <w:rPr>
          <w:vertAlign w:val="superscript"/>
        </w:rPr>
        <w:footnoteReference w:id="45"/>
      </w:r>
      <w:r w:rsidRPr="006361A7">
        <w:t xml:space="preserve"> </w:t>
      </w:r>
      <w:r>
        <w:t>However, some g</w:t>
      </w:r>
      <w:r w:rsidRPr="006361A7">
        <w:t xml:space="preserve">aps remain, with the absence of a national haemovigilance data registry being reported by some researchers as materially impacting their ability to closely monitor haemovigilance in Australia. These </w:t>
      </w:r>
      <w:r w:rsidRPr="00374299">
        <w:rPr>
          <w:rFonts w:cs="Arial"/>
        </w:rPr>
        <w:t>researchers, along with state government officials, consider haemovigilance must be a priority for research and development in the blood sector to reduce</w:t>
      </w:r>
      <w:r w:rsidR="00270518">
        <w:rPr>
          <w:rFonts w:cs="Arial"/>
        </w:rPr>
        <w:t xml:space="preserve"> patient </w:t>
      </w:r>
      <w:r w:rsidRPr="00374299">
        <w:rPr>
          <w:rFonts w:cs="Arial"/>
        </w:rPr>
        <w:t>adverse events.</w:t>
      </w:r>
    </w:p>
    <w:p w14:paraId="723D5A0D" w14:textId="77777777" w:rsidR="00016A8A" w:rsidRDefault="00016A8A" w:rsidP="00016A8A">
      <w:pPr>
        <w:rPr>
          <w:rFonts w:ascii="Arial" w:hAnsi="Arial" w:cs="Arial"/>
          <w:color w:val="000000"/>
          <w:lang w:val="en-AU"/>
        </w:rPr>
      </w:pPr>
      <w:r>
        <w:rPr>
          <w:rFonts w:cs="Arial"/>
        </w:rPr>
        <w:br w:type="page"/>
      </w:r>
    </w:p>
    <w:p w14:paraId="4A5EB067" w14:textId="7C8CFB93" w:rsidR="007F28F2" w:rsidRDefault="007F28F2" w:rsidP="00016A8A">
      <w:pPr>
        <w:pStyle w:val="Heading2"/>
        <w:spacing w:before="120" w:line="280" w:lineRule="exact"/>
        <w:rPr>
          <w:rFonts w:eastAsia="Times New Roman"/>
        </w:rPr>
      </w:pPr>
      <w:bookmarkStart w:id="106" w:name="_Toc90456679"/>
      <w:bookmarkStart w:id="107" w:name="_Toc79056718"/>
      <w:bookmarkStart w:id="108" w:name="_Toc79071699"/>
      <w:bookmarkStart w:id="109" w:name="_Toc79071885"/>
      <w:bookmarkStart w:id="110" w:name="_Toc79154197"/>
      <w:bookmarkStart w:id="111" w:name="_Toc79154290"/>
      <w:bookmarkStart w:id="112" w:name="_Toc79154766"/>
      <w:bookmarkStart w:id="113" w:name="_Toc79570836"/>
      <w:r>
        <w:rPr>
          <w:rFonts w:eastAsia="Times New Roman"/>
        </w:rPr>
        <w:t>Enabler 1</w:t>
      </w:r>
      <w:r w:rsidR="00016A8A" w:rsidRPr="006361A7">
        <w:rPr>
          <w:rFonts w:eastAsia="Times New Roman"/>
        </w:rPr>
        <w:t xml:space="preserve">:  </w:t>
      </w:r>
      <w:r>
        <w:rPr>
          <w:rFonts w:eastAsia="Times New Roman"/>
        </w:rPr>
        <w:t>Improved data collection, accuracy and sharing</w:t>
      </w:r>
      <w:bookmarkEnd w:id="106"/>
    </w:p>
    <w:p w14:paraId="796315AB" w14:textId="77777777" w:rsidR="008F3BA2" w:rsidRDefault="008F3BA2" w:rsidP="008F3BA2">
      <w:pPr>
        <w:pStyle w:val="BodyText"/>
        <w:jc w:val="both"/>
        <w:rPr>
          <w:rFonts w:ascii="Arial" w:hAnsi="Arial" w:cs="Arial"/>
        </w:rPr>
      </w:pPr>
      <w:r>
        <w:rPr>
          <w:rFonts w:ascii="Arial" w:hAnsi="Arial" w:cs="Arial"/>
        </w:rPr>
        <w:t>Enabler 1</w:t>
      </w:r>
      <w:r w:rsidRPr="0009666D">
        <w:rPr>
          <w:rFonts w:ascii="Arial" w:hAnsi="Arial" w:cs="Arial"/>
        </w:rPr>
        <w:t xml:space="preserve"> is </w:t>
      </w:r>
      <w:r>
        <w:rPr>
          <w:rFonts w:ascii="Arial" w:hAnsi="Arial" w:cs="Arial"/>
        </w:rPr>
        <w:t>‘Improved data collection, accuracy and sharing</w:t>
      </w:r>
      <w:r w:rsidRPr="0009666D">
        <w:rPr>
          <w:rFonts w:ascii="Arial" w:hAnsi="Arial" w:cs="Arial"/>
        </w:rPr>
        <w:t>.</w:t>
      </w:r>
      <w:r w:rsidRPr="0009666D">
        <w:rPr>
          <w:rFonts w:ascii="Arial" w:eastAsia="Times New Roman" w:hAnsi="Arial" w:cs="Arial"/>
        </w:rPr>
        <w:t>’</w:t>
      </w:r>
      <w:r w:rsidRPr="0009666D">
        <w:rPr>
          <w:rFonts w:ascii="Arial" w:hAnsi="Arial" w:cs="Arial"/>
        </w:rPr>
        <w:t xml:space="preserve"> This represents </w:t>
      </w:r>
      <w:r w:rsidRPr="002D41A4">
        <w:rPr>
          <w:rFonts w:ascii="Arial" w:hAnsi="Arial" w:cs="Arial"/>
        </w:rPr>
        <w:t>a change f</w:t>
      </w:r>
      <w:r>
        <w:rPr>
          <w:rFonts w:ascii="Arial" w:hAnsi="Arial" w:cs="Arial"/>
        </w:rPr>
        <w:t>rom how data collection was addressed in the 2013-16</w:t>
      </w:r>
      <w:r w:rsidRPr="002D41A4">
        <w:rPr>
          <w:rFonts w:ascii="Arial" w:hAnsi="Arial" w:cs="Arial"/>
        </w:rPr>
        <w:t xml:space="preserve"> </w:t>
      </w:r>
      <w:r>
        <w:rPr>
          <w:rFonts w:ascii="Arial" w:hAnsi="Arial" w:cs="Arial"/>
        </w:rPr>
        <w:t>Priorities. Addressed by Priority 5, the 2013-16 Priorities sought</w:t>
      </w:r>
      <w:r w:rsidRPr="0009666D">
        <w:rPr>
          <w:rFonts w:ascii="Arial" w:hAnsi="Arial" w:cs="Arial"/>
        </w:rPr>
        <w:t xml:space="preserve"> ‘To improve data collection, availability, accuracy and sharing across the sector.’ </w:t>
      </w:r>
      <w:r w:rsidRPr="00BB090C">
        <w:rPr>
          <w:rFonts w:ascii="Arial" w:hAnsi="Arial"/>
          <w:color w:val="000000"/>
          <w:lang w:val="en-AU"/>
        </w:rPr>
        <w:t>The change primarily reflects NBA’s desire to be outcomes focused through their priorities and enablers.</w:t>
      </w:r>
    </w:p>
    <w:p w14:paraId="694329DE" w14:textId="77777777" w:rsidR="008F3BA2" w:rsidRPr="006361A7" w:rsidRDefault="008F3BA2" w:rsidP="008F3BA2">
      <w:pPr>
        <w:pStyle w:val="1Dot-point"/>
        <w:numPr>
          <w:ilvl w:val="0"/>
          <w:numId w:val="0"/>
        </w:numPr>
        <w:jc w:val="both"/>
      </w:pPr>
      <w:r>
        <w:t>The purpose of this enabler is to promote</w:t>
      </w:r>
      <w:r w:rsidRPr="009E75B7">
        <w:t xml:space="preserve"> strengthened data linkages with relevant health systems to improve the management and use of blood and blood products promoting timely and efficient data access and consistent data collection practices across Australia.</w:t>
      </w:r>
      <w:r>
        <w:rPr>
          <w:b/>
        </w:rPr>
        <w:t xml:space="preserve"> </w:t>
      </w:r>
      <w:r w:rsidRPr="00BB090C">
        <w:rPr>
          <w:bCs/>
        </w:rPr>
        <w:t xml:space="preserve">This includes the </w:t>
      </w:r>
      <w:r w:rsidRPr="00282377">
        <w:rPr>
          <w:bCs/>
        </w:rPr>
        <w:t>development</w:t>
      </w:r>
      <w:r w:rsidRPr="009E75B7">
        <w:t xml:space="preserve"> and promotion of platforms and forums to share data insights and trends, ensuring that this will be accessible and engaging for the intended audience</w:t>
      </w:r>
      <w:r>
        <w:t>.</w:t>
      </w:r>
    </w:p>
    <w:p w14:paraId="63B08F81" w14:textId="17EFCDB4" w:rsidR="00D74023" w:rsidRPr="003B092E" w:rsidRDefault="00D74023" w:rsidP="00D74023">
      <w:pPr>
        <w:pStyle w:val="1Dot-point"/>
        <w:numPr>
          <w:ilvl w:val="0"/>
          <w:numId w:val="0"/>
        </w:numPr>
        <w:spacing w:line="280" w:lineRule="exact"/>
        <w:jc w:val="both"/>
        <w:rPr>
          <w:rFonts w:asciiTheme="majorHAnsi" w:hAnsiTheme="majorHAnsi"/>
          <w:b/>
          <w:color w:val="36424A" w:themeColor="text2"/>
          <w:sz w:val="24"/>
        </w:rPr>
      </w:pPr>
      <w:r w:rsidRPr="003B092E">
        <w:rPr>
          <w:rFonts w:asciiTheme="majorHAnsi" w:hAnsiTheme="majorHAnsi"/>
          <w:b/>
          <w:color w:val="36424A" w:themeColor="text2"/>
          <w:sz w:val="24"/>
        </w:rPr>
        <w:t xml:space="preserve">Assessment of </w:t>
      </w:r>
      <w:r>
        <w:rPr>
          <w:rFonts w:asciiTheme="majorHAnsi" w:hAnsiTheme="majorHAnsi"/>
          <w:b/>
          <w:color w:val="36424A" w:themeColor="text2"/>
          <w:sz w:val="24"/>
        </w:rPr>
        <w:t xml:space="preserve">the </w:t>
      </w:r>
      <w:r w:rsidRPr="003B092E">
        <w:rPr>
          <w:rFonts w:asciiTheme="majorHAnsi" w:hAnsiTheme="majorHAnsi"/>
          <w:b/>
          <w:color w:val="36424A" w:themeColor="text2"/>
          <w:sz w:val="24"/>
        </w:rPr>
        <w:t>2013-16 Priorities</w:t>
      </w:r>
    </w:p>
    <w:p w14:paraId="077E39AF" w14:textId="77777777" w:rsidR="00D74023" w:rsidRPr="00AF2276" w:rsidRDefault="00D74023" w:rsidP="00D74023">
      <w:pPr>
        <w:spacing w:before="120" w:after="120" w:line="280" w:lineRule="exact"/>
        <w:jc w:val="both"/>
        <w:rPr>
          <w:rFonts w:ascii="Arial" w:hAnsi="Arial" w:cs="Arial"/>
        </w:rPr>
      </w:pPr>
      <w:r w:rsidRPr="00AF2276">
        <w:rPr>
          <w:rFonts w:ascii="Arial" w:hAnsi="Arial" w:cs="Arial"/>
        </w:rPr>
        <w:t>I</w:t>
      </w:r>
      <w:r>
        <w:rPr>
          <w:rFonts w:ascii="Arial" w:hAnsi="Arial" w:cs="Arial"/>
        </w:rPr>
        <w:t xml:space="preserve">nformation and communication technology (ICT) </w:t>
      </w:r>
      <w:r w:rsidRPr="00AF2276">
        <w:rPr>
          <w:rFonts w:ascii="Arial" w:hAnsi="Arial" w:cs="Arial"/>
        </w:rPr>
        <w:t>platforms and data frameworks have been established or enhanced to promote appropriate blood use (</w:t>
      </w:r>
      <w:r>
        <w:rPr>
          <w:rFonts w:ascii="Arial" w:hAnsi="Arial" w:cs="Arial"/>
        </w:rPr>
        <w:t>P</w:t>
      </w:r>
      <w:r w:rsidRPr="00AF2276">
        <w:rPr>
          <w:rFonts w:ascii="Arial" w:hAnsi="Arial" w:cs="Arial"/>
        </w:rPr>
        <w:t xml:space="preserve">riority </w:t>
      </w:r>
      <w:r>
        <w:rPr>
          <w:rFonts w:ascii="Arial" w:hAnsi="Arial" w:cs="Arial"/>
        </w:rPr>
        <w:t>1</w:t>
      </w:r>
      <w:r w:rsidRPr="00AF2276">
        <w:rPr>
          <w:rFonts w:ascii="Arial" w:hAnsi="Arial" w:cs="Arial"/>
        </w:rPr>
        <w:t>) and data access (</w:t>
      </w:r>
      <w:r>
        <w:rPr>
          <w:rFonts w:ascii="Arial" w:hAnsi="Arial" w:cs="Arial"/>
        </w:rPr>
        <w:t>P</w:t>
      </w:r>
      <w:r w:rsidRPr="00AF2276">
        <w:rPr>
          <w:rFonts w:ascii="Arial" w:hAnsi="Arial" w:cs="Arial"/>
        </w:rPr>
        <w:t>riority</w:t>
      </w:r>
      <w:r>
        <w:rPr>
          <w:rFonts w:ascii="Arial" w:hAnsi="Arial" w:cs="Arial"/>
        </w:rPr>
        <w:t> 5</w:t>
      </w:r>
      <w:r w:rsidRPr="00AF2276">
        <w:rPr>
          <w:rFonts w:ascii="Arial" w:hAnsi="Arial" w:cs="Arial"/>
        </w:rPr>
        <w:t>). However, several stakeholders across the blood sector community expressed frustration to the Review regarding their inability to efficiently access data. They considered barriers to data made it difficult for them to undertake research in an effective and timely way, potentially impacting future outcomes for patients and donors.</w:t>
      </w:r>
    </w:p>
    <w:p w14:paraId="10779EAE" w14:textId="77777777" w:rsidR="00D74023" w:rsidRPr="00017938" w:rsidRDefault="00D74023" w:rsidP="00D74023">
      <w:pPr>
        <w:pStyle w:val="1Dot-point"/>
        <w:numPr>
          <w:ilvl w:val="0"/>
          <w:numId w:val="0"/>
        </w:numPr>
        <w:spacing w:line="280" w:lineRule="exact"/>
        <w:jc w:val="both"/>
        <w:rPr>
          <w:rFonts w:asciiTheme="majorHAnsi" w:hAnsiTheme="majorHAnsi"/>
          <w:b/>
          <w:color w:val="36424A" w:themeColor="text2"/>
          <w:sz w:val="24"/>
        </w:rPr>
      </w:pPr>
      <w:r w:rsidRPr="00017938">
        <w:rPr>
          <w:rFonts w:asciiTheme="majorHAnsi" w:hAnsiTheme="majorHAnsi"/>
          <w:b/>
          <w:color w:val="36424A" w:themeColor="text2"/>
          <w:sz w:val="24"/>
        </w:rPr>
        <w:t xml:space="preserve">Consultation </w:t>
      </w:r>
    </w:p>
    <w:p w14:paraId="580F4437" w14:textId="3DE813A8" w:rsidR="00D74023" w:rsidRDefault="00D74023" w:rsidP="00D74023">
      <w:pPr>
        <w:spacing w:before="120" w:after="120" w:line="280" w:lineRule="exact"/>
        <w:jc w:val="both"/>
        <w:rPr>
          <w:rFonts w:ascii="Arial" w:hAnsi="Arial" w:cs="Arial"/>
          <w:color w:val="000000"/>
          <w:lang w:val="en-AU"/>
        </w:rPr>
      </w:pPr>
      <w:r w:rsidRPr="008840F6">
        <w:rPr>
          <w:rFonts w:ascii="Arial" w:eastAsia="Arial" w:hAnsi="Arial" w:cs="Arial"/>
          <w:color w:val="000000"/>
        </w:rPr>
        <w:t xml:space="preserve">Improving data collection, sharing, and monitoring also emerged as a key </w:t>
      </w:r>
      <w:r w:rsidR="00FC095B">
        <w:rPr>
          <w:rFonts w:ascii="Arial" w:eastAsia="Arial" w:hAnsi="Arial" w:cs="Arial"/>
          <w:color w:val="000000"/>
        </w:rPr>
        <w:t>focus of</w:t>
      </w:r>
      <w:r w:rsidRPr="008840F6">
        <w:rPr>
          <w:rFonts w:ascii="Arial" w:eastAsia="Arial" w:hAnsi="Arial" w:cs="Arial"/>
          <w:color w:val="000000"/>
        </w:rPr>
        <w:t xml:space="preserve"> the consultation process, with almost universal support for retaining this priority</w:t>
      </w:r>
      <w:r w:rsidR="00FC095B">
        <w:rPr>
          <w:rFonts w:ascii="Arial" w:eastAsia="Arial" w:hAnsi="Arial" w:cs="Arial"/>
          <w:color w:val="000000"/>
        </w:rPr>
        <w:t xml:space="preserve"> in some form</w:t>
      </w:r>
      <w:r w:rsidRPr="008840F6">
        <w:rPr>
          <w:rFonts w:ascii="Arial" w:eastAsia="Arial" w:hAnsi="Arial" w:cs="Arial"/>
          <w:color w:val="000000"/>
        </w:rPr>
        <w:t>, (with some support for minor amendments). Support for amending (or in one instance retiring) this priority tended to focus on making it more ‘output’ oriented, or more specific.</w:t>
      </w:r>
      <w:r w:rsidRPr="00927C6D">
        <w:rPr>
          <w:rFonts w:ascii="Arial" w:hAnsi="Arial" w:cs="Arial"/>
          <w:color w:val="000000"/>
          <w:lang w:val="en-AU"/>
        </w:rPr>
        <w:t xml:space="preserve"> </w:t>
      </w:r>
    </w:p>
    <w:p w14:paraId="0A0CFAB6" w14:textId="41759483" w:rsidR="00D74023" w:rsidRPr="001775DB" w:rsidRDefault="00051444" w:rsidP="00504761">
      <w:pPr>
        <w:spacing w:before="120" w:after="120" w:line="280" w:lineRule="exact"/>
        <w:jc w:val="both"/>
        <w:rPr>
          <w:rFonts w:ascii="Arial" w:eastAsia="Arial" w:hAnsi="Arial" w:cs="Arial"/>
          <w:color w:val="000000"/>
        </w:rPr>
      </w:pPr>
      <w:r>
        <w:rPr>
          <w:rFonts w:ascii="Arial" w:hAnsi="Arial" w:cs="Arial"/>
          <w:color w:val="000000"/>
          <w:lang w:val="en-AU"/>
        </w:rPr>
        <w:t xml:space="preserve">Figure 9 </w:t>
      </w:r>
      <w:r w:rsidR="00D74023">
        <w:rPr>
          <w:rFonts w:ascii="Arial" w:hAnsi="Arial" w:cs="Arial"/>
          <w:color w:val="000000"/>
          <w:lang w:val="en-AU"/>
        </w:rPr>
        <w:t>summarises the response from questionnaire respondents.</w:t>
      </w:r>
      <w:r w:rsidR="00D74023">
        <w:rPr>
          <w:rFonts w:ascii="Arial" w:hAnsi="Arial" w:cs="Arial"/>
          <w:color w:val="000000"/>
          <w:lang w:val="en-AU"/>
        </w:rPr>
        <w:br w:type="page"/>
      </w:r>
      <w:bookmarkStart w:id="114" w:name="_Toc90462707"/>
      <w:r w:rsidRPr="00DB0C00">
        <w:rPr>
          <w:b/>
          <w:bCs/>
          <w:color w:val="36424A" w:themeColor="accent1"/>
          <w:sz w:val="18"/>
          <w:szCs w:val="18"/>
        </w:rPr>
        <w:t xml:space="preserve">Figure </w:t>
      </w:r>
      <w:r w:rsidRPr="00DB0C00">
        <w:rPr>
          <w:b/>
          <w:bCs/>
          <w:color w:val="36424A" w:themeColor="accent1"/>
          <w:sz w:val="18"/>
          <w:szCs w:val="18"/>
        </w:rPr>
        <w:fldChar w:fldCharType="begin"/>
      </w:r>
      <w:r w:rsidRPr="00DB0C00">
        <w:rPr>
          <w:b/>
          <w:bCs/>
          <w:color w:val="36424A" w:themeColor="accent1"/>
          <w:sz w:val="18"/>
          <w:szCs w:val="18"/>
        </w:rPr>
        <w:instrText xml:space="preserve"> SEQ Figure \* ARABIC </w:instrText>
      </w:r>
      <w:r w:rsidRPr="00DB0C00">
        <w:rPr>
          <w:b/>
          <w:bCs/>
          <w:color w:val="36424A" w:themeColor="accent1"/>
          <w:sz w:val="18"/>
          <w:szCs w:val="18"/>
        </w:rPr>
        <w:fldChar w:fldCharType="separate"/>
      </w:r>
      <w:r w:rsidR="00A25C74">
        <w:rPr>
          <w:b/>
          <w:bCs/>
          <w:noProof/>
          <w:color w:val="36424A" w:themeColor="accent1"/>
          <w:sz w:val="18"/>
          <w:szCs w:val="18"/>
        </w:rPr>
        <w:t>9</w:t>
      </w:r>
      <w:r w:rsidRPr="00DB0C00">
        <w:rPr>
          <w:b/>
          <w:bCs/>
          <w:color w:val="36424A" w:themeColor="accent1"/>
          <w:sz w:val="18"/>
          <w:szCs w:val="18"/>
        </w:rPr>
        <w:fldChar w:fldCharType="end"/>
      </w:r>
      <w:r w:rsidRPr="00DB0C00">
        <w:rPr>
          <w:b/>
          <w:bCs/>
          <w:color w:val="36424A" w:themeColor="accent1"/>
          <w:sz w:val="18"/>
          <w:szCs w:val="18"/>
        </w:rPr>
        <w:t>: Support for retaining, amending, retiring Priority 5</w:t>
      </w:r>
      <w:bookmarkEnd w:id="114"/>
      <w:r w:rsidR="00D74023">
        <w:t xml:space="preserve"> </w:t>
      </w:r>
    </w:p>
    <w:p w14:paraId="2EFAC440" w14:textId="77777777" w:rsidR="00D74023" w:rsidRPr="001775DB" w:rsidRDefault="00D74023" w:rsidP="00D74023">
      <w:pPr>
        <w:pStyle w:val="1Dot-point"/>
        <w:spacing w:line="280" w:lineRule="exact"/>
        <w:jc w:val="both"/>
        <w:rPr>
          <w:rFonts w:cs="Arial"/>
        </w:rPr>
      </w:pPr>
      <w:r w:rsidRPr="001775DB">
        <w:rPr>
          <w:rFonts w:cs="Arial"/>
        </w:rPr>
        <w:t>Retain: 81% (28)</w:t>
      </w:r>
    </w:p>
    <w:p w14:paraId="6547A490" w14:textId="77777777" w:rsidR="00D74023" w:rsidRPr="001775DB" w:rsidRDefault="00D74023" w:rsidP="00D74023">
      <w:pPr>
        <w:pStyle w:val="1Dot-point"/>
        <w:spacing w:line="280" w:lineRule="exact"/>
        <w:jc w:val="both"/>
        <w:rPr>
          <w:rFonts w:cs="Arial"/>
        </w:rPr>
      </w:pPr>
      <w:r w:rsidRPr="001775DB">
        <w:rPr>
          <w:rFonts w:cs="Arial"/>
        </w:rPr>
        <w:t>Retain with amendment:  16% (6)</w:t>
      </w:r>
    </w:p>
    <w:p w14:paraId="088115F0" w14:textId="77777777" w:rsidR="00D74023" w:rsidRDefault="00D74023" w:rsidP="00D74023">
      <w:pPr>
        <w:pStyle w:val="1Dot-point"/>
        <w:spacing w:line="280" w:lineRule="exact"/>
        <w:jc w:val="both"/>
        <w:rPr>
          <w:rFonts w:cs="Arial"/>
        </w:rPr>
      </w:pPr>
      <w:r>
        <w:rPr>
          <w:noProof/>
          <w:lang w:eastAsia="en-AU"/>
        </w:rPr>
        <w:drawing>
          <wp:anchor distT="0" distB="0" distL="114300" distR="114300" simplePos="0" relativeHeight="251675136" behindDoc="0" locked="0" layoutInCell="1" allowOverlap="1" wp14:anchorId="748004FB" wp14:editId="6E4C0924">
            <wp:simplePos x="0" y="0"/>
            <wp:positionH relativeFrom="column">
              <wp:posOffset>-3175</wp:posOffset>
            </wp:positionH>
            <wp:positionV relativeFrom="paragraph">
              <wp:posOffset>199390</wp:posOffset>
            </wp:positionV>
            <wp:extent cx="2880000" cy="1358671"/>
            <wp:effectExtent l="0" t="0" r="0" b="0"/>
            <wp:wrapTopAndBottom/>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phic 105">
                      <a:extLst>
                        <a:ext uri="{C183D7F6-B498-43B3-948B-1728B52AA6E4}">
                          <adec:decorative xmlns:adec="http://schemas.microsoft.com/office/drawing/2017/decorative" val="1"/>
                        </a:ext>
                      </a:extLst>
                    </pic:cNvPr>
                    <pic:cNvPicPr/>
                  </pic:nvPicPr>
                  <pic:blipFill>
                    <a:blip r:embed="rId42">
                      <a:extLst>
                        <a:ext uri="{96DAC541-7B7A-43D3-8B79-37D633B846F1}">
                          <asvg:svgBlip xmlns:asvg="http://schemas.microsoft.com/office/drawing/2016/SVG/main" r:embed="rId43"/>
                        </a:ext>
                      </a:extLst>
                    </a:blip>
                    <a:stretch>
                      <a:fillRect/>
                    </a:stretch>
                  </pic:blipFill>
                  <pic:spPr>
                    <a:xfrm>
                      <a:off x="0" y="0"/>
                      <a:ext cx="2880000" cy="1358671"/>
                    </a:xfrm>
                    <a:prstGeom prst="rect">
                      <a:avLst/>
                    </a:prstGeom>
                  </pic:spPr>
                </pic:pic>
              </a:graphicData>
            </a:graphic>
            <wp14:sizeRelH relativeFrom="margin">
              <wp14:pctWidth>0</wp14:pctWidth>
            </wp14:sizeRelH>
            <wp14:sizeRelV relativeFrom="margin">
              <wp14:pctHeight>0</wp14:pctHeight>
            </wp14:sizeRelV>
          </wp:anchor>
        </w:drawing>
      </w:r>
      <w:r w:rsidRPr="001775DB">
        <w:rPr>
          <w:rFonts w:cs="Arial"/>
        </w:rPr>
        <w:t>Retire: 3% (1)</w:t>
      </w:r>
    </w:p>
    <w:p w14:paraId="5B3341B2" w14:textId="77777777" w:rsidR="00D74023" w:rsidRDefault="00D74023" w:rsidP="00D74023">
      <w:pPr>
        <w:pStyle w:val="1Dot-point"/>
        <w:numPr>
          <w:ilvl w:val="0"/>
          <w:numId w:val="0"/>
        </w:numPr>
        <w:spacing w:line="280" w:lineRule="exact"/>
        <w:jc w:val="both"/>
        <w:rPr>
          <w:rFonts w:cs="Arial"/>
        </w:rPr>
      </w:pPr>
    </w:p>
    <w:p w14:paraId="2DD7DA93" w14:textId="618DE03C" w:rsidR="00AE4720" w:rsidRDefault="00AE4720" w:rsidP="00AE4720">
      <w:pPr>
        <w:pStyle w:val="1Dot-point"/>
        <w:numPr>
          <w:ilvl w:val="0"/>
          <w:numId w:val="0"/>
        </w:numPr>
        <w:spacing w:line="280" w:lineRule="exact"/>
        <w:jc w:val="both"/>
        <w:rPr>
          <w:rFonts w:cs="Arial"/>
        </w:rPr>
      </w:pPr>
      <w:r>
        <w:rPr>
          <w:rFonts w:cs="Arial"/>
        </w:rPr>
        <w:t>‘Strengthen’ has been changed to ‘improved’ and ‘</w:t>
      </w:r>
      <w:r w:rsidRPr="0026784E">
        <w:rPr>
          <w:rFonts w:cs="Arial"/>
        </w:rPr>
        <w:t>across the sector</w:t>
      </w:r>
      <w:r>
        <w:rPr>
          <w:rFonts w:cs="Arial"/>
          <w:i/>
          <w:iCs/>
        </w:rPr>
        <w:t>’</w:t>
      </w:r>
      <w:r w:rsidRPr="00C01CC1">
        <w:rPr>
          <w:rFonts w:cs="Arial"/>
        </w:rPr>
        <w:t xml:space="preserve"> </w:t>
      </w:r>
      <w:r>
        <w:rPr>
          <w:rFonts w:cs="Arial"/>
        </w:rPr>
        <w:t xml:space="preserve">has been removed, </w:t>
      </w:r>
      <w:r w:rsidRPr="00C01CC1">
        <w:rPr>
          <w:rFonts w:cs="Arial"/>
        </w:rPr>
        <w:t>as t</w:t>
      </w:r>
      <w:r>
        <w:rPr>
          <w:rFonts w:cs="Arial"/>
        </w:rPr>
        <w:t>his</w:t>
      </w:r>
      <w:r w:rsidRPr="00C01CC1">
        <w:rPr>
          <w:rFonts w:cs="Arial"/>
        </w:rPr>
        <w:t xml:space="preserve"> is </w:t>
      </w:r>
      <w:r>
        <w:rPr>
          <w:rFonts w:cs="Arial"/>
        </w:rPr>
        <w:t xml:space="preserve">considered to be </w:t>
      </w:r>
      <w:r w:rsidRPr="00C01CC1">
        <w:rPr>
          <w:rFonts w:cs="Arial"/>
        </w:rPr>
        <w:t>implied</w:t>
      </w:r>
      <w:r>
        <w:rPr>
          <w:rFonts w:cs="Arial"/>
        </w:rPr>
        <w:t>. ‘</w:t>
      </w:r>
      <w:r w:rsidRPr="0036385F">
        <w:t>Availability</w:t>
      </w:r>
      <w:r>
        <w:rPr>
          <w:i/>
          <w:iCs/>
        </w:rPr>
        <w:t>’</w:t>
      </w:r>
      <w:r w:rsidRPr="00C01CC1">
        <w:rPr>
          <w:i/>
          <w:iCs/>
        </w:rPr>
        <w:t xml:space="preserve"> </w:t>
      </w:r>
      <w:r>
        <w:t>has been</w:t>
      </w:r>
      <w:r w:rsidRPr="00C01CC1">
        <w:t xml:space="preserve"> replace</w:t>
      </w:r>
      <w:r>
        <w:t>d</w:t>
      </w:r>
      <w:r w:rsidRPr="00C01CC1">
        <w:t xml:space="preserve"> with </w:t>
      </w:r>
      <w:r>
        <w:t>‘</w:t>
      </w:r>
      <w:r w:rsidRPr="0036385F">
        <w:t>sharing</w:t>
      </w:r>
      <w:r>
        <w:rPr>
          <w:i/>
          <w:iCs/>
        </w:rPr>
        <w:t>’</w:t>
      </w:r>
      <w:r w:rsidRPr="00C01CC1">
        <w:t xml:space="preserve"> </w:t>
      </w:r>
      <w:r>
        <w:t xml:space="preserve">to encourage </w:t>
      </w:r>
      <w:r w:rsidRPr="00C01CC1">
        <w:t>more active</w:t>
      </w:r>
      <w:r>
        <w:t xml:space="preserve"> collaboration</w:t>
      </w:r>
      <w:r w:rsidRPr="00C01CC1">
        <w:t xml:space="preserve"> on the part of the NBA and others</w:t>
      </w:r>
      <w:r>
        <w:t>.</w:t>
      </w:r>
    </w:p>
    <w:p w14:paraId="4B3873E4" w14:textId="77777777" w:rsidR="00D74023" w:rsidRPr="004527B7" w:rsidRDefault="00D74023" w:rsidP="00D74023">
      <w:pPr>
        <w:pStyle w:val="1Dot-point"/>
        <w:numPr>
          <w:ilvl w:val="0"/>
          <w:numId w:val="0"/>
        </w:numPr>
        <w:spacing w:line="280" w:lineRule="exact"/>
        <w:jc w:val="both"/>
        <w:rPr>
          <w:rFonts w:cs="Arial"/>
        </w:rPr>
      </w:pPr>
      <w:r>
        <w:rPr>
          <w:rFonts w:cs="Arial"/>
        </w:rPr>
        <w:t>During the consultation, internal NBA stakeholder spoke of the need to focus on data. They said, ‘f</w:t>
      </w:r>
      <w:r w:rsidRPr="00A13E1A">
        <w:rPr>
          <w:rFonts w:cs="Arial"/>
        </w:rPr>
        <w:t>ocus on using data to effect outcomes. We need a greater focus on the ‘so what’ aspect of data.’</w:t>
      </w:r>
      <w:r w:rsidRPr="0026429D">
        <w:rPr>
          <w:rFonts w:cs="Arial"/>
        </w:rPr>
        <w:t xml:space="preserve"> </w:t>
      </w:r>
      <w:r>
        <w:rPr>
          <w:rFonts w:cs="Arial"/>
        </w:rPr>
        <w:t xml:space="preserve">Another internal NBA stakeholder said, </w:t>
      </w:r>
      <w:r w:rsidRPr="00A13E1A">
        <w:rPr>
          <w:rFonts w:cs="Arial"/>
        </w:rPr>
        <w:t>‘</w:t>
      </w:r>
      <w:r>
        <w:rPr>
          <w:rFonts w:cs="Arial"/>
        </w:rPr>
        <w:t>t</w:t>
      </w:r>
      <w:r w:rsidRPr="00A13E1A">
        <w:rPr>
          <w:rFonts w:cs="Arial"/>
        </w:rPr>
        <w:t xml:space="preserve">here hasn’t been sufficient progress…It is so important when we look at </w:t>
      </w:r>
      <w:r w:rsidRPr="00087B72">
        <w:rPr>
          <w:rFonts w:cs="Arial"/>
        </w:rPr>
        <w:t>world class</w:t>
      </w:r>
      <w:r w:rsidRPr="00282377">
        <w:rPr>
          <w:rFonts w:cs="Arial"/>
        </w:rPr>
        <w:t xml:space="preserve"> haemovigilance</w:t>
      </w:r>
      <w:r w:rsidRPr="00A13E1A">
        <w:rPr>
          <w:rFonts w:cs="Arial"/>
        </w:rPr>
        <w:t xml:space="preserve"> systems. We need buy in from all the jurisdictions – fed and state. Needs to have a governmental solution.’</w:t>
      </w:r>
    </w:p>
    <w:p w14:paraId="4FC2DAF4" w14:textId="77777777" w:rsidR="00D74023" w:rsidRPr="00A13E1A" w:rsidRDefault="00D74023" w:rsidP="00D74023">
      <w:pPr>
        <w:pStyle w:val="1Dot-point"/>
        <w:numPr>
          <w:ilvl w:val="0"/>
          <w:numId w:val="0"/>
        </w:numPr>
        <w:spacing w:line="280" w:lineRule="exact"/>
        <w:jc w:val="both"/>
        <w:rPr>
          <w:rFonts w:cs="Arial"/>
        </w:rPr>
      </w:pPr>
      <w:r w:rsidRPr="0083115D">
        <w:rPr>
          <w:rFonts w:cs="Arial"/>
        </w:rPr>
        <w:t xml:space="preserve">Several NBA Committee members </w:t>
      </w:r>
      <w:r>
        <w:rPr>
          <w:rFonts w:cs="Arial"/>
        </w:rPr>
        <w:t>also</w:t>
      </w:r>
      <w:r w:rsidRPr="0083115D">
        <w:rPr>
          <w:rFonts w:cs="Arial"/>
        </w:rPr>
        <w:t xml:space="preserve"> noted the significant barriers of data not being collected consistently across Australia, and that the data that is collected is stored across multiple platforms. One NBA Committee member commented, ‘People having finally realised there is an ocean of data. No easy solution. There are barriers, including privacy, state-based laws.’</w:t>
      </w:r>
    </w:p>
    <w:p w14:paraId="0156966A" w14:textId="77777777" w:rsidR="00D74023" w:rsidRDefault="00D74023" w:rsidP="00D74023">
      <w:pPr>
        <w:spacing w:before="120" w:after="120" w:line="280" w:lineRule="exact"/>
        <w:jc w:val="both"/>
        <w:rPr>
          <w:rFonts w:ascii="Arial" w:eastAsia="Arial" w:hAnsi="Arial" w:cs="Arial"/>
          <w:color w:val="000000"/>
        </w:rPr>
      </w:pPr>
      <w:r w:rsidRPr="00A13E1A">
        <w:rPr>
          <w:rFonts w:ascii="Arial" w:eastAsia="Arial" w:hAnsi="Arial" w:cs="Arial"/>
          <w:color w:val="000000"/>
        </w:rPr>
        <w:t xml:space="preserve">External </w:t>
      </w:r>
      <w:r>
        <w:rPr>
          <w:rFonts w:ascii="Arial" w:eastAsia="Arial" w:hAnsi="Arial" w:cs="Arial"/>
          <w:color w:val="000000"/>
        </w:rPr>
        <w:t xml:space="preserve">stakeholders consulted in relation to this priority also strongly supported continued investment and prioritisation of this priority. When asked what they saw as the </w:t>
      </w:r>
      <w:r w:rsidRPr="00A177B7">
        <w:rPr>
          <w:rFonts w:ascii="Arial" w:eastAsia="Arial" w:hAnsi="Arial" w:cs="Arial"/>
          <w:color w:val="000000"/>
        </w:rPr>
        <w:t>future research priorities for the blood secto</w:t>
      </w:r>
      <w:r>
        <w:rPr>
          <w:rFonts w:ascii="Arial" w:eastAsia="Arial" w:hAnsi="Arial" w:cs="Arial"/>
          <w:color w:val="000000"/>
        </w:rPr>
        <w:t>r, a considerable proportion of respondents highlighted issues related to data sharing and linkages</w:t>
      </w:r>
    </w:p>
    <w:p w14:paraId="71D516D4" w14:textId="4641D6D5" w:rsidR="00D74023" w:rsidRDefault="00051444" w:rsidP="00D74023">
      <w:pPr>
        <w:spacing w:before="120" w:after="120" w:line="280" w:lineRule="exact"/>
        <w:jc w:val="both"/>
        <w:rPr>
          <w:rFonts w:ascii="Arial" w:eastAsia="Arial" w:hAnsi="Arial" w:cs="Arial"/>
          <w:color w:val="000000"/>
        </w:rPr>
      </w:pPr>
      <w:r>
        <w:rPr>
          <w:rFonts w:ascii="Arial" w:eastAsia="Arial" w:hAnsi="Arial" w:cs="Arial"/>
          <w:color w:val="000000"/>
        </w:rPr>
        <w:t xml:space="preserve">Figure 10 </w:t>
      </w:r>
      <w:r w:rsidR="00D74023">
        <w:rPr>
          <w:rFonts w:ascii="Arial" w:eastAsia="Arial" w:hAnsi="Arial" w:cs="Arial"/>
          <w:color w:val="000000"/>
        </w:rPr>
        <w:t>sets out comments on data issues raised by stakeholders during the consultation.</w:t>
      </w:r>
    </w:p>
    <w:p w14:paraId="16D9B74F" w14:textId="77777777" w:rsidR="00D74023" w:rsidRDefault="00D74023" w:rsidP="00D74023">
      <w:pPr>
        <w:rPr>
          <w:rFonts w:ascii="Arial" w:eastAsia="Arial" w:hAnsi="Arial" w:cs="Arial"/>
          <w:color w:val="000000"/>
        </w:rPr>
      </w:pPr>
      <w:r>
        <w:rPr>
          <w:rFonts w:ascii="Arial" w:eastAsia="Arial" w:hAnsi="Arial" w:cs="Arial"/>
          <w:color w:val="000000"/>
        </w:rPr>
        <w:br w:type="page"/>
      </w:r>
    </w:p>
    <w:p w14:paraId="395A0D1E" w14:textId="0F28CC59" w:rsidR="00D74023" w:rsidRDefault="00051444" w:rsidP="00087B72">
      <w:pPr>
        <w:pStyle w:val="Caption"/>
        <w:rPr>
          <w:rFonts w:ascii="Arial" w:eastAsia="Arial" w:hAnsi="Arial" w:cs="Arial"/>
          <w:color w:val="000000"/>
        </w:rPr>
      </w:pPr>
      <w:bookmarkStart w:id="115" w:name="_Toc90462708"/>
      <w:r>
        <w:t xml:space="preserve">Figure </w:t>
      </w:r>
      <w:r>
        <w:fldChar w:fldCharType="begin"/>
      </w:r>
      <w:r>
        <w:instrText xml:space="preserve"> SEQ Figure \* ARABIC </w:instrText>
      </w:r>
      <w:r>
        <w:fldChar w:fldCharType="separate"/>
      </w:r>
      <w:r w:rsidR="00A25C74">
        <w:rPr>
          <w:noProof/>
        </w:rPr>
        <w:t>10</w:t>
      </w:r>
      <w:r>
        <w:fldChar w:fldCharType="end"/>
      </w:r>
      <w:r>
        <w:t xml:space="preserve">: </w:t>
      </w:r>
      <w:r w:rsidRPr="00A23B62">
        <w:t>Issues relating to data sharing and linkages</w:t>
      </w:r>
      <w:bookmarkEnd w:id="115"/>
    </w:p>
    <w:p w14:paraId="06AAB2FA" w14:textId="06F91AE6" w:rsidR="00D74023" w:rsidRPr="00451672" w:rsidRDefault="00D74023" w:rsidP="00D74023">
      <w:pPr>
        <w:pStyle w:val="ListParagraph"/>
        <w:numPr>
          <w:ilvl w:val="0"/>
          <w:numId w:val="25"/>
        </w:numPr>
        <w:pBdr>
          <w:top w:val="single" w:sz="12" w:space="1" w:color="0E4168"/>
          <w:left w:val="single" w:sz="12" w:space="4" w:color="0E4168"/>
          <w:bottom w:val="single" w:sz="12" w:space="1" w:color="0E4168"/>
          <w:right w:val="single" w:sz="12" w:space="4" w:color="0E4168"/>
        </w:pBdr>
        <w:shd w:val="clear" w:color="auto" w:fill="FFFFFF" w:themeFill="background1"/>
        <w:spacing w:before="0" w:after="240" w:line="276" w:lineRule="auto"/>
        <w:ind w:left="714" w:right="567" w:hanging="357"/>
        <w:contextualSpacing/>
        <w:jc w:val="both"/>
        <w:rPr>
          <w:rFonts w:ascii="Arial" w:hAnsi="Arial" w:cs="Arial"/>
        </w:rPr>
      </w:pPr>
      <w:r w:rsidRPr="00303072">
        <w:rPr>
          <w:rFonts w:ascii="Arial" w:hAnsi="Arial" w:cs="Arial"/>
        </w:rPr>
        <w:t>‘</w:t>
      </w:r>
      <w:r w:rsidRPr="00451672">
        <w:rPr>
          <w:rFonts w:ascii="Arial" w:hAnsi="Arial" w:cs="Arial"/>
        </w:rPr>
        <w:t>Data - Clinical practice and outcomes’</w:t>
      </w:r>
    </w:p>
    <w:p w14:paraId="5DA0D08C" w14:textId="77777777" w:rsidR="00D74023" w:rsidRPr="00451672" w:rsidRDefault="00D74023" w:rsidP="00D74023">
      <w:pPr>
        <w:pStyle w:val="ListParagraph"/>
        <w:numPr>
          <w:ilvl w:val="0"/>
          <w:numId w:val="25"/>
        </w:numPr>
        <w:pBdr>
          <w:top w:val="single" w:sz="12" w:space="1" w:color="0E4168"/>
          <w:left w:val="single" w:sz="12" w:space="4" w:color="0E4168"/>
          <w:bottom w:val="single" w:sz="12" w:space="1" w:color="0E4168"/>
          <w:right w:val="single" w:sz="12" w:space="4" w:color="0E4168"/>
        </w:pBdr>
        <w:shd w:val="clear" w:color="auto" w:fill="FFFFFF" w:themeFill="background1"/>
        <w:spacing w:before="0" w:after="240" w:line="276" w:lineRule="auto"/>
        <w:ind w:left="714" w:right="567" w:hanging="357"/>
        <w:contextualSpacing/>
        <w:jc w:val="both"/>
        <w:rPr>
          <w:rFonts w:ascii="Arial" w:hAnsi="Arial" w:cs="Arial"/>
        </w:rPr>
      </w:pPr>
      <w:r w:rsidRPr="00451672">
        <w:rPr>
          <w:rFonts w:ascii="Arial" w:hAnsi="Arial" w:cs="Arial"/>
        </w:rPr>
        <w:t>‘Data collection harmonisation’</w:t>
      </w:r>
    </w:p>
    <w:p w14:paraId="7D6D7FBE" w14:textId="77777777" w:rsidR="00D74023" w:rsidRPr="00451672" w:rsidRDefault="00D74023" w:rsidP="00D74023">
      <w:pPr>
        <w:pStyle w:val="ListParagraph"/>
        <w:numPr>
          <w:ilvl w:val="0"/>
          <w:numId w:val="25"/>
        </w:numPr>
        <w:pBdr>
          <w:top w:val="single" w:sz="12" w:space="1" w:color="0E4168"/>
          <w:left w:val="single" w:sz="12" w:space="4" w:color="0E4168"/>
          <w:bottom w:val="single" w:sz="12" w:space="1" w:color="0E4168"/>
          <w:right w:val="single" w:sz="12" w:space="4" w:color="0E4168"/>
        </w:pBdr>
        <w:shd w:val="clear" w:color="auto" w:fill="FFFFFF" w:themeFill="background1"/>
        <w:spacing w:before="0" w:after="240" w:line="276" w:lineRule="auto"/>
        <w:ind w:left="714" w:right="567" w:hanging="357"/>
        <w:contextualSpacing/>
        <w:jc w:val="both"/>
        <w:rPr>
          <w:rFonts w:ascii="Arial" w:hAnsi="Arial" w:cs="Arial"/>
        </w:rPr>
      </w:pPr>
      <w:r w:rsidRPr="00451672">
        <w:rPr>
          <w:rFonts w:ascii="Arial" w:hAnsi="Arial" w:cs="Arial"/>
        </w:rPr>
        <w:t xml:space="preserve">‘Data Linkage enabled research’ </w:t>
      </w:r>
    </w:p>
    <w:p w14:paraId="6CCAAA03" w14:textId="77777777" w:rsidR="00D74023" w:rsidRPr="00DE3D7A" w:rsidRDefault="00D74023" w:rsidP="00D74023">
      <w:pPr>
        <w:pStyle w:val="ListParagraph"/>
        <w:numPr>
          <w:ilvl w:val="0"/>
          <w:numId w:val="25"/>
        </w:numPr>
        <w:pBdr>
          <w:top w:val="single" w:sz="12" w:space="1" w:color="0E4168"/>
          <w:left w:val="single" w:sz="12" w:space="4" w:color="0E4168"/>
          <w:bottom w:val="single" w:sz="12" w:space="1" w:color="0E4168"/>
          <w:right w:val="single" w:sz="12" w:space="4" w:color="0E4168"/>
        </w:pBdr>
        <w:shd w:val="clear" w:color="auto" w:fill="FFFFFF" w:themeFill="background1"/>
        <w:spacing w:before="0" w:after="240" w:line="276" w:lineRule="auto"/>
        <w:ind w:left="714" w:right="567" w:hanging="357"/>
        <w:contextualSpacing/>
        <w:jc w:val="both"/>
        <w:rPr>
          <w:rFonts w:ascii="Arial" w:hAnsi="Arial" w:cs="Arial"/>
          <w:b/>
          <w:color w:val="FF3399"/>
        </w:rPr>
      </w:pPr>
      <w:r w:rsidRPr="003B092E">
        <w:rPr>
          <w:rFonts w:ascii="Arial" w:hAnsi="Arial" w:cs="Arial"/>
        </w:rPr>
        <w:t>‘Better availability of administrative data to facilitate research by external parties’</w:t>
      </w:r>
    </w:p>
    <w:p w14:paraId="35E91706" w14:textId="77777777" w:rsidR="00D74023" w:rsidRPr="00EF6B8C" w:rsidRDefault="00D74023" w:rsidP="00D74023">
      <w:pPr>
        <w:pStyle w:val="ListParagraph"/>
        <w:numPr>
          <w:ilvl w:val="0"/>
          <w:numId w:val="25"/>
        </w:numPr>
        <w:pBdr>
          <w:top w:val="single" w:sz="12" w:space="1" w:color="0E4168"/>
          <w:left w:val="single" w:sz="12" w:space="4" w:color="0E4168"/>
          <w:bottom w:val="single" w:sz="12" w:space="1" w:color="0E4168"/>
          <w:right w:val="single" w:sz="12" w:space="4" w:color="0E4168"/>
        </w:pBdr>
        <w:shd w:val="clear" w:color="auto" w:fill="FFFFFF" w:themeFill="background1"/>
        <w:spacing w:before="0" w:after="240" w:line="276" w:lineRule="auto"/>
        <w:ind w:left="714" w:right="567" w:hanging="357"/>
        <w:contextualSpacing/>
        <w:jc w:val="both"/>
        <w:rPr>
          <w:rFonts w:ascii="Arial" w:hAnsi="Arial" w:cs="Arial"/>
        </w:rPr>
      </w:pPr>
      <w:r w:rsidRPr="00FF2723">
        <w:rPr>
          <w:rFonts w:ascii="Arial" w:hAnsi="Arial" w:cs="Arial"/>
        </w:rPr>
        <w:t>‘</w:t>
      </w:r>
      <w:r w:rsidRPr="0000353B">
        <w:rPr>
          <w:rFonts w:ascii="Arial" w:hAnsi="Arial" w:cs="Arial"/>
        </w:rPr>
        <w:t>Improved data collection and cross-sector sharing</w:t>
      </w:r>
      <w:r w:rsidRPr="00A8477F">
        <w:rPr>
          <w:rFonts w:ascii="Arial" w:hAnsi="Arial" w:cs="Arial"/>
        </w:rPr>
        <w:t>’</w:t>
      </w:r>
    </w:p>
    <w:p w14:paraId="4A25043D" w14:textId="77777777" w:rsidR="00D74023" w:rsidRPr="00451672" w:rsidRDefault="00D74023" w:rsidP="00D74023">
      <w:pPr>
        <w:pStyle w:val="ListParagraph"/>
        <w:numPr>
          <w:ilvl w:val="0"/>
          <w:numId w:val="25"/>
        </w:numPr>
        <w:pBdr>
          <w:top w:val="single" w:sz="12" w:space="1" w:color="0E4168"/>
          <w:left w:val="single" w:sz="12" w:space="4" w:color="0E4168"/>
          <w:bottom w:val="single" w:sz="12" w:space="1" w:color="0E4168"/>
          <w:right w:val="single" w:sz="12" w:space="4" w:color="0E4168"/>
        </w:pBdr>
        <w:shd w:val="clear" w:color="auto" w:fill="FFFFFF" w:themeFill="background1"/>
        <w:spacing w:before="0" w:after="240" w:line="276" w:lineRule="auto"/>
        <w:ind w:left="714" w:right="567" w:hanging="357"/>
        <w:contextualSpacing/>
        <w:jc w:val="both"/>
        <w:rPr>
          <w:rFonts w:ascii="Arial" w:hAnsi="Arial" w:cs="Arial"/>
        </w:rPr>
      </w:pPr>
      <w:r w:rsidRPr="00303072">
        <w:rPr>
          <w:rFonts w:ascii="Arial" w:hAnsi="Arial" w:cs="Arial"/>
        </w:rPr>
        <w:t>‘</w:t>
      </w:r>
      <w:r w:rsidRPr="00451672">
        <w:rPr>
          <w:rFonts w:ascii="Arial" w:hAnsi="Arial" w:cs="Arial"/>
        </w:rPr>
        <w:t>Data - national standards’</w:t>
      </w:r>
    </w:p>
    <w:p w14:paraId="092087CF" w14:textId="77777777" w:rsidR="00D74023" w:rsidRPr="00451672" w:rsidRDefault="00D74023" w:rsidP="00D74023">
      <w:pPr>
        <w:pStyle w:val="ListParagraph"/>
        <w:numPr>
          <w:ilvl w:val="0"/>
          <w:numId w:val="25"/>
        </w:numPr>
        <w:pBdr>
          <w:top w:val="single" w:sz="12" w:space="1" w:color="0E4168"/>
          <w:left w:val="single" w:sz="12" w:space="4" w:color="0E4168"/>
          <w:bottom w:val="single" w:sz="12" w:space="1" w:color="0E4168"/>
          <w:right w:val="single" w:sz="12" w:space="4" w:color="0E4168"/>
        </w:pBdr>
        <w:shd w:val="clear" w:color="auto" w:fill="FFFFFF" w:themeFill="background1"/>
        <w:spacing w:before="0" w:after="240" w:line="276" w:lineRule="auto"/>
        <w:ind w:left="714" w:right="567" w:hanging="357"/>
        <w:contextualSpacing/>
        <w:jc w:val="both"/>
        <w:rPr>
          <w:rFonts w:ascii="Arial" w:hAnsi="Arial" w:cs="Arial"/>
        </w:rPr>
      </w:pPr>
      <w:r w:rsidRPr="00451672">
        <w:rPr>
          <w:rFonts w:ascii="Arial" w:hAnsi="Arial" w:cs="Arial"/>
        </w:rPr>
        <w:t>‘Collection at a national level of useful and meaningful data and sharing to the jurisdictions’</w:t>
      </w:r>
    </w:p>
    <w:p w14:paraId="4006B60A" w14:textId="77777777" w:rsidR="00D74023" w:rsidRPr="003B092E" w:rsidRDefault="00D74023" w:rsidP="00D74023">
      <w:pPr>
        <w:pStyle w:val="ListParagraph"/>
        <w:numPr>
          <w:ilvl w:val="0"/>
          <w:numId w:val="25"/>
        </w:numPr>
        <w:pBdr>
          <w:top w:val="single" w:sz="12" w:space="1" w:color="0E4168"/>
          <w:left w:val="single" w:sz="12" w:space="4" w:color="0E4168"/>
          <w:bottom w:val="single" w:sz="12" w:space="1" w:color="0E4168"/>
          <w:right w:val="single" w:sz="12" w:space="4" w:color="0E4168"/>
        </w:pBdr>
        <w:shd w:val="clear" w:color="auto" w:fill="FFFFFF" w:themeFill="background1"/>
        <w:spacing w:before="0" w:after="240" w:line="276" w:lineRule="auto"/>
        <w:ind w:left="714" w:right="567" w:hanging="357"/>
        <w:contextualSpacing/>
        <w:jc w:val="both"/>
        <w:rPr>
          <w:rFonts w:ascii="Arial" w:hAnsi="Arial" w:cs="Arial"/>
        </w:rPr>
      </w:pPr>
      <w:r w:rsidRPr="003B092E">
        <w:rPr>
          <w:rFonts w:ascii="Arial" w:hAnsi="Arial" w:cs="Arial"/>
        </w:rPr>
        <w:t>‘Real time/near real time access to transfusion data across hospitals’</w:t>
      </w:r>
    </w:p>
    <w:p w14:paraId="5C826D0E" w14:textId="77777777" w:rsidR="00D74023" w:rsidRPr="00A8477F" w:rsidRDefault="00D74023" w:rsidP="00D74023">
      <w:pPr>
        <w:pStyle w:val="ListParagraph"/>
        <w:numPr>
          <w:ilvl w:val="0"/>
          <w:numId w:val="25"/>
        </w:numPr>
        <w:pBdr>
          <w:top w:val="single" w:sz="12" w:space="1" w:color="0E4168"/>
          <w:left w:val="single" w:sz="12" w:space="4" w:color="0E4168"/>
          <w:bottom w:val="single" w:sz="12" w:space="1" w:color="0E4168"/>
          <w:right w:val="single" w:sz="12" w:space="4" w:color="0E4168"/>
        </w:pBdr>
        <w:shd w:val="clear" w:color="auto" w:fill="FFFFFF" w:themeFill="background1"/>
        <w:spacing w:before="0" w:after="240" w:line="276" w:lineRule="auto"/>
        <w:ind w:left="714" w:right="567" w:hanging="357"/>
        <w:contextualSpacing/>
        <w:jc w:val="both"/>
        <w:rPr>
          <w:rFonts w:ascii="Arial" w:hAnsi="Arial" w:cs="Arial"/>
        </w:rPr>
      </w:pPr>
      <w:r w:rsidRPr="00DE3D7A">
        <w:rPr>
          <w:rFonts w:ascii="Arial" w:hAnsi="Arial" w:cs="Arial"/>
        </w:rPr>
        <w:t>‘</w:t>
      </w:r>
      <w:r w:rsidRPr="00FF2723">
        <w:rPr>
          <w:rFonts w:ascii="Arial" w:hAnsi="Arial" w:cs="Arial"/>
        </w:rPr>
        <w:t>Develop and influence data systems in primary care to inform research activities</w:t>
      </w:r>
      <w:r w:rsidRPr="0000353B">
        <w:rPr>
          <w:rFonts w:ascii="Arial" w:hAnsi="Arial" w:cs="Arial"/>
        </w:rPr>
        <w:t>’</w:t>
      </w:r>
    </w:p>
    <w:p w14:paraId="129EA09C" w14:textId="77777777" w:rsidR="00D74023" w:rsidRPr="00451672" w:rsidRDefault="00D74023" w:rsidP="00D74023">
      <w:pPr>
        <w:pStyle w:val="ListParagraph"/>
        <w:numPr>
          <w:ilvl w:val="0"/>
          <w:numId w:val="25"/>
        </w:numPr>
        <w:pBdr>
          <w:top w:val="single" w:sz="12" w:space="1" w:color="0E4168"/>
          <w:left w:val="single" w:sz="12" w:space="4" w:color="0E4168"/>
          <w:bottom w:val="single" w:sz="12" w:space="1" w:color="0E4168"/>
          <w:right w:val="single" w:sz="12" w:space="4" w:color="0E4168"/>
        </w:pBdr>
        <w:shd w:val="clear" w:color="auto" w:fill="FFFFFF" w:themeFill="background1"/>
        <w:spacing w:before="0" w:after="240" w:line="276" w:lineRule="auto"/>
        <w:ind w:left="714" w:right="567" w:hanging="357"/>
        <w:contextualSpacing/>
        <w:jc w:val="both"/>
        <w:rPr>
          <w:rFonts w:ascii="Arial" w:hAnsi="Arial" w:cs="Arial"/>
        </w:rPr>
      </w:pPr>
      <w:r w:rsidRPr="00EF6B8C">
        <w:rPr>
          <w:rFonts w:ascii="Arial" w:hAnsi="Arial" w:cs="Arial"/>
        </w:rPr>
        <w:t>‘</w:t>
      </w:r>
      <w:r w:rsidRPr="00303072">
        <w:rPr>
          <w:rFonts w:ascii="Arial" w:hAnsi="Arial" w:cs="Arial"/>
        </w:rPr>
        <w:t>Data - performance/compliance against guideli</w:t>
      </w:r>
      <w:r w:rsidRPr="00451672">
        <w:rPr>
          <w:rFonts w:ascii="Arial" w:hAnsi="Arial" w:cs="Arial"/>
        </w:rPr>
        <w:t>nes’</w:t>
      </w:r>
    </w:p>
    <w:p w14:paraId="6A843113" w14:textId="77777777" w:rsidR="00D74023" w:rsidRPr="003B092E" w:rsidRDefault="00D74023" w:rsidP="00D74023">
      <w:pPr>
        <w:pStyle w:val="ListParagraph"/>
        <w:numPr>
          <w:ilvl w:val="0"/>
          <w:numId w:val="25"/>
        </w:numPr>
        <w:pBdr>
          <w:top w:val="single" w:sz="12" w:space="1" w:color="0E4168"/>
          <w:left w:val="single" w:sz="12" w:space="4" w:color="0E4168"/>
          <w:bottom w:val="single" w:sz="12" w:space="1" w:color="0E4168"/>
          <w:right w:val="single" w:sz="12" w:space="4" w:color="0E4168"/>
        </w:pBdr>
        <w:shd w:val="clear" w:color="auto" w:fill="FFFFFF" w:themeFill="background1"/>
        <w:spacing w:before="0" w:after="240" w:line="276" w:lineRule="auto"/>
        <w:ind w:left="714" w:right="567" w:hanging="357"/>
        <w:contextualSpacing/>
        <w:jc w:val="both"/>
        <w:rPr>
          <w:rFonts w:ascii="Arial" w:hAnsi="Arial" w:cs="Arial"/>
        </w:rPr>
      </w:pPr>
      <w:r w:rsidRPr="003B092E">
        <w:rPr>
          <w:rFonts w:ascii="Arial" w:hAnsi="Arial" w:cs="Arial"/>
        </w:rPr>
        <w:t>‘Better access to and use of data across the sector’</w:t>
      </w:r>
    </w:p>
    <w:p w14:paraId="6C5B8CC7" w14:textId="77777777" w:rsidR="00D74023" w:rsidRPr="007A0882" w:rsidRDefault="00D74023" w:rsidP="00D74023">
      <w:pPr>
        <w:pStyle w:val="1Dot-point"/>
        <w:numPr>
          <w:ilvl w:val="0"/>
          <w:numId w:val="0"/>
        </w:numPr>
        <w:spacing w:line="280" w:lineRule="exact"/>
        <w:jc w:val="both"/>
        <w:rPr>
          <w:rFonts w:cs="Arial"/>
        </w:rPr>
      </w:pPr>
      <w:r w:rsidRPr="00AE0C11">
        <w:rPr>
          <w:rFonts w:cs="Arial"/>
          <w:bCs/>
        </w:rPr>
        <w:t xml:space="preserve">The need for a </w:t>
      </w:r>
      <w:r w:rsidRPr="00AE0C11">
        <w:rPr>
          <w:rFonts w:cs="Arial"/>
        </w:rPr>
        <w:t xml:space="preserve">national haemovigilance data registry and/or reporting system was </w:t>
      </w:r>
      <w:r>
        <w:rPr>
          <w:rFonts w:cs="Arial"/>
        </w:rPr>
        <w:t xml:space="preserve">specifically </w:t>
      </w:r>
      <w:r w:rsidRPr="00AE0C11">
        <w:rPr>
          <w:rFonts w:cs="Arial"/>
        </w:rPr>
        <w:t xml:space="preserve">identified by </w:t>
      </w:r>
      <w:r>
        <w:rPr>
          <w:rFonts w:cs="Arial"/>
        </w:rPr>
        <w:t>four</w:t>
      </w:r>
      <w:r w:rsidRPr="00AE0C11">
        <w:rPr>
          <w:rFonts w:cs="Arial"/>
        </w:rPr>
        <w:t xml:space="preserve"> stakeholders.</w:t>
      </w:r>
      <w:r>
        <w:rPr>
          <w:rFonts w:cs="Arial"/>
        </w:rPr>
        <w:t xml:space="preserve"> </w:t>
      </w:r>
    </w:p>
    <w:p w14:paraId="0F349732" w14:textId="77777777" w:rsidR="00D74023" w:rsidRPr="0009666D" w:rsidRDefault="00D74023" w:rsidP="00D74023">
      <w:pPr>
        <w:pStyle w:val="1Dot-point"/>
        <w:numPr>
          <w:ilvl w:val="0"/>
          <w:numId w:val="0"/>
        </w:numPr>
        <w:spacing w:line="280" w:lineRule="exact"/>
        <w:jc w:val="both"/>
        <w:rPr>
          <w:rFonts w:cs="Arial"/>
        </w:rPr>
      </w:pPr>
      <w:r>
        <w:rPr>
          <w:rFonts w:cs="Arial"/>
        </w:rPr>
        <w:t>A s</w:t>
      </w:r>
      <w:r w:rsidRPr="002B4AEE">
        <w:rPr>
          <w:rFonts w:cs="Arial"/>
        </w:rPr>
        <w:t>tate government agenc</w:t>
      </w:r>
      <w:r>
        <w:rPr>
          <w:rFonts w:cs="Arial"/>
        </w:rPr>
        <w:t>y</w:t>
      </w:r>
      <w:r w:rsidRPr="002B4AEE">
        <w:rPr>
          <w:rFonts w:cs="Arial"/>
        </w:rPr>
        <w:t xml:space="preserve"> stated that, ‘Data collection needs to be national, consistent, relevant and mandatory and easily collected.’ An</w:t>
      </w:r>
      <w:r>
        <w:rPr>
          <w:rFonts w:cs="Arial"/>
        </w:rPr>
        <w:t>other state government agency said</w:t>
      </w:r>
      <w:r w:rsidRPr="002B4AEE">
        <w:rPr>
          <w:rFonts w:cs="Arial"/>
        </w:rPr>
        <w:t xml:space="preserve"> that</w:t>
      </w:r>
      <w:r>
        <w:rPr>
          <w:rFonts w:cs="Arial"/>
          <w:bCs/>
        </w:rPr>
        <w:t xml:space="preserve"> </w:t>
      </w:r>
      <w:r w:rsidRPr="002B4AEE">
        <w:rPr>
          <w:rFonts w:cs="Arial"/>
        </w:rPr>
        <w:t xml:space="preserve">‘Improving data collection, availability, accuracy and sharing across the sector will continue to be of paramount importance to success of the </w:t>
      </w:r>
      <w:r>
        <w:rPr>
          <w:rFonts w:cs="Arial"/>
        </w:rPr>
        <w:t xml:space="preserve">research and development </w:t>
      </w:r>
      <w:r w:rsidRPr="002B4AEE">
        <w:rPr>
          <w:rFonts w:cs="Arial"/>
        </w:rPr>
        <w:t xml:space="preserve">program going forward. This also applies to improving the availability and additional avenues of data linkage between the </w:t>
      </w:r>
      <w:r>
        <w:rPr>
          <w:rFonts w:cs="Arial"/>
        </w:rPr>
        <w:t>n</w:t>
      </w:r>
      <w:r w:rsidRPr="002B4AEE">
        <w:rPr>
          <w:rFonts w:cs="Arial"/>
        </w:rPr>
        <w:t xml:space="preserve">ational </w:t>
      </w:r>
      <w:r>
        <w:rPr>
          <w:rFonts w:cs="Arial"/>
        </w:rPr>
        <w:t>b</w:t>
      </w:r>
      <w:r w:rsidRPr="002B4AEE">
        <w:rPr>
          <w:rFonts w:cs="Arial"/>
        </w:rPr>
        <w:t xml:space="preserve">lood </w:t>
      </w:r>
      <w:r>
        <w:rPr>
          <w:rFonts w:cs="Arial"/>
        </w:rPr>
        <w:t>s</w:t>
      </w:r>
      <w:r w:rsidRPr="002B4AEE">
        <w:rPr>
          <w:rFonts w:cs="Arial"/>
        </w:rPr>
        <w:t xml:space="preserve">ector data and other domains of </w:t>
      </w:r>
      <w:r>
        <w:rPr>
          <w:rFonts w:cs="Arial"/>
        </w:rPr>
        <w:t>h</w:t>
      </w:r>
      <w:r w:rsidRPr="002B4AEE">
        <w:rPr>
          <w:rFonts w:cs="Arial"/>
        </w:rPr>
        <w:t xml:space="preserve">ealth </w:t>
      </w:r>
      <w:r>
        <w:rPr>
          <w:rFonts w:cs="Arial"/>
        </w:rPr>
        <w:t>d</w:t>
      </w:r>
      <w:r w:rsidRPr="002B4AEE">
        <w:rPr>
          <w:rFonts w:cs="Arial"/>
        </w:rPr>
        <w:t>ata more broadly</w:t>
      </w:r>
      <w:r>
        <w:rPr>
          <w:rFonts w:cs="Arial"/>
          <w:bCs/>
        </w:rPr>
        <w:t>.’</w:t>
      </w:r>
    </w:p>
    <w:p w14:paraId="6F991807" w14:textId="77777777" w:rsidR="00D74023" w:rsidRPr="00017938" w:rsidRDefault="00D74023" w:rsidP="00D74023">
      <w:pPr>
        <w:pStyle w:val="1Dot-point"/>
        <w:numPr>
          <w:ilvl w:val="0"/>
          <w:numId w:val="0"/>
        </w:numPr>
        <w:spacing w:line="280" w:lineRule="exact"/>
        <w:jc w:val="both"/>
        <w:rPr>
          <w:rFonts w:asciiTheme="majorHAnsi" w:hAnsiTheme="majorHAnsi"/>
          <w:b/>
          <w:color w:val="36424A" w:themeColor="text2"/>
          <w:sz w:val="24"/>
        </w:rPr>
      </w:pPr>
      <w:r w:rsidRPr="00017938">
        <w:rPr>
          <w:rFonts w:asciiTheme="majorHAnsi" w:hAnsiTheme="majorHAnsi"/>
          <w:b/>
          <w:color w:val="36424A" w:themeColor="text2"/>
          <w:sz w:val="24"/>
        </w:rPr>
        <w:t>Document review</w:t>
      </w:r>
    </w:p>
    <w:p w14:paraId="5F3BAD97" w14:textId="77777777" w:rsidR="00D74023" w:rsidRPr="00BE539A" w:rsidRDefault="00D74023" w:rsidP="00D74023">
      <w:pPr>
        <w:pStyle w:val="1Dot-point"/>
        <w:numPr>
          <w:ilvl w:val="0"/>
          <w:numId w:val="0"/>
        </w:numPr>
        <w:spacing w:line="280" w:lineRule="exact"/>
        <w:jc w:val="both"/>
        <w:rPr>
          <w:rFonts w:cs="Arial"/>
        </w:rPr>
      </w:pPr>
      <w:r>
        <w:rPr>
          <w:rFonts w:cs="Arial"/>
        </w:rPr>
        <w:t>T</w:t>
      </w:r>
      <w:r w:rsidRPr="001775DB">
        <w:rPr>
          <w:rFonts w:cs="Arial"/>
        </w:rPr>
        <w:t xml:space="preserve">he Australian Government </w:t>
      </w:r>
      <w:r>
        <w:rPr>
          <w:rFonts w:cs="Arial"/>
        </w:rPr>
        <w:t>identifies m</w:t>
      </w:r>
      <w:r w:rsidRPr="001775DB">
        <w:rPr>
          <w:rFonts w:cs="Arial"/>
        </w:rPr>
        <w:t>aking better use of health data is a health system challenge which is set to continue in the coming decades.</w:t>
      </w:r>
      <w:r w:rsidRPr="001775DB">
        <w:rPr>
          <w:rFonts w:cs="Arial"/>
          <w:vertAlign w:val="superscript"/>
        </w:rPr>
        <w:footnoteReference w:id="46"/>
      </w:r>
      <w:r w:rsidRPr="001775DB">
        <w:rPr>
          <w:rFonts w:cs="Arial"/>
        </w:rPr>
        <w:t xml:space="preserve"> These challenges are relevant to the use of data in Australia’s blood sector, particularly relating to data access and linkages of information.</w:t>
      </w:r>
    </w:p>
    <w:p w14:paraId="0F7F6D2C" w14:textId="77777777" w:rsidR="00D74023" w:rsidRPr="001775DB" w:rsidRDefault="00D74023" w:rsidP="00D74023">
      <w:pPr>
        <w:pStyle w:val="1Dot-point"/>
        <w:numPr>
          <w:ilvl w:val="0"/>
          <w:numId w:val="0"/>
        </w:numPr>
        <w:spacing w:line="280" w:lineRule="exact"/>
        <w:jc w:val="both"/>
        <w:rPr>
          <w:rFonts w:cs="Arial"/>
        </w:rPr>
      </w:pPr>
      <w:r w:rsidRPr="001775DB">
        <w:rPr>
          <w:rFonts w:cs="Arial"/>
        </w:rPr>
        <w:t>The Australian Government considers ‘comprehensive data can help us to improve health policy, programs and services’, which means ‘linking different health information across the health system’ is an important part of their work.</w:t>
      </w:r>
      <w:r w:rsidRPr="001775DB">
        <w:rPr>
          <w:rFonts w:cs="Arial"/>
          <w:vertAlign w:val="superscript"/>
        </w:rPr>
        <w:footnoteReference w:id="47"/>
      </w:r>
      <w:r w:rsidRPr="001775DB">
        <w:rPr>
          <w:rFonts w:cs="Arial"/>
        </w:rPr>
        <w:t xml:space="preserve"> </w:t>
      </w:r>
    </w:p>
    <w:p w14:paraId="268BF95E" w14:textId="77777777" w:rsidR="00D74023" w:rsidRDefault="00D74023" w:rsidP="00D74023">
      <w:pPr>
        <w:pStyle w:val="1Dot-point"/>
        <w:numPr>
          <w:ilvl w:val="0"/>
          <w:numId w:val="0"/>
        </w:numPr>
        <w:spacing w:line="280" w:lineRule="exact"/>
        <w:jc w:val="both"/>
        <w:rPr>
          <w:rFonts w:cs="Arial"/>
        </w:rPr>
      </w:pPr>
      <w:r w:rsidRPr="001775DB">
        <w:rPr>
          <w:rFonts w:cs="Arial"/>
        </w:rPr>
        <w:t>The Australian blood sector has a number of data platforms including BloodSTAR and the Australian Bleeding Disorders Registry. BloodSTAR was created by the NBA in 2016 to support health providers in managing their Immunoglobulin (Ig) Governance obligations.</w:t>
      </w:r>
      <w:r w:rsidRPr="001775DB">
        <w:rPr>
          <w:rFonts w:cs="Arial"/>
          <w:vertAlign w:val="superscript"/>
        </w:rPr>
        <w:footnoteReference w:id="48"/>
      </w:r>
      <w:r w:rsidRPr="001775DB">
        <w:rPr>
          <w:rFonts w:cs="Arial"/>
        </w:rPr>
        <w:t xml:space="preserve"> The Australian Bleeding Disorder Registry (ABDR) is a database which holds the </w:t>
      </w:r>
      <w:r>
        <w:rPr>
          <w:rFonts w:cs="Arial"/>
        </w:rPr>
        <w:t xml:space="preserve">treatment </w:t>
      </w:r>
      <w:r w:rsidRPr="001775DB">
        <w:rPr>
          <w:rFonts w:cs="Arial"/>
        </w:rPr>
        <w:t xml:space="preserve">details of people with bleeding disorders. </w:t>
      </w:r>
    </w:p>
    <w:p w14:paraId="62EA5075" w14:textId="77777777" w:rsidR="00D74023" w:rsidRPr="001775DB" w:rsidRDefault="00D74023" w:rsidP="00D74023">
      <w:pPr>
        <w:pStyle w:val="1Dot-point"/>
        <w:numPr>
          <w:ilvl w:val="0"/>
          <w:numId w:val="0"/>
        </w:numPr>
        <w:spacing w:line="280" w:lineRule="exact"/>
        <w:jc w:val="both"/>
        <w:rPr>
          <w:rFonts w:cs="Arial"/>
        </w:rPr>
      </w:pPr>
      <w:r w:rsidRPr="001775DB">
        <w:rPr>
          <w:rFonts w:cs="Arial"/>
        </w:rPr>
        <w:t>Both platforms have enabled the NBA to gather information about matters relating to blood products and services, consistent with their legislative functions.</w:t>
      </w:r>
      <w:r>
        <w:rPr>
          <w:rFonts w:cs="Arial"/>
        </w:rPr>
        <w:t xml:space="preserve"> </w:t>
      </w:r>
      <w:r w:rsidRPr="001775DB">
        <w:rPr>
          <w:rFonts w:cs="Arial"/>
        </w:rPr>
        <w:t>Haemovigilance data</w:t>
      </w:r>
      <w:r>
        <w:rPr>
          <w:rFonts w:cs="Arial"/>
        </w:rPr>
        <w:t>,</w:t>
      </w:r>
      <w:r w:rsidRPr="001775DB">
        <w:rPr>
          <w:rFonts w:cs="Arial"/>
        </w:rPr>
        <w:t xml:space="preserve"> however, remains </w:t>
      </w:r>
      <w:r>
        <w:rPr>
          <w:rFonts w:cs="Arial"/>
        </w:rPr>
        <w:t>relatively</w:t>
      </w:r>
      <w:r w:rsidRPr="001775DB">
        <w:rPr>
          <w:rFonts w:cs="Arial"/>
        </w:rPr>
        <w:t xml:space="preserve"> fragmented with no national haemovigilance data registry in place. </w:t>
      </w:r>
    </w:p>
    <w:p w14:paraId="521D7304" w14:textId="77777777" w:rsidR="00D74023" w:rsidRPr="001775DB" w:rsidRDefault="00D74023" w:rsidP="00E35C3A">
      <w:pPr>
        <w:pStyle w:val="1Dot-point"/>
        <w:numPr>
          <w:ilvl w:val="0"/>
          <w:numId w:val="0"/>
        </w:numPr>
        <w:spacing w:line="280" w:lineRule="exact"/>
        <w:jc w:val="both"/>
        <w:rPr>
          <w:rFonts w:cs="Arial"/>
        </w:rPr>
      </w:pPr>
      <w:r w:rsidRPr="001775DB">
        <w:rPr>
          <w:rFonts w:cs="Arial"/>
        </w:rPr>
        <w:t>There</w:t>
      </w:r>
      <w:r>
        <w:rPr>
          <w:rFonts w:cs="Arial"/>
        </w:rPr>
        <w:t xml:space="preserve"> are </w:t>
      </w:r>
      <w:r w:rsidRPr="001775DB">
        <w:rPr>
          <w:rFonts w:cs="Arial"/>
        </w:rPr>
        <w:t xml:space="preserve">also limited linkages of databases, which </w:t>
      </w:r>
      <w:r>
        <w:rPr>
          <w:rFonts w:cs="Arial"/>
        </w:rPr>
        <w:t>is</w:t>
      </w:r>
      <w:r w:rsidRPr="001775DB">
        <w:rPr>
          <w:rFonts w:cs="Arial"/>
        </w:rPr>
        <w:t xml:space="preserve"> impact</w:t>
      </w:r>
      <w:r>
        <w:rPr>
          <w:rFonts w:cs="Arial"/>
        </w:rPr>
        <w:t>ing</w:t>
      </w:r>
      <w:r w:rsidRPr="001775DB">
        <w:rPr>
          <w:rFonts w:cs="Arial"/>
        </w:rPr>
        <w:t xml:space="preserve"> on the ability to measure the effectiveness of blood-related health programs. One hospital-based researcher stating, ‘Current hospital systems and processes and the inability to link data across databases result in the inability to provide evidence of the value of Patient Blood Management measures to business managers and hospitals.’</w:t>
      </w:r>
    </w:p>
    <w:p w14:paraId="4ED24A7A" w14:textId="77777777" w:rsidR="00D74023" w:rsidRPr="001775DB" w:rsidRDefault="00D74023" w:rsidP="00E35C3A">
      <w:pPr>
        <w:pStyle w:val="1Dot-point"/>
        <w:numPr>
          <w:ilvl w:val="0"/>
          <w:numId w:val="0"/>
        </w:numPr>
        <w:spacing w:line="280" w:lineRule="exact"/>
        <w:jc w:val="both"/>
      </w:pPr>
      <w:r w:rsidRPr="001775DB">
        <w:t xml:space="preserve">Consistent with the Australian Government’s health data focus, the blood sector </w:t>
      </w:r>
      <w:r>
        <w:t xml:space="preserve">must retain </w:t>
      </w:r>
      <w:r w:rsidRPr="001775DB">
        <w:t xml:space="preserve">a continued focus on developing tools to realise the value of </w:t>
      </w:r>
      <w:r>
        <w:t xml:space="preserve">the right </w:t>
      </w:r>
      <w:r w:rsidRPr="001775DB">
        <w:t>data.</w:t>
      </w:r>
    </w:p>
    <w:p w14:paraId="01F3AE47" w14:textId="1A499008" w:rsidR="00FC095B" w:rsidRDefault="00FC095B" w:rsidP="00FC095B">
      <w:pPr>
        <w:pStyle w:val="Heading2"/>
        <w:spacing w:before="120" w:line="280" w:lineRule="exact"/>
        <w:rPr>
          <w:rFonts w:eastAsia="Times New Roman"/>
        </w:rPr>
      </w:pPr>
      <w:bookmarkStart w:id="116" w:name="_Toc90456680"/>
      <w:r>
        <w:rPr>
          <w:rFonts w:eastAsia="Times New Roman"/>
        </w:rPr>
        <w:t>Enabler 2</w:t>
      </w:r>
      <w:r w:rsidRPr="006361A7">
        <w:rPr>
          <w:rFonts w:eastAsia="Times New Roman"/>
        </w:rPr>
        <w:t xml:space="preserve">:  </w:t>
      </w:r>
      <w:r w:rsidRPr="00AB7D05">
        <w:rPr>
          <w:rFonts w:eastAsia="Times New Roman"/>
        </w:rPr>
        <w:t>Optimise</w:t>
      </w:r>
      <w:r>
        <w:rPr>
          <w:rFonts w:eastAsia="Times New Roman"/>
        </w:rPr>
        <w:t>d</w:t>
      </w:r>
      <w:r w:rsidRPr="00AB7D05">
        <w:rPr>
          <w:rFonts w:eastAsia="Times New Roman"/>
        </w:rPr>
        <w:t xml:space="preserve"> health and service delivery to best meet patient needs</w:t>
      </w:r>
      <w:r w:rsidR="00B53AD4">
        <w:rPr>
          <w:rFonts w:eastAsia="Times New Roman"/>
        </w:rPr>
        <w:t xml:space="preserve"> </w:t>
      </w:r>
      <w:r w:rsidR="00585BF9">
        <w:rPr>
          <w:rFonts w:eastAsia="Times New Roman"/>
        </w:rPr>
        <w:t>and Enabler 3: Strengthening workforce capability</w:t>
      </w:r>
      <w:bookmarkEnd w:id="116"/>
    </w:p>
    <w:p w14:paraId="4502B7B9" w14:textId="33A60E00" w:rsidR="001643E0" w:rsidRDefault="00D53B98" w:rsidP="001643E0">
      <w:pPr>
        <w:pStyle w:val="1Dot-point"/>
        <w:numPr>
          <w:ilvl w:val="0"/>
          <w:numId w:val="0"/>
        </w:numPr>
        <w:spacing w:line="280" w:lineRule="exact"/>
        <w:jc w:val="both"/>
        <w:rPr>
          <w:rFonts w:cs="Arial"/>
        </w:rPr>
      </w:pPr>
      <w:r>
        <w:rPr>
          <w:rFonts w:eastAsia="Times New Roman"/>
        </w:rPr>
        <w:t>Enabler 2</w:t>
      </w:r>
      <w:r w:rsidRPr="002D41A4">
        <w:rPr>
          <w:rFonts w:cs="Arial"/>
        </w:rPr>
        <w:t xml:space="preserve"> is </w:t>
      </w:r>
      <w:r>
        <w:rPr>
          <w:rFonts w:cs="Arial"/>
        </w:rPr>
        <w:t>‘</w:t>
      </w:r>
      <w:r w:rsidRPr="00AB7D05">
        <w:rPr>
          <w:rFonts w:eastAsia="Times New Roman"/>
        </w:rPr>
        <w:t>Optimise</w:t>
      </w:r>
      <w:r>
        <w:rPr>
          <w:rFonts w:eastAsia="Times New Roman"/>
        </w:rPr>
        <w:t>d</w:t>
      </w:r>
      <w:r w:rsidRPr="00AB7D05">
        <w:rPr>
          <w:rFonts w:eastAsia="Times New Roman"/>
        </w:rPr>
        <w:t xml:space="preserve"> health and service delivery to best meet patient needs</w:t>
      </w:r>
      <w:r w:rsidRPr="002D41A4">
        <w:rPr>
          <w:rFonts w:cs="Arial"/>
        </w:rPr>
        <w:t>.</w:t>
      </w:r>
      <w:r>
        <w:rPr>
          <w:rFonts w:eastAsia="Times New Roman"/>
        </w:rPr>
        <w:t>’</w:t>
      </w:r>
      <w:r w:rsidRPr="002D41A4">
        <w:rPr>
          <w:rFonts w:cs="Arial"/>
        </w:rPr>
        <w:t xml:space="preserve"> </w:t>
      </w:r>
      <w:r w:rsidRPr="0009666D">
        <w:rPr>
          <w:rFonts w:cs="Arial"/>
        </w:rPr>
        <w:t xml:space="preserve">This represents </w:t>
      </w:r>
      <w:r w:rsidRPr="002D41A4">
        <w:rPr>
          <w:rFonts w:cs="Arial"/>
        </w:rPr>
        <w:t xml:space="preserve">a </w:t>
      </w:r>
      <w:r>
        <w:rPr>
          <w:rFonts w:cs="Arial"/>
        </w:rPr>
        <w:t xml:space="preserve">slight </w:t>
      </w:r>
      <w:r w:rsidRPr="002D41A4">
        <w:rPr>
          <w:rFonts w:cs="Arial"/>
        </w:rPr>
        <w:t>change f</w:t>
      </w:r>
      <w:r>
        <w:rPr>
          <w:rFonts w:cs="Arial"/>
        </w:rPr>
        <w:t>rom how service delivery was addressed in the 2013-16</w:t>
      </w:r>
      <w:r w:rsidRPr="002D41A4">
        <w:rPr>
          <w:rFonts w:cs="Arial"/>
        </w:rPr>
        <w:t xml:space="preserve"> </w:t>
      </w:r>
      <w:r>
        <w:rPr>
          <w:rFonts w:cs="Arial"/>
        </w:rPr>
        <w:t xml:space="preserve">Priorities. Addressed </w:t>
      </w:r>
      <w:bookmarkEnd w:id="107"/>
      <w:bookmarkEnd w:id="108"/>
      <w:bookmarkEnd w:id="109"/>
      <w:bookmarkEnd w:id="110"/>
      <w:bookmarkEnd w:id="111"/>
      <w:bookmarkEnd w:id="112"/>
      <w:bookmarkEnd w:id="113"/>
      <w:r w:rsidR="007C5F8C">
        <w:rPr>
          <w:rFonts w:cs="Arial"/>
        </w:rPr>
        <w:t xml:space="preserve">then </w:t>
      </w:r>
      <w:r w:rsidR="001643E0">
        <w:rPr>
          <w:rFonts w:cs="Arial"/>
        </w:rPr>
        <w:t>by Priority 4, the 2013-16 Priorities sought</w:t>
      </w:r>
      <w:r w:rsidR="001643E0" w:rsidRPr="0009666D">
        <w:rPr>
          <w:rFonts w:cs="Arial"/>
        </w:rPr>
        <w:t xml:space="preserve"> </w:t>
      </w:r>
      <w:r w:rsidR="001643E0" w:rsidRPr="002D41A4">
        <w:rPr>
          <w:rFonts w:cs="Arial"/>
        </w:rPr>
        <w:t>‘</w:t>
      </w:r>
      <w:r w:rsidR="001643E0">
        <w:t>To optimise health service delivery to best meet patients’ needs</w:t>
      </w:r>
      <w:r w:rsidR="001643E0" w:rsidRPr="002D41A4">
        <w:rPr>
          <w:rFonts w:cs="Arial"/>
        </w:rPr>
        <w:t>.</w:t>
      </w:r>
      <w:r w:rsidR="001643E0">
        <w:rPr>
          <w:rFonts w:cs="Arial"/>
        </w:rPr>
        <w:t>’</w:t>
      </w:r>
      <w:r w:rsidR="001643E0" w:rsidRPr="002D41A4">
        <w:rPr>
          <w:rFonts w:cs="Arial"/>
        </w:rPr>
        <w:t xml:space="preserve"> </w:t>
      </w:r>
      <w:r w:rsidR="001643E0">
        <w:rPr>
          <w:rFonts w:cs="Arial"/>
        </w:rPr>
        <w:t>The change primarily reflects NBA’s desire to be outcomes focused through their priorities and enablers.</w:t>
      </w:r>
    </w:p>
    <w:p w14:paraId="144F0D86" w14:textId="34D4A9D8" w:rsidR="001643E0" w:rsidRPr="00BB090C" w:rsidRDefault="00681286" w:rsidP="001643E0">
      <w:pPr>
        <w:pStyle w:val="BodyText"/>
        <w:spacing w:before="0" w:after="80"/>
        <w:jc w:val="both"/>
        <w:rPr>
          <w:rFonts w:ascii="Arial" w:hAnsi="Arial" w:cs="Arial"/>
          <w:color w:val="000000"/>
          <w:lang w:val="en-AU"/>
        </w:rPr>
      </w:pPr>
      <w:r>
        <w:rPr>
          <w:rFonts w:ascii="Arial" w:hAnsi="Arial" w:cs="Arial"/>
          <w:color w:val="000000"/>
          <w:lang w:val="en-AU"/>
        </w:rPr>
        <w:t>Enabler 2</w:t>
      </w:r>
      <w:r w:rsidR="001643E0" w:rsidRPr="00BB090C">
        <w:rPr>
          <w:rFonts w:ascii="Arial" w:hAnsi="Arial" w:cs="Arial"/>
          <w:color w:val="000000"/>
          <w:lang w:val="en-AU"/>
        </w:rPr>
        <w:t xml:space="preserve"> promotes</w:t>
      </w:r>
      <w:r w:rsidR="001643E0">
        <w:rPr>
          <w:rFonts w:ascii="Arial" w:hAnsi="Arial" w:cs="Arial"/>
          <w:color w:val="000000"/>
          <w:lang w:val="en-AU"/>
        </w:rPr>
        <w:t xml:space="preserve"> the</w:t>
      </w:r>
      <w:r w:rsidR="001643E0" w:rsidRPr="00BB090C">
        <w:rPr>
          <w:rFonts w:ascii="Arial" w:hAnsi="Arial" w:cs="Arial"/>
          <w:color w:val="000000"/>
          <w:lang w:val="en-AU"/>
        </w:rPr>
        <w:t xml:space="preserve"> </w:t>
      </w:r>
      <w:r w:rsidR="001643E0">
        <w:rPr>
          <w:rFonts w:ascii="Arial" w:hAnsi="Arial" w:cs="Arial"/>
          <w:color w:val="000000"/>
          <w:lang w:val="en-AU"/>
        </w:rPr>
        <w:t>d</w:t>
      </w:r>
      <w:r w:rsidR="001643E0" w:rsidRPr="00BB090C">
        <w:rPr>
          <w:rFonts w:ascii="Arial" w:hAnsi="Arial" w:cs="Arial"/>
          <w:color w:val="000000"/>
          <w:lang w:val="en-AU"/>
        </w:rPr>
        <w:t xml:space="preserve">esign and application of frameworks to promote patient and donor engagement in research with a focus on improving patient and donor experience and outcomes. </w:t>
      </w:r>
      <w:r w:rsidR="001643E0">
        <w:rPr>
          <w:rFonts w:ascii="Arial" w:hAnsi="Arial" w:cs="Arial"/>
          <w:color w:val="000000"/>
          <w:lang w:val="en-AU"/>
        </w:rPr>
        <w:t>This includes:</w:t>
      </w:r>
    </w:p>
    <w:p w14:paraId="37C694F0" w14:textId="77777777" w:rsidR="001643E0" w:rsidRPr="00BB090C" w:rsidRDefault="001643E0" w:rsidP="001643E0">
      <w:pPr>
        <w:pStyle w:val="1Dot-point"/>
      </w:pPr>
      <w:r w:rsidRPr="00BB090C">
        <w:t>Improved understanding of how to align blood-related services with community expectations, particularly for Aboriginal and Torres Strait Islander, diverse cultural and older people and communities.</w:t>
      </w:r>
    </w:p>
    <w:p w14:paraId="584C8B0F" w14:textId="77777777" w:rsidR="001643E0" w:rsidRPr="00BB090C" w:rsidRDefault="001643E0" w:rsidP="001643E0">
      <w:pPr>
        <w:pStyle w:val="1Dot-point"/>
      </w:pPr>
      <w:r w:rsidRPr="00BB090C">
        <w:t>Analysis of different ways of providing blood and blood products to patients, such as home administration of treatments, impact the effectiveness and efficiency of the health system and on patient treatment, outcomes and quality of life.</w:t>
      </w:r>
    </w:p>
    <w:p w14:paraId="0B7FB06B" w14:textId="77777777" w:rsidR="001643E0" w:rsidRPr="00BB090C" w:rsidRDefault="001643E0" w:rsidP="001643E0">
      <w:pPr>
        <w:pStyle w:val="1Dot-point"/>
      </w:pPr>
      <w:r w:rsidRPr="00BB090C">
        <w:t xml:space="preserve">Engage with donors to identify and evaluate current models to inform strategies for increasing supply and improving donor experience. </w:t>
      </w:r>
    </w:p>
    <w:p w14:paraId="3C9FB6EA" w14:textId="77777777" w:rsidR="001643E0" w:rsidRDefault="001643E0" w:rsidP="001643E0">
      <w:pPr>
        <w:pStyle w:val="1Dot-point"/>
        <w:numPr>
          <w:ilvl w:val="0"/>
          <w:numId w:val="0"/>
        </w:numPr>
        <w:jc w:val="both"/>
        <w:rPr>
          <w:b/>
        </w:rPr>
      </w:pPr>
      <w:r>
        <w:t>Enabler 3 is ‘Strengthening workforce capability.’ This represents a new focus for the NBA’s research priorities because stakeholders expressed support for strengthening workforce capability to enable the delivery of research priorities.</w:t>
      </w:r>
    </w:p>
    <w:p w14:paraId="5638F1C5" w14:textId="77777777" w:rsidR="001643E0" w:rsidRPr="00BB090C" w:rsidRDefault="001643E0" w:rsidP="001643E0">
      <w:pPr>
        <w:pStyle w:val="1Dot-point"/>
        <w:numPr>
          <w:ilvl w:val="0"/>
          <w:numId w:val="0"/>
        </w:numPr>
        <w:jc w:val="both"/>
      </w:pPr>
      <w:r w:rsidRPr="00282377">
        <w:t>This enabler promotes the d</w:t>
      </w:r>
      <w:r w:rsidRPr="00BB090C">
        <w:t>evelopment and regular review of clinical education in undergraduate and postgraduate curricula and liaison between accrediting bodies including universities, colleges, societies, workplace, and prevocational trainers to determine and provide core skills required by the workforce.</w:t>
      </w:r>
      <w:r>
        <w:t xml:space="preserve"> This includes:</w:t>
      </w:r>
    </w:p>
    <w:p w14:paraId="619FE656" w14:textId="77777777" w:rsidR="001643E0" w:rsidRPr="00BB090C" w:rsidRDefault="001643E0" w:rsidP="001643E0">
      <w:pPr>
        <w:pStyle w:val="1Dot-point"/>
        <w:jc w:val="both"/>
      </w:pPr>
      <w:r w:rsidRPr="00BB090C">
        <w:t>Development and maintenance of clinical guidelines to support treatment decisions relating to blood and blood products and alternatives.</w:t>
      </w:r>
    </w:p>
    <w:p w14:paraId="4E544DEE" w14:textId="77777777" w:rsidR="001643E0" w:rsidRPr="00BB090C" w:rsidRDefault="001643E0" w:rsidP="001643E0">
      <w:pPr>
        <w:pStyle w:val="1Dot-point"/>
        <w:jc w:val="both"/>
      </w:pPr>
      <w:r w:rsidRPr="00BB090C">
        <w:t>Support for the development of training courses, conferences, and education materials for the continuing professional development of the workforce.</w:t>
      </w:r>
    </w:p>
    <w:p w14:paraId="37FAB46B" w14:textId="26E4E937" w:rsidR="00507FEC" w:rsidRPr="0044778D" w:rsidRDefault="00507FEC" w:rsidP="00016A8A">
      <w:pPr>
        <w:pStyle w:val="1Dot-point"/>
        <w:numPr>
          <w:ilvl w:val="0"/>
          <w:numId w:val="0"/>
        </w:numPr>
        <w:spacing w:line="280" w:lineRule="exact"/>
        <w:jc w:val="both"/>
        <w:rPr>
          <w:rFonts w:asciiTheme="majorHAnsi" w:hAnsiTheme="majorHAnsi"/>
          <w:b/>
          <w:color w:val="36424A" w:themeColor="text2"/>
          <w:sz w:val="24"/>
        </w:rPr>
      </w:pPr>
      <w:r w:rsidRPr="003B092E">
        <w:rPr>
          <w:rFonts w:asciiTheme="majorHAnsi" w:hAnsiTheme="majorHAnsi"/>
          <w:b/>
          <w:color w:val="36424A" w:themeColor="text2"/>
          <w:sz w:val="24"/>
        </w:rPr>
        <w:t xml:space="preserve">Assessment of </w:t>
      </w:r>
      <w:r w:rsidR="00D74FA7">
        <w:rPr>
          <w:rFonts w:asciiTheme="majorHAnsi" w:hAnsiTheme="majorHAnsi"/>
          <w:b/>
          <w:color w:val="36424A" w:themeColor="text2"/>
          <w:sz w:val="24"/>
        </w:rPr>
        <w:t xml:space="preserve">the </w:t>
      </w:r>
      <w:r w:rsidRPr="003B092E">
        <w:rPr>
          <w:rFonts w:asciiTheme="majorHAnsi" w:hAnsiTheme="majorHAnsi"/>
          <w:b/>
          <w:color w:val="36424A" w:themeColor="text2"/>
          <w:sz w:val="24"/>
        </w:rPr>
        <w:t>2013-16 Priorities</w:t>
      </w:r>
    </w:p>
    <w:p w14:paraId="0F132392" w14:textId="719C9EAD" w:rsidR="00016A8A" w:rsidRPr="00113D97" w:rsidRDefault="00620DFF" w:rsidP="00113D97">
      <w:pPr>
        <w:pStyle w:val="BodyText"/>
        <w:jc w:val="both"/>
        <w:rPr>
          <w:rFonts w:ascii="Arial" w:hAnsi="Arial" w:cs="Arial"/>
          <w:b/>
        </w:rPr>
      </w:pPr>
      <w:bookmarkStart w:id="117" w:name="_Toc79056719"/>
      <w:r>
        <w:rPr>
          <w:rFonts w:ascii="Arial" w:hAnsi="Arial" w:cs="Arial"/>
        </w:rPr>
        <w:t>S</w:t>
      </w:r>
      <w:r w:rsidRPr="00113D97">
        <w:rPr>
          <w:rFonts w:ascii="Arial" w:hAnsi="Arial" w:cs="Arial"/>
        </w:rPr>
        <w:t>ince 2013</w:t>
      </w:r>
      <w:r>
        <w:rPr>
          <w:rFonts w:ascii="Arial" w:hAnsi="Arial" w:cs="Arial"/>
        </w:rPr>
        <w:t>,</w:t>
      </w:r>
      <w:r w:rsidRPr="00113D97">
        <w:rPr>
          <w:rFonts w:ascii="Arial" w:hAnsi="Arial" w:cs="Arial"/>
        </w:rPr>
        <w:t xml:space="preserve"> </w:t>
      </w:r>
      <w:r>
        <w:rPr>
          <w:rFonts w:ascii="Arial" w:hAnsi="Arial" w:cs="Arial"/>
        </w:rPr>
        <w:t>r</w:t>
      </w:r>
      <w:r w:rsidR="00016A8A" w:rsidRPr="00113D97">
        <w:rPr>
          <w:rFonts w:ascii="Arial" w:hAnsi="Arial" w:cs="Arial"/>
        </w:rPr>
        <w:t xml:space="preserve">esearch and development activities funded or undertaken to optimise health service delivery to best meet patient needs include research and development funded by the NBA and by the </w:t>
      </w:r>
      <w:r w:rsidR="00EC364A">
        <w:rPr>
          <w:rFonts w:ascii="Arial" w:hAnsi="Arial" w:cs="Arial"/>
        </w:rPr>
        <w:t>NHMRC</w:t>
      </w:r>
      <w:r w:rsidR="00016A8A" w:rsidRPr="00113D97">
        <w:rPr>
          <w:rFonts w:ascii="Arial" w:hAnsi="Arial" w:cs="Arial"/>
        </w:rPr>
        <w:t xml:space="preserve"> through Blood Synergy. However, a broad cross-section of stakeholders, including from clinicians, colleges and societies, consumer representatives and researchers, suggested development around education and capability building was needed to ensure health services were delivered in a way that aligned with patients’ needs.</w:t>
      </w:r>
      <w:bookmarkEnd w:id="117"/>
    </w:p>
    <w:p w14:paraId="6C4846B8" w14:textId="77777777" w:rsidR="00016A8A" w:rsidRPr="0044778D" w:rsidRDefault="00016A8A" w:rsidP="00016A8A">
      <w:pPr>
        <w:pStyle w:val="1Dot-point"/>
        <w:numPr>
          <w:ilvl w:val="0"/>
          <w:numId w:val="0"/>
        </w:numPr>
        <w:spacing w:line="280" w:lineRule="exact"/>
        <w:jc w:val="both"/>
        <w:rPr>
          <w:rFonts w:asciiTheme="majorHAnsi" w:hAnsiTheme="majorHAnsi"/>
          <w:b/>
          <w:color w:val="36424A" w:themeColor="text2"/>
          <w:sz w:val="24"/>
        </w:rPr>
      </w:pPr>
      <w:r w:rsidRPr="0044778D">
        <w:rPr>
          <w:rFonts w:asciiTheme="majorHAnsi" w:hAnsiTheme="majorHAnsi"/>
          <w:b/>
          <w:color w:val="36424A" w:themeColor="text2"/>
          <w:sz w:val="24"/>
        </w:rPr>
        <w:t>Consultation</w:t>
      </w:r>
    </w:p>
    <w:p w14:paraId="20B6DA7E" w14:textId="77777777" w:rsidR="001C5D5B" w:rsidRDefault="00016A8A" w:rsidP="00016A8A">
      <w:pPr>
        <w:spacing w:before="120" w:after="120" w:line="280" w:lineRule="exact"/>
        <w:jc w:val="both"/>
        <w:rPr>
          <w:rFonts w:ascii="Arial" w:eastAsia="Arial" w:hAnsi="Arial" w:cs="Arial"/>
          <w:color w:val="000000"/>
        </w:rPr>
      </w:pPr>
      <w:r>
        <w:rPr>
          <w:rFonts w:ascii="Arial" w:hAnsi="Arial" w:cs="Arial"/>
          <w:color w:val="000000"/>
        </w:rPr>
        <w:t>The</w:t>
      </w:r>
      <w:r w:rsidRPr="00ED0F64">
        <w:rPr>
          <w:rFonts w:ascii="Arial" w:hAnsi="Arial" w:cs="Arial"/>
          <w:color w:val="000000"/>
        </w:rPr>
        <w:t xml:space="preserve"> consultation process showed strong support for retaining the current/previous wording of Priority </w:t>
      </w:r>
      <w:r w:rsidRPr="00D53B98">
        <w:rPr>
          <w:rFonts w:ascii="Arial" w:hAnsi="Arial" w:cs="Arial"/>
          <w:color w:val="000000"/>
        </w:rPr>
        <w:t>4 (</w:t>
      </w:r>
      <w:r w:rsidRPr="00087B72">
        <w:rPr>
          <w:rFonts w:ascii="Arial" w:hAnsi="Arial" w:cs="Arial"/>
        </w:rPr>
        <w:t>To optimise health service delivery to best meet patients’ needs</w:t>
      </w:r>
      <w:r w:rsidRPr="00D53B98">
        <w:rPr>
          <w:rFonts w:ascii="Arial" w:hAnsi="Arial" w:cs="Arial"/>
          <w:color w:val="000000"/>
        </w:rPr>
        <w:t xml:space="preserve">), with some amendments and updates. </w:t>
      </w:r>
      <w:r w:rsidRPr="00D53B98">
        <w:rPr>
          <w:rFonts w:ascii="Arial" w:eastAsia="Arial" w:hAnsi="Arial" w:cs="Arial"/>
          <w:color w:val="000000"/>
        </w:rPr>
        <w:t xml:space="preserve">Four respondents to the questionnaire supported retiring this priority, </w:t>
      </w:r>
      <w:r w:rsidR="00B24F2B" w:rsidRPr="00D53B98">
        <w:rPr>
          <w:rFonts w:ascii="Arial" w:eastAsia="Arial" w:hAnsi="Arial" w:cs="Arial"/>
          <w:color w:val="000000"/>
        </w:rPr>
        <w:t xml:space="preserve">with </w:t>
      </w:r>
      <w:r w:rsidRPr="00D53B98">
        <w:rPr>
          <w:rFonts w:ascii="Arial" w:eastAsia="Arial" w:hAnsi="Arial" w:cs="Arial"/>
          <w:color w:val="000000"/>
        </w:rPr>
        <w:t>a researcher feeling it lacked clarity and specific</w:t>
      </w:r>
      <w:r w:rsidR="001C5D5B" w:rsidRPr="00D53B98">
        <w:rPr>
          <w:rFonts w:ascii="Arial" w:eastAsia="Arial" w:hAnsi="Arial" w:cs="Arial"/>
          <w:color w:val="000000"/>
        </w:rPr>
        <w:t>ity</w:t>
      </w:r>
      <w:r w:rsidRPr="00A061D1">
        <w:rPr>
          <w:rFonts w:ascii="Arial" w:eastAsia="Arial" w:hAnsi="Arial" w:cs="Arial"/>
          <w:color w:val="000000"/>
        </w:rPr>
        <w:t>.</w:t>
      </w:r>
      <w:r>
        <w:rPr>
          <w:rFonts w:ascii="Arial" w:eastAsia="Arial" w:hAnsi="Arial" w:cs="Arial"/>
          <w:color w:val="000000"/>
        </w:rPr>
        <w:t xml:space="preserve"> </w:t>
      </w:r>
    </w:p>
    <w:p w14:paraId="2BCDE0E7" w14:textId="64C1B1CC" w:rsidR="00016A8A" w:rsidRDefault="00AF499F" w:rsidP="00016A8A">
      <w:pPr>
        <w:spacing w:before="120" w:after="120" w:line="280" w:lineRule="exact"/>
        <w:jc w:val="both"/>
        <w:rPr>
          <w:rFonts w:ascii="Arial" w:hAnsi="Arial" w:cs="Arial"/>
          <w:color w:val="000000"/>
          <w:lang w:val="en-AU"/>
        </w:rPr>
      </w:pPr>
      <w:r>
        <w:rPr>
          <w:rFonts w:ascii="Arial" w:hAnsi="Arial" w:cs="Arial"/>
          <w:color w:val="000000"/>
          <w:lang w:val="en-AU"/>
        </w:rPr>
        <w:t xml:space="preserve">Figure 11 </w:t>
      </w:r>
      <w:r w:rsidR="00016A8A">
        <w:rPr>
          <w:rFonts w:ascii="Arial" w:hAnsi="Arial" w:cs="Arial"/>
          <w:color w:val="000000"/>
          <w:lang w:val="en-AU"/>
        </w:rPr>
        <w:t>summarises the response from questionnaire respondents.</w:t>
      </w:r>
    </w:p>
    <w:p w14:paraId="41BBE84B" w14:textId="0C1A6546" w:rsidR="00AF499F" w:rsidRPr="00ED0F64" w:rsidRDefault="00AF499F" w:rsidP="00087B72">
      <w:pPr>
        <w:pStyle w:val="Caption"/>
        <w:rPr>
          <w:rFonts w:ascii="Arial" w:hAnsi="Arial" w:cs="Arial"/>
          <w:color w:val="000000"/>
          <w:lang w:val="en-AU"/>
        </w:rPr>
      </w:pPr>
      <w:bookmarkStart w:id="118" w:name="_Toc90462709"/>
      <w:r>
        <w:t xml:space="preserve">Figure </w:t>
      </w:r>
      <w:r>
        <w:fldChar w:fldCharType="begin"/>
      </w:r>
      <w:r>
        <w:instrText xml:space="preserve"> SEQ Figure \* ARABIC </w:instrText>
      </w:r>
      <w:r>
        <w:fldChar w:fldCharType="separate"/>
      </w:r>
      <w:r w:rsidR="00A25C74">
        <w:rPr>
          <w:noProof/>
        </w:rPr>
        <w:t>11</w:t>
      </w:r>
      <w:r>
        <w:fldChar w:fldCharType="end"/>
      </w:r>
      <w:r>
        <w:t xml:space="preserve">: </w:t>
      </w:r>
      <w:r w:rsidRPr="00BE24E3">
        <w:t>Support for retaining, amending, retiring Priority 4</w:t>
      </w:r>
      <w:bookmarkEnd w:id="118"/>
    </w:p>
    <w:p w14:paraId="23108F90" w14:textId="77777777" w:rsidR="00016A8A" w:rsidRPr="007872E8" w:rsidRDefault="00016A8A" w:rsidP="00016A8A">
      <w:pPr>
        <w:pStyle w:val="1Dot-point"/>
        <w:spacing w:line="280" w:lineRule="exact"/>
        <w:jc w:val="both"/>
        <w:rPr>
          <w:rFonts w:cs="Arial"/>
        </w:rPr>
      </w:pPr>
      <w:r w:rsidRPr="007872E8">
        <w:rPr>
          <w:rFonts w:cs="Arial"/>
        </w:rPr>
        <w:t>Retain: 65% (24)</w:t>
      </w:r>
    </w:p>
    <w:p w14:paraId="4D603970" w14:textId="77777777" w:rsidR="00016A8A" w:rsidRPr="007872E8" w:rsidRDefault="00016A8A" w:rsidP="00016A8A">
      <w:pPr>
        <w:pStyle w:val="1Dot-point"/>
        <w:spacing w:line="280" w:lineRule="exact"/>
        <w:jc w:val="both"/>
        <w:rPr>
          <w:rFonts w:cs="Arial"/>
        </w:rPr>
      </w:pPr>
      <w:r w:rsidRPr="007872E8">
        <w:rPr>
          <w:rFonts w:cs="Arial"/>
        </w:rPr>
        <w:t>Retain with amendment: 24% (9)</w:t>
      </w:r>
    </w:p>
    <w:p w14:paraId="7F886B61" w14:textId="13AC72C8" w:rsidR="00016A8A" w:rsidRDefault="00131109" w:rsidP="00016A8A">
      <w:pPr>
        <w:pStyle w:val="1Dot-point"/>
        <w:spacing w:line="280" w:lineRule="exact"/>
        <w:jc w:val="both"/>
        <w:rPr>
          <w:rFonts w:cs="Arial"/>
        </w:rPr>
      </w:pPr>
      <w:r>
        <w:rPr>
          <w:noProof/>
          <w:lang w:eastAsia="en-AU"/>
        </w:rPr>
        <w:drawing>
          <wp:anchor distT="0" distB="0" distL="114300" distR="114300" simplePos="0" relativeHeight="251650560" behindDoc="0" locked="0" layoutInCell="1" allowOverlap="1" wp14:anchorId="3175395C" wp14:editId="397E4DF2">
            <wp:simplePos x="0" y="0"/>
            <wp:positionH relativeFrom="column">
              <wp:posOffset>-3175</wp:posOffset>
            </wp:positionH>
            <wp:positionV relativeFrom="paragraph">
              <wp:posOffset>259080</wp:posOffset>
            </wp:positionV>
            <wp:extent cx="2880000" cy="1349103"/>
            <wp:effectExtent l="0" t="0" r="0" b="3810"/>
            <wp:wrapTopAndBottom/>
            <wp:docPr id="104" name="Graphic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4">
                      <a:extLst>
                        <a:ext uri="{C183D7F6-B498-43B3-948B-1728B52AA6E4}">
                          <adec:decorative xmlns:adec="http://schemas.microsoft.com/office/drawing/2017/decorative" val="1"/>
                        </a:ext>
                      </a:extLst>
                    </pic:cNvPr>
                    <pic:cNvPicPr/>
                  </pic:nvPicPr>
                  <pic:blipFill>
                    <a:blip r:embed="rId44">
                      <a:extLst>
                        <a:ext uri="{96DAC541-7B7A-43D3-8B79-37D633B846F1}">
                          <asvg:svgBlip xmlns:asvg="http://schemas.microsoft.com/office/drawing/2016/SVG/main" r:embed="rId45"/>
                        </a:ext>
                      </a:extLst>
                    </a:blip>
                    <a:stretch>
                      <a:fillRect/>
                    </a:stretch>
                  </pic:blipFill>
                  <pic:spPr>
                    <a:xfrm>
                      <a:off x="0" y="0"/>
                      <a:ext cx="2880000" cy="1349103"/>
                    </a:xfrm>
                    <a:prstGeom prst="rect">
                      <a:avLst/>
                    </a:prstGeom>
                  </pic:spPr>
                </pic:pic>
              </a:graphicData>
            </a:graphic>
            <wp14:sizeRelH relativeFrom="margin">
              <wp14:pctWidth>0</wp14:pctWidth>
            </wp14:sizeRelH>
            <wp14:sizeRelV relativeFrom="margin">
              <wp14:pctHeight>0</wp14:pctHeight>
            </wp14:sizeRelV>
          </wp:anchor>
        </w:drawing>
      </w:r>
      <w:r w:rsidR="00016A8A" w:rsidRPr="007872E8">
        <w:rPr>
          <w:rFonts w:cs="Arial"/>
        </w:rPr>
        <w:t>Retire: 11% (4)</w:t>
      </w:r>
    </w:p>
    <w:p w14:paraId="6F2840DE" w14:textId="7D64B18D" w:rsidR="00131109" w:rsidRDefault="00131109" w:rsidP="0073198B">
      <w:pPr>
        <w:pStyle w:val="1Dot-point"/>
        <w:numPr>
          <w:ilvl w:val="0"/>
          <w:numId w:val="0"/>
        </w:numPr>
        <w:spacing w:line="280" w:lineRule="exact"/>
        <w:jc w:val="both"/>
        <w:rPr>
          <w:rFonts w:cs="Arial"/>
        </w:rPr>
      </w:pPr>
    </w:p>
    <w:p w14:paraId="7BBCB7C8" w14:textId="0F5BA7A9" w:rsidR="00E15590" w:rsidRPr="0073198B" w:rsidRDefault="00D801D0" w:rsidP="00016A8A">
      <w:pPr>
        <w:spacing w:before="120" w:after="120" w:line="280" w:lineRule="exact"/>
        <w:jc w:val="both"/>
        <w:rPr>
          <w:rFonts w:ascii="Arial" w:hAnsi="Arial" w:cs="Arial"/>
        </w:rPr>
      </w:pPr>
      <w:r>
        <w:rPr>
          <w:rFonts w:ascii="Arial" w:eastAsia="Arial" w:hAnsi="Arial" w:cs="Arial"/>
          <w:color w:val="000000"/>
        </w:rPr>
        <w:t xml:space="preserve">There was strong support for </w:t>
      </w:r>
      <w:r w:rsidR="001B08B8">
        <w:rPr>
          <w:rFonts w:ascii="Arial" w:eastAsia="Arial" w:hAnsi="Arial" w:cs="Arial"/>
          <w:color w:val="000000"/>
        </w:rPr>
        <w:t xml:space="preserve">developing frameworks and tools to better support </w:t>
      </w:r>
      <w:r w:rsidR="00171AC6">
        <w:rPr>
          <w:rFonts w:ascii="Arial" w:eastAsia="Arial" w:hAnsi="Arial" w:cs="Arial"/>
          <w:color w:val="000000"/>
        </w:rPr>
        <w:t xml:space="preserve">and educate </w:t>
      </w:r>
      <w:r w:rsidR="001B08B8">
        <w:rPr>
          <w:rFonts w:ascii="Arial" w:eastAsia="Arial" w:hAnsi="Arial" w:cs="Arial"/>
          <w:color w:val="000000"/>
        </w:rPr>
        <w:t>the health</w:t>
      </w:r>
      <w:r w:rsidR="00702F8A">
        <w:rPr>
          <w:rFonts w:ascii="Arial" w:eastAsia="Arial" w:hAnsi="Arial" w:cs="Arial"/>
          <w:color w:val="000000"/>
        </w:rPr>
        <w:t xml:space="preserve"> workforce </w:t>
      </w:r>
      <w:r w:rsidR="001C5D5B">
        <w:rPr>
          <w:rFonts w:ascii="Arial" w:eastAsia="Arial" w:hAnsi="Arial" w:cs="Arial"/>
          <w:color w:val="000000"/>
        </w:rPr>
        <w:t xml:space="preserve">to </w:t>
      </w:r>
      <w:r w:rsidR="00702F8A">
        <w:rPr>
          <w:rFonts w:ascii="Arial" w:eastAsia="Arial" w:hAnsi="Arial" w:cs="Arial"/>
          <w:color w:val="000000"/>
        </w:rPr>
        <w:t>apply the learnings from blood-related research</w:t>
      </w:r>
      <w:r w:rsidR="007E4178">
        <w:rPr>
          <w:rFonts w:ascii="Arial" w:eastAsia="Arial" w:hAnsi="Arial" w:cs="Arial"/>
          <w:color w:val="000000"/>
        </w:rPr>
        <w:t xml:space="preserve">, </w:t>
      </w:r>
      <w:r w:rsidR="00B35C8A">
        <w:rPr>
          <w:rFonts w:ascii="Arial" w:eastAsia="Arial" w:hAnsi="Arial" w:cs="Arial"/>
          <w:color w:val="000000"/>
        </w:rPr>
        <w:t>with</w:t>
      </w:r>
      <w:r w:rsidR="00FE0AA3">
        <w:rPr>
          <w:rFonts w:ascii="Arial" w:eastAsia="Arial" w:hAnsi="Arial" w:cs="Arial"/>
          <w:color w:val="000000"/>
        </w:rPr>
        <w:t xml:space="preserve"> a </w:t>
      </w:r>
      <w:r w:rsidR="00B35C8A">
        <w:rPr>
          <w:rFonts w:ascii="Arial" w:eastAsia="Arial" w:hAnsi="Arial" w:cs="Arial"/>
          <w:color w:val="000000"/>
        </w:rPr>
        <w:t>particular</w:t>
      </w:r>
      <w:r w:rsidR="00FE0AA3">
        <w:rPr>
          <w:rFonts w:ascii="Arial" w:eastAsia="Arial" w:hAnsi="Arial" w:cs="Arial"/>
          <w:color w:val="000000"/>
        </w:rPr>
        <w:t xml:space="preserve"> f</w:t>
      </w:r>
      <w:r w:rsidR="00FE0AA3" w:rsidRPr="00A11C1B">
        <w:rPr>
          <w:rFonts w:ascii="Arial" w:eastAsia="Arial" w:hAnsi="Arial" w:cs="Arial"/>
          <w:color w:val="000000"/>
        </w:rPr>
        <w:t>ocus on</w:t>
      </w:r>
      <w:r w:rsidR="00FE0AA3" w:rsidRPr="00A60BEE">
        <w:rPr>
          <w:rFonts w:ascii="Arial" w:eastAsia="Arial" w:hAnsi="Arial" w:cs="Arial"/>
          <w:color w:val="000000"/>
        </w:rPr>
        <w:t xml:space="preserve"> </w:t>
      </w:r>
      <w:r w:rsidR="00B35C8A" w:rsidRPr="00A60BEE">
        <w:rPr>
          <w:rFonts w:ascii="Arial" w:eastAsia="Arial" w:hAnsi="Arial" w:cs="Arial"/>
          <w:color w:val="000000"/>
        </w:rPr>
        <w:t xml:space="preserve">delivering </w:t>
      </w:r>
      <w:r w:rsidR="00FE0AA3" w:rsidRPr="00A60BEE">
        <w:rPr>
          <w:rFonts w:ascii="Arial" w:eastAsia="Arial" w:hAnsi="Arial" w:cs="Arial"/>
          <w:color w:val="000000"/>
        </w:rPr>
        <w:t>patient centred-care</w:t>
      </w:r>
      <w:r w:rsidR="00702F8A" w:rsidRPr="00A60BEE">
        <w:rPr>
          <w:rFonts w:ascii="Arial" w:eastAsia="Arial" w:hAnsi="Arial" w:cs="Arial"/>
          <w:color w:val="000000"/>
        </w:rPr>
        <w:t xml:space="preserve">. </w:t>
      </w:r>
      <w:r w:rsidR="009D3724" w:rsidRPr="00A60BEE">
        <w:rPr>
          <w:rFonts w:ascii="Arial" w:eastAsia="Arial" w:hAnsi="Arial" w:cs="Arial"/>
          <w:color w:val="000000"/>
        </w:rPr>
        <w:t xml:space="preserve">One research funding body recommended that </w:t>
      </w:r>
      <w:r w:rsidR="009D3724" w:rsidRPr="00A60BEE">
        <w:rPr>
          <w:rFonts w:ascii="Arial" w:hAnsi="Arial" w:cs="Arial"/>
        </w:rPr>
        <w:t>‘</w:t>
      </w:r>
      <w:r w:rsidR="009D3724" w:rsidRPr="0073198B">
        <w:rPr>
          <w:rFonts w:ascii="Arial" w:hAnsi="Arial" w:cs="Arial"/>
        </w:rPr>
        <w:t>Health services research</w:t>
      </w:r>
      <w:r w:rsidR="009D3724" w:rsidRPr="009D3724">
        <w:rPr>
          <w:rFonts w:ascii="Arial" w:hAnsi="Arial" w:cs="Arial"/>
        </w:rPr>
        <w:t xml:space="preserve"> should be enhanced in this area</w:t>
      </w:r>
      <w:r w:rsidR="009D3724" w:rsidRPr="00B05555">
        <w:rPr>
          <w:rFonts w:ascii="Arial" w:hAnsi="Arial" w:cs="Arial"/>
        </w:rPr>
        <w:t>, particularly effective strategies to implement evidence-based stra</w:t>
      </w:r>
      <w:r w:rsidR="009D3724" w:rsidRPr="00A3187F">
        <w:rPr>
          <w:rFonts w:ascii="Arial" w:hAnsi="Arial" w:cs="Arial"/>
        </w:rPr>
        <w:t>tegies in different settings.’</w:t>
      </w:r>
      <w:r w:rsidR="009D3724" w:rsidRPr="00171AC6">
        <w:rPr>
          <w:rFonts w:ascii="Arial" w:hAnsi="Arial" w:cs="Arial"/>
        </w:rPr>
        <w:t xml:space="preserve"> </w:t>
      </w:r>
      <w:r w:rsidR="009D3724" w:rsidRPr="00A11C1B">
        <w:rPr>
          <w:rFonts w:ascii="Arial" w:eastAsia="Arial" w:hAnsi="Arial" w:cs="Arial"/>
          <w:color w:val="000000"/>
        </w:rPr>
        <w:t>An</w:t>
      </w:r>
      <w:r w:rsidR="00461B26" w:rsidRPr="00A60BEE">
        <w:rPr>
          <w:rFonts w:ascii="Arial" w:eastAsia="Arial" w:hAnsi="Arial" w:cs="Arial"/>
          <w:color w:val="000000"/>
        </w:rPr>
        <w:t xml:space="preserve"> internal</w:t>
      </w:r>
      <w:r w:rsidR="009D3724" w:rsidRPr="00A60BEE">
        <w:rPr>
          <w:rFonts w:ascii="Arial" w:eastAsia="Arial" w:hAnsi="Arial" w:cs="Arial"/>
          <w:color w:val="000000"/>
        </w:rPr>
        <w:t xml:space="preserve"> NBA</w:t>
      </w:r>
      <w:r w:rsidR="00461B26" w:rsidRPr="00A60BEE">
        <w:rPr>
          <w:rFonts w:ascii="Arial" w:eastAsia="Arial" w:hAnsi="Arial" w:cs="Arial"/>
          <w:color w:val="000000"/>
        </w:rPr>
        <w:t xml:space="preserve"> stakeholder said, ‘There should be a patient-focus. Always should be front and centre. </w:t>
      </w:r>
      <w:r w:rsidR="00461B26" w:rsidRPr="0073198B">
        <w:rPr>
          <w:rFonts w:ascii="Arial" w:eastAsia="Arial" w:hAnsi="Arial" w:cs="Arial"/>
          <w:color w:val="000000"/>
        </w:rPr>
        <w:t>The research</w:t>
      </w:r>
      <w:r w:rsidR="00461B26" w:rsidRPr="007872E8">
        <w:rPr>
          <w:rFonts w:ascii="Arial" w:eastAsia="Arial" w:hAnsi="Arial" w:cs="Arial"/>
          <w:color w:val="000000"/>
        </w:rPr>
        <w:t xml:space="preserve"> should be accompanied with a </w:t>
      </w:r>
      <w:r w:rsidR="00461B26" w:rsidRPr="0073198B">
        <w:rPr>
          <w:rFonts w:ascii="Arial" w:eastAsia="Arial" w:hAnsi="Arial" w:cs="Arial"/>
          <w:color w:val="000000"/>
        </w:rPr>
        <w:t>strong engagement strategy</w:t>
      </w:r>
      <w:r w:rsidR="00461B26" w:rsidRPr="007872E8">
        <w:rPr>
          <w:rFonts w:ascii="Arial" w:eastAsia="Arial" w:hAnsi="Arial" w:cs="Arial"/>
          <w:color w:val="000000"/>
        </w:rPr>
        <w:t xml:space="preserve"> with the patient.’</w:t>
      </w:r>
    </w:p>
    <w:p w14:paraId="3A7F4ED7" w14:textId="77777777" w:rsidR="00016A8A" w:rsidRPr="0044778D" w:rsidRDefault="00016A8A" w:rsidP="00016A8A">
      <w:pPr>
        <w:pStyle w:val="1Dot-point"/>
        <w:numPr>
          <w:ilvl w:val="0"/>
          <w:numId w:val="0"/>
        </w:numPr>
        <w:spacing w:line="280" w:lineRule="exact"/>
        <w:jc w:val="both"/>
        <w:rPr>
          <w:rFonts w:asciiTheme="majorHAnsi" w:hAnsiTheme="majorHAnsi"/>
          <w:b/>
          <w:color w:val="36424A" w:themeColor="text2"/>
          <w:sz w:val="24"/>
        </w:rPr>
      </w:pPr>
      <w:r w:rsidRPr="0044778D">
        <w:rPr>
          <w:rFonts w:asciiTheme="majorHAnsi" w:hAnsiTheme="majorHAnsi"/>
          <w:b/>
          <w:color w:val="36424A" w:themeColor="text2"/>
          <w:sz w:val="24"/>
        </w:rPr>
        <w:t>Document review</w:t>
      </w:r>
    </w:p>
    <w:p w14:paraId="41006F96" w14:textId="46CAE91B" w:rsidR="00016A8A" w:rsidRPr="009D3724" w:rsidRDefault="00016A8A" w:rsidP="00016A8A">
      <w:pPr>
        <w:pStyle w:val="1Dot-point"/>
        <w:numPr>
          <w:ilvl w:val="0"/>
          <w:numId w:val="0"/>
        </w:numPr>
        <w:spacing w:line="280" w:lineRule="exact"/>
        <w:jc w:val="both"/>
      </w:pPr>
      <w:r w:rsidRPr="006361A7">
        <w:t xml:space="preserve">Maintaining a patient focus in </w:t>
      </w:r>
      <w:r w:rsidRPr="0073198B">
        <w:t>health service delivery</w:t>
      </w:r>
      <w:r w:rsidRPr="006361A7">
        <w:t xml:space="preserve"> is critical for ensuring value for money for the Australian community.</w:t>
      </w:r>
      <w:r w:rsidRPr="00A11C1B">
        <w:t xml:space="preserve"> </w:t>
      </w:r>
      <w:r w:rsidRPr="00A60BEE">
        <w:t xml:space="preserve">Without </w:t>
      </w:r>
      <w:r w:rsidR="001C5D5B">
        <w:t>a</w:t>
      </w:r>
      <w:r w:rsidRPr="00A60BEE">
        <w:t xml:space="preserve"> patient focus, health services are unlikely to align with patient needs causing an inefficient allocation of</w:t>
      </w:r>
      <w:r w:rsidRPr="00B55CE6">
        <w:t xml:space="preserve"> resources within the health economy.</w:t>
      </w:r>
    </w:p>
    <w:p w14:paraId="638004BA" w14:textId="77777777" w:rsidR="00016A8A" w:rsidRPr="006361A7" w:rsidRDefault="00016A8A" w:rsidP="00016A8A">
      <w:pPr>
        <w:pStyle w:val="1Dot-point"/>
        <w:numPr>
          <w:ilvl w:val="0"/>
          <w:numId w:val="0"/>
        </w:numPr>
        <w:spacing w:line="280" w:lineRule="exact"/>
        <w:jc w:val="both"/>
      </w:pPr>
      <w:r w:rsidRPr="006361A7">
        <w:t xml:space="preserve">For example, a study of junior doctors in 2016 found: </w:t>
      </w:r>
    </w:p>
    <w:p w14:paraId="41424802" w14:textId="77777777" w:rsidR="00016A8A" w:rsidRPr="006361A7" w:rsidRDefault="00016A8A" w:rsidP="00016A8A">
      <w:pPr>
        <w:pStyle w:val="1Dot-point"/>
        <w:numPr>
          <w:ilvl w:val="0"/>
          <w:numId w:val="0"/>
        </w:numPr>
        <w:spacing w:line="280" w:lineRule="exact"/>
        <w:ind w:left="1021"/>
        <w:jc w:val="both"/>
      </w:pPr>
      <w:r>
        <w:t>‘</w:t>
      </w:r>
      <w:r w:rsidRPr="006361A7">
        <w:t>There</w:t>
      </w:r>
      <w:r w:rsidRPr="00A11C1B">
        <w:t xml:space="preserve"> is a need for improved </w:t>
      </w:r>
      <w:r w:rsidRPr="0073198B">
        <w:t>education</w:t>
      </w:r>
      <w:r w:rsidRPr="006361A7">
        <w:t xml:space="preserve"> to ensure be</w:t>
      </w:r>
      <w:r w:rsidRPr="00A11C1B">
        <w:t xml:space="preserve">st transfusion practice and patient outcomes. Australian junior doctors want immediate, practical, reliable </w:t>
      </w:r>
      <w:r w:rsidRPr="0073198B">
        <w:t>transfusion information</w:t>
      </w:r>
      <w:r w:rsidRPr="006361A7">
        <w:t xml:space="preserve"> from credible sources to support them in practicing safely and confidently. Their educational needs are driven by real-time </w:t>
      </w:r>
      <w:r w:rsidRPr="00A11C1B">
        <w:t>patient management.</w:t>
      </w:r>
      <w:r>
        <w:t>’</w:t>
      </w:r>
      <w:r w:rsidRPr="006361A7">
        <w:rPr>
          <w:vertAlign w:val="superscript"/>
        </w:rPr>
        <w:footnoteReference w:id="49"/>
      </w:r>
    </w:p>
    <w:p w14:paraId="03C8E07D" w14:textId="3B4B9964" w:rsidR="00016A8A" w:rsidRDefault="00016A8A" w:rsidP="007D4B95">
      <w:pPr>
        <w:pStyle w:val="1Dot-point"/>
        <w:keepNext/>
        <w:keepLines/>
        <w:numPr>
          <w:ilvl w:val="0"/>
          <w:numId w:val="0"/>
        </w:numPr>
        <w:spacing w:line="280" w:lineRule="exact"/>
        <w:jc w:val="both"/>
      </w:pPr>
      <w:r w:rsidRPr="006361A7">
        <w:t>Work is now needed to build on the foundations laid by the NBA’s 2013 National Blood Sector Education and Training Strategy 2013-16</w:t>
      </w:r>
      <w:r w:rsidR="00187DB8">
        <w:t xml:space="preserve"> and Patient Blood Management Implementation Strategy 2017-21</w:t>
      </w:r>
      <w:r w:rsidRPr="006361A7">
        <w:t xml:space="preserve">, to </w:t>
      </w:r>
      <w:r w:rsidR="00591343">
        <w:t xml:space="preserve">harness </w:t>
      </w:r>
      <w:r w:rsidR="00591343" w:rsidRPr="00B05555">
        <w:rPr>
          <w:rFonts w:eastAsia="Arial" w:cs="Arial"/>
        </w:rPr>
        <w:t>the learnings from blood-related research</w:t>
      </w:r>
      <w:r w:rsidR="00591343">
        <w:t xml:space="preserve"> to </w:t>
      </w:r>
      <w:r w:rsidRPr="006361A7">
        <w:t>strengthen capabilities of Australia’s blood sector workforce to best meet patient needs.</w:t>
      </w:r>
      <w:r w:rsidRPr="006361A7">
        <w:rPr>
          <w:vertAlign w:val="superscript"/>
        </w:rPr>
        <w:footnoteReference w:id="50"/>
      </w:r>
      <w:r w:rsidRPr="006361A7">
        <w:t xml:space="preserve"> </w:t>
      </w:r>
      <w:r w:rsidR="003732A5">
        <w:t>The Patient Blood Management Implementation Strategy 2017-21 is currently being reviewed.</w:t>
      </w:r>
      <w:r>
        <w:br w:type="page"/>
      </w:r>
    </w:p>
    <w:p w14:paraId="30FDDC6F" w14:textId="2F4F4D2B" w:rsidR="001959D1" w:rsidRPr="0073198B" w:rsidRDefault="00AF6FEF" w:rsidP="0073198B">
      <w:r>
        <w:rPr>
          <w:noProof/>
          <w:lang w:val="en-AU" w:eastAsia="en-AU"/>
        </w:rPr>
        <w:drawing>
          <wp:anchor distT="0" distB="0" distL="114300" distR="114300" simplePos="0" relativeHeight="251651584" behindDoc="1" locked="0" layoutInCell="1" allowOverlap="1" wp14:anchorId="0D3CEB3D" wp14:editId="014937B0">
            <wp:simplePos x="0" y="0"/>
            <wp:positionH relativeFrom="margin">
              <wp:posOffset>-897255</wp:posOffset>
            </wp:positionH>
            <wp:positionV relativeFrom="paragraph">
              <wp:posOffset>-902335</wp:posOffset>
            </wp:positionV>
            <wp:extent cx="7549888" cy="10655300"/>
            <wp:effectExtent l="0" t="0" r="0" b="0"/>
            <wp:wrapNone/>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val="0"/>
                        </a:ext>
                      </a:extLst>
                    </a:blip>
                    <a:srcRect b="8277"/>
                    <a:stretch/>
                  </pic:blipFill>
                  <pic:spPr bwMode="auto">
                    <a:xfrm>
                      <a:off x="0" y="0"/>
                      <a:ext cx="7549888" cy="1065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992B57" w14:textId="77777777" w:rsidR="001959D1" w:rsidRPr="0073198B" w:rsidRDefault="001959D1" w:rsidP="0073198B"/>
    <w:p w14:paraId="06499CAE" w14:textId="77777777" w:rsidR="001959D1" w:rsidRPr="0073198B" w:rsidRDefault="001959D1" w:rsidP="0073198B"/>
    <w:p w14:paraId="0C6F6F42" w14:textId="77777777" w:rsidR="00AF6FEF" w:rsidRDefault="001959D1" w:rsidP="00AF6FEF">
      <w:pPr>
        <w:pStyle w:val="Heading1-NOTinTOC"/>
        <w:rPr>
          <w:lang w:eastAsia="zh-CN"/>
        </w:rPr>
      </w:pPr>
      <w:r>
        <w:rPr>
          <w:lang w:eastAsia="zh-CN"/>
        </w:rPr>
        <w:t>Monitoring plan</w:t>
      </w:r>
    </w:p>
    <w:p w14:paraId="7DE710F3" w14:textId="4FB74310" w:rsidR="00147ACC" w:rsidRPr="0073198B" w:rsidRDefault="00016A8A" w:rsidP="0073198B">
      <w:pPr>
        <w:pStyle w:val="Heading1-NOTinTOC"/>
        <w:rPr>
          <w:lang w:eastAsia="zh-CN"/>
        </w:rPr>
      </w:pPr>
      <w:r>
        <w:rPr>
          <w:lang w:eastAsia="zh-CN"/>
        </w:rPr>
        <w:br w:type="page"/>
      </w:r>
    </w:p>
    <w:p w14:paraId="528971AA" w14:textId="0F382358" w:rsidR="00BD697D" w:rsidRDefault="004459FB" w:rsidP="00087B72">
      <w:pPr>
        <w:pStyle w:val="Heading1"/>
        <w:rPr>
          <w:rFonts w:ascii="Arial" w:hAnsi="Arial" w:cs="Arial"/>
        </w:rPr>
      </w:pPr>
      <w:bookmarkStart w:id="119" w:name="_Monitoring_plan"/>
      <w:bookmarkStart w:id="120" w:name="_Toc79056722"/>
      <w:bookmarkStart w:id="121" w:name="_Toc90456681"/>
      <w:bookmarkEnd w:id="119"/>
      <w:r w:rsidRPr="00087B72">
        <w:rPr>
          <w:b w:val="0"/>
          <w:caps w:val="0"/>
          <w:noProof/>
        </w:rPr>
        <mc:AlternateContent>
          <mc:Choice Requires="wpg">
            <w:drawing>
              <wp:anchor distT="0" distB="0" distL="114300" distR="114300" simplePos="0" relativeHeight="251652608" behindDoc="0" locked="0" layoutInCell="1" allowOverlap="1" wp14:anchorId="4DAC2234" wp14:editId="09689E16">
                <wp:simplePos x="0" y="0"/>
                <wp:positionH relativeFrom="column">
                  <wp:posOffset>-1300480</wp:posOffset>
                </wp:positionH>
                <wp:positionV relativeFrom="paragraph">
                  <wp:posOffset>-271780</wp:posOffset>
                </wp:positionV>
                <wp:extent cx="786765" cy="782320"/>
                <wp:effectExtent l="171450" t="171450" r="165735" b="170180"/>
                <wp:wrapNone/>
                <wp:docPr id="29" name="Group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6765" cy="782320"/>
                          <a:chOff x="0" y="0"/>
                          <a:chExt cx="787222" cy="782411"/>
                        </a:xfrm>
                      </wpg:grpSpPr>
                      <wps:wsp>
                        <wps:cNvPr id="30" name="Rectangle 30"/>
                        <wps:cNvSpPr/>
                        <wps:spPr>
                          <a:xfrm rot="2700000">
                            <a:off x="17941" y="13131"/>
                            <a:ext cx="765125" cy="77343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rot="2700000">
                            <a:off x="0" y="0"/>
                            <a:ext cx="773289" cy="773289"/>
                          </a:xfrm>
                          <a:prstGeom prst="rect">
                            <a:avLst/>
                          </a:prstGeom>
                          <a:solidFill>
                            <a:srgbClr val="0E41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921C2EF" id="Group 29" o:spid="_x0000_s1026" alt="&quot;&quot;" style="position:absolute;margin-left:-102.4pt;margin-top:-21.4pt;width:61.95pt;height:61.6pt;z-index:251652608" coordsize="7872,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">
                <v:rect id="Rectangle 30" o:spid="_x0000_s1027" style="position:absolute;left:179;top:130;width:7652;height:773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" fillcolor="red" stroked="f" strokeweight="1pt"/>
                <v:rect id="Rectangle 31" o:spid="_x0000_s1028" style="position:absolute;width:7732;height:7732;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" fillcolor="#0e4168" stroked="f" strokeweight="1pt"/>
              </v:group>
            </w:pict>
          </mc:Fallback>
        </mc:AlternateContent>
      </w:r>
      <w:r w:rsidR="00C81BBA" w:rsidRPr="00087B72">
        <w:t>Monitoring</w:t>
      </w:r>
      <w:r w:rsidR="00C81BBA">
        <w:rPr>
          <w:lang w:eastAsia="zh-CN"/>
        </w:rPr>
        <w:t xml:space="preserve"> plan</w:t>
      </w:r>
      <w:bookmarkEnd w:id="120"/>
      <w:bookmarkEnd w:id="121"/>
    </w:p>
    <w:p w14:paraId="7873B9BF" w14:textId="03C1C936" w:rsidR="00244676" w:rsidRDefault="00244676" w:rsidP="00087B72">
      <w:pPr>
        <w:pStyle w:val="CommentText"/>
        <w:jc w:val="both"/>
        <w:rPr>
          <w:rFonts w:cs="Arial"/>
          <w:sz w:val="22"/>
          <w:szCs w:val="22"/>
          <w:lang w:val="en-NZ"/>
        </w:rPr>
      </w:pPr>
      <w:r w:rsidRPr="00BB196B">
        <w:rPr>
          <w:rFonts w:cs="Arial"/>
          <w:sz w:val="22"/>
          <w:szCs w:val="22"/>
          <w:lang w:val="en-NZ"/>
        </w:rPr>
        <w:t xml:space="preserve">The </w:t>
      </w:r>
      <w:r w:rsidR="005C55D6">
        <w:rPr>
          <w:rFonts w:cs="Arial"/>
          <w:sz w:val="22"/>
          <w:szCs w:val="22"/>
          <w:lang w:val="en-NZ"/>
        </w:rPr>
        <w:t>prop</w:t>
      </w:r>
      <w:r w:rsidR="00EE0C95">
        <w:rPr>
          <w:rFonts w:cs="Arial"/>
          <w:sz w:val="22"/>
          <w:szCs w:val="22"/>
          <w:lang w:val="en-NZ"/>
        </w:rPr>
        <w:t>o</w:t>
      </w:r>
      <w:r w:rsidR="005C55D6">
        <w:rPr>
          <w:rFonts w:cs="Arial"/>
          <w:sz w:val="22"/>
          <w:szCs w:val="22"/>
          <w:lang w:val="en-NZ"/>
        </w:rPr>
        <w:t xml:space="preserve">sed </w:t>
      </w:r>
      <w:r w:rsidRPr="00BB196B">
        <w:rPr>
          <w:rFonts w:cs="Arial"/>
          <w:sz w:val="22"/>
          <w:szCs w:val="22"/>
          <w:lang w:val="en-NZ"/>
        </w:rPr>
        <w:t>monitoring plan seeks to measure and communicate progress toward the 202</w:t>
      </w:r>
      <w:r w:rsidR="00ED4FBD">
        <w:rPr>
          <w:rFonts w:cs="Arial"/>
          <w:sz w:val="22"/>
          <w:szCs w:val="22"/>
          <w:lang w:val="en-NZ"/>
        </w:rPr>
        <w:t>2</w:t>
      </w:r>
      <w:r w:rsidRPr="00BB196B">
        <w:rPr>
          <w:rFonts w:cs="Arial"/>
          <w:sz w:val="22"/>
          <w:szCs w:val="22"/>
          <w:lang w:val="en-NZ"/>
        </w:rPr>
        <w:t>-27 Priorities.</w:t>
      </w:r>
      <w:r w:rsidRPr="00244676">
        <w:rPr>
          <w:rFonts w:cs="Arial"/>
          <w:sz w:val="22"/>
          <w:szCs w:val="22"/>
          <w:lang w:val="en-NZ"/>
        </w:rPr>
        <w:t xml:space="preserve"> </w:t>
      </w:r>
      <w:r w:rsidRPr="00BB196B">
        <w:rPr>
          <w:rFonts w:cs="Arial"/>
          <w:sz w:val="22"/>
          <w:szCs w:val="22"/>
          <w:lang w:val="en-NZ"/>
        </w:rPr>
        <w:t>It has three key elements which include targeted information collection</w:t>
      </w:r>
      <w:r w:rsidR="00B649A2">
        <w:rPr>
          <w:rFonts w:cs="Arial"/>
          <w:sz w:val="22"/>
          <w:szCs w:val="22"/>
          <w:lang w:val="en-NZ"/>
        </w:rPr>
        <w:t xml:space="preserve">, </w:t>
      </w:r>
      <w:r w:rsidRPr="00BB196B">
        <w:rPr>
          <w:rFonts w:cs="Arial"/>
          <w:sz w:val="22"/>
          <w:szCs w:val="22"/>
          <w:lang w:val="en-NZ"/>
        </w:rPr>
        <w:t>annual stakeholder engagement, regular reporting</w:t>
      </w:r>
      <w:r w:rsidR="00B649A2">
        <w:rPr>
          <w:rFonts w:cs="Arial"/>
          <w:sz w:val="22"/>
          <w:szCs w:val="22"/>
          <w:lang w:val="en-NZ"/>
        </w:rPr>
        <w:t>,</w:t>
      </w:r>
      <w:r w:rsidRPr="00BB196B">
        <w:rPr>
          <w:rFonts w:cs="Arial"/>
          <w:sz w:val="22"/>
          <w:szCs w:val="22"/>
          <w:lang w:val="en-NZ"/>
        </w:rPr>
        <w:t xml:space="preserve"> proactive communication and continuous monitoring and improvement.</w:t>
      </w:r>
    </w:p>
    <w:p w14:paraId="19F88E76" w14:textId="7D05B1BF" w:rsidR="00244676" w:rsidRPr="00087B72" w:rsidRDefault="00244676" w:rsidP="00087B72">
      <w:pPr>
        <w:pStyle w:val="1Dot-point"/>
        <w:numPr>
          <w:ilvl w:val="0"/>
          <w:numId w:val="0"/>
        </w:numPr>
        <w:spacing w:line="280" w:lineRule="exact"/>
        <w:jc w:val="both"/>
        <w:rPr>
          <w:rFonts w:cs="Arial"/>
          <w:b/>
          <w:color w:val="36424A" w:themeColor="text2"/>
          <w:sz w:val="24"/>
        </w:rPr>
      </w:pPr>
      <w:r w:rsidRPr="00087B72">
        <w:rPr>
          <w:rFonts w:cs="Arial"/>
          <w:b/>
          <w:color w:val="36424A" w:themeColor="text2"/>
          <w:sz w:val="24"/>
        </w:rPr>
        <w:t>Consultation</w:t>
      </w:r>
    </w:p>
    <w:p w14:paraId="10F42F10" w14:textId="7EC47E11" w:rsidR="005A2C02" w:rsidRPr="00353623" w:rsidRDefault="00DF7A58" w:rsidP="00087B72">
      <w:pPr>
        <w:pStyle w:val="CommentText"/>
        <w:jc w:val="both"/>
        <w:rPr>
          <w:rFonts w:cs="Arial"/>
          <w:sz w:val="22"/>
          <w:szCs w:val="22"/>
          <w:lang w:val="en-NZ"/>
        </w:rPr>
      </w:pPr>
      <w:r w:rsidRPr="00087B72">
        <w:rPr>
          <w:rFonts w:cs="Arial"/>
          <w:sz w:val="22"/>
          <w:szCs w:val="22"/>
          <w:lang w:val="en-NZ"/>
        </w:rPr>
        <w:t xml:space="preserve">The Review of the 2013-16 </w:t>
      </w:r>
      <w:r w:rsidR="00D053A1">
        <w:rPr>
          <w:rFonts w:cs="Arial"/>
          <w:sz w:val="22"/>
          <w:szCs w:val="22"/>
          <w:lang w:val="en-NZ"/>
        </w:rPr>
        <w:t>P</w:t>
      </w:r>
      <w:r w:rsidRPr="00087B72">
        <w:rPr>
          <w:rFonts w:cs="Arial"/>
          <w:sz w:val="22"/>
          <w:szCs w:val="22"/>
          <w:lang w:val="en-NZ"/>
        </w:rPr>
        <w:t xml:space="preserve">riorities </w:t>
      </w:r>
      <w:r w:rsidR="001641C5">
        <w:rPr>
          <w:rFonts w:cs="Arial"/>
          <w:sz w:val="22"/>
          <w:szCs w:val="22"/>
          <w:lang w:val="en-NZ"/>
        </w:rPr>
        <w:t>found</w:t>
      </w:r>
      <w:r w:rsidRPr="00087B72">
        <w:rPr>
          <w:rFonts w:cs="Arial"/>
          <w:sz w:val="22"/>
          <w:szCs w:val="22"/>
          <w:lang w:val="en-NZ"/>
        </w:rPr>
        <w:t xml:space="preserve"> the development of a</w:t>
      </w:r>
      <w:r w:rsidR="002A0031">
        <w:rPr>
          <w:rFonts w:cs="Arial"/>
          <w:sz w:val="22"/>
          <w:szCs w:val="22"/>
          <w:lang w:val="en-NZ"/>
        </w:rPr>
        <w:t>n</w:t>
      </w:r>
      <w:r w:rsidRPr="00087B72">
        <w:rPr>
          <w:rFonts w:cs="Arial"/>
          <w:sz w:val="22"/>
          <w:szCs w:val="22"/>
          <w:lang w:val="en-NZ"/>
        </w:rPr>
        <w:t xml:space="preserve"> outcomes monitoring framework </w:t>
      </w:r>
      <w:r w:rsidR="001641C5">
        <w:rPr>
          <w:rFonts w:cs="Arial"/>
          <w:sz w:val="22"/>
          <w:szCs w:val="22"/>
          <w:lang w:val="en-NZ"/>
        </w:rPr>
        <w:t>is</w:t>
      </w:r>
      <w:r w:rsidRPr="00087B72">
        <w:rPr>
          <w:rFonts w:cs="Arial"/>
          <w:sz w:val="22"/>
          <w:szCs w:val="22"/>
          <w:lang w:val="en-NZ"/>
        </w:rPr>
        <w:t xml:space="preserve"> critical for ensuring the NBA is able to measure progress against the new </w:t>
      </w:r>
      <w:r w:rsidR="001D2A6F" w:rsidRPr="00087B72">
        <w:rPr>
          <w:rFonts w:cs="Arial"/>
          <w:sz w:val="22"/>
          <w:szCs w:val="22"/>
          <w:lang w:val="en-NZ"/>
        </w:rPr>
        <w:t>Priorities</w:t>
      </w:r>
      <w:r w:rsidR="00710B7A">
        <w:rPr>
          <w:rFonts w:cs="Arial"/>
          <w:sz w:val="22"/>
          <w:szCs w:val="22"/>
          <w:lang w:val="en-NZ"/>
        </w:rPr>
        <w:t>. F</w:t>
      </w:r>
      <w:r w:rsidR="001D2A6F" w:rsidRPr="00087B72">
        <w:rPr>
          <w:rFonts w:cs="Arial"/>
          <w:sz w:val="22"/>
          <w:szCs w:val="22"/>
          <w:lang w:val="en-NZ"/>
        </w:rPr>
        <w:t>urthermore,</w:t>
      </w:r>
      <w:r w:rsidR="002A0031">
        <w:rPr>
          <w:rFonts w:cs="Arial"/>
          <w:sz w:val="22"/>
          <w:szCs w:val="22"/>
          <w:lang w:val="en-NZ"/>
        </w:rPr>
        <w:t xml:space="preserve"> such a framework would</w:t>
      </w:r>
      <w:r w:rsidRPr="00087B72">
        <w:rPr>
          <w:rFonts w:cs="Arial"/>
          <w:sz w:val="22"/>
          <w:szCs w:val="22"/>
          <w:lang w:val="en-NZ"/>
        </w:rPr>
        <w:t xml:space="preserve"> provide the opportunity for the NBA to ‘role model’ to the blood sector good practice in relation to data and information sharing at the national level.</w:t>
      </w:r>
      <w:r w:rsidR="00D74969" w:rsidRPr="00087B72">
        <w:rPr>
          <w:rFonts w:cs="Arial"/>
          <w:sz w:val="22"/>
          <w:szCs w:val="22"/>
          <w:lang w:val="en-NZ"/>
        </w:rPr>
        <w:t xml:space="preserve"> </w:t>
      </w:r>
      <w:r w:rsidR="00CF48BF" w:rsidRPr="00353623">
        <w:rPr>
          <w:rFonts w:cs="Arial"/>
          <w:sz w:val="22"/>
          <w:szCs w:val="22"/>
          <w:lang w:val="en-NZ"/>
        </w:rPr>
        <w:t xml:space="preserve">The </w:t>
      </w:r>
      <w:r w:rsidR="00CA2A85" w:rsidRPr="00353623">
        <w:rPr>
          <w:rFonts w:cs="Arial"/>
          <w:sz w:val="22"/>
          <w:szCs w:val="22"/>
          <w:lang w:val="en-NZ"/>
        </w:rPr>
        <w:t xml:space="preserve">need for improved </w:t>
      </w:r>
      <w:r w:rsidR="000D3A2E" w:rsidRPr="00353623">
        <w:rPr>
          <w:rFonts w:cs="Arial"/>
          <w:sz w:val="22"/>
          <w:szCs w:val="22"/>
          <w:lang w:val="en-NZ"/>
        </w:rPr>
        <w:t>monitoring</w:t>
      </w:r>
      <w:r w:rsidR="00CA2A85" w:rsidRPr="00353623">
        <w:rPr>
          <w:rFonts w:cs="Arial"/>
          <w:sz w:val="22"/>
          <w:szCs w:val="22"/>
          <w:lang w:val="en-NZ"/>
        </w:rPr>
        <w:t xml:space="preserve"> and outcomes measured was highlighted by </w:t>
      </w:r>
      <w:r w:rsidR="000D3A2E" w:rsidRPr="00353623">
        <w:rPr>
          <w:rFonts w:cs="Arial"/>
          <w:sz w:val="22"/>
          <w:szCs w:val="22"/>
          <w:lang w:val="en-NZ"/>
        </w:rPr>
        <w:t>the NBA Board</w:t>
      </w:r>
      <w:r w:rsidR="001641C5">
        <w:rPr>
          <w:rFonts w:cs="Arial"/>
          <w:sz w:val="22"/>
          <w:szCs w:val="22"/>
          <w:lang w:val="en-NZ"/>
        </w:rPr>
        <w:t>. Members of the NBA Board said:</w:t>
      </w:r>
      <w:r w:rsidR="000D3A2E" w:rsidRPr="00353623">
        <w:rPr>
          <w:rFonts w:cs="Arial"/>
          <w:sz w:val="22"/>
          <w:szCs w:val="22"/>
          <w:lang w:val="en-NZ"/>
        </w:rPr>
        <w:t xml:space="preserve"> </w:t>
      </w:r>
    </w:p>
    <w:p w14:paraId="04B70E75" w14:textId="2BA9B236" w:rsidR="008A3C30" w:rsidRPr="00ED4FBD" w:rsidRDefault="0060661E" w:rsidP="00BE630A">
      <w:pPr>
        <w:pStyle w:val="CommentText"/>
        <w:ind w:left="720"/>
        <w:jc w:val="both"/>
        <w:rPr>
          <w:rFonts w:cs="Arial"/>
          <w:sz w:val="22"/>
          <w:szCs w:val="22"/>
          <w:lang w:val="en-NZ"/>
        </w:rPr>
      </w:pPr>
      <w:r>
        <w:rPr>
          <w:rFonts w:cs="Arial"/>
          <w:sz w:val="22"/>
          <w:szCs w:val="22"/>
          <w:lang w:val="en-NZ"/>
        </w:rPr>
        <w:t>‘</w:t>
      </w:r>
      <w:r w:rsidR="008A3C30" w:rsidRPr="00ED4FBD">
        <w:rPr>
          <w:rFonts w:cs="Arial"/>
          <w:sz w:val="22"/>
          <w:szCs w:val="22"/>
          <w:lang w:val="en-NZ"/>
        </w:rPr>
        <w:t>Going forward, the Board would like to see – a disaggregation of funds by topic and by grant. What are we funding? How does this funding align with priorities?’</w:t>
      </w:r>
    </w:p>
    <w:p w14:paraId="7AEF15ED" w14:textId="3E557FB5" w:rsidR="000B70B8" w:rsidRPr="00ED4FBD" w:rsidRDefault="008A3C30" w:rsidP="00BE630A">
      <w:pPr>
        <w:pStyle w:val="CommentText"/>
        <w:ind w:left="720"/>
        <w:jc w:val="both"/>
        <w:rPr>
          <w:rFonts w:cs="Arial"/>
          <w:sz w:val="22"/>
          <w:szCs w:val="22"/>
          <w:lang w:val="en-NZ"/>
        </w:rPr>
      </w:pPr>
      <w:r w:rsidRPr="00ED4FBD">
        <w:rPr>
          <w:rFonts w:cs="Arial"/>
          <w:sz w:val="22"/>
          <w:szCs w:val="22"/>
          <w:lang w:val="en-NZ"/>
        </w:rPr>
        <w:t>‘I want to see greater value for money from the NBA’s investment in research. In terms of meaningful findings and results that will make a real difference for the community’</w:t>
      </w:r>
    </w:p>
    <w:p w14:paraId="7D909E37" w14:textId="3C50D557" w:rsidR="00D95239" w:rsidRPr="00133B3C" w:rsidRDefault="00AD50A8" w:rsidP="00087B72">
      <w:pPr>
        <w:spacing w:before="120" w:after="120" w:line="280" w:lineRule="exact"/>
        <w:jc w:val="both"/>
        <w:rPr>
          <w:rFonts w:cs="Arial"/>
        </w:rPr>
      </w:pPr>
      <w:r>
        <w:rPr>
          <w:rFonts w:ascii="Arial" w:eastAsia="SimSun" w:hAnsi="Arial" w:cs="Arial"/>
          <w:lang w:eastAsia="zh-CN"/>
        </w:rPr>
        <w:t>External</w:t>
      </w:r>
      <w:r w:rsidR="00D95239">
        <w:rPr>
          <w:rFonts w:ascii="Arial" w:eastAsia="SimSun" w:hAnsi="Arial" w:cs="Arial"/>
          <w:lang w:eastAsia="zh-CN"/>
        </w:rPr>
        <w:t xml:space="preserve"> stakeholders </w:t>
      </w:r>
      <w:r>
        <w:rPr>
          <w:rFonts w:ascii="Arial" w:eastAsia="SimSun" w:hAnsi="Arial" w:cs="Arial"/>
          <w:lang w:eastAsia="zh-CN"/>
        </w:rPr>
        <w:t xml:space="preserve">also </w:t>
      </w:r>
      <w:r w:rsidR="00D95239">
        <w:rPr>
          <w:rFonts w:ascii="Arial" w:eastAsia="SimSun" w:hAnsi="Arial" w:cs="Arial"/>
          <w:lang w:eastAsia="zh-CN"/>
        </w:rPr>
        <w:t xml:space="preserve">supported the development of a high-level monitoring plan to track and measure progress toward the 2022-27 Priorities. </w:t>
      </w:r>
      <w:r w:rsidR="00D95239" w:rsidRPr="000D0189">
        <w:rPr>
          <w:rFonts w:ascii="Arial" w:hAnsi="Arial" w:cs="Arial"/>
        </w:rPr>
        <w:t xml:space="preserve">One blood product manufacturer asked for ‘More insight into what initiatives are linked to them [the NBA </w:t>
      </w:r>
      <w:r w:rsidR="00D95239">
        <w:rPr>
          <w:rFonts w:ascii="Arial" w:hAnsi="Arial" w:cs="Arial"/>
        </w:rPr>
        <w:t>National Blood Research and Development</w:t>
      </w:r>
      <w:r w:rsidR="00D95239" w:rsidRPr="000D0189">
        <w:rPr>
          <w:rFonts w:ascii="Arial" w:hAnsi="Arial" w:cs="Arial"/>
        </w:rPr>
        <w:t xml:space="preserve"> </w:t>
      </w:r>
      <w:r w:rsidR="00D95239">
        <w:rPr>
          <w:rFonts w:ascii="Arial" w:hAnsi="Arial" w:cs="Arial"/>
        </w:rPr>
        <w:t>S</w:t>
      </w:r>
      <w:r w:rsidR="00D95239" w:rsidRPr="000D0189">
        <w:rPr>
          <w:rFonts w:ascii="Arial" w:hAnsi="Arial" w:cs="Arial"/>
        </w:rPr>
        <w:t xml:space="preserve">trategic </w:t>
      </w:r>
      <w:r w:rsidR="00D95239">
        <w:rPr>
          <w:rFonts w:ascii="Arial" w:hAnsi="Arial" w:cs="Arial"/>
        </w:rPr>
        <w:t>P</w:t>
      </w:r>
      <w:r w:rsidR="00D95239" w:rsidRPr="000D0189">
        <w:rPr>
          <w:rFonts w:ascii="Arial" w:hAnsi="Arial" w:cs="Arial"/>
        </w:rPr>
        <w:t xml:space="preserve">riorities] and the progress made against these initiatives.’ </w:t>
      </w:r>
    </w:p>
    <w:p w14:paraId="0D14F9B5" w14:textId="520FC3CA" w:rsidR="00244676" w:rsidRPr="0073198B" w:rsidRDefault="00244676" w:rsidP="00244676">
      <w:pPr>
        <w:pStyle w:val="1Dot-point"/>
        <w:numPr>
          <w:ilvl w:val="0"/>
          <w:numId w:val="0"/>
        </w:numPr>
        <w:spacing w:line="280" w:lineRule="exact"/>
        <w:jc w:val="both"/>
        <w:rPr>
          <w:rFonts w:cs="Arial"/>
          <w:b/>
          <w:color w:val="36424A" w:themeColor="text2"/>
          <w:sz w:val="24"/>
        </w:rPr>
      </w:pPr>
      <w:r w:rsidRPr="0073198B">
        <w:rPr>
          <w:rFonts w:cs="Arial"/>
          <w:b/>
          <w:color w:val="36424A" w:themeColor="text2"/>
          <w:sz w:val="24"/>
        </w:rPr>
        <w:t>Assessment of 2013-16 Priorities</w:t>
      </w:r>
    </w:p>
    <w:p w14:paraId="78BC3CEA" w14:textId="77777777" w:rsidR="00244676" w:rsidRPr="0084022D" w:rsidRDefault="00244676" w:rsidP="00244676">
      <w:pPr>
        <w:pStyle w:val="BodyText"/>
        <w:jc w:val="both"/>
        <w:rPr>
          <w:rFonts w:ascii="Arial" w:hAnsi="Arial" w:cs="Arial"/>
        </w:rPr>
      </w:pPr>
      <w:r w:rsidRPr="0084022D">
        <w:rPr>
          <w:rFonts w:ascii="Arial" w:hAnsi="Arial" w:cs="Arial"/>
        </w:rPr>
        <w:t>There was no reporting framework to track, capture and communicate progress, impacts and outcomes from the 2013-16 Priorities. This means indicators of progress, such as knowledge translation, increased sector capacity, enhanced community awareness, improved clinical practice and outcomes for patients and cost efficiencies, have not been effectively measured against since 2013.</w:t>
      </w:r>
    </w:p>
    <w:p w14:paraId="6879C4A2" w14:textId="77777777" w:rsidR="00244676" w:rsidRPr="0073198B" w:rsidRDefault="00244676" w:rsidP="00244676">
      <w:pPr>
        <w:pStyle w:val="1Dot-point"/>
        <w:numPr>
          <w:ilvl w:val="0"/>
          <w:numId w:val="0"/>
        </w:numPr>
        <w:spacing w:line="280" w:lineRule="exact"/>
        <w:jc w:val="both"/>
        <w:rPr>
          <w:rFonts w:cs="Arial"/>
          <w:b/>
          <w:color w:val="36424A" w:themeColor="text2"/>
          <w:sz w:val="24"/>
        </w:rPr>
      </w:pPr>
      <w:r w:rsidRPr="0073198B">
        <w:rPr>
          <w:rFonts w:cs="Arial"/>
          <w:b/>
          <w:color w:val="36424A" w:themeColor="text2"/>
          <w:sz w:val="24"/>
        </w:rPr>
        <w:t>Document review</w:t>
      </w:r>
    </w:p>
    <w:p w14:paraId="22795CC9" w14:textId="77777777" w:rsidR="00244676" w:rsidRPr="00143E8B" w:rsidRDefault="00244676" w:rsidP="00244676">
      <w:pPr>
        <w:spacing w:before="120" w:after="120" w:line="280" w:lineRule="exact"/>
        <w:jc w:val="both"/>
        <w:rPr>
          <w:rFonts w:ascii="Arial" w:eastAsia="SimSun" w:hAnsi="Arial" w:cs="Arial"/>
          <w:lang w:eastAsia="zh-CN"/>
        </w:rPr>
      </w:pPr>
      <w:r>
        <w:rPr>
          <w:rFonts w:ascii="Arial" w:hAnsi="Arial" w:cs="Arial"/>
        </w:rPr>
        <w:t>The Australian National Audit Office considers e</w:t>
      </w:r>
      <w:r w:rsidRPr="00A20474">
        <w:rPr>
          <w:rFonts w:ascii="Arial" w:hAnsi="Arial" w:cs="Arial"/>
        </w:rPr>
        <w:t xml:space="preserve">ffective monitoring </w:t>
      </w:r>
      <w:r>
        <w:rPr>
          <w:rFonts w:ascii="Arial" w:hAnsi="Arial" w:cs="Arial"/>
        </w:rPr>
        <w:t xml:space="preserve">is achieved by </w:t>
      </w:r>
      <w:r w:rsidRPr="00A20474">
        <w:rPr>
          <w:rFonts w:ascii="Arial" w:hAnsi="Arial" w:cs="Arial"/>
        </w:rPr>
        <w:t>collect</w:t>
      </w:r>
      <w:r>
        <w:rPr>
          <w:rFonts w:ascii="Arial" w:hAnsi="Arial" w:cs="Arial"/>
        </w:rPr>
        <w:t>ing</w:t>
      </w:r>
      <w:r w:rsidRPr="00A20474">
        <w:rPr>
          <w:rFonts w:ascii="Arial" w:hAnsi="Arial" w:cs="Arial"/>
        </w:rPr>
        <w:t xml:space="preserve"> timely and relevant information that allows progress to be tracked towards outcomes</w:t>
      </w:r>
      <w:r>
        <w:rPr>
          <w:rFonts w:ascii="Arial" w:hAnsi="Arial" w:cs="Arial"/>
        </w:rPr>
        <w:t>,</w:t>
      </w:r>
      <w:r w:rsidRPr="00A20474">
        <w:rPr>
          <w:rFonts w:ascii="Arial" w:hAnsi="Arial" w:cs="Arial"/>
        </w:rPr>
        <w:t xml:space="preserve"> and adjustments made, as necessary.</w:t>
      </w:r>
      <w:r w:rsidRPr="00A20474">
        <w:rPr>
          <w:rStyle w:val="FootnoteReference"/>
          <w:rFonts w:ascii="Arial" w:hAnsi="Arial" w:cs="Arial"/>
          <w:color w:val="212529"/>
          <w:shd w:val="clear" w:color="auto" w:fill="FFFFFF"/>
        </w:rPr>
        <w:footnoteReference w:id="51"/>
      </w:r>
      <w:r w:rsidRPr="00A20474">
        <w:rPr>
          <w:rStyle w:val="FootnoteReference"/>
          <w:rFonts w:ascii="Arial" w:hAnsi="Arial" w:cs="Arial"/>
          <w:color w:val="212529"/>
          <w:shd w:val="clear" w:color="auto" w:fill="FFFFFF"/>
        </w:rPr>
        <w:t xml:space="preserve"> </w:t>
      </w:r>
      <w:r>
        <w:rPr>
          <w:rFonts w:ascii="Arial" w:hAnsi="Arial" w:cs="Arial"/>
          <w:color w:val="212529"/>
          <w:shd w:val="clear" w:color="auto" w:fill="FFFFFF"/>
        </w:rPr>
        <w:t>The Commonwealth Performance Framework provides that</w:t>
      </w:r>
      <w:r w:rsidRPr="00A20474">
        <w:rPr>
          <w:rStyle w:val="FootnoteReference"/>
          <w:rFonts w:ascii="Arial" w:hAnsi="Arial" w:cs="Arial"/>
          <w:color w:val="212529"/>
          <w:shd w:val="clear" w:color="auto" w:fill="FFFFFF"/>
        </w:rPr>
        <w:t xml:space="preserve"> </w:t>
      </w:r>
      <w:r>
        <w:rPr>
          <w:rFonts w:ascii="Arial" w:hAnsi="Arial" w:cs="Arial"/>
        </w:rPr>
        <w:t>w</w:t>
      </w:r>
      <w:r w:rsidRPr="00A20474">
        <w:rPr>
          <w:rFonts w:ascii="Arial" w:hAnsi="Arial" w:cs="Arial"/>
        </w:rPr>
        <w:t>here reasonably practicable, performance measures should comprise a mix of qualitative and quantitative performance measures</w:t>
      </w:r>
      <w:r w:rsidRPr="00A20474">
        <w:rPr>
          <w:rFonts w:ascii="Arial" w:hAnsi="Arial" w:cs="Arial"/>
          <w:color w:val="212529"/>
          <w:shd w:val="clear" w:color="auto" w:fill="FFFFFF"/>
        </w:rPr>
        <w:t>.</w:t>
      </w:r>
      <w:r w:rsidRPr="00A20474">
        <w:rPr>
          <w:rStyle w:val="FootnoteReference"/>
          <w:rFonts w:ascii="Arial" w:hAnsi="Arial" w:cs="Arial"/>
          <w:color w:val="212529"/>
          <w:shd w:val="clear" w:color="auto" w:fill="FFFFFF"/>
        </w:rPr>
        <w:footnoteReference w:id="52"/>
      </w:r>
    </w:p>
    <w:p w14:paraId="1BB255D3" w14:textId="77777777" w:rsidR="00244676" w:rsidRDefault="00244676" w:rsidP="000D3A2E">
      <w:pPr>
        <w:pStyle w:val="CommentText"/>
        <w:rPr>
          <w:rFonts w:cs="Arial"/>
          <w:sz w:val="22"/>
          <w:szCs w:val="22"/>
          <w:lang w:val="en-NZ"/>
        </w:rPr>
      </w:pPr>
    </w:p>
    <w:p w14:paraId="674CE10B" w14:textId="77777777" w:rsidR="0060661E" w:rsidRDefault="0060661E" w:rsidP="000D3A2E">
      <w:pPr>
        <w:pStyle w:val="CommentText"/>
        <w:rPr>
          <w:rFonts w:cs="Arial"/>
          <w:sz w:val="22"/>
          <w:szCs w:val="22"/>
          <w:lang w:val="en-NZ"/>
        </w:rPr>
      </w:pPr>
    </w:p>
    <w:p w14:paraId="06C7B9DA" w14:textId="77777777" w:rsidR="00244676" w:rsidRPr="00087B72" w:rsidRDefault="00244676" w:rsidP="00087B72">
      <w:pPr>
        <w:pStyle w:val="CommentText"/>
        <w:rPr>
          <w:rFonts w:cs="Arial"/>
          <w:highlight w:val="magenta"/>
        </w:rPr>
      </w:pPr>
    </w:p>
    <w:p w14:paraId="0B86FF15" w14:textId="0A4748C9" w:rsidR="00C81BBA" w:rsidRPr="007A0882" w:rsidRDefault="00C81BBA" w:rsidP="00C81BBA">
      <w:pPr>
        <w:pStyle w:val="BodyText"/>
        <w:jc w:val="both"/>
        <w:rPr>
          <w:rFonts w:asciiTheme="majorHAnsi" w:hAnsiTheme="majorHAnsi"/>
          <w:lang w:eastAsia="zh-CN"/>
        </w:rPr>
      </w:pPr>
      <w:r w:rsidRPr="007A0882">
        <w:rPr>
          <w:rFonts w:ascii="Arial" w:hAnsi="Arial" w:cs="Arial"/>
          <w:b/>
          <w:color w:val="36424A" w:themeColor="text2"/>
          <w:sz w:val="24"/>
        </w:rPr>
        <w:t>Guiding principles</w:t>
      </w:r>
      <w:r w:rsidR="00800408">
        <w:rPr>
          <w:rFonts w:ascii="Arial" w:hAnsi="Arial" w:cs="Arial"/>
          <w:b/>
          <w:color w:val="36424A" w:themeColor="text2"/>
          <w:sz w:val="24"/>
        </w:rPr>
        <w:t xml:space="preserve"> for the </w:t>
      </w:r>
      <w:r w:rsidR="00074448">
        <w:rPr>
          <w:rFonts w:ascii="Arial" w:hAnsi="Arial" w:cs="Arial"/>
          <w:b/>
          <w:color w:val="36424A" w:themeColor="text2"/>
          <w:sz w:val="24"/>
        </w:rPr>
        <w:t>2022-27 Monitoring Plan</w:t>
      </w:r>
    </w:p>
    <w:p w14:paraId="54F4797B" w14:textId="04005E33" w:rsidR="00C81BBA" w:rsidRPr="00A20474" w:rsidRDefault="00C81BBA" w:rsidP="00C81BBA">
      <w:pPr>
        <w:pStyle w:val="BodyText"/>
        <w:jc w:val="both"/>
        <w:rPr>
          <w:rFonts w:ascii="Arial" w:hAnsi="Arial" w:cs="Arial"/>
        </w:rPr>
      </w:pPr>
      <w:r w:rsidRPr="00A20474">
        <w:rPr>
          <w:rFonts w:ascii="Arial" w:hAnsi="Arial" w:cs="Arial"/>
        </w:rPr>
        <w:t xml:space="preserve">The </w:t>
      </w:r>
      <w:r w:rsidR="005C55D6">
        <w:rPr>
          <w:rFonts w:ascii="Arial" w:hAnsi="Arial" w:cs="Arial"/>
        </w:rPr>
        <w:t xml:space="preserve">proposed </w:t>
      </w:r>
      <w:r w:rsidRPr="00A20474">
        <w:rPr>
          <w:rFonts w:ascii="Arial" w:hAnsi="Arial" w:cs="Arial"/>
        </w:rPr>
        <w:t xml:space="preserve">monitoring plan </w:t>
      </w:r>
      <w:r w:rsidR="003F2E46">
        <w:rPr>
          <w:rFonts w:ascii="Arial" w:hAnsi="Arial" w:cs="Arial"/>
        </w:rPr>
        <w:t xml:space="preserve">is </w:t>
      </w:r>
      <w:r w:rsidR="00075929">
        <w:rPr>
          <w:rFonts w:ascii="Arial" w:hAnsi="Arial" w:cs="Arial"/>
        </w:rPr>
        <w:t>underpinned by</w:t>
      </w:r>
      <w:r>
        <w:rPr>
          <w:rFonts w:ascii="Arial" w:hAnsi="Arial" w:cs="Arial"/>
        </w:rPr>
        <w:t xml:space="preserve"> the following guiding principles</w:t>
      </w:r>
      <w:r w:rsidR="00DC601E">
        <w:rPr>
          <w:rFonts w:ascii="Arial" w:hAnsi="Arial" w:cs="Arial"/>
        </w:rPr>
        <w:t xml:space="preserve"> -</w:t>
      </w:r>
      <w:r>
        <w:rPr>
          <w:rFonts w:ascii="Arial" w:hAnsi="Arial" w:cs="Arial"/>
        </w:rPr>
        <w:t xml:space="preserve"> efficient,</w:t>
      </w:r>
      <w:r w:rsidRPr="00A20474">
        <w:rPr>
          <w:rFonts w:ascii="Arial" w:hAnsi="Arial" w:cs="Arial"/>
        </w:rPr>
        <w:t xml:space="preserve"> proportionate, and transparent.</w:t>
      </w:r>
    </w:p>
    <w:p w14:paraId="41E54E02" w14:textId="77777777" w:rsidR="00C81BBA" w:rsidRPr="007A0882" w:rsidRDefault="00C81BBA" w:rsidP="00C81BBA">
      <w:pPr>
        <w:pStyle w:val="1Dot-point"/>
        <w:numPr>
          <w:ilvl w:val="0"/>
          <w:numId w:val="0"/>
        </w:numPr>
        <w:spacing w:line="280" w:lineRule="exact"/>
        <w:jc w:val="both"/>
        <w:rPr>
          <w:rFonts w:cs="Arial"/>
          <w:b/>
        </w:rPr>
      </w:pPr>
      <w:r w:rsidRPr="007A0882">
        <w:rPr>
          <w:rFonts w:cs="Arial"/>
          <w:b/>
        </w:rPr>
        <w:t>Efficient</w:t>
      </w:r>
    </w:p>
    <w:p w14:paraId="14EE72E7" w14:textId="2E4716E8" w:rsidR="00C81BBA" w:rsidRPr="00A20474" w:rsidRDefault="00C81BBA" w:rsidP="00C81BBA">
      <w:pPr>
        <w:pStyle w:val="BodyText"/>
        <w:jc w:val="both"/>
        <w:rPr>
          <w:rFonts w:ascii="Arial" w:hAnsi="Arial" w:cs="Arial"/>
        </w:rPr>
      </w:pPr>
      <w:r w:rsidRPr="00A20474">
        <w:rPr>
          <w:rFonts w:ascii="Arial" w:hAnsi="Arial" w:cs="Arial"/>
        </w:rPr>
        <w:t>The</w:t>
      </w:r>
      <w:r>
        <w:rPr>
          <w:rFonts w:ascii="Arial" w:hAnsi="Arial" w:cs="Arial"/>
        </w:rPr>
        <w:t xml:space="preserve"> monitoring </w:t>
      </w:r>
      <w:r w:rsidR="009F0F33">
        <w:rPr>
          <w:rFonts w:ascii="Arial" w:hAnsi="Arial" w:cs="Arial"/>
        </w:rPr>
        <w:t xml:space="preserve">plan </w:t>
      </w:r>
      <w:r w:rsidR="004A07FA">
        <w:rPr>
          <w:rFonts w:ascii="Arial" w:hAnsi="Arial" w:cs="Arial"/>
        </w:rPr>
        <w:t xml:space="preserve">should </w:t>
      </w:r>
      <w:r w:rsidR="009F0F33">
        <w:rPr>
          <w:rFonts w:ascii="Arial" w:hAnsi="Arial" w:cs="Arial"/>
        </w:rPr>
        <w:t xml:space="preserve">promote an efficient </w:t>
      </w:r>
      <w:r w:rsidR="00CB379A">
        <w:rPr>
          <w:rFonts w:ascii="Arial" w:hAnsi="Arial" w:cs="Arial"/>
        </w:rPr>
        <w:t>reporting framework</w:t>
      </w:r>
      <w:r w:rsidR="001A281A">
        <w:rPr>
          <w:rFonts w:ascii="Arial" w:hAnsi="Arial" w:cs="Arial"/>
        </w:rPr>
        <w:t xml:space="preserve">, by </w:t>
      </w:r>
      <w:r w:rsidR="00E92EDF">
        <w:rPr>
          <w:rFonts w:ascii="Arial" w:hAnsi="Arial" w:cs="Arial"/>
        </w:rPr>
        <w:t xml:space="preserve">fostering </w:t>
      </w:r>
      <w:r w:rsidRPr="00A20474">
        <w:rPr>
          <w:rFonts w:ascii="Arial" w:hAnsi="Arial" w:cs="Arial"/>
        </w:rPr>
        <w:t xml:space="preserve">clarity in </w:t>
      </w:r>
      <w:r w:rsidR="00333A64">
        <w:rPr>
          <w:rFonts w:ascii="Arial" w:hAnsi="Arial" w:cs="Arial"/>
        </w:rPr>
        <w:t>reporting</w:t>
      </w:r>
      <w:r w:rsidRPr="00A20474">
        <w:rPr>
          <w:rFonts w:ascii="Arial" w:hAnsi="Arial" w:cs="Arial"/>
        </w:rPr>
        <w:t xml:space="preserve"> roles and responsibilities and streamlining reporting requirements</w:t>
      </w:r>
      <w:r w:rsidR="00950F75">
        <w:rPr>
          <w:rFonts w:ascii="Arial" w:hAnsi="Arial" w:cs="Arial"/>
        </w:rPr>
        <w:t xml:space="preserve"> to</w:t>
      </w:r>
      <w:r w:rsidR="00DB490B" w:rsidRPr="00A20474">
        <w:rPr>
          <w:rFonts w:ascii="Arial" w:hAnsi="Arial" w:cs="Arial"/>
        </w:rPr>
        <w:t xml:space="preserve"> minimise implementation costs for the NBA and stakeholders</w:t>
      </w:r>
      <w:r w:rsidRPr="00A20474">
        <w:rPr>
          <w:rFonts w:ascii="Arial" w:hAnsi="Arial" w:cs="Arial"/>
        </w:rPr>
        <w:t>.</w:t>
      </w:r>
    </w:p>
    <w:p w14:paraId="1ABAC909" w14:textId="77777777" w:rsidR="00C81BBA" w:rsidRPr="007A0882" w:rsidRDefault="00C81BBA" w:rsidP="00C81BBA">
      <w:pPr>
        <w:pStyle w:val="1Dot-point"/>
        <w:numPr>
          <w:ilvl w:val="0"/>
          <w:numId w:val="0"/>
        </w:numPr>
        <w:spacing w:line="280" w:lineRule="exact"/>
        <w:jc w:val="both"/>
        <w:rPr>
          <w:rFonts w:cs="Arial"/>
          <w:b/>
        </w:rPr>
      </w:pPr>
      <w:r w:rsidRPr="007A0882">
        <w:rPr>
          <w:rFonts w:cs="Arial"/>
          <w:b/>
        </w:rPr>
        <w:t>Proportionate</w:t>
      </w:r>
    </w:p>
    <w:p w14:paraId="0ABF0BD4" w14:textId="04153157" w:rsidR="00C81BBA" w:rsidRPr="00A20474" w:rsidRDefault="00C81BBA" w:rsidP="00C81BBA">
      <w:pPr>
        <w:pStyle w:val="BodyText"/>
        <w:jc w:val="both"/>
        <w:rPr>
          <w:rFonts w:ascii="Arial" w:hAnsi="Arial" w:cs="Arial"/>
        </w:rPr>
      </w:pPr>
      <w:r w:rsidRPr="003942AE">
        <w:rPr>
          <w:rFonts w:ascii="Arial" w:hAnsi="Arial" w:cs="Arial"/>
        </w:rPr>
        <w:t xml:space="preserve">The monitoring plan </w:t>
      </w:r>
      <w:r w:rsidR="00CB379A" w:rsidRPr="003942AE">
        <w:rPr>
          <w:rFonts w:ascii="Arial" w:hAnsi="Arial" w:cs="Arial"/>
        </w:rPr>
        <w:t>should impose reporting requirements</w:t>
      </w:r>
      <w:r w:rsidR="001B5207" w:rsidRPr="003942AE">
        <w:rPr>
          <w:rFonts w:ascii="Arial" w:hAnsi="Arial" w:cs="Arial"/>
        </w:rPr>
        <w:t xml:space="preserve"> </w:t>
      </w:r>
      <w:r w:rsidR="002B0A0D" w:rsidRPr="003942AE">
        <w:rPr>
          <w:rFonts w:ascii="Arial" w:hAnsi="Arial" w:cs="Arial"/>
        </w:rPr>
        <w:t>for</w:t>
      </w:r>
      <w:r w:rsidR="0052043D" w:rsidRPr="003942AE">
        <w:rPr>
          <w:rFonts w:ascii="Arial" w:hAnsi="Arial" w:cs="Arial"/>
        </w:rPr>
        <w:t xml:space="preserve"> NBA</w:t>
      </w:r>
      <w:r w:rsidR="002B0A0D" w:rsidRPr="003942AE">
        <w:rPr>
          <w:rFonts w:ascii="Arial" w:hAnsi="Arial" w:cs="Arial"/>
        </w:rPr>
        <w:t xml:space="preserve"> funded research organisations</w:t>
      </w:r>
      <w:r w:rsidR="003942AE">
        <w:rPr>
          <w:rFonts w:ascii="Arial" w:hAnsi="Arial" w:cs="Arial"/>
        </w:rPr>
        <w:t xml:space="preserve"> and be informed by </w:t>
      </w:r>
      <w:r w:rsidR="00D74105" w:rsidRPr="00087B72">
        <w:rPr>
          <w:rFonts w:ascii="Arial" w:hAnsi="Arial" w:cs="Arial"/>
        </w:rPr>
        <w:t xml:space="preserve">consultation with </w:t>
      </w:r>
      <w:r w:rsidR="00FF60D0" w:rsidRPr="00087B72">
        <w:rPr>
          <w:rFonts w:ascii="Arial" w:hAnsi="Arial" w:cs="Arial"/>
        </w:rPr>
        <w:t>the wider</w:t>
      </w:r>
      <w:r w:rsidR="006D71DE" w:rsidRPr="00087B72">
        <w:rPr>
          <w:rFonts w:ascii="Arial" w:hAnsi="Arial" w:cs="Arial"/>
        </w:rPr>
        <w:t xml:space="preserve"> </w:t>
      </w:r>
      <w:r w:rsidR="001D30B1" w:rsidRPr="003942AE">
        <w:rPr>
          <w:rFonts w:ascii="Arial" w:hAnsi="Arial" w:cs="Arial"/>
        </w:rPr>
        <w:t xml:space="preserve">national blood research and development </w:t>
      </w:r>
      <w:r w:rsidR="006D71DE" w:rsidRPr="00087B72">
        <w:rPr>
          <w:rFonts w:ascii="Arial" w:hAnsi="Arial" w:cs="Arial"/>
        </w:rPr>
        <w:t>sector,</w:t>
      </w:r>
      <w:r w:rsidR="003942AE">
        <w:rPr>
          <w:rFonts w:ascii="Arial" w:hAnsi="Arial" w:cs="Arial"/>
        </w:rPr>
        <w:t xml:space="preserve"> </w:t>
      </w:r>
      <w:r w:rsidR="00CB379A" w:rsidRPr="003942AE">
        <w:rPr>
          <w:rFonts w:ascii="Arial" w:hAnsi="Arial" w:cs="Arial"/>
        </w:rPr>
        <w:t>proportionate to</w:t>
      </w:r>
      <w:r w:rsidRPr="003942AE">
        <w:rPr>
          <w:rFonts w:ascii="Arial" w:hAnsi="Arial" w:cs="Arial"/>
        </w:rPr>
        <w:t xml:space="preserve"> </w:t>
      </w:r>
      <w:r w:rsidR="00053117" w:rsidRPr="003942AE">
        <w:rPr>
          <w:rFonts w:ascii="Arial" w:hAnsi="Arial" w:cs="Arial"/>
        </w:rPr>
        <w:t xml:space="preserve">the </w:t>
      </w:r>
      <w:r w:rsidR="00464023" w:rsidRPr="003942AE">
        <w:rPr>
          <w:rFonts w:ascii="Arial" w:hAnsi="Arial" w:cs="Arial"/>
        </w:rPr>
        <w:t>benefits and cost</w:t>
      </w:r>
      <w:r w:rsidR="00D74105" w:rsidRPr="003942AE">
        <w:rPr>
          <w:rFonts w:ascii="Arial" w:hAnsi="Arial" w:cs="Arial"/>
        </w:rPr>
        <w:t>s</w:t>
      </w:r>
      <w:r w:rsidR="00464023" w:rsidRPr="003942AE">
        <w:rPr>
          <w:rFonts w:ascii="Arial" w:hAnsi="Arial" w:cs="Arial"/>
        </w:rPr>
        <w:t xml:space="preserve"> associated with </w:t>
      </w:r>
      <w:r w:rsidR="00C80F2A" w:rsidRPr="003942AE">
        <w:rPr>
          <w:rFonts w:ascii="Arial" w:hAnsi="Arial" w:cs="Arial"/>
        </w:rPr>
        <w:t xml:space="preserve">its implementation, including </w:t>
      </w:r>
      <w:r w:rsidR="000E344B" w:rsidRPr="003942AE">
        <w:rPr>
          <w:rFonts w:ascii="Arial" w:hAnsi="Arial" w:cs="Arial"/>
        </w:rPr>
        <w:t>the</w:t>
      </w:r>
      <w:r w:rsidR="00D82008" w:rsidRPr="003942AE">
        <w:rPr>
          <w:rFonts w:ascii="Arial" w:hAnsi="Arial" w:cs="Arial"/>
        </w:rPr>
        <w:t xml:space="preserve"> </w:t>
      </w:r>
      <w:r w:rsidR="007E6E2F" w:rsidRPr="003942AE">
        <w:rPr>
          <w:rFonts w:ascii="Arial" w:hAnsi="Arial" w:cs="Arial"/>
        </w:rPr>
        <w:t xml:space="preserve">level of </w:t>
      </w:r>
      <w:r w:rsidR="00D82008" w:rsidRPr="003942AE">
        <w:rPr>
          <w:rFonts w:ascii="Arial" w:hAnsi="Arial" w:cs="Arial"/>
        </w:rPr>
        <w:t xml:space="preserve">administrative burden </w:t>
      </w:r>
      <w:r w:rsidR="007E6E2F" w:rsidRPr="003942AE">
        <w:rPr>
          <w:rFonts w:ascii="Arial" w:hAnsi="Arial" w:cs="Arial"/>
        </w:rPr>
        <w:t xml:space="preserve">that is placed on </w:t>
      </w:r>
      <w:r w:rsidR="00C2528C" w:rsidRPr="003942AE">
        <w:rPr>
          <w:rFonts w:ascii="Arial" w:hAnsi="Arial" w:cs="Arial"/>
        </w:rPr>
        <w:t xml:space="preserve">NBA </w:t>
      </w:r>
      <w:r w:rsidR="00B3424B" w:rsidRPr="003942AE">
        <w:rPr>
          <w:rFonts w:ascii="Arial" w:hAnsi="Arial" w:cs="Arial"/>
        </w:rPr>
        <w:t xml:space="preserve">funded </w:t>
      </w:r>
      <w:r w:rsidR="007E6E2F" w:rsidRPr="003942AE">
        <w:rPr>
          <w:rFonts w:ascii="Arial" w:hAnsi="Arial" w:cs="Arial"/>
        </w:rPr>
        <w:t>research organisation</w:t>
      </w:r>
      <w:r w:rsidR="000E344B" w:rsidRPr="003942AE">
        <w:rPr>
          <w:rFonts w:ascii="Arial" w:hAnsi="Arial" w:cs="Arial"/>
        </w:rPr>
        <w:t xml:space="preserve">s to report their progress against the </w:t>
      </w:r>
      <w:r w:rsidR="00D053A1" w:rsidRPr="003942AE">
        <w:rPr>
          <w:rFonts w:ascii="Arial" w:hAnsi="Arial" w:cs="Arial"/>
        </w:rPr>
        <w:t>202</w:t>
      </w:r>
      <w:r w:rsidR="00D053A1">
        <w:rPr>
          <w:rFonts w:ascii="Arial" w:hAnsi="Arial" w:cs="Arial"/>
        </w:rPr>
        <w:t>2</w:t>
      </w:r>
      <w:r w:rsidR="000E344B" w:rsidRPr="003942AE">
        <w:rPr>
          <w:rFonts w:ascii="Arial" w:hAnsi="Arial" w:cs="Arial"/>
        </w:rPr>
        <w:t>-27 Priorities.</w:t>
      </w:r>
    </w:p>
    <w:p w14:paraId="5E358846" w14:textId="77777777" w:rsidR="00C81BBA" w:rsidRPr="007A0882" w:rsidRDefault="00C81BBA" w:rsidP="00C81BBA">
      <w:pPr>
        <w:pStyle w:val="1Dot-point"/>
        <w:numPr>
          <w:ilvl w:val="0"/>
          <w:numId w:val="0"/>
        </w:numPr>
        <w:spacing w:line="280" w:lineRule="exact"/>
        <w:jc w:val="both"/>
        <w:rPr>
          <w:rFonts w:cs="Arial"/>
          <w:b/>
          <w:sz w:val="20"/>
          <w:szCs w:val="20"/>
        </w:rPr>
      </w:pPr>
      <w:r w:rsidRPr="007A0882">
        <w:rPr>
          <w:rFonts w:cs="Arial"/>
          <w:b/>
        </w:rPr>
        <w:t>Transparent</w:t>
      </w:r>
    </w:p>
    <w:p w14:paraId="46B9D17A" w14:textId="0DFA35CF" w:rsidR="00C81BBA" w:rsidRPr="00CD6A7A" w:rsidRDefault="00C81BBA" w:rsidP="00C81BBA">
      <w:pPr>
        <w:pStyle w:val="BodyText"/>
        <w:jc w:val="both"/>
        <w:rPr>
          <w:rFonts w:ascii="Arial" w:hAnsi="Arial" w:cs="Arial"/>
        </w:rPr>
      </w:pPr>
      <w:r w:rsidRPr="00A20474">
        <w:rPr>
          <w:rFonts w:ascii="Arial" w:hAnsi="Arial" w:cs="Arial"/>
        </w:rPr>
        <w:t xml:space="preserve">The monitoring plan should develop outputs which can be used by the blood sector and broader community to understand the status of blood </w:t>
      </w:r>
      <w:r>
        <w:rPr>
          <w:rFonts w:ascii="Arial" w:hAnsi="Arial" w:cs="Arial"/>
        </w:rPr>
        <w:t>research and development</w:t>
      </w:r>
      <w:r w:rsidRPr="00A20474">
        <w:rPr>
          <w:rFonts w:ascii="Arial" w:hAnsi="Arial" w:cs="Arial"/>
        </w:rPr>
        <w:t xml:space="preserve"> and what it means for patients and donors.</w:t>
      </w:r>
    </w:p>
    <w:p w14:paraId="61A60C4F" w14:textId="1D120DD0" w:rsidR="00C81BBA" w:rsidRDefault="00C81BBA" w:rsidP="00C81BBA">
      <w:pPr>
        <w:pStyle w:val="BodyText"/>
        <w:jc w:val="both"/>
        <w:rPr>
          <w:rFonts w:ascii="Arial" w:hAnsi="Arial" w:cs="Arial"/>
          <w:b/>
          <w:color w:val="36424A" w:themeColor="text2"/>
          <w:sz w:val="24"/>
        </w:rPr>
      </w:pPr>
      <w:r w:rsidRPr="007A0882">
        <w:rPr>
          <w:rFonts w:ascii="Arial" w:hAnsi="Arial" w:cs="Arial"/>
          <w:b/>
          <w:color w:val="36424A" w:themeColor="text2"/>
          <w:sz w:val="24"/>
        </w:rPr>
        <w:t xml:space="preserve">Key elements of </w:t>
      </w:r>
      <w:r>
        <w:rPr>
          <w:rFonts w:ascii="Arial" w:hAnsi="Arial" w:cs="Arial"/>
          <w:b/>
          <w:color w:val="36424A" w:themeColor="text2"/>
          <w:sz w:val="24"/>
        </w:rPr>
        <w:t>the</w:t>
      </w:r>
      <w:r w:rsidRPr="007A0882">
        <w:rPr>
          <w:rFonts w:ascii="Arial" w:hAnsi="Arial" w:cs="Arial"/>
          <w:b/>
          <w:color w:val="36424A" w:themeColor="text2"/>
          <w:sz w:val="24"/>
        </w:rPr>
        <w:t xml:space="preserve"> </w:t>
      </w:r>
      <w:r w:rsidR="005C55D6">
        <w:rPr>
          <w:rFonts w:ascii="Arial" w:hAnsi="Arial" w:cs="Arial"/>
          <w:b/>
          <w:color w:val="36424A" w:themeColor="text2"/>
          <w:sz w:val="24"/>
        </w:rPr>
        <w:t xml:space="preserve">proposed </w:t>
      </w:r>
      <w:r w:rsidRPr="007A0882">
        <w:rPr>
          <w:rFonts w:ascii="Arial" w:hAnsi="Arial" w:cs="Arial"/>
          <w:b/>
          <w:color w:val="36424A" w:themeColor="text2"/>
          <w:sz w:val="24"/>
        </w:rPr>
        <w:t>monitoring plan</w:t>
      </w:r>
    </w:p>
    <w:p w14:paraId="5B6FCBA3" w14:textId="716B6487" w:rsidR="000923E7" w:rsidRPr="0073198B" w:rsidRDefault="000923E7" w:rsidP="0073198B">
      <w:pPr>
        <w:pStyle w:val="1Dot-point"/>
        <w:numPr>
          <w:ilvl w:val="0"/>
          <w:numId w:val="0"/>
        </w:numPr>
        <w:spacing w:line="280" w:lineRule="exact"/>
        <w:jc w:val="both"/>
        <w:rPr>
          <w:rFonts w:cs="Arial"/>
          <w:b/>
        </w:rPr>
      </w:pPr>
      <w:r w:rsidRPr="0073198B">
        <w:rPr>
          <w:rFonts w:cs="Arial"/>
          <w:color w:val="auto"/>
        </w:rPr>
        <w:t xml:space="preserve">The </w:t>
      </w:r>
      <w:r w:rsidR="005C55D6">
        <w:rPr>
          <w:rFonts w:cs="Arial"/>
          <w:color w:val="auto"/>
        </w:rPr>
        <w:t xml:space="preserve">proposed </w:t>
      </w:r>
      <w:r w:rsidR="000E344B">
        <w:rPr>
          <w:rFonts w:cs="Arial"/>
        </w:rPr>
        <w:t>mon</w:t>
      </w:r>
      <w:r w:rsidR="001541D4">
        <w:rPr>
          <w:rFonts w:cs="Arial"/>
        </w:rPr>
        <w:t xml:space="preserve">itoring plan comprises three elements, including </w:t>
      </w:r>
      <w:r w:rsidR="009D5F6F" w:rsidRPr="0073198B">
        <w:rPr>
          <w:rFonts w:cs="Arial"/>
        </w:rPr>
        <w:t>targeted information collection</w:t>
      </w:r>
      <w:r w:rsidR="005E55E8">
        <w:rPr>
          <w:rFonts w:cs="Arial"/>
        </w:rPr>
        <w:t>,</w:t>
      </w:r>
      <w:r w:rsidR="009D5F6F" w:rsidRPr="0073198B">
        <w:rPr>
          <w:rFonts w:cs="Arial"/>
        </w:rPr>
        <w:t xml:space="preserve"> annual stakeholder engagement</w:t>
      </w:r>
      <w:r w:rsidR="00E47F28">
        <w:rPr>
          <w:rFonts w:cs="Arial"/>
        </w:rPr>
        <w:t>,</w:t>
      </w:r>
      <w:r w:rsidR="009D5F6F" w:rsidRPr="0073198B">
        <w:rPr>
          <w:rFonts w:cs="Arial"/>
        </w:rPr>
        <w:t xml:space="preserve"> regular reporting</w:t>
      </w:r>
      <w:r w:rsidR="005E55E8">
        <w:rPr>
          <w:rFonts w:cs="Arial"/>
        </w:rPr>
        <w:t>,</w:t>
      </w:r>
      <w:r w:rsidR="009D5F6F" w:rsidRPr="0073198B">
        <w:rPr>
          <w:rFonts w:cs="Arial"/>
        </w:rPr>
        <w:t xml:space="preserve"> proactive communication and continuous monitoring and improvement</w:t>
      </w:r>
      <w:r w:rsidR="00E47F28">
        <w:rPr>
          <w:rFonts w:cs="Arial"/>
        </w:rPr>
        <w:t>.</w:t>
      </w:r>
    </w:p>
    <w:p w14:paraId="3A332E7B" w14:textId="156AAAFE" w:rsidR="00C81BBA" w:rsidRPr="00D77DFE" w:rsidRDefault="00C81BBA" w:rsidP="00C81BBA">
      <w:pPr>
        <w:pStyle w:val="1Dot-point"/>
        <w:numPr>
          <w:ilvl w:val="0"/>
          <w:numId w:val="0"/>
        </w:numPr>
        <w:spacing w:line="280" w:lineRule="exact"/>
        <w:jc w:val="both"/>
        <w:rPr>
          <w:rFonts w:cs="Arial"/>
          <w:b/>
        </w:rPr>
      </w:pPr>
      <w:r w:rsidRPr="00D77DFE">
        <w:rPr>
          <w:rFonts w:cs="Arial"/>
          <w:b/>
        </w:rPr>
        <w:t>Targeted information collection</w:t>
      </w:r>
      <w:r>
        <w:rPr>
          <w:rFonts w:cs="Arial"/>
          <w:b/>
          <w:bCs/>
        </w:rPr>
        <w:t xml:space="preserve"> and annual stakeholder engagement</w:t>
      </w:r>
    </w:p>
    <w:p w14:paraId="4B48AC52" w14:textId="614486AC" w:rsidR="002265CC" w:rsidRPr="00B406CB" w:rsidRDefault="005C55D6" w:rsidP="00B30247">
      <w:pPr>
        <w:pStyle w:val="1Dot-point"/>
        <w:numPr>
          <w:ilvl w:val="0"/>
          <w:numId w:val="0"/>
        </w:numPr>
        <w:spacing w:line="280" w:lineRule="exact"/>
        <w:jc w:val="both"/>
        <w:rPr>
          <w:rFonts w:cs="Arial"/>
        </w:rPr>
      </w:pPr>
      <w:r>
        <w:rPr>
          <w:rFonts w:cs="Arial"/>
        </w:rPr>
        <w:t>Under the proposed plan, t</w:t>
      </w:r>
      <w:r w:rsidR="001022FD">
        <w:rPr>
          <w:rFonts w:cs="Arial"/>
        </w:rPr>
        <w:t xml:space="preserve">he </w:t>
      </w:r>
      <w:r w:rsidR="001022FD" w:rsidRPr="00B406CB">
        <w:rPr>
          <w:rFonts w:cs="Arial"/>
        </w:rPr>
        <w:t xml:space="preserve">NBA </w:t>
      </w:r>
      <w:r>
        <w:rPr>
          <w:rFonts w:cs="Arial"/>
        </w:rPr>
        <w:t>would</w:t>
      </w:r>
      <w:r w:rsidR="001022FD" w:rsidRPr="00B406CB">
        <w:rPr>
          <w:rFonts w:cs="Arial"/>
        </w:rPr>
        <w:t xml:space="preserve"> annually collect information from the national blood research and development sector t</w:t>
      </w:r>
      <w:r w:rsidR="00804D9E" w:rsidRPr="00B406CB">
        <w:rPr>
          <w:rFonts w:cs="Arial"/>
        </w:rPr>
        <w:t xml:space="preserve">o ascertain progress against the </w:t>
      </w:r>
      <w:r w:rsidR="008D1C48" w:rsidRPr="00B406CB">
        <w:rPr>
          <w:rFonts w:cs="Arial"/>
        </w:rPr>
        <w:t>202</w:t>
      </w:r>
      <w:r w:rsidR="008D1C48">
        <w:rPr>
          <w:rFonts w:cs="Arial"/>
        </w:rPr>
        <w:t>2</w:t>
      </w:r>
      <w:r w:rsidR="00804D9E" w:rsidRPr="00B406CB">
        <w:rPr>
          <w:rFonts w:cs="Arial"/>
        </w:rPr>
        <w:t>-27 Priorities</w:t>
      </w:r>
      <w:r w:rsidR="001022FD" w:rsidRPr="00B406CB">
        <w:rPr>
          <w:rFonts w:cs="Arial"/>
        </w:rPr>
        <w:t>. This w</w:t>
      </w:r>
      <w:r>
        <w:rPr>
          <w:rFonts w:cs="Arial"/>
        </w:rPr>
        <w:t>ould</w:t>
      </w:r>
      <w:r w:rsidR="001022FD" w:rsidRPr="00B406CB">
        <w:rPr>
          <w:rFonts w:cs="Arial"/>
        </w:rPr>
        <w:t xml:space="preserve"> include</w:t>
      </w:r>
      <w:r w:rsidR="002265CC" w:rsidRPr="00B406CB">
        <w:rPr>
          <w:rFonts w:cs="Arial"/>
        </w:rPr>
        <w:t xml:space="preserve"> two elements:</w:t>
      </w:r>
    </w:p>
    <w:p w14:paraId="39078E56" w14:textId="5DC7D709" w:rsidR="002265CC" w:rsidRPr="00B406CB" w:rsidRDefault="001022FD" w:rsidP="00087B72">
      <w:pPr>
        <w:pStyle w:val="1Dot-point"/>
        <w:numPr>
          <w:ilvl w:val="0"/>
          <w:numId w:val="7"/>
        </w:numPr>
      </w:pPr>
      <w:r w:rsidRPr="00B406CB">
        <w:t>requiring</w:t>
      </w:r>
      <w:r w:rsidR="00331A4C" w:rsidRPr="00B406CB">
        <w:t xml:space="preserve"> </w:t>
      </w:r>
      <w:r w:rsidR="008A1CB1" w:rsidRPr="00B406CB">
        <w:t>its</w:t>
      </w:r>
      <w:r w:rsidR="00C81BBA" w:rsidRPr="00B406CB">
        <w:t xml:space="preserve"> research and development grant recipients </w:t>
      </w:r>
      <w:r w:rsidR="007E1CBE" w:rsidRPr="00B406CB">
        <w:t>to provide a project</w:t>
      </w:r>
      <w:r w:rsidR="00B30247" w:rsidRPr="00B406CB">
        <w:t xml:space="preserve"> status</w:t>
      </w:r>
      <w:r w:rsidR="00C81BBA" w:rsidRPr="00B406CB">
        <w:t xml:space="preserve"> update</w:t>
      </w:r>
      <w:r w:rsidR="007E1CBE" w:rsidRPr="00B406CB">
        <w:t xml:space="preserve"> every year</w:t>
      </w:r>
      <w:r w:rsidR="00BB52B7" w:rsidRPr="00B406CB">
        <w:t xml:space="preserve">. </w:t>
      </w:r>
    </w:p>
    <w:p w14:paraId="67BAA7B2" w14:textId="1CEF6568" w:rsidR="00C81BBA" w:rsidRPr="00B406CB" w:rsidRDefault="00F91828" w:rsidP="00087B72">
      <w:pPr>
        <w:pStyle w:val="1Dot-point"/>
        <w:numPr>
          <w:ilvl w:val="0"/>
          <w:numId w:val="7"/>
        </w:numPr>
      </w:pPr>
      <w:r w:rsidRPr="00B406CB">
        <w:t>seeking information</w:t>
      </w:r>
      <w:r w:rsidR="00B325A6" w:rsidRPr="00B406CB">
        <w:t xml:space="preserve"> </w:t>
      </w:r>
      <w:r w:rsidRPr="00B406CB">
        <w:t xml:space="preserve">from the broader Australian blood research and development sector via </w:t>
      </w:r>
      <w:r w:rsidR="00B325A6" w:rsidRPr="00B406CB">
        <w:t>stakeholder questionnaire</w:t>
      </w:r>
      <w:r w:rsidR="00266E42" w:rsidRPr="00B406CB">
        <w:t xml:space="preserve"> including</w:t>
      </w:r>
      <w:r w:rsidR="00B805BA" w:rsidRPr="00B406CB">
        <w:t xml:space="preserve"> research</w:t>
      </w:r>
      <w:r w:rsidR="00266E42" w:rsidRPr="00B406CB">
        <w:t xml:space="preserve"> funded by NHMRC</w:t>
      </w:r>
      <w:r w:rsidR="00DD4E72">
        <w:t xml:space="preserve"> </w:t>
      </w:r>
      <w:r w:rsidR="00DD4E72" w:rsidRPr="00AF2276">
        <w:rPr>
          <w:rFonts w:cs="Arial"/>
        </w:rPr>
        <w:t>the Medical Research Future Fund</w:t>
      </w:r>
      <w:r w:rsidR="00DD4E72">
        <w:rPr>
          <w:rFonts w:cs="Arial"/>
        </w:rPr>
        <w:t xml:space="preserve"> and</w:t>
      </w:r>
      <w:r w:rsidR="00DD4E72" w:rsidRPr="00AF2276">
        <w:rPr>
          <w:rFonts w:cs="Arial"/>
        </w:rPr>
        <w:t xml:space="preserve"> the Australian Research Council</w:t>
      </w:r>
      <w:r w:rsidRPr="00B406CB">
        <w:t>.  This information w</w:t>
      </w:r>
      <w:r w:rsidR="005C55D6">
        <w:t>ould</w:t>
      </w:r>
      <w:r w:rsidRPr="00B406CB">
        <w:t xml:space="preserve"> be collected </w:t>
      </w:r>
      <w:r w:rsidR="00B325A6" w:rsidRPr="00B406CB">
        <w:t>on a voluntary basis</w:t>
      </w:r>
      <w:r w:rsidR="007E65CF" w:rsidRPr="00B406CB">
        <w:t>.</w:t>
      </w:r>
    </w:p>
    <w:p w14:paraId="62C295FD" w14:textId="2E5962F2" w:rsidR="007E65CF" w:rsidRPr="00B406CB" w:rsidRDefault="005C55D6" w:rsidP="0073198B">
      <w:pPr>
        <w:pStyle w:val="1Dot-point"/>
        <w:numPr>
          <w:ilvl w:val="0"/>
          <w:numId w:val="0"/>
        </w:numPr>
        <w:spacing w:line="280" w:lineRule="exact"/>
        <w:jc w:val="both"/>
        <w:rPr>
          <w:rFonts w:cs="Arial"/>
        </w:rPr>
      </w:pPr>
      <w:r>
        <w:rPr>
          <w:rFonts w:cs="Arial"/>
        </w:rPr>
        <w:t>It is proposed that t</w:t>
      </w:r>
      <w:r w:rsidR="00B325A6" w:rsidRPr="00B406CB">
        <w:rPr>
          <w:rFonts w:cs="Arial"/>
        </w:rPr>
        <w:t xml:space="preserve">he </w:t>
      </w:r>
      <w:r w:rsidR="00B13F90" w:rsidRPr="00B406CB">
        <w:rPr>
          <w:rFonts w:cs="Arial"/>
        </w:rPr>
        <w:t xml:space="preserve">NBA </w:t>
      </w:r>
      <w:r w:rsidRPr="00B406CB">
        <w:rPr>
          <w:rFonts w:cs="Arial"/>
        </w:rPr>
        <w:t>w</w:t>
      </w:r>
      <w:r>
        <w:rPr>
          <w:rFonts w:cs="Arial"/>
        </w:rPr>
        <w:t>ould</w:t>
      </w:r>
      <w:r w:rsidRPr="00B406CB">
        <w:rPr>
          <w:rFonts w:cs="Arial"/>
        </w:rPr>
        <w:t xml:space="preserve"> </w:t>
      </w:r>
      <w:r w:rsidR="00B13F90" w:rsidRPr="00B406CB">
        <w:rPr>
          <w:rFonts w:cs="Arial"/>
        </w:rPr>
        <w:t xml:space="preserve">require its research and development grant recipients to </w:t>
      </w:r>
      <w:r w:rsidR="00724D2E" w:rsidRPr="00B406CB">
        <w:rPr>
          <w:rFonts w:cs="Arial"/>
        </w:rPr>
        <w:t xml:space="preserve">annually </w:t>
      </w:r>
      <w:r w:rsidR="00B13F90" w:rsidRPr="00B406CB">
        <w:rPr>
          <w:rFonts w:cs="Arial"/>
        </w:rPr>
        <w:t xml:space="preserve">report the progress it has made in delivering the research </w:t>
      </w:r>
      <w:r w:rsidR="002D52E8" w:rsidRPr="00B406CB">
        <w:rPr>
          <w:rFonts w:cs="Arial"/>
        </w:rPr>
        <w:t xml:space="preserve">or development project it has been funded to deliver. The </w:t>
      </w:r>
      <w:r w:rsidR="00313DB2" w:rsidRPr="00B406CB">
        <w:rPr>
          <w:rFonts w:cs="Arial"/>
        </w:rPr>
        <w:t>information w</w:t>
      </w:r>
      <w:r>
        <w:rPr>
          <w:rFonts w:cs="Arial"/>
        </w:rPr>
        <w:t>ould</w:t>
      </w:r>
      <w:r w:rsidR="00313DB2" w:rsidRPr="00B406CB">
        <w:rPr>
          <w:rFonts w:cs="Arial"/>
        </w:rPr>
        <w:t xml:space="preserve"> be collected from grant recipients using a template status report form</w:t>
      </w:r>
      <w:r w:rsidR="00957DDD" w:rsidRPr="00B406CB">
        <w:rPr>
          <w:rFonts w:cs="Arial"/>
        </w:rPr>
        <w:t xml:space="preserve"> to promote consistency </w:t>
      </w:r>
      <w:r w:rsidR="002C49C0" w:rsidRPr="00B406CB">
        <w:rPr>
          <w:rFonts w:cs="Arial"/>
        </w:rPr>
        <w:t xml:space="preserve">in the way information is delivered, and to ensure there is clarity in what is expected </w:t>
      </w:r>
      <w:r w:rsidR="002C49C0" w:rsidRPr="00087B72">
        <w:rPr>
          <w:rFonts w:cs="Arial"/>
        </w:rPr>
        <w:t xml:space="preserve">from </w:t>
      </w:r>
      <w:r w:rsidR="003A19AE" w:rsidRPr="00B406CB">
        <w:rPr>
          <w:rFonts w:cs="Arial"/>
        </w:rPr>
        <w:t>the person or organisation filling out the form.</w:t>
      </w:r>
      <w:r w:rsidR="00383DB3" w:rsidRPr="00B406CB">
        <w:rPr>
          <w:rFonts w:cs="Arial"/>
        </w:rPr>
        <w:t xml:space="preserve"> </w:t>
      </w:r>
    </w:p>
    <w:p w14:paraId="7EC03625" w14:textId="0C4FB481" w:rsidR="00C81BBA" w:rsidRDefault="007F22E2" w:rsidP="00257EED">
      <w:pPr>
        <w:pStyle w:val="2Dot-point"/>
        <w:keepNext/>
        <w:keepLines/>
        <w:numPr>
          <w:ilvl w:val="0"/>
          <w:numId w:val="0"/>
        </w:numPr>
        <w:spacing w:line="280" w:lineRule="exact"/>
        <w:jc w:val="both"/>
        <w:rPr>
          <w:rFonts w:cs="Arial"/>
        </w:rPr>
      </w:pPr>
      <w:r w:rsidRPr="00B406CB">
        <w:rPr>
          <w:rFonts w:cs="Arial"/>
        </w:rPr>
        <w:t>In addition, t</w:t>
      </w:r>
      <w:r w:rsidR="00D05C54" w:rsidRPr="00B406CB">
        <w:rPr>
          <w:rFonts w:cs="Arial"/>
        </w:rPr>
        <w:t>he</w:t>
      </w:r>
      <w:r w:rsidR="00C81BBA" w:rsidRPr="00B406CB">
        <w:rPr>
          <w:rFonts w:cs="Arial"/>
        </w:rPr>
        <w:t xml:space="preserve"> </w:t>
      </w:r>
      <w:r w:rsidR="003A19AE" w:rsidRPr="00B406CB">
        <w:rPr>
          <w:rFonts w:cs="Arial"/>
        </w:rPr>
        <w:t>NBA w</w:t>
      </w:r>
      <w:r w:rsidR="005C55D6">
        <w:rPr>
          <w:rFonts w:cs="Arial"/>
        </w:rPr>
        <w:t>ould</w:t>
      </w:r>
      <w:r w:rsidR="003A19AE" w:rsidRPr="00B406CB">
        <w:rPr>
          <w:rFonts w:cs="Arial"/>
        </w:rPr>
        <w:t xml:space="preserve"> conduct an </w:t>
      </w:r>
      <w:r w:rsidR="00C81BBA" w:rsidRPr="00B406CB">
        <w:rPr>
          <w:rFonts w:cs="Arial"/>
        </w:rPr>
        <w:t>annual stakeholder questionnaire</w:t>
      </w:r>
      <w:r w:rsidR="002501B8" w:rsidRPr="00B406CB">
        <w:rPr>
          <w:rFonts w:cs="Arial"/>
        </w:rPr>
        <w:t xml:space="preserve"> seek</w:t>
      </w:r>
      <w:r w:rsidR="00C9129B" w:rsidRPr="00B406CB">
        <w:rPr>
          <w:rFonts w:cs="Arial"/>
        </w:rPr>
        <w:t>ing</w:t>
      </w:r>
      <w:r w:rsidR="002501B8" w:rsidRPr="00B406CB">
        <w:rPr>
          <w:rFonts w:cs="Arial"/>
        </w:rPr>
        <w:t xml:space="preserve"> information from the </w:t>
      </w:r>
      <w:r w:rsidRPr="00B406CB">
        <w:rPr>
          <w:rFonts w:cs="Arial"/>
        </w:rPr>
        <w:t xml:space="preserve">wider </w:t>
      </w:r>
      <w:r w:rsidR="002501B8" w:rsidRPr="00B406CB">
        <w:rPr>
          <w:rFonts w:cs="Arial"/>
        </w:rPr>
        <w:t xml:space="preserve">blood research and development sector about its progress against the </w:t>
      </w:r>
      <w:r w:rsidR="008D1C48" w:rsidRPr="00B406CB">
        <w:rPr>
          <w:rFonts w:cs="Arial"/>
        </w:rPr>
        <w:t>202</w:t>
      </w:r>
      <w:r w:rsidR="008D1C48">
        <w:rPr>
          <w:rFonts w:cs="Arial"/>
        </w:rPr>
        <w:t>2</w:t>
      </w:r>
      <w:r w:rsidR="002501B8" w:rsidRPr="00B406CB">
        <w:rPr>
          <w:rFonts w:cs="Arial"/>
        </w:rPr>
        <w:t>-27 Priori</w:t>
      </w:r>
      <w:r w:rsidR="00BA37A8" w:rsidRPr="00B406CB">
        <w:rPr>
          <w:rFonts w:cs="Arial"/>
        </w:rPr>
        <w:t xml:space="preserve">ties. </w:t>
      </w:r>
      <w:r w:rsidR="001C37A9" w:rsidRPr="00B406CB">
        <w:rPr>
          <w:rFonts w:cs="Arial"/>
        </w:rPr>
        <w:t>The questionnaire w</w:t>
      </w:r>
      <w:r w:rsidR="005C55D6">
        <w:rPr>
          <w:rFonts w:cs="Arial"/>
        </w:rPr>
        <w:t>ould</w:t>
      </w:r>
      <w:r w:rsidR="001C37A9" w:rsidRPr="00B406CB">
        <w:rPr>
          <w:rFonts w:cs="Arial"/>
        </w:rPr>
        <w:t xml:space="preserve"> ask</w:t>
      </w:r>
      <w:r w:rsidR="00C81BBA" w:rsidRPr="00B406CB">
        <w:rPr>
          <w:rFonts w:cs="Arial"/>
        </w:rPr>
        <w:t xml:space="preserve"> respondents to identify key research developments, emerging needs, and assess whether these are appropriately reflected under each of the five overarching strategic priorities, and whether updates are required.</w:t>
      </w:r>
      <w:r w:rsidR="00C81BBA">
        <w:rPr>
          <w:rFonts w:cs="Arial"/>
        </w:rPr>
        <w:t xml:space="preserve"> </w:t>
      </w:r>
      <w:r w:rsidR="009B4107">
        <w:rPr>
          <w:rFonts w:cs="Arial"/>
        </w:rPr>
        <w:t>Although participation in the questionnaire for this group will be entirely optional, the level of engagement from the sector throughout the consultation process indicates that there would be</w:t>
      </w:r>
      <w:r w:rsidR="00CE31FE">
        <w:rPr>
          <w:rFonts w:cs="Arial"/>
        </w:rPr>
        <w:t xml:space="preserve"> uptake and </w:t>
      </w:r>
      <w:r w:rsidR="0062356C">
        <w:rPr>
          <w:rFonts w:cs="Arial"/>
        </w:rPr>
        <w:t>that consultation with the wider sector provides valuable contextual information to the NBA.</w:t>
      </w:r>
    </w:p>
    <w:p w14:paraId="68944D61" w14:textId="77777777" w:rsidR="00C81BBA" w:rsidRPr="0059794B" w:rsidRDefault="00C81BBA" w:rsidP="00C81BBA">
      <w:pPr>
        <w:pStyle w:val="1Dot-point"/>
        <w:numPr>
          <w:ilvl w:val="0"/>
          <w:numId w:val="0"/>
        </w:numPr>
        <w:spacing w:line="280" w:lineRule="exact"/>
        <w:jc w:val="both"/>
        <w:rPr>
          <w:rFonts w:cs="Arial"/>
          <w:b/>
        </w:rPr>
      </w:pPr>
      <w:r w:rsidRPr="0059794B">
        <w:rPr>
          <w:rFonts w:cs="Arial"/>
          <w:b/>
        </w:rPr>
        <w:t>Regular reporting</w:t>
      </w:r>
      <w:r>
        <w:rPr>
          <w:rFonts w:cs="Arial"/>
          <w:b/>
          <w:bCs/>
        </w:rPr>
        <w:t xml:space="preserve"> and proactive communication</w:t>
      </w:r>
    </w:p>
    <w:p w14:paraId="4319805E" w14:textId="78A7779A" w:rsidR="000E6896" w:rsidRDefault="005C55D6" w:rsidP="00C81BBA">
      <w:pPr>
        <w:pStyle w:val="2Dot-point"/>
        <w:numPr>
          <w:ilvl w:val="0"/>
          <w:numId w:val="0"/>
        </w:numPr>
        <w:spacing w:line="280" w:lineRule="exact"/>
        <w:jc w:val="both"/>
        <w:rPr>
          <w:rFonts w:cs="Arial"/>
        </w:rPr>
      </w:pPr>
      <w:r>
        <w:rPr>
          <w:rFonts w:cs="Arial"/>
        </w:rPr>
        <w:t>It is proposed that the</w:t>
      </w:r>
      <w:r w:rsidRPr="00B15C19">
        <w:rPr>
          <w:rFonts w:cs="Arial"/>
        </w:rPr>
        <w:t xml:space="preserve"> </w:t>
      </w:r>
      <w:r w:rsidR="00C81BBA" w:rsidRPr="00B15C19">
        <w:rPr>
          <w:rFonts w:cs="Arial"/>
        </w:rPr>
        <w:t xml:space="preserve">NBA </w:t>
      </w:r>
      <w:r w:rsidR="00A14D96">
        <w:rPr>
          <w:rFonts w:cs="Arial"/>
        </w:rPr>
        <w:t>w</w:t>
      </w:r>
      <w:r>
        <w:rPr>
          <w:rFonts w:cs="Arial"/>
        </w:rPr>
        <w:t>ould</w:t>
      </w:r>
      <w:r w:rsidR="00C81BBA" w:rsidRPr="00B15C19">
        <w:rPr>
          <w:rFonts w:cs="Arial"/>
        </w:rPr>
        <w:t xml:space="preserve"> </w:t>
      </w:r>
      <w:r w:rsidR="00424275">
        <w:rPr>
          <w:rFonts w:cs="Arial"/>
        </w:rPr>
        <w:t xml:space="preserve">annually </w:t>
      </w:r>
      <w:r w:rsidR="00AE120E">
        <w:rPr>
          <w:rFonts w:cs="Arial"/>
        </w:rPr>
        <w:t>repo</w:t>
      </w:r>
      <w:r w:rsidR="00424275">
        <w:rPr>
          <w:rFonts w:cs="Arial"/>
        </w:rPr>
        <w:t>r</w:t>
      </w:r>
      <w:r w:rsidR="00AE120E">
        <w:rPr>
          <w:rFonts w:cs="Arial"/>
        </w:rPr>
        <w:t>t</w:t>
      </w:r>
      <w:r w:rsidR="00C15BE9">
        <w:rPr>
          <w:rFonts w:cs="Arial"/>
        </w:rPr>
        <w:t xml:space="preserve"> on</w:t>
      </w:r>
      <w:r w:rsidR="0036553D">
        <w:rPr>
          <w:rFonts w:cs="Arial"/>
        </w:rPr>
        <w:t xml:space="preserve"> </w:t>
      </w:r>
      <w:r w:rsidR="00AE120E">
        <w:rPr>
          <w:rFonts w:cs="Arial"/>
        </w:rPr>
        <w:t xml:space="preserve">progress made against the </w:t>
      </w:r>
      <w:r w:rsidR="004B38F9">
        <w:rPr>
          <w:rFonts w:cs="Arial"/>
        </w:rPr>
        <w:t>2022</w:t>
      </w:r>
      <w:r w:rsidR="00AE120E">
        <w:rPr>
          <w:rFonts w:cs="Arial"/>
        </w:rPr>
        <w:t>-27 Priorities</w:t>
      </w:r>
      <w:r w:rsidR="00D053A1">
        <w:rPr>
          <w:rFonts w:cs="Arial"/>
        </w:rPr>
        <w:t xml:space="preserve"> and Enablers</w:t>
      </w:r>
      <w:r w:rsidR="00AE120E">
        <w:rPr>
          <w:rFonts w:cs="Arial"/>
        </w:rPr>
        <w:t xml:space="preserve">, using the information collected from its research and development grant recipients and </w:t>
      </w:r>
      <w:r w:rsidR="00424275">
        <w:rPr>
          <w:rFonts w:cs="Arial"/>
        </w:rPr>
        <w:t xml:space="preserve">its annual stakeholder questionnaire to the national blood research and development sector (as described above). </w:t>
      </w:r>
    </w:p>
    <w:p w14:paraId="0A076606" w14:textId="77777777" w:rsidR="00C81BBA" w:rsidRPr="0059794B" w:rsidRDefault="00C81BBA" w:rsidP="00C81BBA">
      <w:pPr>
        <w:pStyle w:val="1Dot-point"/>
        <w:numPr>
          <w:ilvl w:val="0"/>
          <w:numId w:val="0"/>
        </w:numPr>
        <w:spacing w:line="280" w:lineRule="exact"/>
        <w:jc w:val="both"/>
        <w:rPr>
          <w:rFonts w:cs="Arial"/>
          <w:b/>
        </w:rPr>
      </w:pPr>
      <w:r w:rsidRPr="0059794B">
        <w:rPr>
          <w:rFonts w:cs="Arial"/>
          <w:b/>
        </w:rPr>
        <w:t xml:space="preserve">Continuous </w:t>
      </w:r>
      <w:r>
        <w:rPr>
          <w:rFonts w:cs="Arial"/>
          <w:b/>
          <w:bCs/>
        </w:rPr>
        <w:t>monitoring and</w:t>
      </w:r>
      <w:r w:rsidRPr="0059794B">
        <w:rPr>
          <w:rFonts w:cs="Arial"/>
          <w:b/>
          <w:bCs/>
        </w:rPr>
        <w:t xml:space="preserve"> </w:t>
      </w:r>
      <w:r w:rsidRPr="0059794B">
        <w:rPr>
          <w:rFonts w:cs="Arial"/>
          <w:b/>
        </w:rPr>
        <w:t>improvement</w:t>
      </w:r>
    </w:p>
    <w:p w14:paraId="05FC3099" w14:textId="0F1F9FA3" w:rsidR="00C9129B" w:rsidRDefault="00C81BBA" w:rsidP="00C81BBA">
      <w:pPr>
        <w:pStyle w:val="2Dot-point"/>
        <w:numPr>
          <w:ilvl w:val="0"/>
          <w:numId w:val="0"/>
        </w:numPr>
        <w:spacing w:line="280" w:lineRule="exact"/>
        <w:jc w:val="both"/>
        <w:rPr>
          <w:rFonts w:cs="Arial"/>
        </w:rPr>
      </w:pPr>
      <w:r>
        <w:rPr>
          <w:rFonts w:cs="Arial"/>
        </w:rPr>
        <w:t xml:space="preserve">The NBA </w:t>
      </w:r>
      <w:r w:rsidR="005C55D6">
        <w:rPr>
          <w:rFonts w:cs="Arial"/>
        </w:rPr>
        <w:t>could</w:t>
      </w:r>
      <w:r>
        <w:rPr>
          <w:rFonts w:cs="Arial"/>
        </w:rPr>
        <w:t xml:space="preserve"> </w:t>
      </w:r>
      <w:r w:rsidR="00C15BE9">
        <w:rPr>
          <w:rFonts w:cs="Arial"/>
        </w:rPr>
        <w:t>use the information collected</w:t>
      </w:r>
      <w:r w:rsidRPr="00E264E9">
        <w:rPr>
          <w:rFonts w:cs="Arial"/>
        </w:rPr>
        <w:t xml:space="preserve"> </w:t>
      </w:r>
      <w:r w:rsidR="00A33E4B">
        <w:rPr>
          <w:rFonts w:cs="Arial"/>
        </w:rPr>
        <w:t>to</w:t>
      </w:r>
      <w:r>
        <w:rPr>
          <w:rFonts w:cs="Arial"/>
        </w:rPr>
        <w:t xml:space="preserve"> review </w:t>
      </w:r>
      <w:r w:rsidRPr="00E264E9">
        <w:rPr>
          <w:rFonts w:cs="Arial"/>
        </w:rPr>
        <w:t xml:space="preserve">the research and development </w:t>
      </w:r>
      <w:r w:rsidR="00D5581E">
        <w:rPr>
          <w:rFonts w:cs="Arial"/>
        </w:rPr>
        <w:t>activities</w:t>
      </w:r>
      <w:r w:rsidRPr="00E264E9">
        <w:rPr>
          <w:rFonts w:cs="Arial"/>
        </w:rPr>
        <w:t xml:space="preserve"> </w:t>
      </w:r>
      <w:r w:rsidR="00E8671A">
        <w:rPr>
          <w:rFonts w:cs="Arial"/>
        </w:rPr>
        <w:t>identified</w:t>
      </w:r>
      <w:r w:rsidRPr="00E264E9">
        <w:rPr>
          <w:rFonts w:cs="Arial"/>
        </w:rPr>
        <w:t xml:space="preserve"> under the </w:t>
      </w:r>
      <w:r w:rsidR="004B38F9">
        <w:rPr>
          <w:rFonts w:cs="Arial"/>
        </w:rPr>
        <w:t>2022</w:t>
      </w:r>
      <w:r w:rsidR="00D5581E">
        <w:rPr>
          <w:rFonts w:cs="Arial"/>
        </w:rPr>
        <w:t>-27 Priorities</w:t>
      </w:r>
      <w:r w:rsidR="00D053A1">
        <w:rPr>
          <w:rFonts w:cs="Arial"/>
        </w:rPr>
        <w:t xml:space="preserve"> </w:t>
      </w:r>
      <w:r w:rsidRPr="00E264E9">
        <w:rPr>
          <w:rFonts w:cs="Arial"/>
        </w:rPr>
        <w:t>on a continual basis</w:t>
      </w:r>
      <w:r w:rsidR="00A33E4B">
        <w:rPr>
          <w:rFonts w:cs="Arial"/>
        </w:rPr>
        <w:t xml:space="preserve"> to </w:t>
      </w:r>
      <w:r w:rsidRPr="00E264E9">
        <w:rPr>
          <w:rFonts w:cs="Arial"/>
        </w:rPr>
        <w:t>ensure ongoing relevance and currency.</w:t>
      </w:r>
      <w:r w:rsidR="00A33E4B">
        <w:rPr>
          <w:rFonts w:cs="Arial"/>
        </w:rPr>
        <w:t xml:space="preserve"> </w:t>
      </w:r>
    </w:p>
    <w:p w14:paraId="3A37EEFE" w14:textId="562A317C" w:rsidR="00C81BBA" w:rsidRPr="00CD6A7A" w:rsidRDefault="00DD2B17" w:rsidP="00C81BBA">
      <w:pPr>
        <w:pStyle w:val="2Dot-point"/>
        <w:numPr>
          <w:ilvl w:val="0"/>
          <w:numId w:val="0"/>
        </w:numPr>
        <w:spacing w:line="280" w:lineRule="exact"/>
        <w:jc w:val="both"/>
        <w:rPr>
          <w:rFonts w:cs="Arial"/>
        </w:rPr>
      </w:pPr>
      <w:r>
        <w:rPr>
          <w:rFonts w:cs="Arial"/>
        </w:rPr>
        <w:t>Any revisions to the research and development activities w</w:t>
      </w:r>
      <w:r w:rsidR="005C55D6">
        <w:rPr>
          <w:rFonts w:cs="Arial"/>
        </w:rPr>
        <w:t>ould</w:t>
      </w:r>
      <w:r w:rsidR="00C81BBA" w:rsidRPr="00E264E9">
        <w:rPr>
          <w:rFonts w:cs="Arial"/>
        </w:rPr>
        <w:t xml:space="preserve"> be published on the NBA’s website and communicated broadly to stakeholders.</w:t>
      </w:r>
    </w:p>
    <w:p w14:paraId="0ED85A6C" w14:textId="77777777" w:rsidR="00C81BBA" w:rsidRPr="007A0882" w:rsidRDefault="00C81BBA" w:rsidP="00C81BBA">
      <w:pPr>
        <w:pStyle w:val="BodyText"/>
        <w:jc w:val="both"/>
        <w:rPr>
          <w:rFonts w:ascii="Arial" w:hAnsi="Arial" w:cs="Arial"/>
          <w:b/>
          <w:color w:val="36424A" w:themeColor="text2"/>
          <w:sz w:val="24"/>
        </w:rPr>
      </w:pPr>
      <w:r w:rsidRPr="007A0882">
        <w:rPr>
          <w:rFonts w:ascii="Arial" w:hAnsi="Arial" w:cs="Arial"/>
          <w:b/>
          <w:color w:val="36424A" w:themeColor="text2"/>
          <w:sz w:val="24"/>
        </w:rPr>
        <w:t>Implementation approach</w:t>
      </w:r>
    </w:p>
    <w:p w14:paraId="133C646A" w14:textId="2BB94EEB" w:rsidR="00666193" w:rsidRDefault="00C81BBA" w:rsidP="00C81BBA">
      <w:pPr>
        <w:spacing w:before="120" w:after="120" w:line="280" w:lineRule="exact"/>
        <w:jc w:val="both"/>
        <w:rPr>
          <w:rFonts w:ascii="Arial" w:eastAsia="Arial" w:hAnsi="Arial" w:cs="Arial"/>
          <w:color w:val="000000"/>
        </w:rPr>
      </w:pPr>
      <w:r>
        <w:rPr>
          <w:rFonts w:ascii="Arial" w:eastAsia="Arial" w:hAnsi="Arial" w:cs="Arial"/>
          <w:color w:val="000000"/>
        </w:rPr>
        <w:t xml:space="preserve">The </w:t>
      </w:r>
      <w:r w:rsidR="005C55D6">
        <w:rPr>
          <w:rFonts w:ascii="Arial" w:eastAsia="Arial" w:hAnsi="Arial" w:cs="Arial"/>
          <w:color w:val="000000"/>
        </w:rPr>
        <w:t xml:space="preserve">proposed </w:t>
      </w:r>
      <w:r w:rsidRPr="001F3F1E">
        <w:rPr>
          <w:rFonts w:ascii="Arial" w:eastAsia="Arial" w:hAnsi="Arial" w:cs="Arial"/>
          <w:color w:val="000000"/>
        </w:rPr>
        <w:t xml:space="preserve">monitoring plan </w:t>
      </w:r>
      <w:r w:rsidR="008B1291">
        <w:rPr>
          <w:rFonts w:ascii="Arial" w:eastAsia="Arial" w:hAnsi="Arial" w:cs="Arial"/>
          <w:color w:val="000000"/>
        </w:rPr>
        <w:t>w</w:t>
      </w:r>
      <w:r w:rsidR="005C55D6">
        <w:rPr>
          <w:rFonts w:ascii="Arial" w:eastAsia="Arial" w:hAnsi="Arial" w:cs="Arial"/>
          <w:color w:val="000000"/>
        </w:rPr>
        <w:t>ould</w:t>
      </w:r>
      <w:r w:rsidR="008B1291">
        <w:rPr>
          <w:rFonts w:ascii="Arial" w:eastAsia="Arial" w:hAnsi="Arial" w:cs="Arial"/>
          <w:color w:val="000000"/>
        </w:rPr>
        <w:t xml:space="preserve"> be implemented</w:t>
      </w:r>
      <w:r w:rsidRPr="001F3F1E">
        <w:rPr>
          <w:rFonts w:ascii="Arial" w:eastAsia="Arial" w:hAnsi="Arial" w:cs="Arial"/>
          <w:color w:val="000000"/>
        </w:rPr>
        <w:t xml:space="preserve"> </w:t>
      </w:r>
      <w:r w:rsidR="00D8580D">
        <w:rPr>
          <w:rFonts w:ascii="Arial" w:eastAsia="Arial" w:hAnsi="Arial" w:cs="Arial"/>
          <w:color w:val="000000"/>
        </w:rPr>
        <w:t xml:space="preserve">in two </w:t>
      </w:r>
      <w:r w:rsidRPr="001F3F1E">
        <w:rPr>
          <w:rFonts w:ascii="Arial" w:eastAsia="Arial" w:hAnsi="Arial" w:cs="Arial"/>
          <w:color w:val="000000"/>
        </w:rPr>
        <w:t xml:space="preserve">phases. </w:t>
      </w:r>
    </w:p>
    <w:p w14:paraId="7E86DF00" w14:textId="7F156449" w:rsidR="00666193" w:rsidRPr="0073198B" w:rsidRDefault="00C81BBA" w:rsidP="0073198B">
      <w:pPr>
        <w:pStyle w:val="ListParagraph"/>
        <w:numPr>
          <w:ilvl w:val="0"/>
          <w:numId w:val="77"/>
        </w:numPr>
        <w:spacing w:line="280" w:lineRule="exact"/>
        <w:jc w:val="both"/>
        <w:rPr>
          <w:rFonts w:ascii="Arial" w:eastAsia="Arial" w:hAnsi="Arial" w:cs="Arial"/>
          <w:color w:val="000000"/>
        </w:rPr>
      </w:pPr>
      <w:r w:rsidRPr="0073198B">
        <w:rPr>
          <w:rFonts w:ascii="Arial" w:eastAsia="Arial" w:hAnsi="Arial" w:cs="Arial"/>
          <w:color w:val="000000"/>
        </w:rPr>
        <w:t xml:space="preserve">The first phase </w:t>
      </w:r>
      <w:r w:rsidR="005C55D6">
        <w:rPr>
          <w:rFonts w:ascii="Arial" w:eastAsia="Arial" w:hAnsi="Arial" w:cs="Arial"/>
          <w:color w:val="000000"/>
        </w:rPr>
        <w:t xml:space="preserve">would </w:t>
      </w:r>
      <w:r w:rsidRPr="0073198B">
        <w:rPr>
          <w:rFonts w:ascii="Arial" w:eastAsia="Arial" w:hAnsi="Arial" w:cs="Arial"/>
          <w:color w:val="000000"/>
        </w:rPr>
        <w:t xml:space="preserve">focus on </w:t>
      </w:r>
      <w:r w:rsidR="008B1291" w:rsidRPr="0073198B">
        <w:rPr>
          <w:rFonts w:ascii="Arial" w:eastAsia="Arial" w:hAnsi="Arial" w:cs="Arial"/>
          <w:color w:val="000000"/>
        </w:rPr>
        <w:t xml:space="preserve">developing the tools </w:t>
      </w:r>
      <w:r w:rsidR="00565C73" w:rsidRPr="0073198B">
        <w:rPr>
          <w:rFonts w:ascii="Arial" w:eastAsia="Arial" w:hAnsi="Arial" w:cs="Arial"/>
          <w:color w:val="000000"/>
        </w:rPr>
        <w:t>and resources to collect information from NBA grant recipients and the national blood research and development sector.</w:t>
      </w:r>
      <w:r w:rsidR="006A2420" w:rsidRPr="0073198B">
        <w:rPr>
          <w:rFonts w:ascii="Arial" w:eastAsia="Arial" w:hAnsi="Arial" w:cs="Arial"/>
          <w:color w:val="000000"/>
        </w:rPr>
        <w:t xml:space="preserve"> </w:t>
      </w:r>
    </w:p>
    <w:p w14:paraId="52410347" w14:textId="3260E585" w:rsidR="00565C73" w:rsidRPr="0073198B" w:rsidRDefault="006A2420" w:rsidP="0073198B">
      <w:pPr>
        <w:pStyle w:val="ListParagraph"/>
        <w:numPr>
          <w:ilvl w:val="0"/>
          <w:numId w:val="77"/>
        </w:numPr>
        <w:spacing w:line="280" w:lineRule="exact"/>
        <w:jc w:val="both"/>
        <w:rPr>
          <w:rFonts w:ascii="Arial" w:eastAsia="Arial" w:hAnsi="Arial" w:cs="Arial"/>
          <w:color w:val="000000"/>
        </w:rPr>
      </w:pPr>
      <w:r w:rsidRPr="0073198B">
        <w:rPr>
          <w:rFonts w:ascii="Arial" w:eastAsia="Arial" w:hAnsi="Arial" w:cs="Arial"/>
          <w:color w:val="000000"/>
        </w:rPr>
        <w:t>The second phase</w:t>
      </w:r>
      <w:r w:rsidR="00D8580D" w:rsidRPr="0073198B">
        <w:rPr>
          <w:rFonts w:ascii="Arial" w:eastAsia="Arial" w:hAnsi="Arial" w:cs="Arial"/>
          <w:color w:val="000000"/>
        </w:rPr>
        <w:t xml:space="preserve"> </w:t>
      </w:r>
      <w:r w:rsidR="00524F2A">
        <w:rPr>
          <w:rFonts w:ascii="Arial" w:eastAsia="Arial" w:hAnsi="Arial" w:cs="Arial"/>
          <w:color w:val="000000"/>
        </w:rPr>
        <w:t>would commence once</w:t>
      </w:r>
      <w:r w:rsidR="00D8580D" w:rsidRPr="0073198B">
        <w:rPr>
          <w:rFonts w:ascii="Arial" w:eastAsia="Arial" w:hAnsi="Arial" w:cs="Arial"/>
          <w:color w:val="000000"/>
        </w:rPr>
        <w:t xml:space="preserve"> the NBA w</w:t>
      </w:r>
      <w:r w:rsidR="00524F2A">
        <w:rPr>
          <w:rFonts w:ascii="Arial" w:eastAsia="Arial" w:hAnsi="Arial" w:cs="Arial"/>
          <w:color w:val="000000"/>
        </w:rPr>
        <w:t>as able to</w:t>
      </w:r>
      <w:r w:rsidR="004B7B11">
        <w:rPr>
          <w:rFonts w:ascii="Arial" w:eastAsia="Arial" w:hAnsi="Arial" w:cs="Arial"/>
          <w:color w:val="000000"/>
        </w:rPr>
        <w:t xml:space="preserve"> </w:t>
      </w:r>
      <w:r w:rsidR="000A73AD" w:rsidRPr="0073198B">
        <w:rPr>
          <w:rFonts w:ascii="Arial" w:eastAsia="Arial" w:hAnsi="Arial" w:cs="Arial"/>
          <w:color w:val="000000"/>
        </w:rPr>
        <w:t>collect</w:t>
      </w:r>
      <w:r w:rsidR="00D8580D" w:rsidRPr="0073198B">
        <w:rPr>
          <w:rFonts w:ascii="Arial" w:eastAsia="Arial" w:hAnsi="Arial" w:cs="Arial"/>
          <w:color w:val="000000"/>
        </w:rPr>
        <w:t xml:space="preserve"> the information</w:t>
      </w:r>
      <w:r w:rsidR="000A73AD" w:rsidRPr="0073198B">
        <w:rPr>
          <w:rFonts w:ascii="Arial" w:eastAsia="Arial" w:hAnsi="Arial" w:cs="Arial"/>
          <w:color w:val="000000"/>
        </w:rPr>
        <w:t xml:space="preserve"> from the</w:t>
      </w:r>
      <w:r w:rsidR="003B0C0A" w:rsidRPr="0073198B">
        <w:rPr>
          <w:rFonts w:ascii="Arial" w:eastAsia="Arial" w:hAnsi="Arial" w:cs="Arial"/>
          <w:color w:val="000000"/>
        </w:rPr>
        <w:t xml:space="preserve"> sector.</w:t>
      </w:r>
    </w:p>
    <w:p w14:paraId="7D762D71" w14:textId="5BC50F79" w:rsidR="00475484" w:rsidRDefault="00D8580D" w:rsidP="00C81BBA">
      <w:pPr>
        <w:spacing w:before="120" w:after="120" w:line="280" w:lineRule="exact"/>
        <w:jc w:val="both"/>
        <w:rPr>
          <w:rFonts w:ascii="Arial" w:eastAsia="Arial" w:hAnsi="Arial" w:cs="Arial"/>
          <w:b/>
          <w:bCs/>
          <w:color w:val="000000"/>
        </w:rPr>
      </w:pPr>
      <w:r>
        <w:rPr>
          <w:rFonts w:ascii="Arial" w:eastAsia="Arial" w:hAnsi="Arial" w:cs="Arial"/>
          <w:b/>
          <w:bCs/>
          <w:color w:val="000000"/>
        </w:rPr>
        <w:t xml:space="preserve">Phase </w:t>
      </w:r>
      <w:r w:rsidR="007A50F8">
        <w:rPr>
          <w:rFonts w:ascii="Arial" w:eastAsia="Arial" w:hAnsi="Arial" w:cs="Arial"/>
          <w:b/>
          <w:bCs/>
          <w:color w:val="000000"/>
        </w:rPr>
        <w:t xml:space="preserve">1 </w:t>
      </w:r>
      <w:r w:rsidR="007F5FCB">
        <w:rPr>
          <w:rFonts w:ascii="Arial" w:eastAsia="Arial" w:hAnsi="Arial" w:cs="Arial"/>
          <w:b/>
          <w:bCs/>
          <w:color w:val="000000"/>
        </w:rPr>
        <w:t>(2022)</w:t>
      </w:r>
    </w:p>
    <w:p w14:paraId="37E94FC9" w14:textId="231F17B2" w:rsidR="000E7977" w:rsidRDefault="00AC726A" w:rsidP="00087B72">
      <w:pPr>
        <w:pStyle w:val="1Dot-point"/>
        <w:numPr>
          <w:ilvl w:val="0"/>
          <w:numId w:val="0"/>
        </w:numPr>
        <w:spacing w:line="280" w:lineRule="exact"/>
        <w:jc w:val="both"/>
        <w:rPr>
          <w:rFonts w:cs="Arial"/>
        </w:rPr>
      </w:pPr>
      <w:r>
        <w:rPr>
          <w:rFonts w:cs="Arial"/>
        </w:rPr>
        <w:t>The NBA w</w:t>
      </w:r>
      <w:r w:rsidR="00524F2A">
        <w:rPr>
          <w:rFonts w:cs="Arial"/>
        </w:rPr>
        <w:t>ould</w:t>
      </w:r>
      <w:r w:rsidR="000E7977">
        <w:rPr>
          <w:rFonts w:cs="Arial"/>
        </w:rPr>
        <w:t>:</w:t>
      </w:r>
    </w:p>
    <w:p w14:paraId="6BD3C398" w14:textId="7ADCC627" w:rsidR="007A50F8" w:rsidRPr="00101DD1" w:rsidRDefault="00AC726A" w:rsidP="00087B72">
      <w:pPr>
        <w:pStyle w:val="1Dot-point"/>
      </w:pPr>
      <w:r>
        <w:t>a</w:t>
      </w:r>
      <w:r w:rsidR="007A50F8" w:rsidRPr="00A20474">
        <w:t xml:space="preserve">mend </w:t>
      </w:r>
      <w:r>
        <w:t>its</w:t>
      </w:r>
      <w:r w:rsidR="007A50F8" w:rsidRPr="00A20474">
        <w:t xml:space="preserve"> research and development grant guidelines to clarify reporting requirements</w:t>
      </w:r>
      <w:r w:rsidR="004A1259">
        <w:t xml:space="preserve"> for recipients</w:t>
      </w:r>
      <w:r w:rsidR="007A50F8" w:rsidRPr="00A20474">
        <w:t xml:space="preserve"> (before next grant round).</w:t>
      </w:r>
      <w:r w:rsidR="00101DD1">
        <w:t xml:space="preserve"> This w</w:t>
      </w:r>
      <w:r w:rsidR="00524F2A">
        <w:t>ould</w:t>
      </w:r>
      <w:r w:rsidR="00101DD1">
        <w:t xml:space="preserve"> capture</w:t>
      </w:r>
      <w:r w:rsidR="007A50F8" w:rsidRPr="00101DD1">
        <w:t xml:space="preserve"> research and development:</w:t>
      </w:r>
    </w:p>
    <w:p w14:paraId="36039488" w14:textId="77777777" w:rsidR="00C81BBA" w:rsidRPr="00A20474" w:rsidRDefault="00C81BBA" w:rsidP="00087B72">
      <w:pPr>
        <w:numPr>
          <w:ilvl w:val="4"/>
          <w:numId w:val="90"/>
        </w:numPr>
        <w:spacing w:before="120" w:after="120" w:line="280" w:lineRule="exact"/>
        <w:jc w:val="both"/>
        <w:rPr>
          <w:rFonts w:ascii="Arial" w:eastAsia="Arial" w:hAnsi="Arial" w:cs="Arial"/>
          <w:color w:val="000000"/>
        </w:rPr>
      </w:pPr>
      <w:r w:rsidRPr="00A20474">
        <w:rPr>
          <w:rFonts w:ascii="Arial" w:eastAsia="Arial" w:hAnsi="Arial" w:cs="Arial"/>
          <w:color w:val="000000"/>
        </w:rPr>
        <w:t xml:space="preserve">initiated </w:t>
      </w:r>
    </w:p>
    <w:p w14:paraId="4265F80D" w14:textId="77777777" w:rsidR="00C81BBA" w:rsidRPr="00A20474" w:rsidRDefault="00C81BBA" w:rsidP="00087B72">
      <w:pPr>
        <w:numPr>
          <w:ilvl w:val="4"/>
          <w:numId w:val="90"/>
        </w:numPr>
        <w:spacing w:before="120" w:after="120" w:line="280" w:lineRule="exact"/>
        <w:jc w:val="both"/>
        <w:rPr>
          <w:rFonts w:ascii="Arial" w:eastAsia="Arial" w:hAnsi="Arial" w:cs="Arial"/>
          <w:color w:val="000000"/>
        </w:rPr>
      </w:pPr>
      <w:r w:rsidRPr="00A20474">
        <w:rPr>
          <w:rFonts w:ascii="Arial" w:eastAsia="Arial" w:hAnsi="Arial" w:cs="Arial"/>
          <w:color w:val="000000"/>
        </w:rPr>
        <w:t>underway</w:t>
      </w:r>
    </w:p>
    <w:p w14:paraId="5CE9F1F9" w14:textId="4F18F8BE" w:rsidR="00C81BBA" w:rsidRDefault="00C81BBA" w:rsidP="00087B72">
      <w:pPr>
        <w:numPr>
          <w:ilvl w:val="4"/>
          <w:numId w:val="90"/>
        </w:numPr>
        <w:spacing w:before="120" w:after="120" w:line="280" w:lineRule="exact"/>
        <w:jc w:val="both"/>
        <w:rPr>
          <w:rFonts w:ascii="Arial" w:eastAsia="Arial" w:hAnsi="Arial" w:cs="Arial"/>
          <w:color w:val="000000"/>
        </w:rPr>
      </w:pPr>
      <w:r w:rsidRPr="00A20474">
        <w:rPr>
          <w:rFonts w:ascii="Arial" w:eastAsia="Arial" w:hAnsi="Arial" w:cs="Arial"/>
          <w:color w:val="000000"/>
        </w:rPr>
        <w:t>completed</w:t>
      </w:r>
      <w:r w:rsidR="008050F5">
        <w:rPr>
          <w:rFonts w:ascii="Arial" w:eastAsia="Arial" w:hAnsi="Arial" w:cs="Arial"/>
          <w:color w:val="000000"/>
        </w:rPr>
        <w:t>.</w:t>
      </w:r>
    </w:p>
    <w:p w14:paraId="15F4C2D7" w14:textId="629E1EC3" w:rsidR="007A50F8" w:rsidRPr="00087B72" w:rsidRDefault="000C2764" w:rsidP="00087B72">
      <w:pPr>
        <w:pStyle w:val="ListParagraph"/>
        <w:numPr>
          <w:ilvl w:val="0"/>
          <w:numId w:val="89"/>
        </w:numPr>
        <w:spacing w:line="280" w:lineRule="exact"/>
        <w:jc w:val="both"/>
        <w:rPr>
          <w:rFonts w:ascii="Arial" w:eastAsia="Arial" w:hAnsi="Arial" w:cs="Arial"/>
          <w:color w:val="000000"/>
        </w:rPr>
      </w:pPr>
      <w:r w:rsidRPr="00087B72">
        <w:rPr>
          <w:rFonts w:ascii="Arial" w:eastAsia="Arial" w:hAnsi="Arial" w:cs="Arial"/>
          <w:color w:val="000000"/>
        </w:rPr>
        <w:t xml:space="preserve">provide for the reporting of </w:t>
      </w:r>
      <w:r w:rsidR="007A50F8" w:rsidRPr="00087B72">
        <w:rPr>
          <w:rFonts w:ascii="Arial" w:eastAsia="Arial" w:hAnsi="Arial" w:cs="Arial"/>
          <w:color w:val="000000"/>
        </w:rPr>
        <w:t>information or evidence of translated outcomes (if any), with a suggested emphasis on knowledge translation and capacity building outcomes</w:t>
      </w:r>
    </w:p>
    <w:p w14:paraId="1A960A7C" w14:textId="1DA254DD" w:rsidR="00475484" w:rsidRDefault="007F5FCB" w:rsidP="00475484">
      <w:pPr>
        <w:pStyle w:val="1Dot-point"/>
      </w:pPr>
      <w:r>
        <w:t>d</w:t>
      </w:r>
      <w:r w:rsidR="008141AF">
        <w:t xml:space="preserve">evelop a template form for NBA grant recipients to </w:t>
      </w:r>
      <w:r>
        <w:t>report against annually</w:t>
      </w:r>
      <w:r w:rsidR="00101DD1">
        <w:t xml:space="preserve"> to measure progress against </w:t>
      </w:r>
      <w:r w:rsidR="00AC726A">
        <w:t xml:space="preserve">the </w:t>
      </w:r>
      <w:r w:rsidR="004B38F9">
        <w:t>2022</w:t>
      </w:r>
      <w:r w:rsidR="00101DD1">
        <w:t>-27 Priorities</w:t>
      </w:r>
      <w:r w:rsidR="008050F5">
        <w:t xml:space="preserve"> and Enablers</w:t>
      </w:r>
    </w:p>
    <w:p w14:paraId="76E3B4F4" w14:textId="397167E5" w:rsidR="003E6090" w:rsidRDefault="00326359" w:rsidP="0073198B">
      <w:pPr>
        <w:pStyle w:val="1Dot-point"/>
      </w:pPr>
      <w:r>
        <w:t>d</w:t>
      </w:r>
      <w:r w:rsidR="003E6090">
        <w:t xml:space="preserve">evelop a stakeholder questionnaire for the purpose of ascertaining progress against the </w:t>
      </w:r>
      <w:r w:rsidR="004B38F9">
        <w:t>2022</w:t>
      </w:r>
      <w:r w:rsidR="003E6090">
        <w:t>-27 Priorities</w:t>
      </w:r>
      <w:r w:rsidR="008050F5">
        <w:t xml:space="preserve"> and Enablers.</w:t>
      </w:r>
    </w:p>
    <w:p w14:paraId="70CA693B" w14:textId="4EAB8000" w:rsidR="008A488D" w:rsidRPr="0073198B" w:rsidRDefault="008A488D" w:rsidP="00C70B21">
      <w:pPr>
        <w:pStyle w:val="1Dot-point"/>
        <w:keepNext/>
        <w:keepLines/>
        <w:numPr>
          <w:ilvl w:val="0"/>
          <w:numId w:val="0"/>
        </w:numPr>
        <w:spacing w:line="280" w:lineRule="exact"/>
        <w:ind w:left="170"/>
        <w:jc w:val="both"/>
        <w:rPr>
          <w:rFonts w:cs="Arial"/>
          <w:b/>
          <w:bCs/>
        </w:rPr>
      </w:pPr>
      <w:r>
        <w:rPr>
          <w:rFonts w:cs="Arial"/>
          <w:b/>
          <w:bCs/>
        </w:rPr>
        <w:t xml:space="preserve">Phase 2 </w:t>
      </w:r>
      <w:r>
        <w:rPr>
          <w:rFonts w:eastAsia="Arial" w:cs="Arial"/>
          <w:b/>
          <w:bCs/>
        </w:rPr>
        <w:t>(202</w:t>
      </w:r>
      <w:r w:rsidR="00625DB0">
        <w:rPr>
          <w:rFonts w:eastAsia="Arial" w:cs="Arial"/>
          <w:b/>
          <w:bCs/>
        </w:rPr>
        <w:t>3</w:t>
      </w:r>
      <w:r>
        <w:rPr>
          <w:rFonts w:eastAsia="Arial" w:cs="Arial"/>
          <w:b/>
          <w:bCs/>
        </w:rPr>
        <w:t>-2</w:t>
      </w:r>
      <w:r w:rsidR="000A73AD">
        <w:rPr>
          <w:rFonts w:eastAsia="Arial" w:cs="Arial"/>
          <w:b/>
          <w:bCs/>
        </w:rPr>
        <w:t>7</w:t>
      </w:r>
      <w:r>
        <w:rPr>
          <w:rFonts w:eastAsia="Arial" w:cs="Arial"/>
          <w:b/>
          <w:bCs/>
        </w:rPr>
        <w:t>)</w:t>
      </w:r>
    </w:p>
    <w:p w14:paraId="569F762B" w14:textId="02AAB2BE" w:rsidR="000E7977" w:rsidRDefault="00AC726A" w:rsidP="00C70B21">
      <w:pPr>
        <w:pStyle w:val="1Dot-point"/>
        <w:keepNext/>
        <w:keepLines/>
        <w:numPr>
          <w:ilvl w:val="0"/>
          <w:numId w:val="0"/>
        </w:numPr>
        <w:spacing w:line="280" w:lineRule="exact"/>
        <w:ind w:left="530" w:hanging="360"/>
        <w:jc w:val="both"/>
        <w:rPr>
          <w:rFonts w:cs="Arial"/>
        </w:rPr>
      </w:pPr>
      <w:r>
        <w:rPr>
          <w:rFonts w:cs="Arial"/>
        </w:rPr>
        <w:t>The NBA w</w:t>
      </w:r>
      <w:r w:rsidR="00524F2A">
        <w:rPr>
          <w:rFonts w:cs="Arial"/>
        </w:rPr>
        <w:t>ould</w:t>
      </w:r>
      <w:r w:rsidR="000E7977">
        <w:rPr>
          <w:rFonts w:cs="Arial"/>
        </w:rPr>
        <w:t>:</w:t>
      </w:r>
    </w:p>
    <w:p w14:paraId="7FD18278" w14:textId="2BB14E25" w:rsidR="008A488D" w:rsidRDefault="00AC726A" w:rsidP="00C81BBA">
      <w:pPr>
        <w:pStyle w:val="1Dot-point"/>
        <w:spacing w:line="280" w:lineRule="exact"/>
        <w:jc w:val="both"/>
        <w:rPr>
          <w:rFonts w:cs="Arial"/>
        </w:rPr>
      </w:pPr>
      <w:r>
        <w:rPr>
          <w:rFonts w:cs="Arial"/>
        </w:rPr>
        <w:t>c</w:t>
      </w:r>
      <w:r w:rsidR="000C488B">
        <w:rPr>
          <w:rFonts w:cs="Arial"/>
        </w:rPr>
        <w:t>ollect information from NBA grant recipients and the national blood research and development sector</w:t>
      </w:r>
    </w:p>
    <w:p w14:paraId="22E16FCC" w14:textId="3CCE819E" w:rsidR="00C81BBA" w:rsidRPr="00381C60" w:rsidRDefault="000E7977" w:rsidP="0073198B">
      <w:pPr>
        <w:pStyle w:val="1Dot-point"/>
        <w:spacing w:line="280" w:lineRule="exact"/>
        <w:jc w:val="both"/>
        <w:rPr>
          <w:rFonts w:cs="Arial"/>
        </w:rPr>
      </w:pPr>
      <w:r>
        <w:rPr>
          <w:rFonts w:cs="Arial"/>
        </w:rPr>
        <w:t xml:space="preserve">develop </w:t>
      </w:r>
      <w:r w:rsidR="00CA1788">
        <w:rPr>
          <w:rFonts w:cs="Arial"/>
        </w:rPr>
        <w:t>and p</w:t>
      </w:r>
      <w:r w:rsidR="00C81BBA" w:rsidRPr="00A20474">
        <w:rPr>
          <w:rFonts w:cs="Arial"/>
        </w:rPr>
        <w:t xml:space="preserve">ublish a report on the progress against </w:t>
      </w:r>
      <w:r w:rsidR="00CA1788">
        <w:rPr>
          <w:rFonts w:cs="Arial"/>
        </w:rPr>
        <w:t>202</w:t>
      </w:r>
      <w:r w:rsidR="00625DB0">
        <w:rPr>
          <w:rFonts w:cs="Arial"/>
        </w:rPr>
        <w:t>2</w:t>
      </w:r>
      <w:r w:rsidR="00CA1788">
        <w:rPr>
          <w:rFonts w:cs="Arial"/>
        </w:rPr>
        <w:t>-27</w:t>
      </w:r>
      <w:r w:rsidR="00C81BBA" w:rsidRPr="00A20474">
        <w:rPr>
          <w:rFonts w:cs="Arial"/>
        </w:rPr>
        <w:t xml:space="preserve"> </w:t>
      </w:r>
      <w:r w:rsidR="008050F5">
        <w:rPr>
          <w:rFonts w:cs="Arial"/>
        </w:rPr>
        <w:t>P</w:t>
      </w:r>
      <w:r w:rsidR="00C81BBA" w:rsidRPr="00A20474">
        <w:rPr>
          <w:rFonts w:cs="Arial"/>
        </w:rPr>
        <w:t>riorities</w:t>
      </w:r>
      <w:r w:rsidR="008050F5">
        <w:rPr>
          <w:rFonts w:cs="Arial"/>
        </w:rPr>
        <w:t xml:space="preserve"> and Enablers</w:t>
      </w:r>
      <w:r w:rsidR="00C81BBA" w:rsidRPr="00A20474">
        <w:rPr>
          <w:rFonts w:cs="Arial"/>
        </w:rPr>
        <w:t xml:space="preserve"> </w:t>
      </w:r>
    </w:p>
    <w:p w14:paraId="0BF7E28B" w14:textId="594F5CAB" w:rsidR="00C81BBA" w:rsidRPr="008D0FE2" w:rsidRDefault="000E7977" w:rsidP="00C81BBA">
      <w:pPr>
        <w:pStyle w:val="1Dot-point"/>
        <w:spacing w:line="280" w:lineRule="exact"/>
        <w:jc w:val="both"/>
        <w:rPr>
          <w:rFonts w:cs="Arial"/>
        </w:rPr>
      </w:pPr>
      <w:r>
        <w:rPr>
          <w:rFonts w:cs="Arial"/>
        </w:rPr>
        <w:t>u</w:t>
      </w:r>
      <w:r w:rsidRPr="00E264E9">
        <w:rPr>
          <w:rFonts w:cs="Arial"/>
        </w:rPr>
        <w:t xml:space="preserve">tilise </w:t>
      </w:r>
      <w:r w:rsidR="00C81BBA" w:rsidRPr="00E264E9">
        <w:rPr>
          <w:rFonts w:cs="Arial"/>
        </w:rPr>
        <w:t xml:space="preserve">the </w:t>
      </w:r>
      <w:r w:rsidR="00C81BBA">
        <w:rPr>
          <w:rFonts w:cs="Arial"/>
        </w:rPr>
        <w:t xml:space="preserve">information collected </w:t>
      </w:r>
      <w:r w:rsidR="00C81BBA" w:rsidRPr="00E264E9">
        <w:rPr>
          <w:rFonts w:cs="Arial"/>
        </w:rPr>
        <w:t>to review and updat</w:t>
      </w:r>
      <w:r w:rsidR="00C81BBA">
        <w:rPr>
          <w:rFonts w:cs="Arial"/>
        </w:rPr>
        <w:t xml:space="preserve">e </w:t>
      </w:r>
      <w:r w:rsidR="00C81BBA" w:rsidRPr="00E264E9">
        <w:rPr>
          <w:rFonts w:cs="Arial"/>
        </w:rPr>
        <w:t xml:space="preserve">the research and development </w:t>
      </w:r>
      <w:r w:rsidR="000F0DF3">
        <w:rPr>
          <w:rFonts w:cs="Arial"/>
        </w:rPr>
        <w:t>activities</w:t>
      </w:r>
      <w:r w:rsidR="000F0DF3" w:rsidRPr="00E264E9">
        <w:rPr>
          <w:rFonts w:cs="Arial"/>
        </w:rPr>
        <w:t xml:space="preserve"> </w:t>
      </w:r>
      <w:r w:rsidR="00C81BBA" w:rsidRPr="00E264E9">
        <w:rPr>
          <w:rFonts w:cs="Arial"/>
        </w:rPr>
        <w:t>under each of the five overarching strategic priorities on a</w:t>
      </w:r>
      <w:r w:rsidR="00C81BBA">
        <w:rPr>
          <w:rFonts w:cs="Arial"/>
        </w:rPr>
        <w:t>n annual</w:t>
      </w:r>
      <w:r w:rsidR="00C81BBA" w:rsidRPr="00E264E9">
        <w:rPr>
          <w:rFonts w:cs="Arial"/>
        </w:rPr>
        <w:t xml:space="preserve"> basis. </w:t>
      </w:r>
    </w:p>
    <w:p w14:paraId="65E46C99" w14:textId="59CF6E90" w:rsidR="00C81BBA" w:rsidRDefault="00C81BBA">
      <w:pPr>
        <w:rPr>
          <w:lang w:eastAsia="zh-CN"/>
        </w:rPr>
      </w:pPr>
      <w:r>
        <w:rPr>
          <w:lang w:eastAsia="zh-CN"/>
        </w:rPr>
        <w:br w:type="page"/>
      </w:r>
    </w:p>
    <w:p w14:paraId="0D51F879" w14:textId="7AD7DAFE" w:rsidR="00AF6FEF" w:rsidRPr="0073198B" w:rsidRDefault="00AF6FEF" w:rsidP="0073198B">
      <w:bookmarkStart w:id="122" w:name="Figure_2"/>
      <w:bookmarkStart w:id="123" w:name="Figure_3"/>
      <w:bookmarkStart w:id="124" w:name="Figure_5"/>
      <w:bookmarkStart w:id="125" w:name="Table_1"/>
      <w:bookmarkStart w:id="126" w:name="Table_3"/>
      <w:bookmarkStart w:id="127" w:name="_Toc73109345"/>
      <w:bookmarkEnd w:id="68"/>
      <w:bookmarkEnd w:id="122"/>
      <w:bookmarkEnd w:id="123"/>
      <w:bookmarkEnd w:id="124"/>
      <w:bookmarkEnd w:id="125"/>
      <w:bookmarkEnd w:id="126"/>
    </w:p>
    <w:p w14:paraId="0A14F07E" w14:textId="77777777" w:rsidR="00AF6FEF" w:rsidRPr="0073198B" w:rsidRDefault="00AF6FEF" w:rsidP="0073198B"/>
    <w:p w14:paraId="79CF3A4A" w14:textId="77777777" w:rsidR="00AF6FEF" w:rsidRPr="0073198B" w:rsidRDefault="00AF6FEF" w:rsidP="0073198B"/>
    <w:p w14:paraId="5D62BD26" w14:textId="265ACAB5" w:rsidR="00194B3B" w:rsidRPr="00DF068E" w:rsidRDefault="00AF6FEF" w:rsidP="0073198B">
      <w:pPr>
        <w:pStyle w:val="Heading1-NOTinTOC"/>
        <w:rPr>
          <w:lang w:eastAsia="zh-CN"/>
        </w:rPr>
      </w:pPr>
      <w:r>
        <w:rPr>
          <w:noProof/>
          <w:lang w:val="en-AU" w:eastAsia="en-AU"/>
        </w:rPr>
        <w:drawing>
          <wp:anchor distT="0" distB="0" distL="114300" distR="114300" simplePos="0" relativeHeight="251655680" behindDoc="1" locked="0" layoutInCell="1" allowOverlap="1" wp14:anchorId="22C610C9" wp14:editId="70EA020C">
            <wp:simplePos x="0" y="0"/>
            <wp:positionH relativeFrom="column">
              <wp:posOffset>-901700</wp:posOffset>
            </wp:positionH>
            <wp:positionV relativeFrom="paragraph">
              <wp:posOffset>-1740535</wp:posOffset>
            </wp:positionV>
            <wp:extent cx="7549888" cy="10655300"/>
            <wp:effectExtent l="0" t="0" r="0" b="0"/>
            <wp:wrapNone/>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a:extLst>
                        <a:ext uri="{C183D7F6-B498-43B3-948B-1728B52AA6E4}">
                          <adec:decorative xmlns:adec="http://schemas.microsoft.com/office/drawing/2017/decorative" val="1"/>
                        </a:ext>
                      </a:extLst>
                    </pic:cNvPr>
                    <pic:cNvPicPr/>
                  </pic:nvPicPr>
                  <pic:blipFill rotWithShape="1">
                    <a:blip r:embed="rId33" cstate="print">
                      <a:extLst>
                        <a:ext uri="{28A0092B-C50C-407E-A947-70E740481C1C}">
                          <a14:useLocalDpi xmlns:a14="http://schemas.microsoft.com/office/drawing/2010/main" val="0"/>
                        </a:ext>
                      </a:extLst>
                    </a:blip>
                    <a:srcRect b="8277"/>
                    <a:stretch/>
                  </pic:blipFill>
                  <pic:spPr bwMode="auto">
                    <a:xfrm>
                      <a:off x="0" y="0"/>
                      <a:ext cx="7549888" cy="1065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1FA" w:rsidRPr="0073198B">
        <w:rPr>
          <w:lang w:val="en-AU"/>
        </w:rPr>
        <w:t>APPPENDICES</w:t>
      </w:r>
      <w:bookmarkStart w:id="128" w:name="Figure_6"/>
      <w:bookmarkStart w:id="129" w:name="Figure_7"/>
      <w:bookmarkStart w:id="130" w:name="Figure_8"/>
      <w:bookmarkStart w:id="131" w:name="Figure_9"/>
      <w:bookmarkStart w:id="132" w:name="Figure_10"/>
      <w:bookmarkEnd w:id="128"/>
      <w:bookmarkEnd w:id="129"/>
      <w:bookmarkEnd w:id="130"/>
      <w:bookmarkEnd w:id="131"/>
      <w:bookmarkEnd w:id="132"/>
      <w:r w:rsidR="00F22E4C">
        <w:rPr>
          <w:lang w:eastAsia="zh-CN"/>
        </w:rPr>
        <w:br w:type="page"/>
      </w:r>
    </w:p>
    <w:p w14:paraId="7CBDDB3A" w14:textId="3DB139F1" w:rsidR="008F01FA" w:rsidRDefault="00A62D75" w:rsidP="00E67D66">
      <w:pPr>
        <w:pStyle w:val="Heading1"/>
        <w:rPr>
          <w:lang w:eastAsia="zh-CN"/>
        </w:rPr>
      </w:pPr>
      <w:bookmarkStart w:id="133" w:name="_Appendix_A_-"/>
      <w:bookmarkStart w:id="134" w:name="_Toc90456682"/>
      <w:bookmarkEnd w:id="133"/>
      <w:r w:rsidRPr="0073198B">
        <w:rPr>
          <w:noProof/>
          <w:lang w:val="en-AU" w:eastAsia="en-AU"/>
        </w:rPr>
        <mc:AlternateContent>
          <mc:Choice Requires="wpg">
            <w:drawing>
              <wp:anchor distT="0" distB="0" distL="114300" distR="114300" simplePos="0" relativeHeight="251656704" behindDoc="0" locked="0" layoutInCell="1" allowOverlap="1" wp14:anchorId="440C73E8" wp14:editId="0C2ADB72">
                <wp:simplePos x="0" y="0"/>
                <wp:positionH relativeFrom="column">
                  <wp:posOffset>-1296785</wp:posOffset>
                </wp:positionH>
                <wp:positionV relativeFrom="paragraph">
                  <wp:posOffset>-281132</wp:posOffset>
                </wp:positionV>
                <wp:extent cx="787222" cy="782411"/>
                <wp:effectExtent l="171450" t="171450" r="165735" b="170180"/>
                <wp:wrapNone/>
                <wp:docPr id="79" name="Group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7222" cy="782411"/>
                          <a:chOff x="0" y="0"/>
                          <a:chExt cx="787222" cy="782411"/>
                        </a:xfrm>
                      </wpg:grpSpPr>
                      <wps:wsp>
                        <wps:cNvPr id="101" name="Rectangle 101"/>
                        <wps:cNvSpPr/>
                        <wps:spPr>
                          <a:xfrm rot="2700000">
                            <a:off x="17941" y="13131"/>
                            <a:ext cx="765125" cy="77343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rot="2700000">
                            <a:off x="0" y="0"/>
                            <a:ext cx="773289" cy="773289"/>
                          </a:xfrm>
                          <a:prstGeom prst="rect">
                            <a:avLst/>
                          </a:prstGeom>
                          <a:solidFill>
                            <a:srgbClr val="0E41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DB5F3D" id="Group 79" o:spid="_x0000_s1026" alt="&quot;&quot;" style="position:absolute;margin-left:-102.1pt;margin-top:-22.15pt;width:62pt;height:61.6pt;z-index:251656704" coordsize="7872,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">
                <v:rect id="Rectangle 101" o:spid="_x0000_s1027" style="position:absolute;left:179;top:130;width:7652;height:773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" fillcolor="red" stroked="f" strokeweight="1pt"/>
                <v:rect id="Rectangle 106" o:spid="_x0000_s1028" style="position:absolute;width:7732;height:7732;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" fillcolor="#0e4168" stroked="f" strokeweight="1pt"/>
              </v:group>
            </w:pict>
          </mc:Fallback>
        </mc:AlternateContent>
      </w:r>
      <w:r w:rsidR="0090207E">
        <w:rPr>
          <w:lang w:eastAsia="zh-CN"/>
        </w:rPr>
        <w:t>A</w:t>
      </w:r>
      <w:r w:rsidR="00E67D66">
        <w:rPr>
          <w:lang w:eastAsia="zh-CN"/>
        </w:rPr>
        <w:t xml:space="preserve">ppendix A </w:t>
      </w:r>
      <w:r w:rsidR="00750635">
        <w:rPr>
          <w:lang w:eastAsia="zh-CN"/>
        </w:rPr>
        <w:t>-</w:t>
      </w:r>
      <w:r w:rsidR="00E67D66">
        <w:rPr>
          <w:lang w:eastAsia="zh-CN"/>
        </w:rPr>
        <w:t xml:space="preserve"> </w:t>
      </w:r>
      <w:r w:rsidR="0090207E">
        <w:rPr>
          <w:lang w:eastAsia="zh-CN"/>
        </w:rPr>
        <w:t>Background</w:t>
      </w:r>
      <w:bookmarkEnd w:id="134"/>
      <w:r w:rsidR="00E67D66">
        <w:rPr>
          <w:lang w:eastAsia="zh-CN"/>
        </w:rPr>
        <w:t xml:space="preserve"> </w:t>
      </w:r>
    </w:p>
    <w:p w14:paraId="4AC0E19B" w14:textId="5C2911E6" w:rsidR="00791BC0" w:rsidRDefault="00791BC0" w:rsidP="00791BC0">
      <w:pPr>
        <w:pStyle w:val="Heading2"/>
        <w:rPr>
          <w:lang w:eastAsia="zh-CN"/>
        </w:rPr>
      </w:pPr>
      <w:bookmarkStart w:id="135" w:name="_Toc79056725"/>
      <w:bookmarkStart w:id="136" w:name="_Toc79071703"/>
      <w:bookmarkStart w:id="137" w:name="_Toc79071889"/>
      <w:bookmarkStart w:id="138" w:name="_Toc79154201"/>
      <w:bookmarkStart w:id="139" w:name="_Toc79154294"/>
      <w:bookmarkStart w:id="140" w:name="_Toc79154770"/>
      <w:bookmarkStart w:id="141" w:name="_Toc79570840"/>
      <w:bookmarkStart w:id="142" w:name="_Toc90456683"/>
      <w:r>
        <w:rPr>
          <w:lang w:eastAsia="zh-CN"/>
        </w:rPr>
        <w:t>Background</w:t>
      </w:r>
      <w:bookmarkEnd w:id="135"/>
      <w:bookmarkEnd w:id="136"/>
      <w:bookmarkEnd w:id="137"/>
      <w:bookmarkEnd w:id="138"/>
      <w:bookmarkEnd w:id="139"/>
      <w:bookmarkEnd w:id="140"/>
      <w:bookmarkEnd w:id="141"/>
      <w:bookmarkEnd w:id="142"/>
    </w:p>
    <w:p w14:paraId="649BC1C9" w14:textId="6997DE24" w:rsidR="00791BC0" w:rsidRPr="00A828CF" w:rsidRDefault="00791BC0" w:rsidP="00791BC0">
      <w:pPr>
        <w:pStyle w:val="BodyText"/>
        <w:jc w:val="both"/>
        <w:rPr>
          <w:rFonts w:ascii="Arial" w:hAnsi="Arial" w:cs="Arial"/>
        </w:rPr>
      </w:pPr>
      <w:r w:rsidRPr="00A828CF">
        <w:rPr>
          <w:rFonts w:ascii="Arial" w:hAnsi="Arial" w:cs="Arial"/>
        </w:rPr>
        <w:t xml:space="preserve">The NBA was established in 2003 </w:t>
      </w:r>
      <w:r w:rsidR="00852F96" w:rsidRPr="00A828CF">
        <w:rPr>
          <w:rFonts w:ascii="Arial" w:hAnsi="Arial" w:cs="Arial"/>
        </w:rPr>
        <w:t xml:space="preserve">by </w:t>
      </w:r>
      <w:r w:rsidR="00D06E44">
        <w:rPr>
          <w:rFonts w:ascii="Arial" w:hAnsi="Arial" w:cs="Arial"/>
        </w:rPr>
        <w:t>C</w:t>
      </w:r>
      <w:r w:rsidR="00852F96" w:rsidRPr="00A828CF">
        <w:rPr>
          <w:rFonts w:ascii="Arial" w:hAnsi="Arial" w:cs="Arial"/>
        </w:rPr>
        <w:t xml:space="preserve">ommonwealth legislation </w:t>
      </w:r>
      <w:r w:rsidRPr="00A828CF">
        <w:rPr>
          <w:rFonts w:ascii="Arial" w:hAnsi="Arial" w:cs="Arial"/>
        </w:rPr>
        <w:t>to carry out national blood arrangements relating to the funding, supply, distribution and management of blood products, blood related products and blood related services in Australia.</w:t>
      </w:r>
      <w:r w:rsidR="00EF19B2">
        <w:rPr>
          <w:rStyle w:val="FootnoteReference"/>
          <w:rFonts w:ascii="Arial" w:hAnsi="Arial" w:cs="Arial"/>
        </w:rPr>
        <w:footnoteReference w:id="53"/>
      </w:r>
      <w:r w:rsidRPr="00A828CF">
        <w:rPr>
          <w:rFonts w:ascii="Arial" w:hAnsi="Arial" w:cs="Arial"/>
        </w:rPr>
        <w:t xml:space="preserve"> It was also established to facilitate and fund research and policy development regarding national blood arrangements.</w:t>
      </w:r>
      <w:r w:rsidRPr="00A828CF">
        <w:rPr>
          <w:rStyle w:val="FootnoteReference"/>
          <w:rFonts w:ascii="Arial" w:hAnsi="Arial" w:cs="Arial"/>
        </w:rPr>
        <w:footnoteReference w:id="54"/>
      </w:r>
      <w:r w:rsidRPr="00A828CF">
        <w:rPr>
          <w:rStyle w:val="Footer-EvenPg-LANDSCAPEChar"/>
          <w:rFonts w:ascii="Arial" w:hAnsi="Arial" w:cs="Arial"/>
          <w:sz w:val="22"/>
        </w:rPr>
        <w:t xml:space="preserve"> </w:t>
      </w:r>
    </w:p>
    <w:p w14:paraId="46662AFD" w14:textId="32E7FE51" w:rsidR="00791BC0" w:rsidRPr="00A828CF" w:rsidRDefault="00791BC0" w:rsidP="00791BC0">
      <w:pPr>
        <w:pStyle w:val="BodyText"/>
        <w:jc w:val="both"/>
        <w:rPr>
          <w:rFonts w:ascii="Arial" w:hAnsi="Arial" w:cs="Arial"/>
        </w:rPr>
      </w:pPr>
      <w:r w:rsidRPr="00A828CF">
        <w:rPr>
          <w:rFonts w:ascii="Arial" w:hAnsi="Arial" w:cs="Arial"/>
        </w:rPr>
        <w:t xml:space="preserve">In 2013, the NBA published the 2013-16 Priorities. The 2013-16 Priorities were endorsed by the Jurisdictional Blood Committee, which was formed under the National Blood </w:t>
      </w:r>
      <w:r w:rsidR="0022571B" w:rsidRPr="00A828CF">
        <w:rPr>
          <w:rFonts w:ascii="Arial" w:hAnsi="Arial" w:cs="Arial"/>
        </w:rPr>
        <w:t xml:space="preserve">Agreement </w:t>
      </w:r>
      <w:r w:rsidR="00D10012">
        <w:rPr>
          <w:rFonts w:ascii="Arial" w:hAnsi="Arial" w:cs="Arial"/>
        </w:rPr>
        <w:t>comprising membership from</w:t>
      </w:r>
      <w:r w:rsidRPr="00A828CF">
        <w:rPr>
          <w:rFonts w:ascii="Arial" w:hAnsi="Arial" w:cs="Arial"/>
        </w:rPr>
        <w:t xml:space="preserve"> senior government officials across Australia.</w:t>
      </w:r>
      <w:r w:rsidRPr="00A828CF">
        <w:rPr>
          <w:rStyle w:val="FootnoteReference"/>
          <w:rFonts w:ascii="Arial" w:hAnsi="Arial" w:cs="Arial"/>
        </w:rPr>
        <w:footnoteReference w:id="55"/>
      </w:r>
    </w:p>
    <w:p w14:paraId="588C061F" w14:textId="1AE92452" w:rsidR="00791BC0" w:rsidRPr="00A828CF" w:rsidRDefault="00791BC0" w:rsidP="00791BC0">
      <w:pPr>
        <w:pStyle w:val="BodyText"/>
        <w:jc w:val="both"/>
        <w:rPr>
          <w:rFonts w:ascii="Arial" w:hAnsi="Arial" w:cs="Arial"/>
        </w:rPr>
      </w:pPr>
      <w:r w:rsidRPr="00A828CF">
        <w:rPr>
          <w:rFonts w:ascii="Arial" w:hAnsi="Arial" w:cs="Arial"/>
        </w:rPr>
        <w:t>The 2013-16 Priorities set out five priority areas for research and development in the blood sector. These areas included the appropriate use of blood and blood products, ensuring the adequacy and sustainability of the blood supply, reducing donor and patient adverse events, optimising health service delivery to meet patient needs and improving data collection and access across the sector. The 2013-16 Priorities were informed by the NBA</w:t>
      </w:r>
      <w:r w:rsidR="00AB52BC">
        <w:rPr>
          <w:rFonts w:ascii="Arial" w:hAnsi="Arial" w:cs="Arial"/>
        </w:rPr>
        <w:t xml:space="preserve">’s </w:t>
      </w:r>
      <w:r w:rsidR="00AB52BC" w:rsidRPr="00A10BA4">
        <w:rPr>
          <w:rFonts w:ascii="Arial" w:hAnsi="Arial" w:cs="Arial"/>
        </w:rPr>
        <w:t>work</w:t>
      </w:r>
      <w:r w:rsidRPr="00A828CF">
        <w:rPr>
          <w:rFonts w:ascii="Arial" w:hAnsi="Arial" w:cs="Arial"/>
        </w:rPr>
        <w:t xml:space="preserve"> in 2010-11 to identify information gaps in the blood sector </w:t>
      </w:r>
      <w:r>
        <w:rPr>
          <w:rFonts w:ascii="Arial" w:hAnsi="Arial" w:cs="Arial"/>
        </w:rPr>
        <w:t>as commissioned by</w:t>
      </w:r>
      <w:r w:rsidRPr="00A828CF">
        <w:rPr>
          <w:rFonts w:ascii="Arial" w:hAnsi="Arial" w:cs="Arial"/>
        </w:rPr>
        <w:t xml:space="preserve"> the then Department of Health and Ageing. </w:t>
      </w:r>
    </w:p>
    <w:p w14:paraId="0ED3C7C7" w14:textId="77777777" w:rsidR="00791BC0" w:rsidRPr="00A828CF" w:rsidRDefault="00791BC0" w:rsidP="00791BC0">
      <w:pPr>
        <w:pStyle w:val="BodyText"/>
        <w:jc w:val="both"/>
        <w:rPr>
          <w:rFonts w:ascii="Arial" w:hAnsi="Arial" w:cs="Arial"/>
        </w:rPr>
      </w:pPr>
      <w:r w:rsidRPr="00A828CF">
        <w:rPr>
          <w:rFonts w:ascii="Arial" w:hAnsi="Arial" w:cs="Arial"/>
        </w:rPr>
        <w:t>In addition to outlining the priorities, the 2013-16 Priorities document identified what was needed from the research community to address information gaps in the blood sector. For example, this included research relating to the characterisation of how blood and blood products are used in Australia and the development of strategies to increase the donor population.</w:t>
      </w:r>
    </w:p>
    <w:p w14:paraId="6DA3E213" w14:textId="3B6F7A59" w:rsidR="00791BC0" w:rsidRDefault="00791BC0" w:rsidP="00791BC0">
      <w:pPr>
        <w:pStyle w:val="BodyText"/>
        <w:jc w:val="both"/>
        <w:rPr>
          <w:rFonts w:ascii="Arial" w:hAnsi="Arial" w:cs="Arial"/>
        </w:rPr>
      </w:pPr>
      <w:r w:rsidRPr="00A828CF">
        <w:rPr>
          <w:rFonts w:ascii="Arial" w:hAnsi="Arial" w:cs="Arial"/>
        </w:rPr>
        <w:t xml:space="preserve">In </w:t>
      </w:r>
      <w:r>
        <w:rPr>
          <w:rFonts w:ascii="Arial" w:hAnsi="Arial" w:cs="Arial"/>
        </w:rPr>
        <w:t xml:space="preserve">March </w:t>
      </w:r>
      <w:r w:rsidRPr="00A828CF">
        <w:rPr>
          <w:rFonts w:ascii="Arial" w:hAnsi="Arial" w:cs="Arial"/>
        </w:rPr>
        <w:t xml:space="preserve">2021, the NBA engaged </w:t>
      </w:r>
      <w:r w:rsidRPr="00A828CF">
        <w:rPr>
          <w:rFonts w:ascii="Arial" w:hAnsi="Arial" w:cs="Arial"/>
          <w:i/>
        </w:rPr>
        <w:t>Allen + Clarke</w:t>
      </w:r>
      <w:r w:rsidR="00CB44F4">
        <w:rPr>
          <w:rFonts w:ascii="Arial" w:hAnsi="Arial" w:cs="Arial"/>
          <w:i/>
        </w:rPr>
        <w:t xml:space="preserve"> Consulting </w:t>
      </w:r>
      <w:r w:rsidR="00CB44F4">
        <w:rPr>
          <w:rFonts w:ascii="Arial" w:hAnsi="Arial" w:cs="Arial"/>
          <w:iCs/>
        </w:rPr>
        <w:t>(</w:t>
      </w:r>
      <w:r w:rsidR="00CB44F4">
        <w:rPr>
          <w:rFonts w:ascii="Arial" w:hAnsi="Arial" w:cs="Arial"/>
          <w:i/>
        </w:rPr>
        <w:t>Allen + Clarke)</w:t>
      </w:r>
      <w:r w:rsidRPr="00A828CF">
        <w:rPr>
          <w:rFonts w:ascii="Arial" w:hAnsi="Arial" w:cs="Arial"/>
          <w:i/>
        </w:rPr>
        <w:t xml:space="preserve"> </w:t>
      </w:r>
      <w:r w:rsidRPr="00A828CF">
        <w:rPr>
          <w:rFonts w:ascii="Arial" w:hAnsi="Arial" w:cs="Arial"/>
        </w:rPr>
        <w:t xml:space="preserve">to support them </w:t>
      </w:r>
      <w:r w:rsidR="005C004D">
        <w:rPr>
          <w:rFonts w:ascii="Arial" w:hAnsi="Arial" w:cs="Arial"/>
        </w:rPr>
        <w:t xml:space="preserve">in </w:t>
      </w:r>
      <w:r w:rsidRPr="00A828CF">
        <w:rPr>
          <w:rFonts w:ascii="Arial" w:hAnsi="Arial" w:cs="Arial"/>
        </w:rPr>
        <w:t>review</w:t>
      </w:r>
      <w:r w:rsidR="005C004D">
        <w:rPr>
          <w:rFonts w:ascii="Arial" w:hAnsi="Arial" w:cs="Arial"/>
        </w:rPr>
        <w:t>ing</w:t>
      </w:r>
      <w:r w:rsidRPr="00A828CF">
        <w:rPr>
          <w:rFonts w:ascii="Arial" w:hAnsi="Arial" w:cs="Arial"/>
        </w:rPr>
        <w:t xml:space="preserve"> the 2013-16 Priorities and </w:t>
      </w:r>
      <w:r>
        <w:rPr>
          <w:rFonts w:ascii="Arial" w:hAnsi="Arial" w:cs="Arial"/>
        </w:rPr>
        <w:t xml:space="preserve">to </w:t>
      </w:r>
      <w:r w:rsidRPr="00A828CF">
        <w:rPr>
          <w:rFonts w:ascii="Arial" w:hAnsi="Arial" w:cs="Arial"/>
        </w:rPr>
        <w:t>propose research and development strategic priorities for 2021-27</w:t>
      </w:r>
      <w:r>
        <w:rPr>
          <w:rFonts w:ascii="Arial" w:hAnsi="Arial" w:cs="Arial"/>
        </w:rPr>
        <w:t xml:space="preserve"> (2021-27 Priorities)</w:t>
      </w:r>
      <w:r w:rsidRPr="00A828CF">
        <w:rPr>
          <w:rFonts w:ascii="Arial" w:hAnsi="Arial" w:cs="Arial"/>
        </w:rPr>
        <w:t>.</w:t>
      </w:r>
      <w:r w:rsidR="000B189E">
        <w:rPr>
          <w:rStyle w:val="FootnoteReference"/>
          <w:rFonts w:ascii="Arial" w:hAnsi="Arial" w:cs="Arial"/>
        </w:rPr>
        <w:footnoteReference w:id="56"/>
      </w:r>
      <w:r w:rsidRPr="00A828CF">
        <w:rPr>
          <w:rFonts w:ascii="Arial" w:hAnsi="Arial" w:cs="Arial"/>
        </w:rPr>
        <w:t xml:space="preserve"> Specifically, </w:t>
      </w:r>
      <w:r w:rsidRPr="00A828CF">
        <w:rPr>
          <w:rFonts w:ascii="Arial" w:hAnsi="Arial" w:cs="Arial"/>
          <w:i/>
          <w:iCs/>
        </w:rPr>
        <w:t xml:space="preserve">Allen + Clarke </w:t>
      </w:r>
      <w:r w:rsidRPr="00A828CF">
        <w:rPr>
          <w:rFonts w:ascii="Arial" w:hAnsi="Arial" w:cs="Arial"/>
        </w:rPr>
        <w:t xml:space="preserve">was asked to undertake </w:t>
      </w:r>
      <w:r>
        <w:rPr>
          <w:rFonts w:ascii="Arial" w:hAnsi="Arial" w:cs="Arial"/>
        </w:rPr>
        <w:t>this</w:t>
      </w:r>
      <w:r w:rsidRPr="00A828CF">
        <w:rPr>
          <w:rFonts w:ascii="Arial" w:hAnsi="Arial" w:cs="Arial"/>
        </w:rPr>
        <w:t xml:space="preserve"> </w:t>
      </w:r>
      <w:r>
        <w:rPr>
          <w:rFonts w:ascii="Arial" w:hAnsi="Arial" w:cs="Arial"/>
        </w:rPr>
        <w:t xml:space="preserve">project </w:t>
      </w:r>
      <w:r w:rsidRPr="00A828CF">
        <w:rPr>
          <w:rFonts w:ascii="Arial" w:hAnsi="Arial" w:cs="Arial"/>
        </w:rPr>
        <w:t xml:space="preserve">with reference to six questions regarding </w:t>
      </w:r>
      <w:r>
        <w:rPr>
          <w:rFonts w:ascii="Arial" w:hAnsi="Arial" w:cs="Arial"/>
        </w:rPr>
        <w:t xml:space="preserve">the </w:t>
      </w:r>
      <w:r w:rsidRPr="00A828CF">
        <w:rPr>
          <w:rFonts w:ascii="Arial" w:hAnsi="Arial" w:cs="Arial"/>
        </w:rPr>
        <w:t>National Blood Research and Development Strategic Priorities</w:t>
      </w:r>
      <w:r>
        <w:rPr>
          <w:rFonts w:ascii="Arial" w:hAnsi="Arial" w:cs="Arial"/>
        </w:rPr>
        <w:t xml:space="preserve"> (</w:t>
      </w:r>
      <w:r w:rsidR="00830B5C">
        <w:rPr>
          <w:rFonts w:ascii="Arial" w:hAnsi="Arial" w:cs="Arial"/>
        </w:rPr>
        <w:t>the Review</w:t>
      </w:r>
      <w:r>
        <w:rPr>
          <w:rFonts w:ascii="Arial" w:hAnsi="Arial" w:cs="Arial"/>
        </w:rPr>
        <w:t>)</w:t>
      </w:r>
      <w:r w:rsidRPr="00A828CF">
        <w:rPr>
          <w:rFonts w:ascii="Arial" w:hAnsi="Arial" w:cs="Arial"/>
        </w:rPr>
        <w:t>. The</w:t>
      </w:r>
      <w:r>
        <w:rPr>
          <w:rFonts w:ascii="Arial" w:hAnsi="Arial" w:cs="Arial"/>
        </w:rPr>
        <w:t>se</w:t>
      </w:r>
      <w:r w:rsidR="00830B5C">
        <w:rPr>
          <w:rFonts w:ascii="Arial" w:hAnsi="Arial" w:cs="Arial"/>
        </w:rPr>
        <w:t xml:space="preserve"> </w:t>
      </w:r>
      <w:r w:rsidR="00630539">
        <w:rPr>
          <w:rFonts w:ascii="Arial" w:hAnsi="Arial" w:cs="Arial"/>
        </w:rPr>
        <w:t xml:space="preserve">Review </w:t>
      </w:r>
      <w:r>
        <w:rPr>
          <w:rFonts w:ascii="Arial" w:hAnsi="Arial" w:cs="Arial"/>
        </w:rPr>
        <w:t xml:space="preserve">questions, set out in </w:t>
      </w:r>
      <w:hyperlink w:anchor="Figure_10" w:history="1">
        <w:r w:rsidR="00A23DA2">
          <w:rPr>
            <w:rStyle w:val="Hyperlink"/>
            <w:rFonts w:ascii="Arial" w:hAnsi="Arial" w:cs="Arial"/>
            <w:color w:val="auto"/>
            <w:u w:val="none"/>
          </w:rPr>
          <w:t>F</w:t>
        </w:r>
        <w:r w:rsidR="004E2B68" w:rsidRPr="00A23DA2">
          <w:rPr>
            <w:rStyle w:val="Hyperlink"/>
            <w:rFonts w:ascii="Arial" w:hAnsi="Arial" w:cs="Arial"/>
            <w:color w:val="auto"/>
            <w:u w:val="none"/>
          </w:rPr>
          <w:t xml:space="preserve">igure </w:t>
        </w:r>
        <w:r w:rsidR="006064B8">
          <w:rPr>
            <w:rStyle w:val="Hyperlink"/>
            <w:rFonts w:ascii="Arial" w:hAnsi="Arial" w:cs="Arial"/>
            <w:color w:val="auto"/>
            <w:u w:val="none"/>
          </w:rPr>
          <w:t>12</w:t>
        </w:r>
      </w:hyperlink>
      <w:r>
        <w:rPr>
          <w:rFonts w:ascii="Arial" w:hAnsi="Arial" w:cs="Arial"/>
        </w:rPr>
        <w:t>, included questions focused on understanding the status of the 2013-16 Priorities, the context of the blood research and development sector and what should be included in the future research and development priorities.</w:t>
      </w:r>
      <w:r w:rsidR="00850646">
        <w:rPr>
          <w:rFonts w:ascii="Arial" w:hAnsi="Arial" w:cs="Arial"/>
        </w:rPr>
        <w:t xml:space="preserve"> </w:t>
      </w:r>
    </w:p>
    <w:p w14:paraId="4324E95D" w14:textId="77777777" w:rsidR="00791BC0" w:rsidRDefault="00791BC0" w:rsidP="00791BC0">
      <w:pPr>
        <w:rPr>
          <w:rFonts w:ascii="Arial" w:hAnsi="Arial" w:cs="Arial"/>
        </w:rPr>
      </w:pPr>
      <w:r>
        <w:rPr>
          <w:rFonts w:ascii="Arial" w:hAnsi="Arial" w:cs="Arial"/>
        </w:rPr>
        <w:br w:type="page"/>
      </w:r>
    </w:p>
    <w:p w14:paraId="7A19755D" w14:textId="7620D7A3" w:rsidR="00791BC0" w:rsidRPr="008C3D78" w:rsidRDefault="0046695F" w:rsidP="0046695F">
      <w:pPr>
        <w:pStyle w:val="Caption"/>
        <w:rPr>
          <w:rFonts w:ascii="Arial" w:hAnsi="Arial" w:cs="Arial"/>
        </w:rPr>
      </w:pPr>
      <w:bookmarkStart w:id="143" w:name="_Toc90462710"/>
      <w:r>
        <w:t xml:space="preserve">Figure </w:t>
      </w:r>
      <w:r>
        <w:fldChar w:fldCharType="begin"/>
      </w:r>
      <w:r>
        <w:instrText xml:space="preserve"> SEQ Figure \* ARABIC </w:instrText>
      </w:r>
      <w:r>
        <w:fldChar w:fldCharType="separate"/>
      </w:r>
      <w:r w:rsidR="00A25C74">
        <w:rPr>
          <w:noProof/>
        </w:rPr>
        <w:t>12</w:t>
      </w:r>
      <w:r>
        <w:fldChar w:fldCharType="end"/>
      </w:r>
      <w:r>
        <w:t>: National Blood Research and Development Strategic Priorities Review Questions</w:t>
      </w:r>
      <w:bookmarkEnd w:id="143"/>
    </w:p>
    <w:tbl>
      <w:tblPr>
        <w:tblStyle w:val="ListTable4-Accent1"/>
        <w:tblW w:w="0" w:type="auto"/>
        <w:tblBorders>
          <w:top w:val="none" w:sz="0" w:space="0" w:color="auto"/>
          <w:left w:val="none" w:sz="0" w:space="0" w:color="auto"/>
          <w:bottom w:val="none" w:sz="0" w:space="0" w:color="auto"/>
          <w:right w:val="none" w:sz="0" w:space="0" w:color="auto"/>
          <w:insideH w:val="none" w:sz="0" w:space="0" w:color="auto"/>
        </w:tblBorders>
        <w:tblCellMar>
          <w:top w:w="85" w:type="dxa"/>
          <w:left w:w="142" w:type="dxa"/>
          <w:bottom w:w="85" w:type="dxa"/>
          <w:right w:w="142" w:type="dxa"/>
        </w:tblCellMar>
        <w:tblLook w:val="04A0" w:firstRow="1" w:lastRow="0" w:firstColumn="1" w:lastColumn="0" w:noHBand="0" w:noVBand="1"/>
      </w:tblPr>
      <w:tblGrid>
        <w:gridCol w:w="851"/>
        <w:gridCol w:w="8175"/>
      </w:tblGrid>
      <w:tr w:rsidR="00791BC0" w14:paraId="6899C2A8" w14:textId="77777777" w:rsidTr="004459FB">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026" w:type="dxa"/>
            <w:gridSpan w:val="2"/>
            <w:vAlign w:val="center"/>
          </w:tcPr>
          <w:p w14:paraId="3DB87628" w14:textId="77777777" w:rsidR="00791BC0" w:rsidRPr="00D92910" w:rsidRDefault="00791BC0" w:rsidP="004459FB">
            <w:pPr>
              <w:pStyle w:val="BodyText"/>
              <w:spacing w:before="0" w:after="0"/>
              <w:jc w:val="center"/>
              <w:rPr>
                <w:rFonts w:ascii="Arial" w:hAnsi="Arial" w:cs="Arial"/>
                <w:szCs w:val="24"/>
              </w:rPr>
            </w:pPr>
            <w:r w:rsidRPr="00D90CBD">
              <w:rPr>
                <w:rFonts w:ascii="Arial" w:hAnsi="Arial" w:cs="Arial"/>
                <w:szCs w:val="24"/>
              </w:rPr>
              <w:t>National Blood Research and Development Strategic Priorities (review question</w:t>
            </w:r>
            <w:r>
              <w:rPr>
                <w:rFonts w:ascii="Arial" w:hAnsi="Arial" w:cs="Arial"/>
                <w:szCs w:val="24"/>
              </w:rPr>
              <w:t>s</w:t>
            </w:r>
            <w:r w:rsidRPr="00D90CBD">
              <w:rPr>
                <w:rFonts w:ascii="Arial" w:hAnsi="Arial" w:cs="Arial"/>
                <w:szCs w:val="24"/>
              </w:rPr>
              <w:t>)</w:t>
            </w:r>
          </w:p>
        </w:tc>
      </w:tr>
      <w:tr w:rsidR="00791BC0" w14:paraId="58D864C8" w14:textId="77777777" w:rsidTr="004459FB">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851" w:type="dxa"/>
          </w:tcPr>
          <w:p w14:paraId="6DCD96F9" w14:textId="053A0ACD" w:rsidR="00791BC0" w:rsidRPr="00D92910" w:rsidRDefault="00791BC0" w:rsidP="004459FB">
            <w:pPr>
              <w:pStyle w:val="BodyText"/>
              <w:rPr>
                <w:rFonts w:ascii="Arial" w:hAnsi="Arial" w:cs="Arial"/>
              </w:rPr>
            </w:pPr>
            <w:r>
              <w:rPr>
                <w:noProof/>
                <w:lang w:val="en-AU" w:eastAsia="en-AU"/>
              </w:rPr>
              <w:drawing>
                <wp:anchor distT="0" distB="0" distL="114300" distR="114300" simplePos="0" relativeHeight="251657728" behindDoc="0" locked="0" layoutInCell="1" allowOverlap="1" wp14:anchorId="6D5BB37D" wp14:editId="6BA74C66">
                  <wp:simplePos x="0" y="0"/>
                  <wp:positionH relativeFrom="column">
                    <wp:posOffset>-1270</wp:posOffset>
                  </wp:positionH>
                  <wp:positionV relativeFrom="paragraph">
                    <wp:posOffset>-2540</wp:posOffset>
                  </wp:positionV>
                  <wp:extent cx="359410" cy="359410"/>
                  <wp:effectExtent l="0" t="0" r="2540" b="2540"/>
                  <wp:wrapNone/>
                  <wp:docPr id="32" name="Graphic 3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59410" cy="359410"/>
                          </a:xfrm>
                          <a:prstGeom prst="rect">
                            <a:avLst/>
                          </a:prstGeom>
                        </pic:spPr>
                      </pic:pic>
                    </a:graphicData>
                  </a:graphic>
                </wp:anchor>
              </w:drawing>
            </w:r>
          </w:p>
        </w:tc>
        <w:tc>
          <w:tcPr>
            <w:tcW w:w="8175" w:type="dxa"/>
          </w:tcPr>
          <w:p w14:paraId="0325B689" w14:textId="77777777" w:rsidR="00791BC0" w:rsidRPr="00765AB9" w:rsidRDefault="00791BC0" w:rsidP="004459FB">
            <w:pPr>
              <w:pStyle w:val="BodyText"/>
              <w:spacing w:before="0" w:after="80"/>
              <w:ind w:left="27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79C9">
              <w:rPr>
                <w:rFonts w:ascii="Arial" w:hAnsi="Arial" w:cs="Arial"/>
                <w:sz w:val="20"/>
                <w:szCs w:val="20"/>
              </w:rPr>
              <w:t>What is the current status, and what has the progress been, against the 2013-16 Priorities?</w:t>
            </w:r>
          </w:p>
        </w:tc>
      </w:tr>
      <w:tr w:rsidR="00791BC0" w14:paraId="1A67E95B" w14:textId="77777777" w:rsidTr="004459FB">
        <w:trPr>
          <w:trHeight w:val="841"/>
        </w:trPr>
        <w:tc>
          <w:tcPr>
            <w:cnfStyle w:val="001000000000" w:firstRow="0" w:lastRow="0" w:firstColumn="1" w:lastColumn="0" w:oddVBand="0" w:evenVBand="0" w:oddHBand="0" w:evenHBand="0" w:firstRowFirstColumn="0" w:firstRowLastColumn="0" w:lastRowFirstColumn="0" w:lastRowLastColumn="0"/>
            <w:tcW w:w="851" w:type="dxa"/>
          </w:tcPr>
          <w:p w14:paraId="009F43A6" w14:textId="6D3DD470" w:rsidR="00791BC0" w:rsidRPr="00D92910" w:rsidRDefault="00791BC0" w:rsidP="004459FB">
            <w:pPr>
              <w:pStyle w:val="BodyText"/>
              <w:rPr>
                <w:rFonts w:ascii="Arial" w:hAnsi="Arial" w:cs="Arial"/>
              </w:rPr>
            </w:pPr>
            <w:r>
              <w:rPr>
                <w:noProof/>
                <w:lang w:val="en-AU" w:eastAsia="en-AU"/>
              </w:rPr>
              <w:drawing>
                <wp:anchor distT="0" distB="0" distL="114300" distR="114300" simplePos="0" relativeHeight="251658752" behindDoc="0" locked="0" layoutInCell="1" allowOverlap="1" wp14:anchorId="43FF078C" wp14:editId="47383DE4">
                  <wp:simplePos x="0" y="0"/>
                  <wp:positionH relativeFrom="column">
                    <wp:posOffset>-1270</wp:posOffset>
                  </wp:positionH>
                  <wp:positionV relativeFrom="paragraph">
                    <wp:posOffset>129129</wp:posOffset>
                  </wp:positionV>
                  <wp:extent cx="359410" cy="359410"/>
                  <wp:effectExtent l="0" t="0" r="2540" b="2540"/>
                  <wp:wrapNone/>
                  <wp:docPr id="39" name="Graphic 3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2"/>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59410" cy="359410"/>
                          </a:xfrm>
                          <a:prstGeom prst="rect">
                            <a:avLst/>
                          </a:prstGeom>
                        </pic:spPr>
                      </pic:pic>
                    </a:graphicData>
                  </a:graphic>
                </wp:anchor>
              </w:drawing>
            </w:r>
          </w:p>
        </w:tc>
        <w:tc>
          <w:tcPr>
            <w:tcW w:w="8175" w:type="dxa"/>
          </w:tcPr>
          <w:p w14:paraId="78F2EC80" w14:textId="77777777" w:rsidR="00791BC0" w:rsidRPr="00765AB9" w:rsidRDefault="00791BC0" w:rsidP="004459FB">
            <w:pPr>
              <w:pStyle w:val="BodyText"/>
              <w:spacing w:before="0" w:after="80"/>
              <w:ind w:left="275"/>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79C9">
              <w:rPr>
                <w:rFonts w:ascii="Arial" w:hAnsi="Arial" w:cs="Arial"/>
                <w:sz w:val="20"/>
                <w:szCs w:val="20"/>
              </w:rPr>
              <w:t>To what extent has the 2013 strategy been used or useful by the sector? What was or would have been realistic to expect in the period 2013 to now in terms of progress against the strategy, and its use?</w:t>
            </w:r>
          </w:p>
        </w:tc>
      </w:tr>
      <w:tr w:rsidR="00791BC0" w14:paraId="7531EA84" w14:textId="77777777" w:rsidTr="00445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F701B02" w14:textId="49C09D8D" w:rsidR="00791BC0" w:rsidRPr="00D92910" w:rsidRDefault="00791BC0" w:rsidP="004459FB">
            <w:pPr>
              <w:pStyle w:val="BodyText"/>
              <w:rPr>
                <w:rFonts w:ascii="Arial" w:hAnsi="Arial" w:cs="Arial"/>
              </w:rPr>
            </w:pPr>
            <w:r>
              <w:rPr>
                <w:noProof/>
                <w:lang w:val="en-AU" w:eastAsia="en-AU"/>
              </w:rPr>
              <w:drawing>
                <wp:anchor distT="0" distB="0" distL="114300" distR="114300" simplePos="0" relativeHeight="251659776" behindDoc="0" locked="0" layoutInCell="1" allowOverlap="1" wp14:anchorId="605127B3" wp14:editId="770BFB25">
                  <wp:simplePos x="0" y="0"/>
                  <wp:positionH relativeFrom="column">
                    <wp:posOffset>-896</wp:posOffset>
                  </wp:positionH>
                  <wp:positionV relativeFrom="paragraph">
                    <wp:posOffset>17892</wp:posOffset>
                  </wp:positionV>
                  <wp:extent cx="360000" cy="360000"/>
                  <wp:effectExtent l="0" t="0" r="2540" b="2540"/>
                  <wp:wrapNone/>
                  <wp:docPr id="55" name="Graphic 5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3"/>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60000" cy="360000"/>
                          </a:xfrm>
                          <a:prstGeom prst="rect">
                            <a:avLst/>
                          </a:prstGeom>
                        </pic:spPr>
                      </pic:pic>
                    </a:graphicData>
                  </a:graphic>
                </wp:anchor>
              </w:drawing>
            </w:r>
          </w:p>
        </w:tc>
        <w:tc>
          <w:tcPr>
            <w:tcW w:w="8175" w:type="dxa"/>
          </w:tcPr>
          <w:p w14:paraId="2AC8D220" w14:textId="77777777" w:rsidR="00791BC0" w:rsidRPr="00765AB9" w:rsidRDefault="00791BC0" w:rsidP="004459FB">
            <w:pPr>
              <w:pStyle w:val="BodyText"/>
              <w:spacing w:before="0" w:after="80"/>
              <w:ind w:left="27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79C9">
              <w:rPr>
                <w:rFonts w:ascii="Arial" w:hAnsi="Arial" w:cs="Arial"/>
                <w:sz w:val="20"/>
                <w:szCs w:val="20"/>
              </w:rPr>
              <w:t>What if any, other main items of relevance have been undertaken and achieved in the period 2013 to now, not noted in the strategy?</w:t>
            </w:r>
          </w:p>
        </w:tc>
      </w:tr>
      <w:tr w:rsidR="00791BC0" w14:paraId="3CA4338B" w14:textId="77777777" w:rsidTr="004459FB">
        <w:tc>
          <w:tcPr>
            <w:cnfStyle w:val="001000000000" w:firstRow="0" w:lastRow="0" w:firstColumn="1" w:lastColumn="0" w:oddVBand="0" w:evenVBand="0" w:oddHBand="0" w:evenHBand="0" w:firstRowFirstColumn="0" w:firstRowLastColumn="0" w:lastRowFirstColumn="0" w:lastRowLastColumn="0"/>
            <w:tcW w:w="851" w:type="dxa"/>
          </w:tcPr>
          <w:p w14:paraId="16FEC271" w14:textId="6FD5FDA6" w:rsidR="00791BC0" w:rsidRPr="00D92910" w:rsidRDefault="00791BC0" w:rsidP="004459FB">
            <w:pPr>
              <w:pStyle w:val="BodyText"/>
              <w:rPr>
                <w:rFonts w:ascii="Arial" w:hAnsi="Arial" w:cs="Arial"/>
              </w:rPr>
            </w:pPr>
            <w:r>
              <w:rPr>
                <w:noProof/>
                <w:lang w:val="en-AU" w:eastAsia="en-AU"/>
              </w:rPr>
              <w:drawing>
                <wp:anchor distT="0" distB="0" distL="114300" distR="114300" simplePos="0" relativeHeight="251660800" behindDoc="0" locked="0" layoutInCell="1" allowOverlap="1" wp14:anchorId="7E90F218" wp14:editId="72B0CF46">
                  <wp:simplePos x="0" y="0"/>
                  <wp:positionH relativeFrom="column">
                    <wp:posOffset>-1270</wp:posOffset>
                  </wp:positionH>
                  <wp:positionV relativeFrom="paragraph">
                    <wp:posOffset>13335</wp:posOffset>
                  </wp:positionV>
                  <wp:extent cx="359410" cy="359410"/>
                  <wp:effectExtent l="0" t="0" r="2540" b="2540"/>
                  <wp:wrapNone/>
                  <wp:docPr id="56" name="Graphic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c 56" descr="4"/>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tc>
        <w:tc>
          <w:tcPr>
            <w:tcW w:w="8175" w:type="dxa"/>
          </w:tcPr>
          <w:p w14:paraId="46761F86" w14:textId="77777777" w:rsidR="00791BC0" w:rsidRPr="00765AB9" w:rsidRDefault="00791BC0" w:rsidP="004459FB">
            <w:pPr>
              <w:pStyle w:val="BodyText"/>
              <w:spacing w:before="0" w:after="80"/>
              <w:ind w:left="275"/>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79C9">
              <w:rPr>
                <w:rFonts w:ascii="Arial" w:hAnsi="Arial" w:cs="Arial"/>
                <w:sz w:val="20"/>
                <w:szCs w:val="20"/>
              </w:rPr>
              <w:t xml:space="preserve">What is the relevant context of the blood </w:t>
            </w:r>
            <w:r>
              <w:rPr>
                <w:rFonts w:ascii="Arial" w:hAnsi="Arial" w:cs="Arial"/>
                <w:sz w:val="20"/>
                <w:szCs w:val="20"/>
              </w:rPr>
              <w:t>‘</w:t>
            </w:r>
            <w:r w:rsidRPr="00CE79C9">
              <w:rPr>
                <w:rFonts w:ascii="Arial" w:hAnsi="Arial" w:cs="Arial"/>
                <w:sz w:val="20"/>
                <w:szCs w:val="20"/>
              </w:rPr>
              <w:t>research and development</w:t>
            </w:r>
            <w:r>
              <w:rPr>
                <w:rFonts w:ascii="Arial" w:hAnsi="Arial" w:cs="Arial"/>
                <w:sz w:val="20"/>
                <w:szCs w:val="20"/>
              </w:rPr>
              <w:t>’</w:t>
            </w:r>
            <w:r w:rsidRPr="00CE79C9">
              <w:rPr>
                <w:rFonts w:ascii="Arial" w:hAnsi="Arial" w:cs="Arial"/>
                <w:sz w:val="20"/>
                <w:szCs w:val="20"/>
              </w:rPr>
              <w:t xml:space="preserve"> sector?</w:t>
            </w:r>
          </w:p>
        </w:tc>
      </w:tr>
      <w:tr w:rsidR="00791BC0" w14:paraId="31BD90AD" w14:textId="77777777" w:rsidTr="004459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025A2980" w14:textId="10E5A473" w:rsidR="00791BC0" w:rsidRPr="00D92910" w:rsidRDefault="00791BC0" w:rsidP="004459FB">
            <w:pPr>
              <w:pStyle w:val="BodyText"/>
              <w:rPr>
                <w:rFonts w:ascii="Arial" w:hAnsi="Arial" w:cs="Arial"/>
              </w:rPr>
            </w:pPr>
            <w:r>
              <w:rPr>
                <w:noProof/>
                <w:lang w:val="en-AU" w:eastAsia="en-AU"/>
              </w:rPr>
              <w:drawing>
                <wp:anchor distT="0" distB="0" distL="114300" distR="114300" simplePos="0" relativeHeight="251661824" behindDoc="0" locked="0" layoutInCell="1" allowOverlap="1" wp14:anchorId="552301CB" wp14:editId="2D80754E">
                  <wp:simplePos x="0" y="0"/>
                  <wp:positionH relativeFrom="column">
                    <wp:posOffset>-1270</wp:posOffset>
                  </wp:positionH>
                  <wp:positionV relativeFrom="paragraph">
                    <wp:posOffset>13335</wp:posOffset>
                  </wp:positionV>
                  <wp:extent cx="359410" cy="359410"/>
                  <wp:effectExtent l="0" t="0" r="2540" b="2540"/>
                  <wp:wrapNone/>
                  <wp:docPr id="57" name="Graphic 5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57" descr="5"/>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p>
        </w:tc>
        <w:tc>
          <w:tcPr>
            <w:tcW w:w="8175" w:type="dxa"/>
          </w:tcPr>
          <w:p w14:paraId="57F6CA59" w14:textId="77777777" w:rsidR="00791BC0" w:rsidRPr="00765AB9" w:rsidRDefault="00791BC0" w:rsidP="004459FB">
            <w:pPr>
              <w:pStyle w:val="BodyText"/>
              <w:spacing w:before="0" w:after="80"/>
              <w:ind w:left="27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E79C9">
              <w:rPr>
                <w:rFonts w:ascii="Arial" w:hAnsi="Arial" w:cs="Arial"/>
                <w:sz w:val="20"/>
                <w:szCs w:val="20"/>
              </w:rPr>
              <w:t>What should the 2021 document include and focus on?</w:t>
            </w:r>
          </w:p>
        </w:tc>
      </w:tr>
      <w:tr w:rsidR="00791BC0" w14:paraId="6FD22ED6" w14:textId="77777777" w:rsidTr="004459FB">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tcPr>
          <w:p w14:paraId="50640D3F" w14:textId="56D6F2A2" w:rsidR="00791BC0" w:rsidRDefault="00791BC0" w:rsidP="004459FB">
            <w:pPr>
              <w:pStyle w:val="BodyText"/>
              <w:rPr>
                <w:noProof/>
              </w:rPr>
            </w:pPr>
            <w:r>
              <w:rPr>
                <w:noProof/>
                <w:lang w:val="en-AU" w:eastAsia="en-AU"/>
              </w:rPr>
              <w:drawing>
                <wp:anchor distT="0" distB="0" distL="114300" distR="114300" simplePos="0" relativeHeight="251662848" behindDoc="0" locked="0" layoutInCell="1" allowOverlap="1" wp14:anchorId="576BADFB" wp14:editId="1B31CFA9">
                  <wp:simplePos x="0" y="0"/>
                  <wp:positionH relativeFrom="column">
                    <wp:posOffset>-635</wp:posOffset>
                  </wp:positionH>
                  <wp:positionV relativeFrom="paragraph">
                    <wp:posOffset>38735</wp:posOffset>
                  </wp:positionV>
                  <wp:extent cx="359410" cy="359410"/>
                  <wp:effectExtent l="0" t="0" r="2540" b="2540"/>
                  <wp:wrapNone/>
                  <wp:docPr id="58" name="Graphic 5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6"/>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59410" cy="359410"/>
                          </a:xfrm>
                          <a:prstGeom prst="rect">
                            <a:avLst/>
                          </a:prstGeom>
                        </pic:spPr>
                      </pic:pic>
                    </a:graphicData>
                  </a:graphic>
                </wp:anchor>
              </w:drawing>
            </w:r>
          </w:p>
        </w:tc>
        <w:tc>
          <w:tcPr>
            <w:tcW w:w="8175" w:type="dxa"/>
            <w:tcBorders>
              <w:bottom w:val="single" w:sz="4" w:space="0" w:color="auto"/>
            </w:tcBorders>
          </w:tcPr>
          <w:p w14:paraId="295CFFE8" w14:textId="77777777" w:rsidR="00791BC0" w:rsidRPr="00CE79C9" w:rsidRDefault="00791BC0" w:rsidP="004459FB">
            <w:pPr>
              <w:pStyle w:val="BodyText"/>
              <w:spacing w:before="0" w:after="80"/>
              <w:ind w:left="27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E79C9">
              <w:rPr>
                <w:rFonts w:ascii="Arial" w:hAnsi="Arial" w:cs="Arial"/>
                <w:sz w:val="20"/>
                <w:szCs w:val="20"/>
              </w:rPr>
              <w:t>What can usefully and pragmatically be put in place in 2021 to enable monitoring of progress in relation to the new version?</w:t>
            </w:r>
          </w:p>
        </w:tc>
      </w:tr>
    </w:tbl>
    <w:p w14:paraId="017C73CA" w14:textId="77777777" w:rsidR="008F01FA" w:rsidRDefault="008F01FA">
      <w:pPr>
        <w:rPr>
          <w:rFonts w:asciiTheme="majorHAnsi" w:hAnsiTheme="majorHAnsi"/>
          <w:b/>
          <w:caps/>
          <w:color w:val="36424A" w:themeColor="text2"/>
          <w:sz w:val="28"/>
          <w:lang w:eastAsia="zh-CN"/>
        </w:rPr>
      </w:pPr>
      <w:r>
        <w:rPr>
          <w:lang w:eastAsia="zh-CN"/>
        </w:rPr>
        <w:br w:type="page"/>
      </w:r>
    </w:p>
    <w:p w14:paraId="1E72B898" w14:textId="50D0F064" w:rsidR="008F01FA" w:rsidRPr="00275136" w:rsidRDefault="00315696" w:rsidP="008F01FA">
      <w:pPr>
        <w:pStyle w:val="Heading1"/>
        <w:rPr>
          <w:lang w:eastAsia="zh-CN"/>
        </w:rPr>
      </w:pPr>
      <w:bookmarkStart w:id="144" w:name="_Appendix_B_-"/>
      <w:bookmarkStart w:id="145" w:name="_Toc90456684"/>
      <w:bookmarkEnd w:id="144"/>
      <w:r>
        <w:rPr>
          <w:rFonts w:cs="Times New Roman"/>
          <w:noProof/>
          <w:color w:val="000000"/>
          <w:lang w:val="en-AU" w:eastAsia="en-AU"/>
        </w:rPr>
        <mc:AlternateContent>
          <mc:Choice Requires="wpg">
            <w:drawing>
              <wp:anchor distT="0" distB="0" distL="114300" distR="114300" simplePos="0" relativeHeight="251663872" behindDoc="0" locked="0" layoutInCell="1" allowOverlap="1" wp14:anchorId="3E6639CB" wp14:editId="1C581E30">
                <wp:simplePos x="0" y="0"/>
                <wp:positionH relativeFrom="column">
                  <wp:posOffset>-1322705</wp:posOffset>
                </wp:positionH>
                <wp:positionV relativeFrom="paragraph">
                  <wp:posOffset>-298450</wp:posOffset>
                </wp:positionV>
                <wp:extent cx="787222" cy="782411"/>
                <wp:effectExtent l="171450" t="171450" r="165735" b="170180"/>
                <wp:wrapNone/>
                <wp:docPr id="59" name="Group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7222" cy="782411"/>
                          <a:chOff x="0" y="0"/>
                          <a:chExt cx="787222" cy="782411"/>
                        </a:xfrm>
                      </wpg:grpSpPr>
                      <wps:wsp>
                        <wps:cNvPr id="60" name="Rectangle 60"/>
                        <wps:cNvSpPr/>
                        <wps:spPr>
                          <a:xfrm rot="2700000">
                            <a:off x="17941" y="13131"/>
                            <a:ext cx="765125" cy="77343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rot="2700000">
                            <a:off x="0" y="0"/>
                            <a:ext cx="773289" cy="773289"/>
                          </a:xfrm>
                          <a:prstGeom prst="rect">
                            <a:avLst/>
                          </a:prstGeom>
                          <a:solidFill>
                            <a:srgbClr val="0E41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E6AEA9" id="Group 59" o:spid="_x0000_s1026" alt="&quot;&quot;" style="position:absolute;margin-left:-104.15pt;margin-top:-23.5pt;width:62pt;height:61.6pt;z-index:251663872" coordsize="7872,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">
                <v:rect id="Rectangle 60" o:spid="_x0000_s1027" style="position:absolute;left:179;top:130;width:7652;height:773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" fillcolor="red" stroked="f" strokeweight="1pt"/>
                <v:rect id="Rectangle 61" o:spid="_x0000_s1028" style="position:absolute;width:7732;height:7732;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" fillcolor="#0e4168" stroked="f" strokeweight="1pt"/>
              </v:group>
            </w:pict>
          </mc:Fallback>
        </mc:AlternateContent>
      </w:r>
      <w:r w:rsidR="0090207E">
        <w:rPr>
          <w:lang w:eastAsia="zh-CN"/>
        </w:rPr>
        <w:t>A</w:t>
      </w:r>
      <w:r w:rsidR="008F01FA">
        <w:rPr>
          <w:lang w:eastAsia="zh-CN"/>
        </w:rPr>
        <w:t xml:space="preserve">ppendix B </w:t>
      </w:r>
      <w:r w:rsidR="00750635">
        <w:rPr>
          <w:lang w:eastAsia="zh-CN"/>
        </w:rPr>
        <w:t xml:space="preserve">- </w:t>
      </w:r>
      <w:r w:rsidR="0090207E">
        <w:rPr>
          <w:lang w:eastAsia="zh-CN"/>
        </w:rPr>
        <w:t>M</w:t>
      </w:r>
      <w:r w:rsidR="008F01FA">
        <w:rPr>
          <w:lang w:eastAsia="zh-CN"/>
        </w:rPr>
        <w:t>ethodology</w:t>
      </w:r>
      <w:bookmarkEnd w:id="145"/>
    </w:p>
    <w:p w14:paraId="2CEEDD5A" w14:textId="0EB1196B" w:rsidR="007D2110" w:rsidRDefault="007D2110" w:rsidP="0073198B">
      <w:pPr>
        <w:pStyle w:val="Heading2"/>
        <w:spacing w:before="120" w:line="280" w:lineRule="exact"/>
        <w:rPr>
          <w:lang w:eastAsia="zh-CN"/>
        </w:rPr>
      </w:pPr>
      <w:bookmarkStart w:id="146" w:name="_Toc79056727"/>
      <w:bookmarkStart w:id="147" w:name="_Toc79071891"/>
      <w:bookmarkStart w:id="148" w:name="_Toc79154203"/>
      <w:bookmarkStart w:id="149" w:name="_Toc79154296"/>
      <w:bookmarkStart w:id="150" w:name="_Toc79154772"/>
      <w:bookmarkStart w:id="151" w:name="_Toc79570842"/>
      <w:bookmarkStart w:id="152" w:name="_Toc90456685"/>
      <w:r>
        <w:rPr>
          <w:lang w:eastAsia="zh-CN"/>
        </w:rPr>
        <w:t>Methodology</w:t>
      </w:r>
      <w:bookmarkEnd w:id="146"/>
      <w:bookmarkEnd w:id="147"/>
      <w:bookmarkEnd w:id="148"/>
      <w:bookmarkEnd w:id="149"/>
      <w:bookmarkEnd w:id="150"/>
      <w:bookmarkEnd w:id="151"/>
      <w:bookmarkEnd w:id="152"/>
      <w:r w:rsidRPr="006312B9">
        <w:rPr>
          <w:noProof/>
        </w:rPr>
        <w:t xml:space="preserve"> </w:t>
      </w:r>
    </w:p>
    <w:p w14:paraId="5788E3A0" w14:textId="6C1B4328" w:rsidR="006271D4" w:rsidRPr="008F7CD7" w:rsidRDefault="007D2110">
      <w:pPr>
        <w:pStyle w:val="BodyText"/>
        <w:jc w:val="both"/>
        <w:rPr>
          <w:rFonts w:ascii="Arial" w:hAnsi="Arial" w:cs="Arial"/>
        </w:rPr>
      </w:pPr>
      <w:r w:rsidRPr="008F7CD7">
        <w:rPr>
          <w:rFonts w:ascii="Arial" w:hAnsi="Arial" w:cs="Arial"/>
        </w:rPr>
        <w:t xml:space="preserve">The Review </w:t>
      </w:r>
      <w:r>
        <w:rPr>
          <w:rFonts w:ascii="Arial" w:hAnsi="Arial" w:cs="Arial"/>
        </w:rPr>
        <w:t>sought to answer</w:t>
      </w:r>
      <w:r w:rsidRPr="008F7CD7">
        <w:rPr>
          <w:rFonts w:ascii="Arial" w:hAnsi="Arial" w:cs="Arial"/>
        </w:rPr>
        <w:t xml:space="preserve"> the Review questions by undertaking consultation with the blood sector, undertaking a document review, and scanning blood sector research and development strategic frameworks in international jurisdictions, including </w:t>
      </w:r>
      <w:r w:rsidRPr="000F36FD">
        <w:rPr>
          <w:rFonts w:ascii="Arial" w:hAnsi="Arial" w:cs="Arial"/>
          <w:lang w:val="en-AU"/>
        </w:rPr>
        <w:t>New Zealand, Canada, United Kingdom, Germany, and the Netherlands</w:t>
      </w:r>
      <w:r w:rsidRPr="008F7CD7" w:rsidDel="00CA3D06">
        <w:rPr>
          <w:rFonts w:ascii="Arial" w:hAnsi="Arial" w:cs="Arial"/>
        </w:rPr>
        <w:t>.</w:t>
      </w:r>
      <w:r w:rsidRPr="0077009B">
        <w:rPr>
          <w:noProof/>
        </w:rPr>
        <w:t xml:space="preserve"> </w:t>
      </w:r>
    </w:p>
    <w:p w14:paraId="5FC3A118" w14:textId="77777777" w:rsidR="007D2110" w:rsidRDefault="007D2110" w:rsidP="0073198B">
      <w:pPr>
        <w:pStyle w:val="Heading2"/>
        <w:spacing w:before="120" w:line="280" w:lineRule="exact"/>
      </w:pPr>
      <w:bookmarkStart w:id="153" w:name="_Toc79056728"/>
      <w:bookmarkStart w:id="154" w:name="_Toc79071706"/>
      <w:bookmarkStart w:id="155" w:name="_Toc79071892"/>
      <w:bookmarkStart w:id="156" w:name="_Toc79154204"/>
      <w:bookmarkStart w:id="157" w:name="_Toc79154297"/>
      <w:bookmarkStart w:id="158" w:name="_Toc79154773"/>
      <w:bookmarkStart w:id="159" w:name="_Toc79570843"/>
      <w:bookmarkStart w:id="160" w:name="_Toc90456686"/>
      <w:r>
        <w:t>Consultation</w:t>
      </w:r>
      <w:bookmarkEnd w:id="153"/>
      <w:bookmarkEnd w:id="154"/>
      <w:bookmarkEnd w:id="155"/>
      <w:bookmarkEnd w:id="156"/>
      <w:bookmarkEnd w:id="157"/>
      <w:bookmarkEnd w:id="158"/>
      <w:bookmarkEnd w:id="159"/>
      <w:bookmarkEnd w:id="160"/>
    </w:p>
    <w:p w14:paraId="6F081060" w14:textId="2DF393C9" w:rsidR="007D2110" w:rsidRPr="008F7CD7" w:rsidRDefault="007D2110" w:rsidP="004527B7">
      <w:pPr>
        <w:pStyle w:val="BodyText"/>
        <w:jc w:val="both"/>
        <w:rPr>
          <w:rFonts w:ascii="Arial" w:hAnsi="Arial" w:cs="Arial"/>
        </w:rPr>
      </w:pPr>
      <w:r w:rsidRPr="008F7CD7">
        <w:rPr>
          <w:rFonts w:ascii="Arial" w:hAnsi="Arial" w:cs="Arial"/>
        </w:rPr>
        <w:t xml:space="preserve">The Review implemented a multi-faceted consultation program seeking to understand Australia’s blood sector views on the existing 2013-16 Priorities and their views on future </w:t>
      </w:r>
      <w:r w:rsidR="006D1868">
        <w:rPr>
          <w:rFonts w:ascii="Arial" w:hAnsi="Arial" w:cs="Arial"/>
        </w:rPr>
        <w:br w:type="textWrapping" w:clear="all"/>
      </w:r>
      <w:r w:rsidRPr="008F7CD7">
        <w:rPr>
          <w:rFonts w:ascii="Arial" w:hAnsi="Arial" w:cs="Arial"/>
        </w:rPr>
        <w:t>2021-27 Priorities.</w:t>
      </w:r>
    </w:p>
    <w:p w14:paraId="236919FA" w14:textId="77777777" w:rsidR="007D2110" w:rsidRDefault="007D2110">
      <w:pPr>
        <w:pStyle w:val="BodyText"/>
        <w:jc w:val="both"/>
      </w:pPr>
      <w:r w:rsidRPr="008F7CD7">
        <w:rPr>
          <w:rFonts w:ascii="Arial" w:hAnsi="Arial" w:cs="Arial"/>
        </w:rPr>
        <w:t xml:space="preserve">The Review consulted </w:t>
      </w:r>
      <w:r>
        <w:rPr>
          <w:rFonts w:ascii="Arial" w:hAnsi="Arial" w:cs="Arial"/>
        </w:rPr>
        <w:t xml:space="preserve">internal and external </w:t>
      </w:r>
      <w:r w:rsidRPr="008F7CD7">
        <w:rPr>
          <w:rFonts w:ascii="Arial" w:hAnsi="Arial" w:cs="Arial"/>
        </w:rPr>
        <w:t xml:space="preserve">stakeholders in three different ways – </w:t>
      </w:r>
      <w:r>
        <w:rPr>
          <w:rFonts w:ascii="Arial" w:hAnsi="Arial" w:cs="Arial"/>
        </w:rPr>
        <w:t>through</w:t>
      </w:r>
      <w:r w:rsidRPr="008F7CD7">
        <w:rPr>
          <w:rFonts w:ascii="Arial" w:hAnsi="Arial" w:cs="Arial"/>
        </w:rPr>
        <w:t xml:space="preserve"> interviews, workshops, and a questionnaire</w:t>
      </w:r>
      <w:r>
        <w:t>.</w:t>
      </w:r>
    </w:p>
    <w:p w14:paraId="12166344" w14:textId="77777777" w:rsidR="007D2110" w:rsidRDefault="007D2110" w:rsidP="0073198B">
      <w:pPr>
        <w:pStyle w:val="Heading3"/>
        <w:spacing w:before="120"/>
        <w:jc w:val="both"/>
      </w:pPr>
      <w:bookmarkStart w:id="161" w:name="_Toc79056729"/>
      <w:bookmarkStart w:id="162" w:name="_Toc79071707"/>
      <w:bookmarkStart w:id="163" w:name="_Toc79071893"/>
      <w:bookmarkStart w:id="164" w:name="_Toc79154205"/>
      <w:bookmarkStart w:id="165" w:name="_Toc79154298"/>
      <w:bookmarkStart w:id="166" w:name="_Toc79154774"/>
      <w:bookmarkStart w:id="167" w:name="_Toc79570844"/>
      <w:bookmarkStart w:id="168" w:name="_Toc90456687"/>
      <w:r>
        <w:t>Interviews</w:t>
      </w:r>
      <w:bookmarkEnd w:id="161"/>
      <w:bookmarkEnd w:id="162"/>
      <w:bookmarkEnd w:id="163"/>
      <w:bookmarkEnd w:id="164"/>
      <w:bookmarkEnd w:id="165"/>
      <w:bookmarkEnd w:id="166"/>
      <w:bookmarkEnd w:id="167"/>
      <w:bookmarkEnd w:id="168"/>
    </w:p>
    <w:p w14:paraId="7FEADA34" w14:textId="6CEC4852" w:rsidR="007D2110" w:rsidRPr="008F7CD7" w:rsidRDefault="007D2110" w:rsidP="004527B7">
      <w:pPr>
        <w:pStyle w:val="BodyText"/>
        <w:jc w:val="both"/>
        <w:rPr>
          <w:rFonts w:ascii="Arial" w:hAnsi="Arial" w:cs="Arial"/>
        </w:rPr>
      </w:pPr>
      <w:r w:rsidRPr="008F7CD7">
        <w:rPr>
          <w:rFonts w:ascii="Arial" w:hAnsi="Arial" w:cs="Arial"/>
        </w:rPr>
        <w:t>The Review conducted 11 interviews with key stakeholders, including with senior staff from the NBA, national research and operational organisations</w:t>
      </w:r>
      <w:r>
        <w:rPr>
          <w:rFonts w:ascii="Arial" w:hAnsi="Arial" w:cs="Arial"/>
        </w:rPr>
        <w:t xml:space="preserve">, consumer advocates, </w:t>
      </w:r>
      <w:r w:rsidR="007504FD">
        <w:rPr>
          <w:rFonts w:ascii="Arial" w:hAnsi="Arial" w:cs="Arial"/>
        </w:rPr>
        <w:t>researchers,</w:t>
      </w:r>
      <w:r>
        <w:rPr>
          <w:rFonts w:ascii="Arial" w:hAnsi="Arial" w:cs="Arial"/>
        </w:rPr>
        <w:t xml:space="preserve"> and clinicians</w:t>
      </w:r>
      <w:r w:rsidRPr="008F7CD7">
        <w:rPr>
          <w:rFonts w:ascii="Arial" w:hAnsi="Arial" w:cs="Arial"/>
        </w:rPr>
        <w:t xml:space="preserve">. </w:t>
      </w:r>
    </w:p>
    <w:p w14:paraId="6FC1E710" w14:textId="4BA66BFA" w:rsidR="007D2110" w:rsidRPr="008F7CD7" w:rsidRDefault="007D2110">
      <w:pPr>
        <w:pStyle w:val="BodyText"/>
        <w:jc w:val="both"/>
        <w:rPr>
          <w:rFonts w:ascii="Arial" w:hAnsi="Arial" w:cs="Arial"/>
        </w:rPr>
      </w:pPr>
      <w:r w:rsidRPr="008F7CD7">
        <w:rPr>
          <w:rFonts w:ascii="Arial" w:hAnsi="Arial" w:cs="Arial"/>
        </w:rPr>
        <w:t xml:space="preserve">The Review asked interviewees questions on what research and development areas Australia’s blood sector should focus on in 2021-27. Interviewees were also asked whether there should be a focus on specific population groups, to what extent COVID-19 has or is likely to affect blood research and development in Australia and how the NBA should approach assessing the blood sector’s performance against the </w:t>
      </w:r>
      <w:r w:rsidR="00A500E5">
        <w:rPr>
          <w:rFonts w:ascii="Arial" w:hAnsi="Arial" w:cs="Arial"/>
        </w:rPr>
        <w:t>future priorities</w:t>
      </w:r>
      <w:r w:rsidRPr="008F7CD7">
        <w:rPr>
          <w:rFonts w:ascii="Arial" w:hAnsi="Arial" w:cs="Arial"/>
        </w:rPr>
        <w:t>.</w:t>
      </w:r>
    </w:p>
    <w:p w14:paraId="7CCA397C" w14:textId="77777777" w:rsidR="007D2110" w:rsidRDefault="007D2110" w:rsidP="0073198B">
      <w:pPr>
        <w:pStyle w:val="Heading3"/>
        <w:spacing w:before="120"/>
        <w:jc w:val="both"/>
      </w:pPr>
      <w:bookmarkStart w:id="169" w:name="_Toc79056730"/>
      <w:bookmarkStart w:id="170" w:name="_Toc79071708"/>
      <w:bookmarkStart w:id="171" w:name="_Toc79071894"/>
      <w:bookmarkStart w:id="172" w:name="_Toc79154206"/>
      <w:bookmarkStart w:id="173" w:name="_Toc79154299"/>
      <w:bookmarkStart w:id="174" w:name="_Toc79154775"/>
      <w:bookmarkStart w:id="175" w:name="_Toc79570845"/>
      <w:bookmarkStart w:id="176" w:name="_Toc90456688"/>
      <w:r>
        <w:t>Workshops</w:t>
      </w:r>
      <w:bookmarkEnd w:id="169"/>
      <w:bookmarkEnd w:id="170"/>
      <w:bookmarkEnd w:id="171"/>
      <w:bookmarkEnd w:id="172"/>
      <w:bookmarkEnd w:id="173"/>
      <w:bookmarkEnd w:id="174"/>
      <w:bookmarkEnd w:id="175"/>
      <w:bookmarkEnd w:id="176"/>
    </w:p>
    <w:p w14:paraId="750C40CE" w14:textId="7A6D1701" w:rsidR="007D2110" w:rsidRDefault="007D2110" w:rsidP="004527B7">
      <w:pPr>
        <w:pStyle w:val="BodyText"/>
        <w:jc w:val="both"/>
        <w:rPr>
          <w:rFonts w:ascii="Arial" w:hAnsi="Arial" w:cs="Arial"/>
        </w:rPr>
      </w:pPr>
      <w:r w:rsidRPr="008F7CD7">
        <w:rPr>
          <w:rFonts w:ascii="Arial" w:hAnsi="Arial" w:cs="Arial"/>
        </w:rPr>
        <w:t>The Review held six workshops, including with senior staff from the NBA, NBA board members and members</w:t>
      </w:r>
      <w:r>
        <w:rPr>
          <w:rFonts w:ascii="Arial" w:hAnsi="Arial" w:cs="Arial"/>
        </w:rPr>
        <w:t xml:space="preserve"> of the </w:t>
      </w:r>
      <w:r w:rsidRPr="008F7CD7">
        <w:rPr>
          <w:rFonts w:ascii="Arial" w:hAnsi="Arial" w:cs="Arial"/>
        </w:rPr>
        <w:t>National Immunoglobulin Governance Advisory Committee (and its Specialist Working Groups), Patient Blood Management Advisory Committee</w:t>
      </w:r>
      <w:r>
        <w:rPr>
          <w:rFonts w:ascii="Arial" w:hAnsi="Arial" w:cs="Arial"/>
        </w:rPr>
        <w:t xml:space="preserve">, </w:t>
      </w:r>
      <w:r w:rsidRPr="008F7CD7">
        <w:rPr>
          <w:rFonts w:ascii="Arial" w:hAnsi="Arial" w:cs="Arial"/>
        </w:rPr>
        <w:t>Haemovigiliance Advisory Committee</w:t>
      </w:r>
      <w:r w:rsidRPr="00E921B1">
        <w:rPr>
          <w:rFonts w:ascii="Arial" w:hAnsi="Arial" w:cs="Arial"/>
        </w:rPr>
        <w:t xml:space="preserve"> </w:t>
      </w:r>
      <w:r>
        <w:rPr>
          <w:rFonts w:ascii="Arial" w:hAnsi="Arial" w:cs="Arial"/>
        </w:rPr>
        <w:t xml:space="preserve">and the </w:t>
      </w:r>
      <w:r w:rsidRPr="008F7CD7">
        <w:rPr>
          <w:rFonts w:ascii="Arial" w:hAnsi="Arial" w:cs="Arial"/>
        </w:rPr>
        <w:t>NBA’s 2020 Research and Development Program Expert Review Panel</w:t>
      </w:r>
      <w:r>
        <w:rPr>
          <w:rFonts w:ascii="Arial" w:hAnsi="Arial" w:cs="Arial"/>
        </w:rPr>
        <w:t xml:space="preserve">. A summary of these committees and panels are set out </w:t>
      </w:r>
      <w:r w:rsidR="00BC4C01">
        <w:rPr>
          <w:rFonts w:ascii="Arial" w:hAnsi="Arial" w:cs="Arial"/>
        </w:rPr>
        <w:t>in Figure</w:t>
      </w:r>
      <w:r w:rsidR="00FA32DA">
        <w:rPr>
          <w:rFonts w:ascii="Arial" w:hAnsi="Arial" w:cs="Arial"/>
        </w:rPr>
        <w:t xml:space="preserve"> 13</w:t>
      </w:r>
      <w:r>
        <w:rPr>
          <w:rFonts w:ascii="Arial" w:hAnsi="Arial" w:cs="Arial"/>
        </w:rPr>
        <w:t>.</w:t>
      </w:r>
    </w:p>
    <w:p w14:paraId="721F1B4A" w14:textId="77777777" w:rsidR="007D2110" w:rsidRDefault="007D2110" w:rsidP="007D2110">
      <w:pPr>
        <w:rPr>
          <w:rFonts w:ascii="Arial" w:hAnsi="Arial" w:cs="Arial"/>
        </w:rPr>
      </w:pPr>
      <w:r>
        <w:rPr>
          <w:rFonts w:ascii="Arial" w:hAnsi="Arial" w:cs="Arial"/>
        </w:rPr>
        <w:br w:type="page"/>
      </w:r>
    </w:p>
    <w:p w14:paraId="2E66DAD9" w14:textId="62D162A3" w:rsidR="007D2110" w:rsidRDefault="00FA32DA" w:rsidP="00FA32DA">
      <w:pPr>
        <w:pStyle w:val="Caption"/>
        <w:rPr>
          <w:rFonts w:ascii="Arial" w:hAnsi="Arial" w:cs="Arial"/>
        </w:rPr>
      </w:pPr>
      <w:r>
        <w:t xml:space="preserve"> </w:t>
      </w:r>
      <w:bookmarkStart w:id="177" w:name="_Toc90462711"/>
      <w:r>
        <w:t xml:space="preserve">Figure </w:t>
      </w:r>
      <w:r>
        <w:fldChar w:fldCharType="begin"/>
      </w:r>
      <w:r>
        <w:instrText xml:space="preserve"> SEQ Figure \* ARABIC </w:instrText>
      </w:r>
      <w:r>
        <w:fldChar w:fldCharType="separate"/>
      </w:r>
      <w:r w:rsidR="00A25C74">
        <w:rPr>
          <w:noProof/>
        </w:rPr>
        <w:t>13</w:t>
      </w:r>
      <w:r>
        <w:fldChar w:fldCharType="end"/>
      </w:r>
      <w:r>
        <w:t xml:space="preserve">: </w:t>
      </w:r>
      <w:r w:rsidRPr="00C75885">
        <w:t>Committees engaged during the Review</w:t>
      </w:r>
      <w:bookmarkEnd w:id="177"/>
    </w:p>
    <w:p w14:paraId="3AE67F23" w14:textId="77777777" w:rsidR="007D2110" w:rsidRPr="00087B72" w:rsidRDefault="007D2110" w:rsidP="00087B72">
      <w:pPr>
        <w:pStyle w:val="ListParagraph"/>
        <w:numPr>
          <w:ilvl w:val="0"/>
          <w:numId w:val="89"/>
        </w:numPr>
        <w:pBdr>
          <w:top w:val="single" w:sz="12" w:space="1" w:color="5B8DFB"/>
          <w:left w:val="single" w:sz="12" w:space="4" w:color="5B8DFB"/>
          <w:bottom w:val="single" w:sz="12" w:space="1" w:color="5B8DFB"/>
          <w:right w:val="single" w:sz="12" w:space="4" w:color="5B8DFB"/>
        </w:pBdr>
        <w:ind w:right="566"/>
        <w:rPr>
          <w:rFonts w:ascii="Arial" w:hAnsi="Arial" w:cs="Arial"/>
        </w:rPr>
      </w:pPr>
      <w:r w:rsidRPr="00087B72">
        <w:rPr>
          <w:rFonts w:ascii="Arial" w:hAnsi="Arial" w:cs="Arial"/>
        </w:rPr>
        <w:t>The National Immunoglobulin Governance Advisory Committee and its Specialist Working Groups are appointed by the NBA. The National Immunoglobulin Governance Advisory Committee is responsible for providing advice and making recommendations to the NBA to support the Immunoglobulin Governance Program. This includes advice to ensure Immunoglobulin product use and management promotes appropriate clinical practice and government expenditure</w:t>
      </w:r>
    </w:p>
    <w:p w14:paraId="37A8466B" w14:textId="77777777" w:rsidR="007D2110" w:rsidRPr="00087B72" w:rsidRDefault="007D2110" w:rsidP="00087B72">
      <w:pPr>
        <w:pStyle w:val="ListParagraph"/>
        <w:numPr>
          <w:ilvl w:val="0"/>
          <w:numId w:val="89"/>
        </w:numPr>
        <w:pBdr>
          <w:top w:val="single" w:sz="12" w:space="1" w:color="5B8DFB"/>
          <w:left w:val="single" w:sz="12" w:space="4" w:color="5B8DFB"/>
          <w:bottom w:val="single" w:sz="12" w:space="1" w:color="5B8DFB"/>
          <w:right w:val="single" w:sz="12" w:space="4" w:color="5B8DFB"/>
        </w:pBdr>
        <w:ind w:right="566"/>
        <w:rPr>
          <w:rFonts w:ascii="Arial" w:hAnsi="Arial" w:cs="Arial"/>
        </w:rPr>
      </w:pPr>
      <w:r w:rsidRPr="00087B72">
        <w:rPr>
          <w:rFonts w:ascii="Arial" w:hAnsi="Arial" w:cs="Arial"/>
        </w:rPr>
        <w:t>The Patient Blood Management Advisory Committee and Haemovigilance Advisory Committee are also NBA committees. The Patient Blood Management Advisory Committee is responsible for providing advice and guidance to the NBA regarding the implementation of PBM in Australia, particularly regarding the NBA’s responsibilities specified in legislation and government agreement.</w:t>
      </w:r>
      <w:r w:rsidRPr="004527B7">
        <w:rPr>
          <w:rStyle w:val="FootnoteReference"/>
          <w:rFonts w:ascii="Arial" w:hAnsi="Arial" w:cs="Arial"/>
        </w:rPr>
        <w:footnoteReference w:id="57"/>
      </w:r>
      <w:r w:rsidRPr="00FA32DA">
        <w:rPr>
          <w:rStyle w:val="FootnoteReference"/>
          <w:rFonts w:ascii="Arial" w:hAnsi="Arial" w:cs="Arial"/>
        </w:rPr>
        <w:t xml:space="preserve"> </w:t>
      </w:r>
    </w:p>
    <w:p w14:paraId="4DA25581" w14:textId="77777777" w:rsidR="007D2110" w:rsidRPr="00087B72" w:rsidRDefault="007D2110" w:rsidP="00087B72">
      <w:pPr>
        <w:pStyle w:val="ListParagraph"/>
        <w:numPr>
          <w:ilvl w:val="0"/>
          <w:numId w:val="89"/>
        </w:numPr>
        <w:pBdr>
          <w:top w:val="single" w:sz="12" w:space="1" w:color="5B8DFB"/>
          <w:left w:val="single" w:sz="12" w:space="4" w:color="5B8DFB"/>
          <w:bottom w:val="single" w:sz="12" w:space="1" w:color="5B8DFB"/>
          <w:right w:val="single" w:sz="12" w:space="4" w:color="5B8DFB"/>
        </w:pBdr>
        <w:ind w:right="566"/>
        <w:rPr>
          <w:rFonts w:ascii="Arial" w:hAnsi="Arial" w:cs="Arial"/>
        </w:rPr>
      </w:pPr>
      <w:r w:rsidRPr="00087B72">
        <w:rPr>
          <w:rFonts w:ascii="Arial" w:hAnsi="Arial" w:cs="Arial"/>
        </w:rPr>
        <w:t>The Haemovigilance Advisory Committee provides advice to the NBA on adverse event reporting from health service organisations and transfusion safety priorities.</w:t>
      </w:r>
      <w:r w:rsidRPr="004527B7">
        <w:rPr>
          <w:rStyle w:val="FootnoteReference"/>
          <w:rFonts w:ascii="Arial" w:hAnsi="Arial" w:cs="Arial"/>
        </w:rPr>
        <w:footnoteReference w:id="58"/>
      </w:r>
      <w:r w:rsidRPr="0073198B">
        <w:rPr>
          <w:rStyle w:val="FootnoteReference"/>
        </w:rPr>
        <w:t xml:space="preserve"> </w:t>
      </w:r>
    </w:p>
    <w:p w14:paraId="67B71F83" w14:textId="3F9F561E" w:rsidR="007D2110" w:rsidRPr="00087B72" w:rsidRDefault="007D2110" w:rsidP="00087B72">
      <w:pPr>
        <w:pStyle w:val="ListParagraph"/>
        <w:numPr>
          <w:ilvl w:val="0"/>
          <w:numId w:val="89"/>
        </w:numPr>
        <w:pBdr>
          <w:top w:val="single" w:sz="12" w:space="1" w:color="5B8DFB"/>
          <w:left w:val="single" w:sz="12" w:space="4" w:color="5B8DFB"/>
          <w:bottom w:val="single" w:sz="12" w:space="1" w:color="5B8DFB"/>
          <w:right w:val="single" w:sz="12" w:space="4" w:color="5B8DFB"/>
        </w:pBdr>
        <w:ind w:right="566"/>
        <w:rPr>
          <w:rFonts w:ascii="Arial" w:hAnsi="Arial" w:cs="Arial"/>
        </w:rPr>
      </w:pPr>
      <w:bookmarkStart w:id="178" w:name="_Toc79056731"/>
      <w:r w:rsidRPr="00087B72">
        <w:rPr>
          <w:rFonts w:ascii="Arial" w:hAnsi="Arial" w:cs="Arial"/>
        </w:rPr>
        <w:t>The Research and Development Program Expert Review Panel is a time-limited panel formed by the NBA to consider applications for grants from the NBA’s National Blood Sector Research and Development Program. It comprises of stakeholders including clinicians, researchers and representatives from the community, national operational and research organisations.</w:t>
      </w:r>
      <w:bookmarkEnd w:id="178"/>
    </w:p>
    <w:p w14:paraId="7740C2C6" w14:textId="77777777" w:rsidR="007D2110" w:rsidRPr="00087B72" w:rsidRDefault="007D2110" w:rsidP="00087B72">
      <w:pPr>
        <w:pStyle w:val="ListParagraph"/>
        <w:numPr>
          <w:ilvl w:val="0"/>
          <w:numId w:val="89"/>
        </w:numPr>
        <w:pBdr>
          <w:top w:val="single" w:sz="12" w:space="1" w:color="5B8DFB"/>
          <w:left w:val="single" w:sz="12" w:space="4" w:color="5B8DFB"/>
          <w:bottom w:val="single" w:sz="12" w:space="1" w:color="5B8DFB"/>
          <w:right w:val="single" w:sz="12" w:space="4" w:color="5B8DFB"/>
        </w:pBdr>
        <w:ind w:right="566"/>
        <w:rPr>
          <w:rFonts w:ascii="Arial" w:hAnsi="Arial" w:cs="Arial"/>
        </w:rPr>
      </w:pPr>
      <w:bookmarkStart w:id="179" w:name="_Toc79056732"/>
      <w:r w:rsidRPr="00087B72">
        <w:rPr>
          <w:rFonts w:ascii="Arial" w:hAnsi="Arial" w:cs="Arial"/>
        </w:rPr>
        <w:t>Blood Synergy Group is a research program focused on blood transfusion practice and patient outcomes. The program includes clinical studies, trials, and patient registries. It is run by the Transfusion Research Unit in the School of Public Health and Preventive Medicine at Monash University. It is funded by the National Health and Medical Research Council (NHMRC). The Review engaged with staff delivering this research program.</w:t>
      </w:r>
      <w:r w:rsidRPr="004527B7">
        <w:rPr>
          <w:rStyle w:val="FootnoteReference"/>
          <w:rFonts w:ascii="Arial" w:hAnsi="Arial" w:cs="Arial"/>
        </w:rPr>
        <w:footnoteReference w:id="59"/>
      </w:r>
      <w:bookmarkEnd w:id="179"/>
    </w:p>
    <w:p w14:paraId="0A7D0C23" w14:textId="77777777" w:rsidR="007D2110" w:rsidRPr="00F435EF" w:rsidRDefault="007D2110" w:rsidP="007D2110">
      <w:pPr>
        <w:pStyle w:val="BodyText"/>
        <w:jc w:val="both"/>
        <w:rPr>
          <w:rFonts w:ascii="Arial" w:hAnsi="Arial" w:cs="Arial"/>
        </w:rPr>
      </w:pPr>
      <w:r w:rsidRPr="00F435EF">
        <w:rPr>
          <w:rFonts w:ascii="Arial" w:hAnsi="Arial" w:cs="Arial"/>
        </w:rPr>
        <w:t>At these workshops, participants were asked the following questions:</w:t>
      </w:r>
    </w:p>
    <w:p w14:paraId="7A4744E5" w14:textId="77777777" w:rsidR="007D2110" w:rsidRPr="00F435EF" w:rsidRDefault="007D2110" w:rsidP="007D2110">
      <w:pPr>
        <w:pStyle w:val="BodyText"/>
        <w:numPr>
          <w:ilvl w:val="0"/>
          <w:numId w:val="19"/>
        </w:numPr>
        <w:jc w:val="both"/>
        <w:rPr>
          <w:rFonts w:ascii="Arial" w:hAnsi="Arial" w:cs="Arial"/>
        </w:rPr>
      </w:pPr>
      <w:r w:rsidRPr="00F435EF">
        <w:rPr>
          <w:rFonts w:ascii="Arial" w:hAnsi="Arial" w:cs="Arial"/>
        </w:rPr>
        <w:t>What will make the future research and development strategic priorities useful for your organisation? e.g., funding, reporting or engagement</w:t>
      </w:r>
      <w:r>
        <w:rPr>
          <w:rFonts w:ascii="Arial" w:hAnsi="Arial" w:cs="Arial"/>
        </w:rPr>
        <w:t>.</w:t>
      </w:r>
    </w:p>
    <w:p w14:paraId="1B2B0F83" w14:textId="77777777" w:rsidR="007D2110" w:rsidRPr="00F435EF" w:rsidRDefault="007D2110" w:rsidP="007D2110">
      <w:pPr>
        <w:pStyle w:val="BodyText"/>
        <w:numPr>
          <w:ilvl w:val="0"/>
          <w:numId w:val="19"/>
        </w:numPr>
        <w:jc w:val="both"/>
        <w:rPr>
          <w:rFonts w:ascii="Arial" w:hAnsi="Arial" w:cs="Arial"/>
        </w:rPr>
      </w:pPr>
      <w:r w:rsidRPr="00F435EF">
        <w:rPr>
          <w:rFonts w:ascii="Arial" w:hAnsi="Arial" w:cs="Arial"/>
        </w:rPr>
        <w:t>What research gaps still exist in the blood sector, and how is this impacting the supply, management and use of blood products and blood-related products and services?</w:t>
      </w:r>
    </w:p>
    <w:p w14:paraId="5DFED40D" w14:textId="0152E753" w:rsidR="00315696" w:rsidRDefault="007D2110" w:rsidP="007D2110">
      <w:pPr>
        <w:pStyle w:val="BodyText"/>
        <w:numPr>
          <w:ilvl w:val="0"/>
          <w:numId w:val="19"/>
        </w:numPr>
        <w:jc w:val="both"/>
        <w:rPr>
          <w:rFonts w:ascii="Arial" w:hAnsi="Arial" w:cs="Arial"/>
        </w:rPr>
      </w:pPr>
      <w:r w:rsidRPr="00F435EF">
        <w:rPr>
          <w:rFonts w:ascii="Arial" w:hAnsi="Arial" w:cs="Arial"/>
        </w:rPr>
        <w:t xml:space="preserve">What role should the NBA have in addressing the research gaps of the blood sector over the coming six years? </w:t>
      </w:r>
    </w:p>
    <w:p w14:paraId="6480FB12" w14:textId="77777777" w:rsidR="00315696" w:rsidRDefault="00315696">
      <w:pPr>
        <w:rPr>
          <w:rFonts w:ascii="Arial" w:hAnsi="Arial" w:cs="Arial"/>
        </w:rPr>
      </w:pPr>
      <w:r>
        <w:rPr>
          <w:rFonts w:ascii="Arial" w:hAnsi="Arial" w:cs="Arial"/>
        </w:rPr>
        <w:br w:type="page"/>
      </w:r>
    </w:p>
    <w:p w14:paraId="1419F129" w14:textId="77777777" w:rsidR="007D2110" w:rsidRDefault="007D2110" w:rsidP="007D2110">
      <w:pPr>
        <w:pStyle w:val="Heading3"/>
      </w:pPr>
      <w:bookmarkStart w:id="180" w:name="_Toc79056733"/>
      <w:bookmarkStart w:id="181" w:name="_Toc79071709"/>
      <w:bookmarkStart w:id="182" w:name="_Toc79071895"/>
      <w:bookmarkStart w:id="183" w:name="_Toc79154207"/>
      <w:bookmarkStart w:id="184" w:name="_Toc79154300"/>
      <w:bookmarkStart w:id="185" w:name="_Toc79154776"/>
      <w:bookmarkStart w:id="186" w:name="_Toc79570846"/>
      <w:bookmarkStart w:id="187" w:name="_Toc90456689"/>
      <w:r>
        <w:t>Questionnaire</w:t>
      </w:r>
      <w:bookmarkEnd w:id="180"/>
      <w:bookmarkEnd w:id="181"/>
      <w:bookmarkEnd w:id="182"/>
      <w:bookmarkEnd w:id="183"/>
      <w:bookmarkEnd w:id="184"/>
      <w:bookmarkEnd w:id="185"/>
      <w:bookmarkEnd w:id="186"/>
      <w:bookmarkEnd w:id="187"/>
    </w:p>
    <w:p w14:paraId="42455DBA" w14:textId="77777777" w:rsidR="007D2110" w:rsidRPr="00686492" w:rsidRDefault="007D2110" w:rsidP="004527B7">
      <w:pPr>
        <w:pStyle w:val="BodyText"/>
        <w:jc w:val="both"/>
        <w:rPr>
          <w:rFonts w:ascii="Arial" w:hAnsi="Arial" w:cs="Arial"/>
        </w:rPr>
      </w:pPr>
      <w:r w:rsidRPr="00686492">
        <w:rPr>
          <w:rFonts w:ascii="Arial" w:hAnsi="Arial" w:cs="Arial"/>
        </w:rPr>
        <w:t xml:space="preserve">The Review provided a questionnaire to 150 stakeholders to generate qualitative and quantitative data. Respondents were asked about their engagement with the 2013-16 Priorities and their views on what should constitute the future 2021-27 research and development strategic priorities. </w:t>
      </w:r>
    </w:p>
    <w:p w14:paraId="7A298C5F" w14:textId="49681957" w:rsidR="007D2110" w:rsidRPr="00686492" w:rsidRDefault="007D2110">
      <w:pPr>
        <w:pStyle w:val="BodyText"/>
        <w:jc w:val="both"/>
        <w:rPr>
          <w:rFonts w:ascii="Arial" w:hAnsi="Arial" w:cs="Arial"/>
        </w:rPr>
      </w:pPr>
      <w:r w:rsidRPr="00A10BA4">
        <w:rPr>
          <w:rFonts w:ascii="Arial" w:hAnsi="Arial" w:cs="Arial"/>
        </w:rPr>
        <w:t>There were</w:t>
      </w:r>
      <w:r w:rsidRPr="00686492">
        <w:rPr>
          <w:rFonts w:ascii="Arial" w:hAnsi="Arial" w:cs="Arial"/>
        </w:rPr>
        <w:t xml:space="preserve"> 71 responses to the questionnaire</w:t>
      </w:r>
      <w:r w:rsidR="00401CAC">
        <w:rPr>
          <w:rFonts w:ascii="Arial" w:hAnsi="Arial" w:cs="Arial"/>
        </w:rPr>
        <w:t xml:space="preserve"> (</w:t>
      </w:r>
      <w:r w:rsidR="00401CAC" w:rsidRPr="00686492">
        <w:rPr>
          <w:rFonts w:ascii="Arial" w:hAnsi="Arial" w:cs="Arial"/>
        </w:rPr>
        <w:t>a 47 per cent response rate</w:t>
      </w:r>
      <w:r w:rsidR="00401CAC">
        <w:rPr>
          <w:rFonts w:ascii="Arial" w:hAnsi="Arial" w:cs="Arial"/>
        </w:rPr>
        <w:t>)</w:t>
      </w:r>
      <w:r w:rsidR="00401CAC" w:rsidRPr="00686492">
        <w:rPr>
          <w:rFonts w:ascii="Arial" w:hAnsi="Arial" w:cs="Arial"/>
        </w:rPr>
        <w:t xml:space="preserve"> </w:t>
      </w:r>
      <w:r w:rsidRPr="00686492">
        <w:rPr>
          <w:rFonts w:ascii="Arial" w:hAnsi="Arial" w:cs="Arial"/>
        </w:rPr>
        <w:t>including responses from each state and territory. Respondents represented researchers, health services and clinicians, professional bodies, consumer and advocacy groups, suppliers, and jurisdictional government health agencies (with significant overlap between these groups).</w:t>
      </w:r>
    </w:p>
    <w:p w14:paraId="26FB169E" w14:textId="77777777" w:rsidR="007D2110" w:rsidRPr="00686492" w:rsidRDefault="007D2110">
      <w:pPr>
        <w:pStyle w:val="BodyText"/>
        <w:jc w:val="both"/>
        <w:rPr>
          <w:rFonts w:ascii="Arial" w:hAnsi="Arial" w:cs="Arial"/>
        </w:rPr>
      </w:pPr>
      <w:r w:rsidRPr="00686492">
        <w:rPr>
          <w:rFonts w:ascii="Arial" w:hAnsi="Arial" w:cs="Arial"/>
        </w:rPr>
        <w:t>In relation to the 2021-27 Priorities, questionnaire respondents were invited to reflect on:</w:t>
      </w:r>
    </w:p>
    <w:p w14:paraId="099F79DA" w14:textId="77777777" w:rsidR="007D2110" w:rsidRPr="00686492" w:rsidRDefault="007D2110" w:rsidP="0073198B">
      <w:pPr>
        <w:pStyle w:val="ListParagraph"/>
        <w:numPr>
          <w:ilvl w:val="0"/>
          <w:numId w:val="46"/>
        </w:numPr>
        <w:autoSpaceDE w:val="0"/>
        <w:autoSpaceDN w:val="0"/>
        <w:adjustRightInd w:val="0"/>
        <w:spacing w:line="280" w:lineRule="exact"/>
        <w:jc w:val="both"/>
        <w:rPr>
          <w:rFonts w:ascii="Arial" w:hAnsi="Arial" w:cs="Arial"/>
          <w:lang w:val="en-AU"/>
        </w:rPr>
      </w:pPr>
      <w:r>
        <w:rPr>
          <w:rFonts w:ascii="Arial" w:hAnsi="Arial" w:cs="Arial"/>
        </w:rPr>
        <w:t>What should the f</w:t>
      </w:r>
      <w:r w:rsidRPr="00686492">
        <w:rPr>
          <w:rFonts w:ascii="Arial" w:hAnsi="Arial" w:cs="Arial"/>
        </w:rPr>
        <w:t>uture research priorities for the blood sector</w:t>
      </w:r>
      <w:r>
        <w:rPr>
          <w:rFonts w:ascii="Arial" w:hAnsi="Arial" w:cs="Arial"/>
        </w:rPr>
        <w:t xml:space="preserve"> be?</w:t>
      </w:r>
    </w:p>
    <w:p w14:paraId="46125A7D" w14:textId="77777777" w:rsidR="007D2110" w:rsidRPr="00686492" w:rsidRDefault="007D2110" w:rsidP="0073198B">
      <w:pPr>
        <w:pStyle w:val="ListParagraph"/>
        <w:numPr>
          <w:ilvl w:val="0"/>
          <w:numId w:val="46"/>
        </w:numPr>
        <w:autoSpaceDE w:val="0"/>
        <w:autoSpaceDN w:val="0"/>
        <w:adjustRightInd w:val="0"/>
        <w:spacing w:line="280" w:lineRule="exact"/>
        <w:jc w:val="both"/>
        <w:rPr>
          <w:rFonts w:ascii="Arial" w:hAnsi="Arial" w:cs="Arial"/>
          <w:lang w:val="en-AU"/>
        </w:rPr>
      </w:pPr>
      <w:r w:rsidRPr="00686492">
        <w:rPr>
          <w:rFonts w:ascii="Arial" w:hAnsi="Arial" w:cs="Arial"/>
          <w:color w:val="000000"/>
        </w:rPr>
        <w:t>What will make the future research and development strategic priorities useful for your organisation?</w:t>
      </w:r>
    </w:p>
    <w:p w14:paraId="49265363" w14:textId="77777777" w:rsidR="007D2110" w:rsidRPr="00686492" w:rsidRDefault="007D2110" w:rsidP="0073198B">
      <w:pPr>
        <w:pStyle w:val="ListParagraph"/>
        <w:numPr>
          <w:ilvl w:val="0"/>
          <w:numId w:val="46"/>
        </w:numPr>
        <w:autoSpaceDE w:val="0"/>
        <w:autoSpaceDN w:val="0"/>
        <w:adjustRightInd w:val="0"/>
        <w:spacing w:line="280" w:lineRule="exact"/>
        <w:jc w:val="both"/>
        <w:rPr>
          <w:rFonts w:ascii="Arial" w:hAnsi="Arial" w:cs="Arial"/>
          <w:lang w:val="en-AU"/>
        </w:rPr>
      </w:pPr>
      <w:r w:rsidRPr="00686492">
        <w:rPr>
          <w:rFonts w:ascii="Arial" w:hAnsi="Arial" w:cs="Arial"/>
          <w:color w:val="000000"/>
        </w:rPr>
        <w:t>Which information gaps still exist in the blood sector?</w:t>
      </w:r>
    </w:p>
    <w:p w14:paraId="5E59DEF8" w14:textId="77777777" w:rsidR="007D2110" w:rsidRPr="00686492" w:rsidRDefault="007D2110" w:rsidP="0073198B">
      <w:pPr>
        <w:pStyle w:val="ListParagraph"/>
        <w:numPr>
          <w:ilvl w:val="0"/>
          <w:numId w:val="46"/>
        </w:numPr>
        <w:autoSpaceDE w:val="0"/>
        <w:autoSpaceDN w:val="0"/>
        <w:adjustRightInd w:val="0"/>
        <w:spacing w:line="280" w:lineRule="exact"/>
        <w:jc w:val="both"/>
        <w:rPr>
          <w:rFonts w:ascii="Arial" w:hAnsi="Arial" w:cs="Arial"/>
          <w:lang w:val="en-AU"/>
        </w:rPr>
      </w:pPr>
      <w:r w:rsidRPr="00686492">
        <w:rPr>
          <w:rFonts w:ascii="Arial" w:hAnsi="Arial" w:cs="Arial"/>
        </w:rPr>
        <w:t>What role in addressing the research gaps of the blood sector do you think the NBA should have over the coming six years (and why)?</w:t>
      </w:r>
    </w:p>
    <w:p w14:paraId="38CBC069" w14:textId="77777777" w:rsidR="007D2110" w:rsidRPr="00686492" w:rsidRDefault="007D2110" w:rsidP="0073198B">
      <w:pPr>
        <w:pStyle w:val="ListParagraph"/>
        <w:numPr>
          <w:ilvl w:val="0"/>
          <w:numId w:val="46"/>
        </w:numPr>
        <w:autoSpaceDE w:val="0"/>
        <w:autoSpaceDN w:val="0"/>
        <w:adjustRightInd w:val="0"/>
        <w:spacing w:line="280" w:lineRule="exact"/>
        <w:jc w:val="both"/>
        <w:rPr>
          <w:rFonts w:ascii="Arial" w:hAnsi="Arial" w:cs="Arial"/>
          <w:lang w:val="en-AU"/>
        </w:rPr>
      </w:pPr>
      <w:r w:rsidRPr="00686492">
        <w:rPr>
          <w:rFonts w:ascii="Arial" w:hAnsi="Arial" w:cs="Arial"/>
        </w:rPr>
        <w:t>What role do you envisage your organisation having in the blood research sector over the coming six years?</w:t>
      </w:r>
    </w:p>
    <w:p w14:paraId="7BA160B2" w14:textId="3D8914A9" w:rsidR="00315696" w:rsidRDefault="007D2110" w:rsidP="004527B7">
      <w:pPr>
        <w:pStyle w:val="BodyText"/>
        <w:jc w:val="both"/>
        <w:rPr>
          <w:rFonts w:ascii="Arial" w:hAnsi="Arial" w:cs="Arial"/>
        </w:rPr>
      </w:pPr>
      <w:r w:rsidRPr="00686492">
        <w:rPr>
          <w:rFonts w:ascii="Arial" w:hAnsi="Arial" w:cs="Arial"/>
        </w:rPr>
        <w:t>A data framework was also developed to assist with analysing the questionnaire results. This included a summary of quantitative data related to the 2013-16 priorities, thematic analysis of suggested future priorities, and opportunities to improve the usefulness of the strategic priorities to stakeholders and identification of current information gaps for the blood sector.</w:t>
      </w:r>
    </w:p>
    <w:p w14:paraId="4909E4A8" w14:textId="4FEDF247" w:rsidR="007D2110" w:rsidRPr="002262F2" w:rsidRDefault="00315696" w:rsidP="0073198B">
      <w:pPr>
        <w:pStyle w:val="Heading2"/>
        <w:spacing w:before="120" w:line="280" w:lineRule="exact"/>
      </w:pPr>
      <w:r>
        <w:rPr>
          <w:rFonts w:ascii="Arial" w:hAnsi="Arial" w:cs="Arial"/>
        </w:rPr>
        <w:br w:type="page"/>
      </w:r>
      <w:bookmarkStart w:id="188" w:name="_Toc79056734"/>
      <w:bookmarkStart w:id="189" w:name="_Toc79071710"/>
      <w:bookmarkStart w:id="190" w:name="_Toc79071896"/>
      <w:bookmarkStart w:id="191" w:name="_Toc79154208"/>
      <w:bookmarkStart w:id="192" w:name="_Toc79154301"/>
      <w:bookmarkStart w:id="193" w:name="_Toc79154777"/>
      <w:bookmarkStart w:id="194" w:name="_Toc79570847"/>
      <w:bookmarkStart w:id="195" w:name="_Toc90456690"/>
      <w:r w:rsidR="007D2110">
        <w:t>Document review</w:t>
      </w:r>
      <w:bookmarkEnd w:id="188"/>
      <w:bookmarkEnd w:id="189"/>
      <w:bookmarkEnd w:id="190"/>
      <w:bookmarkEnd w:id="191"/>
      <w:bookmarkEnd w:id="192"/>
      <w:bookmarkEnd w:id="193"/>
      <w:bookmarkEnd w:id="194"/>
      <w:bookmarkEnd w:id="195"/>
    </w:p>
    <w:p w14:paraId="1B95CDFC" w14:textId="58966D89" w:rsidR="007D2110" w:rsidRDefault="007D2110" w:rsidP="0073198B">
      <w:pPr>
        <w:spacing w:before="120" w:after="120" w:line="280" w:lineRule="exact"/>
        <w:jc w:val="both"/>
        <w:rPr>
          <w:rFonts w:ascii="Arial" w:hAnsi="Arial" w:cs="Arial"/>
          <w:lang w:val="en-AU"/>
        </w:rPr>
      </w:pPr>
      <w:r w:rsidRPr="00AF2276">
        <w:rPr>
          <w:rFonts w:ascii="Arial" w:hAnsi="Arial" w:cs="Arial"/>
        </w:rPr>
        <w:t xml:space="preserve">The document review included an assessment of documents and </w:t>
      </w:r>
      <w:r>
        <w:rPr>
          <w:rFonts w:ascii="Arial" w:hAnsi="Arial" w:cs="Arial"/>
        </w:rPr>
        <w:t>websites</w:t>
      </w:r>
      <w:r w:rsidRPr="00AF2276">
        <w:rPr>
          <w:rFonts w:ascii="Arial" w:hAnsi="Arial" w:cs="Arial"/>
        </w:rPr>
        <w:t xml:space="preserve">. These materials included legislation, government agreements, frameworks and guidance, academic journals, information about domestic </w:t>
      </w:r>
      <w:r>
        <w:rPr>
          <w:rFonts w:ascii="Arial" w:hAnsi="Arial" w:cs="Arial"/>
        </w:rPr>
        <w:t xml:space="preserve">and international </w:t>
      </w:r>
      <w:r w:rsidRPr="00AF2276">
        <w:rPr>
          <w:rFonts w:ascii="Arial" w:hAnsi="Arial" w:cs="Arial"/>
        </w:rPr>
        <w:t>research funding programs and projects</w:t>
      </w:r>
      <w:r w:rsidRPr="00AF2276">
        <w:rPr>
          <w:rFonts w:ascii="Arial" w:hAnsi="Arial" w:cs="Arial"/>
          <w:lang w:val="en-AU"/>
        </w:rPr>
        <w:t>.</w:t>
      </w:r>
      <w:r>
        <w:rPr>
          <w:rFonts w:ascii="Arial" w:hAnsi="Arial" w:cs="Arial"/>
          <w:lang w:val="en-AU"/>
        </w:rPr>
        <w:t xml:space="preserve">  A list of key references used in this report is provided </w:t>
      </w:r>
      <w:r w:rsidR="00A10BA4">
        <w:rPr>
          <w:rFonts w:ascii="Arial" w:hAnsi="Arial" w:cs="Arial"/>
          <w:lang w:val="en-AU"/>
        </w:rPr>
        <w:t xml:space="preserve">in </w:t>
      </w:r>
      <w:hyperlink w:anchor="_Appendix_C_-" w:history="1">
        <w:r w:rsidRPr="00251CA2">
          <w:rPr>
            <w:rStyle w:val="Hyperlink"/>
            <w:rFonts w:ascii="Arial" w:hAnsi="Arial" w:cs="Arial"/>
            <w:lang w:val="en-AU"/>
          </w:rPr>
          <w:t xml:space="preserve">Appendix </w:t>
        </w:r>
        <w:r w:rsidR="00A10BA4" w:rsidRPr="00251CA2">
          <w:rPr>
            <w:rStyle w:val="Hyperlink"/>
            <w:rFonts w:ascii="Arial" w:hAnsi="Arial" w:cs="Arial"/>
            <w:lang w:val="en-AU"/>
          </w:rPr>
          <w:t>C</w:t>
        </w:r>
      </w:hyperlink>
      <w:r>
        <w:rPr>
          <w:rFonts w:ascii="Arial" w:hAnsi="Arial" w:cs="Arial"/>
          <w:lang w:val="en-AU"/>
        </w:rPr>
        <w:t>.</w:t>
      </w:r>
    </w:p>
    <w:p w14:paraId="5D0C04ED" w14:textId="77777777" w:rsidR="007D2110" w:rsidRPr="000064E1" w:rsidRDefault="007D2110" w:rsidP="00060CEB">
      <w:pPr>
        <w:pStyle w:val="Heading3"/>
        <w:keepLines/>
        <w:spacing w:before="120"/>
        <w:rPr>
          <w:lang w:val="en-AU"/>
        </w:rPr>
      </w:pPr>
      <w:bookmarkStart w:id="196" w:name="_Toc79056735"/>
      <w:bookmarkStart w:id="197" w:name="_Toc79071711"/>
      <w:bookmarkStart w:id="198" w:name="_Toc79071897"/>
      <w:bookmarkStart w:id="199" w:name="_Toc79154209"/>
      <w:bookmarkStart w:id="200" w:name="_Toc79154302"/>
      <w:bookmarkStart w:id="201" w:name="_Toc79154778"/>
      <w:bookmarkStart w:id="202" w:name="_Toc79570848"/>
      <w:bookmarkStart w:id="203" w:name="_Toc90456691"/>
      <w:r w:rsidRPr="000064E1">
        <w:rPr>
          <w:lang w:val="en-AU"/>
        </w:rPr>
        <w:t>Legislative instruments and government agreements, frameworks, and guidance</w:t>
      </w:r>
      <w:bookmarkEnd w:id="196"/>
      <w:bookmarkEnd w:id="197"/>
      <w:bookmarkEnd w:id="198"/>
      <w:bookmarkEnd w:id="199"/>
      <w:bookmarkEnd w:id="200"/>
      <w:bookmarkEnd w:id="201"/>
      <w:bookmarkEnd w:id="202"/>
      <w:bookmarkEnd w:id="203"/>
    </w:p>
    <w:p w14:paraId="3125E3C5" w14:textId="642F84FA" w:rsidR="007D2110" w:rsidRPr="00AF2276" w:rsidRDefault="007D2110" w:rsidP="00EC1803">
      <w:pPr>
        <w:keepNext/>
        <w:keepLines/>
        <w:spacing w:before="120" w:after="120" w:line="280" w:lineRule="exact"/>
        <w:jc w:val="both"/>
        <w:rPr>
          <w:rFonts w:ascii="Arial" w:hAnsi="Arial" w:cs="Arial"/>
        </w:rPr>
      </w:pPr>
      <w:r w:rsidRPr="00AF2276">
        <w:rPr>
          <w:rFonts w:ascii="Arial" w:hAnsi="Arial" w:cs="Arial"/>
        </w:rPr>
        <w:t xml:space="preserve">The Review assessed relevant legislative instruments and government agreements, frameworks, and guidance. This included the National Blood Authority Act 2003, the National Blood Agreement and NBA governance documents, including committee terms of references and guidelines relating to </w:t>
      </w:r>
      <w:r>
        <w:rPr>
          <w:rFonts w:ascii="Arial" w:hAnsi="Arial" w:cs="Arial"/>
        </w:rPr>
        <w:t>p</w:t>
      </w:r>
      <w:r w:rsidRPr="00AF2276">
        <w:rPr>
          <w:rFonts w:ascii="Arial" w:hAnsi="Arial" w:cs="Arial"/>
        </w:rPr>
        <w:t xml:space="preserve">atient </w:t>
      </w:r>
      <w:r>
        <w:rPr>
          <w:rFonts w:ascii="Arial" w:hAnsi="Arial" w:cs="Arial"/>
        </w:rPr>
        <w:t>b</w:t>
      </w:r>
      <w:r w:rsidRPr="00AF2276">
        <w:rPr>
          <w:rFonts w:ascii="Arial" w:hAnsi="Arial" w:cs="Arial"/>
        </w:rPr>
        <w:t xml:space="preserve">lood </w:t>
      </w:r>
      <w:r>
        <w:rPr>
          <w:rFonts w:ascii="Arial" w:hAnsi="Arial" w:cs="Arial"/>
        </w:rPr>
        <w:t>m</w:t>
      </w:r>
      <w:r w:rsidRPr="00AF2276">
        <w:rPr>
          <w:rFonts w:ascii="Arial" w:hAnsi="Arial" w:cs="Arial"/>
        </w:rPr>
        <w:t xml:space="preserve">anagement and </w:t>
      </w:r>
      <w:r>
        <w:rPr>
          <w:rFonts w:ascii="Arial" w:hAnsi="Arial" w:cs="Arial"/>
        </w:rPr>
        <w:t>i</w:t>
      </w:r>
      <w:r w:rsidRPr="00AF2276">
        <w:rPr>
          <w:rFonts w:ascii="Arial" w:hAnsi="Arial" w:cs="Arial"/>
        </w:rPr>
        <w:t xml:space="preserve">mmunoglobulin. The Review also </w:t>
      </w:r>
      <w:r w:rsidRPr="00637F56">
        <w:rPr>
          <w:rFonts w:ascii="Arial" w:hAnsi="Arial" w:cs="Arial"/>
        </w:rPr>
        <w:t xml:space="preserve">assessed regulation and policy statements from relevant government agencies, including the Blood Management Standard from </w:t>
      </w:r>
      <w:r w:rsidR="007006EF" w:rsidRPr="00087B72">
        <w:rPr>
          <w:rFonts w:ascii="Arial" w:hAnsi="Arial" w:cs="Arial"/>
        </w:rPr>
        <w:t>National Safety and Quality Health Service (</w:t>
      </w:r>
      <w:r w:rsidR="007006EF" w:rsidRPr="00063760">
        <w:rPr>
          <w:rFonts w:ascii="Arial" w:hAnsi="Arial" w:cs="Arial"/>
        </w:rPr>
        <w:t>NSQHS</w:t>
      </w:r>
      <w:r w:rsidR="007006EF" w:rsidRPr="00087B72">
        <w:rPr>
          <w:rFonts w:ascii="Arial" w:hAnsi="Arial" w:cs="Arial"/>
        </w:rPr>
        <w:t>) </w:t>
      </w:r>
      <w:r w:rsidR="007006EF" w:rsidRPr="00063760">
        <w:rPr>
          <w:rFonts w:ascii="Arial" w:hAnsi="Arial" w:cs="Arial"/>
        </w:rPr>
        <w:t>Standards</w:t>
      </w:r>
      <w:r w:rsidR="007006EF" w:rsidRPr="00AF2276" w:rsidDel="007006EF">
        <w:rPr>
          <w:rFonts w:ascii="Arial" w:hAnsi="Arial" w:cs="Arial"/>
        </w:rPr>
        <w:t xml:space="preserve"> </w:t>
      </w:r>
      <w:r w:rsidRPr="00AF2276">
        <w:rPr>
          <w:rFonts w:ascii="Arial" w:hAnsi="Arial" w:cs="Arial"/>
        </w:rPr>
        <w:t xml:space="preserve">and the Department of Health’s policy on health data usage. </w:t>
      </w:r>
    </w:p>
    <w:p w14:paraId="159FD715" w14:textId="77777777" w:rsidR="007D2110" w:rsidRPr="000064E1" w:rsidRDefault="007D2110" w:rsidP="0073198B">
      <w:pPr>
        <w:pStyle w:val="Heading3"/>
        <w:spacing w:before="120"/>
        <w:rPr>
          <w:lang w:val="en-AU"/>
        </w:rPr>
      </w:pPr>
      <w:bookmarkStart w:id="204" w:name="_Toc79056736"/>
      <w:bookmarkStart w:id="205" w:name="_Toc79071712"/>
      <w:bookmarkStart w:id="206" w:name="_Toc79071898"/>
      <w:bookmarkStart w:id="207" w:name="_Toc79154210"/>
      <w:bookmarkStart w:id="208" w:name="_Toc79154303"/>
      <w:bookmarkStart w:id="209" w:name="_Toc79154779"/>
      <w:bookmarkStart w:id="210" w:name="_Toc79570849"/>
      <w:bookmarkStart w:id="211" w:name="_Toc90456692"/>
      <w:r w:rsidRPr="000064E1">
        <w:rPr>
          <w:lang w:val="en-AU"/>
        </w:rPr>
        <w:t>Academic journals</w:t>
      </w:r>
      <w:bookmarkEnd w:id="204"/>
      <w:bookmarkEnd w:id="205"/>
      <w:bookmarkEnd w:id="206"/>
      <w:bookmarkEnd w:id="207"/>
      <w:bookmarkEnd w:id="208"/>
      <w:bookmarkEnd w:id="209"/>
      <w:bookmarkEnd w:id="210"/>
      <w:bookmarkEnd w:id="211"/>
    </w:p>
    <w:p w14:paraId="300B044A" w14:textId="77777777" w:rsidR="007D2110" w:rsidRPr="00AF2276" w:rsidRDefault="007D2110" w:rsidP="0073198B">
      <w:pPr>
        <w:spacing w:before="120" w:after="120" w:line="280" w:lineRule="exact"/>
        <w:jc w:val="both"/>
        <w:rPr>
          <w:rFonts w:ascii="Arial" w:hAnsi="Arial" w:cs="Arial"/>
          <w:lang w:val="en-AU"/>
        </w:rPr>
      </w:pPr>
      <w:r w:rsidRPr="00AF2276">
        <w:rPr>
          <w:rFonts w:ascii="Arial" w:hAnsi="Arial" w:cs="Arial"/>
          <w:lang w:val="en-AU"/>
        </w:rPr>
        <w:t xml:space="preserve">The Review also looked at a sample of academic journals, including Vox Sanguinis, Transfusion Medicine Reviews, Transfusion and The Journal of Thoracic and Cardiovascular Surgery. Articles in these journals helped inform the Review’s understanding of progress which has been made in blood research and development, and where opportunities remain. </w:t>
      </w:r>
    </w:p>
    <w:p w14:paraId="31B0658C" w14:textId="77777777" w:rsidR="007D2110" w:rsidRPr="000064E1" w:rsidRDefault="007D2110" w:rsidP="0073198B">
      <w:pPr>
        <w:pStyle w:val="Heading3"/>
        <w:spacing w:before="120"/>
        <w:rPr>
          <w:lang w:val="en-AU"/>
        </w:rPr>
      </w:pPr>
      <w:bookmarkStart w:id="212" w:name="_Toc79056737"/>
      <w:bookmarkStart w:id="213" w:name="_Toc79071713"/>
      <w:bookmarkStart w:id="214" w:name="_Toc79071899"/>
      <w:bookmarkStart w:id="215" w:name="_Toc79154211"/>
      <w:bookmarkStart w:id="216" w:name="_Toc79154304"/>
      <w:bookmarkStart w:id="217" w:name="_Toc79154780"/>
      <w:bookmarkStart w:id="218" w:name="_Toc79570850"/>
      <w:bookmarkStart w:id="219" w:name="_Toc90456693"/>
      <w:r w:rsidRPr="000064E1">
        <w:rPr>
          <w:lang w:val="en-AU"/>
        </w:rPr>
        <w:t>Domestic research funding providers and research organisations</w:t>
      </w:r>
      <w:bookmarkEnd w:id="212"/>
      <w:bookmarkEnd w:id="213"/>
      <w:bookmarkEnd w:id="214"/>
      <w:bookmarkEnd w:id="215"/>
      <w:bookmarkEnd w:id="216"/>
      <w:bookmarkEnd w:id="217"/>
      <w:bookmarkEnd w:id="218"/>
      <w:bookmarkEnd w:id="219"/>
    </w:p>
    <w:p w14:paraId="57347D75" w14:textId="31CEC10B" w:rsidR="007D2110" w:rsidRDefault="007D2110" w:rsidP="0073198B">
      <w:pPr>
        <w:spacing w:before="120" w:after="120" w:line="280" w:lineRule="exact"/>
        <w:jc w:val="both"/>
        <w:rPr>
          <w:rFonts w:ascii="Arial" w:hAnsi="Arial" w:cs="Arial"/>
        </w:rPr>
      </w:pPr>
      <w:r w:rsidRPr="00AF2276">
        <w:rPr>
          <w:rFonts w:ascii="Arial" w:hAnsi="Arial" w:cs="Arial"/>
        </w:rPr>
        <w:t>An important source of information was web-based material about domestic research funding providers and research organisations. The Review looked closely at the research and development programs led by Australian governments, higher education, business, hospitals, and the not-for-profit sector. This included the National Health and Medical Research Council</w:t>
      </w:r>
      <w:r>
        <w:rPr>
          <w:rFonts w:ascii="Arial" w:hAnsi="Arial" w:cs="Arial"/>
        </w:rPr>
        <w:t xml:space="preserve"> (NHMRC)</w:t>
      </w:r>
      <w:r w:rsidRPr="00AF2276">
        <w:rPr>
          <w:rFonts w:ascii="Arial" w:hAnsi="Arial" w:cs="Arial"/>
        </w:rPr>
        <w:t>, the Medical Research Future Fund</w:t>
      </w:r>
      <w:r w:rsidR="00DD4E72">
        <w:rPr>
          <w:rFonts w:ascii="Arial" w:hAnsi="Arial" w:cs="Arial"/>
        </w:rPr>
        <w:t xml:space="preserve"> (MRFF)</w:t>
      </w:r>
      <w:r w:rsidRPr="00AF2276">
        <w:rPr>
          <w:rFonts w:ascii="Arial" w:hAnsi="Arial" w:cs="Arial"/>
        </w:rPr>
        <w:t>, the Australian Research Council</w:t>
      </w:r>
      <w:r>
        <w:rPr>
          <w:rFonts w:ascii="Arial" w:hAnsi="Arial" w:cs="Arial"/>
        </w:rPr>
        <w:t xml:space="preserve"> (ARC)</w:t>
      </w:r>
      <w:r w:rsidRPr="00AF2276">
        <w:rPr>
          <w:rFonts w:ascii="Arial" w:hAnsi="Arial" w:cs="Arial"/>
        </w:rPr>
        <w:t xml:space="preserve">, </w:t>
      </w:r>
      <w:r w:rsidRPr="00AF2276">
        <w:rPr>
          <w:rFonts w:ascii="Arial" w:hAnsi="Arial" w:cs="Arial"/>
          <w:lang w:eastAsia="zh-CN"/>
        </w:rPr>
        <w:t>Department of Education, Skills and Employment</w:t>
      </w:r>
      <w:r w:rsidRPr="00AF2276">
        <w:rPr>
          <w:rFonts w:ascii="Arial" w:hAnsi="Arial" w:cs="Arial"/>
        </w:rPr>
        <w:t xml:space="preserve">‘s Research Block Grants program and the </w:t>
      </w:r>
      <w:r w:rsidRPr="00AF2276">
        <w:rPr>
          <w:rFonts w:ascii="Arial" w:hAnsi="Arial" w:cs="Arial"/>
          <w:lang w:eastAsia="zh-CN"/>
        </w:rPr>
        <w:t xml:space="preserve">Victorian Medical Acceleration Fund. It also included hospitals such as the Royal Melbourne Hospital and </w:t>
      </w:r>
      <w:r>
        <w:rPr>
          <w:rFonts w:ascii="Arial" w:hAnsi="Arial" w:cs="Arial"/>
          <w:lang w:eastAsia="zh-CN"/>
        </w:rPr>
        <w:t>T</w:t>
      </w:r>
      <w:r w:rsidRPr="00AF2276">
        <w:rPr>
          <w:rFonts w:ascii="Arial" w:hAnsi="Arial" w:cs="Arial"/>
          <w:lang w:eastAsia="zh-CN"/>
        </w:rPr>
        <w:t>he Alfred, blood manufacturers such as Sanofi and CSL Behring Australia and medical research institutes</w:t>
      </w:r>
      <w:r>
        <w:rPr>
          <w:rFonts w:ascii="Arial" w:hAnsi="Arial" w:cs="Arial"/>
          <w:lang w:eastAsia="zh-CN"/>
        </w:rPr>
        <w:t>,</w:t>
      </w:r>
      <w:r w:rsidRPr="00AF2276">
        <w:rPr>
          <w:rFonts w:ascii="Arial" w:hAnsi="Arial" w:cs="Arial"/>
          <w:lang w:eastAsia="zh-CN"/>
        </w:rPr>
        <w:t xml:space="preserve"> such as the Burnet Institute. Several higher education blood-related research and development programs were also reviewed, including from Monash University, University of Sydney, University of Queensland and RMIT University. The Review also looked at not-for-profit organisations in the blood sector who have research grant programs, including Haemophilia Foundation Australia, the Australian and New Zealand Society of Blood Transfusion and</w:t>
      </w:r>
      <w:r>
        <w:rPr>
          <w:rFonts w:ascii="Arial" w:hAnsi="Arial" w:cs="Arial"/>
          <w:lang w:eastAsia="zh-CN"/>
        </w:rPr>
        <w:t>,</w:t>
      </w:r>
      <w:r w:rsidRPr="00AF2276">
        <w:rPr>
          <w:rFonts w:ascii="Arial" w:hAnsi="Arial" w:cs="Arial"/>
          <w:lang w:eastAsia="zh-CN"/>
        </w:rPr>
        <w:t xml:space="preserve"> significantly, </w:t>
      </w:r>
      <w:r w:rsidRPr="00AF2276">
        <w:rPr>
          <w:rFonts w:ascii="Arial" w:hAnsi="Arial" w:cs="Arial"/>
        </w:rPr>
        <w:t>Australian Red Cross Lifeblood</w:t>
      </w:r>
      <w:r>
        <w:rPr>
          <w:rFonts w:ascii="Arial" w:hAnsi="Arial" w:cs="Arial"/>
        </w:rPr>
        <w:t xml:space="preserve"> (Lifeblood)</w:t>
      </w:r>
      <w:r w:rsidRPr="00AF2276">
        <w:rPr>
          <w:rFonts w:ascii="Arial" w:hAnsi="Arial" w:cs="Arial"/>
        </w:rPr>
        <w:t xml:space="preserve">. This included an assessment of Lifeblood’s research framework and previous and current research </w:t>
      </w:r>
      <w:r w:rsidR="0022571B" w:rsidRPr="00AF2276">
        <w:rPr>
          <w:rFonts w:ascii="Arial" w:hAnsi="Arial" w:cs="Arial"/>
        </w:rPr>
        <w:t>projects</w:t>
      </w:r>
      <w:r w:rsidR="0022571B">
        <w:rPr>
          <w:rFonts w:ascii="Arial" w:hAnsi="Arial" w:cs="Arial"/>
        </w:rPr>
        <w:t xml:space="preserve"> and</w:t>
      </w:r>
      <w:r w:rsidRPr="00AF2276">
        <w:rPr>
          <w:rFonts w:ascii="Arial" w:hAnsi="Arial" w:cs="Arial"/>
        </w:rPr>
        <w:t xml:space="preserve"> helped inform the Review’s understanding of the context of the blood sector.</w:t>
      </w:r>
    </w:p>
    <w:p w14:paraId="13BDC3EE" w14:textId="77777777" w:rsidR="007D2110" w:rsidRPr="000064E1" w:rsidRDefault="007D2110" w:rsidP="0073198B">
      <w:pPr>
        <w:pStyle w:val="Heading3"/>
        <w:spacing w:before="120"/>
        <w:rPr>
          <w:lang w:val="en-AU"/>
        </w:rPr>
      </w:pPr>
      <w:bookmarkStart w:id="220" w:name="_Toc79056738"/>
      <w:bookmarkStart w:id="221" w:name="_Toc79071714"/>
      <w:bookmarkStart w:id="222" w:name="_Toc79071900"/>
      <w:bookmarkStart w:id="223" w:name="_Toc79154212"/>
      <w:bookmarkStart w:id="224" w:name="_Toc79154305"/>
      <w:bookmarkStart w:id="225" w:name="_Toc79154781"/>
      <w:bookmarkStart w:id="226" w:name="_Toc79570851"/>
      <w:bookmarkStart w:id="227" w:name="_Toc90456694"/>
      <w:r w:rsidRPr="000064E1">
        <w:rPr>
          <w:lang w:val="en-AU"/>
        </w:rPr>
        <w:t>International jurisdictions</w:t>
      </w:r>
      <w:bookmarkEnd w:id="220"/>
      <w:bookmarkEnd w:id="221"/>
      <w:bookmarkEnd w:id="222"/>
      <w:bookmarkEnd w:id="223"/>
      <w:bookmarkEnd w:id="224"/>
      <w:bookmarkEnd w:id="225"/>
      <w:bookmarkEnd w:id="226"/>
      <w:bookmarkEnd w:id="227"/>
    </w:p>
    <w:p w14:paraId="04ACE6DD" w14:textId="5DE8552B" w:rsidR="00315696" w:rsidRPr="002B05BB" w:rsidRDefault="007D2110" w:rsidP="0073198B">
      <w:pPr>
        <w:spacing w:before="120" w:after="120" w:line="280" w:lineRule="exact"/>
        <w:rPr>
          <w:rFonts w:ascii="Arial" w:hAnsi="Arial" w:cs="Arial"/>
          <w:lang w:eastAsia="zh-CN"/>
        </w:rPr>
      </w:pPr>
      <w:bookmarkStart w:id="228" w:name="_Toc79056739"/>
      <w:r w:rsidRPr="002B05BB">
        <w:rPr>
          <w:rFonts w:ascii="Arial" w:hAnsi="Arial" w:cs="Arial"/>
          <w:lang w:eastAsia="zh-CN"/>
        </w:rPr>
        <w:t>The Review also scanned five international jurisdictions to understand their blood research and development programs. The information about these jurisdictions, which included New Zealand, Canada, United Kingdom, Germany, and the Netherlands, informed the Review on what their strategic research and development focus has been in the blood sector.</w:t>
      </w:r>
      <w:bookmarkEnd w:id="228"/>
    </w:p>
    <w:p w14:paraId="0BC731E6" w14:textId="77777777" w:rsidR="00E67D66" w:rsidRDefault="00E67D66" w:rsidP="0073198B">
      <w:pPr>
        <w:spacing w:before="120" w:after="120" w:line="280" w:lineRule="exact"/>
        <w:rPr>
          <w:rFonts w:asciiTheme="majorHAnsi" w:hAnsiTheme="majorHAnsi"/>
          <w:b/>
          <w:caps/>
          <w:color w:val="36424A" w:themeColor="text2"/>
          <w:sz w:val="28"/>
          <w:lang w:eastAsia="zh-CN"/>
        </w:rPr>
      </w:pPr>
      <w:r>
        <w:rPr>
          <w:lang w:eastAsia="zh-CN"/>
        </w:rPr>
        <w:br w:type="page"/>
      </w:r>
    </w:p>
    <w:p w14:paraId="5665FB35" w14:textId="7E38937F" w:rsidR="007D7E1D" w:rsidRPr="00275136" w:rsidRDefault="00EF180C" w:rsidP="007D7E1D">
      <w:pPr>
        <w:pStyle w:val="Heading1"/>
        <w:rPr>
          <w:lang w:eastAsia="zh-CN"/>
        </w:rPr>
      </w:pPr>
      <w:bookmarkStart w:id="229" w:name="_Appendix_C_-"/>
      <w:bookmarkStart w:id="230" w:name="_Toc90456695"/>
      <w:bookmarkEnd w:id="229"/>
      <w:r w:rsidRPr="0073198B">
        <w:rPr>
          <w:noProof/>
          <w:lang w:val="en-AU" w:eastAsia="en-AU"/>
        </w:rPr>
        <mc:AlternateContent>
          <mc:Choice Requires="wpg">
            <w:drawing>
              <wp:anchor distT="0" distB="0" distL="114300" distR="114300" simplePos="0" relativeHeight="251664896" behindDoc="0" locked="0" layoutInCell="1" allowOverlap="1" wp14:anchorId="3B0AA85E" wp14:editId="773DE3C6">
                <wp:simplePos x="0" y="0"/>
                <wp:positionH relativeFrom="column">
                  <wp:posOffset>-1288473</wp:posOffset>
                </wp:positionH>
                <wp:positionV relativeFrom="paragraph">
                  <wp:posOffset>-286154</wp:posOffset>
                </wp:positionV>
                <wp:extent cx="787222" cy="782411"/>
                <wp:effectExtent l="171450" t="171450" r="165735" b="170180"/>
                <wp:wrapNone/>
                <wp:docPr id="107" name="Group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7222" cy="782411"/>
                          <a:chOff x="0" y="0"/>
                          <a:chExt cx="787222" cy="782411"/>
                        </a:xfrm>
                      </wpg:grpSpPr>
                      <wps:wsp>
                        <wps:cNvPr id="108" name="Rectangle 108"/>
                        <wps:cNvSpPr/>
                        <wps:spPr>
                          <a:xfrm rot="2700000">
                            <a:off x="17941" y="13131"/>
                            <a:ext cx="765125" cy="77343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rot="2700000">
                            <a:off x="0" y="0"/>
                            <a:ext cx="773289" cy="773289"/>
                          </a:xfrm>
                          <a:prstGeom prst="rect">
                            <a:avLst/>
                          </a:prstGeom>
                          <a:solidFill>
                            <a:srgbClr val="0E41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DE95F1" id="Group 107" o:spid="_x0000_s1026" alt="&quot;&quot;" style="position:absolute;margin-left:-101.45pt;margin-top:-22.55pt;width:62pt;height:61.6pt;z-index:251664896" coordsize="7872,7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">
                <v:rect id="Rectangle 108" o:spid="_x0000_s1027" style="position:absolute;left:179;top:130;width:7652;height:7735;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" fillcolor="red" stroked="f" strokeweight="1pt"/>
                <v:rect id="Rectangle 109" o:spid="_x0000_s1028" style="position:absolute;width:7732;height:7732;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" fillcolor="#0e4168" stroked="f" strokeweight="1pt"/>
              </v:group>
            </w:pict>
          </mc:Fallback>
        </mc:AlternateContent>
      </w:r>
      <w:r w:rsidR="00150B98">
        <w:rPr>
          <w:lang w:eastAsia="zh-CN"/>
        </w:rPr>
        <w:t>A</w:t>
      </w:r>
      <w:r w:rsidR="009F5FA4">
        <w:rPr>
          <w:lang w:eastAsia="zh-CN"/>
        </w:rPr>
        <w:t>ppendix</w:t>
      </w:r>
      <w:r w:rsidR="00E85817">
        <w:rPr>
          <w:lang w:eastAsia="zh-CN"/>
        </w:rPr>
        <w:t xml:space="preserve"> </w:t>
      </w:r>
      <w:r w:rsidR="00E67D66">
        <w:rPr>
          <w:lang w:eastAsia="zh-CN"/>
        </w:rPr>
        <w:t>C</w:t>
      </w:r>
      <w:r w:rsidR="00750635">
        <w:rPr>
          <w:lang w:eastAsia="zh-CN"/>
        </w:rPr>
        <w:t xml:space="preserve"> -</w:t>
      </w:r>
      <w:r w:rsidR="00E85817">
        <w:rPr>
          <w:lang w:eastAsia="zh-CN"/>
        </w:rPr>
        <w:t xml:space="preserve"> </w:t>
      </w:r>
      <w:r w:rsidR="007D7E1D" w:rsidRPr="00275136">
        <w:rPr>
          <w:lang w:eastAsia="zh-CN"/>
        </w:rPr>
        <w:t>References</w:t>
      </w:r>
      <w:bookmarkEnd w:id="230"/>
      <w:r w:rsidR="007D7E1D" w:rsidRPr="00275136">
        <w:rPr>
          <w:lang w:eastAsia="zh-CN"/>
        </w:rPr>
        <w:t xml:space="preserve"> </w:t>
      </w:r>
      <w:bookmarkEnd w:id="127"/>
    </w:p>
    <w:p w14:paraId="51677B8F" w14:textId="39AFC58A" w:rsidR="008815B8" w:rsidRPr="00485857" w:rsidRDefault="008815B8" w:rsidP="0033600E">
      <w:pPr>
        <w:pStyle w:val="BodyText"/>
        <w:rPr>
          <w:rFonts w:ascii="Arial" w:hAnsi="Arial" w:cs="Arial"/>
        </w:rPr>
      </w:pPr>
      <w:bookmarkStart w:id="231" w:name="_Hlk76646615"/>
      <w:r w:rsidRPr="00485857">
        <w:rPr>
          <w:rFonts w:ascii="Arial" w:hAnsi="Arial" w:cs="Arial"/>
        </w:rPr>
        <w:t xml:space="preserve">Alfred Health. (2021). </w:t>
      </w:r>
      <w:r w:rsidRPr="00485857">
        <w:rPr>
          <w:rFonts w:ascii="Arial" w:hAnsi="Arial" w:cs="Arial"/>
          <w:i/>
        </w:rPr>
        <w:t xml:space="preserve">Clinical Haematology research. </w:t>
      </w:r>
      <w:r w:rsidRPr="00485857">
        <w:rPr>
          <w:rFonts w:ascii="Arial" w:hAnsi="Arial" w:cs="Arial"/>
        </w:rPr>
        <w:t xml:space="preserve">Retrieved from: </w:t>
      </w:r>
      <w:hyperlink r:id="rId46" w:history="1">
        <w:r w:rsidRPr="00485857">
          <w:rPr>
            <w:rStyle w:val="Hyperlink"/>
            <w:rFonts w:ascii="Arial" w:hAnsi="Arial" w:cs="Arial"/>
          </w:rPr>
          <w:t>https://www.alfredhealth.org.au/research/research-areas/clinical-haematology-research</w:t>
        </w:r>
      </w:hyperlink>
      <w:bookmarkEnd w:id="231"/>
    </w:p>
    <w:p w14:paraId="0FC07FD7" w14:textId="77777777" w:rsidR="00D7027C" w:rsidRPr="00485857" w:rsidRDefault="00D7027C" w:rsidP="00485857">
      <w:pPr>
        <w:spacing w:before="120" w:after="120" w:line="280" w:lineRule="exact"/>
        <w:rPr>
          <w:rFonts w:ascii="Arial" w:hAnsi="Arial" w:cs="Arial"/>
        </w:rPr>
      </w:pPr>
      <w:bookmarkStart w:id="232" w:name="_Hlk76645152"/>
      <w:bookmarkStart w:id="233" w:name="_Hlk76644738"/>
      <w:r w:rsidRPr="00485857">
        <w:rPr>
          <w:rFonts w:ascii="Arial" w:hAnsi="Arial" w:cs="Arial"/>
        </w:rPr>
        <w:t xml:space="preserve">Australian and New Zealand Society of Blood Transfusion. (2021). </w:t>
      </w:r>
      <w:r w:rsidRPr="00485857">
        <w:rPr>
          <w:rFonts w:ascii="Arial" w:hAnsi="Arial" w:cs="Arial"/>
          <w:i/>
        </w:rPr>
        <w:t>Research</w:t>
      </w:r>
      <w:r w:rsidRPr="00485857">
        <w:rPr>
          <w:rFonts w:ascii="Arial" w:hAnsi="Arial" w:cs="Arial"/>
        </w:rPr>
        <w:t xml:space="preserve">. Retrieved from: </w:t>
      </w:r>
      <w:hyperlink r:id="rId47" w:history="1">
        <w:r w:rsidRPr="00485857">
          <w:rPr>
            <w:rStyle w:val="Hyperlink"/>
            <w:rFonts w:ascii="Arial" w:hAnsi="Arial" w:cs="Arial"/>
          </w:rPr>
          <w:t>https://anzsbt.org.au/education-research/research/</w:t>
        </w:r>
      </w:hyperlink>
    </w:p>
    <w:p w14:paraId="3311C62C" w14:textId="15BBA095" w:rsidR="00C00966" w:rsidRPr="00485857" w:rsidRDefault="00C00966" w:rsidP="0073198B">
      <w:pPr>
        <w:rPr>
          <w:rFonts w:ascii="Arial" w:hAnsi="Arial" w:cs="Arial"/>
        </w:rPr>
      </w:pPr>
      <w:bookmarkStart w:id="234" w:name="_Toc76735615"/>
      <w:bookmarkStart w:id="235" w:name="_Toc76741468"/>
      <w:bookmarkStart w:id="236" w:name="_Toc77157763"/>
      <w:bookmarkStart w:id="237" w:name="_Toc79056741"/>
      <w:bookmarkEnd w:id="232"/>
      <w:r w:rsidRPr="000C1CF6">
        <w:rPr>
          <w:rFonts w:ascii="Arial" w:hAnsi="Arial" w:cs="Arial"/>
        </w:rPr>
        <w:t>A</w:t>
      </w:r>
      <w:r w:rsidRPr="00485857">
        <w:rPr>
          <w:rFonts w:ascii="Arial" w:hAnsi="Arial" w:cs="Arial"/>
        </w:rPr>
        <w:t xml:space="preserve">ustralian Bureau of Statistics. (2019). Research and </w:t>
      </w:r>
      <w:r w:rsidR="00D7027C" w:rsidRPr="00485857">
        <w:rPr>
          <w:rFonts w:ascii="Arial" w:hAnsi="Arial" w:cs="Arial"/>
        </w:rPr>
        <w:t>experimental development, businesses</w:t>
      </w:r>
      <w:r w:rsidRPr="00485857">
        <w:rPr>
          <w:rFonts w:ascii="Arial" w:hAnsi="Arial" w:cs="Arial"/>
        </w:rPr>
        <w:t xml:space="preserve">, Australia. Retrieved from: </w:t>
      </w:r>
      <w:hyperlink r:id="rId48" w:history="1">
        <w:r w:rsidRPr="00485857">
          <w:rPr>
            <w:rStyle w:val="Hyperlink"/>
            <w:rFonts w:ascii="Arial" w:hAnsi="Arial" w:cs="Arial"/>
          </w:rPr>
          <w:t>https://www.abs.gov.au/statistics/industry/technology-and-innovation/research-and-experimental-development-businesses-australia/latest-release</w:t>
        </w:r>
        <w:bookmarkEnd w:id="234"/>
        <w:bookmarkEnd w:id="235"/>
        <w:bookmarkEnd w:id="236"/>
        <w:bookmarkEnd w:id="237"/>
      </w:hyperlink>
    </w:p>
    <w:p w14:paraId="7B3B4957" w14:textId="4BC6765C" w:rsidR="003909F6" w:rsidRPr="00485857" w:rsidRDefault="003909F6" w:rsidP="00485857">
      <w:pPr>
        <w:spacing w:before="120" w:after="120" w:line="280" w:lineRule="exact"/>
        <w:rPr>
          <w:rFonts w:ascii="Arial" w:hAnsi="Arial" w:cs="Arial"/>
        </w:rPr>
      </w:pPr>
      <w:bookmarkStart w:id="238" w:name="_Toc273196825"/>
      <w:bookmarkEnd w:id="233"/>
      <w:r w:rsidRPr="00485857">
        <w:rPr>
          <w:rFonts w:ascii="Arial" w:hAnsi="Arial" w:cs="Arial"/>
        </w:rPr>
        <w:t xml:space="preserve">Australian Bureau of Statistics. (2020). Research and Experimental Development, Higher Education Organisations, Australia. Retrieved from: </w:t>
      </w:r>
      <w:hyperlink r:id="rId49" w:history="1">
        <w:r w:rsidRPr="00485857">
          <w:rPr>
            <w:rStyle w:val="Hyperlink"/>
            <w:rFonts w:ascii="Arial" w:hAnsi="Arial" w:cs="Arial"/>
          </w:rPr>
          <w:t>https://www.abs.gov.au/statistics/industry/technology-and-innovation/research-and-experimental-development-higher-education-organisations-australia/latest-release</w:t>
        </w:r>
      </w:hyperlink>
    </w:p>
    <w:p w14:paraId="6C6CF0FE" w14:textId="77777777" w:rsidR="009E519C" w:rsidRPr="00485857" w:rsidRDefault="009E519C" w:rsidP="00485857">
      <w:pPr>
        <w:spacing w:before="120" w:after="120" w:line="280" w:lineRule="exact"/>
        <w:rPr>
          <w:rFonts w:ascii="Arial" w:hAnsi="Arial" w:cs="Arial"/>
        </w:rPr>
      </w:pPr>
      <w:r w:rsidRPr="00485857">
        <w:rPr>
          <w:rFonts w:ascii="Arial" w:hAnsi="Arial" w:cs="Arial"/>
        </w:rPr>
        <w:t xml:space="preserve">Australian Commission on Safety and Quality in Health Care. (2021). About us.  Retrieved from: </w:t>
      </w:r>
      <w:hyperlink r:id="rId50" w:history="1">
        <w:r w:rsidRPr="00485857">
          <w:rPr>
            <w:rStyle w:val="Hyperlink"/>
            <w:rFonts w:ascii="Arial" w:hAnsi="Arial" w:cs="Arial"/>
          </w:rPr>
          <w:t>https://www.safetyandquality.gov.au/about-us</w:t>
        </w:r>
      </w:hyperlink>
      <w:r w:rsidRPr="00485857">
        <w:rPr>
          <w:rFonts w:ascii="Arial" w:hAnsi="Arial" w:cs="Arial"/>
        </w:rPr>
        <w:t xml:space="preserve"> </w:t>
      </w:r>
    </w:p>
    <w:p w14:paraId="36EA0427" w14:textId="2A842950" w:rsidR="007F47CB" w:rsidRPr="00485857" w:rsidRDefault="007F47CB" w:rsidP="007F47CB">
      <w:pPr>
        <w:pStyle w:val="BodyText"/>
        <w:rPr>
          <w:rFonts w:ascii="Arial" w:hAnsi="Arial" w:cs="Arial"/>
        </w:rPr>
      </w:pPr>
      <w:bookmarkStart w:id="239" w:name="_Hlk76646528"/>
      <w:r w:rsidRPr="00485857">
        <w:rPr>
          <w:rFonts w:ascii="Arial" w:hAnsi="Arial" w:cs="Arial"/>
        </w:rPr>
        <w:t xml:space="preserve">Australian Haemophilia Centre Directors’ Organisation. (2021). </w:t>
      </w:r>
      <w:r w:rsidRPr="00485857">
        <w:rPr>
          <w:rFonts w:ascii="Arial" w:hAnsi="Arial" w:cs="Arial"/>
          <w:i/>
        </w:rPr>
        <w:t xml:space="preserve">Australian Haemophilia Centre Directors’ Organisation. </w:t>
      </w:r>
      <w:r w:rsidRPr="00485857">
        <w:rPr>
          <w:rFonts w:ascii="Arial" w:hAnsi="Arial" w:cs="Arial"/>
        </w:rPr>
        <w:t xml:space="preserve">Retrieved from: </w:t>
      </w:r>
      <w:hyperlink r:id="rId51" w:history="1">
        <w:r w:rsidRPr="00485857">
          <w:rPr>
            <w:rStyle w:val="Hyperlink"/>
            <w:rFonts w:ascii="Arial" w:hAnsi="Arial" w:cs="Arial"/>
          </w:rPr>
          <w:t>https://www.ahcdo.org.au</w:t>
        </w:r>
      </w:hyperlink>
      <w:bookmarkEnd w:id="239"/>
    </w:p>
    <w:p w14:paraId="06EA85E0" w14:textId="18822D10" w:rsidR="00FC0004" w:rsidRPr="00485857" w:rsidRDefault="00FC0004" w:rsidP="00485857">
      <w:pPr>
        <w:pStyle w:val="FootnoteText"/>
        <w:spacing w:before="120" w:after="120" w:line="280" w:lineRule="exact"/>
        <w:rPr>
          <w:rFonts w:ascii="Arial" w:hAnsi="Arial" w:cs="Arial"/>
          <w:sz w:val="22"/>
          <w:szCs w:val="22"/>
        </w:rPr>
      </w:pPr>
      <w:r w:rsidRPr="00485857">
        <w:rPr>
          <w:rFonts w:ascii="Arial" w:eastAsia="Times New Roman" w:hAnsi="Arial" w:cs="Arial"/>
          <w:sz w:val="22"/>
          <w:szCs w:val="22"/>
        </w:rPr>
        <w:t xml:space="preserve">Australian National Audit Office. (November 2020). Performance Measurement and Monitoring — Developing Performance Measures and Tracking Progress. Australian Government. Retrieved from: </w:t>
      </w:r>
      <w:r w:rsidRPr="00485857">
        <w:rPr>
          <w:rStyle w:val="Hyperlink"/>
          <w:rFonts w:ascii="Arial" w:hAnsi="Arial" w:cs="Arial"/>
          <w:sz w:val="22"/>
          <w:szCs w:val="22"/>
        </w:rPr>
        <w:t>https://www.anao.gov.au/work/audit-insights/performance-measurement-and-monitoring-developing-performance-measures-and-tracking-progress</w:t>
      </w:r>
    </w:p>
    <w:p w14:paraId="0D1F1F3A" w14:textId="798B90BE" w:rsidR="002E5A09" w:rsidRPr="00485857" w:rsidRDefault="002E5A09" w:rsidP="00485857">
      <w:pPr>
        <w:spacing w:before="120" w:after="120" w:line="280" w:lineRule="exact"/>
        <w:rPr>
          <w:rFonts w:ascii="Arial" w:hAnsi="Arial" w:cs="Arial"/>
          <w:lang w:eastAsia="zh-CN"/>
        </w:rPr>
      </w:pPr>
      <w:bookmarkStart w:id="240" w:name="_Hlk76645693"/>
      <w:r>
        <w:rPr>
          <w:rFonts w:ascii="Arial" w:hAnsi="Arial" w:cs="Arial"/>
        </w:rPr>
        <w:t xml:space="preserve">Australian Red Cross Lifeblood. (2019). </w:t>
      </w:r>
      <w:r>
        <w:rPr>
          <w:rFonts w:ascii="Arial" w:hAnsi="Arial" w:cs="Arial"/>
          <w:i/>
          <w:iCs/>
        </w:rPr>
        <w:t xml:space="preserve">Our research </w:t>
      </w:r>
      <w:bookmarkEnd w:id="240"/>
      <w:r w:rsidR="000211DA">
        <w:rPr>
          <w:rFonts w:ascii="Arial" w:hAnsi="Arial" w:cs="Arial"/>
          <w:i/>
          <w:iCs/>
        </w:rPr>
        <w:t>program.</w:t>
      </w:r>
      <w:r w:rsidR="000211DA" w:rsidRPr="00485857">
        <w:rPr>
          <w:rFonts w:ascii="Arial" w:hAnsi="Arial" w:cs="Arial"/>
          <w:lang w:eastAsia="zh-CN"/>
        </w:rPr>
        <w:t xml:space="preserve"> </w:t>
      </w:r>
      <w:hyperlink r:id="rId52" w:history="1">
        <w:r w:rsidR="000211DA" w:rsidRPr="000211DA">
          <w:rPr>
            <w:rStyle w:val="Hyperlink"/>
            <w:rFonts w:ascii="Arial" w:hAnsi="Arial" w:cs="Arial"/>
            <w:lang w:eastAsia="zh-CN"/>
          </w:rPr>
          <w:t>https://www.donateblood.com.au/research/our-research-program</w:t>
        </w:r>
      </w:hyperlink>
    </w:p>
    <w:p w14:paraId="66B28EC0" w14:textId="77777777" w:rsidR="00046EB8" w:rsidRPr="00485857" w:rsidRDefault="00046EB8" w:rsidP="00485857">
      <w:pPr>
        <w:spacing w:before="120" w:after="120" w:line="280" w:lineRule="exact"/>
        <w:rPr>
          <w:rFonts w:ascii="Arial" w:hAnsi="Arial" w:cs="Arial"/>
        </w:rPr>
      </w:pPr>
      <w:r w:rsidRPr="00485857">
        <w:rPr>
          <w:rFonts w:ascii="Arial" w:hAnsi="Arial" w:cs="Arial"/>
        </w:rPr>
        <w:t xml:space="preserve">Australian Red Cross Lifeblood. (2021). Product Safety. Retrieved from: </w:t>
      </w:r>
      <w:hyperlink r:id="rId53" w:history="1">
        <w:r w:rsidRPr="00485857">
          <w:rPr>
            <w:rStyle w:val="Hyperlink"/>
            <w:rFonts w:ascii="Arial" w:hAnsi="Arial" w:cs="Arial"/>
          </w:rPr>
          <w:t>https://www.donateblood.com.au/research/product-safety</w:t>
        </w:r>
      </w:hyperlink>
    </w:p>
    <w:p w14:paraId="17DCC1D9" w14:textId="6A720139" w:rsidR="0033600E" w:rsidRPr="00485857" w:rsidRDefault="000B62DE" w:rsidP="0033600E">
      <w:pPr>
        <w:pStyle w:val="BodyText"/>
        <w:rPr>
          <w:rStyle w:val="Hyperlink"/>
          <w:rFonts w:ascii="Arial" w:hAnsi="Arial" w:cs="Arial"/>
        </w:rPr>
      </w:pPr>
      <w:r w:rsidRPr="00485857">
        <w:rPr>
          <w:rFonts w:ascii="Arial" w:hAnsi="Arial" w:cs="Arial"/>
        </w:rPr>
        <w:t xml:space="preserve">Australian Red Cross Lifeblood. (2021). Our research program. Retrieved from: </w:t>
      </w:r>
      <w:hyperlink r:id="rId54" w:history="1">
        <w:r w:rsidRPr="00485857">
          <w:rPr>
            <w:rStyle w:val="Hyperlink"/>
            <w:rFonts w:ascii="Arial" w:hAnsi="Arial" w:cs="Arial"/>
          </w:rPr>
          <w:t>donateblood.com.au/research/our-research-program</w:t>
        </w:r>
      </w:hyperlink>
    </w:p>
    <w:p w14:paraId="31937D44" w14:textId="3C62EEB1" w:rsidR="00007F8F" w:rsidRPr="00485857" w:rsidRDefault="00007F8F" w:rsidP="0033600E">
      <w:pPr>
        <w:pStyle w:val="BodyText"/>
        <w:rPr>
          <w:rStyle w:val="Hyperlink"/>
          <w:rFonts w:ascii="Arial" w:hAnsi="Arial" w:cs="Arial"/>
        </w:rPr>
      </w:pPr>
      <w:r w:rsidRPr="00485857">
        <w:rPr>
          <w:rFonts w:ascii="Arial" w:hAnsi="Arial" w:cs="Arial"/>
        </w:rPr>
        <w:t xml:space="preserve">Australian Red Cross Lifeblood. (2021). Product safety. Retrieved from: </w:t>
      </w:r>
      <w:hyperlink r:id="rId55" w:history="1">
        <w:r w:rsidRPr="00485857">
          <w:rPr>
            <w:rStyle w:val="Hyperlink"/>
            <w:rFonts w:ascii="Arial" w:hAnsi="Arial" w:cs="Arial"/>
          </w:rPr>
          <w:t>https://www.blood.gov.au/document/national-blood-sector-education-and-training-strategy-2013-2016-docx</w:t>
        </w:r>
      </w:hyperlink>
    </w:p>
    <w:p w14:paraId="49FA60BC" w14:textId="6A3E057C" w:rsidR="007468D4" w:rsidRPr="00485857" w:rsidRDefault="007468D4" w:rsidP="00485857">
      <w:pPr>
        <w:pStyle w:val="FootnoteText"/>
        <w:spacing w:before="120" w:after="120" w:line="280" w:lineRule="exact"/>
        <w:rPr>
          <w:rFonts w:ascii="Arial" w:hAnsi="Arial" w:cs="Arial"/>
          <w:sz w:val="22"/>
          <w:szCs w:val="22"/>
          <w:lang w:val="en-AU"/>
        </w:rPr>
      </w:pPr>
      <w:bookmarkStart w:id="241" w:name="_Hlk76646224"/>
      <w:r w:rsidRPr="00485857">
        <w:rPr>
          <w:rFonts w:ascii="Arial" w:hAnsi="Arial" w:cs="Arial"/>
          <w:sz w:val="22"/>
          <w:szCs w:val="22"/>
        </w:rPr>
        <w:t xml:space="preserve">Australian Red Cross Lifeblood. (2020). </w:t>
      </w:r>
      <w:r w:rsidRPr="00485857">
        <w:rPr>
          <w:rFonts w:ascii="Arial" w:hAnsi="Arial" w:cs="Arial"/>
          <w:i/>
          <w:sz w:val="22"/>
          <w:szCs w:val="22"/>
        </w:rPr>
        <w:t>Research Annual Report 2019-20.</w:t>
      </w:r>
      <w:r w:rsidRPr="00485857">
        <w:rPr>
          <w:rFonts w:ascii="Arial" w:hAnsi="Arial" w:cs="Arial"/>
          <w:sz w:val="22"/>
          <w:szCs w:val="22"/>
        </w:rPr>
        <w:t xml:space="preserve"> Retrieved from: </w:t>
      </w:r>
      <w:hyperlink r:id="rId56" w:history="1">
        <w:r w:rsidRPr="00485857">
          <w:rPr>
            <w:rStyle w:val="Hyperlink"/>
            <w:rFonts w:ascii="Arial" w:hAnsi="Arial" w:cs="Arial"/>
            <w:sz w:val="22"/>
            <w:szCs w:val="22"/>
          </w:rPr>
          <w:t>https://www.donateblood.com.au/sites/default/files/J20515_2019_20_RDAnnualReport-Public_5.0.pdf</w:t>
        </w:r>
      </w:hyperlink>
      <w:r w:rsidRPr="00485857">
        <w:rPr>
          <w:rFonts w:ascii="Arial" w:hAnsi="Arial" w:cs="Arial"/>
          <w:sz w:val="22"/>
          <w:szCs w:val="22"/>
        </w:rPr>
        <w:t>, p.5, 14, 15</w:t>
      </w:r>
      <w:bookmarkEnd w:id="241"/>
    </w:p>
    <w:p w14:paraId="39F4BD62" w14:textId="77777777" w:rsidR="00CC667E" w:rsidRPr="00485857" w:rsidRDefault="00CC667E" w:rsidP="00485857">
      <w:pPr>
        <w:spacing w:before="120" w:after="120" w:line="280" w:lineRule="exact"/>
        <w:rPr>
          <w:rFonts w:ascii="Arial" w:hAnsi="Arial" w:cs="Arial"/>
        </w:rPr>
      </w:pPr>
      <w:r w:rsidRPr="00485857">
        <w:rPr>
          <w:rFonts w:ascii="Arial" w:hAnsi="Arial" w:cs="Arial"/>
        </w:rPr>
        <w:t xml:space="preserve">Blood Synergy. (2021). </w:t>
      </w:r>
      <w:r w:rsidRPr="00485857">
        <w:rPr>
          <w:rFonts w:ascii="Arial" w:hAnsi="Arial" w:cs="Arial"/>
          <w:i/>
        </w:rPr>
        <w:t>Blood Synergy</w:t>
      </w:r>
      <w:r w:rsidRPr="00485857">
        <w:rPr>
          <w:rFonts w:ascii="Arial" w:hAnsi="Arial" w:cs="Arial"/>
        </w:rPr>
        <w:t xml:space="preserve">. Monash University. Retrieved from: </w:t>
      </w:r>
      <w:hyperlink r:id="rId57" w:history="1">
        <w:r w:rsidRPr="00485857">
          <w:rPr>
            <w:rStyle w:val="Hyperlink"/>
            <w:rFonts w:ascii="Arial" w:hAnsi="Arial" w:cs="Arial"/>
          </w:rPr>
          <w:t>https://bloodsynergy.org/</w:t>
        </w:r>
      </w:hyperlink>
      <w:r w:rsidRPr="00485857">
        <w:rPr>
          <w:rFonts w:ascii="Arial" w:hAnsi="Arial" w:cs="Arial"/>
        </w:rPr>
        <w:t>.</w:t>
      </w:r>
    </w:p>
    <w:p w14:paraId="32B442C4" w14:textId="77777777" w:rsidR="00561238" w:rsidRDefault="00561238" w:rsidP="00485857">
      <w:pPr>
        <w:spacing w:before="120" w:after="120" w:line="280" w:lineRule="exact"/>
        <w:rPr>
          <w:rFonts w:ascii="Arial" w:hAnsi="Arial" w:cs="Arial"/>
        </w:rPr>
      </w:pPr>
      <w:bookmarkStart w:id="242" w:name="_Hlk76645943"/>
      <w:r>
        <w:rPr>
          <w:rFonts w:ascii="Arial" w:hAnsi="Arial" w:cs="Arial"/>
        </w:rPr>
        <w:t xml:space="preserve">Blood Synergy. (2021). </w:t>
      </w:r>
      <w:r>
        <w:rPr>
          <w:rFonts w:ascii="Arial" w:hAnsi="Arial" w:cs="Arial"/>
          <w:i/>
          <w:iCs/>
        </w:rPr>
        <w:t xml:space="preserve">Research. </w:t>
      </w:r>
      <w:r>
        <w:rPr>
          <w:rFonts w:ascii="Arial" w:hAnsi="Arial" w:cs="Arial"/>
        </w:rPr>
        <w:t xml:space="preserve">Monash University. Retrieved from: </w:t>
      </w:r>
      <w:hyperlink r:id="rId58" w:history="1">
        <w:r w:rsidRPr="00961F87">
          <w:rPr>
            <w:rStyle w:val="Hyperlink"/>
            <w:rFonts w:ascii="Arial" w:hAnsi="Arial" w:cs="Arial"/>
          </w:rPr>
          <w:t>https://bloodsynergy.org/research/</w:t>
        </w:r>
      </w:hyperlink>
    </w:p>
    <w:bookmarkEnd w:id="242"/>
    <w:p w14:paraId="4768C077" w14:textId="5D31DE79" w:rsidR="000D51E8" w:rsidRPr="00485857" w:rsidRDefault="000D51E8" w:rsidP="00485857">
      <w:pPr>
        <w:spacing w:before="120" w:after="120" w:line="280" w:lineRule="exact"/>
        <w:rPr>
          <w:rStyle w:val="Hyperlink"/>
          <w:rFonts w:ascii="Arial" w:hAnsi="Arial" w:cs="Arial"/>
        </w:rPr>
      </w:pPr>
      <w:r w:rsidRPr="00485857">
        <w:rPr>
          <w:rFonts w:ascii="Arial" w:hAnsi="Arial" w:cs="Arial"/>
        </w:rPr>
        <w:t>Canadian Blood Service. (2019). Keeping the Promise: Strategic Plan 2019-2024, Retrieved from:</w:t>
      </w:r>
      <w:r w:rsidR="000211DA">
        <w:rPr>
          <w:rFonts w:ascii="Arial" w:hAnsi="Arial" w:cs="Arial"/>
        </w:rPr>
        <w:t xml:space="preserve"> </w:t>
      </w:r>
      <w:hyperlink r:id="rId59" w:history="1">
        <w:r w:rsidR="000211DA" w:rsidRPr="000211DA">
          <w:rPr>
            <w:rStyle w:val="Hyperlink"/>
            <w:rFonts w:ascii="Arial" w:hAnsi="Arial" w:cs="Arial"/>
          </w:rPr>
          <w:t>https://www.blood.ca/sites/default/files/CBS_Strat_Plan_2019_ENGLISH_April_5_2019.pdf</w:t>
        </w:r>
      </w:hyperlink>
    </w:p>
    <w:p w14:paraId="13673E09" w14:textId="5C33EEDD" w:rsidR="007046B9" w:rsidRDefault="00214C12" w:rsidP="00485857">
      <w:pPr>
        <w:spacing w:before="120" w:after="120" w:line="280" w:lineRule="exact"/>
        <w:rPr>
          <w:rFonts w:ascii="Arial" w:hAnsi="Arial" w:cs="Arial"/>
        </w:rPr>
      </w:pPr>
      <w:r w:rsidRPr="00485857">
        <w:rPr>
          <w:rFonts w:ascii="Arial" w:hAnsi="Arial" w:cs="Arial"/>
        </w:rPr>
        <w:t xml:space="preserve">Commonwealth, State and Territory Governments. (2002). </w:t>
      </w:r>
      <w:r w:rsidRPr="00485857">
        <w:rPr>
          <w:rFonts w:ascii="Arial" w:hAnsi="Arial" w:cs="Arial"/>
          <w:i/>
        </w:rPr>
        <w:t xml:space="preserve">National Blood Agreement. </w:t>
      </w:r>
      <w:r w:rsidRPr="00485857">
        <w:rPr>
          <w:rFonts w:ascii="Arial" w:hAnsi="Arial" w:cs="Arial"/>
        </w:rPr>
        <w:t xml:space="preserve">pp.4-6, Retrieved from: </w:t>
      </w:r>
      <w:hyperlink r:id="rId60" w:history="1">
        <w:r w:rsidRPr="00485857">
          <w:rPr>
            <w:rStyle w:val="Hyperlink"/>
            <w:rFonts w:ascii="Arial" w:hAnsi="Arial" w:cs="Arial"/>
          </w:rPr>
          <w:t>https://www.blood.gov.au/system/files/documents/nba-national-blood-agreement.pdf</w:t>
        </w:r>
      </w:hyperlink>
    </w:p>
    <w:p w14:paraId="7AC3A792" w14:textId="77777777" w:rsidR="007046B9" w:rsidRPr="00485857" w:rsidRDefault="007046B9" w:rsidP="00485857">
      <w:pPr>
        <w:spacing w:before="120" w:after="120" w:line="280" w:lineRule="exact"/>
        <w:rPr>
          <w:rFonts w:ascii="Arial" w:hAnsi="Arial" w:cs="Arial"/>
        </w:rPr>
      </w:pPr>
      <w:bookmarkStart w:id="243" w:name="_Hlk76646031"/>
      <w:r w:rsidRPr="00485857">
        <w:rPr>
          <w:rFonts w:ascii="Arial" w:hAnsi="Arial" w:cs="Arial"/>
        </w:rPr>
        <w:t xml:space="preserve">CSL Behring. (2021). </w:t>
      </w:r>
      <w:r w:rsidRPr="00485857">
        <w:rPr>
          <w:rFonts w:ascii="Arial" w:hAnsi="Arial" w:cs="Arial"/>
          <w:i/>
        </w:rPr>
        <w:t xml:space="preserve">R&amp;D Capabilities. </w:t>
      </w:r>
      <w:r w:rsidRPr="00485857">
        <w:rPr>
          <w:rFonts w:ascii="Arial" w:hAnsi="Arial" w:cs="Arial"/>
        </w:rPr>
        <w:t xml:space="preserve">Retrieved from: </w:t>
      </w:r>
      <w:hyperlink r:id="rId61" w:history="1">
        <w:r w:rsidRPr="00485857">
          <w:rPr>
            <w:rStyle w:val="Hyperlink"/>
            <w:rFonts w:ascii="Arial" w:hAnsi="Arial" w:cs="Arial"/>
          </w:rPr>
          <w:t>https://www.cslbehring.com.au/research-and-development/research-and-development-capabilities</w:t>
        </w:r>
      </w:hyperlink>
    </w:p>
    <w:p w14:paraId="192A4A26" w14:textId="77777777" w:rsidR="00752048" w:rsidRPr="00485857" w:rsidRDefault="00752048" w:rsidP="00485857">
      <w:pPr>
        <w:spacing w:before="120" w:after="120" w:line="280" w:lineRule="exact"/>
        <w:rPr>
          <w:rFonts w:ascii="Arial" w:hAnsi="Arial" w:cs="Arial"/>
        </w:rPr>
      </w:pPr>
      <w:bookmarkStart w:id="244" w:name="_Hlk76644157"/>
      <w:bookmarkEnd w:id="243"/>
      <w:r w:rsidRPr="00485857">
        <w:rPr>
          <w:rFonts w:ascii="Arial" w:hAnsi="Arial" w:cs="Arial"/>
        </w:rPr>
        <w:t>Department of Education, Skills and Employment. (2021). </w:t>
      </w:r>
      <w:r w:rsidRPr="00485857">
        <w:rPr>
          <w:rFonts w:ascii="Arial" w:hAnsi="Arial" w:cs="Arial"/>
          <w:i/>
        </w:rPr>
        <w:t>Research Block Grants</w:t>
      </w:r>
      <w:r w:rsidRPr="00485857">
        <w:rPr>
          <w:rFonts w:ascii="Arial" w:hAnsi="Arial" w:cs="Arial"/>
        </w:rPr>
        <w:t xml:space="preserve">. Retrieved from: </w:t>
      </w:r>
      <w:hyperlink r:id="rId62" w:history="1">
        <w:r w:rsidRPr="00485857">
          <w:rPr>
            <w:rStyle w:val="Hyperlink"/>
            <w:rFonts w:ascii="Arial" w:hAnsi="Arial" w:cs="Arial"/>
          </w:rPr>
          <w:t>https://www.dese.gov.au/research-block-grants</w:t>
        </w:r>
      </w:hyperlink>
      <w:bookmarkEnd w:id="244"/>
    </w:p>
    <w:p w14:paraId="6F2F13FB" w14:textId="698DE9B0" w:rsidR="00C6106B" w:rsidRPr="00485857" w:rsidRDefault="00C6106B" w:rsidP="00485857">
      <w:pPr>
        <w:pStyle w:val="FootnoteText"/>
        <w:spacing w:before="120" w:after="120" w:line="280" w:lineRule="exact"/>
        <w:rPr>
          <w:rFonts w:ascii="Arial" w:hAnsi="Arial" w:cs="Arial"/>
          <w:sz w:val="22"/>
          <w:szCs w:val="22"/>
        </w:rPr>
      </w:pPr>
      <w:r w:rsidRPr="00485857">
        <w:rPr>
          <w:rFonts w:ascii="Arial" w:hAnsi="Arial" w:cs="Arial"/>
          <w:sz w:val="22"/>
          <w:szCs w:val="22"/>
        </w:rPr>
        <w:t xml:space="preserve">Department of Finance. (2017). </w:t>
      </w:r>
      <w:r w:rsidRPr="00485857">
        <w:rPr>
          <w:rFonts w:ascii="Arial" w:hAnsi="Arial" w:cs="Arial"/>
          <w:i/>
          <w:iCs/>
          <w:sz w:val="22"/>
          <w:szCs w:val="22"/>
        </w:rPr>
        <w:t>Commonwealth Grants Rules and Guidelines 2017.</w:t>
      </w:r>
      <w:r w:rsidRPr="00485857">
        <w:rPr>
          <w:rFonts w:ascii="Arial" w:hAnsi="Arial" w:cs="Arial"/>
          <w:sz w:val="22"/>
          <w:szCs w:val="22"/>
        </w:rPr>
        <w:t xml:space="preserve"> Retrieved from: </w:t>
      </w:r>
      <w:hyperlink r:id="rId63" w:history="1">
        <w:r w:rsidRPr="000211DA">
          <w:rPr>
            <w:rStyle w:val="Hyperlink"/>
            <w:rFonts w:ascii="Arial" w:hAnsi="Arial" w:cs="Arial"/>
            <w:sz w:val="22"/>
            <w:szCs w:val="22"/>
          </w:rPr>
          <w:t>https://www.finance.gov.au/government/commonwealth-grants/commonwealth-grants-rules-and-guidelines</w:t>
        </w:r>
      </w:hyperlink>
    </w:p>
    <w:p w14:paraId="4549B6CC" w14:textId="3836A6CE" w:rsidR="003E53DC" w:rsidRPr="00485857" w:rsidRDefault="003E53DC" w:rsidP="00485857">
      <w:pPr>
        <w:spacing w:before="120" w:after="120" w:line="280" w:lineRule="exact"/>
        <w:rPr>
          <w:rFonts w:ascii="Arial" w:eastAsia="Times New Roman" w:hAnsi="Arial" w:cs="Arial"/>
        </w:rPr>
      </w:pPr>
      <w:r w:rsidRPr="00485857">
        <w:rPr>
          <w:rFonts w:ascii="Arial" w:eastAsia="Times New Roman" w:hAnsi="Arial" w:cs="Arial"/>
        </w:rPr>
        <w:t xml:space="preserve">Department of Finance. (2019). </w:t>
      </w:r>
      <w:hyperlink r:id="rId64" w:history="1">
        <w:r w:rsidRPr="00485857">
          <w:rPr>
            <w:rStyle w:val="field"/>
            <w:rFonts w:ascii="Arial" w:hAnsi="Arial" w:cs="Arial"/>
            <w:i/>
            <w:iCs/>
            <w:color w:val="212529"/>
          </w:rPr>
          <w:t>Commonwealth Performance Framework</w:t>
        </w:r>
      </w:hyperlink>
      <w:r w:rsidRPr="00485857">
        <w:rPr>
          <w:rStyle w:val="field"/>
          <w:rFonts w:ascii="Arial" w:hAnsi="Arial" w:cs="Arial"/>
          <w:i/>
          <w:iCs/>
          <w:color w:val="212529"/>
        </w:rPr>
        <w:t>.</w:t>
      </w:r>
      <w:r w:rsidRPr="00485857">
        <w:rPr>
          <w:rFonts w:ascii="Arial" w:eastAsia="Times New Roman" w:hAnsi="Arial" w:cs="Arial"/>
          <w:i/>
          <w:iCs/>
        </w:rPr>
        <w:t xml:space="preserve"> </w:t>
      </w:r>
      <w:r w:rsidRPr="00485857">
        <w:rPr>
          <w:rStyle w:val="field"/>
          <w:rFonts w:ascii="Arial" w:hAnsi="Arial" w:cs="Arial"/>
          <w:i/>
          <w:iCs/>
          <w:color w:val="212529"/>
        </w:rPr>
        <w:t>Developing good performance information</w:t>
      </w:r>
      <w:r w:rsidRPr="00485857">
        <w:rPr>
          <w:rStyle w:val="field"/>
          <w:rFonts w:ascii="Arial" w:hAnsi="Arial" w:cs="Arial"/>
          <w:color w:val="212529"/>
        </w:rPr>
        <w:t xml:space="preserve"> (RMG 131) </w:t>
      </w:r>
      <w:r w:rsidRPr="00485857">
        <w:rPr>
          <w:rFonts w:ascii="Arial" w:eastAsia="Times New Roman" w:hAnsi="Arial" w:cs="Arial"/>
        </w:rPr>
        <w:t>Retrieved from:</w:t>
      </w:r>
    </w:p>
    <w:p w14:paraId="25E46028" w14:textId="553477ED" w:rsidR="003E53DC" w:rsidRPr="00485857" w:rsidRDefault="0013686B" w:rsidP="00485857">
      <w:pPr>
        <w:spacing w:before="120" w:after="120" w:line="280" w:lineRule="exact"/>
        <w:rPr>
          <w:rFonts w:ascii="Arial" w:eastAsia="Times New Roman" w:hAnsi="Arial" w:cs="Arial"/>
          <w:highlight w:val="green"/>
        </w:rPr>
      </w:pPr>
      <w:hyperlink r:id="rId65" w:history="1">
        <w:r w:rsidR="003E53DC" w:rsidRPr="00485857">
          <w:rPr>
            <w:rStyle w:val="Hyperlink"/>
            <w:rFonts w:ascii="Arial" w:eastAsia="Times New Roman" w:hAnsi="Arial" w:cs="Arial"/>
          </w:rPr>
          <w:t>https://www.finance.gov.au/government/managing-commonwealth-resources/developing-good-performance-information-rmg-131</w:t>
        </w:r>
      </w:hyperlink>
    </w:p>
    <w:p w14:paraId="51D2A4E1" w14:textId="367CD0E3" w:rsidR="00D52779" w:rsidRPr="00485857" w:rsidRDefault="00D52779" w:rsidP="00485857">
      <w:pPr>
        <w:pStyle w:val="FootnoteText"/>
        <w:spacing w:before="120" w:after="120" w:line="280" w:lineRule="exact"/>
        <w:rPr>
          <w:rFonts w:ascii="Arial" w:hAnsi="Arial" w:cs="Arial"/>
          <w:sz w:val="22"/>
          <w:szCs w:val="22"/>
        </w:rPr>
      </w:pPr>
      <w:bookmarkStart w:id="245" w:name="_Hlk76644443"/>
      <w:r w:rsidRPr="00485857">
        <w:rPr>
          <w:rFonts w:ascii="Arial" w:hAnsi="Arial" w:cs="Arial"/>
          <w:sz w:val="22"/>
          <w:szCs w:val="22"/>
        </w:rPr>
        <w:t xml:space="preserve">Department of Health </w:t>
      </w:r>
      <w:r w:rsidR="00D82AA2">
        <w:rPr>
          <w:rFonts w:ascii="Arial" w:hAnsi="Arial" w:cs="Arial"/>
          <w:sz w:val="22"/>
          <w:szCs w:val="22"/>
        </w:rPr>
        <w:t>(</w:t>
      </w:r>
      <w:r w:rsidRPr="00485857">
        <w:rPr>
          <w:rFonts w:ascii="Arial" w:hAnsi="Arial" w:cs="Arial"/>
          <w:sz w:val="22"/>
          <w:szCs w:val="22"/>
        </w:rPr>
        <w:t>Cth</w:t>
      </w:r>
      <w:r w:rsidR="00D82AA2">
        <w:rPr>
          <w:rFonts w:ascii="Arial" w:hAnsi="Arial" w:cs="Arial"/>
          <w:sz w:val="22"/>
          <w:szCs w:val="22"/>
        </w:rPr>
        <w:t>)</w:t>
      </w:r>
      <w:r w:rsidRPr="00485857">
        <w:rPr>
          <w:rFonts w:ascii="Arial" w:hAnsi="Arial" w:cs="Arial"/>
          <w:sz w:val="22"/>
          <w:szCs w:val="22"/>
        </w:rPr>
        <w:t xml:space="preserve">. (2021). The Australian health system. Australian Government. Retrieved from: </w:t>
      </w:r>
      <w:hyperlink r:id="rId66" w:history="1">
        <w:r w:rsidRPr="00485857">
          <w:rPr>
            <w:rStyle w:val="Hyperlink"/>
            <w:rFonts w:ascii="Arial" w:hAnsi="Arial" w:cs="Arial"/>
            <w:sz w:val="22"/>
            <w:szCs w:val="22"/>
          </w:rPr>
          <w:t>https://www.health.gov.au/about-us/the-australian-health-system</w:t>
        </w:r>
      </w:hyperlink>
    </w:p>
    <w:p w14:paraId="2FB17413" w14:textId="77777777" w:rsidR="0057548C" w:rsidRPr="00485857" w:rsidRDefault="0057548C" w:rsidP="0073198B">
      <w:pPr>
        <w:pStyle w:val="FootnoteText"/>
        <w:rPr>
          <w:rFonts w:ascii="Arial" w:hAnsi="Arial" w:cs="Arial"/>
          <w:sz w:val="22"/>
        </w:rPr>
      </w:pPr>
      <w:r w:rsidRPr="00150B98">
        <w:rPr>
          <w:rFonts w:ascii="Arial" w:hAnsi="Arial" w:cs="Arial"/>
          <w:sz w:val="22"/>
          <w:szCs w:val="22"/>
        </w:rPr>
        <w:t>Department of Health Vi</w:t>
      </w:r>
      <w:r w:rsidRPr="00485857">
        <w:rPr>
          <w:rFonts w:ascii="Arial" w:hAnsi="Arial" w:cs="Arial"/>
          <w:sz w:val="22"/>
        </w:rPr>
        <w:t xml:space="preserve">ctoria. (2021). Victorian Medical Research Acceleration Fund. Retrieved from: </w:t>
      </w:r>
      <w:hyperlink r:id="rId67" w:history="1">
        <w:r w:rsidRPr="00485857">
          <w:rPr>
            <w:rStyle w:val="Hyperlink"/>
            <w:rFonts w:ascii="Arial" w:hAnsi="Arial" w:cs="Arial"/>
            <w:sz w:val="22"/>
          </w:rPr>
          <w:t>https://www2.health.vic.gov.au/about/clinical-trials-and-research/victorian-medical-research-acceleration-fund</w:t>
        </w:r>
      </w:hyperlink>
      <w:bookmarkEnd w:id="245"/>
    </w:p>
    <w:p w14:paraId="2A03FF3C" w14:textId="477988DF" w:rsidR="0033600E" w:rsidRPr="00485857" w:rsidRDefault="00F038BD" w:rsidP="0033600E">
      <w:pPr>
        <w:pStyle w:val="BodyText"/>
        <w:rPr>
          <w:rFonts w:ascii="Arial" w:eastAsia="Times New Roman" w:hAnsi="Arial" w:cs="Arial"/>
          <w:color w:val="0000FF" w:themeColor="hyperlink"/>
          <w:u w:val="single"/>
          <w:lang w:eastAsia="en-AU"/>
        </w:rPr>
      </w:pPr>
      <w:r w:rsidRPr="00485857">
        <w:rPr>
          <w:rFonts w:ascii="Arial" w:hAnsi="Arial" w:cs="Arial"/>
        </w:rPr>
        <w:t>Flores, C, Quested, B, Spigiel, T, Thomson, A &amp; Saxon, B. (2018). ‘Junior doctors’ perspectives on transfusion education in Australia.’ Vox Sanguinis. International Society of Blood Transfusion. Volume 113. Page 441</w:t>
      </w:r>
    </w:p>
    <w:p w14:paraId="4FE6F0B6" w14:textId="649ADD04" w:rsidR="00677DBE" w:rsidRPr="00485857" w:rsidRDefault="00677DBE" w:rsidP="00485857">
      <w:pPr>
        <w:spacing w:before="120" w:after="120" w:line="280" w:lineRule="exact"/>
        <w:rPr>
          <w:rFonts w:ascii="Arial" w:hAnsi="Arial" w:cs="Arial"/>
        </w:rPr>
      </w:pPr>
      <w:bookmarkStart w:id="246" w:name="_Hlk76644942"/>
      <w:r w:rsidRPr="00485857">
        <w:rPr>
          <w:rFonts w:ascii="Arial" w:hAnsi="Arial" w:cs="Arial"/>
        </w:rPr>
        <w:t xml:space="preserve">Haemophilia Foundation Australia. (2021). </w:t>
      </w:r>
      <w:r w:rsidRPr="00485857">
        <w:rPr>
          <w:rFonts w:ascii="Arial" w:hAnsi="Arial" w:cs="Arial"/>
          <w:i/>
        </w:rPr>
        <w:t xml:space="preserve">Research Fund. </w:t>
      </w:r>
      <w:r w:rsidRPr="00485857">
        <w:rPr>
          <w:rFonts w:ascii="Arial" w:hAnsi="Arial" w:cs="Arial"/>
        </w:rPr>
        <w:t xml:space="preserve">Retrieved from: </w:t>
      </w:r>
      <w:hyperlink r:id="rId68" w:history="1">
        <w:r w:rsidRPr="00485857">
          <w:rPr>
            <w:rStyle w:val="Hyperlink"/>
            <w:rFonts w:ascii="Arial" w:hAnsi="Arial" w:cs="Arial"/>
          </w:rPr>
          <w:t>https://www.haemophilia.org.au/research/research-fund</w:t>
        </w:r>
      </w:hyperlink>
      <w:bookmarkEnd w:id="246"/>
    </w:p>
    <w:p w14:paraId="69AD4FF4" w14:textId="241DDE76" w:rsidR="00677DBE" w:rsidRPr="00485857" w:rsidRDefault="00677DBE" w:rsidP="00485857">
      <w:pPr>
        <w:spacing w:before="120" w:after="120" w:line="280" w:lineRule="exact"/>
        <w:rPr>
          <w:rFonts w:ascii="Arial" w:hAnsi="Arial" w:cs="Arial"/>
        </w:rPr>
      </w:pPr>
      <w:bookmarkStart w:id="247" w:name="_Hlk76645045"/>
      <w:r w:rsidRPr="00485857">
        <w:rPr>
          <w:rFonts w:ascii="Arial" w:hAnsi="Arial" w:cs="Arial"/>
        </w:rPr>
        <w:t xml:space="preserve">Haemophilia Foundation Australia. (2020). </w:t>
      </w:r>
      <w:r w:rsidRPr="00485857">
        <w:rPr>
          <w:rFonts w:ascii="Arial" w:hAnsi="Arial" w:cs="Arial"/>
          <w:i/>
        </w:rPr>
        <w:t xml:space="preserve">Von Willebrand Disease. </w:t>
      </w:r>
      <w:bookmarkEnd w:id="247"/>
      <w:r w:rsidRPr="00485857">
        <w:rPr>
          <w:rFonts w:ascii="Arial" w:hAnsi="Arial" w:cs="Arial"/>
        </w:rPr>
        <w:t xml:space="preserve">Retrieved from: </w:t>
      </w:r>
      <w:hyperlink r:id="rId69" w:anchor="splash-timed" w:history="1">
        <w:r w:rsidRPr="00485857">
          <w:rPr>
            <w:rStyle w:val="Hyperlink"/>
            <w:rFonts w:ascii="Arial" w:hAnsi="Arial" w:cs="Arial"/>
          </w:rPr>
          <w:t>https://www.haemophilia.org.au/about-bleeding-disorders/von-willebrand-disease#splash-timed</w:t>
        </w:r>
      </w:hyperlink>
    </w:p>
    <w:p w14:paraId="2BB8DA83" w14:textId="29D84549" w:rsidR="0033600E" w:rsidRDefault="0013686B" w:rsidP="00485857">
      <w:pPr>
        <w:spacing w:before="120" w:after="120" w:line="280" w:lineRule="exact"/>
        <w:rPr>
          <w:rFonts w:ascii="Arial" w:hAnsi="Arial" w:cs="Arial"/>
        </w:rPr>
      </w:pPr>
      <w:hyperlink r:id="rId70" w:history="1">
        <w:r w:rsidR="00F56250" w:rsidRPr="00485857">
          <w:rPr>
            <w:rFonts w:ascii="Arial" w:hAnsi="Arial" w:cs="Arial"/>
          </w:rPr>
          <w:t>Heart Research Institute. (2021). Navigating 2020: Without skipping a beat.</w:t>
        </w:r>
        <w:r w:rsidR="00F56250" w:rsidRPr="00485857">
          <w:rPr>
            <w:rStyle w:val="Hyperlink"/>
            <w:rFonts w:ascii="Arial" w:hAnsi="Arial" w:cs="Arial"/>
            <w:i/>
            <w:iCs/>
          </w:rPr>
          <w:t xml:space="preserve"> </w:t>
        </w:r>
        <w:r w:rsidR="00F56250" w:rsidRPr="00485857">
          <w:rPr>
            <w:rStyle w:val="Hyperlink"/>
            <w:rFonts w:ascii="Arial" w:hAnsi="Arial" w:cs="Arial"/>
          </w:rPr>
          <w:t>Retrieved from: https://dvl2h13awlxkt.cloudfront.net/general-downloads/HRI_Annual_Review_2020.pdf?mtime=20210527095756&amp;focal=none</w:t>
        </w:r>
      </w:hyperlink>
      <w:r w:rsidR="00F56250" w:rsidRPr="00485857">
        <w:rPr>
          <w:rFonts w:ascii="Arial" w:hAnsi="Arial" w:cs="Arial"/>
        </w:rPr>
        <w:t>, p.38</w:t>
      </w:r>
    </w:p>
    <w:p w14:paraId="68E6CDB8" w14:textId="796F01A1" w:rsidR="00C551D9" w:rsidRPr="00C551D9" w:rsidRDefault="00C551D9" w:rsidP="00485857">
      <w:pPr>
        <w:spacing w:before="120" w:after="120" w:line="280" w:lineRule="exact"/>
        <w:rPr>
          <w:rFonts w:ascii="Arial" w:hAnsi="Arial" w:cs="Arial"/>
        </w:rPr>
      </w:pPr>
      <w:r w:rsidRPr="007709E2">
        <w:rPr>
          <w:rFonts w:ascii="Arial" w:hAnsi="Arial" w:cs="Arial"/>
        </w:rPr>
        <w:t xml:space="preserve">Kirby Institute. (2021). </w:t>
      </w:r>
      <w:r w:rsidRPr="007709E2">
        <w:rPr>
          <w:rFonts w:ascii="Arial" w:hAnsi="Arial" w:cs="Arial"/>
          <w:i/>
          <w:iCs/>
        </w:rPr>
        <w:t xml:space="preserve">The Blood Donor Survey. </w:t>
      </w:r>
      <w:r w:rsidRPr="007709E2">
        <w:rPr>
          <w:rFonts w:ascii="Arial" w:hAnsi="Arial" w:cs="Arial"/>
        </w:rPr>
        <w:t>UNSW – Medicine. Retrieved from: https://kirby.unsw.edu.au/project/blood-donor-survey</w:t>
      </w:r>
    </w:p>
    <w:p w14:paraId="68C3D77D" w14:textId="77777777" w:rsidR="00485857" w:rsidRPr="00485857" w:rsidRDefault="00485857" w:rsidP="00485857">
      <w:pPr>
        <w:pStyle w:val="FootnoteText"/>
        <w:spacing w:before="120" w:after="120" w:line="280" w:lineRule="exact"/>
        <w:rPr>
          <w:rFonts w:ascii="Arial" w:hAnsi="Arial" w:cs="Arial"/>
          <w:sz w:val="22"/>
          <w:szCs w:val="22"/>
        </w:rPr>
      </w:pPr>
      <w:r w:rsidRPr="00485857">
        <w:rPr>
          <w:rFonts w:ascii="Arial" w:hAnsi="Arial" w:cs="Arial"/>
          <w:sz w:val="22"/>
          <w:szCs w:val="22"/>
        </w:rPr>
        <w:t xml:space="preserve">Medical Research Future Fund. (2017). </w:t>
      </w:r>
      <w:r w:rsidRPr="00485857">
        <w:rPr>
          <w:rFonts w:ascii="Arial" w:hAnsi="Arial" w:cs="Arial"/>
          <w:i/>
          <w:iCs/>
          <w:sz w:val="22"/>
          <w:szCs w:val="22"/>
        </w:rPr>
        <w:t>Medical Research Future Fund – Funding Principles.</w:t>
      </w:r>
      <w:r w:rsidRPr="00485857">
        <w:rPr>
          <w:rFonts w:ascii="Arial" w:hAnsi="Arial" w:cs="Arial"/>
          <w:sz w:val="22"/>
          <w:szCs w:val="22"/>
        </w:rPr>
        <w:t xml:space="preserve"> Retrieved from: https://www.health.gov.au/sites/default/files/mrff-funding-principles.pdf</w:t>
      </w:r>
    </w:p>
    <w:p w14:paraId="2F162ACE" w14:textId="5255324F" w:rsidR="0033600E" w:rsidRPr="00485857" w:rsidRDefault="00C140EA" w:rsidP="0033600E">
      <w:pPr>
        <w:pStyle w:val="BodyText"/>
        <w:rPr>
          <w:rFonts w:ascii="Arial" w:hAnsi="Arial" w:cs="Arial"/>
        </w:rPr>
      </w:pPr>
      <w:r w:rsidRPr="00485857">
        <w:rPr>
          <w:rFonts w:ascii="Arial" w:hAnsi="Arial" w:cs="Arial"/>
        </w:rPr>
        <w:t>National Blood Authority Act 2003 (Cth)</w:t>
      </w:r>
    </w:p>
    <w:p w14:paraId="46FD6EFB" w14:textId="2058D21E" w:rsidR="005D6320" w:rsidRPr="00485857" w:rsidRDefault="005D6320" w:rsidP="00485857">
      <w:pPr>
        <w:pStyle w:val="FootnoteText"/>
        <w:spacing w:before="120" w:after="120" w:line="280" w:lineRule="exact"/>
        <w:rPr>
          <w:rFonts w:ascii="Arial" w:hAnsi="Arial" w:cs="Arial"/>
          <w:color w:val="0000FF" w:themeColor="hyperlink"/>
          <w:sz w:val="22"/>
          <w:szCs w:val="22"/>
          <w:u w:val="single"/>
        </w:rPr>
      </w:pPr>
      <w:r w:rsidRPr="00485857">
        <w:rPr>
          <w:rFonts w:ascii="Arial" w:hAnsi="Arial" w:cs="Arial"/>
          <w:sz w:val="22"/>
          <w:szCs w:val="22"/>
        </w:rPr>
        <w:t xml:space="preserve">NBA. (2018). </w:t>
      </w:r>
      <w:r w:rsidRPr="000F5AEF">
        <w:rPr>
          <w:rFonts w:ascii="Arial" w:hAnsi="Arial" w:cs="Arial"/>
          <w:i/>
          <w:iCs/>
          <w:sz w:val="22"/>
          <w:szCs w:val="22"/>
        </w:rPr>
        <w:t>Ig Governance: What is BloodSTAR</w:t>
      </w:r>
      <w:r w:rsidRPr="00485857">
        <w:rPr>
          <w:rFonts w:ascii="Arial" w:hAnsi="Arial" w:cs="Arial"/>
          <w:sz w:val="22"/>
          <w:szCs w:val="22"/>
        </w:rPr>
        <w:t>, Commonwealth of Australia. Retrieved from:</w:t>
      </w:r>
      <w:hyperlink r:id="rId71" w:history="1">
        <w:r w:rsidRPr="00485857">
          <w:rPr>
            <w:rStyle w:val="Hyperlink"/>
            <w:rFonts w:ascii="Arial" w:hAnsi="Arial" w:cs="Arial"/>
            <w:sz w:val="22"/>
            <w:szCs w:val="22"/>
          </w:rPr>
          <w:t>https://www.blood.gov.au/system/files/What%20is%20bloodstar4_Jul2018.pdf</w:t>
        </w:r>
      </w:hyperlink>
    </w:p>
    <w:p w14:paraId="36DF3499" w14:textId="77777777" w:rsidR="00677DBE" w:rsidRPr="00485857" w:rsidRDefault="00677DBE" w:rsidP="00485857">
      <w:pPr>
        <w:spacing w:before="120" w:after="120" w:line="280" w:lineRule="exact"/>
        <w:rPr>
          <w:rFonts w:ascii="Arial" w:hAnsi="Arial" w:cs="Arial"/>
        </w:rPr>
      </w:pPr>
      <w:r w:rsidRPr="00485857">
        <w:rPr>
          <w:rFonts w:ascii="Arial" w:hAnsi="Arial" w:cs="Arial"/>
        </w:rPr>
        <w:t xml:space="preserve">NBA. (2021). </w:t>
      </w:r>
      <w:r w:rsidRPr="00485857">
        <w:rPr>
          <w:rFonts w:ascii="Arial" w:hAnsi="Arial" w:cs="Arial"/>
          <w:i/>
        </w:rPr>
        <w:t xml:space="preserve">Patient Blood Management. </w:t>
      </w:r>
      <w:r w:rsidRPr="00485857">
        <w:rPr>
          <w:rFonts w:ascii="Arial" w:hAnsi="Arial" w:cs="Arial"/>
        </w:rPr>
        <w:t xml:space="preserve">Commonwealth of Australia. Retrieved from: </w:t>
      </w:r>
      <w:hyperlink r:id="rId72" w:anchor="pbmc" w:history="1">
        <w:r w:rsidRPr="00485857">
          <w:rPr>
            <w:rStyle w:val="Hyperlink"/>
            <w:rFonts w:ascii="Arial" w:hAnsi="Arial" w:cs="Arial"/>
          </w:rPr>
          <w:t>https://www.blood.gov.au/patient-blood-management-pbm#pbmc</w:t>
        </w:r>
      </w:hyperlink>
    </w:p>
    <w:p w14:paraId="2BF1AFC5" w14:textId="77777777" w:rsidR="00677DBE" w:rsidRPr="00485857" w:rsidRDefault="00677DBE" w:rsidP="00485857">
      <w:pPr>
        <w:spacing w:before="120" w:after="120" w:line="280" w:lineRule="exact"/>
        <w:rPr>
          <w:rFonts w:ascii="Arial" w:hAnsi="Arial" w:cs="Arial"/>
        </w:rPr>
      </w:pPr>
      <w:r w:rsidRPr="00485857">
        <w:rPr>
          <w:rFonts w:ascii="Arial" w:hAnsi="Arial" w:cs="Arial"/>
        </w:rPr>
        <w:t xml:space="preserve">NBA. (2021). </w:t>
      </w:r>
      <w:r w:rsidRPr="00485857">
        <w:rPr>
          <w:rFonts w:ascii="Arial" w:hAnsi="Arial" w:cs="Arial"/>
          <w:i/>
        </w:rPr>
        <w:t xml:space="preserve">Haemovigilance, </w:t>
      </w:r>
      <w:r w:rsidRPr="00485857">
        <w:rPr>
          <w:rFonts w:ascii="Arial" w:hAnsi="Arial" w:cs="Arial"/>
        </w:rPr>
        <w:t xml:space="preserve">Commonwealth of Australia. Retrieved from: </w:t>
      </w:r>
      <w:hyperlink r:id="rId73" w:history="1">
        <w:r w:rsidRPr="00485857">
          <w:rPr>
            <w:rStyle w:val="Hyperlink"/>
            <w:rFonts w:ascii="Arial" w:hAnsi="Arial" w:cs="Arial"/>
          </w:rPr>
          <w:t>https://www.blood.gov.au/haemovigilance</w:t>
        </w:r>
      </w:hyperlink>
    </w:p>
    <w:p w14:paraId="5388818F" w14:textId="1435FFEC" w:rsidR="00677DBE" w:rsidRPr="00485857" w:rsidRDefault="00677DBE" w:rsidP="00485857">
      <w:pPr>
        <w:pStyle w:val="FootnoteText"/>
        <w:spacing w:before="120" w:after="120" w:line="280" w:lineRule="exact"/>
        <w:rPr>
          <w:rFonts w:ascii="Arial" w:hAnsi="Arial" w:cs="Arial"/>
          <w:color w:val="0000FF" w:themeColor="hyperlink"/>
          <w:sz w:val="22"/>
          <w:szCs w:val="22"/>
          <w:u w:val="single"/>
        </w:rPr>
      </w:pPr>
      <w:r w:rsidRPr="00485857">
        <w:rPr>
          <w:rFonts w:ascii="Arial" w:hAnsi="Arial" w:cs="Arial"/>
          <w:sz w:val="22"/>
          <w:szCs w:val="22"/>
        </w:rPr>
        <w:t xml:space="preserve">NBA. (2021). </w:t>
      </w:r>
      <w:r w:rsidRPr="00485857">
        <w:rPr>
          <w:rFonts w:ascii="Arial" w:hAnsi="Arial" w:cs="Arial"/>
          <w:i/>
          <w:sz w:val="22"/>
          <w:szCs w:val="22"/>
        </w:rPr>
        <w:t>Haemovigilance Reporting</w:t>
      </w:r>
      <w:r w:rsidRPr="00485857">
        <w:rPr>
          <w:rFonts w:ascii="Arial" w:hAnsi="Arial" w:cs="Arial"/>
          <w:sz w:val="22"/>
          <w:szCs w:val="22"/>
        </w:rPr>
        <w:t xml:space="preserve">. Commonwealth of Australia. Retrieved from: </w:t>
      </w:r>
      <w:hyperlink r:id="rId74" w:history="1">
        <w:r w:rsidRPr="00485857">
          <w:rPr>
            <w:rStyle w:val="Hyperlink"/>
            <w:rFonts w:ascii="Arial" w:hAnsi="Arial" w:cs="Arial"/>
            <w:sz w:val="22"/>
            <w:szCs w:val="22"/>
          </w:rPr>
          <w:t>https://www.blood.gov.au/haemovigilance-reporting</w:t>
        </w:r>
      </w:hyperlink>
    </w:p>
    <w:p w14:paraId="5033E4C2" w14:textId="722DAB62" w:rsidR="00B07415" w:rsidRPr="00485857" w:rsidRDefault="00B07415" w:rsidP="00485857">
      <w:pPr>
        <w:spacing w:before="120" w:after="120" w:line="280" w:lineRule="exact"/>
        <w:rPr>
          <w:rFonts w:ascii="Arial" w:hAnsi="Arial" w:cs="Arial"/>
        </w:rPr>
      </w:pPr>
      <w:r w:rsidRPr="00485857">
        <w:rPr>
          <w:rFonts w:ascii="Arial" w:hAnsi="Arial" w:cs="Arial"/>
        </w:rPr>
        <w:t xml:space="preserve">National Health and Medical Research Council. (2021). </w:t>
      </w:r>
      <w:r w:rsidRPr="00485857">
        <w:rPr>
          <w:rFonts w:ascii="Arial" w:hAnsi="Arial" w:cs="Arial"/>
          <w:i/>
        </w:rPr>
        <w:t xml:space="preserve">Outcomes of funding rounds. </w:t>
      </w:r>
      <w:r w:rsidRPr="00485857">
        <w:rPr>
          <w:rFonts w:ascii="Arial" w:hAnsi="Arial" w:cs="Arial"/>
        </w:rPr>
        <w:t xml:space="preserve">Australian Government. Retrieved from: </w:t>
      </w:r>
      <w:hyperlink r:id="rId75" w:anchor="download" w:history="1">
        <w:r w:rsidRPr="00485857">
          <w:rPr>
            <w:rStyle w:val="Hyperlink"/>
            <w:rFonts w:ascii="Arial" w:hAnsi="Arial" w:cs="Arial"/>
          </w:rPr>
          <w:t>https://www.nhmrc.gov.au/funding/data-research/outcomes#download</w:t>
        </w:r>
      </w:hyperlink>
    </w:p>
    <w:p w14:paraId="15A62439" w14:textId="21C84DFD" w:rsidR="00350129" w:rsidRPr="00485857" w:rsidRDefault="00350129" w:rsidP="0033600E">
      <w:pPr>
        <w:pStyle w:val="BodyText"/>
        <w:rPr>
          <w:rFonts w:ascii="Arial" w:eastAsia="Times New Roman" w:hAnsi="Arial" w:cs="Arial"/>
          <w:color w:val="0000FF" w:themeColor="hyperlink"/>
          <w:u w:val="single"/>
          <w:lang w:eastAsia="en-AU"/>
        </w:rPr>
      </w:pPr>
      <w:r w:rsidRPr="00485857">
        <w:rPr>
          <w:rFonts w:ascii="Arial" w:hAnsi="Arial" w:cs="Arial"/>
        </w:rPr>
        <w:t xml:space="preserve">NHS Blood and Transplant. (2015). Research and Development Strategic Plan 2015-2020: Improving outcomes for patients and doctors. Retrieved from: </w:t>
      </w:r>
      <w:hyperlink r:id="rId76" w:history="1">
        <w:r w:rsidRPr="00485857">
          <w:rPr>
            <w:rStyle w:val="Hyperlink"/>
            <w:rFonts w:ascii="Arial" w:hAnsi="Arial" w:cs="Arial"/>
          </w:rPr>
          <w:t>https://nhsbtdbe.blob.core.windows.net/umbraco-assets-corp/1435/strategic_plan_june_2015.pdf</w:t>
        </w:r>
      </w:hyperlink>
    </w:p>
    <w:p w14:paraId="68608EBE" w14:textId="77777777" w:rsidR="00533070" w:rsidRPr="00485857" w:rsidRDefault="00533070" w:rsidP="00485857">
      <w:pPr>
        <w:spacing w:before="120" w:after="120" w:line="280" w:lineRule="exact"/>
        <w:rPr>
          <w:rFonts w:ascii="Arial" w:hAnsi="Arial" w:cs="Arial"/>
        </w:rPr>
      </w:pPr>
      <w:bookmarkStart w:id="248" w:name="_Hlk76645907"/>
      <w:bookmarkStart w:id="249" w:name="_Hlk76644601"/>
      <w:r w:rsidRPr="00485857">
        <w:rPr>
          <w:rFonts w:ascii="Arial" w:hAnsi="Arial" w:cs="Arial"/>
        </w:rPr>
        <w:t xml:space="preserve">Research Australia. (2021). </w:t>
      </w:r>
      <w:r w:rsidRPr="00485857">
        <w:rPr>
          <w:rFonts w:ascii="Arial" w:hAnsi="Arial" w:cs="Arial"/>
          <w:i/>
        </w:rPr>
        <w:t>Australian Health and Medical Research Facts.</w:t>
      </w:r>
      <w:r w:rsidRPr="00485857">
        <w:rPr>
          <w:rFonts w:ascii="Arial" w:hAnsi="Arial" w:cs="Arial"/>
        </w:rPr>
        <w:t xml:space="preserve"> Retrieved from: </w:t>
      </w:r>
      <w:hyperlink r:id="rId77" w:history="1">
        <w:r w:rsidRPr="00485857">
          <w:rPr>
            <w:rStyle w:val="Hyperlink"/>
            <w:rFonts w:ascii="Arial" w:hAnsi="Arial" w:cs="Arial"/>
          </w:rPr>
          <w:t>https://researchaustralia.org/category/hmr-facts/#</w:t>
        </w:r>
      </w:hyperlink>
    </w:p>
    <w:bookmarkEnd w:id="248"/>
    <w:p w14:paraId="5126B291" w14:textId="77777777" w:rsidR="00281E0B" w:rsidRPr="00485857" w:rsidRDefault="00281E0B" w:rsidP="00485857">
      <w:pPr>
        <w:spacing w:before="120" w:after="120" w:line="280" w:lineRule="exact"/>
        <w:rPr>
          <w:rFonts w:ascii="Arial" w:hAnsi="Arial" w:cs="Arial"/>
        </w:rPr>
      </w:pPr>
      <w:r w:rsidRPr="00485857">
        <w:rPr>
          <w:rFonts w:ascii="Arial" w:hAnsi="Arial" w:cs="Arial"/>
        </w:rPr>
        <w:t xml:space="preserve">The Royal Melbourne Hospital. (2019). </w:t>
      </w:r>
      <w:r w:rsidRPr="00485857">
        <w:rPr>
          <w:rFonts w:ascii="Arial" w:hAnsi="Arial" w:cs="Arial"/>
          <w:i/>
        </w:rPr>
        <w:t xml:space="preserve">Outcome of funding rounds. </w:t>
      </w:r>
      <w:r w:rsidRPr="00485857">
        <w:rPr>
          <w:rFonts w:ascii="Arial" w:hAnsi="Arial" w:cs="Arial"/>
        </w:rPr>
        <w:t xml:space="preserve">Retrieved from: </w:t>
      </w:r>
      <w:hyperlink r:id="rId78" w:history="1">
        <w:r w:rsidRPr="00485857">
          <w:rPr>
            <w:rStyle w:val="Hyperlink"/>
            <w:rFonts w:ascii="Arial" w:hAnsi="Arial" w:cs="Arial"/>
          </w:rPr>
          <w:t>https://www.thermh.org.au/research/researchers/grants/rfp/outcome</w:t>
        </w:r>
      </w:hyperlink>
      <w:bookmarkEnd w:id="249"/>
    </w:p>
    <w:p w14:paraId="0F6E0089" w14:textId="77777777" w:rsidR="00B500C7" w:rsidRPr="00485857" w:rsidRDefault="00B500C7" w:rsidP="00485857">
      <w:pPr>
        <w:spacing w:before="120" w:after="120" w:line="280" w:lineRule="exact"/>
        <w:rPr>
          <w:rFonts w:ascii="Arial" w:hAnsi="Arial" w:cs="Arial"/>
        </w:rPr>
      </w:pPr>
      <w:bookmarkStart w:id="250" w:name="_Hlk76644654"/>
      <w:r w:rsidRPr="00485857">
        <w:rPr>
          <w:rFonts w:ascii="Arial" w:hAnsi="Arial" w:cs="Arial"/>
        </w:rPr>
        <w:t xml:space="preserve">Sanofi. (2021). </w:t>
      </w:r>
      <w:r w:rsidRPr="00485857">
        <w:rPr>
          <w:rFonts w:ascii="Arial" w:hAnsi="Arial" w:cs="Arial"/>
          <w:i/>
        </w:rPr>
        <w:t xml:space="preserve">Grant funding. </w:t>
      </w:r>
      <w:r w:rsidRPr="00485857">
        <w:rPr>
          <w:rFonts w:ascii="Arial" w:hAnsi="Arial" w:cs="Arial"/>
        </w:rPr>
        <w:t xml:space="preserve">Retrieved from: </w:t>
      </w:r>
      <w:hyperlink r:id="rId79" w:history="1">
        <w:r w:rsidRPr="00485857">
          <w:rPr>
            <w:rStyle w:val="Hyperlink"/>
            <w:rFonts w:ascii="Arial" w:hAnsi="Arial" w:cs="Arial"/>
          </w:rPr>
          <w:t>www.sanofi.com.au/en/corporate-responsibility/grant-funding</w:t>
        </w:r>
      </w:hyperlink>
      <w:bookmarkEnd w:id="250"/>
    </w:p>
    <w:p w14:paraId="31D80921" w14:textId="3AEC07C5" w:rsidR="00900B8C" w:rsidRPr="00485857" w:rsidRDefault="00900B8C" w:rsidP="00485857">
      <w:pPr>
        <w:spacing w:before="120" w:after="120" w:line="280" w:lineRule="exact"/>
        <w:rPr>
          <w:rFonts w:ascii="Arial" w:hAnsi="Arial" w:cs="Arial"/>
        </w:rPr>
      </w:pPr>
      <w:bookmarkStart w:id="251" w:name="_Hlk76646082"/>
      <w:r w:rsidRPr="00485857">
        <w:rPr>
          <w:rFonts w:ascii="Arial" w:hAnsi="Arial" w:cs="Arial"/>
        </w:rPr>
        <w:t xml:space="preserve">Sanofi. (2021). </w:t>
      </w:r>
      <w:r w:rsidRPr="00485857">
        <w:rPr>
          <w:rFonts w:ascii="Arial" w:hAnsi="Arial" w:cs="Arial"/>
          <w:i/>
        </w:rPr>
        <w:t xml:space="preserve">Rare blood disorders. </w:t>
      </w:r>
      <w:r w:rsidRPr="00485857">
        <w:rPr>
          <w:rFonts w:ascii="Arial" w:hAnsi="Arial" w:cs="Arial"/>
        </w:rPr>
        <w:t xml:space="preserve">Retrieved from: </w:t>
      </w:r>
      <w:hyperlink r:id="rId80" w:history="1">
        <w:r w:rsidRPr="00485857">
          <w:rPr>
            <w:rStyle w:val="Hyperlink"/>
            <w:rFonts w:ascii="Arial" w:hAnsi="Arial" w:cs="Arial"/>
          </w:rPr>
          <w:t>https://www.sanofi.com.au/en/healthcare-solutions/rare-blood-disorders</w:t>
        </w:r>
      </w:hyperlink>
      <w:bookmarkEnd w:id="251"/>
    </w:p>
    <w:p w14:paraId="72EAA537" w14:textId="2ED134A7" w:rsidR="008D1390" w:rsidRPr="00485857" w:rsidRDefault="008D1390" w:rsidP="00485857">
      <w:pPr>
        <w:spacing w:before="120" w:after="120" w:line="280" w:lineRule="exact"/>
        <w:rPr>
          <w:rFonts w:ascii="Arial" w:hAnsi="Arial" w:cs="Arial"/>
          <w:lang w:eastAsia="zh-CN"/>
        </w:rPr>
      </w:pPr>
      <w:r w:rsidRPr="00485857">
        <w:rPr>
          <w:rFonts w:ascii="Arial" w:hAnsi="Arial" w:cs="Arial"/>
        </w:rPr>
        <w:t xml:space="preserve">Stanford University. (2021). How does climate change affect disease? Retrieved from: </w:t>
      </w:r>
      <w:hyperlink r:id="rId81" w:history="1">
        <w:r w:rsidRPr="00485857">
          <w:rPr>
            <w:rStyle w:val="Hyperlink"/>
            <w:rFonts w:ascii="Arial" w:hAnsi="Arial" w:cs="Arial"/>
          </w:rPr>
          <w:t>https://earth.stanford.edu/news/how-does-climate-change-affect-disease#gs.40i05j</w:t>
        </w:r>
      </w:hyperlink>
    </w:p>
    <w:p w14:paraId="6D4EAE14" w14:textId="1D1D4CE7" w:rsidR="00A76315" w:rsidRDefault="001B4976" w:rsidP="00485857">
      <w:pPr>
        <w:spacing w:before="120" w:after="120" w:line="280" w:lineRule="exact"/>
        <w:rPr>
          <w:lang w:eastAsia="zh-CN"/>
        </w:rPr>
      </w:pPr>
      <w:r w:rsidRPr="00485857">
        <w:rPr>
          <w:rFonts w:ascii="Arial" w:hAnsi="Arial" w:cs="Arial"/>
        </w:rPr>
        <w:t>State of Victoria. (2021). Serious transfusion incident reporting system. Retrieved from:</w:t>
      </w:r>
      <w:r w:rsidR="000211DA">
        <w:rPr>
          <w:rFonts w:ascii="Arial" w:hAnsi="Arial" w:cs="Arial"/>
        </w:rPr>
        <w:t xml:space="preserve"> </w:t>
      </w:r>
      <w:hyperlink r:id="rId82" w:history="1">
        <w:r w:rsidR="000211DA" w:rsidRPr="000211DA">
          <w:rPr>
            <w:rStyle w:val="Hyperlink"/>
            <w:rFonts w:ascii="Arial" w:hAnsi="Arial" w:cs="Arial"/>
          </w:rPr>
          <w:t>https://www2.health.vic.gov.au/hospitals-and-health-services/patient-care/speciality-diagnostics-therapeutics/blood-matters/serious-transfu</w:t>
        </w:r>
        <w:r w:rsidR="000211DA" w:rsidRPr="00BE72D9">
          <w:rPr>
            <w:rStyle w:val="Hyperlink"/>
            <w:rFonts w:ascii="Arial" w:hAnsi="Arial" w:cs="Arial"/>
          </w:rPr>
          <w:t>sion-incidents</w:t>
        </w:r>
      </w:hyperlink>
    </w:p>
    <w:bookmarkEnd w:id="238"/>
    <w:p w14:paraId="6AB03999" w14:textId="3EFC9551" w:rsidR="004425B3" w:rsidRDefault="00ED2B08" w:rsidP="00D211F9">
      <w:pPr>
        <w:pStyle w:val="BodyText"/>
        <w:rPr>
          <w:rFonts w:ascii="Arial" w:hAnsi="Arial" w:cs="Arial"/>
          <w:lang w:val="en-AU"/>
        </w:rPr>
      </w:pPr>
      <w:r w:rsidRPr="007A0882">
        <w:rPr>
          <w:rFonts w:ascii="Arial" w:hAnsi="Arial" w:cs="Arial"/>
          <w:lang w:val="en-AU"/>
        </w:rPr>
        <w:t xml:space="preserve">University of Sydney. (2021). </w:t>
      </w:r>
      <w:r w:rsidRPr="007A0882">
        <w:rPr>
          <w:rFonts w:ascii="Arial" w:hAnsi="Arial" w:cs="Arial"/>
          <w:i/>
          <w:iCs/>
          <w:lang w:val="en-AU"/>
        </w:rPr>
        <w:t xml:space="preserve">Internal Grants and Fellowships. </w:t>
      </w:r>
      <w:r w:rsidRPr="007A0882">
        <w:rPr>
          <w:rFonts w:ascii="Arial" w:hAnsi="Arial" w:cs="Arial"/>
          <w:lang w:val="en-AU"/>
        </w:rPr>
        <w:t>Retrieved from:</w:t>
      </w:r>
      <w:r w:rsidR="004425B3">
        <w:rPr>
          <w:rFonts w:ascii="Arial" w:hAnsi="Arial" w:cs="Arial"/>
          <w:lang w:val="en-AU"/>
        </w:rPr>
        <w:t xml:space="preserve"> </w:t>
      </w:r>
      <w:hyperlink r:id="rId83" w:history="1">
        <w:r w:rsidR="004425B3" w:rsidRPr="005805A3">
          <w:rPr>
            <w:rStyle w:val="Hyperlink"/>
            <w:rFonts w:ascii="Arial" w:hAnsi="Arial" w:cs="Arial"/>
            <w:lang w:val="en-AU"/>
          </w:rPr>
          <w:t>https://www.sydney.edu.au/research/research-funding/research-fellowships.html</w:t>
        </w:r>
      </w:hyperlink>
    </w:p>
    <w:p w14:paraId="43F78DEC" w14:textId="2B863583" w:rsidR="00576B86" w:rsidRPr="00150B98" w:rsidRDefault="00576B86" w:rsidP="0073198B">
      <w:pPr>
        <w:rPr>
          <w:highlight w:val="lightGray"/>
        </w:rPr>
      </w:pPr>
    </w:p>
    <w:sectPr w:rsidR="00576B86" w:rsidRPr="00150B98" w:rsidSect="00B26578">
      <w:headerReference w:type="even" r:id="rId84"/>
      <w:headerReference w:type="default" r:id="rId85"/>
      <w:footerReference w:type="even" r:id="rId86"/>
      <w:footerReference w:type="default" r:id="rId87"/>
      <w:headerReference w:type="first" r:id="rId88"/>
      <w:pgSz w:w="11907" w:h="16839" w:code="9"/>
      <w:pgMar w:top="1418" w:right="1418" w:bottom="1418" w:left="1418" w:header="964" w:footer="96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22895" w14:textId="77777777" w:rsidR="00787F35" w:rsidRDefault="00787F35" w:rsidP="005839ED">
      <w:r>
        <w:separator/>
      </w:r>
    </w:p>
    <w:p w14:paraId="648B911A" w14:textId="77777777" w:rsidR="00787F35" w:rsidRDefault="00787F35"/>
  </w:endnote>
  <w:endnote w:type="continuationSeparator" w:id="0">
    <w:p w14:paraId="19930264" w14:textId="77777777" w:rsidR="00787F35" w:rsidRDefault="00787F35" w:rsidP="005839ED">
      <w:r>
        <w:continuationSeparator/>
      </w:r>
    </w:p>
    <w:p w14:paraId="37CF65AF" w14:textId="77777777" w:rsidR="00787F35" w:rsidRDefault="00787F35"/>
  </w:endnote>
  <w:endnote w:type="continuationNotice" w:id="1">
    <w:p w14:paraId="0E5CF5A2" w14:textId="77777777" w:rsidR="00787F35" w:rsidRDefault="00787F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exusMixPro-Bold">
    <w:altName w:val="Times New Roman"/>
    <w:panose1 w:val="00000000000000000000"/>
    <w:charset w:val="00"/>
    <w:family w:val="modern"/>
    <w:notTrueType/>
    <w:pitch w:val="variable"/>
    <w:sig w:usb0="A00000AF" w:usb1="4000E07B" w:usb2="00000000" w:usb3="00000000" w:csb0="00000093" w:csb1="00000000"/>
  </w:font>
  <w:font w:name="AvenirLTStd-Book">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EB96C" w14:textId="0231F0FD" w:rsidR="008C5E16" w:rsidRPr="005B69BB" w:rsidRDefault="008C5E16" w:rsidP="00EC1E46">
    <w:pPr>
      <w:pStyle w:val="Footer-OddPage"/>
      <w:pBdr>
        <w:top w:val="single" w:sz="4" w:space="1" w:color="77B800" w:themeColor="background2"/>
      </w:pBdr>
      <w:rPr>
        <w:rFonts w:ascii="Arial" w:hAnsi="Arial" w:cs="Arial"/>
        <w:noProof/>
      </w:rPr>
    </w:pPr>
    <w:r>
      <w:tab/>
      <w:t>National Blood Research and Development Strategic Priorities 2022-27</w:t>
    </w:r>
    <w:r>
      <w:tab/>
    </w:r>
    <w:r>
      <w:fldChar w:fldCharType="begin"/>
    </w:r>
    <w:r w:rsidRPr="00F21C10">
      <w:rPr>
        <w:rFonts w:ascii="Arial" w:hAnsi="Arial" w:cs="Arial"/>
        <w:b/>
        <w:bCs/>
        <w:noProof/>
        <w:color w:val="0E4168"/>
      </w:rPr>
      <w:instrText xml:space="preserve"> PAGE   \* MERGEFORMAT </w:instrText>
    </w:r>
    <w:r>
      <w:fldChar w:fldCharType="separate"/>
    </w:r>
    <w:r w:rsidRPr="00473F2C">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988A" w14:textId="6D5ADB46" w:rsidR="008C5E16" w:rsidRPr="00E17DEB" w:rsidRDefault="008C5E16" w:rsidP="00EC1E46">
    <w:pPr>
      <w:pStyle w:val="Footer-EvenPg"/>
      <w:pBdr>
        <w:top w:val="single" w:sz="4" w:space="1" w:color="77B800" w:themeColor="background2"/>
      </w:pBdr>
    </w:pPr>
    <w:r>
      <w:fldChar w:fldCharType="begin"/>
    </w:r>
    <w:r w:rsidRPr="00FF2309">
      <w:rPr>
        <w:rFonts w:ascii="Arial" w:hAnsi="Arial" w:cs="Arial"/>
        <w:b/>
        <w:bCs/>
        <w:color w:val="0E4168"/>
      </w:rPr>
      <w:instrText xml:space="preserve"> PAGE   \* MERGEFORMAT </w:instrText>
    </w:r>
    <w:r>
      <w:fldChar w:fldCharType="separate"/>
    </w:r>
    <w:r w:rsidRPr="00473F2C">
      <w:rPr>
        <w:noProof/>
      </w:rPr>
      <w:t>iii</w:t>
    </w:r>
    <w:r>
      <w:fldChar w:fldCharType="end"/>
    </w:r>
    <w:r w:rsidRPr="00724798">
      <w:rPr>
        <w:noProof/>
        <w:lang w:val="en-AU" w:eastAsia="en-AU"/>
      </w:rPr>
      <w:drawing>
        <wp:anchor distT="0" distB="0" distL="114300" distR="114300" simplePos="0" relativeHeight="251658248" behindDoc="1" locked="1" layoutInCell="1" allowOverlap="1" wp14:anchorId="5B0E18A9" wp14:editId="02DED549">
          <wp:simplePos x="0" y="0"/>
          <wp:positionH relativeFrom="margin">
            <wp:align>center</wp:align>
          </wp:positionH>
          <wp:positionV relativeFrom="bottomMargin">
            <wp:posOffset>358140</wp:posOffset>
          </wp:positionV>
          <wp:extent cx="1723323" cy="399600"/>
          <wp:effectExtent l="0" t="0" r="0" b="63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23323" cy="399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7846" w14:textId="77777777" w:rsidR="008A19C6" w:rsidRDefault="008A19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AA1AC" w14:textId="3B9B5315" w:rsidR="008C5E16" w:rsidRPr="00EC2A6D" w:rsidRDefault="008C5E16" w:rsidP="00EC2A6D">
    <w:pPr>
      <w:pStyle w:val="Footer-EvenPg"/>
      <w:pBdr>
        <w:top w:val="single" w:sz="4" w:space="1" w:color="77B800" w:themeColor="background2"/>
      </w:pBdr>
    </w:pPr>
    <w:r>
      <w:rPr>
        <w:rFonts w:ascii="Arial" w:hAnsi="Arial" w:cs="Arial"/>
        <w:noProof/>
      </w:rPr>
      <w:drawing>
        <wp:anchor distT="0" distB="0" distL="114300" distR="114300" simplePos="0" relativeHeight="251658247" behindDoc="1" locked="0" layoutInCell="1" allowOverlap="1" wp14:anchorId="49E4076F" wp14:editId="289F23F2">
          <wp:simplePos x="0" y="0"/>
          <wp:positionH relativeFrom="column">
            <wp:posOffset>-882595</wp:posOffset>
          </wp:positionH>
          <wp:positionV relativeFrom="paragraph">
            <wp:posOffset>1155948</wp:posOffset>
          </wp:positionV>
          <wp:extent cx="7560000" cy="1258983"/>
          <wp:effectExtent l="0" t="0" r="3175" b="0"/>
          <wp:wrapNone/>
          <wp:docPr id="22" name="Picture 2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258983"/>
                  </a:xfrm>
                  <a:prstGeom prst="rect">
                    <a:avLst/>
                  </a:prstGeom>
                </pic:spPr>
              </pic:pic>
            </a:graphicData>
          </a:graphic>
          <wp14:sizeRelH relativeFrom="margin">
            <wp14:pctWidth>0</wp14:pctWidth>
          </wp14:sizeRelH>
          <wp14:sizeRelV relativeFrom="margin">
            <wp14:pctHeight>0</wp14:pctHeight>
          </wp14:sizeRelV>
        </wp:anchor>
      </w:drawing>
    </w:r>
    <w:r w:rsidRPr="00724798">
      <w:fldChar w:fldCharType="begin"/>
    </w:r>
    <w:r w:rsidRPr="00724798">
      <w:instrText xml:space="preserve"> PAGE  \* Arabic  \* MERGEFORMAT </w:instrText>
    </w:r>
    <w:r w:rsidRPr="00724798">
      <w:fldChar w:fldCharType="separate"/>
    </w:r>
    <w:r>
      <w:rPr>
        <w:noProof/>
      </w:rPr>
      <w:t>2</w:t>
    </w:r>
    <w:r w:rsidRPr="00724798">
      <w:fldChar w:fldCharType="end"/>
    </w:r>
    <w:r w:rsidRPr="00724798">
      <w:rPr>
        <w:noProof/>
        <w:lang w:val="en-AU" w:eastAsia="en-AU"/>
      </w:rPr>
      <w:drawing>
        <wp:anchor distT="0" distB="0" distL="114300" distR="114300" simplePos="0" relativeHeight="251658246" behindDoc="1" locked="1" layoutInCell="1" allowOverlap="1" wp14:anchorId="40DC0CF5" wp14:editId="24231CF6">
          <wp:simplePos x="0" y="0"/>
          <wp:positionH relativeFrom="margin">
            <wp:align>center</wp:align>
          </wp:positionH>
          <wp:positionV relativeFrom="bottomMargin">
            <wp:posOffset>292735</wp:posOffset>
          </wp:positionV>
          <wp:extent cx="1721485" cy="398780"/>
          <wp:effectExtent l="0" t="0" r="0" b="127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21485" cy="39878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E850F" w14:textId="2512D915" w:rsidR="008C5E16" w:rsidRPr="00E17DEB" w:rsidRDefault="008C5E16" w:rsidP="00D553C1">
    <w:pPr>
      <w:pStyle w:val="Footer-OddPage"/>
      <w:pBdr>
        <w:top w:val="single" w:sz="4" w:space="1" w:color="77B800" w:themeColor="background2"/>
      </w:pBdr>
    </w:pPr>
    <w:r>
      <w:tab/>
      <w:t>National Blood Research and Development Strategic Priorities2022-27</w:t>
    </w:r>
    <w:r>
      <w:tab/>
    </w:r>
    <w:r w:rsidRPr="00E17DEB">
      <w:fldChar w:fldCharType="begin"/>
    </w:r>
    <w:r w:rsidRPr="00E17DEB">
      <w:instrText xml:space="preserve"> PAGE  \* Arabic  \* MERGEFORMAT </w:instrText>
    </w:r>
    <w:r w:rsidRPr="00E17DEB">
      <w:fldChar w:fldCharType="separate"/>
    </w:r>
    <w:r>
      <w:rPr>
        <w:noProof/>
      </w:rPr>
      <w:t>17</w:t>
    </w:r>
    <w:r w:rsidRPr="00E17DE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5E700" w14:textId="77777777" w:rsidR="00787F35" w:rsidRDefault="00787F35" w:rsidP="005839ED">
      <w:r>
        <w:separator/>
      </w:r>
    </w:p>
  </w:footnote>
  <w:footnote w:type="continuationSeparator" w:id="0">
    <w:p w14:paraId="7E66F77F" w14:textId="77777777" w:rsidR="00787F35" w:rsidRDefault="00787F35" w:rsidP="005839ED">
      <w:r>
        <w:continuationSeparator/>
      </w:r>
    </w:p>
    <w:p w14:paraId="4F31B913" w14:textId="77777777" w:rsidR="00787F35" w:rsidRDefault="00787F35"/>
  </w:footnote>
  <w:footnote w:type="continuationNotice" w:id="1">
    <w:p w14:paraId="2E5E3BE8" w14:textId="77777777" w:rsidR="00787F35" w:rsidRDefault="00787F35">
      <w:pPr>
        <w:spacing w:after="0" w:line="240" w:lineRule="auto"/>
      </w:pPr>
    </w:p>
  </w:footnote>
  <w:footnote w:id="2">
    <w:p w14:paraId="7F8C698D" w14:textId="77777777" w:rsidR="008C5E16" w:rsidRPr="003D7C00" w:rsidRDefault="008C5E16" w:rsidP="00F07462">
      <w:pPr>
        <w:pStyle w:val="FootnoteText"/>
        <w:rPr>
          <w:lang w:val="en-AU"/>
        </w:rPr>
      </w:pPr>
      <w:r>
        <w:rPr>
          <w:rStyle w:val="FootnoteReference"/>
        </w:rPr>
        <w:footnoteRef/>
      </w:r>
      <w:r>
        <w:t xml:space="preserve"> National Health and Medical Research Council. (2021). </w:t>
      </w:r>
      <w:r>
        <w:rPr>
          <w:i/>
          <w:iCs/>
        </w:rPr>
        <w:t xml:space="preserve">Outcomes of funding rounds. </w:t>
      </w:r>
      <w:r>
        <w:t xml:space="preserve">Australian Government. Retrieved from: </w:t>
      </w:r>
      <w:r w:rsidRPr="003D7C00">
        <w:t>https://www.nhmrc.gov.au/funding/data-research/outcomes#download</w:t>
      </w:r>
    </w:p>
  </w:footnote>
  <w:footnote w:id="3">
    <w:p w14:paraId="48BA321F" w14:textId="77777777" w:rsidR="008C5E16" w:rsidRPr="003D7C00" w:rsidRDefault="008C5E16" w:rsidP="00F07462">
      <w:pPr>
        <w:pStyle w:val="FootnoteText"/>
        <w:rPr>
          <w:lang w:val="en-AU"/>
        </w:rPr>
      </w:pPr>
      <w:r>
        <w:rPr>
          <w:rStyle w:val="FootnoteReference"/>
        </w:rPr>
        <w:footnoteRef/>
      </w:r>
      <w:r>
        <w:t xml:space="preserve"> ibid</w:t>
      </w:r>
    </w:p>
  </w:footnote>
  <w:footnote w:id="4">
    <w:p w14:paraId="2A219852" w14:textId="77777777" w:rsidR="008C5E16" w:rsidRPr="00860511" w:rsidRDefault="008C5E16" w:rsidP="00F07462">
      <w:pPr>
        <w:spacing w:after="0"/>
        <w:rPr>
          <w:sz w:val="20"/>
          <w:szCs w:val="20"/>
        </w:rPr>
      </w:pPr>
      <w:r w:rsidRPr="00860511">
        <w:rPr>
          <w:rStyle w:val="FootnoteReference"/>
          <w:sz w:val="20"/>
          <w:szCs w:val="20"/>
        </w:rPr>
        <w:footnoteRef/>
      </w:r>
      <w:r w:rsidRPr="00860511">
        <w:rPr>
          <w:sz w:val="20"/>
          <w:szCs w:val="20"/>
        </w:rPr>
        <w:t xml:space="preserve"> Department of Education, Skills and Employment. (2021). </w:t>
      </w:r>
      <w:r w:rsidRPr="00860511">
        <w:rPr>
          <w:i/>
          <w:sz w:val="20"/>
          <w:szCs w:val="20"/>
        </w:rPr>
        <w:t>Research Block Grants</w:t>
      </w:r>
      <w:r w:rsidRPr="00860511">
        <w:rPr>
          <w:sz w:val="20"/>
          <w:szCs w:val="20"/>
        </w:rPr>
        <w:t>. Retrieved from: https://www.dese.gov.au/research-block-grants</w:t>
      </w:r>
    </w:p>
  </w:footnote>
  <w:footnote w:id="5">
    <w:p w14:paraId="65DD3916" w14:textId="77777777" w:rsidR="008C5E16" w:rsidRPr="001645F8" w:rsidRDefault="008C5E16" w:rsidP="00F07462">
      <w:pPr>
        <w:pStyle w:val="FootnoteText"/>
        <w:rPr>
          <w:lang w:val="en-AU"/>
        </w:rPr>
      </w:pPr>
      <w:r>
        <w:rPr>
          <w:rStyle w:val="FootnoteReference"/>
        </w:rPr>
        <w:footnoteRef/>
      </w:r>
      <w:r>
        <w:t xml:space="preserve"> ibid</w:t>
      </w:r>
    </w:p>
  </w:footnote>
  <w:footnote w:id="6">
    <w:p w14:paraId="72E3DCC7" w14:textId="77777777" w:rsidR="008C5E16" w:rsidRPr="00860511" w:rsidRDefault="008C5E16" w:rsidP="00F07462">
      <w:pPr>
        <w:spacing w:after="0"/>
        <w:rPr>
          <w:sz w:val="20"/>
          <w:szCs w:val="20"/>
        </w:rPr>
      </w:pPr>
      <w:r w:rsidRPr="00860511">
        <w:rPr>
          <w:rStyle w:val="FootnoteReference"/>
          <w:sz w:val="20"/>
          <w:szCs w:val="20"/>
        </w:rPr>
        <w:footnoteRef/>
      </w:r>
      <w:r w:rsidRPr="00860511">
        <w:rPr>
          <w:sz w:val="20"/>
          <w:szCs w:val="20"/>
        </w:rPr>
        <w:t xml:space="preserve"> Australian Bureau of Statistics. (2020). Research and Experimental Development, Higher Education Organisations, Australia. Retrieved from: </w:t>
      </w:r>
      <w:hyperlink r:id="rId1" w:history="1">
        <w:r w:rsidRPr="00860511">
          <w:rPr>
            <w:rStyle w:val="Hyperlink"/>
            <w:sz w:val="20"/>
            <w:szCs w:val="20"/>
          </w:rPr>
          <w:t>https://www.abs.gov.au/statistics/industry/technology-and-innovation/research-and-experimental-development-higher-education-organisations-australia/latest-release</w:t>
        </w:r>
      </w:hyperlink>
    </w:p>
  </w:footnote>
  <w:footnote w:id="7">
    <w:p w14:paraId="2A99ABB1" w14:textId="77777777" w:rsidR="008C5E16" w:rsidRPr="00CD238C" w:rsidRDefault="008C5E16" w:rsidP="00F07462">
      <w:pPr>
        <w:pStyle w:val="Heading4"/>
        <w:shd w:val="clear" w:color="auto" w:fill="FFFFFF"/>
        <w:spacing w:before="0" w:after="0"/>
        <w:rPr>
          <w:lang w:val="en-AU"/>
        </w:rPr>
      </w:pPr>
      <w:r w:rsidRPr="00860511">
        <w:rPr>
          <w:rStyle w:val="FootnoteReference"/>
          <w:sz w:val="20"/>
          <w:szCs w:val="20"/>
        </w:rPr>
        <w:footnoteRef/>
      </w:r>
      <w:r w:rsidRPr="00860511">
        <w:rPr>
          <w:sz w:val="20"/>
          <w:szCs w:val="20"/>
        </w:rPr>
        <w:t xml:space="preserve"> </w:t>
      </w:r>
      <w:r w:rsidRPr="00860511">
        <w:rPr>
          <w:rFonts w:asciiTheme="minorHAnsi" w:hAnsiTheme="minorHAnsi"/>
          <w:b w:val="0"/>
          <w:i w:val="0"/>
          <w:color w:val="auto"/>
          <w:sz w:val="20"/>
          <w:szCs w:val="20"/>
        </w:rPr>
        <w:t xml:space="preserve">Department of Health Victoria. (2021). Victorian Medical Research Acceleration Fund. Retrieved from: </w:t>
      </w:r>
      <w:hyperlink r:id="rId2" w:history="1">
        <w:r w:rsidRPr="00860511">
          <w:rPr>
            <w:rFonts w:asciiTheme="minorHAnsi" w:hAnsiTheme="minorHAnsi"/>
            <w:b w:val="0"/>
            <w:i w:val="0"/>
            <w:color w:val="auto"/>
            <w:sz w:val="20"/>
            <w:szCs w:val="20"/>
          </w:rPr>
          <w:t>https://www2.health.vic.gov.au/about/clinical-trials-and-research/victorian-medical-research-acceleration-fund</w:t>
        </w:r>
      </w:hyperlink>
    </w:p>
  </w:footnote>
  <w:footnote w:id="8">
    <w:p w14:paraId="645C6044" w14:textId="77777777" w:rsidR="008C5E16" w:rsidRPr="006C57B5" w:rsidRDefault="008C5E16" w:rsidP="00F07462">
      <w:pPr>
        <w:spacing w:after="0"/>
        <w:rPr>
          <w:sz w:val="20"/>
          <w:szCs w:val="20"/>
        </w:rPr>
      </w:pPr>
      <w:r>
        <w:rPr>
          <w:rStyle w:val="FootnoteReference"/>
        </w:rPr>
        <w:footnoteRef/>
      </w:r>
      <w:r>
        <w:t xml:space="preserve"> </w:t>
      </w:r>
      <w:r w:rsidRPr="006C57B5">
        <w:rPr>
          <w:sz w:val="20"/>
          <w:szCs w:val="20"/>
        </w:rPr>
        <w:t xml:space="preserve">Australian Bureau of Statistics. (2020). </w:t>
      </w:r>
      <w:r w:rsidRPr="007A0882">
        <w:rPr>
          <w:i/>
          <w:iCs/>
          <w:sz w:val="20"/>
          <w:szCs w:val="20"/>
        </w:rPr>
        <w:t>Research and Experimental Development, Higher Education Organisations, Australia</w:t>
      </w:r>
      <w:r w:rsidRPr="006C57B5">
        <w:rPr>
          <w:sz w:val="20"/>
          <w:szCs w:val="20"/>
        </w:rPr>
        <w:t xml:space="preserve">. Retrieved from: </w:t>
      </w:r>
      <w:hyperlink r:id="rId3" w:history="1">
        <w:r w:rsidRPr="006C57B5">
          <w:rPr>
            <w:rStyle w:val="Hyperlink"/>
            <w:sz w:val="20"/>
            <w:szCs w:val="20"/>
          </w:rPr>
          <w:t>https://www.abs.gov.au/statistics/industry/technology-and-innovation/research-and-experimental-development-higher-education-organisations-australia/latest-release</w:t>
        </w:r>
      </w:hyperlink>
    </w:p>
  </w:footnote>
  <w:footnote w:id="9">
    <w:p w14:paraId="46E60F08" w14:textId="77777777" w:rsidR="008C5E16" w:rsidRPr="006C57B5" w:rsidRDefault="008C5E16" w:rsidP="00F07462">
      <w:pPr>
        <w:spacing w:after="0"/>
        <w:rPr>
          <w:sz w:val="20"/>
          <w:szCs w:val="20"/>
        </w:rPr>
      </w:pPr>
      <w:r w:rsidRPr="006C57B5">
        <w:rPr>
          <w:rStyle w:val="FootnoteReference"/>
          <w:sz w:val="20"/>
          <w:szCs w:val="20"/>
        </w:rPr>
        <w:footnoteRef/>
      </w:r>
      <w:r w:rsidRPr="006C57B5">
        <w:rPr>
          <w:sz w:val="20"/>
          <w:szCs w:val="20"/>
        </w:rPr>
        <w:t xml:space="preserve"> The Royal Melbourne Hospital. (2019). </w:t>
      </w:r>
      <w:r w:rsidRPr="006C57B5">
        <w:rPr>
          <w:i/>
          <w:sz w:val="20"/>
          <w:szCs w:val="20"/>
        </w:rPr>
        <w:t xml:space="preserve">Outcome of funding rounds. </w:t>
      </w:r>
      <w:r w:rsidRPr="006C57B5">
        <w:rPr>
          <w:sz w:val="20"/>
          <w:szCs w:val="20"/>
        </w:rPr>
        <w:t xml:space="preserve">Retrieved from: </w:t>
      </w:r>
      <w:hyperlink r:id="rId4" w:history="1">
        <w:r w:rsidRPr="006C57B5">
          <w:rPr>
            <w:rStyle w:val="Hyperlink"/>
            <w:sz w:val="20"/>
            <w:szCs w:val="20"/>
          </w:rPr>
          <w:t>https://www.thermh.org.au/research/researchers/grants/rfp/outcome</w:t>
        </w:r>
      </w:hyperlink>
    </w:p>
  </w:footnote>
  <w:footnote w:id="10">
    <w:p w14:paraId="02DB8931" w14:textId="77777777" w:rsidR="008C5E16" w:rsidRPr="007A0882" w:rsidRDefault="008C5E16">
      <w:pPr>
        <w:pStyle w:val="FootnoteText"/>
        <w:rPr>
          <w:lang w:val="en-AU"/>
        </w:rPr>
      </w:pPr>
      <w:r>
        <w:rPr>
          <w:rStyle w:val="FootnoteReference"/>
        </w:rPr>
        <w:footnoteRef/>
      </w:r>
      <w:r>
        <w:t xml:space="preserve"> </w:t>
      </w:r>
      <w:r>
        <w:rPr>
          <w:lang w:val="en-AU"/>
        </w:rPr>
        <w:t xml:space="preserve">University of Sydney. (2021). </w:t>
      </w:r>
      <w:r>
        <w:rPr>
          <w:i/>
          <w:iCs/>
          <w:lang w:val="en-AU"/>
        </w:rPr>
        <w:t xml:space="preserve">Internal Grants and Fellowships. </w:t>
      </w:r>
      <w:r>
        <w:rPr>
          <w:lang w:val="en-AU"/>
        </w:rPr>
        <w:t>Retrieved from:</w:t>
      </w:r>
      <w:r w:rsidRPr="00ED2B08">
        <w:t xml:space="preserve"> </w:t>
      </w:r>
      <w:hyperlink r:id="rId5" w:history="1">
        <w:r>
          <w:rPr>
            <w:rStyle w:val="Hyperlink"/>
          </w:rPr>
          <w:t>Internal grants and fellowships - The University of Sydney</w:t>
        </w:r>
      </w:hyperlink>
    </w:p>
  </w:footnote>
  <w:footnote w:id="11">
    <w:p w14:paraId="3B2AC3C4" w14:textId="77777777" w:rsidR="008C5E16" w:rsidRPr="00ED212B" w:rsidRDefault="008C5E16">
      <w:pPr>
        <w:spacing w:after="0"/>
        <w:rPr>
          <w:sz w:val="20"/>
          <w:szCs w:val="20"/>
        </w:rPr>
      </w:pPr>
      <w:r w:rsidRPr="006C57B5">
        <w:rPr>
          <w:rStyle w:val="FootnoteReference"/>
          <w:sz w:val="20"/>
          <w:szCs w:val="20"/>
        </w:rPr>
        <w:footnoteRef/>
      </w:r>
      <w:r w:rsidRPr="006C57B5">
        <w:rPr>
          <w:sz w:val="20"/>
          <w:szCs w:val="20"/>
        </w:rPr>
        <w:t xml:space="preserve"> Sanofi. (2021). </w:t>
      </w:r>
      <w:r w:rsidRPr="006C57B5">
        <w:rPr>
          <w:i/>
          <w:sz w:val="20"/>
          <w:szCs w:val="20"/>
        </w:rPr>
        <w:t xml:space="preserve">Grant funding. </w:t>
      </w:r>
      <w:r w:rsidRPr="006C57B5">
        <w:rPr>
          <w:sz w:val="20"/>
          <w:szCs w:val="20"/>
        </w:rPr>
        <w:t>Retrieved from: www.sanofi.com.au/en/corporate-responsibility/grant-funding</w:t>
      </w:r>
    </w:p>
  </w:footnote>
  <w:footnote w:id="12">
    <w:p w14:paraId="72A4FB10" w14:textId="77777777" w:rsidR="008C5E16" w:rsidRPr="006C57B5" w:rsidRDefault="008C5E16">
      <w:pPr>
        <w:pStyle w:val="Heading1"/>
        <w:shd w:val="clear" w:color="auto" w:fill="FFFFFF"/>
        <w:spacing w:before="0" w:after="0"/>
        <w:rPr>
          <w:rFonts w:asciiTheme="minorHAnsi" w:hAnsiTheme="minorHAnsi"/>
          <w:color w:val="auto"/>
          <w:sz w:val="20"/>
          <w:szCs w:val="20"/>
        </w:rPr>
      </w:pPr>
      <w:r w:rsidRPr="006C57B5">
        <w:rPr>
          <w:rStyle w:val="FootnoteReference"/>
          <w:rFonts w:asciiTheme="minorHAnsi" w:hAnsiTheme="minorHAnsi"/>
          <w:sz w:val="20"/>
          <w:szCs w:val="20"/>
        </w:rPr>
        <w:footnoteRef/>
      </w:r>
      <w:r w:rsidRPr="006C57B5">
        <w:rPr>
          <w:rFonts w:asciiTheme="minorHAnsi" w:hAnsiTheme="minorHAnsi"/>
          <w:sz w:val="20"/>
          <w:szCs w:val="20"/>
        </w:rPr>
        <w:t xml:space="preserve"> </w:t>
      </w:r>
      <w:r w:rsidRPr="006C57B5">
        <w:rPr>
          <w:rFonts w:asciiTheme="minorHAnsi" w:hAnsiTheme="minorHAnsi"/>
          <w:b w:val="0"/>
          <w:caps w:val="0"/>
          <w:color w:val="auto"/>
          <w:sz w:val="20"/>
          <w:szCs w:val="20"/>
        </w:rPr>
        <w:t>Australian bureau of statistics. (20</w:t>
      </w:r>
      <w:r w:rsidRPr="006C57B5">
        <w:rPr>
          <w:rFonts w:asciiTheme="minorHAnsi" w:hAnsiTheme="minorHAnsi"/>
          <w:b w:val="0"/>
          <w:color w:val="auto"/>
          <w:sz w:val="20"/>
          <w:szCs w:val="20"/>
        </w:rPr>
        <w:t xml:space="preserve">19). </w:t>
      </w:r>
      <w:r w:rsidRPr="006C57B5">
        <w:rPr>
          <w:rFonts w:asciiTheme="minorHAnsi" w:hAnsiTheme="minorHAnsi"/>
          <w:b w:val="0"/>
          <w:caps w:val="0"/>
          <w:color w:val="auto"/>
          <w:sz w:val="20"/>
          <w:szCs w:val="20"/>
        </w:rPr>
        <w:t>Research and experimental development, businesses, Australia</w:t>
      </w:r>
      <w:r w:rsidRPr="006C57B5">
        <w:rPr>
          <w:rFonts w:asciiTheme="minorHAnsi" w:hAnsiTheme="minorHAnsi"/>
          <w:b w:val="0"/>
          <w:color w:val="auto"/>
          <w:sz w:val="20"/>
          <w:szCs w:val="20"/>
        </w:rPr>
        <w:t xml:space="preserve">. </w:t>
      </w:r>
      <w:r w:rsidRPr="006C57B5">
        <w:rPr>
          <w:rFonts w:asciiTheme="minorHAnsi" w:hAnsiTheme="minorHAnsi"/>
          <w:b w:val="0"/>
          <w:caps w:val="0"/>
          <w:color w:val="auto"/>
          <w:sz w:val="20"/>
          <w:szCs w:val="20"/>
        </w:rPr>
        <w:t>Retrieved</w:t>
      </w:r>
      <w:r w:rsidRPr="006C57B5">
        <w:rPr>
          <w:rFonts w:asciiTheme="minorHAnsi" w:hAnsiTheme="minorHAnsi"/>
          <w:b w:val="0"/>
          <w:color w:val="auto"/>
          <w:sz w:val="20"/>
          <w:szCs w:val="20"/>
        </w:rPr>
        <w:t xml:space="preserve"> </w:t>
      </w:r>
      <w:r w:rsidRPr="006C57B5">
        <w:rPr>
          <w:rFonts w:asciiTheme="minorHAnsi" w:hAnsiTheme="minorHAnsi"/>
          <w:b w:val="0"/>
          <w:caps w:val="0"/>
          <w:color w:val="auto"/>
          <w:sz w:val="20"/>
          <w:szCs w:val="20"/>
        </w:rPr>
        <w:t xml:space="preserve">from: </w:t>
      </w:r>
      <w:hyperlink r:id="rId6" w:history="1">
        <w:r w:rsidRPr="007A0882">
          <w:rPr>
            <w:rStyle w:val="Hyperlink"/>
            <w:rFonts w:asciiTheme="minorHAnsi" w:hAnsiTheme="minorHAnsi"/>
            <w:b w:val="0"/>
            <w:caps w:val="0"/>
            <w:sz w:val="20"/>
            <w:szCs w:val="20"/>
          </w:rPr>
          <w:t>https://www.abs.gov.au/statistics/industry/technology-and-innovation/research-and-experimental-development-businesses-australia/latest-release</w:t>
        </w:r>
      </w:hyperlink>
    </w:p>
  </w:footnote>
  <w:footnote w:id="13">
    <w:p w14:paraId="3E4082E2" w14:textId="77777777" w:rsidR="008C5E16" w:rsidRPr="00ED212B" w:rsidRDefault="008C5E16">
      <w:pPr>
        <w:spacing w:after="0"/>
        <w:rPr>
          <w:sz w:val="20"/>
          <w:szCs w:val="20"/>
        </w:rPr>
      </w:pPr>
      <w:r w:rsidRPr="006C57B5">
        <w:rPr>
          <w:rStyle w:val="FootnoteReference"/>
          <w:sz w:val="20"/>
          <w:szCs w:val="20"/>
        </w:rPr>
        <w:footnoteRef/>
      </w:r>
      <w:r w:rsidRPr="006C57B5">
        <w:rPr>
          <w:sz w:val="20"/>
          <w:szCs w:val="20"/>
        </w:rPr>
        <w:t xml:space="preserve"> Haemophilia Foundation Australia. (2021). </w:t>
      </w:r>
      <w:r w:rsidRPr="006C57B5">
        <w:rPr>
          <w:i/>
          <w:sz w:val="20"/>
          <w:szCs w:val="20"/>
        </w:rPr>
        <w:t xml:space="preserve">Research Fund. </w:t>
      </w:r>
      <w:r w:rsidRPr="006C57B5">
        <w:rPr>
          <w:sz w:val="20"/>
          <w:szCs w:val="20"/>
        </w:rPr>
        <w:t xml:space="preserve">Retrieved from: </w:t>
      </w:r>
      <w:r w:rsidRPr="00ED212B">
        <w:rPr>
          <w:sz w:val="20"/>
          <w:szCs w:val="20"/>
        </w:rPr>
        <w:t>https://www.haemophilia.org.au/research/research-fund</w:t>
      </w:r>
    </w:p>
  </w:footnote>
  <w:footnote w:id="14">
    <w:p w14:paraId="4BE9EB7F" w14:textId="77777777" w:rsidR="008C5E16" w:rsidRPr="006C57B5" w:rsidRDefault="008C5E16">
      <w:pPr>
        <w:spacing w:after="0"/>
        <w:rPr>
          <w:sz w:val="20"/>
          <w:szCs w:val="20"/>
        </w:rPr>
      </w:pPr>
      <w:r w:rsidRPr="006C57B5">
        <w:rPr>
          <w:rStyle w:val="FootnoteReference"/>
          <w:sz w:val="20"/>
          <w:szCs w:val="20"/>
        </w:rPr>
        <w:footnoteRef/>
      </w:r>
      <w:r w:rsidRPr="006C57B5">
        <w:rPr>
          <w:sz w:val="20"/>
          <w:szCs w:val="20"/>
        </w:rPr>
        <w:t xml:space="preserve"> </w:t>
      </w:r>
      <w:r w:rsidRPr="007A0882">
        <w:rPr>
          <w:rFonts w:cs="Arial"/>
          <w:sz w:val="20"/>
          <w:szCs w:val="20"/>
          <w:lang w:eastAsia="zh-CN"/>
        </w:rPr>
        <w:t>People with VWD, the most common bleeding disorder, have problems controlling their bleeding due to a problem with a protein in their blood called von Willebrand factor</w:t>
      </w:r>
    </w:p>
  </w:footnote>
  <w:footnote w:id="15">
    <w:p w14:paraId="67FC4758" w14:textId="77777777" w:rsidR="008C5E16" w:rsidRPr="004A5FC4" w:rsidRDefault="008C5E16" w:rsidP="0073198B">
      <w:pPr>
        <w:spacing w:after="0"/>
      </w:pPr>
      <w:r w:rsidRPr="006C57B5">
        <w:rPr>
          <w:rStyle w:val="FootnoteReference"/>
          <w:sz w:val="20"/>
          <w:szCs w:val="20"/>
        </w:rPr>
        <w:footnoteRef/>
      </w:r>
      <w:r w:rsidRPr="006C57B5">
        <w:rPr>
          <w:sz w:val="20"/>
          <w:szCs w:val="20"/>
        </w:rPr>
        <w:t xml:space="preserve"> Australian and New Zealand Society of Blood Transfusion. (2021). </w:t>
      </w:r>
      <w:r w:rsidRPr="006C57B5">
        <w:rPr>
          <w:i/>
          <w:sz w:val="20"/>
          <w:szCs w:val="20"/>
        </w:rPr>
        <w:t>Research</w:t>
      </w:r>
      <w:r w:rsidRPr="006C57B5">
        <w:rPr>
          <w:sz w:val="20"/>
          <w:szCs w:val="20"/>
        </w:rPr>
        <w:t xml:space="preserve">. Retrieved from: </w:t>
      </w:r>
      <w:hyperlink r:id="rId7" w:history="1">
        <w:r w:rsidRPr="006C57B5">
          <w:rPr>
            <w:rStyle w:val="Hyperlink"/>
            <w:sz w:val="20"/>
            <w:szCs w:val="20"/>
          </w:rPr>
          <w:t>https://anzsbt.org.au/education-research/research/</w:t>
        </w:r>
      </w:hyperlink>
    </w:p>
  </w:footnote>
  <w:footnote w:id="16">
    <w:p w14:paraId="5449DD80" w14:textId="77777777" w:rsidR="008C5E16" w:rsidRPr="00860511" w:rsidRDefault="008C5E16" w:rsidP="0073198B">
      <w:pPr>
        <w:spacing w:after="0"/>
        <w:rPr>
          <w:sz w:val="20"/>
          <w:szCs w:val="20"/>
        </w:rPr>
      </w:pPr>
      <w:r>
        <w:rPr>
          <w:rStyle w:val="FootnoteReference"/>
        </w:rPr>
        <w:footnoteRef/>
      </w:r>
      <w:r>
        <w:t xml:space="preserve"> </w:t>
      </w:r>
      <w:hyperlink r:id="rId8" w:history="1">
        <w:r w:rsidRPr="00860511">
          <w:rPr>
            <w:sz w:val="20"/>
            <w:szCs w:val="20"/>
          </w:rPr>
          <w:t xml:space="preserve">Heart Research Institute. (2021). </w:t>
        </w:r>
        <w:r w:rsidRPr="00860511">
          <w:rPr>
            <w:i/>
            <w:sz w:val="20"/>
            <w:szCs w:val="20"/>
          </w:rPr>
          <w:t xml:space="preserve">Navigating 2020: Without skipping a beat. </w:t>
        </w:r>
        <w:r w:rsidRPr="00860511">
          <w:rPr>
            <w:sz w:val="20"/>
            <w:szCs w:val="20"/>
          </w:rPr>
          <w:t xml:space="preserve">Retrieved from: </w:t>
        </w:r>
        <w:r w:rsidRPr="00860511">
          <w:rPr>
            <w:rStyle w:val="Hyperlink"/>
            <w:sz w:val="20"/>
            <w:szCs w:val="20"/>
          </w:rPr>
          <w:t>https://dvl2h13awlxkt.cloudfront.net/general-downloads/HRI_Annual_Review_2020.pdf?mtime=20210527095756&amp;focal=none</w:t>
        </w:r>
      </w:hyperlink>
      <w:r w:rsidRPr="00860511">
        <w:rPr>
          <w:sz w:val="20"/>
          <w:szCs w:val="20"/>
        </w:rPr>
        <w:t>, p.38</w:t>
      </w:r>
    </w:p>
  </w:footnote>
  <w:footnote w:id="17">
    <w:p w14:paraId="1C5BC39F" w14:textId="26C9B2C5" w:rsidR="008C5E16" w:rsidRPr="00087B72" w:rsidRDefault="008C5E16">
      <w:pPr>
        <w:pStyle w:val="FootnoteText"/>
        <w:rPr>
          <w:lang w:val="en-AU"/>
        </w:rPr>
      </w:pPr>
      <w:r>
        <w:rPr>
          <w:rStyle w:val="FootnoteReference"/>
        </w:rPr>
        <w:footnoteRef/>
      </w:r>
      <w:r>
        <w:t xml:space="preserve"> Australian Red Cross. (2021). ‘Where the money came from.’ </w:t>
      </w:r>
      <w:r>
        <w:rPr>
          <w:i/>
          <w:iCs/>
        </w:rPr>
        <w:t xml:space="preserve">2019-20 Annual Report. </w:t>
      </w:r>
      <w:r>
        <w:t xml:space="preserve">Retrieved from: </w:t>
      </w:r>
      <w:r w:rsidRPr="000C468D">
        <w:t>https://www.redcross.org.au/annual-reports/annual-report-2019-20/finances/income</w:t>
      </w:r>
    </w:p>
  </w:footnote>
  <w:footnote w:id="18">
    <w:p w14:paraId="30C34BDF" w14:textId="77777777" w:rsidR="008C5E16" w:rsidRPr="0011116C" w:rsidRDefault="008C5E16">
      <w:pPr>
        <w:pStyle w:val="FootnoteText"/>
        <w:rPr>
          <w:lang w:val="en-AU"/>
        </w:rPr>
      </w:pPr>
      <w:r>
        <w:rPr>
          <w:rStyle w:val="FootnoteReference"/>
        </w:rPr>
        <w:footnoteRef/>
      </w:r>
      <w:r>
        <w:t xml:space="preserve"> </w:t>
      </w:r>
      <w:r>
        <w:rPr>
          <w:lang w:val="en-AU"/>
        </w:rPr>
        <w:t xml:space="preserve">s.8(1)(h) </w:t>
      </w:r>
      <w:r>
        <w:rPr>
          <w:lang w:eastAsia="zh-CN"/>
        </w:rPr>
        <w:t>National Blood Authority Act 2003</w:t>
      </w:r>
    </w:p>
  </w:footnote>
  <w:footnote w:id="19">
    <w:p w14:paraId="4F4271B8" w14:textId="77777777" w:rsidR="008C5E16" w:rsidRPr="00977A6B" w:rsidRDefault="008C5E16" w:rsidP="00F07462">
      <w:pPr>
        <w:spacing w:after="0" w:line="240" w:lineRule="auto"/>
        <w:rPr>
          <w:sz w:val="20"/>
          <w:szCs w:val="20"/>
        </w:rPr>
      </w:pPr>
      <w:r>
        <w:rPr>
          <w:rStyle w:val="FootnoteReference"/>
        </w:rPr>
        <w:footnoteRef/>
      </w:r>
      <w:r w:rsidRPr="00977A6B">
        <w:rPr>
          <w:sz w:val="20"/>
          <w:szCs w:val="20"/>
        </w:rPr>
        <w:t xml:space="preserve">Commonwealth, State and Territory Governments. (2002). </w:t>
      </w:r>
      <w:r w:rsidRPr="00977A6B">
        <w:rPr>
          <w:i/>
          <w:sz w:val="20"/>
          <w:szCs w:val="20"/>
        </w:rPr>
        <w:t xml:space="preserve">National Blood Agreement. </w:t>
      </w:r>
      <w:r w:rsidRPr="00977A6B">
        <w:rPr>
          <w:sz w:val="20"/>
          <w:szCs w:val="20"/>
        </w:rPr>
        <w:t>pp.4-6, Retrieved from: https://www.blood.gov.au/system/files/documents/nba-national-blood-agreement.pdf</w:t>
      </w:r>
    </w:p>
  </w:footnote>
  <w:footnote w:id="20">
    <w:p w14:paraId="4311732A" w14:textId="77777777" w:rsidR="008C5E16" w:rsidRPr="00977A6B" w:rsidRDefault="008C5E16" w:rsidP="00F07462">
      <w:pPr>
        <w:spacing w:after="0" w:line="240" w:lineRule="auto"/>
        <w:rPr>
          <w:sz w:val="20"/>
          <w:szCs w:val="20"/>
          <w:lang w:eastAsia="zh-CN"/>
        </w:rPr>
      </w:pPr>
      <w:r w:rsidRPr="00977A6B">
        <w:rPr>
          <w:rStyle w:val="FootnoteReference"/>
          <w:sz w:val="20"/>
          <w:szCs w:val="20"/>
        </w:rPr>
        <w:footnoteRef/>
      </w:r>
      <w:r w:rsidRPr="00977A6B">
        <w:rPr>
          <w:sz w:val="20"/>
          <w:szCs w:val="20"/>
        </w:rPr>
        <w:t xml:space="preserve"> </w:t>
      </w:r>
      <w:r w:rsidRPr="00977A6B">
        <w:rPr>
          <w:rFonts w:cs="Arial"/>
          <w:sz w:val="20"/>
          <w:szCs w:val="20"/>
        </w:rPr>
        <w:t xml:space="preserve">Australian Red Cross Lifeblood. (2019). </w:t>
      </w:r>
      <w:r w:rsidRPr="00977A6B">
        <w:rPr>
          <w:rFonts w:cs="Arial"/>
          <w:i/>
          <w:sz w:val="20"/>
          <w:szCs w:val="20"/>
        </w:rPr>
        <w:t>Our research program.</w:t>
      </w:r>
      <w:r w:rsidRPr="00977A6B">
        <w:rPr>
          <w:sz w:val="20"/>
          <w:szCs w:val="20"/>
          <w:lang w:eastAsia="zh-CN"/>
        </w:rPr>
        <w:t>https://www.donateblood.com.au/research/our-research-program</w:t>
      </w:r>
    </w:p>
  </w:footnote>
  <w:footnote w:id="21">
    <w:p w14:paraId="0F7BEB80" w14:textId="77777777" w:rsidR="008C5E16" w:rsidRPr="00977A6B" w:rsidRDefault="008C5E16" w:rsidP="00F07462">
      <w:pPr>
        <w:spacing w:after="0" w:line="240" w:lineRule="auto"/>
        <w:rPr>
          <w:sz w:val="20"/>
          <w:szCs w:val="20"/>
        </w:rPr>
      </w:pPr>
      <w:r w:rsidRPr="00977A6B">
        <w:rPr>
          <w:rStyle w:val="FootnoteReference"/>
          <w:sz w:val="20"/>
          <w:szCs w:val="20"/>
        </w:rPr>
        <w:footnoteRef/>
      </w:r>
      <w:r w:rsidRPr="00977A6B">
        <w:rPr>
          <w:sz w:val="20"/>
          <w:szCs w:val="20"/>
        </w:rPr>
        <w:t xml:space="preserve"> Research Australia. (2021). </w:t>
      </w:r>
      <w:r w:rsidRPr="00977A6B">
        <w:rPr>
          <w:i/>
          <w:sz w:val="20"/>
          <w:szCs w:val="20"/>
        </w:rPr>
        <w:t>Australian Health and Medical Research Facts.</w:t>
      </w:r>
      <w:r w:rsidRPr="00977A6B">
        <w:rPr>
          <w:sz w:val="20"/>
          <w:szCs w:val="20"/>
        </w:rPr>
        <w:t xml:space="preserve"> Retrieved from: </w:t>
      </w:r>
      <w:hyperlink r:id="rId9" w:history="1">
        <w:r w:rsidRPr="00977A6B">
          <w:rPr>
            <w:rStyle w:val="Hyperlink"/>
            <w:sz w:val="20"/>
            <w:szCs w:val="20"/>
          </w:rPr>
          <w:t>https://researchaustralia.org/category/hmr-facts/#</w:t>
        </w:r>
      </w:hyperlink>
    </w:p>
  </w:footnote>
  <w:footnote w:id="22">
    <w:p w14:paraId="20064DCA" w14:textId="77777777" w:rsidR="008C5E16" w:rsidRPr="00977A6B" w:rsidRDefault="008C5E16" w:rsidP="00F07462">
      <w:pPr>
        <w:spacing w:after="0" w:line="240" w:lineRule="auto"/>
        <w:rPr>
          <w:rFonts w:cs="Arial"/>
          <w:sz w:val="20"/>
          <w:szCs w:val="20"/>
        </w:rPr>
      </w:pPr>
      <w:r w:rsidRPr="00977A6B">
        <w:rPr>
          <w:rStyle w:val="FootnoteReference"/>
          <w:sz w:val="20"/>
          <w:szCs w:val="20"/>
        </w:rPr>
        <w:footnoteRef/>
      </w:r>
      <w:r w:rsidRPr="00977A6B">
        <w:rPr>
          <w:sz w:val="20"/>
          <w:szCs w:val="20"/>
        </w:rPr>
        <w:t xml:space="preserve"> </w:t>
      </w:r>
      <w:r w:rsidRPr="00977A6B">
        <w:rPr>
          <w:rFonts w:cs="Arial"/>
          <w:sz w:val="20"/>
          <w:szCs w:val="20"/>
        </w:rPr>
        <w:t xml:space="preserve">Blood Synergy. (2021). </w:t>
      </w:r>
      <w:r w:rsidRPr="00977A6B">
        <w:rPr>
          <w:rFonts w:cs="Arial"/>
          <w:i/>
          <w:sz w:val="20"/>
          <w:szCs w:val="20"/>
        </w:rPr>
        <w:t xml:space="preserve">Research. </w:t>
      </w:r>
      <w:r w:rsidRPr="00977A6B">
        <w:rPr>
          <w:rFonts w:cs="Arial"/>
          <w:sz w:val="20"/>
          <w:szCs w:val="20"/>
        </w:rPr>
        <w:t xml:space="preserve">Monash University. Retrieved from: </w:t>
      </w:r>
      <w:hyperlink r:id="rId10" w:history="1">
        <w:r w:rsidRPr="00977A6B">
          <w:rPr>
            <w:rStyle w:val="Hyperlink"/>
            <w:rFonts w:cs="Arial"/>
            <w:sz w:val="20"/>
            <w:szCs w:val="20"/>
          </w:rPr>
          <w:t>https://bloodsynergy.org/research/</w:t>
        </w:r>
      </w:hyperlink>
    </w:p>
    <w:p w14:paraId="2CE31261" w14:textId="77777777" w:rsidR="008C5E16" w:rsidRPr="00F42BA7" w:rsidRDefault="008C5E16" w:rsidP="00F07462">
      <w:pPr>
        <w:pStyle w:val="FootnoteText"/>
        <w:rPr>
          <w:lang w:val="en-AU"/>
        </w:rPr>
      </w:pPr>
    </w:p>
  </w:footnote>
  <w:footnote w:id="23">
    <w:p w14:paraId="1E44DE78" w14:textId="77777777" w:rsidR="008C5E16" w:rsidRPr="002F0BE7" w:rsidRDefault="008C5E16" w:rsidP="00F07462">
      <w:pPr>
        <w:spacing w:after="0" w:line="240" w:lineRule="auto"/>
        <w:rPr>
          <w:sz w:val="20"/>
          <w:szCs w:val="20"/>
        </w:rPr>
      </w:pPr>
      <w:r>
        <w:rPr>
          <w:rStyle w:val="FootnoteReference"/>
        </w:rPr>
        <w:footnoteRef/>
      </w:r>
      <w:r w:rsidRPr="002F0BE7">
        <w:rPr>
          <w:sz w:val="20"/>
          <w:szCs w:val="20"/>
        </w:rPr>
        <w:t xml:space="preserve">CSL Behring. (2021). </w:t>
      </w:r>
      <w:r w:rsidRPr="002F0BE7">
        <w:rPr>
          <w:i/>
          <w:sz w:val="20"/>
          <w:szCs w:val="20"/>
        </w:rPr>
        <w:t xml:space="preserve">R&amp;D Capabilities. </w:t>
      </w:r>
      <w:r w:rsidRPr="002F0BE7">
        <w:rPr>
          <w:sz w:val="20"/>
          <w:szCs w:val="20"/>
        </w:rPr>
        <w:t xml:space="preserve">Retrieved from: </w:t>
      </w:r>
      <w:hyperlink r:id="rId11" w:history="1">
        <w:r w:rsidRPr="002F0BE7">
          <w:rPr>
            <w:rStyle w:val="Hyperlink"/>
            <w:sz w:val="20"/>
            <w:szCs w:val="20"/>
          </w:rPr>
          <w:t>https://www.cslbehring.com.au/research-and-development/research-and-development-capabilities</w:t>
        </w:r>
      </w:hyperlink>
    </w:p>
  </w:footnote>
  <w:footnote w:id="24">
    <w:p w14:paraId="53176328" w14:textId="77777777" w:rsidR="008C5E16" w:rsidRPr="002F0BE7" w:rsidRDefault="008C5E16" w:rsidP="00F07462">
      <w:pPr>
        <w:spacing w:after="0" w:line="240" w:lineRule="auto"/>
        <w:rPr>
          <w:sz w:val="20"/>
          <w:szCs w:val="20"/>
        </w:rPr>
      </w:pPr>
      <w:r w:rsidRPr="002F0BE7">
        <w:rPr>
          <w:rStyle w:val="FootnoteReference"/>
          <w:sz w:val="20"/>
          <w:szCs w:val="20"/>
        </w:rPr>
        <w:footnoteRef/>
      </w:r>
      <w:r w:rsidRPr="002F0BE7">
        <w:rPr>
          <w:sz w:val="20"/>
          <w:szCs w:val="20"/>
        </w:rPr>
        <w:t xml:space="preserve"> Sanofi. (2021). </w:t>
      </w:r>
      <w:r w:rsidRPr="002F0BE7">
        <w:rPr>
          <w:i/>
          <w:sz w:val="20"/>
          <w:szCs w:val="20"/>
        </w:rPr>
        <w:t xml:space="preserve">Rare blood disorders. </w:t>
      </w:r>
      <w:r w:rsidRPr="002F0BE7">
        <w:rPr>
          <w:sz w:val="20"/>
          <w:szCs w:val="20"/>
        </w:rPr>
        <w:t xml:space="preserve">Retrieved from: </w:t>
      </w:r>
      <w:hyperlink r:id="rId12" w:history="1">
        <w:r w:rsidRPr="002F0BE7">
          <w:rPr>
            <w:rStyle w:val="Hyperlink"/>
            <w:sz w:val="20"/>
            <w:szCs w:val="20"/>
          </w:rPr>
          <w:t>https://www.sanofi.com.au/en/healthcare-solutions/rare-blood-disorders</w:t>
        </w:r>
      </w:hyperlink>
    </w:p>
  </w:footnote>
  <w:footnote w:id="25">
    <w:p w14:paraId="4343CCE6" w14:textId="77777777" w:rsidR="008C5E16" w:rsidRPr="002F0BE7" w:rsidRDefault="008C5E16" w:rsidP="00F07462">
      <w:pPr>
        <w:pStyle w:val="BodyText"/>
        <w:spacing w:before="0" w:after="0" w:line="240" w:lineRule="auto"/>
        <w:rPr>
          <w:rFonts w:cs="Arial"/>
          <w:sz w:val="20"/>
          <w:szCs w:val="20"/>
        </w:rPr>
      </w:pPr>
      <w:r w:rsidRPr="002F0BE7">
        <w:rPr>
          <w:rStyle w:val="FootnoteReference"/>
          <w:sz w:val="20"/>
          <w:szCs w:val="20"/>
        </w:rPr>
        <w:footnoteRef/>
      </w:r>
      <w:r w:rsidRPr="002F0BE7">
        <w:rPr>
          <w:sz w:val="20"/>
          <w:szCs w:val="20"/>
        </w:rPr>
        <w:t xml:space="preserve"> National Health Medical Research Council. (2021). </w:t>
      </w:r>
      <w:r w:rsidRPr="002F0BE7">
        <w:rPr>
          <w:i/>
          <w:sz w:val="20"/>
          <w:szCs w:val="20"/>
        </w:rPr>
        <w:t xml:space="preserve">Outcomes from funding rounds. </w:t>
      </w:r>
      <w:r w:rsidRPr="002F0BE7">
        <w:rPr>
          <w:sz w:val="20"/>
          <w:szCs w:val="20"/>
        </w:rPr>
        <w:t>Retrieved from: https://www.nhmrc.gov.au/funding/data-research/outcomes</w:t>
      </w:r>
    </w:p>
  </w:footnote>
  <w:footnote w:id="26">
    <w:p w14:paraId="1B186574" w14:textId="77777777" w:rsidR="008C5E16" w:rsidRPr="0021482F" w:rsidRDefault="008C5E16" w:rsidP="00F07462">
      <w:pPr>
        <w:pStyle w:val="FootnoteText"/>
        <w:rPr>
          <w:lang w:val="en-AU"/>
        </w:rPr>
      </w:pPr>
      <w:r>
        <w:rPr>
          <w:rStyle w:val="FootnoteReference"/>
        </w:rPr>
        <w:footnoteRef/>
      </w:r>
      <w:r>
        <w:t xml:space="preserve"> </w:t>
      </w:r>
      <w:r>
        <w:rPr>
          <w:lang w:val="en-AU"/>
        </w:rPr>
        <w:t>ibid</w:t>
      </w:r>
    </w:p>
  </w:footnote>
  <w:footnote w:id="27">
    <w:p w14:paraId="11F8DB13" w14:textId="77777777" w:rsidR="008C5E16" w:rsidRPr="0021482F" w:rsidRDefault="008C5E16" w:rsidP="00F07462">
      <w:pPr>
        <w:pStyle w:val="FootnoteText"/>
        <w:rPr>
          <w:lang w:val="en-AU"/>
        </w:rPr>
      </w:pPr>
      <w:r>
        <w:rPr>
          <w:rStyle w:val="FootnoteReference"/>
        </w:rPr>
        <w:footnoteRef/>
      </w:r>
      <w:r>
        <w:t xml:space="preserve"> ibid</w:t>
      </w:r>
    </w:p>
  </w:footnote>
  <w:footnote w:id="28">
    <w:p w14:paraId="5ACAB148" w14:textId="4276618F" w:rsidR="008C5E16" w:rsidRPr="00087B72" w:rsidRDefault="008C5E16">
      <w:pPr>
        <w:pStyle w:val="FootnoteText"/>
        <w:rPr>
          <w:lang w:val="en-AU"/>
        </w:rPr>
      </w:pPr>
      <w:r>
        <w:rPr>
          <w:rStyle w:val="FootnoteReference"/>
        </w:rPr>
        <w:footnoteRef/>
      </w:r>
      <w:r>
        <w:t xml:space="preserve"> Kirby Institute. (2021). </w:t>
      </w:r>
      <w:r>
        <w:rPr>
          <w:i/>
          <w:iCs/>
        </w:rPr>
        <w:t xml:space="preserve">The Blood Donor Survey. </w:t>
      </w:r>
      <w:r>
        <w:t xml:space="preserve">UNSW – Medicine. Retrieved from: </w:t>
      </w:r>
      <w:r w:rsidRPr="00172AE4">
        <w:t>https://kirby.unsw.edu.au/project/blood-donor-survey</w:t>
      </w:r>
    </w:p>
  </w:footnote>
  <w:footnote w:id="29">
    <w:p w14:paraId="12F929C4" w14:textId="77777777" w:rsidR="008C5E16" w:rsidRPr="00F93755" w:rsidRDefault="008C5E16" w:rsidP="00F07462">
      <w:pPr>
        <w:pStyle w:val="FootnoteText"/>
        <w:rPr>
          <w:lang w:val="en-AU"/>
        </w:rPr>
      </w:pPr>
      <w:r>
        <w:rPr>
          <w:rStyle w:val="FootnoteReference"/>
        </w:rPr>
        <w:footnoteRef/>
      </w:r>
      <w:r>
        <w:t xml:space="preserve"> Australian Red Cross Lifeblood. (2020). </w:t>
      </w:r>
      <w:r>
        <w:rPr>
          <w:i/>
          <w:iCs/>
        </w:rPr>
        <w:t>Research Annual Report 2019-20.</w:t>
      </w:r>
      <w:r>
        <w:t xml:space="preserve"> Retrieved from: </w:t>
      </w:r>
      <w:hyperlink r:id="rId13" w:history="1">
        <w:r w:rsidRPr="00961F87">
          <w:rPr>
            <w:rStyle w:val="Hyperlink"/>
          </w:rPr>
          <w:t>https://www.donateblood.com.au/sites/default/files/J20515_2019_20_RDAnnualReport-Public_5.0.pdf</w:t>
        </w:r>
      </w:hyperlink>
      <w:r>
        <w:t>, p.5</w:t>
      </w:r>
    </w:p>
  </w:footnote>
  <w:footnote w:id="30">
    <w:p w14:paraId="7BC41114" w14:textId="77777777" w:rsidR="008C5E16" w:rsidRPr="002F0BE7" w:rsidRDefault="008C5E16" w:rsidP="00F07462">
      <w:pPr>
        <w:pStyle w:val="BodyText"/>
        <w:rPr>
          <w:rFonts w:eastAsia="Times New Roman" w:cs="Arial"/>
          <w:color w:val="0000FF" w:themeColor="hyperlink"/>
          <w:sz w:val="20"/>
          <w:szCs w:val="20"/>
          <w:u w:val="single"/>
          <w:lang w:eastAsia="en-AU"/>
        </w:rPr>
      </w:pPr>
      <w:r w:rsidRPr="002F0BE7">
        <w:rPr>
          <w:rStyle w:val="FootnoteReference"/>
          <w:sz w:val="20"/>
          <w:szCs w:val="20"/>
        </w:rPr>
        <w:footnoteRef/>
      </w:r>
      <w:r w:rsidRPr="002F0BE7">
        <w:rPr>
          <w:sz w:val="20"/>
          <w:szCs w:val="20"/>
        </w:rPr>
        <w:t xml:space="preserve"> </w:t>
      </w:r>
      <w:r w:rsidRPr="002F0BE7">
        <w:rPr>
          <w:rFonts w:cs="Arial"/>
          <w:sz w:val="20"/>
          <w:szCs w:val="20"/>
        </w:rPr>
        <w:t xml:space="preserve">NBA. (2020). </w:t>
      </w:r>
      <w:r w:rsidRPr="002F0BE7">
        <w:rPr>
          <w:rFonts w:cs="Arial"/>
          <w:i/>
          <w:sz w:val="20"/>
          <w:szCs w:val="20"/>
        </w:rPr>
        <w:t>National Blood Authority Annual Report 2019-20</w:t>
      </w:r>
      <w:r w:rsidRPr="002F0BE7">
        <w:rPr>
          <w:rFonts w:cs="Arial"/>
          <w:sz w:val="20"/>
          <w:szCs w:val="20"/>
        </w:rPr>
        <w:t xml:space="preserve">. September. Commonwealth of Australia. Retrieved from: </w:t>
      </w:r>
      <w:hyperlink r:id="rId14" w:history="1">
        <w:r w:rsidRPr="002F0BE7">
          <w:rPr>
            <w:rStyle w:val="Hyperlink"/>
            <w:rFonts w:eastAsia="Times New Roman" w:cs="Arial"/>
            <w:sz w:val="20"/>
            <w:szCs w:val="20"/>
            <w:lang w:eastAsia="en-AU"/>
          </w:rPr>
          <w:t>https://www.blood.gov.au/document/nba-annual-report-2019-20</w:t>
        </w:r>
      </w:hyperlink>
      <w:r w:rsidRPr="002F0BE7">
        <w:rPr>
          <w:sz w:val="20"/>
          <w:szCs w:val="20"/>
        </w:rPr>
        <w:t>, p.47</w:t>
      </w:r>
    </w:p>
  </w:footnote>
  <w:footnote w:id="31">
    <w:p w14:paraId="2BD0140B" w14:textId="77777777" w:rsidR="008C5E16" w:rsidRPr="00D823AB" w:rsidRDefault="008C5E16" w:rsidP="00F07462">
      <w:pPr>
        <w:pStyle w:val="FootnoteText"/>
        <w:rPr>
          <w:lang w:val="en-AU"/>
        </w:rPr>
      </w:pPr>
      <w:r>
        <w:rPr>
          <w:rStyle w:val="FootnoteReference"/>
        </w:rPr>
        <w:footnoteRef/>
      </w:r>
      <w:r>
        <w:t xml:space="preserve">Australian Red Cross Lifeblood. (2020). </w:t>
      </w:r>
      <w:r>
        <w:rPr>
          <w:i/>
          <w:iCs/>
        </w:rPr>
        <w:t>Research Annual Report 2019-20.</w:t>
      </w:r>
      <w:r>
        <w:t xml:space="preserve"> Retrieved from: </w:t>
      </w:r>
      <w:hyperlink r:id="rId15" w:history="1">
        <w:r w:rsidRPr="00961F87">
          <w:rPr>
            <w:rStyle w:val="Hyperlink"/>
          </w:rPr>
          <w:t>https://www.donateblood.com.au/sites/default/files/J20515_2019_20_RDAnnualReport-Public_5.0.pdf</w:t>
        </w:r>
      </w:hyperlink>
      <w:r>
        <w:t>, p.14</w:t>
      </w:r>
    </w:p>
  </w:footnote>
  <w:footnote w:id="32">
    <w:p w14:paraId="23A347F3" w14:textId="63922D8F" w:rsidR="008C5E16" w:rsidRPr="00087B72" w:rsidRDefault="008C5E16">
      <w:pPr>
        <w:pStyle w:val="FootnoteText"/>
        <w:rPr>
          <w:lang w:val="en-AU"/>
        </w:rPr>
      </w:pPr>
      <w:r>
        <w:rPr>
          <w:rStyle w:val="FootnoteReference"/>
        </w:rPr>
        <w:footnoteRef/>
      </w:r>
      <w:r>
        <w:t xml:space="preserve"> </w:t>
      </w:r>
      <w:hyperlink r:id="rId16" w:history="1">
        <w:r w:rsidRPr="00C80F16">
          <w:t>ibid</w:t>
        </w:r>
      </w:hyperlink>
      <w:r>
        <w:t>, p.15</w:t>
      </w:r>
    </w:p>
  </w:footnote>
  <w:footnote w:id="33">
    <w:p w14:paraId="1981E046" w14:textId="77777777" w:rsidR="008C5E16" w:rsidRPr="00415BC1" w:rsidRDefault="008C5E16" w:rsidP="002A0524">
      <w:pPr>
        <w:pStyle w:val="BodyText"/>
        <w:spacing w:before="0" w:after="0" w:line="240" w:lineRule="auto"/>
        <w:rPr>
          <w:sz w:val="20"/>
          <w:szCs w:val="20"/>
        </w:rPr>
      </w:pPr>
      <w:r w:rsidRPr="00415BC1">
        <w:rPr>
          <w:rStyle w:val="FootnoteReference"/>
          <w:sz w:val="20"/>
          <w:szCs w:val="20"/>
        </w:rPr>
        <w:footnoteRef/>
      </w:r>
      <w:r w:rsidRPr="00415BC1">
        <w:rPr>
          <w:sz w:val="20"/>
          <w:szCs w:val="20"/>
        </w:rPr>
        <w:t xml:space="preserve"> Australian Haemophilia Centre Directors’ Organisation. (2021). </w:t>
      </w:r>
      <w:r w:rsidRPr="00415BC1">
        <w:rPr>
          <w:i/>
          <w:sz w:val="20"/>
          <w:szCs w:val="20"/>
        </w:rPr>
        <w:t xml:space="preserve">Australian Haemophilia Centre Directors’ Organisation. </w:t>
      </w:r>
      <w:r w:rsidRPr="00415BC1">
        <w:rPr>
          <w:sz w:val="20"/>
          <w:szCs w:val="20"/>
        </w:rPr>
        <w:t xml:space="preserve">Retrieved from: </w:t>
      </w:r>
      <w:hyperlink r:id="rId17" w:history="1">
        <w:r w:rsidRPr="00415BC1">
          <w:rPr>
            <w:rStyle w:val="Hyperlink"/>
            <w:sz w:val="20"/>
            <w:szCs w:val="20"/>
          </w:rPr>
          <w:t>https://www.ahcdo.org.au</w:t>
        </w:r>
      </w:hyperlink>
    </w:p>
  </w:footnote>
  <w:footnote w:id="34">
    <w:p w14:paraId="26859541" w14:textId="77777777" w:rsidR="008C5E16" w:rsidRPr="005D715E" w:rsidRDefault="008C5E16" w:rsidP="002A0524">
      <w:pPr>
        <w:pStyle w:val="BodyText"/>
        <w:spacing w:before="0" w:after="0" w:line="240" w:lineRule="auto"/>
      </w:pPr>
      <w:r w:rsidRPr="00415BC1">
        <w:rPr>
          <w:rStyle w:val="FootnoteReference"/>
          <w:sz w:val="20"/>
          <w:szCs w:val="20"/>
        </w:rPr>
        <w:footnoteRef/>
      </w:r>
      <w:r w:rsidRPr="00415BC1">
        <w:rPr>
          <w:sz w:val="20"/>
          <w:szCs w:val="20"/>
        </w:rPr>
        <w:t xml:space="preserve"> Alfred Health. (2021). </w:t>
      </w:r>
      <w:r w:rsidRPr="00415BC1">
        <w:rPr>
          <w:i/>
          <w:sz w:val="20"/>
          <w:szCs w:val="20"/>
        </w:rPr>
        <w:t xml:space="preserve">Clinical Haematology research. </w:t>
      </w:r>
      <w:r w:rsidRPr="00415BC1">
        <w:rPr>
          <w:sz w:val="20"/>
          <w:szCs w:val="20"/>
        </w:rPr>
        <w:t xml:space="preserve">Retrieved from: </w:t>
      </w:r>
      <w:hyperlink r:id="rId18" w:history="1">
        <w:r w:rsidRPr="00415BC1">
          <w:rPr>
            <w:rStyle w:val="Hyperlink"/>
            <w:sz w:val="20"/>
            <w:szCs w:val="20"/>
          </w:rPr>
          <w:t>https://www.alfredhealth.org.au/research/research-areas/clinical-haematology-research</w:t>
        </w:r>
      </w:hyperlink>
    </w:p>
  </w:footnote>
  <w:footnote w:id="35">
    <w:p w14:paraId="4253546F" w14:textId="77777777" w:rsidR="008C5E16" w:rsidRDefault="008C5E16" w:rsidP="003B7AB8">
      <w:pPr>
        <w:pStyle w:val="FootnoteText"/>
      </w:pPr>
      <w:r>
        <w:rPr>
          <w:rStyle w:val="FootnoteReference"/>
        </w:rPr>
        <w:footnoteRef/>
      </w:r>
      <w:r>
        <w:t xml:space="preserve"> Irving, A, Harris, A, Petrie, D, Higgins, A, Smith, J and McQuilten, Z. (2019).  ‘Impact of patient blood management guidelines on blood transfusions and patient outcomes during cardiac surgery’. The Journal of Thoracic and Cardiovascular Surgery. The American Association for Thoracic Surgery. Volume 160. Number 2. Page 437.</w:t>
      </w:r>
    </w:p>
  </w:footnote>
  <w:footnote w:id="36">
    <w:p w14:paraId="4EBCD69E" w14:textId="77777777" w:rsidR="008C5E16" w:rsidRPr="00E36455" w:rsidRDefault="008C5E16" w:rsidP="00016A8A">
      <w:pPr>
        <w:pStyle w:val="FootnoteText"/>
      </w:pPr>
      <w:r>
        <w:rPr>
          <w:rStyle w:val="FootnoteReference"/>
        </w:rPr>
        <w:footnoteRef/>
      </w:r>
      <w:r>
        <w:t xml:space="preserve"> </w:t>
      </w:r>
      <w:r w:rsidRPr="00E36455">
        <w:t>Australian Commission on Safety and Quality in Health Care. (2021). About us.  Retrieved from: https://www.safetyandquality.gov.au/about-us</w:t>
      </w:r>
    </w:p>
  </w:footnote>
  <w:footnote w:id="37">
    <w:p w14:paraId="3D824E61" w14:textId="77777777" w:rsidR="008C5E16" w:rsidRPr="00E36455" w:rsidRDefault="008C5E16" w:rsidP="00016A8A">
      <w:pPr>
        <w:pStyle w:val="FootnoteText"/>
      </w:pPr>
      <w:r>
        <w:rPr>
          <w:rStyle w:val="FootnoteReference"/>
        </w:rPr>
        <w:footnoteRef/>
      </w:r>
      <w:r>
        <w:t xml:space="preserve"> </w:t>
      </w:r>
      <w:r w:rsidRPr="00E36455">
        <w:t>Commonwealth, State and Territory Governments. (2002). National Blood Agreement. Page.2</w:t>
      </w:r>
    </w:p>
  </w:footnote>
  <w:footnote w:id="38">
    <w:p w14:paraId="4B05B70E" w14:textId="77777777" w:rsidR="008C5E16" w:rsidRPr="00E36455" w:rsidRDefault="008C5E16" w:rsidP="00016A8A">
      <w:pPr>
        <w:pStyle w:val="FootnoteText"/>
      </w:pPr>
      <w:r>
        <w:rPr>
          <w:rStyle w:val="FootnoteReference"/>
        </w:rPr>
        <w:footnoteRef/>
      </w:r>
      <w:r>
        <w:t xml:space="preserve"> </w:t>
      </w:r>
      <w:r w:rsidRPr="00E36455">
        <w:t>Canadian Blood Service. (2019). Keeping the Promise: Strategic Plan 2019-2024, Retrieved from:</w:t>
      </w:r>
      <w:hyperlink r:id="rId19" w:history="1">
        <w:r w:rsidRPr="005D6855">
          <w:rPr>
            <w:rStyle w:val="Hyperlink"/>
          </w:rPr>
          <w:t>https://www.blood.ca/sites/default/files/CBS_Strat_Plan_2019_ENGLISH_April_5_2019.pdf</w:t>
        </w:r>
      </w:hyperlink>
    </w:p>
  </w:footnote>
  <w:footnote w:id="39">
    <w:p w14:paraId="354C696E" w14:textId="77777777" w:rsidR="008C5E16" w:rsidRPr="00E36455" w:rsidRDefault="008C5E16" w:rsidP="00016A8A">
      <w:pPr>
        <w:pStyle w:val="FootnoteText"/>
      </w:pPr>
      <w:r>
        <w:rPr>
          <w:rStyle w:val="FootnoteReference"/>
        </w:rPr>
        <w:footnoteRef/>
      </w:r>
      <w:r>
        <w:t xml:space="preserve"> </w:t>
      </w:r>
      <w:r w:rsidRPr="00E36455">
        <w:t xml:space="preserve">NHS Blood and Transplant. (2015). Research and Development Strategic Plan 2015-2020: Improving outcomes for patients and doctors. Retrieved from: </w:t>
      </w:r>
      <w:hyperlink r:id="rId20" w:history="1">
        <w:r w:rsidRPr="005D6855">
          <w:rPr>
            <w:rStyle w:val="Hyperlink"/>
          </w:rPr>
          <w:t>https://nhsbtdbe.blob.core.windows.net/umbraco-assets-corp/1435/strategic_plan_june_2015.pdf</w:t>
        </w:r>
      </w:hyperlink>
    </w:p>
  </w:footnote>
  <w:footnote w:id="40">
    <w:p w14:paraId="4F757687" w14:textId="77777777" w:rsidR="008C5E16" w:rsidRPr="00E36455" w:rsidRDefault="008C5E16" w:rsidP="00016A8A">
      <w:pPr>
        <w:pStyle w:val="FootnoteText"/>
      </w:pPr>
      <w:r>
        <w:rPr>
          <w:rStyle w:val="FootnoteReference"/>
        </w:rPr>
        <w:footnoteRef/>
      </w:r>
      <w:r>
        <w:t xml:space="preserve"> </w:t>
      </w:r>
      <w:r w:rsidRPr="00E36455">
        <w:t xml:space="preserve">Australian Red Cross Lifeblood. (2021). Our research program. Retrieved from: </w:t>
      </w:r>
      <w:hyperlink r:id="rId21" w:history="1">
        <w:r w:rsidRPr="005D6855">
          <w:rPr>
            <w:rStyle w:val="Hyperlink"/>
          </w:rPr>
          <w:t>donateblood.com.au/research/our-research-program</w:t>
        </w:r>
      </w:hyperlink>
    </w:p>
  </w:footnote>
  <w:footnote w:id="41">
    <w:p w14:paraId="68510384" w14:textId="77777777" w:rsidR="008C5E16" w:rsidRPr="00E36455" w:rsidRDefault="008C5E16" w:rsidP="00016A8A">
      <w:pPr>
        <w:pStyle w:val="FootnoteText"/>
      </w:pPr>
      <w:r>
        <w:rPr>
          <w:rStyle w:val="FootnoteReference"/>
        </w:rPr>
        <w:footnoteRef/>
      </w:r>
      <w:r>
        <w:t xml:space="preserve"> </w:t>
      </w:r>
      <w:r w:rsidRPr="00E36455">
        <w:t xml:space="preserve">Stanford University. (2021). How does climate change affect disease? Retrieved from: </w:t>
      </w:r>
      <w:hyperlink r:id="rId22" w:history="1">
        <w:r w:rsidRPr="005D6855">
          <w:rPr>
            <w:rStyle w:val="Hyperlink"/>
          </w:rPr>
          <w:t>https://earth.stanford.edu/news/how-does-climate-change-affect-disease#gs.40i05j</w:t>
        </w:r>
      </w:hyperlink>
    </w:p>
  </w:footnote>
  <w:footnote w:id="42">
    <w:p w14:paraId="0700BD11" w14:textId="77777777" w:rsidR="008C5E16" w:rsidRPr="00E36455" w:rsidRDefault="008C5E16" w:rsidP="00016A8A">
      <w:pPr>
        <w:pStyle w:val="FootnoteText"/>
      </w:pPr>
      <w:r>
        <w:rPr>
          <w:rStyle w:val="FootnoteReference"/>
        </w:rPr>
        <w:footnoteRef/>
      </w:r>
      <w:r>
        <w:t xml:space="preserve"> </w:t>
      </w:r>
      <w:r w:rsidRPr="00E36455">
        <w:t>Australian Red Cross Lifeblood. (2021). Product Safety. Retrieved from:</w:t>
      </w:r>
      <w:r>
        <w:t xml:space="preserve"> </w:t>
      </w:r>
      <w:hyperlink r:id="rId23" w:history="1">
        <w:r w:rsidRPr="005D6855">
          <w:rPr>
            <w:rStyle w:val="Hyperlink"/>
          </w:rPr>
          <w:t>https://www.donateblood.com.au/research/product-safety</w:t>
        </w:r>
      </w:hyperlink>
    </w:p>
  </w:footnote>
  <w:footnote w:id="43">
    <w:p w14:paraId="4FF1D807" w14:textId="13F743A5" w:rsidR="008C5E16" w:rsidRPr="0073198B" w:rsidRDefault="008C5E16">
      <w:pPr>
        <w:pStyle w:val="FootnoteText"/>
        <w:rPr>
          <w:lang w:val="en-AU"/>
        </w:rPr>
      </w:pPr>
      <w:r>
        <w:rPr>
          <w:rStyle w:val="FootnoteReference"/>
        </w:rPr>
        <w:footnoteRef/>
      </w:r>
      <w:r>
        <w:t xml:space="preserve"> Commonwealth, State and Territory Governments. (2002). </w:t>
      </w:r>
      <w:r>
        <w:rPr>
          <w:i/>
          <w:iCs/>
        </w:rPr>
        <w:t xml:space="preserve">National Blood Agreement. </w:t>
      </w:r>
      <w:r>
        <w:t>P.2</w:t>
      </w:r>
    </w:p>
  </w:footnote>
  <w:footnote w:id="44">
    <w:p w14:paraId="4261EE0C" w14:textId="77777777" w:rsidR="008C5E16" w:rsidRPr="00E36455" w:rsidRDefault="008C5E16" w:rsidP="00016A8A">
      <w:pPr>
        <w:pStyle w:val="FootnoteText"/>
      </w:pPr>
      <w:r>
        <w:rPr>
          <w:rStyle w:val="FootnoteReference"/>
        </w:rPr>
        <w:footnoteRef/>
      </w:r>
      <w:r>
        <w:t xml:space="preserve"> </w:t>
      </w:r>
      <w:r w:rsidRPr="00E36455">
        <w:t xml:space="preserve">NBA. (2021). Haemovigilance Reporting. Commonwealth of Australia. Retrieved from: </w:t>
      </w:r>
      <w:hyperlink r:id="rId24" w:history="1">
        <w:r w:rsidRPr="005D6855">
          <w:rPr>
            <w:rStyle w:val="Hyperlink"/>
          </w:rPr>
          <w:t>https://www.blood.gov.au/haemovigilance-reporting</w:t>
        </w:r>
      </w:hyperlink>
    </w:p>
  </w:footnote>
  <w:footnote w:id="45">
    <w:p w14:paraId="41F61707" w14:textId="77777777" w:rsidR="008C5E16" w:rsidRPr="00E36455" w:rsidRDefault="008C5E16" w:rsidP="00016A8A">
      <w:pPr>
        <w:pStyle w:val="FootnoteText"/>
      </w:pPr>
      <w:r>
        <w:rPr>
          <w:rStyle w:val="FootnoteReference"/>
        </w:rPr>
        <w:footnoteRef/>
      </w:r>
      <w:r>
        <w:t xml:space="preserve"> </w:t>
      </w:r>
      <w:r w:rsidRPr="00E36455">
        <w:t>State of Victoria. (2021). Serious transfusion incident reporting system. Retrieved from:</w:t>
      </w:r>
      <w:hyperlink r:id="rId25" w:history="1">
        <w:r w:rsidRPr="005D6855">
          <w:rPr>
            <w:rStyle w:val="Hyperlink"/>
          </w:rPr>
          <w:t>https://www2.health.vic.gov.au/hospitals-and-health-services/patient-care/speciality-diagnostics-therapeutics/blood-matters/serious-transfusion-incidents</w:t>
        </w:r>
      </w:hyperlink>
    </w:p>
  </w:footnote>
  <w:footnote w:id="46">
    <w:p w14:paraId="155785F7" w14:textId="77777777" w:rsidR="008C5E16" w:rsidRPr="00E36455" w:rsidRDefault="008C5E16" w:rsidP="00D74023">
      <w:pPr>
        <w:pStyle w:val="FootnoteText"/>
      </w:pPr>
      <w:r>
        <w:rPr>
          <w:rStyle w:val="FootnoteReference"/>
        </w:rPr>
        <w:footnoteRef/>
      </w:r>
      <w:r>
        <w:t xml:space="preserve"> </w:t>
      </w:r>
      <w:r w:rsidRPr="00E36455">
        <w:t xml:space="preserve">Department of Health. (2021). The Australian health system. Australian Government. Retrieved from: </w:t>
      </w:r>
      <w:hyperlink r:id="rId26" w:history="1">
        <w:r w:rsidRPr="005D6855">
          <w:rPr>
            <w:rStyle w:val="Hyperlink"/>
          </w:rPr>
          <w:t>https://www.health.gov.au/about-us/the-australian-health-system</w:t>
        </w:r>
      </w:hyperlink>
    </w:p>
  </w:footnote>
  <w:footnote w:id="47">
    <w:p w14:paraId="59BB1A30" w14:textId="77777777" w:rsidR="008C5E16" w:rsidRPr="00E36455" w:rsidRDefault="008C5E16" w:rsidP="00D74023">
      <w:pPr>
        <w:pStyle w:val="FootnoteText"/>
      </w:pPr>
      <w:r>
        <w:rPr>
          <w:rStyle w:val="FootnoteReference"/>
        </w:rPr>
        <w:footnoteRef/>
      </w:r>
      <w:r>
        <w:t xml:space="preserve"> </w:t>
      </w:r>
      <w:r w:rsidRPr="00E36455">
        <w:t>ibid</w:t>
      </w:r>
    </w:p>
  </w:footnote>
  <w:footnote w:id="48">
    <w:p w14:paraId="79E88BE2" w14:textId="77777777" w:rsidR="008C5E16" w:rsidRPr="00E36455" w:rsidRDefault="008C5E16" w:rsidP="00D74023">
      <w:pPr>
        <w:pStyle w:val="FootnoteText"/>
      </w:pPr>
      <w:r>
        <w:rPr>
          <w:rStyle w:val="FootnoteReference"/>
        </w:rPr>
        <w:footnoteRef/>
      </w:r>
      <w:r>
        <w:t xml:space="preserve"> </w:t>
      </w:r>
      <w:r w:rsidRPr="00E36455">
        <w:t>NBA. (2018). Ig Governance: What is BloodS</w:t>
      </w:r>
      <w:r>
        <w:t>TAR</w:t>
      </w:r>
      <w:r w:rsidRPr="00E36455">
        <w:t>, Commonwealth of Australia. Retrieved from:</w:t>
      </w:r>
      <w:hyperlink r:id="rId27" w:history="1">
        <w:r w:rsidRPr="00DA7E4A">
          <w:rPr>
            <w:rStyle w:val="Hyperlink"/>
          </w:rPr>
          <w:t>https://www.blood.gov.au/system/files/What%20is%20bloodstar4_Jul2018.pdf</w:t>
        </w:r>
      </w:hyperlink>
    </w:p>
  </w:footnote>
  <w:footnote w:id="49">
    <w:p w14:paraId="18DE4B20" w14:textId="77777777" w:rsidR="008C5E16" w:rsidRPr="00E36455" w:rsidRDefault="008C5E16" w:rsidP="00016A8A">
      <w:pPr>
        <w:pStyle w:val="FootnoteText"/>
      </w:pPr>
      <w:r>
        <w:rPr>
          <w:rStyle w:val="FootnoteReference"/>
        </w:rPr>
        <w:footnoteRef/>
      </w:r>
      <w:r>
        <w:t xml:space="preserve"> Flores, C, Quested, B, Spigiel, T, Thomson, A &amp; Saxon, B. (2018). ‘Junior doctors’ perspectives on transfusion education in Australia.’ Vox Sanguinis. International Society of Blood Transfusion. Volume 113. Page 441.</w:t>
      </w:r>
    </w:p>
  </w:footnote>
  <w:footnote w:id="50">
    <w:p w14:paraId="22F4CD77" w14:textId="77777777" w:rsidR="008C5E16" w:rsidRPr="00E36455" w:rsidRDefault="008C5E16" w:rsidP="00016A8A">
      <w:pPr>
        <w:pStyle w:val="FootnoteText"/>
      </w:pPr>
      <w:r>
        <w:rPr>
          <w:rStyle w:val="FootnoteReference"/>
        </w:rPr>
        <w:footnoteRef/>
      </w:r>
      <w:r>
        <w:t xml:space="preserve"> </w:t>
      </w:r>
      <w:r w:rsidRPr="00E36455">
        <w:t xml:space="preserve">Australian Red Cross Lifeblood. (2021). Product safety. Retrieved from: </w:t>
      </w:r>
      <w:hyperlink r:id="rId28" w:history="1">
        <w:r w:rsidRPr="005D6855">
          <w:rPr>
            <w:rStyle w:val="Hyperlink"/>
          </w:rPr>
          <w:t>https://www.blood.gov.au/document/national-blood-sector-education-and-training-strategy-2013-2016-docx</w:t>
        </w:r>
      </w:hyperlink>
    </w:p>
  </w:footnote>
  <w:footnote w:id="51">
    <w:p w14:paraId="08D8E74E" w14:textId="77777777" w:rsidR="008C5E16" w:rsidRPr="00510C2E" w:rsidRDefault="008C5E16" w:rsidP="00244676">
      <w:pPr>
        <w:pStyle w:val="FootnoteText"/>
        <w:rPr>
          <w:rFonts w:cs="Arial"/>
        </w:rPr>
      </w:pPr>
      <w:r w:rsidRPr="00510C2E">
        <w:rPr>
          <w:rStyle w:val="FootnoteReference"/>
          <w:rFonts w:cs="Arial"/>
        </w:rPr>
        <w:footnoteRef/>
      </w:r>
      <w:r w:rsidRPr="00510C2E">
        <w:rPr>
          <w:rFonts w:cs="Arial"/>
        </w:rPr>
        <w:t xml:space="preserve"> </w:t>
      </w:r>
      <w:r w:rsidRPr="00510C2E">
        <w:rPr>
          <w:rFonts w:eastAsia="Times New Roman" w:cs="Arial"/>
        </w:rPr>
        <w:t xml:space="preserve">Australian National Audit Office. (November 2020). Performance Measurement and Monitoring — Developing Performance Measures and Tracking Progress. Australian Government. Retrieved from: </w:t>
      </w:r>
      <w:r w:rsidRPr="00510C2E">
        <w:rPr>
          <w:rStyle w:val="Hyperlink"/>
          <w:rFonts w:cs="Arial"/>
        </w:rPr>
        <w:t>https://www.anao.gov.au/work/audit-insights/performance-measurement-and-monitoring-developing-performance-measures-and-tracking-progress</w:t>
      </w:r>
    </w:p>
  </w:footnote>
  <w:footnote w:id="52">
    <w:p w14:paraId="042E4992" w14:textId="77777777" w:rsidR="008C5E16" w:rsidRPr="00510C2E" w:rsidRDefault="008C5E16" w:rsidP="00244676">
      <w:pPr>
        <w:spacing w:after="0" w:line="240" w:lineRule="auto"/>
        <w:rPr>
          <w:rFonts w:eastAsia="Times New Roman" w:cs="Arial"/>
          <w:sz w:val="20"/>
          <w:szCs w:val="20"/>
        </w:rPr>
      </w:pPr>
      <w:r w:rsidRPr="00510C2E">
        <w:rPr>
          <w:rStyle w:val="FootnoteReference"/>
          <w:rFonts w:cs="Arial"/>
          <w:sz w:val="20"/>
          <w:szCs w:val="20"/>
        </w:rPr>
        <w:footnoteRef/>
      </w:r>
      <w:r w:rsidRPr="00510C2E">
        <w:rPr>
          <w:rFonts w:cs="Arial"/>
          <w:sz w:val="20"/>
          <w:szCs w:val="20"/>
        </w:rPr>
        <w:t xml:space="preserve"> </w:t>
      </w:r>
      <w:r w:rsidRPr="00510C2E">
        <w:rPr>
          <w:rFonts w:eastAsia="Times New Roman" w:cs="Arial"/>
          <w:sz w:val="20"/>
          <w:szCs w:val="20"/>
        </w:rPr>
        <w:t xml:space="preserve">Department of Finance. (2019). </w:t>
      </w:r>
      <w:hyperlink r:id="rId29" w:history="1">
        <w:r w:rsidRPr="004A1F0C">
          <w:rPr>
            <w:rStyle w:val="field"/>
            <w:color w:val="212529"/>
            <w:sz w:val="20"/>
            <w:szCs w:val="20"/>
          </w:rPr>
          <w:t>Commonwealth Performance Framework</w:t>
        </w:r>
      </w:hyperlink>
      <w:r w:rsidRPr="004A1F0C">
        <w:rPr>
          <w:rStyle w:val="field"/>
          <w:color w:val="212529"/>
          <w:sz w:val="20"/>
          <w:szCs w:val="20"/>
        </w:rPr>
        <w:t>.</w:t>
      </w:r>
      <w:r w:rsidRPr="00510C2E">
        <w:rPr>
          <w:rFonts w:eastAsia="Times New Roman" w:cs="Arial"/>
          <w:sz w:val="20"/>
          <w:szCs w:val="20"/>
        </w:rPr>
        <w:t xml:space="preserve"> </w:t>
      </w:r>
      <w:r w:rsidRPr="00510C2E">
        <w:rPr>
          <w:rStyle w:val="field"/>
          <w:rFonts w:cs="Arial"/>
          <w:color w:val="212529"/>
          <w:sz w:val="20"/>
          <w:szCs w:val="20"/>
        </w:rPr>
        <w:t xml:space="preserve">Developing good performance information (RMG 131) </w:t>
      </w:r>
      <w:r w:rsidRPr="00510C2E">
        <w:rPr>
          <w:rFonts w:eastAsia="Times New Roman" w:cs="Arial"/>
          <w:sz w:val="20"/>
          <w:szCs w:val="20"/>
        </w:rPr>
        <w:t>Retrieved from:</w:t>
      </w:r>
    </w:p>
    <w:p w14:paraId="7EC91C49" w14:textId="77777777" w:rsidR="008C5E16" w:rsidRPr="004A1F0C" w:rsidRDefault="0013686B" w:rsidP="00244676">
      <w:pPr>
        <w:spacing w:after="0" w:line="240" w:lineRule="auto"/>
        <w:rPr>
          <w:rFonts w:asciiTheme="majorHAnsi" w:eastAsia="Times New Roman" w:hAnsiTheme="majorHAnsi" w:cstheme="majorHAnsi"/>
          <w:sz w:val="20"/>
          <w:szCs w:val="20"/>
          <w:highlight w:val="green"/>
        </w:rPr>
      </w:pPr>
      <w:hyperlink r:id="rId30" w:history="1">
        <w:r w:rsidR="008C5E16" w:rsidRPr="00510C2E">
          <w:rPr>
            <w:rStyle w:val="Hyperlink"/>
            <w:rFonts w:eastAsia="Times New Roman" w:cs="Arial"/>
            <w:sz w:val="20"/>
            <w:szCs w:val="20"/>
          </w:rPr>
          <w:t>https://www.finance.gov.au/government/managing-commonwealth-resources/developing-good-performance-information-rmg-131</w:t>
        </w:r>
      </w:hyperlink>
    </w:p>
  </w:footnote>
  <w:footnote w:id="53">
    <w:p w14:paraId="30715A8A" w14:textId="3E0BD6AA" w:rsidR="008C5E16" w:rsidRDefault="008C5E16">
      <w:pPr>
        <w:pStyle w:val="FootnoteText"/>
      </w:pPr>
      <w:r>
        <w:rPr>
          <w:rStyle w:val="FootnoteReference"/>
        </w:rPr>
        <w:footnoteRef/>
      </w:r>
      <w:r>
        <w:t xml:space="preserve"> </w:t>
      </w:r>
      <w:r w:rsidRPr="00CF143D">
        <w:t>s.8 (1), National Blood Authority Act 2003 (Cth)</w:t>
      </w:r>
    </w:p>
  </w:footnote>
  <w:footnote w:id="54">
    <w:p w14:paraId="5BDB25C7" w14:textId="77777777" w:rsidR="008C5E16" w:rsidRDefault="008C5E16" w:rsidP="00791BC0">
      <w:pPr>
        <w:pStyle w:val="FootnoteText"/>
      </w:pPr>
      <w:r>
        <w:rPr>
          <w:rStyle w:val="FootnoteReference"/>
        </w:rPr>
        <w:footnoteRef/>
      </w:r>
      <w:r>
        <w:t xml:space="preserve"> s.8(1)(h), National Blood Authority Act 2003 (Cth)</w:t>
      </w:r>
    </w:p>
  </w:footnote>
  <w:footnote w:id="55">
    <w:p w14:paraId="01451E56" w14:textId="77777777" w:rsidR="008C5E16" w:rsidRDefault="008C5E16" w:rsidP="00791BC0">
      <w:pPr>
        <w:pStyle w:val="FootnoteText"/>
      </w:pPr>
      <w:r>
        <w:rPr>
          <w:rStyle w:val="FootnoteReference"/>
        </w:rPr>
        <w:footnoteRef/>
      </w:r>
      <w:r>
        <w:t xml:space="preserve"> Commonwealth, State and Territory Governments. (2002). </w:t>
      </w:r>
      <w:r>
        <w:rPr>
          <w:i/>
          <w:iCs/>
        </w:rPr>
        <w:t xml:space="preserve">National Blood Agreement. </w:t>
      </w:r>
      <w:r>
        <w:t>pp.4-6</w:t>
      </w:r>
    </w:p>
  </w:footnote>
  <w:footnote w:id="56">
    <w:p w14:paraId="58C9B896" w14:textId="40000A63" w:rsidR="008C5E16" w:rsidRPr="00087B72" w:rsidRDefault="008C5E16">
      <w:pPr>
        <w:pStyle w:val="FootnoteText"/>
        <w:rPr>
          <w:lang w:val="en-AU"/>
        </w:rPr>
      </w:pPr>
      <w:r>
        <w:rPr>
          <w:rStyle w:val="FootnoteReference"/>
        </w:rPr>
        <w:footnoteRef/>
      </w:r>
      <w:r>
        <w:t xml:space="preserve"> </w:t>
      </w:r>
      <w:r>
        <w:rPr>
          <w:lang w:val="en-AU"/>
        </w:rPr>
        <w:t>Due to timing of release of this document, it has become the 2022-27 Priorities and Enablers.</w:t>
      </w:r>
    </w:p>
  </w:footnote>
  <w:footnote w:id="57">
    <w:p w14:paraId="6B514958" w14:textId="77777777" w:rsidR="008C5E16" w:rsidRDefault="008C5E16" w:rsidP="007D2110">
      <w:pPr>
        <w:pStyle w:val="FootnoteText"/>
      </w:pPr>
      <w:r>
        <w:rPr>
          <w:rStyle w:val="FootnoteReference"/>
        </w:rPr>
        <w:footnoteRef/>
      </w:r>
      <w:r>
        <w:t xml:space="preserve"> NBA. (2021). </w:t>
      </w:r>
      <w:r>
        <w:rPr>
          <w:i/>
          <w:iCs/>
        </w:rPr>
        <w:t xml:space="preserve">Patient Blood Management. </w:t>
      </w:r>
      <w:r>
        <w:t xml:space="preserve">Commonwealth of Australia. Retrieved from: </w:t>
      </w:r>
      <w:r>
        <w:rPr>
          <w:rFonts w:cs="Arial"/>
        </w:rPr>
        <w:t>https://www.blood.gov.au/patient-blood-management-pbm#pbmc</w:t>
      </w:r>
    </w:p>
  </w:footnote>
  <w:footnote w:id="58">
    <w:p w14:paraId="28779780" w14:textId="77777777" w:rsidR="008C5E16" w:rsidRDefault="008C5E16" w:rsidP="007D2110">
      <w:pPr>
        <w:pStyle w:val="FootnoteText"/>
      </w:pPr>
      <w:r>
        <w:rPr>
          <w:rStyle w:val="FootnoteReference"/>
        </w:rPr>
        <w:footnoteRef/>
      </w:r>
      <w:r>
        <w:t xml:space="preserve"> NBA. (2021). </w:t>
      </w:r>
      <w:r>
        <w:rPr>
          <w:i/>
          <w:iCs/>
        </w:rPr>
        <w:t xml:space="preserve">Haemovigilance, </w:t>
      </w:r>
      <w:r>
        <w:t>Commonwealth of Australia. Retrieved from: https://www.blood.gov.au/haemovigilance</w:t>
      </w:r>
    </w:p>
  </w:footnote>
  <w:footnote w:id="59">
    <w:p w14:paraId="0EFBDDF3" w14:textId="77777777" w:rsidR="008C5E16" w:rsidRDefault="008C5E16" w:rsidP="007D2110">
      <w:pPr>
        <w:pStyle w:val="FootnoteText"/>
      </w:pPr>
      <w:r>
        <w:rPr>
          <w:rStyle w:val="FootnoteReference"/>
        </w:rPr>
        <w:footnoteRef/>
      </w:r>
      <w:r>
        <w:t xml:space="preserve"> Blood Synergy. (2021). </w:t>
      </w:r>
      <w:r>
        <w:rPr>
          <w:i/>
          <w:iCs/>
        </w:rPr>
        <w:t>Blood Synergy</w:t>
      </w:r>
      <w:r>
        <w:t>. Monash University. Retrieved from: https://bloodsynergy.org/.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8B3A2" w14:textId="7C98510C" w:rsidR="008C5E16" w:rsidRDefault="008A19C6">
    <w:pPr>
      <w:pStyle w:val="Header"/>
    </w:pPr>
    <w:r>
      <w:rPr>
        <w:noProof/>
      </w:rPr>
      <mc:AlternateContent>
        <mc:Choice Requires="wps">
          <w:drawing>
            <wp:anchor distT="0" distB="0" distL="0" distR="0" simplePos="0" relativeHeight="251660296" behindDoc="0" locked="0" layoutInCell="1" allowOverlap="1" wp14:anchorId="7A6A251B" wp14:editId="73659472">
              <wp:simplePos x="901065" y="612775"/>
              <wp:positionH relativeFrom="column">
                <wp:align>center</wp:align>
              </wp:positionH>
              <wp:positionV relativeFrom="paragraph">
                <wp:posOffset>635</wp:posOffset>
              </wp:positionV>
              <wp:extent cx="443865" cy="443865"/>
              <wp:effectExtent l="0" t="0" r="635" b="2540"/>
              <wp:wrapSquare wrapText="bothSides"/>
              <wp:docPr id="38"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419A41" w14:textId="1CC779DF" w:rsidR="008A19C6" w:rsidRPr="008A19C6" w:rsidRDefault="008A19C6">
                          <w:pPr>
                            <w:rPr>
                              <w:rFonts w:ascii="Calibri" w:eastAsia="Calibri" w:hAnsi="Calibri" w:cs="Calibri"/>
                              <w:color w:val="FF0000"/>
                              <w:sz w:val="24"/>
                              <w:szCs w:val="24"/>
                            </w:rPr>
                          </w:pPr>
                          <w:r w:rsidRPr="008A19C6">
                            <w:rPr>
                              <w:rFonts w:ascii="Calibri" w:eastAsia="Calibri" w:hAnsi="Calibri" w:cs="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A6A251B" id="_x0000_t202" coordsize="21600,21600" o:spt="202" path="m,l,21600r21600,l21600,xe">
              <v:stroke joinstyle="miter"/>
              <v:path gradientshapeok="t" o:connecttype="rect"/>
            </v:shapetype>
            <v:shape id="Text Box 38" o:spid="_x0000_s1051" type="#_x0000_t202" alt="OFFICIAL" style="position:absolute;margin-left:0;margin-top:.05pt;width:34.95pt;height:34.95pt;z-index:25166029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" filled="f" stroked="f">
              <v:textbox style="mso-fit-shape-to-text:t" inset="0,0,0,0">
                <w:txbxContent>
                  <w:p w14:paraId="11419A41" w14:textId="1CC779DF" w:rsidR="008A19C6" w:rsidRPr="008A19C6" w:rsidRDefault="008A19C6">
                    <w:pPr>
                      <w:rPr>
                        <w:rFonts w:ascii="Calibri" w:eastAsia="Calibri" w:hAnsi="Calibri" w:cs="Calibri"/>
                        <w:color w:val="FF0000"/>
                        <w:sz w:val="24"/>
                        <w:szCs w:val="24"/>
                      </w:rPr>
                    </w:pPr>
                    <w:r w:rsidRPr="008A19C6">
                      <w:rPr>
                        <w:rFonts w:ascii="Calibri" w:eastAsia="Calibri" w:hAnsi="Calibri" w:cs="Calibri"/>
                        <w:color w:val="FF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F5AAD" w14:textId="6D5B606D" w:rsidR="008C5E16" w:rsidRDefault="008A19C6">
    <w:pPr>
      <w:pStyle w:val="Header"/>
    </w:pPr>
    <w:r>
      <w:rPr>
        <w:noProof/>
      </w:rPr>
      <mc:AlternateContent>
        <mc:Choice Requires="wps">
          <w:drawing>
            <wp:anchor distT="0" distB="0" distL="0" distR="0" simplePos="0" relativeHeight="251661320" behindDoc="0" locked="0" layoutInCell="1" allowOverlap="1" wp14:anchorId="658F2F6E" wp14:editId="231B683D">
              <wp:simplePos x="635" y="635"/>
              <wp:positionH relativeFrom="column">
                <wp:align>center</wp:align>
              </wp:positionH>
              <wp:positionV relativeFrom="paragraph">
                <wp:posOffset>635</wp:posOffset>
              </wp:positionV>
              <wp:extent cx="443865" cy="443865"/>
              <wp:effectExtent l="0" t="0" r="635" b="2540"/>
              <wp:wrapSquare wrapText="bothSides"/>
              <wp:docPr id="4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2EA326" w14:textId="5435D41A" w:rsidR="008A19C6" w:rsidRPr="008A19C6" w:rsidRDefault="008A19C6">
                          <w:pPr>
                            <w:rPr>
                              <w:rFonts w:ascii="Calibri" w:eastAsia="Calibri" w:hAnsi="Calibri" w:cs="Calibri"/>
                              <w:color w:val="FF0000"/>
                              <w:sz w:val="24"/>
                              <w:szCs w:val="24"/>
                            </w:rPr>
                          </w:pPr>
                          <w:r w:rsidRPr="008A19C6">
                            <w:rPr>
                              <w:rFonts w:ascii="Calibri" w:eastAsia="Calibri" w:hAnsi="Calibri" w:cs="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58F2F6E" id="_x0000_t202" coordsize="21600,21600" o:spt="202" path="m,l,21600r21600,l21600,xe">
              <v:stroke joinstyle="miter"/>
              <v:path gradientshapeok="t" o:connecttype="rect"/>
            </v:shapetype>
            <v:shape id="Text Box 40" o:spid="_x0000_s1052" type="#_x0000_t202" alt="OFFICIAL" style="position:absolute;margin-left:0;margin-top:.05pt;width:34.95pt;height:34.95pt;z-index:25166132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b4ZYeSUCAABPBAAADgAAAAAAAAAAAAAAAAAuAgAAZHJzL2Uyb0RvYy54bWxQSwEC&#10;LQAUAAYACAAAACEAhLDTKNYAAAADAQAADwAAAAAAAAAAAAAAAAB/BAAAZHJzL2Rvd25yZXYueG1s&#10;UEsFBgAAAAAEAAQA8wAAAIIFAAAAAA==&#10;" filled="f" stroked="f">
              <v:textbox style="mso-fit-shape-to-text:t" inset="0,0,0,0">
                <w:txbxContent>
                  <w:p w14:paraId="6C2EA326" w14:textId="5435D41A" w:rsidR="008A19C6" w:rsidRPr="008A19C6" w:rsidRDefault="008A19C6">
                    <w:pPr>
                      <w:rPr>
                        <w:rFonts w:ascii="Calibri" w:eastAsia="Calibri" w:hAnsi="Calibri" w:cs="Calibri"/>
                        <w:color w:val="FF0000"/>
                        <w:sz w:val="24"/>
                        <w:szCs w:val="24"/>
                      </w:rPr>
                    </w:pPr>
                    <w:r w:rsidRPr="008A19C6">
                      <w:rPr>
                        <w:rFonts w:ascii="Calibri" w:eastAsia="Calibri" w:hAnsi="Calibri" w:cs="Calibri"/>
                        <w:color w:val="FF0000"/>
                        <w:sz w:val="24"/>
                        <w:szCs w:val="24"/>
                      </w:rPr>
                      <w:t>OFFICIAL</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1FE6F" w14:textId="7071809F" w:rsidR="008C5E16" w:rsidRDefault="008A19C6">
    <w:pPr>
      <w:pStyle w:val="Header"/>
    </w:pPr>
    <w:r>
      <w:rPr>
        <w:noProof/>
      </w:rPr>
      <mc:AlternateContent>
        <mc:Choice Requires="wps">
          <w:drawing>
            <wp:anchor distT="0" distB="0" distL="0" distR="0" simplePos="0" relativeHeight="251659272" behindDoc="0" locked="0" layoutInCell="1" allowOverlap="1" wp14:anchorId="4D60571C" wp14:editId="751000C4">
              <wp:simplePos x="901700" y="615950"/>
              <wp:positionH relativeFrom="column">
                <wp:align>center</wp:align>
              </wp:positionH>
              <wp:positionV relativeFrom="paragraph">
                <wp:posOffset>635</wp:posOffset>
              </wp:positionV>
              <wp:extent cx="443865" cy="443865"/>
              <wp:effectExtent l="0" t="0" r="635" b="2540"/>
              <wp:wrapSquare wrapText="bothSides"/>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0869D4" w14:textId="49D0E20D" w:rsidR="008A19C6" w:rsidRPr="008A19C6" w:rsidRDefault="008A19C6">
                          <w:pPr>
                            <w:rPr>
                              <w:rFonts w:ascii="Calibri" w:eastAsia="Calibri" w:hAnsi="Calibri" w:cs="Calibri"/>
                              <w:color w:val="FF0000"/>
                              <w:sz w:val="24"/>
                              <w:szCs w:val="24"/>
                            </w:rPr>
                          </w:pPr>
                          <w:r w:rsidRPr="008A19C6">
                            <w:rPr>
                              <w:rFonts w:ascii="Calibri" w:eastAsia="Calibri" w:hAnsi="Calibri" w:cs="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D60571C" id="_x0000_t202" coordsize="21600,21600" o:spt="202" path="m,l,21600r21600,l21600,xe">
              <v:stroke joinstyle="miter"/>
              <v:path gradientshapeok="t" o:connecttype="rect"/>
            </v:shapetype>
            <v:shape id="Text Box 23" o:spid="_x0000_s1053" type="#_x0000_t202" alt="OFFICIAL" style="position:absolute;margin-left:0;margin-top:.05pt;width:34.95pt;height:34.95pt;z-index:25165927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Eo7dwMmAgAATwQAAA4AAAAAAAAAAAAAAAAALgIAAGRycy9lMm9Eb2MueG1sUEsB&#10;Ai0AFAAGAAgAAAAhAISw0yjWAAAAAwEAAA8AAAAAAAAAAAAAAAAAgAQAAGRycy9kb3ducmV2Lnht&#10;bFBLBQYAAAAABAAEAPMAAACDBQAAAAA=&#10;" filled="f" stroked="f">
              <v:textbox style="mso-fit-shape-to-text:t" inset="0,0,0,0">
                <w:txbxContent>
                  <w:p w14:paraId="5C0869D4" w14:textId="49D0E20D" w:rsidR="008A19C6" w:rsidRPr="008A19C6" w:rsidRDefault="008A19C6">
                    <w:pPr>
                      <w:rPr>
                        <w:rFonts w:ascii="Calibri" w:eastAsia="Calibri" w:hAnsi="Calibri" w:cs="Calibri"/>
                        <w:color w:val="FF0000"/>
                        <w:sz w:val="24"/>
                        <w:szCs w:val="24"/>
                      </w:rPr>
                    </w:pPr>
                    <w:r w:rsidRPr="008A19C6">
                      <w:rPr>
                        <w:rFonts w:ascii="Calibri" w:eastAsia="Calibri" w:hAnsi="Calibri" w:cs="Calibri"/>
                        <w:color w:val="FF0000"/>
                        <w:sz w:val="24"/>
                        <w:szCs w:val="24"/>
                      </w:rPr>
                      <w:t>OFFICIAL</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29FC6" w14:textId="68CE511C" w:rsidR="008C5E16" w:rsidRDefault="008A19C6">
    <w:pPr>
      <w:pStyle w:val="Header"/>
    </w:pPr>
    <w:r>
      <w:rPr>
        <w:noProof/>
      </w:rPr>
      <mc:AlternateContent>
        <mc:Choice Requires="wps">
          <w:drawing>
            <wp:anchor distT="0" distB="0" distL="0" distR="0" simplePos="0" relativeHeight="251663368" behindDoc="0" locked="0" layoutInCell="1" allowOverlap="1" wp14:anchorId="4E0A8D77" wp14:editId="1C56B0BF">
              <wp:simplePos x="635" y="635"/>
              <wp:positionH relativeFrom="column">
                <wp:align>center</wp:align>
              </wp:positionH>
              <wp:positionV relativeFrom="paragraph">
                <wp:posOffset>635</wp:posOffset>
              </wp:positionV>
              <wp:extent cx="443865" cy="443865"/>
              <wp:effectExtent l="0" t="0" r="635" b="2540"/>
              <wp:wrapSquare wrapText="bothSides"/>
              <wp:docPr id="42"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C67803" w14:textId="08F6FAE3" w:rsidR="008A19C6" w:rsidRPr="008A19C6" w:rsidRDefault="008A19C6">
                          <w:pPr>
                            <w:rPr>
                              <w:rFonts w:ascii="Calibri" w:eastAsia="Calibri" w:hAnsi="Calibri" w:cs="Calibri"/>
                              <w:color w:val="FF0000"/>
                              <w:sz w:val="24"/>
                              <w:szCs w:val="24"/>
                            </w:rPr>
                          </w:pPr>
                          <w:r w:rsidRPr="008A19C6">
                            <w:rPr>
                              <w:rFonts w:ascii="Calibri" w:eastAsia="Calibri" w:hAnsi="Calibri" w:cs="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E0A8D77" id="_x0000_t202" coordsize="21600,21600" o:spt="202" path="m,l,21600r21600,l21600,xe">
              <v:stroke joinstyle="miter"/>
              <v:path gradientshapeok="t" o:connecttype="rect"/>
            </v:shapetype>
            <v:shape id="Text Box 42" o:spid="_x0000_s1054" type="#_x0000_t202" alt="OFFICIAL" style="position:absolute;margin-left:0;margin-top:.05pt;width:34.95pt;height:34.95pt;z-index:25166336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BM/UL0JwIAAE8EAAAOAAAAAAAAAAAAAAAAAC4CAABkcnMvZTJvRG9jLnhtbFBL&#10;AQItABQABgAIAAAAIQCEsNMo1gAAAAMBAAAPAAAAAAAAAAAAAAAAAIEEAABkcnMvZG93bnJldi54&#10;bWxQSwUGAAAAAAQABADzAAAAhAUAAAAA&#10;" filled="f" stroked="f">
              <v:textbox style="mso-fit-shape-to-text:t" inset="0,0,0,0">
                <w:txbxContent>
                  <w:p w14:paraId="70C67803" w14:textId="08F6FAE3" w:rsidR="008A19C6" w:rsidRPr="008A19C6" w:rsidRDefault="008A19C6">
                    <w:pPr>
                      <w:rPr>
                        <w:rFonts w:ascii="Calibri" w:eastAsia="Calibri" w:hAnsi="Calibri" w:cs="Calibri"/>
                        <w:color w:val="FF0000"/>
                        <w:sz w:val="24"/>
                        <w:szCs w:val="24"/>
                      </w:rPr>
                    </w:pPr>
                    <w:r w:rsidRPr="008A19C6">
                      <w:rPr>
                        <w:rFonts w:ascii="Calibri" w:eastAsia="Calibri" w:hAnsi="Calibri" w:cs="Calibri"/>
                        <w:color w:val="FF0000"/>
                        <w:sz w:val="24"/>
                        <w:szCs w:val="24"/>
                      </w:rPr>
                      <w:t>OFFICIAL</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243D6" w14:textId="2D8A90DF" w:rsidR="008C5E16" w:rsidRPr="00D0798A" w:rsidRDefault="008A19C6" w:rsidP="00D0798A">
    <w:pPr>
      <w:pStyle w:val="Header"/>
    </w:pPr>
    <w:r>
      <w:rPr>
        <w:noProof/>
      </w:rPr>
      <mc:AlternateContent>
        <mc:Choice Requires="wps">
          <w:drawing>
            <wp:anchor distT="0" distB="0" distL="0" distR="0" simplePos="0" relativeHeight="251664392" behindDoc="0" locked="0" layoutInCell="1" allowOverlap="1" wp14:anchorId="37E4742F" wp14:editId="36AE8F72">
              <wp:simplePos x="635" y="635"/>
              <wp:positionH relativeFrom="column">
                <wp:align>center</wp:align>
              </wp:positionH>
              <wp:positionV relativeFrom="paragraph">
                <wp:posOffset>635</wp:posOffset>
              </wp:positionV>
              <wp:extent cx="443865" cy="443865"/>
              <wp:effectExtent l="0" t="0" r="635" b="2540"/>
              <wp:wrapSquare wrapText="bothSides"/>
              <wp:docPr id="43"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A3DB74" w14:textId="6826BDCA" w:rsidR="008A19C6" w:rsidRPr="008A19C6" w:rsidRDefault="008A19C6">
                          <w:pPr>
                            <w:rPr>
                              <w:rFonts w:ascii="Calibri" w:eastAsia="Calibri" w:hAnsi="Calibri" w:cs="Calibri"/>
                              <w:color w:val="FF0000"/>
                              <w:sz w:val="24"/>
                              <w:szCs w:val="24"/>
                            </w:rPr>
                          </w:pPr>
                          <w:r w:rsidRPr="008A19C6">
                            <w:rPr>
                              <w:rFonts w:ascii="Calibri" w:eastAsia="Calibri" w:hAnsi="Calibri" w:cs="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7E4742F" id="_x0000_t202" coordsize="21600,21600" o:spt="202" path="m,l,21600r21600,l21600,xe">
              <v:stroke joinstyle="miter"/>
              <v:path gradientshapeok="t" o:connecttype="rect"/>
            </v:shapetype>
            <v:shape id="Text Box 43" o:spid="_x0000_s1055" type="#_x0000_t202" alt="OFFICIAL" style="position:absolute;margin-left:0;margin-top:.05pt;width:34.95pt;height:34.95pt;z-index:2516643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GJ7OqAmAgAATwQAAA4AAAAAAAAAAAAAAAAALgIAAGRycy9lMm9Eb2MueG1sUEsB&#10;Ai0AFAAGAAgAAAAhAISw0yjWAAAAAwEAAA8AAAAAAAAAAAAAAAAAgAQAAGRycy9kb3ducmV2Lnht&#10;bFBLBQYAAAAABAAEAPMAAACDBQAAAAA=&#10;" filled="f" stroked="f">
              <v:textbox style="mso-fit-shape-to-text:t" inset="0,0,0,0">
                <w:txbxContent>
                  <w:p w14:paraId="4BA3DB74" w14:textId="6826BDCA" w:rsidR="008A19C6" w:rsidRPr="008A19C6" w:rsidRDefault="008A19C6">
                    <w:pPr>
                      <w:rPr>
                        <w:rFonts w:ascii="Calibri" w:eastAsia="Calibri" w:hAnsi="Calibri" w:cs="Calibri"/>
                        <w:color w:val="FF0000"/>
                        <w:sz w:val="24"/>
                        <w:szCs w:val="24"/>
                      </w:rPr>
                    </w:pPr>
                    <w:r w:rsidRPr="008A19C6">
                      <w:rPr>
                        <w:rFonts w:ascii="Calibri" w:eastAsia="Calibri" w:hAnsi="Calibri" w:cs="Calibri"/>
                        <w:color w:val="FF0000"/>
                        <w:sz w:val="24"/>
                        <w:szCs w:val="24"/>
                      </w:rPr>
                      <w:t>OFFICIAL</w:t>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7C226" w14:textId="19A06476" w:rsidR="008C5E16" w:rsidRDefault="008A19C6">
    <w:pPr>
      <w:pStyle w:val="Header"/>
    </w:pPr>
    <w:r>
      <w:rPr>
        <w:noProof/>
      </w:rPr>
      <mc:AlternateContent>
        <mc:Choice Requires="wps">
          <w:drawing>
            <wp:anchor distT="0" distB="0" distL="0" distR="0" simplePos="0" relativeHeight="251662344" behindDoc="0" locked="0" layoutInCell="1" allowOverlap="1" wp14:anchorId="393AB4FF" wp14:editId="6E53A119">
              <wp:simplePos x="635" y="635"/>
              <wp:positionH relativeFrom="column">
                <wp:align>center</wp:align>
              </wp:positionH>
              <wp:positionV relativeFrom="paragraph">
                <wp:posOffset>635</wp:posOffset>
              </wp:positionV>
              <wp:extent cx="443865" cy="443865"/>
              <wp:effectExtent l="0" t="0" r="635" b="2540"/>
              <wp:wrapSquare wrapText="bothSides"/>
              <wp:docPr id="41"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1F1E7AC" w14:textId="38516FE7" w:rsidR="008A19C6" w:rsidRPr="008A19C6" w:rsidRDefault="008A19C6">
                          <w:pPr>
                            <w:rPr>
                              <w:rFonts w:ascii="Calibri" w:eastAsia="Calibri" w:hAnsi="Calibri" w:cs="Calibri"/>
                              <w:color w:val="FF0000"/>
                              <w:sz w:val="24"/>
                              <w:szCs w:val="24"/>
                            </w:rPr>
                          </w:pPr>
                          <w:r w:rsidRPr="008A19C6">
                            <w:rPr>
                              <w:rFonts w:ascii="Calibri" w:eastAsia="Calibri" w:hAnsi="Calibri" w:cs="Calibri"/>
                              <w:color w:val="FF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3AB4FF" id="_x0000_t202" coordsize="21600,21600" o:spt="202" path="m,l,21600r21600,l21600,xe">
              <v:stroke joinstyle="miter"/>
              <v:path gradientshapeok="t" o:connecttype="rect"/>
            </v:shapetype>
            <v:shape id="Text Box 41" o:spid="_x0000_s1056" type="#_x0000_t202" alt="OFFICIAL" style="position:absolute;margin-left:0;margin-top:.05pt;width:34.95pt;height:34.95pt;z-index:2516623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Lh8+vyUCAABPBAAADgAAAAAAAAAAAAAAAAAuAgAAZHJzL2Uyb0RvYy54bWxQSwEC&#10;LQAUAAYACAAAACEAhLDTKNYAAAADAQAADwAAAAAAAAAAAAAAAAB/BAAAZHJzL2Rvd25yZXYueG1s&#10;UEsFBgAAAAAEAAQA8wAAAIIFAAAAAA==&#10;" filled="f" stroked="f">
              <v:textbox style="mso-fit-shape-to-text:t" inset="0,0,0,0">
                <w:txbxContent>
                  <w:p w14:paraId="01F1E7AC" w14:textId="38516FE7" w:rsidR="008A19C6" w:rsidRPr="008A19C6" w:rsidRDefault="008A19C6">
                    <w:pPr>
                      <w:rPr>
                        <w:rFonts w:ascii="Calibri" w:eastAsia="Calibri" w:hAnsi="Calibri" w:cs="Calibri"/>
                        <w:color w:val="FF0000"/>
                        <w:sz w:val="24"/>
                        <w:szCs w:val="24"/>
                      </w:rPr>
                    </w:pPr>
                    <w:r w:rsidRPr="008A19C6">
                      <w:rPr>
                        <w:rFonts w:ascii="Calibri" w:eastAsia="Calibri" w:hAnsi="Calibri" w:cs="Calibri"/>
                        <w:color w:val="FF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A38038"/>
    <w:multiLevelType w:val="hybridMultilevel"/>
    <w:tmpl w:val="A53F444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6871C8"/>
    <w:multiLevelType w:val="hybridMultilevel"/>
    <w:tmpl w:val="AE1C0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8E2B52"/>
    <w:multiLevelType w:val="hybridMultilevel"/>
    <w:tmpl w:val="2F38ED44"/>
    <w:lvl w:ilvl="0" w:tplc="E638B33E">
      <w:start w:val="1"/>
      <w:numFmt w:val="bullet"/>
      <w:pStyle w:val="2Dot-point"/>
      <w:lvlText w:val=""/>
      <w:lvlJc w:val="left"/>
      <w:pPr>
        <w:ind w:left="1080" w:hanging="360"/>
      </w:pPr>
      <w:rPr>
        <w:rFonts w:ascii="Symbol" w:hAnsi="Symbol" w:hint="default"/>
        <w:b/>
        <w:i w:val="0"/>
        <w:color w:val="0E416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60403CB"/>
    <w:multiLevelType w:val="hybridMultilevel"/>
    <w:tmpl w:val="3FB68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D26597"/>
    <w:multiLevelType w:val="hybridMultilevel"/>
    <w:tmpl w:val="410E037E"/>
    <w:lvl w:ilvl="0" w:tplc="0C090001">
      <w:start w:val="1"/>
      <w:numFmt w:val="bullet"/>
      <w:lvlText w:val=""/>
      <w:lvlJc w:val="left"/>
      <w:pPr>
        <w:ind w:left="530" w:hanging="360"/>
      </w:pPr>
      <w:rPr>
        <w:rFonts w:ascii="Symbol" w:hAnsi="Symbo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5" w15:restartNumberingAfterBreak="0">
    <w:nsid w:val="0839120E"/>
    <w:multiLevelType w:val="hybridMultilevel"/>
    <w:tmpl w:val="89E8EC5A"/>
    <w:lvl w:ilvl="0" w:tplc="0C090001">
      <w:start w:val="1"/>
      <w:numFmt w:val="bullet"/>
      <w:lvlText w:val=""/>
      <w:lvlJc w:val="left"/>
      <w:pPr>
        <w:ind w:left="995" w:hanging="360"/>
      </w:pPr>
      <w:rPr>
        <w:rFonts w:ascii="Symbol" w:hAnsi="Symbol" w:hint="default"/>
      </w:rPr>
    </w:lvl>
    <w:lvl w:ilvl="1" w:tplc="0C090003" w:tentative="1">
      <w:start w:val="1"/>
      <w:numFmt w:val="bullet"/>
      <w:lvlText w:val="o"/>
      <w:lvlJc w:val="left"/>
      <w:pPr>
        <w:ind w:left="1715" w:hanging="360"/>
      </w:pPr>
      <w:rPr>
        <w:rFonts w:ascii="Courier New" w:hAnsi="Courier New" w:cs="Courier New" w:hint="default"/>
      </w:rPr>
    </w:lvl>
    <w:lvl w:ilvl="2" w:tplc="0C090005" w:tentative="1">
      <w:start w:val="1"/>
      <w:numFmt w:val="bullet"/>
      <w:lvlText w:val=""/>
      <w:lvlJc w:val="left"/>
      <w:pPr>
        <w:ind w:left="2435" w:hanging="360"/>
      </w:pPr>
      <w:rPr>
        <w:rFonts w:ascii="Wingdings" w:hAnsi="Wingdings" w:hint="default"/>
      </w:rPr>
    </w:lvl>
    <w:lvl w:ilvl="3" w:tplc="0C090001" w:tentative="1">
      <w:start w:val="1"/>
      <w:numFmt w:val="bullet"/>
      <w:lvlText w:val=""/>
      <w:lvlJc w:val="left"/>
      <w:pPr>
        <w:ind w:left="3155" w:hanging="360"/>
      </w:pPr>
      <w:rPr>
        <w:rFonts w:ascii="Symbol" w:hAnsi="Symbol" w:hint="default"/>
      </w:rPr>
    </w:lvl>
    <w:lvl w:ilvl="4" w:tplc="0C090003" w:tentative="1">
      <w:start w:val="1"/>
      <w:numFmt w:val="bullet"/>
      <w:lvlText w:val="o"/>
      <w:lvlJc w:val="left"/>
      <w:pPr>
        <w:ind w:left="3875" w:hanging="360"/>
      </w:pPr>
      <w:rPr>
        <w:rFonts w:ascii="Courier New" w:hAnsi="Courier New" w:cs="Courier New" w:hint="default"/>
      </w:rPr>
    </w:lvl>
    <w:lvl w:ilvl="5" w:tplc="0C090005" w:tentative="1">
      <w:start w:val="1"/>
      <w:numFmt w:val="bullet"/>
      <w:lvlText w:val=""/>
      <w:lvlJc w:val="left"/>
      <w:pPr>
        <w:ind w:left="4595" w:hanging="360"/>
      </w:pPr>
      <w:rPr>
        <w:rFonts w:ascii="Wingdings" w:hAnsi="Wingdings" w:hint="default"/>
      </w:rPr>
    </w:lvl>
    <w:lvl w:ilvl="6" w:tplc="0C090001" w:tentative="1">
      <w:start w:val="1"/>
      <w:numFmt w:val="bullet"/>
      <w:lvlText w:val=""/>
      <w:lvlJc w:val="left"/>
      <w:pPr>
        <w:ind w:left="5315" w:hanging="360"/>
      </w:pPr>
      <w:rPr>
        <w:rFonts w:ascii="Symbol" w:hAnsi="Symbol" w:hint="default"/>
      </w:rPr>
    </w:lvl>
    <w:lvl w:ilvl="7" w:tplc="0C090003" w:tentative="1">
      <w:start w:val="1"/>
      <w:numFmt w:val="bullet"/>
      <w:lvlText w:val="o"/>
      <w:lvlJc w:val="left"/>
      <w:pPr>
        <w:ind w:left="6035" w:hanging="360"/>
      </w:pPr>
      <w:rPr>
        <w:rFonts w:ascii="Courier New" w:hAnsi="Courier New" w:cs="Courier New" w:hint="default"/>
      </w:rPr>
    </w:lvl>
    <w:lvl w:ilvl="8" w:tplc="0C090005" w:tentative="1">
      <w:start w:val="1"/>
      <w:numFmt w:val="bullet"/>
      <w:lvlText w:val=""/>
      <w:lvlJc w:val="left"/>
      <w:pPr>
        <w:ind w:left="6755" w:hanging="360"/>
      </w:pPr>
      <w:rPr>
        <w:rFonts w:ascii="Wingdings" w:hAnsi="Wingdings" w:hint="default"/>
      </w:rPr>
    </w:lvl>
  </w:abstractNum>
  <w:abstractNum w:abstractNumId="6" w15:restartNumberingAfterBreak="0">
    <w:nsid w:val="0A307EE6"/>
    <w:multiLevelType w:val="hybridMultilevel"/>
    <w:tmpl w:val="96C0DDD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D83181"/>
    <w:multiLevelType w:val="hybridMultilevel"/>
    <w:tmpl w:val="C2024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8B4A3E"/>
    <w:multiLevelType w:val="hybridMultilevel"/>
    <w:tmpl w:val="F3AC9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CB2FDC"/>
    <w:multiLevelType w:val="hybridMultilevel"/>
    <w:tmpl w:val="9766C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027446"/>
    <w:multiLevelType w:val="hybridMultilevel"/>
    <w:tmpl w:val="8B281CEA"/>
    <w:lvl w:ilvl="0" w:tplc="84E0FAC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1" w15:restartNumberingAfterBreak="0">
    <w:nsid w:val="18ED7453"/>
    <w:multiLevelType w:val="hybridMultilevel"/>
    <w:tmpl w:val="FF26EC24"/>
    <w:lvl w:ilvl="0" w:tplc="E7FC73F2">
      <w:start w:val="1"/>
      <w:numFmt w:val="bullet"/>
      <w:pStyle w:val="Table-bullet"/>
      <w:lvlText w:val=""/>
      <w:lvlJc w:val="left"/>
      <w:pPr>
        <w:ind w:left="720" w:hanging="360"/>
      </w:pPr>
      <w:rPr>
        <w:rFonts w:ascii="Symbol" w:hAnsi="Symbol" w:hint="default"/>
      </w:rPr>
    </w:lvl>
    <w:lvl w:ilvl="1" w:tplc="F1EEEB36">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E92C4B"/>
    <w:multiLevelType w:val="multilevel"/>
    <w:tmpl w:val="0A0E1C44"/>
    <w:lvl w:ilvl="0">
      <w:start w:val="1"/>
      <w:numFmt w:val="bullet"/>
      <w:lvlText w:val=""/>
      <w:lvlJc w:val="left"/>
      <w:pPr>
        <w:ind w:left="928" w:hanging="360"/>
      </w:pPr>
      <w:rPr>
        <w:rFonts w:ascii="Symbol" w:hAnsi="Symbol" w:hint="default"/>
        <w:b/>
        <w:i w:val="0"/>
        <w:color w:val="auto"/>
        <w:sz w:val="20"/>
      </w:rPr>
    </w:lvl>
    <w:lvl w:ilvl="1">
      <w:start w:val="1"/>
      <w:numFmt w:val="bullet"/>
      <w:lvlText w:val="o"/>
      <w:lvlJc w:val="left"/>
      <w:pPr>
        <w:ind w:left="1191" w:hanging="567"/>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bullet"/>
      <w:lvlText w:val="o"/>
      <w:lvlJc w:val="left"/>
      <w:pPr>
        <w:ind w:left="1800" w:hanging="360"/>
      </w:pPr>
      <w:rPr>
        <w:rFonts w:ascii="Courier New" w:hAnsi="Courier New" w:cs="Courier New"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AEE5479"/>
    <w:multiLevelType w:val="hybridMultilevel"/>
    <w:tmpl w:val="F5F8A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0F58F0"/>
    <w:multiLevelType w:val="hybridMultilevel"/>
    <w:tmpl w:val="7A103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E305A5A"/>
    <w:multiLevelType w:val="hybridMultilevel"/>
    <w:tmpl w:val="FF30768C"/>
    <w:lvl w:ilvl="0" w:tplc="0C090001">
      <w:start w:val="1"/>
      <w:numFmt w:val="bullet"/>
      <w:lvlText w:val=""/>
      <w:lvlJc w:val="left"/>
      <w:pPr>
        <w:ind w:left="995" w:hanging="360"/>
      </w:pPr>
      <w:rPr>
        <w:rFonts w:ascii="Symbol" w:hAnsi="Symbol" w:hint="default"/>
      </w:rPr>
    </w:lvl>
    <w:lvl w:ilvl="1" w:tplc="0C090003" w:tentative="1">
      <w:start w:val="1"/>
      <w:numFmt w:val="bullet"/>
      <w:lvlText w:val="o"/>
      <w:lvlJc w:val="left"/>
      <w:pPr>
        <w:ind w:left="1715" w:hanging="360"/>
      </w:pPr>
      <w:rPr>
        <w:rFonts w:ascii="Courier New" w:hAnsi="Courier New" w:cs="Courier New" w:hint="default"/>
      </w:rPr>
    </w:lvl>
    <w:lvl w:ilvl="2" w:tplc="0C090005" w:tentative="1">
      <w:start w:val="1"/>
      <w:numFmt w:val="bullet"/>
      <w:lvlText w:val=""/>
      <w:lvlJc w:val="left"/>
      <w:pPr>
        <w:ind w:left="2435" w:hanging="360"/>
      </w:pPr>
      <w:rPr>
        <w:rFonts w:ascii="Wingdings" w:hAnsi="Wingdings" w:hint="default"/>
      </w:rPr>
    </w:lvl>
    <w:lvl w:ilvl="3" w:tplc="0C090001" w:tentative="1">
      <w:start w:val="1"/>
      <w:numFmt w:val="bullet"/>
      <w:lvlText w:val=""/>
      <w:lvlJc w:val="left"/>
      <w:pPr>
        <w:ind w:left="3155" w:hanging="360"/>
      </w:pPr>
      <w:rPr>
        <w:rFonts w:ascii="Symbol" w:hAnsi="Symbol" w:hint="default"/>
      </w:rPr>
    </w:lvl>
    <w:lvl w:ilvl="4" w:tplc="0C090003" w:tentative="1">
      <w:start w:val="1"/>
      <w:numFmt w:val="bullet"/>
      <w:lvlText w:val="o"/>
      <w:lvlJc w:val="left"/>
      <w:pPr>
        <w:ind w:left="3875" w:hanging="360"/>
      </w:pPr>
      <w:rPr>
        <w:rFonts w:ascii="Courier New" w:hAnsi="Courier New" w:cs="Courier New" w:hint="default"/>
      </w:rPr>
    </w:lvl>
    <w:lvl w:ilvl="5" w:tplc="0C090005" w:tentative="1">
      <w:start w:val="1"/>
      <w:numFmt w:val="bullet"/>
      <w:lvlText w:val=""/>
      <w:lvlJc w:val="left"/>
      <w:pPr>
        <w:ind w:left="4595" w:hanging="360"/>
      </w:pPr>
      <w:rPr>
        <w:rFonts w:ascii="Wingdings" w:hAnsi="Wingdings" w:hint="default"/>
      </w:rPr>
    </w:lvl>
    <w:lvl w:ilvl="6" w:tplc="0C090001" w:tentative="1">
      <w:start w:val="1"/>
      <w:numFmt w:val="bullet"/>
      <w:lvlText w:val=""/>
      <w:lvlJc w:val="left"/>
      <w:pPr>
        <w:ind w:left="5315" w:hanging="360"/>
      </w:pPr>
      <w:rPr>
        <w:rFonts w:ascii="Symbol" w:hAnsi="Symbol" w:hint="default"/>
      </w:rPr>
    </w:lvl>
    <w:lvl w:ilvl="7" w:tplc="0C090003" w:tentative="1">
      <w:start w:val="1"/>
      <w:numFmt w:val="bullet"/>
      <w:lvlText w:val="o"/>
      <w:lvlJc w:val="left"/>
      <w:pPr>
        <w:ind w:left="6035" w:hanging="360"/>
      </w:pPr>
      <w:rPr>
        <w:rFonts w:ascii="Courier New" w:hAnsi="Courier New" w:cs="Courier New" w:hint="default"/>
      </w:rPr>
    </w:lvl>
    <w:lvl w:ilvl="8" w:tplc="0C090005" w:tentative="1">
      <w:start w:val="1"/>
      <w:numFmt w:val="bullet"/>
      <w:lvlText w:val=""/>
      <w:lvlJc w:val="left"/>
      <w:pPr>
        <w:ind w:left="6755" w:hanging="360"/>
      </w:pPr>
      <w:rPr>
        <w:rFonts w:ascii="Wingdings" w:hAnsi="Wingdings" w:hint="default"/>
      </w:rPr>
    </w:lvl>
  </w:abstractNum>
  <w:abstractNum w:abstractNumId="16" w15:restartNumberingAfterBreak="0">
    <w:nsid w:val="20FF1F16"/>
    <w:multiLevelType w:val="multilevel"/>
    <w:tmpl w:val="7AE0771C"/>
    <w:styleLink w:val="Numberedheadings"/>
    <w:lvl w:ilvl="0">
      <w:start w:val="1"/>
      <w:numFmt w:val="decimal"/>
      <w:lvlText w:val="%1."/>
      <w:lvlJc w:val="left"/>
      <w:pPr>
        <w:ind w:left="340" w:hanging="340"/>
      </w:pPr>
      <w:rPr>
        <w:rFonts w:asciiTheme="minorHAnsi" w:hAnsiTheme="minorHAnsi" w:hint="default"/>
      </w:rPr>
    </w:lvl>
    <w:lvl w:ilvl="1">
      <w:start w:val="1"/>
      <w:numFmt w:val="none"/>
      <w:lvlText w:val="%1.1"/>
      <w:lvlJc w:val="left"/>
      <w:pPr>
        <w:ind w:left="567" w:hanging="567"/>
      </w:pPr>
      <w:rPr>
        <w:rFonts w:ascii="Calibri" w:hAnsi="Calibri" w:hint="default"/>
        <w:caps w:val="0"/>
        <w:smallCaps w:val="0"/>
        <w:strike w:val="0"/>
        <w:dstrike w:val="0"/>
        <w:vanish w:val="0"/>
        <w:vertAlign w:val="baseline"/>
      </w:rPr>
    </w:lvl>
    <w:lvl w:ilvl="2">
      <w:start w:val="1"/>
      <w:numFmt w:val="lowerRoman"/>
      <w:lvlText w:val="%3)"/>
      <w:lvlJc w:val="left"/>
      <w:pPr>
        <w:ind w:left="1534" w:hanging="360"/>
      </w:pPr>
      <w:rPr>
        <w:rFonts w:hint="default"/>
      </w:rPr>
    </w:lvl>
    <w:lvl w:ilvl="3">
      <w:start w:val="1"/>
      <w:numFmt w:val="decimal"/>
      <w:lvlText w:val="(%4)"/>
      <w:lvlJc w:val="left"/>
      <w:pPr>
        <w:ind w:left="1894" w:hanging="360"/>
      </w:pPr>
      <w:rPr>
        <w:rFonts w:hint="default"/>
      </w:rPr>
    </w:lvl>
    <w:lvl w:ilvl="4">
      <w:start w:val="1"/>
      <w:numFmt w:val="lowerLetter"/>
      <w:lvlText w:val="(%5)"/>
      <w:lvlJc w:val="left"/>
      <w:pPr>
        <w:ind w:left="2254" w:hanging="360"/>
      </w:pPr>
      <w:rPr>
        <w:rFonts w:hint="default"/>
      </w:rPr>
    </w:lvl>
    <w:lvl w:ilvl="5">
      <w:start w:val="1"/>
      <w:numFmt w:val="lowerRoman"/>
      <w:lvlText w:val="(%6)"/>
      <w:lvlJc w:val="left"/>
      <w:pPr>
        <w:ind w:left="2614" w:hanging="360"/>
      </w:pPr>
      <w:rPr>
        <w:rFonts w:hint="default"/>
      </w:rPr>
    </w:lvl>
    <w:lvl w:ilvl="6">
      <w:start w:val="1"/>
      <w:numFmt w:val="decimal"/>
      <w:lvlText w:val="%7."/>
      <w:lvlJc w:val="left"/>
      <w:pPr>
        <w:ind w:left="2974" w:hanging="360"/>
      </w:pPr>
      <w:rPr>
        <w:rFonts w:hint="default"/>
      </w:rPr>
    </w:lvl>
    <w:lvl w:ilvl="7">
      <w:start w:val="1"/>
      <w:numFmt w:val="lowerLetter"/>
      <w:lvlText w:val="%8."/>
      <w:lvlJc w:val="left"/>
      <w:pPr>
        <w:ind w:left="3334" w:hanging="360"/>
      </w:pPr>
      <w:rPr>
        <w:rFonts w:hint="default"/>
      </w:rPr>
    </w:lvl>
    <w:lvl w:ilvl="8">
      <w:start w:val="1"/>
      <w:numFmt w:val="lowerRoman"/>
      <w:lvlText w:val="%9."/>
      <w:lvlJc w:val="left"/>
      <w:pPr>
        <w:ind w:left="3694" w:hanging="360"/>
      </w:pPr>
      <w:rPr>
        <w:rFonts w:hint="default"/>
      </w:rPr>
    </w:lvl>
  </w:abstractNum>
  <w:abstractNum w:abstractNumId="17" w15:restartNumberingAfterBreak="0">
    <w:nsid w:val="21A57E02"/>
    <w:multiLevelType w:val="hybridMultilevel"/>
    <w:tmpl w:val="BD4A7902"/>
    <w:lvl w:ilvl="0" w:tplc="3AE83034">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8C11B7"/>
    <w:multiLevelType w:val="hybridMultilevel"/>
    <w:tmpl w:val="8522E01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2EC7272"/>
    <w:multiLevelType w:val="multilevel"/>
    <w:tmpl w:val="3D86AAC2"/>
    <w:lvl w:ilvl="0">
      <w:start w:val="1"/>
      <w:numFmt w:val="decimal"/>
      <w:pStyle w:val="List-AlphanumericLvl1"/>
      <w:lvlText w:val="%1."/>
      <w:lvlJc w:val="left"/>
      <w:pPr>
        <w:ind w:left="993"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lphanumericLvl2"/>
      <w:lvlText w:val="%2."/>
      <w:lvlJc w:val="left"/>
      <w:pPr>
        <w:ind w:left="1560"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Roman"/>
      <w:pStyle w:val="List-AlphanumericLvl3"/>
      <w:lvlText w:val="%3."/>
      <w:lvlJc w:val="left"/>
      <w:pPr>
        <w:ind w:left="212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2694" w:hanging="567"/>
      </w:pPr>
      <w:rPr>
        <w:rFonts w:hint="default"/>
      </w:rPr>
    </w:lvl>
    <w:lvl w:ilvl="4">
      <w:start w:val="1"/>
      <w:numFmt w:val="lowerLetter"/>
      <w:lvlText w:val="(%5)"/>
      <w:lvlJc w:val="left"/>
      <w:pPr>
        <w:ind w:left="3261" w:hanging="567"/>
      </w:pPr>
      <w:rPr>
        <w:rFonts w:hint="default"/>
      </w:rPr>
    </w:lvl>
    <w:lvl w:ilvl="5">
      <w:start w:val="1"/>
      <w:numFmt w:val="lowerRoman"/>
      <w:lvlText w:val="(%6)"/>
      <w:lvlJc w:val="left"/>
      <w:pPr>
        <w:ind w:left="3828" w:hanging="567"/>
      </w:pPr>
      <w:rPr>
        <w:rFonts w:hint="default"/>
      </w:rPr>
    </w:lvl>
    <w:lvl w:ilvl="6">
      <w:start w:val="1"/>
      <w:numFmt w:val="decimal"/>
      <w:lvlText w:val="%7."/>
      <w:lvlJc w:val="left"/>
      <w:pPr>
        <w:ind w:left="4395" w:hanging="567"/>
      </w:pPr>
      <w:rPr>
        <w:rFonts w:hint="default"/>
      </w:rPr>
    </w:lvl>
    <w:lvl w:ilvl="7">
      <w:start w:val="1"/>
      <w:numFmt w:val="lowerLetter"/>
      <w:lvlText w:val="%8."/>
      <w:lvlJc w:val="left"/>
      <w:pPr>
        <w:ind w:left="4962" w:hanging="567"/>
      </w:pPr>
      <w:rPr>
        <w:rFonts w:hint="default"/>
      </w:rPr>
    </w:lvl>
    <w:lvl w:ilvl="8">
      <w:start w:val="1"/>
      <w:numFmt w:val="lowerRoman"/>
      <w:lvlText w:val="%9."/>
      <w:lvlJc w:val="left"/>
      <w:pPr>
        <w:ind w:left="5529" w:hanging="567"/>
      </w:pPr>
      <w:rPr>
        <w:rFonts w:hint="default"/>
      </w:rPr>
    </w:lvl>
  </w:abstractNum>
  <w:abstractNum w:abstractNumId="20" w15:restartNumberingAfterBreak="0">
    <w:nsid w:val="23D14FB1"/>
    <w:multiLevelType w:val="hybridMultilevel"/>
    <w:tmpl w:val="0102E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143A8E"/>
    <w:multiLevelType w:val="hybridMultilevel"/>
    <w:tmpl w:val="3AFC3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4F326F6"/>
    <w:multiLevelType w:val="hybridMultilevel"/>
    <w:tmpl w:val="7BEC985C"/>
    <w:lvl w:ilvl="0" w:tplc="6854EE4E">
      <w:start w:val="1"/>
      <w:numFmt w:val="decimal"/>
      <w:lvlText w:val="%1."/>
      <w:lvlJc w:val="left"/>
      <w:pPr>
        <w:ind w:left="720" w:hanging="360"/>
      </w:pPr>
      <w:rPr>
        <w:rFonts w:hint="default"/>
        <w:b/>
        <w:bCs/>
        <w:color w:val="F2646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4F44E09"/>
    <w:multiLevelType w:val="hybridMultilevel"/>
    <w:tmpl w:val="FE3A9740"/>
    <w:lvl w:ilvl="0" w:tplc="3AE83034">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6083E28"/>
    <w:multiLevelType w:val="hybridMultilevel"/>
    <w:tmpl w:val="96C0DDD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7743DFB"/>
    <w:multiLevelType w:val="multilevel"/>
    <w:tmpl w:val="7A0CAD00"/>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851" w:hanging="851"/>
      </w:pPr>
      <w:rPr>
        <w:rFonts w:hint="default"/>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6" w15:restartNumberingAfterBreak="0">
    <w:nsid w:val="27A81127"/>
    <w:multiLevelType w:val="hybridMultilevel"/>
    <w:tmpl w:val="96C0DDD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9671EA9"/>
    <w:multiLevelType w:val="multilevel"/>
    <w:tmpl w:val="BEEE4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3B0226"/>
    <w:multiLevelType w:val="hybridMultilevel"/>
    <w:tmpl w:val="38CA0B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2C684C27"/>
    <w:multiLevelType w:val="hybridMultilevel"/>
    <w:tmpl w:val="4E00A9D2"/>
    <w:lvl w:ilvl="0" w:tplc="0C090001">
      <w:start w:val="1"/>
      <w:numFmt w:val="bullet"/>
      <w:lvlText w:val=""/>
      <w:lvlJc w:val="left"/>
      <w:pPr>
        <w:ind w:left="995" w:hanging="360"/>
      </w:pPr>
      <w:rPr>
        <w:rFonts w:ascii="Symbol" w:hAnsi="Symbol" w:hint="default"/>
      </w:rPr>
    </w:lvl>
    <w:lvl w:ilvl="1" w:tplc="0C090003">
      <w:start w:val="1"/>
      <w:numFmt w:val="bullet"/>
      <w:lvlText w:val="o"/>
      <w:lvlJc w:val="left"/>
      <w:pPr>
        <w:ind w:left="1715" w:hanging="360"/>
      </w:pPr>
      <w:rPr>
        <w:rFonts w:ascii="Courier New" w:hAnsi="Courier New" w:cs="Courier New" w:hint="default"/>
      </w:rPr>
    </w:lvl>
    <w:lvl w:ilvl="2" w:tplc="0C090005" w:tentative="1">
      <w:start w:val="1"/>
      <w:numFmt w:val="bullet"/>
      <w:lvlText w:val=""/>
      <w:lvlJc w:val="left"/>
      <w:pPr>
        <w:ind w:left="2435" w:hanging="360"/>
      </w:pPr>
      <w:rPr>
        <w:rFonts w:ascii="Wingdings" w:hAnsi="Wingdings" w:hint="default"/>
      </w:rPr>
    </w:lvl>
    <w:lvl w:ilvl="3" w:tplc="0C090001" w:tentative="1">
      <w:start w:val="1"/>
      <w:numFmt w:val="bullet"/>
      <w:lvlText w:val=""/>
      <w:lvlJc w:val="left"/>
      <w:pPr>
        <w:ind w:left="3155" w:hanging="360"/>
      </w:pPr>
      <w:rPr>
        <w:rFonts w:ascii="Symbol" w:hAnsi="Symbol" w:hint="default"/>
      </w:rPr>
    </w:lvl>
    <w:lvl w:ilvl="4" w:tplc="0C090003" w:tentative="1">
      <w:start w:val="1"/>
      <w:numFmt w:val="bullet"/>
      <w:lvlText w:val="o"/>
      <w:lvlJc w:val="left"/>
      <w:pPr>
        <w:ind w:left="3875" w:hanging="360"/>
      </w:pPr>
      <w:rPr>
        <w:rFonts w:ascii="Courier New" w:hAnsi="Courier New" w:cs="Courier New" w:hint="default"/>
      </w:rPr>
    </w:lvl>
    <w:lvl w:ilvl="5" w:tplc="0C090005" w:tentative="1">
      <w:start w:val="1"/>
      <w:numFmt w:val="bullet"/>
      <w:lvlText w:val=""/>
      <w:lvlJc w:val="left"/>
      <w:pPr>
        <w:ind w:left="4595" w:hanging="360"/>
      </w:pPr>
      <w:rPr>
        <w:rFonts w:ascii="Wingdings" w:hAnsi="Wingdings" w:hint="default"/>
      </w:rPr>
    </w:lvl>
    <w:lvl w:ilvl="6" w:tplc="0C090001" w:tentative="1">
      <w:start w:val="1"/>
      <w:numFmt w:val="bullet"/>
      <w:lvlText w:val=""/>
      <w:lvlJc w:val="left"/>
      <w:pPr>
        <w:ind w:left="5315" w:hanging="360"/>
      </w:pPr>
      <w:rPr>
        <w:rFonts w:ascii="Symbol" w:hAnsi="Symbol" w:hint="default"/>
      </w:rPr>
    </w:lvl>
    <w:lvl w:ilvl="7" w:tplc="0C090003" w:tentative="1">
      <w:start w:val="1"/>
      <w:numFmt w:val="bullet"/>
      <w:lvlText w:val="o"/>
      <w:lvlJc w:val="left"/>
      <w:pPr>
        <w:ind w:left="6035" w:hanging="360"/>
      </w:pPr>
      <w:rPr>
        <w:rFonts w:ascii="Courier New" w:hAnsi="Courier New" w:cs="Courier New" w:hint="default"/>
      </w:rPr>
    </w:lvl>
    <w:lvl w:ilvl="8" w:tplc="0C090005" w:tentative="1">
      <w:start w:val="1"/>
      <w:numFmt w:val="bullet"/>
      <w:lvlText w:val=""/>
      <w:lvlJc w:val="left"/>
      <w:pPr>
        <w:ind w:left="6755" w:hanging="360"/>
      </w:pPr>
      <w:rPr>
        <w:rFonts w:ascii="Wingdings" w:hAnsi="Wingdings" w:hint="default"/>
      </w:rPr>
    </w:lvl>
  </w:abstractNum>
  <w:abstractNum w:abstractNumId="30" w15:restartNumberingAfterBreak="0">
    <w:nsid w:val="2C9877C6"/>
    <w:multiLevelType w:val="multilevel"/>
    <w:tmpl w:val="512C5ED2"/>
    <w:lvl w:ilvl="0">
      <w:start w:val="1"/>
      <w:numFmt w:val="bullet"/>
      <w:lvlText w:val=""/>
      <w:lvlJc w:val="left"/>
      <w:pPr>
        <w:ind w:left="851" w:hanging="567"/>
      </w:pPr>
      <w:rPr>
        <w:rFonts w:ascii="Symbol" w:hAnsi="Symbol" w:hint="default"/>
        <w:color w:val="36424A" w:themeColor="text2"/>
        <w:sz w:val="22"/>
      </w:rPr>
    </w:lvl>
    <w:lvl w:ilvl="1">
      <w:start w:val="1"/>
      <w:numFmt w:val="bullet"/>
      <w:lvlText w:val=""/>
      <w:lvlJc w:val="left"/>
      <w:pPr>
        <w:ind w:left="1418" w:hanging="567"/>
      </w:pPr>
      <w:rPr>
        <w:rFonts w:ascii="Symbol" w:hAnsi="Symbol" w:hint="default"/>
        <w:color w:val="36424A" w:themeColor="text2"/>
        <w:sz w:val="24"/>
      </w:rPr>
    </w:lvl>
    <w:lvl w:ilvl="2">
      <w:start w:val="1"/>
      <w:numFmt w:val="bullet"/>
      <w:lvlText w:val=""/>
      <w:lvlJc w:val="left"/>
      <w:pPr>
        <w:ind w:left="1985" w:hanging="567"/>
      </w:pPr>
      <w:rPr>
        <w:rFonts w:ascii="Symbol" w:hAnsi="Symbol" w:hint="default"/>
        <w:color w:val="36424A" w:themeColor="text2"/>
        <w:sz w:val="18"/>
      </w:rPr>
    </w:lvl>
    <w:lvl w:ilvl="3">
      <w:start w:val="1"/>
      <w:numFmt w:val="decimal"/>
      <w:lvlText w:val="(%4)"/>
      <w:lvlJc w:val="left"/>
      <w:pPr>
        <w:ind w:left="2552" w:hanging="567"/>
      </w:pPr>
    </w:lvl>
    <w:lvl w:ilvl="4">
      <w:start w:val="1"/>
      <w:numFmt w:val="lowerLetter"/>
      <w:lvlText w:val="(%5)"/>
      <w:lvlJc w:val="left"/>
      <w:pPr>
        <w:ind w:left="3119" w:hanging="567"/>
      </w:pPr>
    </w:lvl>
    <w:lvl w:ilvl="5">
      <w:start w:val="1"/>
      <w:numFmt w:val="lowerRoman"/>
      <w:lvlText w:val="(%6)"/>
      <w:lvlJc w:val="left"/>
      <w:pPr>
        <w:ind w:left="3686" w:hanging="567"/>
      </w:pPr>
    </w:lvl>
    <w:lvl w:ilvl="6">
      <w:start w:val="1"/>
      <w:numFmt w:val="decimal"/>
      <w:lvlText w:val="%7."/>
      <w:lvlJc w:val="left"/>
      <w:pPr>
        <w:ind w:left="4253" w:hanging="567"/>
      </w:pPr>
    </w:lvl>
    <w:lvl w:ilvl="7">
      <w:start w:val="1"/>
      <w:numFmt w:val="lowerLetter"/>
      <w:lvlText w:val="%8."/>
      <w:lvlJc w:val="left"/>
      <w:pPr>
        <w:ind w:left="4820" w:hanging="567"/>
      </w:pPr>
    </w:lvl>
    <w:lvl w:ilvl="8">
      <w:start w:val="1"/>
      <w:numFmt w:val="lowerRoman"/>
      <w:lvlText w:val="%9."/>
      <w:lvlJc w:val="left"/>
      <w:pPr>
        <w:ind w:left="5387" w:hanging="567"/>
      </w:pPr>
    </w:lvl>
  </w:abstractNum>
  <w:abstractNum w:abstractNumId="31" w15:restartNumberingAfterBreak="0">
    <w:nsid w:val="2CA03000"/>
    <w:multiLevelType w:val="hybridMultilevel"/>
    <w:tmpl w:val="9F8EA1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E27C257"/>
    <w:multiLevelType w:val="hybridMultilevel"/>
    <w:tmpl w:val="CAAE725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2F6E1D12"/>
    <w:multiLevelType w:val="hybridMultilevel"/>
    <w:tmpl w:val="CA705DD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334E6C74"/>
    <w:multiLevelType w:val="hybridMultilevel"/>
    <w:tmpl w:val="B680C6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40856FB"/>
    <w:multiLevelType w:val="hybridMultilevel"/>
    <w:tmpl w:val="A91C2180"/>
    <w:lvl w:ilvl="0" w:tplc="176E170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6843445"/>
    <w:multiLevelType w:val="multilevel"/>
    <w:tmpl w:val="F0E060C8"/>
    <w:lvl w:ilvl="0">
      <w:start w:val="1"/>
      <w:numFmt w:val="bullet"/>
      <w:pStyle w:val="1Dot-point"/>
      <w:lvlText w:val=""/>
      <w:lvlJc w:val="left"/>
      <w:pPr>
        <w:ind w:left="928" w:hanging="360"/>
      </w:pPr>
      <w:rPr>
        <w:rFonts w:ascii="Symbol" w:hAnsi="Symbol" w:hint="default"/>
        <w:b/>
        <w:i w:val="0"/>
        <w:color w:val="auto"/>
        <w:sz w:val="20"/>
      </w:rPr>
    </w:lvl>
    <w:lvl w:ilvl="1">
      <w:start w:val="1"/>
      <w:numFmt w:val="bullet"/>
      <w:lvlText w:val="o"/>
      <w:lvlJc w:val="left"/>
      <w:pPr>
        <w:ind w:left="1191" w:hanging="567"/>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A517897"/>
    <w:multiLevelType w:val="hybridMultilevel"/>
    <w:tmpl w:val="98DC969C"/>
    <w:lvl w:ilvl="0" w:tplc="8E54A3F0">
      <w:start w:val="1"/>
      <w:numFmt w:val="decimal"/>
      <w:lvlText w:val="%1."/>
      <w:lvlJc w:val="left"/>
      <w:pPr>
        <w:ind w:left="720" w:hanging="36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C653612"/>
    <w:multiLevelType w:val="hybridMultilevel"/>
    <w:tmpl w:val="0F4C1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E4409E8"/>
    <w:multiLevelType w:val="hybridMultilevel"/>
    <w:tmpl w:val="6A50F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E730CAE"/>
    <w:multiLevelType w:val="hybridMultilevel"/>
    <w:tmpl w:val="59903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3DC13DD"/>
    <w:multiLevelType w:val="hybridMultilevel"/>
    <w:tmpl w:val="A296D4FC"/>
    <w:lvl w:ilvl="0" w:tplc="83FCC38A">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9B97372"/>
    <w:multiLevelType w:val="multilevel"/>
    <w:tmpl w:val="803297E0"/>
    <w:lvl w:ilvl="0">
      <w:start w:val="1"/>
      <w:numFmt w:val="decimal"/>
      <w:lvlText w:val="%1."/>
      <w:lvlJc w:val="left"/>
      <w:pPr>
        <w:tabs>
          <w:tab w:val="num" w:pos="2921"/>
        </w:tabs>
        <w:ind w:left="2921" w:hanging="794"/>
      </w:pPr>
      <w:rPr>
        <w:rFonts w:hint="default"/>
      </w:rPr>
    </w:lvl>
    <w:lvl w:ilvl="1">
      <w:start w:val="1"/>
      <w:numFmt w:val="decimal"/>
      <w:lvlRestart w:val="0"/>
      <w:lvlText w:val="%1.%2."/>
      <w:lvlJc w:val="left"/>
      <w:pPr>
        <w:ind w:left="792" w:hanging="792"/>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decimal"/>
      <w:pStyle w:val="Numbered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9D06D6B"/>
    <w:multiLevelType w:val="hybridMultilevel"/>
    <w:tmpl w:val="82241A32"/>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44" w15:restartNumberingAfterBreak="0">
    <w:nsid w:val="4A486C48"/>
    <w:multiLevelType w:val="hybridMultilevel"/>
    <w:tmpl w:val="BAECA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B1A670C"/>
    <w:multiLevelType w:val="multilevel"/>
    <w:tmpl w:val="33467B8A"/>
    <w:lvl w:ilvl="0">
      <w:start w:val="1"/>
      <w:numFmt w:val="bullet"/>
      <w:lvlText w:val=""/>
      <w:lvlJc w:val="left"/>
      <w:pPr>
        <w:ind w:left="530" w:hanging="360"/>
      </w:pPr>
      <w:rPr>
        <w:rFonts w:ascii="Symbol" w:hAnsi="Symbol" w:hint="default"/>
        <w:b/>
        <w:i w:val="0"/>
        <w:color w:val="auto"/>
        <w:sz w:val="20"/>
      </w:rPr>
    </w:lvl>
    <w:lvl w:ilvl="1">
      <w:start w:val="1"/>
      <w:numFmt w:val="bullet"/>
      <w:lvlText w:val="o"/>
      <w:lvlJc w:val="left"/>
      <w:pPr>
        <w:ind w:left="1191" w:hanging="567"/>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B6D668D"/>
    <w:multiLevelType w:val="hybridMultilevel"/>
    <w:tmpl w:val="8AE892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4BAD73C3"/>
    <w:multiLevelType w:val="hybridMultilevel"/>
    <w:tmpl w:val="B0D44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CC60829"/>
    <w:multiLevelType w:val="hybridMultilevel"/>
    <w:tmpl w:val="CB32E1BC"/>
    <w:lvl w:ilvl="0" w:tplc="0678885C">
      <w:start w:val="10"/>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E6E0996"/>
    <w:multiLevelType w:val="multilevel"/>
    <w:tmpl w:val="7B167C1A"/>
    <w:lvl w:ilvl="0">
      <w:start w:val="1"/>
      <w:numFmt w:val="bullet"/>
      <w:pStyle w:val="List-BulletLvl1"/>
      <w:lvlText w:val=""/>
      <w:lvlJc w:val="left"/>
      <w:pPr>
        <w:ind w:left="851" w:hanging="567"/>
      </w:pPr>
      <w:rPr>
        <w:rFonts w:ascii="Symbol" w:hAnsi="Symbol" w:hint="default"/>
        <w:color w:val="36424A" w:themeColor="text2"/>
        <w:sz w:val="22"/>
      </w:rPr>
    </w:lvl>
    <w:lvl w:ilvl="1">
      <w:start w:val="1"/>
      <w:numFmt w:val="bullet"/>
      <w:pStyle w:val="List-BulletLvl2"/>
      <w:lvlText w:val="-"/>
      <w:lvlJc w:val="left"/>
      <w:pPr>
        <w:ind w:left="1418" w:hanging="567"/>
      </w:pPr>
      <w:rPr>
        <w:rFonts w:ascii="Calibri" w:hAnsi="Calibri" w:hint="default"/>
        <w:color w:val="36424A" w:themeColor="text2"/>
        <w:sz w:val="24"/>
      </w:rPr>
    </w:lvl>
    <w:lvl w:ilvl="2">
      <w:start w:val="1"/>
      <w:numFmt w:val="bullet"/>
      <w:pStyle w:val="List-BulletLvl3"/>
      <w:lvlText w:val=""/>
      <w:lvlJc w:val="left"/>
      <w:pPr>
        <w:ind w:left="1985" w:hanging="567"/>
      </w:pPr>
      <w:rPr>
        <w:rFonts w:ascii="Symbol" w:hAnsi="Symbol" w:hint="default"/>
        <w:color w:val="36424A"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50" w15:restartNumberingAfterBreak="0">
    <w:nsid w:val="50F32E87"/>
    <w:multiLevelType w:val="hybridMultilevel"/>
    <w:tmpl w:val="51FA37A8"/>
    <w:lvl w:ilvl="0" w:tplc="A0A2043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17A6FA9"/>
    <w:multiLevelType w:val="hybridMultilevel"/>
    <w:tmpl w:val="E5B610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526E008C"/>
    <w:multiLevelType w:val="multilevel"/>
    <w:tmpl w:val="5D6A42B0"/>
    <w:lvl w:ilvl="0">
      <w:start w:val="1"/>
      <w:numFmt w:val="bullet"/>
      <w:lvlText w:val=""/>
      <w:lvlJc w:val="left"/>
      <w:pPr>
        <w:ind w:left="530" w:hanging="360"/>
      </w:pPr>
      <w:rPr>
        <w:rFonts w:ascii="Symbol" w:hAnsi="Symbol" w:hint="default"/>
        <w:b/>
        <w:i w:val="0"/>
        <w:color w:val="auto"/>
        <w:sz w:val="20"/>
      </w:rPr>
    </w:lvl>
    <w:lvl w:ilvl="1">
      <w:start w:val="1"/>
      <w:numFmt w:val="bullet"/>
      <w:lvlText w:val="o"/>
      <w:lvlJc w:val="left"/>
      <w:pPr>
        <w:ind w:left="1191" w:hanging="567"/>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5A86201"/>
    <w:multiLevelType w:val="hybridMultilevel"/>
    <w:tmpl w:val="247E44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72B5F3B"/>
    <w:multiLevelType w:val="hybridMultilevel"/>
    <w:tmpl w:val="CF4085D4"/>
    <w:lvl w:ilvl="0" w:tplc="3AE83034">
      <w:start w:val="1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AA70C23"/>
    <w:multiLevelType w:val="hybridMultilevel"/>
    <w:tmpl w:val="56B263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D4314F2"/>
    <w:multiLevelType w:val="hybridMultilevel"/>
    <w:tmpl w:val="704ED6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36607B2"/>
    <w:multiLevelType w:val="hybridMultilevel"/>
    <w:tmpl w:val="ADC4DCAC"/>
    <w:lvl w:ilvl="0" w:tplc="0678885C">
      <w:start w:val="10"/>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AD77ABF"/>
    <w:multiLevelType w:val="multilevel"/>
    <w:tmpl w:val="3EFCBCCA"/>
    <w:lvl w:ilvl="0">
      <w:start w:val="1"/>
      <w:numFmt w:val="bullet"/>
      <w:lvlText w:val=""/>
      <w:lvlJc w:val="left"/>
      <w:pPr>
        <w:ind w:left="530" w:hanging="360"/>
      </w:pPr>
      <w:rPr>
        <w:rFonts w:ascii="Symbol" w:hAnsi="Symbol" w:hint="default"/>
        <w:b/>
        <w:i w:val="0"/>
        <w:color w:val="auto"/>
        <w:sz w:val="20"/>
      </w:rPr>
    </w:lvl>
    <w:lvl w:ilvl="1">
      <w:start w:val="1"/>
      <w:numFmt w:val="bullet"/>
      <w:lvlText w:val="o"/>
      <w:lvlJc w:val="left"/>
      <w:pPr>
        <w:ind w:left="1191" w:hanging="567"/>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6ADA0AC4"/>
    <w:multiLevelType w:val="multilevel"/>
    <w:tmpl w:val="5E7C2D56"/>
    <w:lvl w:ilvl="0">
      <w:start w:val="1"/>
      <w:numFmt w:val="bullet"/>
      <w:lvlText w:val=""/>
      <w:lvlJc w:val="left"/>
      <w:pPr>
        <w:ind w:left="530" w:hanging="360"/>
      </w:pPr>
      <w:rPr>
        <w:rFonts w:ascii="Symbol" w:hAnsi="Symbol" w:hint="default"/>
        <w:b/>
        <w:i w:val="0"/>
        <w:color w:val="auto"/>
        <w:sz w:val="20"/>
      </w:rPr>
    </w:lvl>
    <w:lvl w:ilvl="1">
      <w:start w:val="1"/>
      <w:numFmt w:val="bullet"/>
      <w:lvlText w:val="o"/>
      <w:lvlJc w:val="left"/>
      <w:pPr>
        <w:ind w:left="1191" w:hanging="567"/>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6DE82BDB"/>
    <w:multiLevelType w:val="hybridMultilevel"/>
    <w:tmpl w:val="50A8CE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6E2E30D0"/>
    <w:multiLevelType w:val="hybridMultilevel"/>
    <w:tmpl w:val="AAA4F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2BA5F62"/>
    <w:multiLevelType w:val="hybridMultilevel"/>
    <w:tmpl w:val="C7AF862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15:restartNumberingAfterBreak="0">
    <w:nsid w:val="74BF1DF2"/>
    <w:multiLevelType w:val="hybridMultilevel"/>
    <w:tmpl w:val="FBB260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4" w15:restartNumberingAfterBreak="0">
    <w:nsid w:val="75FE6892"/>
    <w:multiLevelType w:val="hybridMultilevel"/>
    <w:tmpl w:val="F2AC4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7B372B8"/>
    <w:multiLevelType w:val="hybridMultilevel"/>
    <w:tmpl w:val="8F3ED3AE"/>
    <w:lvl w:ilvl="0" w:tplc="0C090001">
      <w:start w:val="1"/>
      <w:numFmt w:val="bullet"/>
      <w:lvlText w:val=""/>
      <w:lvlJc w:val="left"/>
      <w:pPr>
        <w:ind w:left="995" w:hanging="360"/>
      </w:pPr>
      <w:rPr>
        <w:rFonts w:ascii="Symbol" w:hAnsi="Symbol" w:hint="default"/>
      </w:rPr>
    </w:lvl>
    <w:lvl w:ilvl="1" w:tplc="0C090003" w:tentative="1">
      <w:start w:val="1"/>
      <w:numFmt w:val="bullet"/>
      <w:lvlText w:val="o"/>
      <w:lvlJc w:val="left"/>
      <w:pPr>
        <w:ind w:left="1715" w:hanging="360"/>
      </w:pPr>
      <w:rPr>
        <w:rFonts w:ascii="Courier New" w:hAnsi="Courier New" w:cs="Courier New" w:hint="default"/>
      </w:rPr>
    </w:lvl>
    <w:lvl w:ilvl="2" w:tplc="0C090005" w:tentative="1">
      <w:start w:val="1"/>
      <w:numFmt w:val="bullet"/>
      <w:lvlText w:val=""/>
      <w:lvlJc w:val="left"/>
      <w:pPr>
        <w:ind w:left="2435" w:hanging="360"/>
      </w:pPr>
      <w:rPr>
        <w:rFonts w:ascii="Wingdings" w:hAnsi="Wingdings" w:hint="default"/>
      </w:rPr>
    </w:lvl>
    <w:lvl w:ilvl="3" w:tplc="0C090001" w:tentative="1">
      <w:start w:val="1"/>
      <w:numFmt w:val="bullet"/>
      <w:lvlText w:val=""/>
      <w:lvlJc w:val="left"/>
      <w:pPr>
        <w:ind w:left="3155" w:hanging="360"/>
      </w:pPr>
      <w:rPr>
        <w:rFonts w:ascii="Symbol" w:hAnsi="Symbol" w:hint="default"/>
      </w:rPr>
    </w:lvl>
    <w:lvl w:ilvl="4" w:tplc="0C090003" w:tentative="1">
      <w:start w:val="1"/>
      <w:numFmt w:val="bullet"/>
      <w:lvlText w:val="o"/>
      <w:lvlJc w:val="left"/>
      <w:pPr>
        <w:ind w:left="3875" w:hanging="360"/>
      </w:pPr>
      <w:rPr>
        <w:rFonts w:ascii="Courier New" w:hAnsi="Courier New" w:cs="Courier New" w:hint="default"/>
      </w:rPr>
    </w:lvl>
    <w:lvl w:ilvl="5" w:tplc="0C090005" w:tentative="1">
      <w:start w:val="1"/>
      <w:numFmt w:val="bullet"/>
      <w:lvlText w:val=""/>
      <w:lvlJc w:val="left"/>
      <w:pPr>
        <w:ind w:left="4595" w:hanging="360"/>
      </w:pPr>
      <w:rPr>
        <w:rFonts w:ascii="Wingdings" w:hAnsi="Wingdings" w:hint="default"/>
      </w:rPr>
    </w:lvl>
    <w:lvl w:ilvl="6" w:tplc="0C090001" w:tentative="1">
      <w:start w:val="1"/>
      <w:numFmt w:val="bullet"/>
      <w:lvlText w:val=""/>
      <w:lvlJc w:val="left"/>
      <w:pPr>
        <w:ind w:left="5315" w:hanging="360"/>
      </w:pPr>
      <w:rPr>
        <w:rFonts w:ascii="Symbol" w:hAnsi="Symbol" w:hint="default"/>
      </w:rPr>
    </w:lvl>
    <w:lvl w:ilvl="7" w:tplc="0C090003" w:tentative="1">
      <w:start w:val="1"/>
      <w:numFmt w:val="bullet"/>
      <w:lvlText w:val="o"/>
      <w:lvlJc w:val="left"/>
      <w:pPr>
        <w:ind w:left="6035" w:hanging="360"/>
      </w:pPr>
      <w:rPr>
        <w:rFonts w:ascii="Courier New" w:hAnsi="Courier New" w:cs="Courier New" w:hint="default"/>
      </w:rPr>
    </w:lvl>
    <w:lvl w:ilvl="8" w:tplc="0C090005" w:tentative="1">
      <w:start w:val="1"/>
      <w:numFmt w:val="bullet"/>
      <w:lvlText w:val=""/>
      <w:lvlJc w:val="left"/>
      <w:pPr>
        <w:ind w:left="6755" w:hanging="360"/>
      </w:pPr>
      <w:rPr>
        <w:rFonts w:ascii="Wingdings" w:hAnsi="Wingdings" w:hint="default"/>
      </w:rPr>
    </w:lvl>
  </w:abstractNum>
  <w:abstractNum w:abstractNumId="66" w15:restartNumberingAfterBreak="0">
    <w:nsid w:val="77C05DC2"/>
    <w:multiLevelType w:val="hybridMultilevel"/>
    <w:tmpl w:val="66F09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81504D1"/>
    <w:multiLevelType w:val="hybridMultilevel"/>
    <w:tmpl w:val="C8D8A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95B776D"/>
    <w:multiLevelType w:val="hybridMultilevel"/>
    <w:tmpl w:val="638A0FF4"/>
    <w:lvl w:ilvl="0" w:tplc="C61CC438">
      <w:start w:val="1"/>
      <w:numFmt w:val="bullet"/>
      <w:pStyle w:val="ListBullet3"/>
      <w:lvlText w:val=""/>
      <w:lvlJc w:val="left"/>
      <w:pPr>
        <w:ind w:left="1920" w:hanging="360"/>
      </w:pPr>
      <w:rPr>
        <w:rFonts w:ascii="Symbol" w:hAnsi="Symbol" w:hint="default"/>
        <w:color w:val="36424A" w:themeColor="text2"/>
        <w:sz w:val="18"/>
      </w:rPr>
    </w:lvl>
    <w:lvl w:ilvl="1" w:tplc="42CCDA4C">
      <w:start w:val="1"/>
      <w:numFmt w:val="bullet"/>
      <w:lvlText w:val="o"/>
      <w:lvlJc w:val="left"/>
      <w:pPr>
        <w:ind w:left="2640" w:hanging="360"/>
      </w:pPr>
      <w:rPr>
        <w:rFonts w:ascii="Courier New" w:hAnsi="Courier New" w:cs="Courier New" w:hint="default"/>
      </w:rPr>
    </w:lvl>
    <w:lvl w:ilvl="2" w:tplc="DE422694">
      <w:start w:val="1"/>
      <w:numFmt w:val="bullet"/>
      <w:lvlText w:val="•"/>
      <w:lvlJc w:val="left"/>
      <w:pPr>
        <w:ind w:left="3360" w:hanging="360"/>
      </w:pPr>
      <w:rPr>
        <w:rFonts w:ascii="Cambria" w:hAnsi="Cambria" w:hint="default"/>
        <w:color w:val="36424A" w:themeColor="text2"/>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69" w15:restartNumberingAfterBreak="0">
    <w:nsid w:val="7DED37F6"/>
    <w:multiLevelType w:val="hybridMultilevel"/>
    <w:tmpl w:val="7F8EF45C"/>
    <w:lvl w:ilvl="0" w:tplc="0ABABB42">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42"/>
  </w:num>
  <w:num w:numId="4">
    <w:abstractNumId w:val="68"/>
  </w:num>
  <w:num w:numId="5">
    <w:abstractNumId w:val="19"/>
  </w:num>
  <w:num w:numId="6">
    <w:abstractNumId w:val="49"/>
  </w:num>
  <w:num w:numId="7">
    <w:abstractNumId w:val="36"/>
  </w:num>
  <w:num w:numId="8">
    <w:abstractNumId w:val="2"/>
  </w:num>
  <w:num w:numId="9">
    <w:abstractNumId w:val="64"/>
  </w:num>
  <w:num w:numId="10">
    <w:abstractNumId w:val="16"/>
  </w:num>
  <w:num w:numId="11">
    <w:abstractNumId w:val="1"/>
  </w:num>
  <w:num w:numId="12">
    <w:abstractNumId w:val="0"/>
  </w:num>
  <w:num w:numId="13">
    <w:abstractNumId w:val="14"/>
  </w:num>
  <w:num w:numId="14">
    <w:abstractNumId w:val="20"/>
  </w:num>
  <w:num w:numId="15">
    <w:abstractNumId w:val="66"/>
  </w:num>
  <w:num w:numId="16">
    <w:abstractNumId w:val="18"/>
  </w:num>
  <w:num w:numId="17">
    <w:abstractNumId w:val="56"/>
  </w:num>
  <w:num w:numId="18">
    <w:abstractNumId w:val="40"/>
  </w:num>
  <w:num w:numId="19">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9"/>
  </w:num>
  <w:num w:numId="22">
    <w:abstractNumId w:val="61"/>
  </w:num>
  <w:num w:numId="23">
    <w:abstractNumId w:val="28"/>
  </w:num>
  <w:num w:numId="24">
    <w:abstractNumId w:val="67"/>
  </w:num>
  <w:num w:numId="25">
    <w:abstractNumId w:val="10"/>
  </w:num>
  <w:num w:numId="26">
    <w:abstractNumId w:val="48"/>
  </w:num>
  <w:num w:numId="27">
    <w:abstractNumId w:val="62"/>
  </w:num>
  <w:num w:numId="28">
    <w:abstractNumId w:val="32"/>
  </w:num>
  <w:num w:numId="29">
    <w:abstractNumId w:val="63"/>
  </w:num>
  <w:num w:numId="30">
    <w:abstractNumId w:val="51"/>
  </w:num>
  <w:num w:numId="31">
    <w:abstractNumId w:val="57"/>
  </w:num>
  <w:num w:numId="32">
    <w:abstractNumId w:val="17"/>
  </w:num>
  <w:num w:numId="33">
    <w:abstractNumId w:val="23"/>
  </w:num>
  <w:num w:numId="34">
    <w:abstractNumId w:val="63"/>
  </w:num>
  <w:num w:numId="35">
    <w:abstractNumId w:val="51"/>
  </w:num>
  <w:num w:numId="36">
    <w:abstractNumId w:val="54"/>
  </w:num>
  <w:num w:numId="37">
    <w:abstractNumId w:val="7"/>
  </w:num>
  <w:num w:numId="38">
    <w:abstractNumId w:val="5"/>
  </w:num>
  <w:num w:numId="39">
    <w:abstractNumId w:val="65"/>
  </w:num>
  <w:num w:numId="40">
    <w:abstractNumId w:val="15"/>
  </w:num>
  <w:num w:numId="41">
    <w:abstractNumId w:val="29"/>
  </w:num>
  <w:num w:numId="42">
    <w:abstractNumId w:val="34"/>
  </w:num>
  <w:num w:numId="43">
    <w:abstractNumId w:val="60"/>
  </w:num>
  <w:num w:numId="44">
    <w:abstractNumId w:val="63"/>
  </w:num>
  <w:num w:numId="45">
    <w:abstractNumId w:val="51"/>
  </w:num>
  <w:num w:numId="46">
    <w:abstractNumId w:val="21"/>
  </w:num>
  <w:num w:numId="47">
    <w:abstractNumId w:val="38"/>
  </w:num>
  <w:num w:numId="48">
    <w:abstractNumId w:val="8"/>
  </w:num>
  <w:num w:numId="49">
    <w:abstractNumId w:val="58"/>
  </w:num>
  <w:num w:numId="50">
    <w:abstractNumId w:val="45"/>
  </w:num>
  <w:num w:numId="51">
    <w:abstractNumId w:val="52"/>
  </w:num>
  <w:num w:numId="52">
    <w:abstractNumId w:val="55"/>
  </w:num>
  <w:num w:numId="53">
    <w:abstractNumId w:val="46"/>
  </w:num>
  <w:num w:numId="54">
    <w:abstractNumId w:val="53"/>
  </w:num>
  <w:num w:numId="55">
    <w:abstractNumId w:val="36"/>
  </w:num>
  <w:num w:numId="56">
    <w:abstractNumId w:val="36"/>
  </w:num>
  <w:num w:numId="57">
    <w:abstractNumId w:val="36"/>
  </w:num>
  <w:num w:numId="58">
    <w:abstractNumId w:val="36"/>
  </w:num>
  <w:num w:numId="59">
    <w:abstractNumId w:val="36"/>
  </w:num>
  <w:num w:numId="60">
    <w:abstractNumId w:val="47"/>
  </w:num>
  <w:num w:numId="61">
    <w:abstractNumId w:val="36"/>
  </w:num>
  <w:num w:numId="62">
    <w:abstractNumId w:val="36"/>
  </w:num>
  <w:num w:numId="63">
    <w:abstractNumId w:val="33"/>
  </w:num>
  <w:num w:numId="64">
    <w:abstractNumId w:val="35"/>
  </w:num>
  <w:num w:numId="65">
    <w:abstractNumId w:val="4"/>
  </w:num>
  <w:num w:numId="66">
    <w:abstractNumId w:val="31"/>
  </w:num>
  <w:num w:numId="67">
    <w:abstractNumId w:val="36"/>
  </w:num>
  <w:num w:numId="68">
    <w:abstractNumId w:val="50"/>
  </w:num>
  <w:num w:numId="69">
    <w:abstractNumId w:val="36"/>
  </w:num>
  <w:num w:numId="70">
    <w:abstractNumId w:val="69"/>
  </w:num>
  <w:num w:numId="71">
    <w:abstractNumId w:val="24"/>
  </w:num>
  <w:num w:numId="72">
    <w:abstractNumId w:val="6"/>
  </w:num>
  <w:num w:numId="73">
    <w:abstractNumId w:val="26"/>
  </w:num>
  <w:num w:numId="74">
    <w:abstractNumId w:val="3"/>
  </w:num>
  <w:num w:numId="75">
    <w:abstractNumId w:val="22"/>
  </w:num>
  <w:num w:numId="76">
    <w:abstractNumId w:val="36"/>
  </w:num>
  <w:num w:numId="77">
    <w:abstractNumId w:val="44"/>
  </w:num>
  <w:num w:numId="78">
    <w:abstractNumId w:val="36"/>
  </w:num>
  <w:num w:numId="79">
    <w:abstractNumId w:val="36"/>
  </w:num>
  <w:num w:numId="80">
    <w:abstractNumId w:val="13"/>
  </w:num>
  <w:num w:numId="81">
    <w:abstractNumId w:val="37"/>
  </w:num>
  <w:num w:numId="82">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1"/>
  </w:num>
  <w:num w:numId="8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9"/>
  </w:num>
  <w:num w:numId="87">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3"/>
  </w:num>
  <w:num w:numId="90">
    <w:abstractNumId w:val="12"/>
  </w:num>
  <w:num w:numId="91">
    <w:abstractNumId w:val="3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evenAndOddHeaders/>
  <w:drawingGridHorizontalSpacing w:val="110"/>
  <w:displayHorizontalDrawingGridEvery w:val="2"/>
  <w:characterSpacingControl w:val="doNotCompress"/>
  <w:hdrShapeDefaults>
    <o:shapedefaults v:ext="edit" spidmax="2050" style="mso-position-horizontal:center;mso-position-horizontal-relative:page;mso-position-vertical-relative:page" fillcolor="none [671]" stroke="f">
      <v:fill color="none [671]" opacity=".75"/>
      <v:stroke on="f"/>
      <o:colormru v:ext="edit" colors="#a6b4be,#d2d9d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EB2F15"/>
    <w:rsid w:val="00000011"/>
    <w:rsid w:val="000002BE"/>
    <w:rsid w:val="00000532"/>
    <w:rsid w:val="000005AF"/>
    <w:rsid w:val="000005E0"/>
    <w:rsid w:val="00001242"/>
    <w:rsid w:val="00001706"/>
    <w:rsid w:val="00001721"/>
    <w:rsid w:val="0000183E"/>
    <w:rsid w:val="00002D53"/>
    <w:rsid w:val="00002E44"/>
    <w:rsid w:val="0000353B"/>
    <w:rsid w:val="00003D93"/>
    <w:rsid w:val="00004D99"/>
    <w:rsid w:val="00005B68"/>
    <w:rsid w:val="00005EFD"/>
    <w:rsid w:val="00005F33"/>
    <w:rsid w:val="00005FAB"/>
    <w:rsid w:val="000064E1"/>
    <w:rsid w:val="0000766B"/>
    <w:rsid w:val="00007F8F"/>
    <w:rsid w:val="000108A2"/>
    <w:rsid w:val="000112AD"/>
    <w:rsid w:val="00011F1E"/>
    <w:rsid w:val="00012228"/>
    <w:rsid w:val="000124C2"/>
    <w:rsid w:val="00013203"/>
    <w:rsid w:val="0001358A"/>
    <w:rsid w:val="00015156"/>
    <w:rsid w:val="000151FC"/>
    <w:rsid w:val="00015371"/>
    <w:rsid w:val="00015DAC"/>
    <w:rsid w:val="00015EC1"/>
    <w:rsid w:val="00015FA0"/>
    <w:rsid w:val="000163AB"/>
    <w:rsid w:val="00016605"/>
    <w:rsid w:val="0001686C"/>
    <w:rsid w:val="00016A8A"/>
    <w:rsid w:val="00016CCA"/>
    <w:rsid w:val="0001702A"/>
    <w:rsid w:val="00017938"/>
    <w:rsid w:val="00017977"/>
    <w:rsid w:val="000179C0"/>
    <w:rsid w:val="00017E5B"/>
    <w:rsid w:val="00020C41"/>
    <w:rsid w:val="00020F69"/>
    <w:rsid w:val="000211DA"/>
    <w:rsid w:val="00022030"/>
    <w:rsid w:val="000221F9"/>
    <w:rsid w:val="00022375"/>
    <w:rsid w:val="000224AB"/>
    <w:rsid w:val="00022980"/>
    <w:rsid w:val="00022EA3"/>
    <w:rsid w:val="0002442F"/>
    <w:rsid w:val="0002451A"/>
    <w:rsid w:val="0002496F"/>
    <w:rsid w:val="000251DB"/>
    <w:rsid w:val="000252A1"/>
    <w:rsid w:val="00025AE7"/>
    <w:rsid w:val="00026219"/>
    <w:rsid w:val="00026663"/>
    <w:rsid w:val="0002688A"/>
    <w:rsid w:val="00027367"/>
    <w:rsid w:val="0002795E"/>
    <w:rsid w:val="000301F3"/>
    <w:rsid w:val="00030DDD"/>
    <w:rsid w:val="00030F54"/>
    <w:rsid w:val="0003174A"/>
    <w:rsid w:val="00032077"/>
    <w:rsid w:val="00032C5B"/>
    <w:rsid w:val="0003303C"/>
    <w:rsid w:val="00033FA1"/>
    <w:rsid w:val="000351BF"/>
    <w:rsid w:val="000355D7"/>
    <w:rsid w:val="00036102"/>
    <w:rsid w:val="00036125"/>
    <w:rsid w:val="00037737"/>
    <w:rsid w:val="000400DB"/>
    <w:rsid w:val="000405D5"/>
    <w:rsid w:val="00040960"/>
    <w:rsid w:val="00040A10"/>
    <w:rsid w:val="00040CB7"/>
    <w:rsid w:val="000415E3"/>
    <w:rsid w:val="000418AF"/>
    <w:rsid w:val="000425AC"/>
    <w:rsid w:val="00042627"/>
    <w:rsid w:val="0004277D"/>
    <w:rsid w:val="000429F7"/>
    <w:rsid w:val="00042E40"/>
    <w:rsid w:val="000435E6"/>
    <w:rsid w:val="00043AD9"/>
    <w:rsid w:val="00044F0F"/>
    <w:rsid w:val="00045CC8"/>
    <w:rsid w:val="00046011"/>
    <w:rsid w:val="0004640C"/>
    <w:rsid w:val="00046886"/>
    <w:rsid w:val="00046B9F"/>
    <w:rsid w:val="00046E20"/>
    <w:rsid w:val="00046EB8"/>
    <w:rsid w:val="000472DF"/>
    <w:rsid w:val="00050416"/>
    <w:rsid w:val="00051444"/>
    <w:rsid w:val="00051591"/>
    <w:rsid w:val="00051B5A"/>
    <w:rsid w:val="00051C3C"/>
    <w:rsid w:val="000522CF"/>
    <w:rsid w:val="000530D7"/>
    <w:rsid w:val="00053117"/>
    <w:rsid w:val="00053942"/>
    <w:rsid w:val="0005400C"/>
    <w:rsid w:val="000543CC"/>
    <w:rsid w:val="0005451D"/>
    <w:rsid w:val="00054E01"/>
    <w:rsid w:val="0005637C"/>
    <w:rsid w:val="0005658B"/>
    <w:rsid w:val="00056F69"/>
    <w:rsid w:val="00057936"/>
    <w:rsid w:val="00060116"/>
    <w:rsid w:val="000604BD"/>
    <w:rsid w:val="00060CEB"/>
    <w:rsid w:val="00061512"/>
    <w:rsid w:val="000616F7"/>
    <w:rsid w:val="000626CF"/>
    <w:rsid w:val="00062A37"/>
    <w:rsid w:val="00062C30"/>
    <w:rsid w:val="000630D8"/>
    <w:rsid w:val="0006345B"/>
    <w:rsid w:val="00063760"/>
    <w:rsid w:val="00063897"/>
    <w:rsid w:val="00064A55"/>
    <w:rsid w:val="00064D0E"/>
    <w:rsid w:val="000656B9"/>
    <w:rsid w:val="00065B1F"/>
    <w:rsid w:val="00065C33"/>
    <w:rsid w:val="000661D1"/>
    <w:rsid w:val="0006767C"/>
    <w:rsid w:val="00070A45"/>
    <w:rsid w:val="00070F45"/>
    <w:rsid w:val="00071419"/>
    <w:rsid w:val="00071A56"/>
    <w:rsid w:val="00071A63"/>
    <w:rsid w:val="00071C0C"/>
    <w:rsid w:val="00071F50"/>
    <w:rsid w:val="00072174"/>
    <w:rsid w:val="000733BB"/>
    <w:rsid w:val="0007345D"/>
    <w:rsid w:val="00073768"/>
    <w:rsid w:val="00073D30"/>
    <w:rsid w:val="00074096"/>
    <w:rsid w:val="00074448"/>
    <w:rsid w:val="000747DD"/>
    <w:rsid w:val="00074B8F"/>
    <w:rsid w:val="00074CFC"/>
    <w:rsid w:val="000754EF"/>
    <w:rsid w:val="00075929"/>
    <w:rsid w:val="00075BE3"/>
    <w:rsid w:val="00076336"/>
    <w:rsid w:val="0007638A"/>
    <w:rsid w:val="00076476"/>
    <w:rsid w:val="00076F98"/>
    <w:rsid w:val="00077636"/>
    <w:rsid w:val="0008036E"/>
    <w:rsid w:val="000804DD"/>
    <w:rsid w:val="00080527"/>
    <w:rsid w:val="000813C7"/>
    <w:rsid w:val="00081565"/>
    <w:rsid w:val="00081AA4"/>
    <w:rsid w:val="00082625"/>
    <w:rsid w:val="00082C0C"/>
    <w:rsid w:val="0008355F"/>
    <w:rsid w:val="000838A9"/>
    <w:rsid w:val="00083B50"/>
    <w:rsid w:val="00084211"/>
    <w:rsid w:val="00084CFA"/>
    <w:rsid w:val="00084F67"/>
    <w:rsid w:val="000853F0"/>
    <w:rsid w:val="00085C4C"/>
    <w:rsid w:val="00085C8A"/>
    <w:rsid w:val="00087B72"/>
    <w:rsid w:val="00087F69"/>
    <w:rsid w:val="00090326"/>
    <w:rsid w:val="000910B7"/>
    <w:rsid w:val="000910E0"/>
    <w:rsid w:val="000912C6"/>
    <w:rsid w:val="00091653"/>
    <w:rsid w:val="00091D0C"/>
    <w:rsid w:val="00091D1F"/>
    <w:rsid w:val="000923E7"/>
    <w:rsid w:val="0009281B"/>
    <w:rsid w:val="00092A05"/>
    <w:rsid w:val="00094940"/>
    <w:rsid w:val="000949AD"/>
    <w:rsid w:val="00094C34"/>
    <w:rsid w:val="0009641C"/>
    <w:rsid w:val="00096626"/>
    <w:rsid w:val="0009666D"/>
    <w:rsid w:val="000968A5"/>
    <w:rsid w:val="00096EDB"/>
    <w:rsid w:val="00097180"/>
    <w:rsid w:val="00097B29"/>
    <w:rsid w:val="000A1A0A"/>
    <w:rsid w:val="000A2593"/>
    <w:rsid w:val="000A2C5A"/>
    <w:rsid w:val="000A328C"/>
    <w:rsid w:val="000A34DF"/>
    <w:rsid w:val="000A3BBD"/>
    <w:rsid w:val="000A52E9"/>
    <w:rsid w:val="000A5400"/>
    <w:rsid w:val="000A5901"/>
    <w:rsid w:val="000A67F1"/>
    <w:rsid w:val="000A73AD"/>
    <w:rsid w:val="000A7D2B"/>
    <w:rsid w:val="000B0020"/>
    <w:rsid w:val="000B189E"/>
    <w:rsid w:val="000B2111"/>
    <w:rsid w:val="000B232F"/>
    <w:rsid w:val="000B2AFF"/>
    <w:rsid w:val="000B2BCB"/>
    <w:rsid w:val="000B2DF6"/>
    <w:rsid w:val="000B3329"/>
    <w:rsid w:val="000B3BA5"/>
    <w:rsid w:val="000B4721"/>
    <w:rsid w:val="000B57CC"/>
    <w:rsid w:val="000B62DE"/>
    <w:rsid w:val="000B6450"/>
    <w:rsid w:val="000B65D1"/>
    <w:rsid w:val="000B663F"/>
    <w:rsid w:val="000B6B36"/>
    <w:rsid w:val="000B70B8"/>
    <w:rsid w:val="000B7213"/>
    <w:rsid w:val="000B7B13"/>
    <w:rsid w:val="000C049A"/>
    <w:rsid w:val="000C054B"/>
    <w:rsid w:val="000C08FD"/>
    <w:rsid w:val="000C0999"/>
    <w:rsid w:val="000C0BBD"/>
    <w:rsid w:val="000C196F"/>
    <w:rsid w:val="000C1CF6"/>
    <w:rsid w:val="000C2607"/>
    <w:rsid w:val="000C2764"/>
    <w:rsid w:val="000C2A9B"/>
    <w:rsid w:val="000C2D2F"/>
    <w:rsid w:val="000C3708"/>
    <w:rsid w:val="000C37F8"/>
    <w:rsid w:val="000C44C3"/>
    <w:rsid w:val="000C468D"/>
    <w:rsid w:val="000C488B"/>
    <w:rsid w:val="000C55A1"/>
    <w:rsid w:val="000C62B7"/>
    <w:rsid w:val="000C6D09"/>
    <w:rsid w:val="000C6D65"/>
    <w:rsid w:val="000C6E50"/>
    <w:rsid w:val="000C764D"/>
    <w:rsid w:val="000C7C7F"/>
    <w:rsid w:val="000D0189"/>
    <w:rsid w:val="000D02CC"/>
    <w:rsid w:val="000D07F1"/>
    <w:rsid w:val="000D1048"/>
    <w:rsid w:val="000D1348"/>
    <w:rsid w:val="000D15C5"/>
    <w:rsid w:val="000D2067"/>
    <w:rsid w:val="000D226D"/>
    <w:rsid w:val="000D238A"/>
    <w:rsid w:val="000D2A3C"/>
    <w:rsid w:val="000D3994"/>
    <w:rsid w:val="000D3A2E"/>
    <w:rsid w:val="000D3DB7"/>
    <w:rsid w:val="000D4041"/>
    <w:rsid w:val="000D484F"/>
    <w:rsid w:val="000D51E8"/>
    <w:rsid w:val="000D5724"/>
    <w:rsid w:val="000D58AC"/>
    <w:rsid w:val="000D5D54"/>
    <w:rsid w:val="000D6A2F"/>
    <w:rsid w:val="000D6C21"/>
    <w:rsid w:val="000E015B"/>
    <w:rsid w:val="000E038A"/>
    <w:rsid w:val="000E11C2"/>
    <w:rsid w:val="000E1473"/>
    <w:rsid w:val="000E15F4"/>
    <w:rsid w:val="000E1732"/>
    <w:rsid w:val="000E3362"/>
    <w:rsid w:val="000E344B"/>
    <w:rsid w:val="000E346B"/>
    <w:rsid w:val="000E3D6E"/>
    <w:rsid w:val="000E43CC"/>
    <w:rsid w:val="000E45D4"/>
    <w:rsid w:val="000E4AB5"/>
    <w:rsid w:val="000E4B17"/>
    <w:rsid w:val="000E5108"/>
    <w:rsid w:val="000E518F"/>
    <w:rsid w:val="000E52D4"/>
    <w:rsid w:val="000E5598"/>
    <w:rsid w:val="000E57AB"/>
    <w:rsid w:val="000E5EB5"/>
    <w:rsid w:val="000E6070"/>
    <w:rsid w:val="000E6806"/>
    <w:rsid w:val="000E6896"/>
    <w:rsid w:val="000E6EA4"/>
    <w:rsid w:val="000E704C"/>
    <w:rsid w:val="000E780F"/>
    <w:rsid w:val="000E7977"/>
    <w:rsid w:val="000F0DF3"/>
    <w:rsid w:val="000F100B"/>
    <w:rsid w:val="000F15F6"/>
    <w:rsid w:val="000F1B7E"/>
    <w:rsid w:val="000F1CD7"/>
    <w:rsid w:val="000F1F3B"/>
    <w:rsid w:val="000F2243"/>
    <w:rsid w:val="000F2286"/>
    <w:rsid w:val="000F2550"/>
    <w:rsid w:val="000F30EC"/>
    <w:rsid w:val="000F36FD"/>
    <w:rsid w:val="000F397A"/>
    <w:rsid w:val="000F5AEF"/>
    <w:rsid w:val="000F63F1"/>
    <w:rsid w:val="000F69E6"/>
    <w:rsid w:val="000F6AAC"/>
    <w:rsid w:val="000F6CD3"/>
    <w:rsid w:val="000F6EB1"/>
    <w:rsid w:val="000F79F6"/>
    <w:rsid w:val="000F7FD3"/>
    <w:rsid w:val="00100B93"/>
    <w:rsid w:val="001012AB"/>
    <w:rsid w:val="001016E5"/>
    <w:rsid w:val="00101992"/>
    <w:rsid w:val="00101ABB"/>
    <w:rsid w:val="00101DD1"/>
    <w:rsid w:val="001022FD"/>
    <w:rsid w:val="001026B5"/>
    <w:rsid w:val="00102A27"/>
    <w:rsid w:val="00102A42"/>
    <w:rsid w:val="00103583"/>
    <w:rsid w:val="0010389D"/>
    <w:rsid w:val="00103C1B"/>
    <w:rsid w:val="00103CEB"/>
    <w:rsid w:val="001041E2"/>
    <w:rsid w:val="0010422B"/>
    <w:rsid w:val="0010427D"/>
    <w:rsid w:val="001046AF"/>
    <w:rsid w:val="00104F38"/>
    <w:rsid w:val="00104FFF"/>
    <w:rsid w:val="00106847"/>
    <w:rsid w:val="00106AFA"/>
    <w:rsid w:val="00106B1D"/>
    <w:rsid w:val="00106CB0"/>
    <w:rsid w:val="00106E7F"/>
    <w:rsid w:val="00106F45"/>
    <w:rsid w:val="00107399"/>
    <w:rsid w:val="00107409"/>
    <w:rsid w:val="00107775"/>
    <w:rsid w:val="0011116C"/>
    <w:rsid w:val="001115EA"/>
    <w:rsid w:val="00111723"/>
    <w:rsid w:val="00112C43"/>
    <w:rsid w:val="001130C7"/>
    <w:rsid w:val="001134C8"/>
    <w:rsid w:val="00113D97"/>
    <w:rsid w:val="0011474C"/>
    <w:rsid w:val="00115148"/>
    <w:rsid w:val="00115637"/>
    <w:rsid w:val="0011593F"/>
    <w:rsid w:val="001159A7"/>
    <w:rsid w:val="001161A5"/>
    <w:rsid w:val="00117075"/>
    <w:rsid w:val="0011708B"/>
    <w:rsid w:val="001172BA"/>
    <w:rsid w:val="00117B57"/>
    <w:rsid w:val="00120666"/>
    <w:rsid w:val="00120CDA"/>
    <w:rsid w:val="00120E5F"/>
    <w:rsid w:val="00121145"/>
    <w:rsid w:val="00121860"/>
    <w:rsid w:val="00121BD3"/>
    <w:rsid w:val="00122038"/>
    <w:rsid w:val="001224B8"/>
    <w:rsid w:val="001228CD"/>
    <w:rsid w:val="00122E57"/>
    <w:rsid w:val="0012334C"/>
    <w:rsid w:val="0012347D"/>
    <w:rsid w:val="00123B9D"/>
    <w:rsid w:val="00123ECA"/>
    <w:rsid w:val="0012450C"/>
    <w:rsid w:val="001247C1"/>
    <w:rsid w:val="00124C17"/>
    <w:rsid w:val="00125109"/>
    <w:rsid w:val="0012520D"/>
    <w:rsid w:val="00126458"/>
    <w:rsid w:val="001265FE"/>
    <w:rsid w:val="0012685D"/>
    <w:rsid w:val="001275B2"/>
    <w:rsid w:val="00127692"/>
    <w:rsid w:val="00127D21"/>
    <w:rsid w:val="00127D28"/>
    <w:rsid w:val="00130629"/>
    <w:rsid w:val="00130A57"/>
    <w:rsid w:val="00130AA1"/>
    <w:rsid w:val="00130ADF"/>
    <w:rsid w:val="001310F2"/>
    <w:rsid w:val="00131109"/>
    <w:rsid w:val="00131162"/>
    <w:rsid w:val="00131A24"/>
    <w:rsid w:val="001326D2"/>
    <w:rsid w:val="001329A1"/>
    <w:rsid w:val="00132DCC"/>
    <w:rsid w:val="00133B3C"/>
    <w:rsid w:val="00133CB7"/>
    <w:rsid w:val="001348B1"/>
    <w:rsid w:val="001349C3"/>
    <w:rsid w:val="00134A62"/>
    <w:rsid w:val="00134AC4"/>
    <w:rsid w:val="00134EE5"/>
    <w:rsid w:val="001355CB"/>
    <w:rsid w:val="00135E56"/>
    <w:rsid w:val="0013686B"/>
    <w:rsid w:val="00137073"/>
    <w:rsid w:val="0013732B"/>
    <w:rsid w:val="00137924"/>
    <w:rsid w:val="00137D46"/>
    <w:rsid w:val="00137E84"/>
    <w:rsid w:val="001408F7"/>
    <w:rsid w:val="00140CC5"/>
    <w:rsid w:val="00141E7D"/>
    <w:rsid w:val="001420FD"/>
    <w:rsid w:val="0014216E"/>
    <w:rsid w:val="00142995"/>
    <w:rsid w:val="00142FF2"/>
    <w:rsid w:val="00143176"/>
    <w:rsid w:val="00143DB2"/>
    <w:rsid w:val="00143E8B"/>
    <w:rsid w:val="00144107"/>
    <w:rsid w:val="0014416B"/>
    <w:rsid w:val="001448A3"/>
    <w:rsid w:val="00144CE3"/>
    <w:rsid w:val="0014589D"/>
    <w:rsid w:val="001461AD"/>
    <w:rsid w:val="00146445"/>
    <w:rsid w:val="00146E78"/>
    <w:rsid w:val="00147ACC"/>
    <w:rsid w:val="00147BA3"/>
    <w:rsid w:val="00147D93"/>
    <w:rsid w:val="00147F86"/>
    <w:rsid w:val="001500AE"/>
    <w:rsid w:val="00150195"/>
    <w:rsid w:val="0015057C"/>
    <w:rsid w:val="00150819"/>
    <w:rsid w:val="00150B98"/>
    <w:rsid w:val="001516DF"/>
    <w:rsid w:val="001517EA"/>
    <w:rsid w:val="00151E30"/>
    <w:rsid w:val="00151F30"/>
    <w:rsid w:val="00152E62"/>
    <w:rsid w:val="00153012"/>
    <w:rsid w:val="0015342A"/>
    <w:rsid w:val="00153B4B"/>
    <w:rsid w:val="00153F90"/>
    <w:rsid w:val="0015405E"/>
    <w:rsid w:val="001541D4"/>
    <w:rsid w:val="00154BEC"/>
    <w:rsid w:val="0015521A"/>
    <w:rsid w:val="0015525B"/>
    <w:rsid w:val="00155783"/>
    <w:rsid w:val="00155D2A"/>
    <w:rsid w:val="001565A0"/>
    <w:rsid w:val="001565CA"/>
    <w:rsid w:val="00156BAF"/>
    <w:rsid w:val="00157060"/>
    <w:rsid w:val="00157076"/>
    <w:rsid w:val="0015782E"/>
    <w:rsid w:val="001578B7"/>
    <w:rsid w:val="00157A5A"/>
    <w:rsid w:val="00157A5E"/>
    <w:rsid w:val="00157DDE"/>
    <w:rsid w:val="00157EFB"/>
    <w:rsid w:val="00160B43"/>
    <w:rsid w:val="00160F87"/>
    <w:rsid w:val="00162049"/>
    <w:rsid w:val="00162940"/>
    <w:rsid w:val="00162DDC"/>
    <w:rsid w:val="001638AB"/>
    <w:rsid w:val="001641C5"/>
    <w:rsid w:val="001643C0"/>
    <w:rsid w:val="001643E0"/>
    <w:rsid w:val="0016452D"/>
    <w:rsid w:val="001645F8"/>
    <w:rsid w:val="00164640"/>
    <w:rsid w:val="00164FC6"/>
    <w:rsid w:val="0016505C"/>
    <w:rsid w:val="00165605"/>
    <w:rsid w:val="0016628C"/>
    <w:rsid w:val="001667AE"/>
    <w:rsid w:val="00166EEF"/>
    <w:rsid w:val="0016700D"/>
    <w:rsid w:val="00167898"/>
    <w:rsid w:val="00167B5B"/>
    <w:rsid w:val="001701C6"/>
    <w:rsid w:val="001705FB"/>
    <w:rsid w:val="00170A80"/>
    <w:rsid w:val="00171491"/>
    <w:rsid w:val="00171AC6"/>
    <w:rsid w:val="001721B0"/>
    <w:rsid w:val="0017298C"/>
    <w:rsid w:val="00172AE4"/>
    <w:rsid w:val="00172BD0"/>
    <w:rsid w:val="00172BF9"/>
    <w:rsid w:val="00172C2F"/>
    <w:rsid w:val="00172C6A"/>
    <w:rsid w:val="001730E7"/>
    <w:rsid w:val="001731D7"/>
    <w:rsid w:val="001734AF"/>
    <w:rsid w:val="001736B1"/>
    <w:rsid w:val="00173738"/>
    <w:rsid w:val="00174433"/>
    <w:rsid w:val="0017446A"/>
    <w:rsid w:val="001758D9"/>
    <w:rsid w:val="0017591E"/>
    <w:rsid w:val="00175A70"/>
    <w:rsid w:val="00175B83"/>
    <w:rsid w:val="00175C34"/>
    <w:rsid w:val="00175E83"/>
    <w:rsid w:val="00175EFA"/>
    <w:rsid w:val="001764E3"/>
    <w:rsid w:val="00176D84"/>
    <w:rsid w:val="00176F8B"/>
    <w:rsid w:val="001775DB"/>
    <w:rsid w:val="00177B76"/>
    <w:rsid w:val="00177ED2"/>
    <w:rsid w:val="0018038A"/>
    <w:rsid w:val="00180417"/>
    <w:rsid w:val="00180572"/>
    <w:rsid w:val="001807A4"/>
    <w:rsid w:val="00180C18"/>
    <w:rsid w:val="00180EBA"/>
    <w:rsid w:val="001811DE"/>
    <w:rsid w:val="00181875"/>
    <w:rsid w:val="00181884"/>
    <w:rsid w:val="00181BB9"/>
    <w:rsid w:val="00181EC0"/>
    <w:rsid w:val="00181EF4"/>
    <w:rsid w:val="0018231E"/>
    <w:rsid w:val="0018258E"/>
    <w:rsid w:val="001830F9"/>
    <w:rsid w:val="0018324B"/>
    <w:rsid w:val="00183393"/>
    <w:rsid w:val="001839FC"/>
    <w:rsid w:val="00184309"/>
    <w:rsid w:val="00184DDB"/>
    <w:rsid w:val="00184E1A"/>
    <w:rsid w:val="0018631B"/>
    <w:rsid w:val="001868F7"/>
    <w:rsid w:val="00186F4E"/>
    <w:rsid w:val="00187B86"/>
    <w:rsid w:val="00187DB8"/>
    <w:rsid w:val="001901D0"/>
    <w:rsid w:val="0019043A"/>
    <w:rsid w:val="001907DD"/>
    <w:rsid w:val="001908E5"/>
    <w:rsid w:val="001910CB"/>
    <w:rsid w:val="001919E5"/>
    <w:rsid w:val="00191DF9"/>
    <w:rsid w:val="001933B3"/>
    <w:rsid w:val="001935F9"/>
    <w:rsid w:val="00193B56"/>
    <w:rsid w:val="00193CF1"/>
    <w:rsid w:val="00194B3B"/>
    <w:rsid w:val="00194C90"/>
    <w:rsid w:val="00194E78"/>
    <w:rsid w:val="00195495"/>
    <w:rsid w:val="00195941"/>
    <w:rsid w:val="001959D1"/>
    <w:rsid w:val="00195C78"/>
    <w:rsid w:val="0019642D"/>
    <w:rsid w:val="00196675"/>
    <w:rsid w:val="001975C3"/>
    <w:rsid w:val="00197E7F"/>
    <w:rsid w:val="00197F46"/>
    <w:rsid w:val="001A00F5"/>
    <w:rsid w:val="001A0A69"/>
    <w:rsid w:val="001A101D"/>
    <w:rsid w:val="001A14EE"/>
    <w:rsid w:val="001A281A"/>
    <w:rsid w:val="001A333D"/>
    <w:rsid w:val="001A33AC"/>
    <w:rsid w:val="001A3502"/>
    <w:rsid w:val="001A3822"/>
    <w:rsid w:val="001A38D4"/>
    <w:rsid w:val="001A3CBF"/>
    <w:rsid w:val="001A3D25"/>
    <w:rsid w:val="001A3DBC"/>
    <w:rsid w:val="001A3FA1"/>
    <w:rsid w:val="001A4918"/>
    <w:rsid w:val="001A4E23"/>
    <w:rsid w:val="001A528C"/>
    <w:rsid w:val="001A5AB1"/>
    <w:rsid w:val="001A621D"/>
    <w:rsid w:val="001A6886"/>
    <w:rsid w:val="001A6A00"/>
    <w:rsid w:val="001A7123"/>
    <w:rsid w:val="001A7440"/>
    <w:rsid w:val="001A749D"/>
    <w:rsid w:val="001B04C9"/>
    <w:rsid w:val="001B0860"/>
    <w:rsid w:val="001B08B8"/>
    <w:rsid w:val="001B2B20"/>
    <w:rsid w:val="001B2C33"/>
    <w:rsid w:val="001B2C48"/>
    <w:rsid w:val="001B2E7C"/>
    <w:rsid w:val="001B3214"/>
    <w:rsid w:val="001B3F31"/>
    <w:rsid w:val="001B4473"/>
    <w:rsid w:val="001B4976"/>
    <w:rsid w:val="001B4AF6"/>
    <w:rsid w:val="001B502D"/>
    <w:rsid w:val="001B5207"/>
    <w:rsid w:val="001B58BD"/>
    <w:rsid w:val="001B5D50"/>
    <w:rsid w:val="001B5F74"/>
    <w:rsid w:val="001B6BE5"/>
    <w:rsid w:val="001B766E"/>
    <w:rsid w:val="001B7D23"/>
    <w:rsid w:val="001B7DCD"/>
    <w:rsid w:val="001C0986"/>
    <w:rsid w:val="001C0AB1"/>
    <w:rsid w:val="001C1408"/>
    <w:rsid w:val="001C1FB5"/>
    <w:rsid w:val="001C2164"/>
    <w:rsid w:val="001C2CFD"/>
    <w:rsid w:val="001C2F04"/>
    <w:rsid w:val="001C2F4F"/>
    <w:rsid w:val="001C3706"/>
    <w:rsid w:val="001C37A9"/>
    <w:rsid w:val="001C3B58"/>
    <w:rsid w:val="001C3B9F"/>
    <w:rsid w:val="001C434E"/>
    <w:rsid w:val="001C48C7"/>
    <w:rsid w:val="001C5CC6"/>
    <w:rsid w:val="001C5D5B"/>
    <w:rsid w:val="001C5FEF"/>
    <w:rsid w:val="001C60DA"/>
    <w:rsid w:val="001C614B"/>
    <w:rsid w:val="001C6B44"/>
    <w:rsid w:val="001C6F93"/>
    <w:rsid w:val="001C720C"/>
    <w:rsid w:val="001C7424"/>
    <w:rsid w:val="001C75E2"/>
    <w:rsid w:val="001C7BF0"/>
    <w:rsid w:val="001D0827"/>
    <w:rsid w:val="001D0E1E"/>
    <w:rsid w:val="001D1ADA"/>
    <w:rsid w:val="001D205D"/>
    <w:rsid w:val="001D206F"/>
    <w:rsid w:val="001D280F"/>
    <w:rsid w:val="001D2922"/>
    <w:rsid w:val="001D2A6F"/>
    <w:rsid w:val="001D2E1B"/>
    <w:rsid w:val="001D2EDC"/>
    <w:rsid w:val="001D30B1"/>
    <w:rsid w:val="001D33C7"/>
    <w:rsid w:val="001D355D"/>
    <w:rsid w:val="001D3E80"/>
    <w:rsid w:val="001D3F34"/>
    <w:rsid w:val="001D41E9"/>
    <w:rsid w:val="001D41ED"/>
    <w:rsid w:val="001D45E8"/>
    <w:rsid w:val="001D4C97"/>
    <w:rsid w:val="001D4E58"/>
    <w:rsid w:val="001D53DE"/>
    <w:rsid w:val="001D5631"/>
    <w:rsid w:val="001D57C5"/>
    <w:rsid w:val="001D5EF8"/>
    <w:rsid w:val="001D6207"/>
    <w:rsid w:val="001D68A1"/>
    <w:rsid w:val="001D68B3"/>
    <w:rsid w:val="001D6DB8"/>
    <w:rsid w:val="001D73E8"/>
    <w:rsid w:val="001D7636"/>
    <w:rsid w:val="001D7976"/>
    <w:rsid w:val="001E030D"/>
    <w:rsid w:val="001E0332"/>
    <w:rsid w:val="001E0A63"/>
    <w:rsid w:val="001E10E3"/>
    <w:rsid w:val="001E17BE"/>
    <w:rsid w:val="001E1C3C"/>
    <w:rsid w:val="001E27A6"/>
    <w:rsid w:val="001E403B"/>
    <w:rsid w:val="001E531E"/>
    <w:rsid w:val="001E54E5"/>
    <w:rsid w:val="001E5CE8"/>
    <w:rsid w:val="001E634A"/>
    <w:rsid w:val="001E668F"/>
    <w:rsid w:val="001E6ACB"/>
    <w:rsid w:val="001E7682"/>
    <w:rsid w:val="001F03F6"/>
    <w:rsid w:val="001F1232"/>
    <w:rsid w:val="001F1CAF"/>
    <w:rsid w:val="001F1FA5"/>
    <w:rsid w:val="001F2279"/>
    <w:rsid w:val="001F23A2"/>
    <w:rsid w:val="001F28A7"/>
    <w:rsid w:val="001F2C75"/>
    <w:rsid w:val="001F390A"/>
    <w:rsid w:val="001F3B65"/>
    <w:rsid w:val="001F3F1E"/>
    <w:rsid w:val="001F4233"/>
    <w:rsid w:val="001F4309"/>
    <w:rsid w:val="001F5B8A"/>
    <w:rsid w:val="001F5F09"/>
    <w:rsid w:val="001F7003"/>
    <w:rsid w:val="001F7833"/>
    <w:rsid w:val="00200149"/>
    <w:rsid w:val="0020090D"/>
    <w:rsid w:val="00200913"/>
    <w:rsid w:val="002018F2"/>
    <w:rsid w:val="00201A16"/>
    <w:rsid w:val="002025F5"/>
    <w:rsid w:val="00202A9D"/>
    <w:rsid w:val="00202EF8"/>
    <w:rsid w:val="00203E35"/>
    <w:rsid w:val="002043FB"/>
    <w:rsid w:val="00205B23"/>
    <w:rsid w:val="00206054"/>
    <w:rsid w:val="0020639C"/>
    <w:rsid w:val="002065C1"/>
    <w:rsid w:val="00207013"/>
    <w:rsid w:val="00207AC9"/>
    <w:rsid w:val="00207B41"/>
    <w:rsid w:val="00207B79"/>
    <w:rsid w:val="00207E11"/>
    <w:rsid w:val="002119FB"/>
    <w:rsid w:val="00211A06"/>
    <w:rsid w:val="00211E9E"/>
    <w:rsid w:val="00212326"/>
    <w:rsid w:val="002132F8"/>
    <w:rsid w:val="00213B43"/>
    <w:rsid w:val="002145B2"/>
    <w:rsid w:val="0021482F"/>
    <w:rsid w:val="00214C12"/>
    <w:rsid w:val="00214E32"/>
    <w:rsid w:val="002165BF"/>
    <w:rsid w:val="00216DE1"/>
    <w:rsid w:val="0021720B"/>
    <w:rsid w:val="002172FC"/>
    <w:rsid w:val="002175BE"/>
    <w:rsid w:val="002179DD"/>
    <w:rsid w:val="0022052D"/>
    <w:rsid w:val="00220DD0"/>
    <w:rsid w:val="002212E7"/>
    <w:rsid w:val="00221979"/>
    <w:rsid w:val="00221AF3"/>
    <w:rsid w:val="00221D83"/>
    <w:rsid w:val="00221E46"/>
    <w:rsid w:val="002220A9"/>
    <w:rsid w:val="00222110"/>
    <w:rsid w:val="00222331"/>
    <w:rsid w:val="00223F37"/>
    <w:rsid w:val="002241FB"/>
    <w:rsid w:val="00224F51"/>
    <w:rsid w:val="002252BD"/>
    <w:rsid w:val="0022547D"/>
    <w:rsid w:val="002254E7"/>
    <w:rsid w:val="0022563C"/>
    <w:rsid w:val="0022571B"/>
    <w:rsid w:val="00225D0F"/>
    <w:rsid w:val="00225E7E"/>
    <w:rsid w:val="002262F2"/>
    <w:rsid w:val="002265CC"/>
    <w:rsid w:val="00226FF8"/>
    <w:rsid w:val="00227272"/>
    <w:rsid w:val="00227355"/>
    <w:rsid w:val="0022791B"/>
    <w:rsid w:val="002303CA"/>
    <w:rsid w:val="00230489"/>
    <w:rsid w:val="002306E8"/>
    <w:rsid w:val="00230F70"/>
    <w:rsid w:val="00230FAD"/>
    <w:rsid w:val="00231000"/>
    <w:rsid w:val="002318CF"/>
    <w:rsid w:val="00231F5A"/>
    <w:rsid w:val="00233445"/>
    <w:rsid w:val="00233459"/>
    <w:rsid w:val="00233D93"/>
    <w:rsid w:val="00234188"/>
    <w:rsid w:val="0023471F"/>
    <w:rsid w:val="00234833"/>
    <w:rsid w:val="00234BFC"/>
    <w:rsid w:val="00235546"/>
    <w:rsid w:val="002364B6"/>
    <w:rsid w:val="00236ECE"/>
    <w:rsid w:val="0023766A"/>
    <w:rsid w:val="00237F7F"/>
    <w:rsid w:val="00240110"/>
    <w:rsid w:val="00240DBC"/>
    <w:rsid w:val="00240DBF"/>
    <w:rsid w:val="00240F57"/>
    <w:rsid w:val="002410BA"/>
    <w:rsid w:val="00241A80"/>
    <w:rsid w:val="00241E4D"/>
    <w:rsid w:val="0024284F"/>
    <w:rsid w:val="002438AF"/>
    <w:rsid w:val="0024391F"/>
    <w:rsid w:val="00243994"/>
    <w:rsid w:val="00243CDA"/>
    <w:rsid w:val="002443EB"/>
    <w:rsid w:val="00244676"/>
    <w:rsid w:val="00245084"/>
    <w:rsid w:val="002450FC"/>
    <w:rsid w:val="0024555D"/>
    <w:rsid w:val="0024631E"/>
    <w:rsid w:val="002470CD"/>
    <w:rsid w:val="00247781"/>
    <w:rsid w:val="002501B8"/>
    <w:rsid w:val="00250BE2"/>
    <w:rsid w:val="00250E14"/>
    <w:rsid w:val="00250F38"/>
    <w:rsid w:val="00251000"/>
    <w:rsid w:val="00251656"/>
    <w:rsid w:val="00251A76"/>
    <w:rsid w:val="00251B61"/>
    <w:rsid w:val="00251CA2"/>
    <w:rsid w:val="00252426"/>
    <w:rsid w:val="00252A7D"/>
    <w:rsid w:val="00252B6B"/>
    <w:rsid w:val="00253007"/>
    <w:rsid w:val="00253E04"/>
    <w:rsid w:val="00253ECF"/>
    <w:rsid w:val="0025428D"/>
    <w:rsid w:val="00254639"/>
    <w:rsid w:val="002546CB"/>
    <w:rsid w:val="00254754"/>
    <w:rsid w:val="00254FD3"/>
    <w:rsid w:val="002564FD"/>
    <w:rsid w:val="002569BC"/>
    <w:rsid w:val="0025739D"/>
    <w:rsid w:val="00257B80"/>
    <w:rsid w:val="00257EED"/>
    <w:rsid w:val="002600E8"/>
    <w:rsid w:val="002615B2"/>
    <w:rsid w:val="0026393D"/>
    <w:rsid w:val="002641E4"/>
    <w:rsid w:val="0026429D"/>
    <w:rsid w:val="00264DDD"/>
    <w:rsid w:val="00265960"/>
    <w:rsid w:val="00266945"/>
    <w:rsid w:val="00266C44"/>
    <w:rsid w:val="00266D6B"/>
    <w:rsid w:val="00266E34"/>
    <w:rsid w:val="00266E42"/>
    <w:rsid w:val="00267237"/>
    <w:rsid w:val="0026784E"/>
    <w:rsid w:val="00270317"/>
    <w:rsid w:val="00270518"/>
    <w:rsid w:val="00270DCD"/>
    <w:rsid w:val="002710C7"/>
    <w:rsid w:val="00271180"/>
    <w:rsid w:val="00271696"/>
    <w:rsid w:val="00271DF1"/>
    <w:rsid w:val="00271F45"/>
    <w:rsid w:val="00272889"/>
    <w:rsid w:val="00274454"/>
    <w:rsid w:val="00274B18"/>
    <w:rsid w:val="00274C90"/>
    <w:rsid w:val="00274F98"/>
    <w:rsid w:val="00275136"/>
    <w:rsid w:val="00275458"/>
    <w:rsid w:val="00275695"/>
    <w:rsid w:val="00275A66"/>
    <w:rsid w:val="00275D51"/>
    <w:rsid w:val="0027604D"/>
    <w:rsid w:val="002767F5"/>
    <w:rsid w:val="00276A9E"/>
    <w:rsid w:val="00276C8A"/>
    <w:rsid w:val="0027716C"/>
    <w:rsid w:val="0028089B"/>
    <w:rsid w:val="00280E25"/>
    <w:rsid w:val="00280FA5"/>
    <w:rsid w:val="0028105D"/>
    <w:rsid w:val="00281386"/>
    <w:rsid w:val="00281747"/>
    <w:rsid w:val="00281962"/>
    <w:rsid w:val="00281C56"/>
    <w:rsid w:val="00281DC1"/>
    <w:rsid w:val="00281E0B"/>
    <w:rsid w:val="002822F0"/>
    <w:rsid w:val="00282377"/>
    <w:rsid w:val="002824AA"/>
    <w:rsid w:val="002825CB"/>
    <w:rsid w:val="0028262A"/>
    <w:rsid w:val="0028292C"/>
    <w:rsid w:val="00282B0B"/>
    <w:rsid w:val="00282FF9"/>
    <w:rsid w:val="00283685"/>
    <w:rsid w:val="002836DD"/>
    <w:rsid w:val="0028429E"/>
    <w:rsid w:val="002842A1"/>
    <w:rsid w:val="00286B22"/>
    <w:rsid w:val="00287667"/>
    <w:rsid w:val="00287FBD"/>
    <w:rsid w:val="00290704"/>
    <w:rsid w:val="002909CF"/>
    <w:rsid w:val="002909D7"/>
    <w:rsid w:val="002913A4"/>
    <w:rsid w:val="0029164B"/>
    <w:rsid w:val="0029281E"/>
    <w:rsid w:val="00292BA3"/>
    <w:rsid w:val="00293B29"/>
    <w:rsid w:val="002947E5"/>
    <w:rsid w:val="002953AF"/>
    <w:rsid w:val="00296429"/>
    <w:rsid w:val="00296699"/>
    <w:rsid w:val="00296EFE"/>
    <w:rsid w:val="00297026"/>
    <w:rsid w:val="0029759D"/>
    <w:rsid w:val="00297803"/>
    <w:rsid w:val="00297A4D"/>
    <w:rsid w:val="002A0031"/>
    <w:rsid w:val="002A0524"/>
    <w:rsid w:val="002A11A1"/>
    <w:rsid w:val="002A175E"/>
    <w:rsid w:val="002A1C7F"/>
    <w:rsid w:val="002A2851"/>
    <w:rsid w:val="002A34D7"/>
    <w:rsid w:val="002A3B12"/>
    <w:rsid w:val="002A3BF2"/>
    <w:rsid w:val="002A3DCF"/>
    <w:rsid w:val="002A3EE1"/>
    <w:rsid w:val="002A409E"/>
    <w:rsid w:val="002A511F"/>
    <w:rsid w:val="002A55C3"/>
    <w:rsid w:val="002A56FE"/>
    <w:rsid w:val="002A6CBA"/>
    <w:rsid w:val="002A6FBB"/>
    <w:rsid w:val="002A78C5"/>
    <w:rsid w:val="002B02A4"/>
    <w:rsid w:val="002B05BB"/>
    <w:rsid w:val="002B0A0D"/>
    <w:rsid w:val="002B0B43"/>
    <w:rsid w:val="002B158D"/>
    <w:rsid w:val="002B2051"/>
    <w:rsid w:val="002B3548"/>
    <w:rsid w:val="002B372B"/>
    <w:rsid w:val="002B3EDC"/>
    <w:rsid w:val="002B41C9"/>
    <w:rsid w:val="002B49D7"/>
    <w:rsid w:val="002B4AEE"/>
    <w:rsid w:val="002B5CC5"/>
    <w:rsid w:val="002B6400"/>
    <w:rsid w:val="002B73E0"/>
    <w:rsid w:val="002B74B0"/>
    <w:rsid w:val="002B7F09"/>
    <w:rsid w:val="002C05AD"/>
    <w:rsid w:val="002C091F"/>
    <w:rsid w:val="002C095C"/>
    <w:rsid w:val="002C0A5C"/>
    <w:rsid w:val="002C0C35"/>
    <w:rsid w:val="002C2CC0"/>
    <w:rsid w:val="002C3740"/>
    <w:rsid w:val="002C3CD9"/>
    <w:rsid w:val="002C4043"/>
    <w:rsid w:val="002C438F"/>
    <w:rsid w:val="002C455A"/>
    <w:rsid w:val="002C488C"/>
    <w:rsid w:val="002C49C0"/>
    <w:rsid w:val="002C4BD9"/>
    <w:rsid w:val="002C4CD7"/>
    <w:rsid w:val="002C5A8E"/>
    <w:rsid w:val="002C5D56"/>
    <w:rsid w:val="002C742F"/>
    <w:rsid w:val="002D0007"/>
    <w:rsid w:val="002D0383"/>
    <w:rsid w:val="002D0439"/>
    <w:rsid w:val="002D07BF"/>
    <w:rsid w:val="002D0879"/>
    <w:rsid w:val="002D0B1C"/>
    <w:rsid w:val="002D152A"/>
    <w:rsid w:val="002D162C"/>
    <w:rsid w:val="002D27E3"/>
    <w:rsid w:val="002D2D78"/>
    <w:rsid w:val="002D368D"/>
    <w:rsid w:val="002D3A9E"/>
    <w:rsid w:val="002D3F90"/>
    <w:rsid w:val="002D41A4"/>
    <w:rsid w:val="002D47B4"/>
    <w:rsid w:val="002D47F9"/>
    <w:rsid w:val="002D4BAD"/>
    <w:rsid w:val="002D4E28"/>
    <w:rsid w:val="002D4EB4"/>
    <w:rsid w:val="002D52E8"/>
    <w:rsid w:val="002D68A4"/>
    <w:rsid w:val="002D6C74"/>
    <w:rsid w:val="002D6F25"/>
    <w:rsid w:val="002D790B"/>
    <w:rsid w:val="002E0E7F"/>
    <w:rsid w:val="002E1562"/>
    <w:rsid w:val="002E1641"/>
    <w:rsid w:val="002E1937"/>
    <w:rsid w:val="002E204D"/>
    <w:rsid w:val="002E30D3"/>
    <w:rsid w:val="002E320B"/>
    <w:rsid w:val="002E3728"/>
    <w:rsid w:val="002E3A9E"/>
    <w:rsid w:val="002E3CD4"/>
    <w:rsid w:val="002E3DA3"/>
    <w:rsid w:val="002E3FEE"/>
    <w:rsid w:val="002E42DC"/>
    <w:rsid w:val="002E50C3"/>
    <w:rsid w:val="002E5941"/>
    <w:rsid w:val="002E5A09"/>
    <w:rsid w:val="002E62CC"/>
    <w:rsid w:val="002E74DC"/>
    <w:rsid w:val="002E7AC4"/>
    <w:rsid w:val="002E7E3A"/>
    <w:rsid w:val="002F0037"/>
    <w:rsid w:val="002F0551"/>
    <w:rsid w:val="002F0599"/>
    <w:rsid w:val="002F065B"/>
    <w:rsid w:val="002F0BE7"/>
    <w:rsid w:val="002F1AC8"/>
    <w:rsid w:val="002F21FD"/>
    <w:rsid w:val="002F24EF"/>
    <w:rsid w:val="002F2A18"/>
    <w:rsid w:val="002F3135"/>
    <w:rsid w:val="002F3293"/>
    <w:rsid w:val="002F3963"/>
    <w:rsid w:val="002F3A74"/>
    <w:rsid w:val="002F3AE5"/>
    <w:rsid w:val="002F3D02"/>
    <w:rsid w:val="002F5082"/>
    <w:rsid w:val="002F513B"/>
    <w:rsid w:val="002F55ED"/>
    <w:rsid w:val="002F5791"/>
    <w:rsid w:val="002F5D85"/>
    <w:rsid w:val="002F614B"/>
    <w:rsid w:val="002F642E"/>
    <w:rsid w:val="002F6724"/>
    <w:rsid w:val="002F7E68"/>
    <w:rsid w:val="003005D3"/>
    <w:rsid w:val="00300A4D"/>
    <w:rsid w:val="00300AF6"/>
    <w:rsid w:val="0030129A"/>
    <w:rsid w:val="00301EF0"/>
    <w:rsid w:val="00303072"/>
    <w:rsid w:val="003030BF"/>
    <w:rsid w:val="00303196"/>
    <w:rsid w:val="003033F5"/>
    <w:rsid w:val="003036FC"/>
    <w:rsid w:val="0030412F"/>
    <w:rsid w:val="003043F3"/>
    <w:rsid w:val="0030487C"/>
    <w:rsid w:val="00306336"/>
    <w:rsid w:val="00306F7C"/>
    <w:rsid w:val="0030729E"/>
    <w:rsid w:val="00307427"/>
    <w:rsid w:val="0031081A"/>
    <w:rsid w:val="00311351"/>
    <w:rsid w:val="00311652"/>
    <w:rsid w:val="00311929"/>
    <w:rsid w:val="00311FA3"/>
    <w:rsid w:val="0031210D"/>
    <w:rsid w:val="003122D3"/>
    <w:rsid w:val="003125D9"/>
    <w:rsid w:val="0031339E"/>
    <w:rsid w:val="00313DB2"/>
    <w:rsid w:val="0031454D"/>
    <w:rsid w:val="00314752"/>
    <w:rsid w:val="00314BF4"/>
    <w:rsid w:val="00315696"/>
    <w:rsid w:val="00315829"/>
    <w:rsid w:val="00315E74"/>
    <w:rsid w:val="00316AA9"/>
    <w:rsid w:val="00316C5B"/>
    <w:rsid w:val="00317B49"/>
    <w:rsid w:val="00317B78"/>
    <w:rsid w:val="00317D99"/>
    <w:rsid w:val="00320435"/>
    <w:rsid w:val="00320448"/>
    <w:rsid w:val="003211B2"/>
    <w:rsid w:val="003214E0"/>
    <w:rsid w:val="00321602"/>
    <w:rsid w:val="00321F33"/>
    <w:rsid w:val="00322CC5"/>
    <w:rsid w:val="00322D18"/>
    <w:rsid w:val="00322E41"/>
    <w:rsid w:val="00322FE3"/>
    <w:rsid w:val="00323F0C"/>
    <w:rsid w:val="003254F7"/>
    <w:rsid w:val="00325822"/>
    <w:rsid w:val="00325AF4"/>
    <w:rsid w:val="00325B5E"/>
    <w:rsid w:val="00325C1F"/>
    <w:rsid w:val="00325FF6"/>
    <w:rsid w:val="00326359"/>
    <w:rsid w:val="00326447"/>
    <w:rsid w:val="00326494"/>
    <w:rsid w:val="003265FD"/>
    <w:rsid w:val="00326782"/>
    <w:rsid w:val="00326956"/>
    <w:rsid w:val="00326D5D"/>
    <w:rsid w:val="00326EED"/>
    <w:rsid w:val="0032716E"/>
    <w:rsid w:val="00327319"/>
    <w:rsid w:val="0032792C"/>
    <w:rsid w:val="00330181"/>
    <w:rsid w:val="0033041E"/>
    <w:rsid w:val="00330DF5"/>
    <w:rsid w:val="003314C8"/>
    <w:rsid w:val="00331804"/>
    <w:rsid w:val="00331A4C"/>
    <w:rsid w:val="00331BDC"/>
    <w:rsid w:val="00332568"/>
    <w:rsid w:val="00332ACB"/>
    <w:rsid w:val="00332B94"/>
    <w:rsid w:val="0033347D"/>
    <w:rsid w:val="00333A64"/>
    <w:rsid w:val="00333ABC"/>
    <w:rsid w:val="00335328"/>
    <w:rsid w:val="00335A2D"/>
    <w:rsid w:val="00335F15"/>
    <w:rsid w:val="0033600E"/>
    <w:rsid w:val="0033644D"/>
    <w:rsid w:val="00336BA2"/>
    <w:rsid w:val="00336D61"/>
    <w:rsid w:val="00337AE9"/>
    <w:rsid w:val="00337E05"/>
    <w:rsid w:val="00340D26"/>
    <w:rsid w:val="003415E6"/>
    <w:rsid w:val="00342DF5"/>
    <w:rsid w:val="00343A19"/>
    <w:rsid w:val="00346317"/>
    <w:rsid w:val="003468B8"/>
    <w:rsid w:val="00347B28"/>
    <w:rsid w:val="00350105"/>
    <w:rsid w:val="00350129"/>
    <w:rsid w:val="00350359"/>
    <w:rsid w:val="003504B7"/>
    <w:rsid w:val="00350BF1"/>
    <w:rsid w:val="00350C15"/>
    <w:rsid w:val="00350F00"/>
    <w:rsid w:val="0035119F"/>
    <w:rsid w:val="00351324"/>
    <w:rsid w:val="003517C5"/>
    <w:rsid w:val="00351A01"/>
    <w:rsid w:val="00351A0B"/>
    <w:rsid w:val="00352909"/>
    <w:rsid w:val="00353225"/>
    <w:rsid w:val="00353623"/>
    <w:rsid w:val="00353786"/>
    <w:rsid w:val="00353815"/>
    <w:rsid w:val="00353AB6"/>
    <w:rsid w:val="0035437A"/>
    <w:rsid w:val="00354471"/>
    <w:rsid w:val="003564AE"/>
    <w:rsid w:val="00356AAC"/>
    <w:rsid w:val="00356F27"/>
    <w:rsid w:val="00356FEE"/>
    <w:rsid w:val="003570B0"/>
    <w:rsid w:val="003570F2"/>
    <w:rsid w:val="00357C7D"/>
    <w:rsid w:val="003603CE"/>
    <w:rsid w:val="00360E04"/>
    <w:rsid w:val="00361178"/>
    <w:rsid w:val="003612AF"/>
    <w:rsid w:val="0036180D"/>
    <w:rsid w:val="00361A5C"/>
    <w:rsid w:val="00362C38"/>
    <w:rsid w:val="003637D2"/>
    <w:rsid w:val="0036385F"/>
    <w:rsid w:val="00363ECA"/>
    <w:rsid w:val="00364147"/>
    <w:rsid w:val="003644A2"/>
    <w:rsid w:val="00364C3D"/>
    <w:rsid w:val="0036532B"/>
    <w:rsid w:val="0036553D"/>
    <w:rsid w:val="003658F1"/>
    <w:rsid w:val="00366914"/>
    <w:rsid w:val="003672D3"/>
    <w:rsid w:val="003678E0"/>
    <w:rsid w:val="003678F9"/>
    <w:rsid w:val="003679EF"/>
    <w:rsid w:val="00367F21"/>
    <w:rsid w:val="00370232"/>
    <w:rsid w:val="00370756"/>
    <w:rsid w:val="00370B1B"/>
    <w:rsid w:val="00370B3B"/>
    <w:rsid w:val="003710E1"/>
    <w:rsid w:val="00371837"/>
    <w:rsid w:val="003721A1"/>
    <w:rsid w:val="00372877"/>
    <w:rsid w:val="0037289A"/>
    <w:rsid w:val="003728CC"/>
    <w:rsid w:val="00372BBE"/>
    <w:rsid w:val="00372D2B"/>
    <w:rsid w:val="00372FD9"/>
    <w:rsid w:val="003732A5"/>
    <w:rsid w:val="00373598"/>
    <w:rsid w:val="003738D7"/>
    <w:rsid w:val="00373D1A"/>
    <w:rsid w:val="00373EAE"/>
    <w:rsid w:val="00374071"/>
    <w:rsid w:val="00374299"/>
    <w:rsid w:val="003743F7"/>
    <w:rsid w:val="003746D2"/>
    <w:rsid w:val="00374863"/>
    <w:rsid w:val="00375067"/>
    <w:rsid w:val="0037519A"/>
    <w:rsid w:val="0037537E"/>
    <w:rsid w:val="003754B0"/>
    <w:rsid w:val="00375DA2"/>
    <w:rsid w:val="003761CF"/>
    <w:rsid w:val="00376BA0"/>
    <w:rsid w:val="0037735A"/>
    <w:rsid w:val="00380301"/>
    <w:rsid w:val="0038040B"/>
    <w:rsid w:val="00381716"/>
    <w:rsid w:val="0038174F"/>
    <w:rsid w:val="00381AE5"/>
    <w:rsid w:val="00381C60"/>
    <w:rsid w:val="00381E11"/>
    <w:rsid w:val="003824E1"/>
    <w:rsid w:val="00382752"/>
    <w:rsid w:val="00382A2F"/>
    <w:rsid w:val="00383DB3"/>
    <w:rsid w:val="003849F6"/>
    <w:rsid w:val="00384B96"/>
    <w:rsid w:val="00384C0C"/>
    <w:rsid w:val="003857F2"/>
    <w:rsid w:val="003862D1"/>
    <w:rsid w:val="00386E42"/>
    <w:rsid w:val="003872CA"/>
    <w:rsid w:val="00387865"/>
    <w:rsid w:val="003900DC"/>
    <w:rsid w:val="003901E6"/>
    <w:rsid w:val="00390228"/>
    <w:rsid w:val="00390659"/>
    <w:rsid w:val="003909F6"/>
    <w:rsid w:val="00390D7B"/>
    <w:rsid w:val="00390F6F"/>
    <w:rsid w:val="003915E3"/>
    <w:rsid w:val="00392030"/>
    <w:rsid w:val="0039229C"/>
    <w:rsid w:val="0039280E"/>
    <w:rsid w:val="00392AA9"/>
    <w:rsid w:val="00392AE0"/>
    <w:rsid w:val="00392BA7"/>
    <w:rsid w:val="0039308A"/>
    <w:rsid w:val="00393494"/>
    <w:rsid w:val="00393C9D"/>
    <w:rsid w:val="00393D95"/>
    <w:rsid w:val="003942AE"/>
    <w:rsid w:val="00394A81"/>
    <w:rsid w:val="0039505E"/>
    <w:rsid w:val="00395CDF"/>
    <w:rsid w:val="0039642A"/>
    <w:rsid w:val="003964AA"/>
    <w:rsid w:val="00396C79"/>
    <w:rsid w:val="00396F24"/>
    <w:rsid w:val="00397624"/>
    <w:rsid w:val="00397E7E"/>
    <w:rsid w:val="003A00C9"/>
    <w:rsid w:val="003A057C"/>
    <w:rsid w:val="003A0797"/>
    <w:rsid w:val="003A1685"/>
    <w:rsid w:val="003A1749"/>
    <w:rsid w:val="003A19AE"/>
    <w:rsid w:val="003A23F3"/>
    <w:rsid w:val="003A2E45"/>
    <w:rsid w:val="003A333E"/>
    <w:rsid w:val="003A3507"/>
    <w:rsid w:val="003A36B4"/>
    <w:rsid w:val="003A36C2"/>
    <w:rsid w:val="003A3762"/>
    <w:rsid w:val="003A3F0F"/>
    <w:rsid w:val="003A4358"/>
    <w:rsid w:val="003A4D36"/>
    <w:rsid w:val="003A5074"/>
    <w:rsid w:val="003A55FB"/>
    <w:rsid w:val="003A5717"/>
    <w:rsid w:val="003A5CD2"/>
    <w:rsid w:val="003A6720"/>
    <w:rsid w:val="003A6E9B"/>
    <w:rsid w:val="003A6F25"/>
    <w:rsid w:val="003A713F"/>
    <w:rsid w:val="003A752F"/>
    <w:rsid w:val="003A7A34"/>
    <w:rsid w:val="003A7FF6"/>
    <w:rsid w:val="003B0C0A"/>
    <w:rsid w:val="003B0C59"/>
    <w:rsid w:val="003B0D32"/>
    <w:rsid w:val="003B1BB3"/>
    <w:rsid w:val="003B1F6D"/>
    <w:rsid w:val="003B2521"/>
    <w:rsid w:val="003B2E80"/>
    <w:rsid w:val="003B2F33"/>
    <w:rsid w:val="003B3DE1"/>
    <w:rsid w:val="003B40D2"/>
    <w:rsid w:val="003B4842"/>
    <w:rsid w:val="003B491C"/>
    <w:rsid w:val="003B4DFC"/>
    <w:rsid w:val="003B511A"/>
    <w:rsid w:val="003B51B3"/>
    <w:rsid w:val="003B53A6"/>
    <w:rsid w:val="003B5856"/>
    <w:rsid w:val="003B618A"/>
    <w:rsid w:val="003B6579"/>
    <w:rsid w:val="003B680C"/>
    <w:rsid w:val="003B6C0C"/>
    <w:rsid w:val="003B7AB8"/>
    <w:rsid w:val="003C0522"/>
    <w:rsid w:val="003C087A"/>
    <w:rsid w:val="003C0CB2"/>
    <w:rsid w:val="003C1623"/>
    <w:rsid w:val="003C19EE"/>
    <w:rsid w:val="003C1AC7"/>
    <w:rsid w:val="003C3032"/>
    <w:rsid w:val="003C3B26"/>
    <w:rsid w:val="003C4EA3"/>
    <w:rsid w:val="003C6C4B"/>
    <w:rsid w:val="003C7F7A"/>
    <w:rsid w:val="003D0B24"/>
    <w:rsid w:val="003D1EA0"/>
    <w:rsid w:val="003D2229"/>
    <w:rsid w:val="003D2440"/>
    <w:rsid w:val="003D253B"/>
    <w:rsid w:val="003D2ABF"/>
    <w:rsid w:val="003D3136"/>
    <w:rsid w:val="003D354E"/>
    <w:rsid w:val="003D3EC3"/>
    <w:rsid w:val="003D428A"/>
    <w:rsid w:val="003D4360"/>
    <w:rsid w:val="003D4A34"/>
    <w:rsid w:val="003D5D8B"/>
    <w:rsid w:val="003D5FBA"/>
    <w:rsid w:val="003D66AA"/>
    <w:rsid w:val="003D6BF3"/>
    <w:rsid w:val="003D6C0D"/>
    <w:rsid w:val="003D6C26"/>
    <w:rsid w:val="003D6C6D"/>
    <w:rsid w:val="003D76C1"/>
    <w:rsid w:val="003D7C00"/>
    <w:rsid w:val="003D7C63"/>
    <w:rsid w:val="003E14D6"/>
    <w:rsid w:val="003E2183"/>
    <w:rsid w:val="003E2496"/>
    <w:rsid w:val="003E27C2"/>
    <w:rsid w:val="003E3A4F"/>
    <w:rsid w:val="003E3F59"/>
    <w:rsid w:val="003E448F"/>
    <w:rsid w:val="003E4BF4"/>
    <w:rsid w:val="003E4CF0"/>
    <w:rsid w:val="003E53DC"/>
    <w:rsid w:val="003E541D"/>
    <w:rsid w:val="003E5508"/>
    <w:rsid w:val="003E579E"/>
    <w:rsid w:val="003E6090"/>
    <w:rsid w:val="003E6682"/>
    <w:rsid w:val="003E66AC"/>
    <w:rsid w:val="003E674D"/>
    <w:rsid w:val="003E7334"/>
    <w:rsid w:val="003E7920"/>
    <w:rsid w:val="003E7DA5"/>
    <w:rsid w:val="003F0B45"/>
    <w:rsid w:val="003F146F"/>
    <w:rsid w:val="003F1975"/>
    <w:rsid w:val="003F1BF5"/>
    <w:rsid w:val="003F2232"/>
    <w:rsid w:val="003F2E46"/>
    <w:rsid w:val="003F4738"/>
    <w:rsid w:val="003F5537"/>
    <w:rsid w:val="003F5919"/>
    <w:rsid w:val="003F5F53"/>
    <w:rsid w:val="003F6379"/>
    <w:rsid w:val="003F6EA2"/>
    <w:rsid w:val="003F704D"/>
    <w:rsid w:val="003F7A55"/>
    <w:rsid w:val="003F7C98"/>
    <w:rsid w:val="003F7E1C"/>
    <w:rsid w:val="004002B5"/>
    <w:rsid w:val="004007F5"/>
    <w:rsid w:val="004011C2"/>
    <w:rsid w:val="00401CAC"/>
    <w:rsid w:val="00401EE3"/>
    <w:rsid w:val="004029E2"/>
    <w:rsid w:val="004030AF"/>
    <w:rsid w:val="0040350F"/>
    <w:rsid w:val="00403ED3"/>
    <w:rsid w:val="00404217"/>
    <w:rsid w:val="004046BF"/>
    <w:rsid w:val="00404C61"/>
    <w:rsid w:val="00404DBD"/>
    <w:rsid w:val="00404DFA"/>
    <w:rsid w:val="00405215"/>
    <w:rsid w:val="00405249"/>
    <w:rsid w:val="0040679F"/>
    <w:rsid w:val="00406CD5"/>
    <w:rsid w:val="00407555"/>
    <w:rsid w:val="00407BEF"/>
    <w:rsid w:val="00410847"/>
    <w:rsid w:val="00410ED2"/>
    <w:rsid w:val="004112EA"/>
    <w:rsid w:val="004114D3"/>
    <w:rsid w:val="004119F1"/>
    <w:rsid w:val="004126E2"/>
    <w:rsid w:val="00412CC0"/>
    <w:rsid w:val="004136AD"/>
    <w:rsid w:val="004137EE"/>
    <w:rsid w:val="00413A70"/>
    <w:rsid w:val="00414A66"/>
    <w:rsid w:val="00414B83"/>
    <w:rsid w:val="004155AA"/>
    <w:rsid w:val="00415737"/>
    <w:rsid w:val="00415BC1"/>
    <w:rsid w:val="004160E0"/>
    <w:rsid w:val="004172AE"/>
    <w:rsid w:val="004175E2"/>
    <w:rsid w:val="00417AD4"/>
    <w:rsid w:val="00417F12"/>
    <w:rsid w:val="0042078C"/>
    <w:rsid w:val="0042133F"/>
    <w:rsid w:val="00422F37"/>
    <w:rsid w:val="004240F1"/>
    <w:rsid w:val="00424275"/>
    <w:rsid w:val="0042504C"/>
    <w:rsid w:val="00425326"/>
    <w:rsid w:val="00425935"/>
    <w:rsid w:val="00425CA2"/>
    <w:rsid w:val="00426097"/>
    <w:rsid w:val="00426114"/>
    <w:rsid w:val="0042630A"/>
    <w:rsid w:val="004268FF"/>
    <w:rsid w:val="004277A1"/>
    <w:rsid w:val="00430836"/>
    <w:rsid w:val="00430BF7"/>
    <w:rsid w:val="00430C58"/>
    <w:rsid w:val="0043120E"/>
    <w:rsid w:val="0043195C"/>
    <w:rsid w:val="00432172"/>
    <w:rsid w:val="00432B0D"/>
    <w:rsid w:val="00433265"/>
    <w:rsid w:val="00433B90"/>
    <w:rsid w:val="0043496C"/>
    <w:rsid w:val="00434BE6"/>
    <w:rsid w:val="00435C44"/>
    <w:rsid w:val="00435D1A"/>
    <w:rsid w:val="00435E94"/>
    <w:rsid w:val="004367FD"/>
    <w:rsid w:val="00436A82"/>
    <w:rsid w:val="004378EB"/>
    <w:rsid w:val="0044092E"/>
    <w:rsid w:val="0044159B"/>
    <w:rsid w:val="00441B7E"/>
    <w:rsid w:val="00441C00"/>
    <w:rsid w:val="004425B3"/>
    <w:rsid w:val="00442B43"/>
    <w:rsid w:val="00442B5B"/>
    <w:rsid w:val="00443861"/>
    <w:rsid w:val="0044390D"/>
    <w:rsid w:val="0044464D"/>
    <w:rsid w:val="0044491F"/>
    <w:rsid w:val="00444B0B"/>
    <w:rsid w:val="00444CD2"/>
    <w:rsid w:val="004451A8"/>
    <w:rsid w:val="004459FB"/>
    <w:rsid w:val="00445F7D"/>
    <w:rsid w:val="00446197"/>
    <w:rsid w:val="00447409"/>
    <w:rsid w:val="0044759F"/>
    <w:rsid w:val="0044778D"/>
    <w:rsid w:val="0045079B"/>
    <w:rsid w:val="00451672"/>
    <w:rsid w:val="00451CA4"/>
    <w:rsid w:val="004527B7"/>
    <w:rsid w:val="004527CD"/>
    <w:rsid w:val="004527DE"/>
    <w:rsid w:val="00453470"/>
    <w:rsid w:val="004539F0"/>
    <w:rsid w:val="004541C7"/>
    <w:rsid w:val="00454352"/>
    <w:rsid w:val="004548E5"/>
    <w:rsid w:val="004549EA"/>
    <w:rsid w:val="00454D93"/>
    <w:rsid w:val="004553FF"/>
    <w:rsid w:val="0045578F"/>
    <w:rsid w:val="004558BC"/>
    <w:rsid w:val="00455EBF"/>
    <w:rsid w:val="0045605E"/>
    <w:rsid w:val="00456502"/>
    <w:rsid w:val="00456633"/>
    <w:rsid w:val="00456DE9"/>
    <w:rsid w:val="00457251"/>
    <w:rsid w:val="004575A8"/>
    <w:rsid w:val="004600E9"/>
    <w:rsid w:val="00460269"/>
    <w:rsid w:val="004608B9"/>
    <w:rsid w:val="004615C7"/>
    <w:rsid w:val="00461B26"/>
    <w:rsid w:val="0046296D"/>
    <w:rsid w:val="00462AA7"/>
    <w:rsid w:val="00463081"/>
    <w:rsid w:val="00464023"/>
    <w:rsid w:val="004641E9"/>
    <w:rsid w:val="00464B92"/>
    <w:rsid w:val="00465546"/>
    <w:rsid w:val="0046554C"/>
    <w:rsid w:val="004662AD"/>
    <w:rsid w:val="004668C6"/>
    <w:rsid w:val="0046695F"/>
    <w:rsid w:val="004669D1"/>
    <w:rsid w:val="00467381"/>
    <w:rsid w:val="00467AAF"/>
    <w:rsid w:val="004704DC"/>
    <w:rsid w:val="00470A16"/>
    <w:rsid w:val="00470E88"/>
    <w:rsid w:val="00470F3D"/>
    <w:rsid w:val="004711E7"/>
    <w:rsid w:val="0047138B"/>
    <w:rsid w:val="0047200F"/>
    <w:rsid w:val="00472549"/>
    <w:rsid w:val="00473F2C"/>
    <w:rsid w:val="004746FD"/>
    <w:rsid w:val="00474AC1"/>
    <w:rsid w:val="00474F4C"/>
    <w:rsid w:val="00475484"/>
    <w:rsid w:val="00475896"/>
    <w:rsid w:val="00475A01"/>
    <w:rsid w:val="00475B7C"/>
    <w:rsid w:val="00476384"/>
    <w:rsid w:val="0047667C"/>
    <w:rsid w:val="004768A9"/>
    <w:rsid w:val="00476EA0"/>
    <w:rsid w:val="004774F8"/>
    <w:rsid w:val="00480791"/>
    <w:rsid w:val="00480AA1"/>
    <w:rsid w:val="00480B79"/>
    <w:rsid w:val="004812F5"/>
    <w:rsid w:val="00481932"/>
    <w:rsid w:val="00481CA3"/>
    <w:rsid w:val="0048215D"/>
    <w:rsid w:val="004828D7"/>
    <w:rsid w:val="00482AEA"/>
    <w:rsid w:val="00483525"/>
    <w:rsid w:val="004837A6"/>
    <w:rsid w:val="004839E8"/>
    <w:rsid w:val="00483EDE"/>
    <w:rsid w:val="00483F00"/>
    <w:rsid w:val="004840FF"/>
    <w:rsid w:val="004849EA"/>
    <w:rsid w:val="00484E7E"/>
    <w:rsid w:val="00485352"/>
    <w:rsid w:val="00485404"/>
    <w:rsid w:val="00485413"/>
    <w:rsid w:val="004855AD"/>
    <w:rsid w:val="00485687"/>
    <w:rsid w:val="00485857"/>
    <w:rsid w:val="00485FA4"/>
    <w:rsid w:val="0048751C"/>
    <w:rsid w:val="004902C9"/>
    <w:rsid w:val="00490464"/>
    <w:rsid w:val="0049079A"/>
    <w:rsid w:val="00490CDA"/>
    <w:rsid w:val="00490E4E"/>
    <w:rsid w:val="0049110A"/>
    <w:rsid w:val="00491485"/>
    <w:rsid w:val="004917DE"/>
    <w:rsid w:val="004920E7"/>
    <w:rsid w:val="004922AC"/>
    <w:rsid w:val="00492312"/>
    <w:rsid w:val="0049273D"/>
    <w:rsid w:val="00492B10"/>
    <w:rsid w:val="00492C75"/>
    <w:rsid w:val="00492E74"/>
    <w:rsid w:val="0049333C"/>
    <w:rsid w:val="0049333F"/>
    <w:rsid w:val="00493657"/>
    <w:rsid w:val="00493760"/>
    <w:rsid w:val="0049380F"/>
    <w:rsid w:val="004938E8"/>
    <w:rsid w:val="00493A05"/>
    <w:rsid w:val="00494657"/>
    <w:rsid w:val="004957A2"/>
    <w:rsid w:val="00496977"/>
    <w:rsid w:val="00497C71"/>
    <w:rsid w:val="00497D8D"/>
    <w:rsid w:val="004A016A"/>
    <w:rsid w:val="004A07FA"/>
    <w:rsid w:val="004A0925"/>
    <w:rsid w:val="004A0983"/>
    <w:rsid w:val="004A1259"/>
    <w:rsid w:val="004A149C"/>
    <w:rsid w:val="004A1685"/>
    <w:rsid w:val="004A1F0C"/>
    <w:rsid w:val="004A221D"/>
    <w:rsid w:val="004A2307"/>
    <w:rsid w:val="004A2330"/>
    <w:rsid w:val="004A2902"/>
    <w:rsid w:val="004A2999"/>
    <w:rsid w:val="004A2C7B"/>
    <w:rsid w:val="004A382E"/>
    <w:rsid w:val="004A38C5"/>
    <w:rsid w:val="004A3DAF"/>
    <w:rsid w:val="004A3FCE"/>
    <w:rsid w:val="004A42B7"/>
    <w:rsid w:val="004A45CE"/>
    <w:rsid w:val="004A4878"/>
    <w:rsid w:val="004A4B5D"/>
    <w:rsid w:val="004A5449"/>
    <w:rsid w:val="004A584A"/>
    <w:rsid w:val="004A59B0"/>
    <w:rsid w:val="004A5F2A"/>
    <w:rsid w:val="004A5FC4"/>
    <w:rsid w:val="004A6551"/>
    <w:rsid w:val="004A65BB"/>
    <w:rsid w:val="004A663E"/>
    <w:rsid w:val="004A7FE4"/>
    <w:rsid w:val="004B0284"/>
    <w:rsid w:val="004B0B2F"/>
    <w:rsid w:val="004B0D69"/>
    <w:rsid w:val="004B16D6"/>
    <w:rsid w:val="004B18E8"/>
    <w:rsid w:val="004B1CA5"/>
    <w:rsid w:val="004B219A"/>
    <w:rsid w:val="004B2442"/>
    <w:rsid w:val="004B2A7C"/>
    <w:rsid w:val="004B2CA0"/>
    <w:rsid w:val="004B304A"/>
    <w:rsid w:val="004B30CF"/>
    <w:rsid w:val="004B38F9"/>
    <w:rsid w:val="004B39FA"/>
    <w:rsid w:val="004B3B49"/>
    <w:rsid w:val="004B3E3E"/>
    <w:rsid w:val="004B41B7"/>
    <w:rsid w:val="004B4784"/>
    <w:rsid w:val="004B5087"/>
    <w:rsid w:val="004B55AE"/>
    <w:rsid w:val="004B5778"/>
    <w:rsid w:val="004B591F"/>
    <w:rsid w:val="004B5D4A"/>
    <w:rsid w:val="004B661A"/>
    <w:rsid w:val="004B6887"/>
    <w:rsid w:val="004B76FC"/>
    <w:rsid w:val="004B79E9"/>
    <w:rsid w:val="004B7B11"/>
    <w:rsid w:val="004C03A8"/>
    <w:rsid w:val="004C0C67"/>
    <w:rsid w:val="004C0EA8"/>
    <w:rsid w:val="004C1222"/>
    <w:rsid w:val="004C1B59"/>
    <w:rsid w:val="004C1B80"/>
    <w:rsid w:val="004C1EA5"/>
    <w:rsid w:val="004C26A2"/>
    <w:rsid w:val="004C2E61"/>
    <w:rsid w:val="004C30B5"/>
    <w:rsid w:val="004C34BD"/>
    <w:rsid w:val="004C358B"/>
    <w:rsid w:val="004C3AE9"/>
    <w:rsid w:val="004C3BE3"/>
    <w:rsid w:val="004C3C54"/>
    <w:rsid w:val="004C3DB6"/>
    <w:rsid w:val="004C440B"/>
    <w:rsid w:val="004C4D0D"/>
    <w:rsid w:val="004C4E01"/>
    <w:rsid w:val="004C51D4"/>
    <w:rsid w:val="004C5BF7"/>
    <w:rsid w:val="004C66B0"/>
    <w:rsid w:val="004C70DD"/>
    <w:rsid w:val="004C735F"/>
    <w:rsid w:val="004C79AD"/>
    <w:rsid w:val="004D0D49"/>
    <w:rsid w:val="004D1583"/>
    <w:rsid w:val="004D196B"/>
    <w:rsid w:val="004D1B7A"/>
    <w:rsid w:val="004D1C07"/>
    <w:rsid w:val="004D23A9"/>
    <w:rsid w:val="004D2764"/>
    <w:rsid w:val="004D2B65"/>
    <w:rsid w:val="004D301A"/>
    <w:rsid w:val="004D31C0"/>
    <w:rsid w:val="004D365B"/>
    <w:rsid w:val="004D3D31"/>
    <w:rsid w:val="004D42FD"/>
    <w:rsid w:val="004D438B"/>
    <w:rsid w:val="004D4B3C"/>
    <w:rsid w:val="004D4D5E"/>
    <w:rsid w:val="004D4EE8"/>
    <w:rsid w:val="004D5032"/>
    <w:rsid w:val="004D6CB8"/>
    <w:rsid w:val="004D70A3"/>
    <w:rsid w:val="004D737F"/>
    <w:rsid w:val="004D7DCF"/>
    <w:rsid w:val="004E00AE"/>
    <w:rsid w:val="004E01B9"/>
    <w:rsid w:val="004E1133"/>
    <w:rsid w:val="004E129F"/>
    <w:rsid w:val="004E17D9"/>
    <w:rsid w:val="004E18E3"/>
    <w:rsid w:val="004E1C52"/>
    <w:rsid w:val="004E1E26"/>
    <w:rsid w:val="004E2056"/>
    <w:rsid w:val="004E2A0D"/>
    <w:rsid w:val="004E2B68"/>
    <w:rsid w:val="004E2D07"/>
    <w:rsid w:val="004E2D19"/>
    <w:rsid w:val="004E3250"/>
    <w:rsid w:val="004E3483"/>
    <w:rsid w:val="004E3866"/>
    <w:rsid w:val="004E440A"/>
    <w:rsid w:val="004E4A3D"/>
    <w:rsid w:val="004E61BE"/>
    <w:rsid w:val="004E6778"/>
    <w:rsid w:val="004E7642"/>
    <w:rsid w:val="004E783F"/>
    <w:rsid w:val="004F00C2"/>
    <w:rsid w:val="004F0E24"/>
    <w:rsid w:val="004F0F9D"/>
    <w:rsid w:val="004F1344"/>
    <w:rsid w:val="004F1BAB"/>
    <w:rsid w:val="004F1D11"/>
    <w:rsid w:val="004F2315"/>
    <w:rsid w:val="004F241F"/>
    <w:rsid w:val="004F2867"/>
    <w:rsid w:val="004F2D20"/>
    <w:rsid w:val="004F2D58"/>
    <w:rsid w:val="004F2E16"/>
    <w:rsid w:val="004F419B"/>
    <w:rsid w:val="004F5BDB"/>
    <w:rsid w:val="004F5CF0"/>
    <w:rsid w:val="004F5FCE"/>
    <w:rsid w:val="004F6A88"/>
    <w:rsid w:val="004F6CFC"/>
    <w:rsid w:val="004F6D19"/>
    <w:rsid w:val="004F7A26"/>
    <w:rsid w:val="004F7CA0"/>
    <w:rsid w:val="004F7F5D"/>
    <w:rsid w:val="005008E2"/>
    <w:rsid w:val="00500A3F"/>
    <w:rsid w:val="00501C3B"/>
    <w:rsid w:val="005021ED"/>
    <w:rsid w:val="0050243E"/>
    <w:rsid w:val="00502824"/>
    <w:rsid w:val="00502F12"/>
    <w:rsid w:val="00503921"/>
    <w:rsid w:val="00503951"/>
    <w:rsid w:val="005044BD"/>
    <w:rsid w:val="00504719"/>
    <w:rsid w:val="00504761"/>
    <w:rsid w:val="00504C76"/>
    <w:rsid w:val="00504D11"/>
    <w:rsid w:val="00505211"/>
    <w:rsid w:val="00505430"/>
    <w:rsid w:val="0050594E"/>
    <w:rsid w:val="005059BD"/>
    <w:rsid w:val="00505BAA"/>
    <w:rsid w:val="00505E8F"/>
    <w:rsid w:val="00506989"/>
    <w:rsid w:val="005075C5"/>
    <w:rsid w:val="00507FEC"/>
    <w:rsid w:val="00510709"/>
    <w:rsid w:val="00511B3D"/>
    <w:rsid w:val="005121DF"/>
    <w:rsid w:val="005129EA"/>
    <w:rsid w:val="00512F0F"/>
    <w:rsid w:val="00512FF5"/>
    <w:rsid w:val="0051338A"/>
    <w:rsid w:val="00513395"/>
    <w:rsid w:val="0051390A"/>
    <w:rsid w:val="00513F42"/>
    <w:rsid w:val="0051417D"/>
    <w:rsid w:val="005146FE"/>
    <w:rsid w:val="00514A7A"/>
    <w:rsid w:val="00515619"/>
    <w:rsid w:val="005159AE"/>
    <w:rsid w:val="00515F93"/>
    <w:rsid w:val="005166A8"/>
    <w:rsid w:val="00516C04"/>
    <w:rsid w:val="00516CDB"/>
    <w:rsid w:val="00517105"/>
    <w:rsid w:val="005173BA"/>
    <w:rsid w:val="005179BA"/>
    <w:rsid w:val="00517AB7"/>
    <w:rsid w:val="0052043D"/>
    <w:rsid w:val="00520897"/>
    <w:rsid w:val="00520CFE"/>
    <w:rsid w:val="00520F4E"/>
    <w:rsid w:val="00520FD5"/>
    <w:rsid w:val="0052117D"/>
    <w:rsid w:val="0052196E"/>
    <w:rsid w:val="00522116"/>
    <w:rsid w:val="005227B5"/>
    <w:rsid w:val="005229E8"/>
    <w:rsid w:val="005236DD"/>
    <w:rsid w:val="00523871"/>
    <w:rsid w:val="00524944"/>
    <w:rsid w:val="00524E2F"/>
    <w:rsid w:val="00524EA6"/>
    <w:rsid w:val="00524F2A"/>
    <w:rsid w:val="005251E4"/>
    <w:rsid w:val="005259C5"/>
    <w:rsid w:val="00525E58"/>
    <w:rsid w:val="0052685B"/>
    <w:rsid w:val="005279A2"/>
    <w:rsid w:val="00527BB2"/>
    <w:rsid w:val="00530161"/>
    <w:rsid w:val="00530D2C"/>
    <w:rsid w:val="005311D3"/>
    <w:rsid w:val="0053121D"/>
    <w:rsid w:val="005325DB"/>
    <w:rsid w:val="005325F3"/>
    <w:rsid w:val="00532EFC"/>
    <w:rsid w:val="00533070"/>
    <w:rsid w:val="00533DA3"/>
    <w:rsid w:val="005348D1"/>
    <w:rsid w:val="00535EFC"/>
    <w:rsid w:val="00536099"/>
    <w:rsid w:val="00536435"/>
    <w:rsid w:val="00536546"/>
    <w:rsid w:val="00536745"/>
    <w:rsid w:val="005373B6"/>
    <w:rsid w:val="005374DF"/>
    <w:rsid w:val="00537752"/>
    <w:rsid w:val="00537C78"/>
    <w:rsid w:val="00537EE9"/>
    <w:rsid w:val="005406C5"/>
    <w:rsid w:val="00540B9F"/>
    <w:rsid w:val="00540E83"/>
    <w:rsid w:val="00541E42"/>
    <w:rsid w:val="0054230D"/>
    <w:rsid w:val="00542564"/>
    <w:rsid w:val="00542934"/>
    <w:rsid w:val="005429C1"/>
    <w:rsid w:val="00542D62"/>
    <w:rsid w:val="00543145"/>
    <w:rsid w:val="00543782"/>
    <w:rsid w:val="00543D60"/>
    <w:rsid w:val="005448BB"/>
    <w:rsid w:val="005462E2"/>
    <w:rsid w:val="00546362"/>
    <w:rsid w:val="0054637F"/>
    <w:rsid w:val="0054750C"/>
    <w:rsid w:val="005477F0"/>
    <w:rsid w:val="005500B8"/>
    <w:rsid w:val="005501B9"/>
    <w:rsid w:val="005514A7"/>
    <w:rsid w:val="00551A92"/>
    <w:rsid w:val="00551EE0"/>
    <w:rsid w:val="005520E8"/>
    <w:rsid w:val="0055526A"/>
    <w:rsid w:val="005555CB"/>
    <w:rsid w:val="0055592F"/>
    <w:rsid w:val="00555D3C"/>
    <w:rsid w:val="0055664D"/>
    <w:rsid w:val="00556BA0"/>
    <w:rsid w:val="00556C8E"/>
    <w:rsid w:val="00557322"/>
    <w:rsid w:val="00557349"/>
    <w:rsid w:val="00557748"/>
    <w:rsid w:val="00557BF9"/>
    <w:rsid w:val="00557D47"/>
    <w:rsid w:val="0056006A"/>
    <w:rsid w:val="00561238"/>
    <w:rsid w:val="00561B72"/>
    <w:rsid w:val="005627C3"/>
    <w:rsid w:val="00563414"/>
    <w:rsid w:val="00563462"/>
    <w:rsid w:val="0056377E"/>
    <w:rsid w:val="00563E8F"/>
    <w:rsid w:val="00564915"/>
    <w:rsid w:val="00564B7A"/>
    <w:rsid w:val="00564D72"/>
    <w:rsid w:val="00564DBA"/>
    <w:rsid w:val="00565326"/>
    <w:rsid w:val="00565403"/>
    <w:rsid w:val="0056584D"/>
    <w:rsid w:val="00565899"/>
    <w:rsid w:val="00565C73"/>
    <w:rsid w:val="00566CD7"/>
    <w:rsid w:val="00567297"/>
    <w:rsid w:val="005673D0"/>
    <w:rsid w:val="00567915"/>
    <w:rsid w:val="00567B7E"/>
    <w:rsid w:val="00567E32"/>
    <w:rsid w:val="00567F59"/>
    <w:rsid w:val="005707A5"/>
    <w:rsid w:val="00570869"/>
    <w:rsid w:val="00570DE4"/>
    <w:rsid w:val="00571C0A"/>
    <w:rsid w:val="0057238B"/>
    <w:rsid w:val="00572E5E"/>
    <w:rsid w:val="0057356F"/>
    <w:rsid w:val="00573930"/>
    <w:rsid w:val="00573C35"/>
    <w:rsid w:val="00573DCC"/>
    <w:rsid w:val="00574BC5"/>
    <w:rsid w:val="0057548C"/>
    <w:rsid w:val="005757CC"/>
    <w:rsid w:val="00575C48"/>
    <w:rsid w:val="00576982"/>
    <w:rsid w:val="00576B86"/>
    <w:rsid w:val="00576F75"/>
    <w:rsid w:val="005773B1"/>
    <w:rsid w:val="0057760D"/>
    <w:rsid w:val="00577FF6"/>
    <w:rsid w:val="00580A2B"/>
    <w:rsid w:val="005811CC"/>
    <w:rsid w:val="0058176B"/>
    <w:rsid w:val="005817F8"/>
    <w:rsid w:val="00581870"/>
    <w:rsid w:val="00581A85"/>
    <w:rsid w:val="00581AB8"/>
    <w:rsid w:val="00582262"/>
    <w:rsid w:val="00582668"/>
    <w:rsid w:val="005827CD"/>
    <w:rsid w:val="00583807"/>
    <w:rsid w:val="005839ED"/>
    <w:rsid w:val="00583D19"/>
    <w:rsid w:val="00583FD4"/>
    <w:rsid w:val="00584DE7"/>
    <w:rsid w:val="005859C0"/>
    <w:rsid w:val="00585BF9"/>
    <w:rsid w:val="00585F57"/>
    <w:rsid w:val="005860DE"/>
    <w:rsid w:val="0058681D"/>
    <w:rsid w:val="005878D5"/>
    <w:rsid w:val="00587945"/>
    <w:rsid w:val="00590ADC"/>
    <w:rsid w:val="00590B67"/>
    <w:rsid w:val="00591260"/>
    <w:rsid w:val="00591343"/>
    <w:rsid w:val="0059152E"/>
    <w:rsid w:val="0059161A"/>
    <w:rsid w:val="00591AC8"/>
    <w:rsid w:val="00592914"/>
    <w:rsid w:val="00593010"/>
    <w:rsid w:val="005932DB"/>
    <w:rsid w:val="00593B19"/>
    <w:rsid w:val="00595293"/>
    <w:rsid w:val="00595ED1"/>
    <w:rsid w:val="005962EA"/>
    <w:rsid w:val="005966E4"/>
    <w:rsid w:val="00596A8A"/>
    <w:rsid w:val="00596B38"/>
    <w:rsid w:val="00597595"/>
    <w:rsid w:val="005977A2"/>
    <w:rsid w:val="0059794B"/>
    <w:rsid w:val="00597BC1"/>
    <w:rsid w:val="00597E88"/>
    <w:rsid w:val="005A014A"/>
    <w:rsid w:val="005A0281"/>
    <w:rsid w:val="005A1844"/>
    <w:rsid w:val="005A26E2"/>
    <w:rsid w:val="005A2C02"/>
    <w:rsid w:val="005A30EF"/>
    <w:rsid w:val="005A31FA"/>
    <w:rsid w:val="005A328F"/>
    <w:rsid w:val="005A3ACE"/>
    <w:rsid w:val="005A3FA6"/>
    <w:rsid w:val="005A47EA"/>
    <w:rsid w:val="005A5B01"/>
    <w:rsid w:val="005A6A17"/>
    <w:rsid w:val="005A6E73"/>
    <w:rsid w:val="005A7023"/>
    <w:rsid w:val="005A73FA"/>
    <w:rsid w:val="005A7772"/>
    <w:rsid w:val="005B031E"/>
    <w:rsid w:val="005B0C34"/>
    <w:rsid w:val="005B0C90"/>
    <w:rsid w:val="005B0D21"/>
    <w:rsid w:val="005B17A2"/>
    <w:rsid w:val="005B2439"/>
    <w:rsid w:val="005B2E0E"/>
    <w:rsid w:val="005B303E"/>
    <w:rsid w:val="005B3AC5"/>
    <w:rsid w:val="005B3E85"/>
    <w:rsid w:val="005B429E"/>
    <w:rsid w:val="005B49D9"/>
    <w:rsid w:val="005B4F8A"/>
    <w:rsid w:val="005B555C"/>
    <w:rsid w:val="005B55FF"/>
    <w:rsid w:val="005B5B95"/>
    <w:rsid w:val="005B5BE3"/>
    <w:rsid w:val="005B61A0"/>
    <w:rsid w:val="005B64D6"/>
    <w:rsid w:val="005B6531"/>
    <w:rsid w:val="005B6908"/>
    <w:rsid w:val="005B69BB"/>
    <w:rsid w:val="005C004D"/>
    <w:rsid w:val="005C026B"/>
    <w:rsid w:val="005C0711"/>
    <w:rsid w:val="005C0BBF"/>
    <w:rsid w:val="005C0F8E"/>
    <w:rsid w:val="005C1FC4"/>
    <w:rsid w:val="005C2009"/>
    <w:rsid w:val="005C24EB"/>
    <w:rsid w:val="005C2D9A"/>
    <w:rsid w:val="005C360C"/>
    <w:rsid w:val="005C3623"/>
    <w:rsid w:val="005C394D"/>
    <w:rsid w:val="005C405F"/>
    <w:rsid w:val="005C4477"/>
    <w:rsid w:val="005C4ACE"/>
    <w:rsid w:val="005C4D60"/>
    <w:rsid w:val="005C52D6"/>
    <w:rsid w:val="005C55D6"/>
    <w:rsid w:val="005C5AF2"/>
    <w:rsid w:val="005C5D79"/>
    <w:rsid w:val="005C612D"/>
    <w:rsid w:val="005C63A1"/>
    <w:rsid w:val="005C691A"/>
    <w:rsid w:val="005C6D75"/>
    <w:rsid w:val="005C7123"/>
    <w:rsid w:val="005C7962"/>
    <w:rsid w:val="005C7C17"/>
    <w:rsid w:val="005D0B12"/>
    <w:rsid w:val="005D172B"/>
    <w:rsid w:val="005D1FE6"/>
    <w:rsid w:val="005D21EE"/>
    <w:rsid w:val="005D249C"/>
    <w:rsid w:val="005D2627"/>
    <w:rsid w:val="005D37A4"/>
    <w:rsid w:val="005D3DE3"/>
    <w:rsid w:val="005D420E"/>
    <w:rsid w:val="005D49C9"/>
    <w:rsid w:val="005D571D"/>
    <w:rsid w:val="005D5AB0"/>
    <w:rsid w:val="005D5D14"/>
    <w:rsid w:val="005D5E43"/>
    <w:rsid w:val="005D5EB3"/>
    <w:rsid w:val="005D5FF5"/>
    <w:rsid w:val="005D62E1"/>
    <w:rsid w:val="005D6320"/>
    <w:rsid w:val="005D632C"/>
    <w:rsid w:val="005D684B"/>
    <w:rsid w:val="005D6E77"/>
    <w:rsid w:val="005D6F1E"/>
    <w:rsid w:val="005D715E"/>
    <w:rsid w:val="005D76B9"/>
    <w:rsid w:val="005D777C"/>
    <w:rsid w:val="005D7996"/>
    <w:rsid w:val="005D7B55"/>
    <w:rsid w:val="005D7FF2"/>
    <w:rsid w:val="005E0989"/>
    <w:rsid w:val="005E09C7"/>
    <w:rsid w:val="005E14FA"/>
    <w:rsid w:val="005E1ACB"/>
    <w:rsid w:val="005E1CBC"/>
    <w:rsid w:val="005E1DBC"/>
    <w:rsid w:val="005E2427"/>
    <w:rsid w:val="005E25DD"/>
    <w:rsid w:val="005E2FFC"/>
    <w:rsid w:val="005E3128"/>
    <w:rsid w:val="005E40FF"/>
    <w:rsid w:val="005E42FF"/>
    <w:rsid w:val="005E44F0"/>
    <w:rsid w:val="005E45B1"/>
    <w:rsid w:val="005E48FE"/>
    <w:rsid w:val="005E4904"/>
    <w:rsid w:val="005E4C8E"/>
    <w:rsid w:val="005E5108"/>
    <w:rsid w:val="005E55E8"/>
    <w:rsid w:val="005E59C1"/>
    <w:rsid w:val="005E5E6F"/>
    <w:rsid w:val="005E60F3"/>
    <w:rsid w:val="005E6178"/>
    <w:rsid w:val="005E69C4"/>
    <w:rsid w:val="005E7122"/>
    <w:rsid w:val="005E71BE"/>
    <w:rsid w:val="005E7E85"/>
    <w:rsid w:val="005E7F9F"/>
    <w:rsid w:val="005F01DF"/>
    <w:rsid w:val="005F02CF"/>
    <w:rsid w:val="005F07E2"/>
    <w:rsid w:val="005F2127"/>
    <w:rsid w:val="005F21C3"/>
    <w:rsid w:val="005F2332"/>
    <w:rsid w:val="005F2D02"/>
    <w:rsid w:val="005F3398"/>
    <w:rsid w:val="005F33F6"/>
    <w:rsid w:val="005F3925"/>
    <w:rsid w:val="005F397B"/>
    <w:rsid w:val="005F3D0B"/>
    <w:rsid w:val="005F46E2"/>
    <w:rsid w:val="005F5016"/>
    <w:rsid w:val="005F5227"/>
    <w:rsid w:val="005F5C1F"/>
    <w:rsid w:val="005F68D9"/>
    <w:rsid w:val="005F69CB"/>
    <w:rsid w:val="005F6C91"/>
    <w:rsid w:val="005F72A0"/>
    <w:rsid w:val="005F7948"/>
    <w:rsid w:val="0060033B"/>
    <w:rsid w:val="0060069D"/>
    <w:rsid w:val="006006E3"/>
    <w:rsid w:val="00600A26"/>
    <w:rsid w:val="0060127C"/>
    <w:rsid w:val="0060137C"/>
    <w:rsid w:val="0060148B"/>
    <w:rsid w:val="0060154C"/>
    <w:rsid w:val="0060170F"/>
    <w:rsid w:val="0060178A"/>
    <w:rsid w:val="0060228E"/>
    <w:rsid w:val="0060230B"/>
    <w:rsid w:val="006030EB"/>
    <w:rsid w:val="0060332F"/>
    <w:rsid w:val="00603549"/>
    <w:rsid w:val="0060384B"/>
    <w:rsid w:val="00604BB4"/>
    <w:rsid w:val="00604F7D"/>
    <w:rsid w:val="006058AE"/>
    <w:rsid w:val="00606107"/>
    <w:rsid w:val="006064B8"/>
    <w:rsid w:val="0060661E"/>
    <w:rsid w:val="006075B2"/>
    <w:rsid w:val="00607625"/>
    <w:rsid w:val="006077C0"/>
    <w:rsid w:val="00607DAF"/>
    <w:rsid w:val="006100C9"/>
    <w:rsid w:val="00610769"/>
    <w:rsid w:val="006107A2"/>
    <w:rsid w:val="00611225"/>
    <w:rsid w:val="006119E1"/>
    <w:rsid w:val="006127D3"/>
    <w:rsid w:val="00612A58"/>
    <w:rsid w:val="00612EEE"/>
    <w:rsid w:val="00612FBB"/>
    <w:rsid w:val="0061390C"/>
    <w:rsid w:val="006146D5"/>
    <w:rsid w:val="00614888"/>
    <w:rsid w:val="0061515B"/>
    <w:rsid w:val="0061516E"/>
    <w:rsid w:val="00615F9D"/>
    <w:rsid w:val="0061622C"/>
    <w:rsid w:val="00616805"/>
    <w:rsid w:val="006168FE"/>
    <w:rsid w:val="0061714E"/>
    <w:rsid w:val="006174DA"/>
    <w:rsid w:val="00617636"/>
    <w:rsid w:val="00617761"/>
    <w:rsid w:val="00617931"/>
    <w:rsid w:val="00617B6A"/>
    <w:rsid w:val="00617FA1"/>
    <w:rsid w:val="006204A9"/>
    <w:rsid w:val="00620712"/>
    <w:rsid w:val="00620BEF"/>
    <w:rsid w:val="00620DFF"/>
    <w:rsid w:val="0062135F"/>
    <w:rsid w:val="0062137E"/>
    <w:rsid w:val="00621A11"/>
    <w:rsid w:val="00621B5F"/>
    <w:rsid w:val="00621DC0"/>
    <w:rsid w:val="00621E3A"/>
    <w:rsid w:val="00622AD2"/>
    <w:rsid w:val="0062356C"/>
    <w:rsid w:val="0062377A"/>
    <w:rsid w:val="006239D7"/>
    <w:rsid w:val="0062425E"/>
    <w:rsid w:val="006247AC"/>
    <w:rsid w:val="00624C08"/>
    <w:rsid w:val="00625005"/>
    <w:rsid w:val="00625056"/>
    <w:rsid w:val="006254C3"/>
    <w:rsid w:val="00625521"/>
    <w:rsid w:val="00625985"/>
    <w:rsid w:val="00625DB0"/>
    <w:rsid w:val="00625F0E"/>
    <w:rsid w:val="0062614F"/>
    <w:rsid w:val="006271D4"/>
    <w:rsid w:val="006274A7"/>
    <w:rsid w:val="00627703"/>
    <w:rsid w:val="006279A2"/>
    <w:rsid w:val="00627A5D"/>
    <w:rsid w:val="00627D32"/>
    <w:rsid w:val="00627FD1"/>
    <w:rsid w:val="00630539"/>
    <w:rsid w:val="006312B9"/>
    <w:rsid w:val="006322BC"/>
    <w:rsid w:val="006323BA"/>
    <w:rsid w:val="00632570"/>
    <w:rsid w:val="0063265D"/>
    <w:rsid w:val="00632A5C"/>
    <w:rsid w:val="00632BD5"/>
    <w:rsid w:val="0063320E"/>
    <w:rsid w:val="00633F99"/>
    <w:rsid w:val="006341F1"/>
    <w:rsid w:val="006343DD"/>
    <w:rsid w:val="006346BF"/>
    <w:rsid w:val="00634BAD"/>
    <w:rsid w:val="006357EA"/>
    <w:rsid w:val="00635FCC"/>
    <w:rsid w:val="0063635B"/>
    <w:rsid w:val="00636743"/>
    <w:rsid w:val="006369AE"/>
    <w:rsid w:val="00637509"/>
    <w:rsid w:val="006376FB"/>
    <w:rsid w:val="00637889"/>
    <w:rsid w:val="00637F56"/>
    <w:rsid w:val="0064098C"/>
    <w:rsid w:val="00641340"/>
    <w:rsid w:val="00642F3E"/>
    <w:rsid w:val="00643318"/>
    <w:rsid w:val="0064348F"/>
    <w:rsid w:val="00643B11"/>
    <w:rsid w:val="006446CD"/>
    <w:rsid w:val="00644F4F"/>
    <w:rsid w:val="006452EA"/>
    <w:rsid w:val="00645334"/>
    <w:rsid w:val="006459E8"/>
    <w:rsid w:val="00645F30"/>
    <w:rsid w:val="006463F2"/>
    <w:rsid w:val="00646805"/>
    <w:rsid w:val="006478F9"/>
    <w:rsid w:val="006479D8"/>
    <w:rsid w:val="0065036F"/>
    <w:rsid w:val="00650B75"/>
    <w:rsid w:val="00651388"/>
    <w:rsid w:val="00651602"/>
    <w:rsid w:val="00652CBF"/>
    <w:rsid w:val="00652D42"/>
    <w:rsid w:val="00653321"/>
    <w:rsid w:val="006547BA"/>
    <w:rsid w:val="00654C3D"/>
    <w:rsid w:val="00654CFD"/>
    <w:rsid w:val="00655302"/>
    <w:rsid w:val="00655821"/>
    <w:rsid w:val="00655A94"/>
    <w:rsid w:val="006560F5"/>
    <w:rsid w:val="00656A04"/>
    <w:rsid w:val="00656B2C"/>
    <w:rsid w:val="00656C05"/>
    <w:rsid w:val="0065718B"/>
    <w:rsid w:val="006575E0"/>
    <w:rsid w:val="00657827"/>
    <w:rsid w:val="00660245"/>
    <w:rsid w:val="00660BC5"/>
    <w:rsid w:val="00661C4C"/>
    <w:rsid w:val="00662495"/>
    <w:rsid w:val="006624A6"/>
    <w:rsid w:val="00662954"/>
    <w:rsid w:val="00662F4E"/>
    <w:rsid w:val="0066361A"/>
    <w:rsid w:val="006642E3"/>
    <w:rsid w:val="00664916"/>
    <w:rsid w:val="006655FB"/>
    <w:rsid w:val="00665A0F"/>
    <w:rsid w:val="00666193"/>
    <w:rsid w:val="00666829"/>
    <w:rsid w:val="00666AE0"/>
    <w:rsid w:val="00666CF1"/>
    <w:rsid w:val="00666D8A"/>
    <w:rsid w:val="006672E3"/>
    <w:rsid w:val="00667FA8"/>
    <w:rsid w:val="0067061A"/>
    <w:rsid w:val="006706F6"/>
    <w:rsid w:val="006707F2"/>
    <w:rsid w:val="00670961"/>
    <w:rsid w:val="00671C6F"/>
    <w:rsid w:val="006721E1"/>
    <w:rsid w:val="006723D2"/>
    <w:rsid w:val="00672839"/>
    <w:rsid w:val="00673464"/>
    <w:rsid w:val="0067353F"/>
    <w:rsid w:val="006735EE"/>
    <w:rsid w:val="00674045"/>
    <w:rsid w:val="006742A6"/>
    <w:rsid w:val="0067446B"/>
    <w:rsid w:val="006758B3"/>
    <w:rsid w:val="00676193"/>
    <w:rsid w:val="00676491"/>
    <w:rsid w:val="006764A7"/>
    <w:rsid w:val="00677213"/>
    <w:rsid w:val="006772DE"/>
    <w:rsid w:val="006773A9"/>
    <w:rsid w:val="00677DBE"/>
    <w:rsid w:val="00680C71"/>
    <w:rsid w:val="00681286"/>
    <w:rsid w:val="00681318"/>
    <w:rsid w:val="00681872"/>
    <w:rsid w:val="006829D0"/>
    <w:rsid w:val="00683034"/>
    <w:rsid w:val="006830FA"/>
    <w:rsid w:val="00683779"/>
    <w:rsid w:val="006838F8"/>
    <w:rsid w:val="00683D9F"/>
    <w:rsid w:val="00683EEF"/>
    <w:rsid w:val="006842C0"/>
    <w:rsid w:val="00684346"/>
    <w:rsid w:val="00684367"/>
    <w:rsid w:val="0068471B"/>
    <w:rsid w:val="00684F2A"/>
    <w:rsid w:val="00685982"/>
    <w:rsid w:val="00686492"/>
    <w:rsid w:val="006869B1"/>
    <w:rsid w:val="00686BC4"/>
    <w:rsid w:val="00687079"/>
    <w:rsid w:val="006870E2"/>
    <w:rsid w:val="00687589"/>
    <w:rsid w:val="00687710"/>
    <w:rsid w:val="006905F1"/>
    <w:rsid w:val="00691529"/>
    <w:rsid w:val="00691886"/>
    <w:rsid w:val="00691ED4"/>
    <w:rsid w:val="006926D3"/>
    <w:rsid w:val="00692A34"/>
    <w:rsid w:val="006936F9"/>
    <w:rsid w:val="006939CF"/>
    <w:rsid w:val="00693BA4"/>
    <w:rsid w:val="00693BFB"/>
    <w:rsid w:val="006944C0"/>
    <w:rsid w:val="006950A5"/>
    <w:rsid w:val="006950DC"/>
    <w:rsid w:val="006956D4"/>
    <w:rsid w:val="00695B73"/>
    <w:rsid w:val="00695E4C"/>
    <w:rsid w:val="006964E9"/>
    <w:rsid w:val="00696597"/>
    <w:rsid w:val="0069667F"/>
    <w:rsid w:val="006966EE"/>
    <w:rsid w:val="00696AD5"/>
    <w:rsid w:val="00697176"/>
    <w:rsid w:val="006A0369"/>
    <w:rsid w:val="006A10D3"/>
    <w:rsid w:val="006A13EA"/>
    <w:rsid w:val="006A163E"/>
    <w:rsid w:val="006A1821"/>
    <w:rsid w:val="006A1889"/>
    <w:rsid w:val="006A1BDD"/>
    <w:rsid w:val="006A23D9"/>
    <w:rsid w:val="006A2420"/>
    <w:rsid w:val="006A2594"/>
    <w:rsid w:val="006A2E31"/>
    <w:rsid w:val="006A35BF"/>
    <w:rsid w:val="006A3B29"/>
    <w:rsid w:val="006A3C41"/>
    <w:rsid w:val="006A5A79"/>
    <w:rsid w:val="006A5CF2"/>
    <w:rsid w:val="006A5D8A"/>
    <w:rsid w:val="006A6214"/>
    <w:rsid w:val="006A627C"/>
    <w:rsid w:val="006A6594"/>
    <w:rsid w:val="006A6AA1"/>
    <w:rsid w:val="006A7405"/>
    <w:rsid w:val="006A7434"/>
    <w:rsid w:val="006A778C"/>
    <w:rsid w:val="006B000A"/>
    <w:rsid w:val="006B009C"/>
    <w:rsid w:val="006B0E71"/>
    <w:rsid w:val="006B148A"/>
    <w:rsid w:val="006B1973"/>
    <w:rsid w:val="006B2F98"/>
    <w:rsid w:val="006B30B2"/>
    <w:rsid w:val="006B35D6"/>
    <w:rsid w:val="006B37AF"/>
    <w:rsid w:val="006B3DB4"/>
    <w:rsid w:val="006B3F6D"/>
    <w:rsid w:val="006B47E4"/>
    <w:rsid w:val="006B493B"/>
    <w:rsid w:val="006B52CA"/>
    <w:rsid w:val="006B62CF"/>
    <w:rsid w:val="006B6968"/>
    <w:rsid w:val="006B6A8F"/>
    <w:rsid w:val="006B6F08"/>
    <w:rsid w:val="006B75EE"/>
    <w:rsid w:val="006B7853"/>
    <w:rsid w:val="006B78AF"/>
    <w:rsid w:val="006B7D40"/>
    <w:rsid w:val="006C08C8"/>
    <w:rsid w:val="006C08E6"/>
    <w:rsid w:val="006C0DD0"/>
    <w:rsid w:val="006C0E25"/>
    <w:rsid w:val="006C0F3D"/>
    <w:rsid w:val="006C1A22"/>
    <w:rsid w:val="006C2684"/>
    <w:rsid w:val="006C30D5"/>
    <w:rsid w:val="006C3775"/>
    <w:rsid w:val="006C3D29"/>
    <w:rsid w:val="006C5369"/>
    <w:rsid w:val="006C57B5"/>
    <w:rsid w:val="006C5A6D"/>
    <w:rsid w:val="006C716A"/>
    <w:rsid w:val="006C75DB"/>
    <w:rsid w:val="006C76B6"/>
    <w:rsid w:val="006C7785"/>
    <w:rsid w:val="006D0690"/>
    <w:rsid w:val="006D0DAC"/>
    <w:rsid w:val="006D0FB9"/>
    <w:rsid w:val="006D1868"/>
    <w:rsid w:val="006D1FAF"/>
    <w:rsid w:val="006D201D"/>
    <w:rsid w:val="006D25F6"/>
    <w:rsid w:val="006D28E2"/>
    <w:rsid w:val="006D2C76"/>
    <w:rsid w:val="006D2EB8"/>
    <w:rsid w:val="006D3AE0"/>
    <w:rsid w:val="006D3F03"/>
    <w:rsid w:val="006D4406"/>
    <w:rsid w:val="006D49E4"/>
    <w:rsid w:val="006D4BF2"/>
    <w:rsid w:val="006D4F65"/>
    <w:rsid w:val="006D5026"/>
    <w:rsid w:val="006D5659"/>
    <w:rsid w:val="006D5664"/>
    <w:rsid w:val="006D611F"/>
    <w:rsid w:val="006D61AD"/>
    <w:rsid w:val="006D6D96"/>
    <w:rsid w:val="006D71AA"/>
    <w:rsid w:val="006D71DE"/>
    <w:rsid w:val="006D7CD6"/>
    <w:rsid w:val="006D7E2C"/>
    <w:rsid w:val="006E006B"/>
    <w:rsid w:val="006E0EDD"/>
    <w:rsid w:val="006E0EE9"/>
    <w:rsid w:val="006E106E"/>
    <w:rsid w:val="006E1655"/>
    <w:rsid w:val="006E197C"/>
    <w:rsid w:val="006E22DD"/>
    <w:rsid w:val="006E22E8"/>
    <w:rsid w:val="006E2780"/>
    <w:rsid w:val="006E323F"/>
    <w:rsid w:val="006E326D"/>
    <w:rsid w:val="006E3447"/>
    <w:rsid w:val="006E356A"/>
    <w:rsid w:val="006E3E62"/>
    <w:rsid w:val="006E3F68"/>
    <w:rsid w:val="006E4CD3"/>
    <w:rsid w:val="006E593E"/>
    <w:rsid w:val="006E5B42"/>
    <w:rsid w:val="006E6436"/>
    <w:rsid w:val="006E66E0"/>
    <w:rsid w:val="006E6896"/>
    <w:rsid w:val="006E695D"/>
    <w:rsid w:val="006E6B7C"/>
    <w:rsid w:val="006E7D5C"/>
    <w:rsid w:val="006F0649"/>
    <w:rsid w:val="006F076D"/>
    <w:rsid w:val="006F0F63"/>
    <w:rsid w:val="006F101D"/>
    <w:rsid w:val="006F19D3"/>
    <w:rsid w:val="006F1A31"/>
    <w:rsid w:val="006F1FC4"/>
    <w:rsid w:val="006F2309"/>
    <w:rsid w:val="006F23BE"/>
    <w:rsid w:val="006F361F"/>
    <w:rsid w:val="006F388D"/>
    <w:rsid w:val="006F3D52"/>
    <w:rsid w:val="006F4B89"/>
    <w:rsid w:val="006F572A"/>
    <w:rsid w:val="006F5A32"/>
    <w:rsid w:val="006F5B05"/>
    <w:rsid w:val="006F5B37"/>
    <w:rsid w:val="006F72D4"/>
    <w:rsid w:val="006F74B6"/>
    <w:rsid w:val="006F7655"/>
    <w:rsid w:val="006F7690"/>
    <w:rsid w:val="006F7C25"/>
    <w:rsid w:val="006F7E13"/>
    <w:rsid w:val="007004DF"/>
    <w:rsid w:val="007004EA"/>
    <w:rsid w:val="007006EF"/>
    <w:rsid w:val="00700EE6"/>
    <w:rsid w:val="00701378"/>
    <w:rsid w:val="00701BBE"/>
    <w:rsid w:val="00702219"/>
    <w:rsid w:val="0070298D"/>
    <w:rsid w:val="00702B09"/>
    <w:rsid w:val="00702F8A"/>
    <w:rsid w:val="00703282"/>
    <w:rsid w:val="00703B5D"/>
    <w:rsid w:val="00703D9A"/>
    <w:rsid w:val="00704043"/>
    <w:rsid w:val="007041D4"/>
    <w:rsid w:val="007046B9"/>
    <w:rsid w:val="00705487"/>
    <w:rsid w:val="007068BB"/>
    <w:rsid w:val="00706E15"/>
    <w:rsid w:val="00707313"/>
    <w:rsid w:val="0070779A"/>
    <w:rsid w:val="00707866"/>
    <w:rsid w:val="00707C8B"/>
    <w:rsid w:val="00707E53"/>
    <w:rsid w:val="0071053B"/>
    <w:rsid w:val="00710709"/>
    <w:rsid w:val="00710B7A"/>
    <w:rsid w:val="00710C82"/>
    <w:rsid w:val="00710E5F"/>
    <w:rsid w:val="00710ED9"/>
    <w:rsid w:val="00711629"/>
    <w:rsid w:val="00711B72"/>
    <w:rsid w:val="007120B6"/>
    <w:rsid w:val="00712E22"/>
    <w:rsid w:val="007133C7"/>
    <w:rsid w:val="00713640"/>
    <w:rsid w:val="00713A89"/>
    <w:rsid w:val="007140A4"/>
    <w:rsid w:val="00714241"/>
    <w:rsid w:val="007143DC"/>
    <w:rsid w:val="0071477F"/>
    <w:rsid w:val="007148B1"/>
    <w:rsid w:val="007148BE"/>
    <w:rsid w:val="007149D2"/>
    <w:rsid w:val="00714CA3"/>
    <w:rsid w:val="0071538C"/>
    <w:rsid w:val="00715ACE"/>
    <w:rsid w:val="00715ED6"/>
    <w:rsid w:val="00716B9E"/>
    <w:rsid w:val="00716DC4"/>
    <w:rsid w:val="007175BE"/>
    <w:rsid w:val="00717903"/>
    <w:rsid w:val="00717BAB"/>
    <w:rsid w:val="00717EC5"/>
    <w:rsid w:val="007200BF"/>
    <w:rsid w:val="00720D85"/>
    <w:rsid w:val="007212DB"/>
    <w:rsid w:val="00721CAA"/>
    <w:rsid w:val="00721D47"/>
    <w:rsid w:val="00722288"/>
    <w:rsid w:val="0072296C"/>
    <w:rsid w:val="00722F9C"/>
    <w:rsid w:val="00723B6C"/>
    <w:rsid w:val="00723D2D"/>
    <w:rsid w:val="0072420F"/>
    <w:rsid w:val="00724548"/>
    <w:rsid w:val="00724655"/>
    <w:rsid w:val="00724798"/>
    <w:rsid w:val="00724D2E"/>
    <w:rsid w:val="00725A9E"/>
    <w:rsid w:val="00725BF1"/>
    <w:rsid w:val="00725EC1"/>
    <w:rsid w:val="007261A5"/>
    <w:rsid w:val="00727006"/>
    <w:rsid w:val="0072739D"/>
    <w:rsid w:val="007275F8"/>
    <w:rsid w:val="00727C9F"/>
    <w:rsid w:val="00727DA3"/>
    <w:rsid w:val="00727DD3"/>
    <w:rsid w:val="00727F46"/>
    <w:rsid w:val="00730969"/>
    <w:rsid w:val="00730B0F"/>
    <w:rsid w:val="007316D2"/>
    <w:rsid w:val="0073198B"/>
    <w:rsid w:val="00731BFE"/>
    <w:rsid w:val="00731E01"/>
    <w:rsid w:val="00731EB2"/>
    <w:rsid w:val="007326CE"/>
    <w:rsid w:val="00732766"/>
    <w:rsid w:val="007336AB"/>
    <w:rsid w:val="00733DC7"/>
    <w:rsid w:val="007345E9"/>
    <w:rsid w:val="007348C7"/>
    <w:rsid w:val="00734B49"/>
    <w:rsid w:val="00736798"/>
    <w:rsid w:val="00736FBF"/>
    <w:rsid w:val="00737625"/>
    <w:rsid w:val="00737860"/>
    <w:rsid w:val="00737B80"/>
    <w:rsid w:val="00737C3E"/>
    <w:rsid w:val="0074064F"/>
    <w:rsid w:val="00740D9E"/>
    <w:rsid w:val="007429B2"/>
    <w:rsid w:val="00743011"/>
    <w:rsid w:val="00743B9E"/>
    <w:rsid w:val="00743BCC"/>
    <w:rsid w:val="007442C8"/>
    <w:rsid w:val="0074489D"/>
    <w:rsid w:val="00744F3A"/>
    <w:rsid w:val="007468D4"/>
    <w:rsid w:val="00746CA3"/>
    <w:rsid w:val="0074737C"/>
    <w:rsid w:val="00747521"/>
    <w:rsid w:val="007504FD"/>
    <w:rsid w:val="00750635"/>
    <w:rsid w:val="00750A8C"/>
    <w:rsid w:val="00752048"/>
    <w:rsid w:val="00752B91"/>
    <w:rsid w:val="00752CCA"/>
    <w:rsid w:val="00752E33"/>
    <w:rsid w:val="0075387D"/>
    <w:rsid w:val="0075435A"/>
    <w:rsid w:val="0075468C"/>
    <w:rsid w:val="00756C54"/>
    <w:rsid w:val="00756D5A"/>
    <w:rsid w:val="00757042"/>
    <w:rsid w:val="00757862"/>
    <w:rsid w:val="00757A21"/>
    <w:rsid w:val="00757AF4"/>
    <w:rsid w:val="0076073C"/>
    <w:rsid w:val="00760EB9"/>
    <w:rsid w:val="0076124C"/>
    <w:rsid w:val="00761D9B"/>
    <w:rsid w:val="00763DBC"/>
    <w:rsid w:val="00763E01"/>
    <w:rsid w:val="00763EAB"/>
    <w:rsid w:val="00764675"/>
    <w:rsid w:val="007648FA"/>
    <w:rsid w:val="00764FDE"/>
    <w:rsid w:val="0076538B"/>
    <w:rsid w:val="00765670"/>
    <w:rsid w:val="0076590A"/>
    <w:rsid w:val="00765AB9"/>
    <w:rsid w:val="00766091"/>
    <w:rsid w:val="00766AD3"/>
    <w:rsid w:val="00767141"/>
    <w:rsid w:val="00767B8F"/>
    <w:rsid w:val="00767CC6"/>
    <w:rsid w:val="0077009B"/>
    <w:rsid w:val="0077052C"/>
    <w:rsid w:val="007706F3"/>
    <w:rsid w:val="007709E2"/>
    <w:rsid w:val="00770FB5"/>
    <w:rsid w:val="0077153E"/>
    <w:rsid w:val="007721E4"/>
    <w:rsid w:val="0077258C"/>
    <w:rsid w:val="00772A8E"/>
    <w:rsid w:val="00772A90"/>
    <w:rsid w:val="00772DD1"/>
    <w:rsid w:val="00772EFB"/>
    <w:rsid w:val="0077447C"/>
    <w:rsid w:val="00774486"/>
    <w:rsid w:val="00774522"/>
    <w:rsid w:val="007745A2"/>
    <w:rsid w:val="00774A59"/>
    <w:rsid w:val="00774B4B"/>
    <w:rsid w:val="00774FBF"/>
    <w:rsid w:val="007753B2"/>
    <w:rsid w:val="0077580F"/>
    <w:rsid w:val="007761B1"/>
    <w:rsid w:val="00776366"/>
    <w:rsid w:val="00776D00"/>
    <w:rsid w:val="007776AD"/>
    <w:rsid w:val="007778A4"/>
    <w:rsid w:val="00777A49"/>
    <w:rsid w:val="00777D16"/>
    <w:rsid w:val="00780B0E"/>
    <w:rsid w:val="00780C0B"/>
    <w:rsid w:val="0078138A"/>
    <w:rsid w:val="00781EF2"/>
    <w:rsid w:val="00782581"/>
    <w:rsid w:val="007826CC"/>
    <w:rsid w:val="00783045"/>
    <w:rsid w:val="00783227"/>
    <w:rsid w:val="00783323"/>
    <w:rsid w:val="007837A4"/>
    <w:rsid w:val="00784AD2"/>
    <w:rsid w:val="007859D2"/>
    <w:rsid w:val="00785A8B"/>
    <w:rsid w:val="00785E18"/>
    <w:rsid w:val="00786065"/>
    <w:rsid w:val="00786235"/>
    <w:rsid w:val="0078630E"/>
    <w:rsid w:val="00786BA2"/>
    <w:rsid w:val="007872E8"/>
    <w:rsid w:val="007872FA"/>
    <w:rsid w:val="007874C9"/>
    <w:rsid w:val="00787F35"/>
    <w:rsid w:val="0079060C"/>
    <w:rsid w:val="00790652"/>
    <w:rsid w:val="00790E96"/>
    <w:rsid w:val="00790F46"/>
    <w:rsid w:val="00791AF5"/>
    <w:rsid w:val="00791B16"/>
    <w:rsid w:val="00791BC0"/>
    <w:rsid w:val="00791E54"/>
    <w:rsid w:val="007925BD"/>
    <w:rsid w:val="0079270E"/>
    <w:rsid w:val="00792AB0"/>
    <w:rsid w:val="00792AF4"/>
    <w:rsid w:val="007933AA"/>
    <w:rsid w:val="007935B5"/>
    <w:rsid w:val="00793A54"/>
    <w:rsid w:val="00793E48"/>
    <w:rsid w:val="007944B6"/>
    <w:rsid w:val="00794BB0"/>
    <w:rsid w:val="00795458"/>
    <w:rsid w:val="00795C06"/>
    <w:rsid w:val="00795DAF"/>
    <w:rsid w:val="00796266"/>
    <w:rsid w:val="007963C5"/>
    <w:rsid w:val="00796A57"/>
    <w:rsid w:val="00797E04"/>
    <w:rsid w:val="007A0286"/>
    <w:rsid w:val="007A0882"/>
    <w:rsid w:val="007A0F74"/>
    <w:rsid w:val="007A1982"/>
    <w:rsid w:val="007A1BF8"/>
    <w:rsid w:val="007A1E78"/>
    <w:rsid w:val="007A210F"/>
    <w:rsid w:val="007A2126"/>
    <w:rsid w:val="007A22BF"/>
    <w:rsid w:val="007A2E47"/>
    <w:rsid w:val="007A3A3C"/>
    <w:rsid w:val="007A3BC1"/>
    <w:rsid w:val="007A3E55"/>
    <w:rsid w:val="007A4337"/>
    <w:rsid w:val="007A43A5"/>
    <w:rsid w:val="007A4509"/>
    <w:rsid w:val="007A46C6"/>
    <w:rsid w:val="007A4C71"/>
    <w:rsid w:val="007A4DE5"/>
    <w:rsid w:val="007A50F8"/>
    <w:rsid w:val="007A5162"/>
    <w:rsid w:val="007A57F9"/>
    <w:rsid w:val="007A673D"/>
    <w:rsid w:val="007A6F0C"/>
    <w:rsid w:val="007A6F64"/>
    <w:rsid w:val="007B0590"/>
    <w:rsid w:val="007B0680"/>
    <w:rsid w:val="007B1882"/>
    <w:rsid w:val="007B2E26"/>
    <w:rsid w:val="007B3598"/>
    <w:rsid w:val="007B3CD0"/>
    <w:rsid w:val="007B48F7"/>
    <w:rsid w:val="007B49F4"/>
    <w:rsid w:val="007B4AC9"/>
    <w:rsid w:val="007B4C85"/>
    <w:rsid w:val="007B5310"/>
    <w:rsid w:val="007B55D1"/>
    <w:rsid w:val="007B5764"/>
    <w:rsid w:val="007B68CD"/>
    <w:rsid w:val="007B6972"/>
    <w:rsid w:val="007B6A42"/>
    <w:rsid w:val="007B6AEA"/>
    <w:rsid w:val="007B6DA5"/>
    <w:rsid w:val="007B746B"/>
    <w:rsid w:val="007B785B"/>
    <w:rsid w:val="007B790A"/>
    <w:rsid w:val="007B798E"/>
    <w:rsid w:val="007B7AE8"/>
    <w:rsid w:val="007B7FEA"/>
    <w:rsid w:val="007C0317"/>
    <w:rsid w:val="007C107B"/>
    <w:rsid w:val="007C11CA"/>
    <w:rsid w:val="007C1208"/>
    <w:rsid w:val="007C1526"/>
    <w:rsid w:val="007C21FD"/>
    <w:rsid w:val="007C2FB6"/>
    <w:rsid w:val="007C32C9"/>
    <w:rsid w:val="007C399F"/>
    <w:rsid w:val="007C43FC"/>
    <w:rsid w:val="007C4C5F"/>
    <w:rsid w:val="007C5884"/>
    <w:rsid w:val="007C5A56"/>
    <w:rsid w:val="007C5F8C"/>
    <w:rsid w:val="007C6307"/>
    <w:rsid w:val="007C63FA"/>
    <w:rsid w:val="007C6958"/>
    <w:rsid w:val="007C6C03"/>
    <w:rsid w:val="007C6CE3"/>
    <w:rsid w:val="007C7336"/>
    <w:rsid w:val="007D0485"/>
    <w:rsid w:val="007D0AF4"/>
    <w:rsid w:val="007D0CFB"/>
    <w:rsid w:val="007D1594"/>
    <w:rsid w:val="007D204B"/>
    <w:rsid w:val="007D2110"/>
    <w:rsid w:val="007D2C33"/>
    <w:rsid w:val="007D2E26"/>
    <w:rsid w:val="007D31AA"/>
    <w:rsid w:val="007D3AE3"/>
    <w:rsid w:val="007D3D3D"/>
    <w:rsid w:val="007D40B8"/>
    <w:rsid w:val="007D4B95"/>
    <w:rsid w:val="007D4C79"/>
    <w:rsid w:val="007D4D84"/>
    <w:rsid w:val="007D5498"/>
    <w:rsid w:val="007D5C55"/>
    <w:rsid w:val="007D5E86"/>
    <w:rsid w:val="007D601C"/>
    <w:rsid w:val="007D63C0"/>
    <w:rsid w:val="007D6FAD"/>
    <w:rsid w:val="007D73C4"/>
    <w:rsid w:val="007D7E1D"/>
    <w:rsid w:val="007D7FDE"/>
    <w:rsid w:val="007E1572"/>
    <w:rsid w:val="007E1B9F"/>
    <w:rsid w:val="007E1CBE"/>
    <w:rsid w:val="007E1F6E"/>
    <w:rsid w:val="007E2465"/>
    <w:rsid w:val="007E3030"/>
    <w:rsid w:val="007E3A89"/>
    <w:rsid w:val="007E40FC"/>
    <w:rsid w:val="007E412E"/>
    <w:rsid w:val="007E4178"/>
    <w:rsid w:val="007E4B23"/>
    <w:rsid w:val="007E566F"/>
    <w:rsid w:val="007E5847"/>
    <w:rsid w:val="007E65CF"/>
    <w:rsid w:val="007E6A6B"/>
    <w:rsid w:val="007E6C34"/>
    <w:rsid w:val="007E6C45"/>
    <w:rsid w:val="007E6E2F"/>
    <w:rsid w:val="007E6EC6"/>
    <w:rsid w:val="007E71F9"/>
    <w:rsid w:val="007E7220"/>
    <w:rsid w:val="007E734A"/>
    <w:rsid w:val="007F0537"/>
    <w:rsid w:val="007F11E8"/>
    <w:rsid w:val="007F22E2"/>
    <w:rsid w:val="007F2357"/>
    <w:rsid w:val="007F240E"/>
    <w:rsid w:val="007F2820"/>
    <w:rsid w:val="007F28F2"/>
    <w:rsid w:val="007F2CD5"/>
    <w:rsid w:val="007F2EE1"/>
    <w:rsid w:val="007F39C4"/>
    <w:rsid w:val="007F47CB"/>
    <w:rsid w:val="007F4BC3"/>
    <w:rsid w:val="007F5349"/>
    <w:rsid w:val="007F57DA"/>
    <w:rsid w:val="007F5FCB"/>
    <w:rsid w:val="007F7034"/>
    <w:rsid w:val="007F7230"/>
    <w:rsid w:val="007F7382"/>
    <w:rsid w:val="007F7E11"/>
    <w:rsid w:val="00800408"/>
    <w:rsid w:val="00800DDF"/>
    <w:rsid w:val="008010BD"/>
    <w:rsid w:val="00801C8E"/>
    <w:rsid w:val="00801E17"/>
    <w:rsid w:val="0080217C"/>
    <w:rsid w:val="008024AF"/>
    <w:rsid w:val="008026CE"/>
    <w:rsid w:val="00802B73"/>
    <w:rsid w:val="00802DB9"/>
    <w:rsid w:val="0080332E"/>
    <w:rsid w:val="00803394"/>
    <w:rsid w:val="00803BCE"/>
    <w:rsid w:val="0080431D"/>
    <w:rsid w:val="0080480F"/>
    <w:rsid w:val="00804D9E"/>
    <w:rsid w:val="008050F5"/>
    <w:rsid w:val="008052F8"/>
    <w:rsid w:val="00805AE7"/>
    <w:rsid w:val="008062DB"/>
    <w:rsid w:val="008062EA"/>
    <w:rsid w:val="00806681"/>
    <w:rsid w:val="00806B36"/>
    <w:rsid w:val="00806C13"/>
    <w:rsid w:val="00806FB8"/>
    <w:rsid w:val="008071F0"/>
    <w:rsid w:val="00807780"/>
    <w:rsid w:val="00810DCF"/>
    <w:rsid w:val="0081174B"/>
    <w:rsid w:val="008118A9"/>
    <w:rsid w:val="00811BA8"/>
    <w:rsid w:val="00811EB9"/>
    <w:rsid w:val="00812429"/>
    <w:rsid w:val="00812BCD"/>
    <w:rsid w:val="008137D2"/>
    <w:rsid w:val="008141AF"/>
    <w:rsid w:val="00814752"/>
    <w:rsid w:val="00814F6E"/>
    <w:rsid w:val="008158E1"/>
    <w:rsid w:val="008159F0"/>
    <w:rsid w:val="00817275"/>
    <w:rsid w:val="00817694"/>
    <w:rsid w:val="008202BC"/>
    <w:rsid w:val="00820D0B"/>
    <w:rsid w:val="00820DF0"/>
    <w:rsid w:val="00821D7D"/>
    <w:rsid w:val="00821FC9"/>
    <w:rsid w:val="00822B00"/>
    <w:rsid w:val="00822DFE"/>
    <w:rsid w:val="008233F6"/>
    <w:rsid w:val="008237CD"/>
    <w:rsid w:val="00823A6A"/>
    <w:rsid w:val="008243C9"/>
    <w:rsid w:val="00824456"/>
    <w:rsid w:val="008246CF"/>
    <w:rsid w:val="00824A3E"/>
    <w:rsid w:val="00824AE0"/>
    <w:rsid w:val="008250BC"/>
    <w:rsid w:val="008257B5"/>
    <w:rsid w:val="008257C8"/>
    <w:rsid w:val="00825F45"/>
    <w:rsid w:val="0082693D"/>
    <w:rsid w:val="00827251"/>
    <w:rsid w:val="008273B3"/>
    <w:rsid w:val="00830130"/>
    <w:rsid w:val="008305C2"/>
    <w:rsid w:val="0083086E"/>
    <w:rsid w:val="00830B5C"/>
    <w:rsid w:val="00830CF5"/>
    <w:rsid w:val="00830D76"/>
    <w:rsid w:val="0083115D"/>
    <w:rsid w:val="008313A1"/>
    <w:rsid w:val="00831809"/>
    <w:rsid w:val="00833744"/>
    <w:rsid w:val="0083402D"/>
    <w:rsid w:val="00834546"/>
    <w:rsid w:val="00834C9E"/>
    <w:rsid w:val="008356FF"/>
    <w:rsid w:val="00836391"/>
    <w:rsid w:val="00836A1D"/>
    <w:rsid w:val="00836D64"/>
    <w:rsid w:val="008379F1"/>
    <w:rsid w:val="00837C3A"/>
    <w:rsid w:val="0084022D"/>
    <w:rsid w:val="00840798"/>
    <w:rsid w:val="00840D7E"/>
    <w:rsid w:val="0084101E"/>
    <w:rsid w:val="0084124E"/>
    <w:rsid w:val="0084136E"/>
    <w:rsid w:val="00841412"/>
    <w:rsid w:val="00841648"/>
    <w:rsid w:val="00842355"/>
    <w:rsid w:val="0084292D"/>
    <w:rsid w:val="00842C22"/>
    <w:rsid w:val="0084306B"/>
    <w:rsid w:val="008430E9"/>
    <w:rsid w:val="008442AE"/>
    <w:rsid w:val="00844360"/>
    <w:rsid w:val="00844D31"/>
    <w:rsid w:val="008450F4"/>
    <w:rsid w:val="00845432"/>
    <w:rsid w:val="00845ADE"/>
    <w:rsid w:val="008464EE"/>
    <w:rsid w:val="0084747E"/>
    <w:rsid w:val="00847589"/>
    <w:rsid w:val="00850646"/>
    <w:rsid w:val="00850823"/>
    <w:rsid w:val="00851228"/>
    <w:rsid w:val="00851636"/>
    <w:rsid w:val="008516C3"/>
    <w:rsid w:val="008516DB"/>
    <w:rsid w:val="00851AAD"/>
    <w:rsid w:val="00851EF3"/>
    <w:rsid w:val="00852457"/>
    <w:rsid w:val="00852CDE"/>
    <w:rsid w:val="00852F96"/>
    <w:rsid w:val="00853DA1"/>
    <w:rsid w:val="008549DD"/>
    <w:rsid w:val="00855839"/>
    <w:rsid w:val="00855FDD"/>
    <w:rsid w:val="00856B15"/>
    <w:rsid w:val="00856CF0"/>
    <w:rsid w:val="00857AB9"/>
    <w:rsid w:val="00857F22"/>
    <w:rsid w:val="00860511"/>
    <w:rsid w:val="00860714"/>
    <w:rsid w:val="00861099"/>
    <w:rsid w:val="008618CC"/>
    <w:rsid w:val="00862F1D"/>
    <w:rsid w:val="00863BED"/>
    <w:rsid w:val="008644AD"/>
    <w:rsid w:val="008645F6"/>
    <w:rsid w:val="008648BC"/>
    <w:rsid w:val="00864920"/>
    <w:rsid w:val="0086544C"/>
    <w:rsid w:val="00865D75"/>
    <w:rsid w:val="00866205"/>
    <w:rsid w:val="008665C4"/>
    <w:rsid w:val="008673A2"/>
    <w:rsid w:val="00867676"/>
    <w:rsid w:val="0087005C"/>
    <w:rsid w:val="0087040F"/>
    <w:rsid w:val="0087129E"/>
    <w:rsid w:val="00871F14"/>
    <w:rsid w:val="00872C53"/>
    <w:rsid w:val="00872EB2"/>
    <w:rsid w:val="00874B37"/>
    <w:rsid w:val="0087508D"/>
    <w:rsid w:val="008759C6"/>
    <w:rsid w:val="00876117"/>
    <w:rsid w:val="008762DC"/>
    <w:rsid w:val="00877B3B"/>
    <w:rsid w:val="0088001F"/>
    <w:rsid w:val="00880414"/>
    <w:rsid w:val="00880E29"/>
    <w:rsid w:val="00880E9E"/>
    <w:rsid w:val="008815B8"/>
    <w:rsid w:val="008816FE"/>
    <w:rsid w:val="00881ADB"/>
    <w:rsid w:val="0088231D"/>
    <w:rsid w:val="008824E6"/>
    <w:rsid w:val="00882C20"/>
    <w:rsid w:val="008830CC"/>
    <w:rsid w:val="00883390"/>
    <w:rsid w:val="008836E1"/>
    <w:rsid w:val="008838D4"/>
    <w:rsid w:val="008840F6"/>
    <w:rsid w:val="0088459C"/>
    <w:rsid w:val="00884AF6"/>
    <w:rsid w:val="0088542B"/>
    <w:rsid w:val="008854FF"/>
    <w:rsid w:val="00885564"/>
    <w:rsid w:val="0088557F"/>
    <w:rsid w:val="00885859"/>
    <w:rsid w:val="00885B68"/>
    <w:rsid w:val="00885CAF"/>
    <w:rsid w:val="00885F1C"/>
    <w:rsid w:val="00886A4E"/>
    <w:rsid w:val="00886C1A"/>
    <w:rsid w:val="00886FA0"/>
    <w:rsid w:val="008873DE"/>
    <w:rsid w:val="00887E3D"/>
    <w:rsid w:val="0089155C"/>
    <w:rsid w:val="00892E57"/>
    <w:rsid w:val="00893A45"/>
    <w:rsid w:val="00894262"/>
    <w:rsid w:val="00894E31"/>
    <w:rsid w:val="00894F2D"/>
    <w:rsid w:val="00895769"/>
    <w:rsid w:val="00896035"/>
    <w:rsid w:val="0089620F"/>
    <w:rsid w:val="00896808"/>
    <w:rsid w:val="00897337"/>
    <w:rsid w:val="008A03A9"/>
    <w:rsid w:val="008A0792"/>
    <w:rsid w:val="008A093C"/>
    <w:rsid w:val="008A0E55"/>
    <w:rsid w:val="008A1048"/>
    <w:rsid w:val="008A15B4"/>
    <w:rsid w:val="008A19C6"/>
    <w:rsid w:val="008A1CB1"/>
    <w:rsid w:val="008A1CF8"/>
    <w:rsid w:val="008A1EB5"/>
    <w:rsid w:val="008A1F4B"/>
    <w:rsid w:val="008A2714"/>
    <w:rsid w:val="008A3C30"/>
    <w:rsid w:val="008A3C6D"/>
    <w:rsid w:val="008A488D"/>
    <w:rsid w:val="008A4E40"/>
    <w:rsid w:val="008A52BD"/>
    <w:rsid w:val="008A5940"/>
    <w:rsid w:val="008A597E"/>
    <w:rsid w:val="008A65A2"/>
    <w:rsid w:val="008A6C46"/>
    <w:rsid w:val="008A6CEE"/>
    <w:rsid w:val="008A6FEA"/>
    <w:rsid w:val="008A7610"/>
    <w:rsid w:val="008A76F0"/>
    <w:rsid w:val="008A7714"/>
    <w:rsid w:val="008B0C34"/>
    <w:rsid w:val="008B1291"/>
    <w:rsid w:val="008B1699"/>
    <w:rsid w:val="008B1792"/>
    <w:rsid w:val="008B1940"/>
    <w:rsid w:val="008B2A53"/>
    <w:rsid w:val="008B2E46"/>
    <w:rsid w:val="008B3D47"/>
    <w:rsid w:val="008B4111"/>
    <w:rsid w:val="008B4550"/>
    <w:rsid w:val="008B46B6"/>
    <w:rsid w:val="008B4708"/>
    <w:rsid w:val="008B5156"/>
    <w:rsid w:val="008B6234"/>
    <w:rsid w:val="008B678E"/>
    <w:rsid w:val="008B6A4A"/>
    <w:rsid w:val="008B6ABD"/>
    <w:rsid w:val="008B7059"/>
    <w:rsid w:val="008B7C99"/>
    <w:rsid w:val="008B7F2C"/>
    <w:rsid w:val="008C0356"/>
    <w:rsid w:val="008C0414"/>
    <w:rsid w:val="008C09AD"/>
    <w:rsid w:val="008C129A"/>
    <w:rsid w:val="008C2195"/>
    <w:rsid w:val="008C2379"/>
    <w:rsid w:val="008C2A50"/>
    <w:rsid w:val="008C3CD5"/>
    <w:rsid w:val="008C3D78"/>
    <w:rsid w:val="008C4A6A"/>
    <w:rsid w:val="008C5E16"/>
    <w:rsid w:val="008C70AD"/>
    <w:rsid w:val="008C729A"/>
    <w:rsid w:val="008C761D"/>
    <w:rsid w:val="008D04CA"/>
    <w:rsid w:val="008D0FE2"/>
    <w:rsid w:val="008D10ED"/>
    <w:rsid w:val="008D12C4"/>
    <w:rsid w:val="008D131F"/>
    <w:rsid w:val="008D1390"/>
    <w:rsid w:val="008D1C48"/>
    <w:rsid w:val="008D236E"/>
    <w:rsid w:val="008D2634"/>
    <w:rsid w:val="008D2B88"/>
    <w:rsid w:val="008D3933"/>
    <w:rsid w:val="008D440E"/>
    <w:rsid w:val="008D4B95"/>
    <w:rsid w:val="008D5416"/>
    <w:rsid w:val="008D54F8"/>
    <w:rsid w:val="008D56D8"/>
    <w:rsid w:val="008D5C3D"/>
    <w:rsid w:val="008D619C"/>
    <w:rsid w:val="008D62C2"/>
    <w:rsid w:val="008D6A45"/>
    <w:rsid w:val="008D6AB8"/>
    <w:rsid w:val="008D79D4"/>
    <w:rsid w:val="008E066C"/>
    <w:rsid w:val="008E1010"/>
    <w:rsid w:val="008E19E2"/>
    <w:rsid w:val="008E1F1B"/>
    <w:rsid w:val="008E1F22"/>
    <w:rsid w:val="008E1F44"/>
    <w:rsid w:val="008E1FA7"/>
    <w:rsid w:val="008E251D"/>
    <w:rsid w:val="008E2A42"/>
    <w:rsid w:val="008E2EBE"/>
    <w:rsid w:val="008E4BC7"/>
    <w:rsid w:val="008E4D7D"/>
    <w:rsid w:val="008E4F35"/>
    <w:rsid w:val="008E5E2D"/>
    <w:rsid w:val="008E5E50"/>
    <w:rsid w:val="008E614B"/>
    <w:rsid w:val="008E6245"/>
    <w:rsid w:val="008E6629"/>
    <w:rsid w:val="008E6F62"/>
    <w:rsid w:val="008E75E7"/>
    <w:rsid w:val="008F01FA"/>
    <w:rsid w:val="008F0257"/>
    <w:rsid w:val="008F0F0D"/>
    <w:rsid w:val="008F13B0"/>
    <w:rsid w:val="008F14B4"/>
    <w:rsid w:val="008F227E"/>
    <w:rsid w:val="008F2430"/>
    <w:rsid w:val="008F2774"/>
    <w:rsid w:val="008F2C4B"/>
    <w:rsid w:val="008F34F6"/>
    <w:rsid w:val="008F3BA2"/>
    <w:rsid w:val="008F3DB9"/>
    <w:rsid w:val="008F4D14"/>
    <w:rsid w:val="008F4F0A"/>
    <w:rsid w:val="008F527A"/>
    <w:rsid w:val="008F557A"/>
    <w:rsid w:val="008F58D3"/>
    <w:rsid w:val="008F70FB"/>
    <w:rsid w:val="008F7CD7"/>
    <w:rsid w:val="008F7EF2"/>
    <w:rsid w:val="009000B4"/>
    <w:rsid w:val="00900168"/>
    <w:rsid w:val="00900547"/>
    <w:rsid w:val="009006D5"/>
    <w:rsid w:val="00900B11"/>
    <w:rsid w:val="00900B8C"/>
    <w:rsid w:val="009014D9"/>
    <w:rsid w:val="009018FF"/>
    <w:rsid w:val="00901934"/>
    <w:rsid w:val="0090199F"/>
    <w:rsid w:val="00901D66"/>
    <w:rsid w:val="0090207E"/>
    <w:rsid w:val="009024A6"/>
    <w:rsid w:val="00902CD0"/>
    <w:rsid w:val="00902FB8"/>
    <w:rsid w:val="00903CA7"/>
    <w:rsid w:val="00906331"/>
    <w:rsid w:val="00906751"/>
    <w:rsid w:val="00906757"/>
    <w:rsid w:val="00907265"/>
    <w:rsid w:val="00907843"/>
    <w:rsid w:val="00907A46"/>
    <w:rsid w:val="00910185"/>
    <w:rsid w:val="00910252"/>
    <w:rsid w:val="0091165C"/>
    <w:rsid w:val="00911FD9"/>
    <w:rsid w:val="00914031"/>
    <w:rsid w:val="009141AA"/>
    <w:rsid w:val="00915184"/>
    <w:rsid w:val="00915A75"/>
    <w:rsid w:val="00915CDC"/>
    <w:rsid w:val="00915F63"/>
    <w:rsid w:val="009162E8"/>
    <w:rsid w:val="0091697A"/>
    <w:rsid w:val="00916A35"/>
    <w:rsid w:val="00916FD7"/>
    <w:rsid w:val="0091750A"/>
    <w:rsid w:val="0091765D"/>
    <w:rsid w:val="00917E68"/>
    <w:rsid w:val="00921197"/>
    <w:rsid w:val="00921B93"/>
    <w:rsid w:val="009225C5"/>
    <w:rsid w:val="00922ADE"/>
    <w:rsid w:val="00922B0F"/>
    <w:rsid w:val="00922EC7"/>
    <w:rsid w:val="009230EF"/>
    <w:rsid w:val="00923614"/>
    <w:rsid w:val="0092363B"/>
    <w:rsid w:val="0092373C"/>
    <w:rsid w:val="00923993"/>
    <w:rsid w:val="00924810"/>
    <w:rsid w:val="00925821"/>
    <w:rsid w:val="00925E1B"/>
    <w:rsid w:val="009266DE"/>
    <w:rsid w:val="0092751B"/>
    <w:rsid w:val="009276C0"/>
    <w:rsid w:val="00927C6D"/>
    <w:rsid w:val="00930011"/>
    <w:rsid w:val="00931002"/>
    <w:rsid w:val="0093116A"/>
    <w:rsid w:val="00931B24"/>
    <w:rsid w:val="00931B73"/>
    <w:rsid w:val="00932BD2"/>
    <w:rsid w:val="00932E23"/>
    <w:rsid w:val="0093369C"/>
    <w:rsid w:val="00934113"/>
    <w:rsid w:val="00935958"/>
    <w:rsid w:val="00935B33"/>
    <w:rsid w:val="0093602E"/>
    <w:rsid w:val="0093654F"/>
    <w:rsid w:val="00936B79"/>
    <w:rsid w:val="0093772C"/>
    <w:rsid w:val="00937B2C"/>
    <w:rsid w:val="00940D29"/>
    <w:rsid w:val="0094289F"/>
    <w:rsid w:val="00942C4F"/>
    <w:rsid w:val="0094341D"/>
    <w:rsid w:val="00943430"/>
    <w:rsid w:val="009437B6"/>
    <w:rsid w:val="00943AE3"/>
    <w:rsid w:val="00943CA7"/>
    <w:rsid w:val="00944A31"/>
    <w:rsid w:val="00944FCD"/>
    <w:rsid w:val="009450A5"/>
    <w:rsid w:val="009456A0"/>
    <w:rsid w:val="00945828"/>
    <w:rsid w:val="00945E23"/>
    <w:rsid w:val="00946114"/>
    <w:rsid w:val="0094614A"/>
    <w:rsid w:val="00946300"/>
    <w:rsid w:val="00946971"/>
    <w:rsid w:val="00946AAF"/>
    <w:rsid w:val="00946CCA"/>
    <w:rsid w:val="00947072"/>
    <w:rsid w:val="0094711B"/>
    <w:rsid w:val="0094780B"/>
    <w:rsid w:val="00947B54"/>
    <w:rsid w:val="0095012F"/>
    <w:rsid w:val="0095043B"/>
    <w:rsid w:val="00950F75"/>
    <w:rsid w:val="0095105B"/>
    <w:rsid w:val="00951A76"/>
    <w:rsid w:val="00952D12"/>
    <w:rsid w:val="009530C3"/>
    <w:rsid w:val="00953B78"/>
    <w:rsid w:val="00953D07"/>
    <w:rsid w:val="0095443D"/>
    <w:rsid w:val="009544A0"/>
    <w:rsid w:val="009545BB"/>
    <w:rsid w:val="00954EBA"/>
    <w:rsid w:val="0095567D"/>
    <w:rsid w:val="0095602C"/>
    <w:rsid w:val="0095628C"/>
    <w:rsid w:val="009565BE"/>
    <w:rsid w:val="009566AC"/>
    <w:rsid w:val="00956D78"/>
    <w:rsid w:val="00956F3D"/>
    <w:rsid w:val="00956FE4"/>
    <w:rsid w:val="00957380"/>
    <w:rsid w:val="00957DDD"/>
    <w:rsid w:val="00961C30"/>
    <w:rsid w:val="00961EA9"/>
    <w:rsid w:val="00962835"/>
    <w:rsid w:val="00964525"/>
    <w:rsid w:val="00964810"/>
    <w:rsid w:val="00964AF3"/>
    <w:rsid w:val="009654FD"/>
    <w:rsid w:val="00965D16"/>
    <w:rsid w:val="009662BC"/>
    <w:rsid w:val="00967367"/>
    <w:rsid w:val="009676B6"/>
    <w:rsid w:val="00967DAD"/>
    <w:rsid w:val="00970712"/>
    <w:rsid w:val="00970E94"/>
    <w:rsid w:val="0097112E"/>
    <w:rsid w:val="00971330"/>
    <w:rsid w:val="009717EE"/>
    <w:rsid w:val="0097211F"/>
    <w:rsid w:val="009724A3"/>
    <w:rsid w:val="009724F8"/>
    <w:rsid w:val="00972891"/>
    <w:rsid w:val="00972A4C"/>
    <w:rsid w:val="00972D8D"/>
    <w:rsid w:val="00973411"/>
    <w:rsid w:val="0097380B"/>
    <w:rsid w:val="00973EE9"/>
    <w:rsid w:val="00974409"/>
    <w:rsid w:val="00974449"/>
    <w:rsid w:val="00974C65"/>
    <w:rsid w:val="00974CEF"/>
    <w:rsid w:val="00974FDA"/>
    <w:rsid w:val="00975176"/>
    <w:rsid w:val="009758B9"/>
    <w:rsid w:val="00975968"/>
    <w:rsid w:val="00975CED"/>
    <w:rsid w:val="009766B8"/>
    <w:rsid w:val="009767F1"/>
    <w:rsid w:val="00977A6B"/>
    <w:rsid w:val="0098077C"/>
    <w:rsid w:val="0098155A"/>
    <w:rsid w:val="009824AD"/>
    <w:rsid w:val="00983091"/>
    <w:rsid w:val="0098338E"/>
    <w:rsid w:val="00983792"/>
    <w:rsid w:val="0098496D"/>
    <w:rsid w:val="00984A42"/>
    <w:rsid w:val="00984A59"/>
    <w:rsid w:val="00984EB2"/>
    <w:rsid w:val="00984F92"/>
    <w:rsid w:val="00985091"/>
    <w:rsid w:val="00985313"/>
    <w:rsid w:val="00985FD3"/>
    <w:rsid w:val="009864B7"/>
    <w:rsid w:val="00986C48"/>
    <w:rsid w:val="0098770B"/>
    <w:rsid w:val="00987D7F"/>
    <w:rsid w:val="00990710"/>
    <w:rsid w:val="00990C29"/>
    <w:rsid w:val="00990DEB"/>
    <w:rsid w:val="00990ECE"/>
    <w:rsid w:val="00991372"/>
    <w:rsid w:val="0099153D"/>
    <w:rsid w:val="00991EB5"/>
    <w:rsid w:val="00993B72"/>
    <w:rsid w:val="0099487E"/>
    <w:rsid w:val="0099554C"/>
    <w:rsid w:val="00995649"/>
    <w:rsid w:val="00995E7D"/>
    <w:rsid w:val="00996646"/>
    <w:rsid w:val="00996A58"/>
    <w:rsid w:val="009976DD"/>
    <w:rsid w:val="00997E84"/>
    <w:rsid w:val="009A0EC0"/>
    <w:rsid w:val="009A0F71"/>
    <w:rsid w:val="009A1309"/>
    <w:rsid w:val="009A21D0"/>
    <w:rsid w:val="009A21E8"/>
    <w:rsid w:val="009A2206"/>
    <w:rsid w:val="009A34D3"/>
    <w:rsid w:val="009A3674"/>
    <w:rsid w:val="009A4B97"/>
    <w:rsid w:val="009A539F"/>
    <w:rsid w:val="009A5612"/>
    <w:rsid w:val="009A5BFF"/>
    <w:rsid w:val="009A6700"/>
    <w:rsid w:val="009A6CA8"/>
    <w:rsid w:val="009A6F6C"/>
    <w:rsid w:val="009B00EC"/>
    <w:rsid w:val="009B0849"/>
    <w:rsid w:val="009B1A58"/>
    <w:rsid w:val="009B1DE4"/>
    <w:rsid w:val="009B2AF8"/>
    <w:rsid w:val="009B36BE"/>
    <w:rsid w:val="009B3AD6"/>
    <w:rsid w:val="009B3E37"/>
    <w:rsid w:val="009B4107"/>
    <w:rsid w:val="009B432A"/>
    <w:rsid w:val="009B44DA"/>
    <w:rsid w:val="009B4D44"/>
    <w:rsid w:val="009B4F3D"/>
    <w:rsid w:val="009B514F"/>
    <w:rsid w:val="009B5408"/>
    <w:rsid w:val="009B5735"/>
    <w:rsid w:val="009B59DF"/>
    <w:rsid w:val="009B60B9"/>
    <w:rsid w:val="009B6AC4"/>
    <w:rsid w:val="009B6DDF"/>
    <w:rsid w:val="009B7446"/>
    <w:rsid w:val="009C003C"/>
    <w:rsid w:val="009C036F"/>
    <w:rsid w:val="009C07C5"/>
    <w:rsid w:val="009C0A20"/>
    <w:rsid w:val="009C0C39"/>
    <w:rsid w:val="009C0CC9"/>
    <w:rsid w:val="009C10BA"/>
    <w:rsid w:val="009C1A90"/>
    <w:rsid w:val="009C1E7B"/>
    <w:rsid w:val="009C2EC0"/>
    <w:rsid w:val="009C3950"/>
    <w:rsid w:val="009C4BF4"/>
    <w:rsid w:val="009C4E34"/>
    <w:rsid w:val="009C504C"/>
    <w:rsid w:val="009C5168"/>
    <w:rsid w:val="009C5573"/>
    <w:rsid w:val="009C61BA"/>
    <w:rsid w:val="009C6255"/>
    <w:rsid w:val="009C63F4"/>
    <w:rsid w:val="009C708B"/>
    <w:rsid w:val="009C7B94"/>
    <w:rsid w:val="009C7BD9"/>
    <w:rsid w:val="009C7F39"/>
    <w:rsid w:val="009D0A0F"/>
    <w:rsid w:val="009D0B17"/>
    <w:rsid w:val="009D0E84"/>
    <w:rsid w:val="009D0EB6"/>
    <w:rsid w:val="009D0EF3"/>
    <w:rsid w:val="009D119D"/>
    <w:rsid w:val="009D181D"/>
    <w:rsid w:val="009D1C87"/>
    <w:rsid w:val="009D2253"/>
    <w:rsid w:val="009D22E2"/>
    <w:rsid w:val="009D2749"/>
    <w:rsid w:val="009D28F0"/>
    <w:rsid w:val="009D2A01"/>
    <w:rsid w:val="009D2B92"/>
    <w:rsid w:val="009D3724"/>
    <w:rsid w:val="009D379B"/>
    <w:rsid w:val="009D4053"/>
    <w:rsid w:val="009D56E9"/>
    <w:rsid w:val="009D59EF"/>
    <w:rsid w:val="009D5F6F"/>
    <w:rsid w:val="009D5F8B"/>
    <w:rsid w:val="009D65FC"/>
    <w:rsid w:val="009D6B86"/>
    <w:rsid w:val="009D6B96"/>
    <w:rsid w:val="009D6BB8"/>
    <w:rsid w:val="009D701C"/>
    <w:rsid w:val="009D7031"/>
    <w:rsid w:val="009D7444"/>
    <w:rsid w:val="009D7DBF"/>
    <w:rsid w:val="009E066A"/>
    <w:rsid w:val="009E0EB4"/>
    <w:rsid w:val="009E19BB"/>
    <w:rsid w:val="009E2051"/>
    <w:rsid w:val="009E2552"/>
    <w:rsid w:val="009E3530"/>
    <w:rsid w:val="009E3615"/>
    <w:rsid w:val="009E3B12"/>
    <w:rsid w:val="009E41BF"/>
    <w:rsid w:val="009E425E"/>
    <w:rsid w:val="009E4C0B"/>
    <w:rsid w:val="009E519C"/>
    <w:rsid w:val="009E6CD9"/>
    <w:rsid w:val="009E7647"/>
    <w:rsid w:val="009E7693"/>
    <w:rsid w:val="009F066B"/>
    <w:rsid w:val="009F08A3"/>
    <w:rsid w:val="009F08B3"/>
    <w:rsid w:val="009F0ECC"/>
    <w:rsid w:val="009F0F33"/>
    <w:rsid w:val="009F10C0"/>
    <w:rsid w:val="009F168C"/>
    <w:rsid w:val="009F1895"/>
    <w:rsid w:val="009F1945"/>
    <w:rsid w:val="009F2105"/>
    <w:rsid w:val="009F2B70"/>
    <w:rsid w:val="009F2C92"/>
    <w:rsid w:val="009F3342"/>
    <w:rsid w:val="009F375E"/>
    <w:rsid w:val="009F3E5E"/>
    <w:rsid w:val="009F448A"/>
    <w:rsid w:val="009F470A"/>
    <w:rsid w:val="009F4A89"/>
    <w:rsid w:val="009F4FFF"/>
    <w:rsid w:val="009F5103"/>
    <w:rsid w:val="009F5554"/>
    <w:rsid w:val="009F571A"/>
    <w:rsid w:val="009F590B"/>
    <w:rsid w:val="009F5943"/>
    <w:rsid w:val="009F5DFE"/>
    <w:rsid w:val="009F5E13"/>
    <w:rsid w:val="009F5FA4"/>
    <w:rsid w:val="009F69BE"/>
    <w:rsid w:val="00A0023D"/>
    <w:rsid w:val="00A00408"/>
    <w:rsid w:val="00A00B1A"/>
    <w:rsid w:val="00A00D1C"/>
    <w:rsid w:val="00A00DF7"/>
    <w:rsid w:val="00A01278"/>
    <w:rsid w:val="00A022A0"/>
    <w:rsid w:val="00A030E5"/>
    <w:rsid w:val="00A0347D"/>
    <w:rsid w:val="00A03B20"/>
    <w:rsid w:val="00A03B6D"/>
    <w:rsid w:val="00A03E4F"/>
    <w:rsid w:val="00A0433B"/>
    <w:rsid w:val="00A0437C"/>
    <w:rsid w:val="00A043AE"/>
    <w:rsid w:val="00A04671"/>
    <w:rsid w:val="00A04976"/>
    <w:rsid w:val="00A04D7F"/>
    <w:rsid w:val="00A04E2E"/>
    <w:rsid w:val="00A051B4"/>
    <w:rsid w:val="00A0533A"/>
    <w:rsid w:val="00A061D1"/>
    <w:rsid w:val="00A06275"/>
    <w:rsid w:val="00A07087"/>
    <w:rsid w:val="00A0789D"/>
    <w:rsid w:val="00A07998"/>
    <w:rsid w:val="00A07CF0"/>
    <w:rsid w:val="00A10108"/>
    <w:rsid w:val="00A10BA4"/>
    <w:rsid w:val="00A10E8A"/>
    <w:rsid w:val="00A11994"/>
    <w:rsid w:val="00A11C1B"/>
    <w:rsid w:val="00A11FC6"/>
    <w:rsid w:val="00A124C9"/>
    <w:rsid w:val="00A1264E"/>
    <w:rsid w:val="00A12D59"/>
    <w:rsid w:val="00A13167"/>
    <w:rsid w:val="00A13240"/>
    <w:rsid w:val="00A132F6"/>
    <w:rsid w:val="00A13772"/>
    <w:rsid w:val="00A13A89"/>
    <w:rsid w:val="00A13C2A"/>
    <w:rsid w:val="00A13E1A"/>
    <w:rsid w:val="00A141FB"/>
    <w:rsid w:val="00A14D0B"/>
    <w:rsid w:val="00A14D96"/>
    <w:rsid w:val="00A14E25"/>
    <w:rsid w:val="00A165D3"/>
    <w:rsid w:val="00A175E1"/>
    <w:rsid w:val="00A177B7"/>
    <w:rsid w:val="00A17B4C"/>
    <w:rsid w:val="00A2012D"/>
    <w:rsid w:val="00A20186"/>
    <w:rsid w:val="00A20474"/>
    <w:rsid w:val="00A209A8"/>
    <w:rsid w:val="00A21FEF"/>
    <w:rsid w:val="00A2203D"/>
    <w:rsid w:val="00A22D78"/>
    <w:rsid w:val="00A23DA2"/>
    <w:rsid w:val="00A241E6"/>
    <w:rsid w:val="00A24647"/>
    <w:rsid w:val="00A246B4"/>
    <w:rsid w:val="00A24BEF"/>
    <w:rsid w:val="00A24FB8"/>
    <w:rsid w:val="00A25161"/>
    <w:rsid w:val="00A25210"/>
    <w:rsid w:val="00A25C6D"/>
    <w:rsid w:val="00A25C74"/>
    <w:rsid w:val="00A25D0E"/>
    <w:rsid w:val="00A261B3"/>
    <w:rsid w:val="00A26363"/>
    <w:rsid w:val="00A2645B"/>
    <w:rsid w:val="00A271E9"/>
    <w:rsid w:val="00A2739A"/>
    <w:rsid w:val="00A27D72"/>
    <w:rsid w:val="00A305FD"/>
    <w:rsid w:val="00A30D03"/>
    <w:rsid w:val="00A313AF"/>
    <w:rsid w:val="00A31521"/>
    <w:rsid w:val="00A31589"/>
    <w:rsid w:val="00A3187F"/>
    <w:rsid w:val="00A31B5D"/>
    <w:rsid w:val="00A32FE8"/>
    <w:rsid w:val="00A33616"/>
    <w:rsid w:val="00A33D7D"/>
    <w:rsid w:val="00A33E4B"/>
    <w:rsid w:val="00A34157"/>
    <w:rsid w:val="00A34449"/>
    <w:rsid w:val="00A34973"/>
    <w:rsid w:val="00A34C17"/>
    <w:rsid w:val="00A35653"/>
    <w:rsid w:val="00A366D8"/>
    <w:rsid w:val="00A36DFF"/>
    <w:rsid w:val="00A37038"/>
    <w:rsid w:val="00A37253"/>
    <w:rsid w:val="00A37BB2"/>
    <w:rsid w:val="00A40B87"/>
    <w:rsid w:val="00A40D90"/>
    <w:rsid w:val="00A41790"/>
    <w:rsid w:val="00A41947"/>
    <w:rsid w:val="00A42211"/>
    <w:rsid w:val="00A425A9"/>
    <w:rsid w:val="00A437DC"/>
    <w:rsid w:val="00A43D52"/>
    <w:rsid w:val="00A43DC4"/>
    <w:rsid w:val="00A43F04"/>
    <w:rsid w:val="00A43FD1"/>
    <w:rsid w:val="00A4479E"/>
    <w:rsid w:val="00A450C3"/>
    <w:rsid w:val="00A4531C"/>
    <w:rsid w:val="00A45442"/>
    <w:rsid w:val="00A454EF"/>
    <w:rsid w:val="00A4565B"/>
    <w:rsid w:val="00A45E3B"/>
    <w:rsid w:val="00A474AF"/>
    <w:rsid w:val="00A47837"/>
    <w:rsid w:val="00A47A73"/>
    <w:rsid w:val="00A47DA2"/>
    <w:rsid w:val="00A47E13"/>
    <w:rsid w:val="00A500E5"/>
    <w:rsid w:val="00A5041F"/>
    <w:rsid w:val="00A520E9"/>
    <w:rsid w:val="00A520FC"/>
    <w:rsid w:val="00A52E5B"/>
    <w:rsid w:val="00A53EB5"/>
    <w:rsid w:val="00A54D9D"/>
    <w:rsid w:val="00A5553F"/>
    <w:rsid w:val="00A55796"/>
    <w:rsid w:val="00A557D6"/>
    <w:rsid w:val="00A56AA4"/>
    <w:rsid w:val="00A56D2A"/>
    <w:rsid w:val="00A5799B"/>
    <w:rsid w:val="00A57A96"/>
    <w:rsid w:val="00A60A24"/>
    <w:rsid w:val="00A60BEE"/>
    <w:rsid w:val="00A60C1C"/>
    <w:rsid w:val="00A60E23"/>
    <w:rsid w:val="00A62188"/>
    <w:rsid w:val="00A621AB"/>
    <w:rsid w:val="00A624F4"/>
    <w:rsid w:val="00A629DE"/>
    <w:rsid w:val="00A62C16"/>
    <w:rsid w:val="00A62D75"/>
    <w:rsid w:val="00A643D1"/>
    <w:rsid w:val="00A648FF"/>
    <w:rsid w:val="00A64E81"/>
    <w:rsid w:val="00A64E9C"/>
    <w:rsid w:val="00A6503F"/>
    <w:rsid w:val="00A653B2"/>
    <w:rsid w:val="00A654CE"/>
    <w:rsid w:val="00A65753"/>
    <w:rsid w:val="00A65B75"/>
    <w:rsid w:val="00A65FBB"/>
    <w:rsid w:val="00A666E5"/>
    <w:rsid w:val="00A67CFC"/>
    <w:rsid w:val="00A67D02"/>
    <w:rsid w:val="00A67DAA"/>
    <w:rsid w:val="00A67F04"/>
    <w:rsid w:val="00A704C7"/>
    <w:rsid w:val="00A70DB4"/>
    <w:rsid w:val="00A71772"/>
    <w:rsid w:val="00A71F6F"/>
    <w:rsid w:val="00A72321"/>
    <w:rsid w:val="00A7346E"/>
    <w:rsid w:val="00A740C3"/>
    <w:rsid w:val="00A74179"/>
    <w:rsid w:val="00A742E3"/>
    <w:rsid w:val="00A74F3C"/>
    <w:rsid w:val="00A7509A"/>
    <w:rsid w:val="00A755D7"/>
    <w:rsid w:val="00A75B30"/>
    <w:rsid w:val="00A761B7"/>
    <w:rsid w:val="00A762AB"/>
    <w:rsid w:val="00A76315"/>
    <w:rsid w:val="00A7634E"/>
    <w:rsid w:val="00A765A7"/>
    <w:rsid w:val="00A76758"/>
    <w:rsid w:val="00A767B8"/>
    <w:rsid w:val="00A767D1"/>
    <w:rsid w:val="00A76AF3"/>
    <w:rsid w:val="00A76E53"/>
    <w:rsid w:val="00A77430"/>
    <w:rsid w:val="00A80F48"/>
    <w:rsid w:val="00A80F5E"/>
    <w:rsid w:val="00A81267"/>
    <w:rsid w:val="00A8147D"/>
    <w:rsid w:val="00A815D2"/>
    <w:rsid w:val="00A817A2"/>
    <w:rsid w:val="00A81AD0"/>
    <w:rsid w:val="00A82288"/>
    <w:rsid w:val="00A82348"/>
    <w:rsid w:val="00A8268B"/>
    <w:rsid w:val="00A82897"/>
    <w:rsid w:val="00A828CF"/>
    <w:rsid w:val="00A82C79"/>
    <w:rsid w:val="00A846D5"/>
    <w:rsid w:val="00A8477F"/>
    <w:rsid w:val="00A84FEA"/>
    <w:rsid w:val="00A8503B"/>
    <w:rsid w:val="00A85AF4"/>
    <w:rsid w:val="00A85ED4"/>
    <w:rsid w:val="00A901D0"/>
    <w:rsid w:val="00A90625"/>
    <w:rsid w:val="00A90EA3"/>
    <w:rsid w:val="00A91019"/>
    <w:rsid w:val="00A914DE"/>
    <w:rsid w:val="00A91B2B"/>
    <w:rsid w:val="00A92586"/>
    <w:rsid w:val="00A92F9B"/>
    <w:rsid w:val="00A93376"/>
    <w:rsid w:val="00A933EB"/>
    <w:rsid w:val="00A935EB"/>
    <w:rsid w:val="00A93B9C"/>
    <w:rsid w:val="00A93D99"/>
    <w:rsid w:val="00A94292"/>
    <w:rsid w:val="00A94CB4"/>
    <w:rsid w:val="00A950B8"/>
    <w:rsid w:val="00A95752"/>
    <w:rsid w:val="00A95D64"/>
    <w:rsid w:val="00A9738E"/>
    <w:rsid w:val="00A97C13"/>
    <w:rsid w:val="00A97FA7"/>
    <w:rsid w:val="00AA0130"/>
    <w:rsid w:val="00AA0259"/>
    <w:rsid w:val="00AA0265"/>
    <w:rsid w:val="00AA098D"/>
    <w:rsid w:val="00AA0B0D"/>
    <w:rsid w:val="00AA0C5A"/>
    <w:rsid w:val="00AA13F2"/>
    <w:rsid w:val="00AA1ACE"/>
    <w:rsid w:val="00AA1E38"/>
    <w:rsid w:val="00AA1EFE"/>
    <w:rsid w:val="00AA2EA4"/>
    <w:rsid w:val="00AA33EC"/>
    <w:rsid w:val="00AA34BE"/>
    <w:rsid w:val="00AA374E"/>
    <w:rsid w:val="00AA399F"/>
    <w:rsid w:val="00AA57CE"/>
    <w:rsid w:val="00AA5E71"/>
    <w:rsid w:val="00AA6959"/>
    <w:rsid w:val="00AA7695"/>
    <w:rsid w:val="00AA7E47"/>
    <w:rsid w:val="00AB0307"/>
    <w:rsid w:val="00AB03D2"/>
    <w:rsid w:val="00AB0590"/>
    <w:rsid w:val="00AB06B2"/>
    <w:rsid w:val="00AB09D7"/>
    <w:rsid w:val="00AB0ACC"/>
    <w:rsid w:val="00AB152C"/>
    <w:rsid w:val="00AB24C6"/>
    <w:rsid w:val="00AB271F"/>
    <w:rsid w:val="00AB2B01"/>
    <w:rsid w:val="00AB3126"/>
    <w:rsid w:val="00AB34E9"/>
    <w:rsid w:val="00AB3802"/>
    <w:rsid w:val="00AB3A29"/>
    <w:rsid w:val="00AB3AA4"/>
    <w:rsid w:val="00AB3F00"/>
    <w:rsid w:val="00AB46F6"/>
    <w:rsid w:val="00AB4C2C"/>
    <w:rsid w:val="00AB52BC"/>
    <w:rsid w:val="00AB58B8"/>
    <w:rsid w:val="00AB6912"/>
    <w:rsid w:val="00AB712B"/>
    <w:rsid w:val="00AB7434"/>
    <w:rsid w:val="00AB7BE4"/>
    <w:rsid w:val="00AB7D05"/>
    <w:rsid w:val="00AC0278"/>
    <w:rsid w:val="00AC02D6"/>
    <w:rsid w:val="00AC0C3C"/>
    <w:rsid w:val="00AC2248"/>
    <w:rsid w:val="00AC2D4B"/>
    <w:rsid w:val="00AC31C3"/>
    <w:rsid w:val="00AC3A3B"/>
    <w:rsid w:val="00AC4663"/>
    <w:rsid w:val="00AC4E29"/>
    <w:rsid w:val="00AC5693"/>
    <w:rsid w:val="00AC574B"/>
    <w:rsid w:val="00AC59D8"/>
    <w:rsid w:val="00AC61A0"/>
    <w:rsid w:val="00AC689E"/>
    <w:rsid w:val="00AC694B"/>
    <w:rsid w:val="00AC726A"/>
    <w:rsid w:val="00AC7496"/>
    <w:rsid w:val="00AC789A"/>
    <w:rsid w:val="00AC7F24"/>
    <w:rsid w:val="00AD0D00"/>
    <w:rsid w:val="00AD2153"/>
    <w:rsid w:val="00AD2275"/>
    <w:rsid w:val="00AD29B9"/>
    <w:rsid w:val="00AD317F"/>
    <w:rsid w:val="00AD33D0"/>
    <w:rsid w:val="00AD3637"/>
    <w:rsid w:val="00AD38EC"/>
    <w:rsid w:val="00AD3A02"/>
    <w:rsid w:val="00AD3BB6"/>
    <w:rsid w:val="00AD3BBD"/>
    <w:rsid w:val="00AD4608"/>
    <w:rsid w:val="00AD4EAA"/>
    <w:rsid w:val="00AD50A8"/>
    <w:rsid w:val="00AD55E2"/>
    <w:rsid w:val="00AD5E50"/>
    <w:rsid w:val="00AD5FF0"/>
    <w:rsid w:val="00AD65C3"/>
    <w:rsid w:val="00AD73D8"/>
    <w:rsid w:val="00AD7512"/>
    <w:rsid w:val="00AD7845"/>
    <w:rsid w:val="00AD799B"/>
    <w:rsid w:val="00AD7A21"/>
    <w:rsid w:val="00AE05FC"/>
    <w:rsid w:val="00AE0619"/>
    <w:rsid w:val="00AE0C11"/>
    <w:rsid w:val="00AE1118"/>
    <w:rsid w:val="00AE120E"/>
    <w:rsid w:val="00AE1262"/>
    <w:rsid w:val="00AE1BE6"/>
    <w:rsid w:val="00AE20CA"/>
    <w:rsid w:val="00AE2363"/>
    <w:rsid w:val="00AE292B"/>
    <w:rsid w:val="00AE38E5"/>
    <w:rsid w:val="00AE4720"/>
    <w:rsid w:val="00AE4813"/>
    <w:rsid w:val="00AE5033"/>
    <w:rsid w:val="00AE5F10"/>
    <w:rsid w:val="00AE6648"/>
    <w:rsid w:val="00AE6A47"/>
    <w:rsid w:val="00AE6AFB"/>
    <w:rsid w:val="00AE7551"/>
    <w:rsid w:val="00AE7CE4"/>
    <w:rsid w:val="00AF0738"/>
    <w:rsid w:val="00AF1744"/>
    <w:rsid w:val="00AF1BA3"/>
    <w:rsid w:val="00AF2127"/>
    <w:rsid w:val="00AF2276"/>
    <w:rsid w:val="00AF27C6"/>
    <w:rsid w:val="00AF27D5"/>
    <w:rsid w:val="00AF2872"/>
    <w:rsid w:val="00AF2D45"/>
    <w:rsid w:val="00AF35C3"/>
    <w:rsid w:val="00AF3DDA"/>
    <w:rsid w:val="00AF499F"/>
    <w:rsid w:val="00AF5864"/>
    <w:rsid w:val="00AF628B"/>
    <w:rsid w:val="00AF68E1"/>
    <w:rsid w:val="00AF6C83"/>
    <w:rsid w:val="00AF6D13"/>
    <w:rsid w:val="00AF6FEF"/>
    <w:rsid w:val="00AF74FB"/>
    <w:rsid w:val="00AF779B"/>
    <w:rsid w:val="00B0034B"/>
    <w:rsid w:val="00B00D2D"/>
    <w:rsid w:val="00B01A0A"/>
    <w:rsid w:val="00B02182"/>
    <w:rsid w:val="00B022E4"/>
    <w:rsid w:val="00B0396C"/>
    <w:rsid w:val="00B03E95"/>
    <w:rsid w:val="00B040B3"/>
    <w:rsid w:val="00B04E72"/>
    <w:rsid w:val="00B05555"/>
    <w:rsid w:val="00B05A89"/>
    <w:rsid w:val="00B064C9"/>
    <w:rsid w:val="00B07415"/>
    <w:rsid w:val="00B07EE8"/>
    <w:rsid w:val="00B101F7"/>
    <w:rsid w:val="00B10311"/>
    <w:rsid w:val="00B105F3"/>
    <w:rsid w:val="00B1097D"/>
    <w:rsid w:val="00B11699"/>
    <w:rsid w:val="00B11A2F"/>
    <w:rsid w:val="00B12AA3"/>
    <w:rsid w:val="00B13188"/>
    <w:rsid w:val="00B132D2"/>
    <w:rsid w:val="00B13BF6"/>
    <w:rsid w:val="00B13F90"/>
    <w:rsid w:val="00B14099"/>
    <w:rsid w:val="00B140D7"/>
    <w:rsid w:val="00B1575F"/>
    <w:rsid w:val="00B15958"/>
    <w:rsid w:val="00B15C19"/>
    <w:rsid w:val="00B1664D"/>
    <w:rsid w:val="00B1692C"/>
    <w:rsid w:val="00B16A77"/>
    <w:rsid w:val="00B17472"/>
    <w:rsid w:val="00B174E5"/>
    <w:rsid w:val="00B17896"/>
    <w:rsid w:val="00B17B5C"/>
    <w:rsid w:val="00B205E8"/>
    <w:rsid w:val="00B20A3D"/>
    <w:rsid w:val="00B21160"/>
    <w:rsid w:val="00B21470"/>
    <w:rsid w:val="00B218FF"/>
    <w:rsid w:val="00B21A65"/>
    <w:rsid w:val="00B22887"/>
    <w:rsid w:val="00B22EE9"/>
    <w:rsid w:val="00B23B0E"/>
    <w:rsid w:val="00B23F35"/>
    <w:rsid w:val="00B24173"/>
    <w:rsid w:val="00B24A9C"/>
    <w:rsid w:val="00B24CA1"/>
    <w:rsid w:val="00B24F2B"/>
    <w:rsid w:val="00B25634"/>
    <w:rsid w:val="00B259E7"/>
    <w:rsid w:val="00B25B47"/>
    <w:rsid w:val="00B25E48"/>
    <w:rsid w:val="00B2604A"/>
    <w:rsid w:val="00B26578"/>
    <w:rsid w:val="00B26682"/>
    <w:rsid w:val="00B26C8D"/>
    <w:rsid w:val="00B26EE9"/>
    <w:rsid w:val="00B30247"/>
    <w:rsid w:val="00B302CE"/>
    <w:rsid w:val="00B321A8"/>
    <w:rsid w:val="00B322C6"/>
    <w:rsid w:val="00B325A6"/>
    <w:rsid w:val="00B328C6"/>
    <w:rsid w:val="00B329D8"/>
    <w:rsid w:val="00B32A8A"/>
    <w:rsid w:val="00B3348E"/>
    <w:rsid w:val="00B3367B"/>
    <w:rsid w:val="00B3374E"/>
    <w:rsid w:val="00B338C7"/>
    <w:rsid w:val="00B33AAD"/>
    <w:rsid w:val="00B33DC3"/>
    <w:rsid w:val="00B3406B"/>
    <w:rsid w:val="00B3424B"/>
    <w:rsid w:val="00B3476A"/>
    <w:rsid w:val="00B3486C"/>
    <w:rsid w:val="00B34A3C"/>
    <w:rsid w:val="00B34BEC"/>
    <w:rsid w:val="00B35875"/>
    <w:rsid w:val="00B35B62"/>
    <w:rsid w:val="00B35C8A"/>
    <w:rsid w:val="00B365B9"/>
    <w:rsid w:val="00B36954"/>
    <w:rsid w:val="00B36C70"/>
    <w:rsid w:val="00B37803"/>
    <w:rsid w:val="00B37B27"/>
    <w:rsid w:val="00B37DCE"/>
    <w:rsid w:val="00B40364"/>
    <w:rsid w:val="00B403D6"/>
    <w:rsid w:val="00B406CB"/>
    <w:rsid w:val="00B4072C"/>
    <w:rsid w:val="00B4135D"/>
    <w:rsid w:val="00B421C2"/>
    <w:rsid w:val="00B427D2"/>
    <w:rsid w:val="00B444CA"/>
    <w:rsid w:val="00B447BA"/>
    <w:rsid w:val="00B44A41"/>
    <w:rsid w:val="00B44B49"/>
    <w:rsid w:val="00B452D3"/>
    <w:rsid w:val="00B453C6"/>
    <w:rsid w:val="00B4589F"/>
    <w:rsid w:val="00B45A2A"/>
    <w:rsid w:val="00B45F29"/>
    <w:rsid w:val="00B461CE"/>
    <w:rsid w:val="00B46D5C"/>
    <w:rsid w:val="00B47391"/>
    <w:rsid w:val="00B4756D"/>
    <w:rsid w:val="00B477E0"/>
    <w:rsid w:val="00B47A9C"/>
    <w:rsid w:val="00B500C7"/>
    <w:rsid w:val="00B50473"/>
    <w:rsid w:val="00B50A00"/>
    <w:rsid w:val="00B50F76"/>
    <w:rsid w:val="00B515E8"/>
    <w:rsid w:val="00B51811"/>
    <w:rsid w:val="00B51F41"/>
    <w:rsid w:val="00B5207D"/>
    <w:rsid w:val="00B5208F"/>
    <w:rsid w:val="00B52926"/>
    <w:rsid w:val="00B52AF9"/>
    <w:rsid w:val="00B52D13"/>
    <w:rsid w:val="00B5394A"/>
    <w:rsid w:val="00B53AD4"/>
    <w:rsid w:val="00B54860"/>
    <w:rsid w:val="00B54987"/>
    <w:rsid w:val="00B55CE6"/>
    <w:rsid w:val="00B56C17"/>
    <w:rsid w:val="00B56D3E"/>
    <w:rsid w:val="00B57916"/>
    <w:rsid w:val="00B6179C"/>
    <w:rsid w:val="00B61A30"/>
    <w:rsid w:val="00B61B37"/>
    <w:rsid w:val="00B61DA8"/>
    <w:rsid w:val="00B62185"/>
    <w:rsid w:val="00B62DF3"/>
    <w:rsid w:val="00B632F2"/>
    <w:rsid w:val="00B6332F"/>
    <w:rsid w:val="00B63343"/>
    <w:rsid w:val="00B6366B"/>
    <w:rsid w:val="00B63ABE"/>
    <w:rsid w:val="00B63D47"/>
    <w:rsid w:val="00B63FFE"/>
    <w:rsid w:val="00B64241"/>
    <w:rsid w:val="00B6450A"/>
    <w:rsid w:val="00B649A2"/>
    <w:rsid w:val="00B65100"/>
    <w:rsid w:val="00B659F7"/>
    <w:rsid w:val="00B65E53"/>
    <w:rsid w:val="00B6635F"/>
    <w:rsid w:val="00B6665A"/>
    <w:rsid w:val="00B67781"/>
    <w:rsid w:val="00B67BE7"/>
    <w:rsid w:val="00B704CD"/>
    <w:rsid w:val="00B704F6"/>
    <w:rsid w:val="00B712F0"/>
    <w:rsid w:val="00B724BE"/>
    <w:rsid w:val="00B72705"/>
    <w:rsid w:val="00B729BC"/>
    <w:rsid w:val="00B7380B"/>
    <w:rsid w:val="00B73BE4"/>
    <w:rsid w:val="00B74208"/>
    <w:rsid w:val="00B75F1B"/>
    <w:rsid w:val="00B761C4"/>
    <w:rsid w:val="00B763B8"/>
    <w:rsid w:val="00B76C51"/>
    <w:rsid w:val="00B77452"/>
    <w:rsid w:val="00B80187"/>
    <w:rsid w:val="00B805BA"/>
    <w:rsid w:val="00B81D88"/>
    <w:rsid w:val="00B81DE9"/>
    <w:rsid w:val="00B820BA"/>
    <w:rsid w:val="00B827E1"/>
    <w:rsid w:val="00B82BBC"/>
    <w:rsid w:val="00B82E13"/>
    <w:rsid w:val="00B82E90"/>
    <w:rsid w:val="00B83AFB"/>
    <w:rsid w:val="00B83CF9"/>
    <w:rsid w:val="00B84243"/>
    <w:rsid w:val="00B84845"/>
    <w:rsid w:val="00B84D77"/>
    <w:rsid w:val="00B85E88"/>
    <w:rsid w:val="00B85F51"/>
    <w:rsid w:val="00B864A6"/>
    <w:rsid w:val="00B866A7"/>
    <w:rsid w:val="00B904F4"/>
    <w:rsid w:val="00B909C9"/>
    <w:rsid w:val="00B9110A"/>
    <w:rsid w:val="00B9140A"/>
    <w:rsid w:val="00B91B48"/>
    <w:rsid w:val="00B92681"/>
    <w:rsid w:val="00B928D6"/>
    <w:rsid w:val="00B93220"/>
    <w:rsid w:val="00B9336B"/>
    <w:rsid w:val="00B9352F"/>
    <w:rsid w:val="00B94725"/>
    <w:rsid w:val="00B948ED"/>
    <w:rsid w:val="00B95350"/>
    <w:rsid w:val="00B95E15"/>
    <w:rsid w:val="00B95F57"/>
    <w:rsid w:val="00B96153"/>
    <w:rsid w:val="00B96209"/>
    <w:rsid w:val="00B9667E"/>
    <w:rsid w:val="00B967B9"/>
    <w:rsid w:val="00B96A1F"/>
    <w:rsid w:val="00B96BF5"/>
    <w:rsid w:val="00BA03B6"/>
    <w:rsid w:val="00BA15EA"/>
    <w:rsid w:val="00BA210A"/>
    <w:rsid w:val="00BA2178"/>
    <w:rsid w:val="00BA2513"/>
    <w:rsid w:val="00BA2635"/>
    <w:rsid w:val="00BA2715"/>
    <w:rsid w:val="00BA2814"/>
    <w:rsid w:val="00BA326B"/>
    <w:rsid w:val="00BA356E"/>
    <w:rsid w:val="00BA37A8"/>
    <w:rsid w:val="00BA38A2"/>
    <w:rsid w:val="00BA3A82"/>
    <w:rsid w:val="00BA3CE6"/>
    <w:rsid w:val="00BA3F36"/>
    <w:rsid w:val="00BA40B1"/>
    <w:rsid w:val="00BA472B"/>
    <w:rsid w:val="00BA4888"/>
    <w:rsid w:val="00BA4D5A"/>
    <w:rsid w:val="00BA4E1B"/>
    <w:rsid w:val="00BA4F4B"/>
    <w:rsid w:val="00BA56F9"/>
    <w:rsid w:val="00BA5902"/>
    <w:rsid w:val="00BA5D30"/>
    <w:rsid w:val="00BA635B"/>
    <w:rsid w:val="00BA6565"/>
    <w:rsid w:val="00BA677C"/>
    <w:rsid w:val="00BA6CEA"/>
    <w:rsid w:val="00BA735F"/>
    <w:rsid w:val="00BA7F1E"/>
    <w:rsid w:val="00BB080F"/>
    <w:rsid w:val="00BB090A"/>
    <w:rsid w:val="00BB128B"/>
    <w:rsid w:val="00BB1865"/>
    <w:rsid w:val="00BB20DC"/>
    <w:rsid w:val="00BB2107"/>
    <w:rsid w:val="00BB22B8"/>
    <w:rsid w:val="00BB38E9"/>
    <w:rsid w:val="00BB4401"/>
    <w:rsid w:val="00BB48DE"/>
    <w:rsid w:val="00BB4B76"/>
    <w:rsid w:val="00BB52B7"/>
    <w:rsid w:val="00BB5912"/>
    <w:rsid w:val="00BB5936"/>
    <w:rsid w:val="00BB7B7A"/>
    <w:rsid w:val="00BB7BB4"/>
    <w:rsid w:val="00BC0525"/>
    <w:rsid w:val="00BC07AA"/>
    <w:rsid w:val="00BC28D9"/>
    <w:rsid w:val="00BC3491"/>
    <w:rsid w:val="00BC3C39"/>
    <w:rsid w:val="00BC440B"/>
    <w:rsid w:val="00BC461C"/>
    <w:rsid w:val="00BC48AA"/>
    <w:rsid w:val="00BC4B37"/>
    <w:rsid w:val="00BC4C01"/>
    <w:rsid w:val="00BC51D1"/>
    <w:rsid w:val="00BC54D9"/>
    <w:rsid w:val="00BC5CE8"/>
    <w:rsid w:val="00BC6A04"/>
    <w:rsid w:val="00BC6C03"/>
    <w:rsid w:val="00BC6D56"/>
    <w:rsid w:val="00BC722E"/>
    <w:rsid w:val="00BC7911"/>
    <w:rsid w:val="00BC7F3B"/>
    <w:rsid w:val="00BD042D"/>
    <w:rsid w:val="00BD04FA"/>
    <w:rsid w:val="00BD1F5D"/>
    <w:rsid w:val="00BD2440"/>
    <w:rsid w:val="00BD26EE"/>
    <w:rsid w:val="00BD2F34"/>
    <w:rsid w:val="00BD3925"/>
    <w:rsid w:val="00BD3AA6"/>
    <w:rsid w:val="00BD42C3"/>
    <w:rsid w:val="00BD44AC"/>
    <w:rsid w:val="00BD5275"/>
    <w:rsid w:val="00BD5BE3"/>
    <w:rsid w:val="00BD67D8"/>
    <w:rsid w:val="00BD697D"/>
    <w:rsid w:val="00BD6CFC"/>
    <w:rsid w:val="00BD6ED7"/>
    <w:rsid w:val="00BD6F33"/>
    <w:rsid w:val="00BD6FCD"/>
    <w:rsid w:val="00BD7A82"/>
    <w:rsid w:val="00BD7BBA"/>
    <w:rsid w:val="00BE09E2"/>
    <w:rsid w:val="00BE10E5"/>
    <w:rsid w:val="00BE12FE"/>
    <w:rsid w:val="00BE14A1"/>
    <w:rsid w:val="00BE1B10"/>
    <w:rsid w:val="00BE1BC7"/>
    <w:rsid w:val="00BE2C7D"/>
    <w:rsid w:val="00BE342E"/>
    <w:rsid w:val="00BE3446"/>
    <w:rsid w:val="00BE36E8"/>
    <w:rsid w:val="00BE3789"/>
    <w:rsid w:val="00BE3A60"/>
    <w:rsid w:val="00BE3B21"/>
    <w:rsid w:val="00BE42EB"/>
    <w:rsid w:val="00BE499D"/>
    <w:rsid w:val="00BE4F2D"/>
    <w:rsid w:val="00BE5170"/>
    <w:rsid w:val="00BE630A"/>
    <w:rsid w:val="00BE6A57"/>
    <w:rsid w:val="00BE6D20"/>
    <w:rsid w:val="00BE72D9"/>
    <w:rsid w:val="00BE763F"/>
    <w:rsid w:val="00BE7D4C"/>
    <w:rsid w:val="00BE7E16"/>
    <w:rsid w:val="00BE7F99"/>
    <w:rsid w:val="00BF016C"/>
    <w:rsid w:val="00BF02E5"/>
    <w:rsid w:val="00BF04AC"/>
    <w:rsid w:val="00BF085B"/>
    <w:rsid w:val="00BF232A"/>
    <w:rsid w:val="00BF235E"/>
    <w:rsid w:val="00BF2468"/>
    <w:rsid w:val="00BF247A"/>
    <w:rsid w:val="00BF2648"/>
    <w:rsid w:val="00BF28BD"/>
    <w:rsid w:val="00BF28E7"/>
    <w:rsid w:val="00BF41BB"/>
    <w:rsid w:val="00BF4C96"/>
    <w:rsid w:val="00BF4FAD"/>
    <w:rsid w:val="00BF5085"/>
    <w:rsid w:val="00BF5C9C"/>
    <w:rsid w:val="00BF653A"/>
    <w:rsid w:val="00BF667C"/>
    <w:rsid w:val="00BF69D6"/>
    <w:rsid w:val="00BF6AFF"/>
    <w:rsid w:val="00BF7131"/>
    <w:rsid w:val="00BF72BF"/>
    <w:rsid w:val="00BF7A46"/>
    <w:rsid w:val="00BF7AF3"/>
    <w:rsid w:val="00C00798"/>
    <w:rsid w:val="00C008A9"/>
    <w:rsid w:val="00C00966"/>
    <w:rsid w:val="00C00B08"/>
    <w:rsid w:val="00C00CDB"/>
    <w:rsid w:val="00C010DA"/>
    <w:rsid w:val="00C01292"/>
    <w:rsid w:val="00C01B44"/>
    <w:rsid w:val="00C01CC1"/>
    <w:rsid w:val="00C01F8A"/>
    <w:rsid w:val="00C023E2"/>
    <w:rsid w:val="00C03697"/>
    <w:rsid w:val="00C04DB5"/>
    <w:rsid w:val="00C04ED3"/>
    <w:rsid w:val="00C0589C"/>
    <w:rsid w:val="00C07180"/>
    <w:rsid w:val="00C072BA"/>
    <w:rsid w:val="00C07A84"/>
    <w:rsid w:val="00C101E5"/>
    <w:rsid w:val="00C108E8"/>
    <w:rsid w:val="00C10A02"/>
    <w:rsid w:val="00C10A26"/>
    <w:rsid w:val="00C10D5C"/>
    <w:rsid w:val="00C128E4"/>
    <w:rsid w:val="00C1376C"/>
    <w:rsid w:val="00C13E11"/>
    <w:rsid w:val="00C140EA"/>
    <w:rsid w:val="00C1462F"/>
    <w:rsid w:val="00C146F7"/>
    <w:rsid w:val="00C14AE1"/>
    <w:rsid w:val="00C153F8"/>
    <w:rsid w:val="00C1565A"/>
    <w:rsid w:val="00C15BE9"/>
    <w:rsid w:val="00C16254"/>
    <w:rsid w:val="00C167CD"/>
    <w:rsid w:val="00C1705A"/>
    <w:rsid w:val="00C17836"/>
    <w:rsid w:val="00C211BE"/>
    <w:rsid w:val="00C21603"/>
    <w:rsid w:val="00C21C81"/>
    <w:rsid w:val="00C21FD7"/>
    <w:rsid w:val="00C22CC5"/>
    <w:rsid w:val="00C22D52"/>
    <w:rsid w:val="00C22F2E"/>
    <w:rsid w:val="00C230E9"/>
    <w:rsid w:val="00C2310B"/>
    <w:rsid w:val="00C238B9"/>
    <w:rsid w:val="00C23EF4"/>
    <w:rsid w:val="00C241F0"/>
    <w:rsid w:val="00C24820"/>
    <w:rsid w:val="00C24B4C"/>
    <w:rsid w:val="00C250C5"/>
    <w:rsid w:val="00C2528C"/>
    <w:rsid w:val="00C25BB8"/>
    <w:rsid w:val="00C25BE7"/>
    <w:rsid w:val="00C25FBE"/>
    <w:rsid w:val="00C269AB"/>
    <w:rsid w:val="00C27683"/>
    <w:rsid w:val="00C278A2"/>
    <w:rsid w:val="00C27C09"/>
    <w:rsid w:val="00C27DDC"/>
    <w:rsid w:val="00C3004A"/>
    <w:rsid w:val="00C30582"/>
    <w:rsid w:val="00C3075E"/>
    <w:rsid w:val="00C3088E"/>
    <w:rsid w:val="00C3098D"/>
    <w:rsid w:val="00C30AE6"/>
    <w:rsid w:val="00C30C02"/>
    <w:rsid w:val="00C3399B"/>
    <w:rsid w:val="00C33C19"/>
    <w:rsid w:val="00C343FD"/>
    <w:rsid w:val="00C345F6"/>
    <w:rsid w:val="00C34DAD"/>
    <w:rsid w:val="00C3710C"/>
    <w:rsid w:val="00C3785A"/>
    <w:rsid w:val="00C4047A"/>
    <w:rsid w:val="00C4049A"/>
    <w:rsid w:val="00C40595"/>
    <w:rsid w:val="00C4079D"/>
    <w:rsid w:val="00C40D2C"/>
    <w:rsid w:val="00C41627"/>
    <w:rsid w:val="00C4164E"/>
    <w:rsid w:val="00C41817"/>
    <w:rsid w:val="00C42622"/>
    <w:rsid w:val="00C429DD"/>
    <w:rsid w:val="00C42BF0"/>
    <w:rsid w:val="00C43910"/>
    <w:rsid w:val="00C43BB3"/>
    <w:rsid w:val="00C43D31"/>
    <w:rsid w:val="00C44736"/>
    <w:rsid w:val="00C448CC"/>
    <w:rsid w:val="00C44C95"/>
    <w:rsid w:val="00C44FAC"/>
    <w:rsid w:val="00C45332"/>
    <w:rsid w:val="00C4566C"/>
    <w:rsid w:val="00C4597A"/>
    <w:rsid w:val="00C462BC"/>
    <w:rsid w:val="00C4635D"/>
    <w:rsid w:val="00C464D0"/>
    <w:rsid w:val="00C46786"/>
    <w:rsid w:val="00C46887"/>
    <w:rsid w:val="00C46D6C"/>
    <w:rsid w:val="00C46D9B"/>
    <w:rsid w:val="00C47932"/>
    <w:rsid w:val="00C503C4"/>
    <w:rsid w:val="00C510E5"/>
    <w:rsid w:val="00C51C3B"/>
    <w:rsid w:val="00C52316"/>
    <w:rsid w:val="00C52AD2"/>
    <w:rsid w:val="00C52BF9"/>
    <w:rsid w:val="00C52FB8"/>
    <w:rsid w:val="00C53989"/>
    <w:rsid w:val="00C5443F"/>
    <w:rsid w:val="00C54619"/>
    <w:rsid w:val="00C5494F"/>
    <w:rsid w:val="00C54CD3"/>
    <w:rsid w:val="00C54CD5"/>
    <w:rsid w:val="00C551D9"/>
    <w:rsid w:val="00C551FC"/>
    <w:rsid w:val="00C553E4"/>
    <w:rsid w:val="00C553F5"/>
    <w:rsid w:val="00C55D55"/>
    <w:rsid w:val="00C5693C"/>
    <w:rsid w:val="00C56DAB"/>
    <w:rsid w:val="00C57A7D"/>
    <w:rsid w:val="00C60253"/>
    <w:rsid w:val="00C60352"/>
    <w:rsid w:val="00C60DA4"/>
    <w:rsid w:val="00C6106B"/>
    <w:rsid w:val="00C61648"/>
    <w:rsid w:val="00C61656"/>
    <w:rsid w:val="00C6176D"/>
    <w:rsid w:val="00C61B5B"/>
    <w:rsid w:val="00C61F9A"/>
    <w:rsid w:val="00C6202E"/>
    <w:rsid w:val="00C62FCF"/>
    <w:rsid w:val="00C630FA"/>
    <w:rsid w:val="00C63338"/>
    <w:rsid w:val="00C63705"/>
    <w:rsid w:val="00C63D68"/>
    <w:rsid w:val="00C63FE8"/>
    <w:rsid w:val="00C64663"/>
    <w:rsid w:val="00C64CB1"/>
    <w:rsid w:val="00C64CE0"/>
    <w:rsid w:val="00C6536A"/>
    <w:rsid w:val="00C66601"/>
    <w:rsid w:val="00C6671E"/>
    <w:rsid w:val="00C67481"/>
    <w:rsid w:val="00C67AA7"/>
    <w:rsid w:val="00C700B4"/>
    <w:rsid w:val="00C70B21"/>
    <w:rsid w:val="00C7104F"/>
    <w:rsid w:val="00C716AC"/>
    <w:rsid w:val="00C71717"/>
    <w:rsid w:val="00C717EE"/>
    <w:rsid w:val="00C71A84"/>
    <w:rsid w:val="00C7209B"/>
    <w:rsid w:val="00C72287"/>
    <w:rsid w:val="00C72B51"/>
    <w:rsid w:val="00C72D75"/>
    <w:rsid w:val="00C730A7"/>
    <w:rsid w:val="00C730D9"/>
    <w:rsid w:val="00C735FA"/>
    <w:rsid w:val="00C739B3"/>
    <w:rsid w:val="00C73B2A"/>
    <w:rsid w:val="00C73FE3"/>
    <w:rsid w:val="00C74042"/>
    <w:rsid w:val="00C74CE6"/>
    <w:rsid w:val="00C752A6"/>
    <w:rsid w:val="00C755B7"/>
    <w:rsid w:val="00C757AA"/>
    <w:rsid w:val="00C75CA2"/>
    <w:rsid w:val="00C76A7F"/>
    <w:rsid w:val="00C778BE"/>
    <w:rsid w:val="00C8067B"/>
    <w:rsid w:val="00C80F16"/>
    <w:rsid w:val="00C80F2A"/>
    <w:rsid w:val="00C81AA0"/>
    <w:rsid w:val="00C81BBA"/>
    <w:rsid w:val="00C820AC"/>
    <w:rsid w:val="00C82275"/>
    <w:rsid w:val="00C82F01"/>
    <w:rsid w:val="00C831C4"/>
    <w:rsid w:val="00C838D0"/>
    <w:rsid w:val="00C84C6C"/>
    <w:rsid w:val="00C84D56"/>
    <w:rsid w:val="00C851E1"/>
    <w:rsid w:val="00C8522D"/>
    <w:rsid w:val="00C85626"/>
    <w:rsid w:val="00C8562B"/>
    <w:rsid w:val="00C856E8"/>
    <w:rsid w:val="00C863C6"/>
    <w:rsid w:val="00C86613"/>
    <w:rsid w:val="00C86AEB"/>
    <w:rsid w:val="00C875CA"/>
    <w:rsid w:val="00C87AEE"/>
    <w:rsid w:val="00C87E60"/>
    <w:rsid w:val="00C87F2E"/>
    <w:rsid w:val="00C9129B"/>
    <w:rsid w:val="00C91BF7"/>
    <w:rsid w:val="00C91E4F"/>
    <w:rsid w:val="00C91EE4"/>
    <w:rsid w:val="00C93770"/>
    <w:rsid w:val="00C93F63"/>
    <w:rsid w:val="00C94093"/>
    <w:rsid w:val="00C940DB"/>
    <w:rsid w:val="00C94FAF"/>
    <w:rsid w:val="00C956AC"/>
    <w:rsid w:val="00C968B1"/>
    <w:rsid w:val="00C979C6"/>
    <w:rsid w:val="00CA0777"/>
    <w:rsid w:val="00CA07EA"/>
    <w:rsid w:val="00CA0AC7"/>
    <w:rsid w:val="00CA0B90"/>
    <w:rsid w:val="00CA16E3"/>
    <w:rsid w:val="00CA1788"/>
    <w:rsid w:val="00CA2010"/>
    <w:rsid w:val="00CA2341"/>
    <w:rsid w:val="00CA260A"/>
    <w:rsid w:val="00CA2624"/>
    <w:rsid w:val="00CA2685"/>
    <w:rsid w:val="00CA2748"/>
    <w:rsid w:val="00CA2A85"/>
    <w:rsid w:val="00CA2ABB"/>
    <w:rsid w:val="00CA3575"/>
    <w:rsid w:val="00CA3752"/>
    <w:rsid w:val="00CA3BFA"/>
    <w:rsid w:val="00CA3D06"/>
    <w:rsid w:val="00CA526E"/>
    <w:rsid w:val="00CA53E2"/>
    <w:rsid w:val="00CA553D"/>
    <w:rsid w:val="00CA6036"/>
    <w:rsid w:val="00CA720C"/>
    <w:rsid w:val="00CA7709"/>
    <w:rsid w:val="00CA7797"/>
    <w:rsid w:val="00CA77CC"/>
    <w:rsid w:val="00CA7A80"/>
    <w:rsid w:val="00CB096B"/>
    <w:rsid w:val="00CB12B5"/>
    <w:rsid w:val="00CB1345"/>
    <w:rsid w:val="00CB16FD"/>
    <w:rsid w:val="00CB1EBB"/>
    <w:rsid w:val="00CB2034"/>
    <w:rsid w:val="00CB21F3"/>
    <w:rsid w:val="00CB2C7D"/>
    <w:rsid w:val="00CB3575"/>
    <w:rsid w:val="00CB3705"/>
    <w:rsid w:val="00CB379A"/>
    <w:rsid w:val="00CB38D3"/>
    <w:rsid w:val="00CB3B57"/>
    <w:rsid w:val="00CB4234"/>
    <w:rsid w:val="00CB427B"/>
    <w:rsid w:val="00CB44F4"/>
    <w:rsid w:val="00CB4C1B"/>
    <w:rsid w:val="00CB4C2A"/>
    <w:rsid w:val="00CB5023"/>
    <w:rsid w:val="00CB559D"/>
    <w:rsid w:val="00CB56CC"/>
    <w:rsid w:val="00CB576E"/>
    <w:rsid w:val="00CB59A5"/>
    <w:rsid w:val="00CB5B98"/>
    <w:rsid w:val="00CB668F"/>
    <w:rsid w:val="00CB68AD"/>
    <w:rsid w:val="00CB6F2E"/>
    <w:rsid w:val="00CB7144"/>
    <w:rsid w:val="00CB7573"/>
    <w:rsid w:val="00CB7B5B"/>
    <w:rsid w:val="00CC0A57"/>
    <w:rsid w:val="00CC118F"/>
    <w:rsid w:val="00CC11E5"/>
    <w:rsid w:val="00CC17A3"/>
    <w:rsid w:val="00CC1B75"/>
    <w:rsid w:val="00CC2867"/>
    <w:rsid w:val="00CC2A73"/>
    <w:rsid w:val="00CC2EE6"/>
    <w:rsid w:val="00CC379B"/>
    <w:rsid w:val="00CC3ABF"/>
    <w:rsid w:val="00CC4795"/>
    <w:rsid w:val="00CC4876"/>
    <w:rsid w:val="00CC4DBF"/>
    <w:rsid w:val="00CC4FDF"/>
    <w:rsid w:val="00CC56C9"/>
    <w:rsid w:val="00CC5AE1"/>
    <w:rsid w:val="00CC5B5F"/>
    <w:rsid w:val="00CC667E"/>
    <w:rsid w:val="00CC712D"/>
    <w:rsid w:val="00CC7221"/>
    <w:rsid w:val="00CC767F"/>
    <w:rsid w:val="00CC784E"/>
    <w:rsid w:val="00CC7E41"/>
    <w:rsid w:val="00CC7E8E"/>
    <w:rsid w:val="00CD0768"/>
    <w:rsid w:val="00CD07B9"/>
    <w:rsid w:val="00CD1208"/>
    <w:rsid w:val="00CD16E8"/>
    <w:rsid w:val="00CD17F8"/>
    <w:rsid w:val="00CD1B13"/>
    <w:rsid w:val="00CD238C"/>
    <w:rsid w:val="00CD311E"/>
    <w:rsid w:val="00CD32FE"/>
    <w:rsid w:val="00CD330E"/>
    <w:rsid w:val="00CD34EF"/>
    <w:rsid w:val="00CD3B94"/>
    <w:rsid w:val="00CD4163"/>
    <w:rsid w:val="00CD440B"/>
    <w:rsid w:val="00CD4661"/>
    <w:rsid w:val="00CD4FD5"/>
    <w:rsid w:val="00CD52F2"/>
    <w:rsid w:val="00CD5E36"/>
    <w:rsid w:val="00CD69CB"/>
    <w:rsid w:val="00CD6A7A"/>
    <w:rsid w:val="00CD7167"/>
    <w:rsid w:val="00CD7665"/>
    <w:rsid w:val="00CD7B1B"/>
    <w:rsid w:val="00CD7B88"/>
    <w:rsid w:val="00CD7FF8"/>
    <w:rsid w:val="00CE0081"/>
    <w:rsid w:val="00CE0326"/>
    <w:rsid w:val="00CE1B74"/>
    <w:rsid w:val="00CE1FA7"/>
    <w:rsid w:val="00CE2306"/>
    <w:rsid w:val="00CE2530"/>
    <w:rsid w:val="00CE31FE"/>
    <w:rsid w:val="00CE322A"/>
    <w:rsid w:val="00CE33DD"/>
    <w:rsid w:val="00CE39B9"/>
    <w:rsid w:val="00CE3E71"/>
    <w:rsid w:val="00CE3F1F"/>
    <w:rsid w:val="00CE4524"/>
    <w:rsid w:val="00CE4B24"/>
    <w:rsid w:val="00CE4B7A"/>
    <w:rsid w:val="00CE573A"/>
    <w:rsid w:val="00CE5B84"/>
    <w:rsid w:val="00CE5BBC"/>
    <w:rsid w:val="00CE79C9"/>
    <w:rsid w:val="00CE79F2"/>
    <w:rsid w:val="00CE7C93"/>
    <w:rsid w:val="00CE7EBA"/>
    <w:rsid w:val="00CF04B2"/>
    <w:rsid w:val="00CF12DA"/>
    <w:rsid w:val="00CF143D"/>
    <w:rsid w:val="00CF1F73"/>
    <w:rsid w:val="00CF20FE"/>
    <w:rsid w:val="00CF2165"/>
    <w:rsid w:val="00CF2461"/>
    <w:rsid w:val="00CF2ACB"/>
    <w:rsid w:val="00CF2B5B"/>
    <w:rsid w:val="00CF351C"/>
    <w:rsid w:val="00CF35DF"/>
    <w:rsid w:val="00CF3A1E"/>
    <w:rsid w:val="00CF3D87"/>
    <w:rsid w:val="00CF4786"/>
    <w:rsid w:val="00CF487E"/>
    <w:rsid w:val="00CF48BF"/>
    <w:rsid w:val="00CF57B7"/>
    <w:rsid w:val="00CF58A3"/>
    <w:rsid w:val="00CF66EE"/>
    <w:rsid w:val="00CF6803"/>
    <w:rsid w:val="00CF6B16"/>
    <w:rsid w:val="00CF7B06"/>
    <w:rsid w:val="00CF7CFB"/>
    <w:rsid w:val="00CF7DB7"/>
    <w:rsid w:val="00D00B39"/>
    <w:rsid w:val="00D0233A"/>
    <w:rsid w:val="00D02A19"/>
    <w:rsid w:val="00D03AFD"/>
    <w:rsid w:val="00D03C73"/>
    <w:rsid w:val="00D041D6"/>
    <w:rsid w:val="00D04B37"/>
    <w:rsid w:val="00D04D6A"/>
    <w:rsid w:val="00D04DF4"/>
    <w:rsid w:val="00D053A1"/>
    <w:rsid w:val="00D05594"/>
    <w:rsid w:val="00D0591A"/>
    <w:rsid w:val="00D05AFB"/>
    <w:rsid w:val="00D05C54"/>
    <w:rsid w:val="00D062EA"/>
    <w:rsid w:val="00D0668C"/>
    <w:rsid w:val="00D067AC"/>
    <w:rsid w:val="00D06A08"/>
    <w:rsid w:val="00D06E44"/>
    <w:rsid w:val="00D06FB9"/>
    <w:rsid w:val="00D0769F"/>
    <w:rsid w:val="00D07739"/>
    <w:rsid w:val="00D0798A"/>
    <w:rsid w:val="00D07DB3"/>
    <w:rsid w:val="00D07FEC"/>
    <w:rsid w:val="00D10012"/>
    <w:rsid w:val="00D110E6"/>
    <w:rsid w:val="00D111F3"/>
    <w:rsid w:val="00D120B5"/>
    <w:rsid w:val="00D12249"/>
    <w:rsid w:val="00D123B4"/>
    <w:rsid w:val="00D12766"/>
    <w:rsid w:val="00D1294C"/>
    <w:rsid w:val="00D129E1"/>
    <w:rsid w:val="00D130CF"/>
    <w:rsid w:val="00D137E6"/>
    <w:rsid w:val="00D13BF3"/>
    <w:rsid w:val="00D1431A"/>
    <w:rsid w:val="00D14824"/>
    <w:rsid w:val="00D155B3"/>
    <w:rsid w:val="00D160B8"/>
    <w:rsid w:val="00D16346"/>
    <w:rsid w:val="00D1638F"/>
    <w:rsid w:val="00D1646D"/>
    <w:rsid w:val="00D16A0B"/>
    <w:rsid w:val="00D16B8D"/>
    <w:rsid w:val="00D16FA5"/>
    <w:rsid w:val="00D1704A"/>
    <w:rsid w:val="00D17582"/>
    <w:rsid w:val="00D17A40"/>
    <w:rsid w:val="00D17DD6"/>
    <w:rsid w:val="00D17EC0"/>
    <w:rsid w:val="00D20391"/>
    <w:rsid w:val="00D20737"/>
    <w:rsid w:val="00D20A72"/>
    <w:rsid w:val="00D20B93"/>
    <w:rsid w:val="00D20D28"/>
    <w:rsid w:val="00D20F02"/>
    <w:rsid w:val="00D211F9"/>
    <w:rsid w:val="00D214E7"/>
    <w:rsid w:val="00D21740"/>
    <w:rsid w:val="00D217A0"/>
    <w:rsid w:val="00D21D7E"/>
    <w:rsid w:val="00D21E30"/>
    <w:rsid w:val="00D21E84"/>
    <w:rsid w:val="00D21F40"/>
    <w:rsid w:val="00D222D5"/>
    <w:rsid w:val="00D22858"/>
    <w:rsid w:val="00D22914"/>
    <w:rsid w:val="00D22DC6"/>
    <w:rsid w:val="00D22FEE"/>
    <w:rsid w:val="00D23057"/>
    <w:rsid w:val="00D2369D"/>
    <w:rsid w:val="00D23857"/>
    <w:rsid w:val="00D23E25"/>
    <w:rsid w:val="00D240D6"/>
    <w:rsid w:val="00D246B3"/>
    <w:rsid w:val="00D24AAD"/>
    <w:rsid w:val="00D24CF7"/>
    <w:rsid w:val="00D24DFD"/>
    <w:rsid w:val="00D25120"/>
    <w:rsid w:val="00D25D2D"/>
    <w:rsid w:val="00D25F11"/>
    <w:rsid w:val="00D269EE"/>
    <w:rsid w:val="00D26CA0"/>
    <w:rsid w:val="00D26FF6"/>
    <w:rsid w:val="00D3054D"/>
    <w:rsid w:val="00D30E50"/>
    <w:rsid w:val="00D310C3"/>
    <w:rsid w:val="00D31BCA"/>
    <w:rsid w:val="00D31C18"/>
    <w:rsid w:val="00D32516"/>
    <w:rsid w:val="00D3262A"/>
    <w:rsid w:val="00D32A0F"/>
    <w:rsid w:val="00D34177"/>
    <w:rsid w:val="00D34A30"/>
    <w:rsid w:val="00D34CBD"/>
    <w:rsid w:val="00D3514B"/>
    <w:rsid w:val="00D360E7"/>
    <w:rsid w:val="00D36386"/>
    <w:rsid w:val="00D3651B"/>
    <w:rsid w:val="00D365DF"/>
    <w:rsid w:val="00D367FC"/>
    <w:rsid w:val="00D3718A"/>
    <w:rsid w:val="00D4254E"/>
    <w:rsid w:val="00D426F3"/>
    <w:rsid w:val="00D42B89"/>
    <w:rsid w:val="00D430B9"/>
    <w:rsid w:val="00D43286"/>
    <w:rsid w:val="00D43508"/>
    <w:rsid w:val="00D43625"/>
    <w:rsid w:val="00D43C17"/>
    <w:rsid w:val="00D43C58"/>
    <w:rsid w:val="00D43E46"/>
    <w:rsid w:val="00D4436F"/>
    <w:rsid w:val="00D459A2"/>
    <w:rsid w:val="00D45E78"/>
    <w:rsid w:val="00D4611B"/>
    <w:rsid w:val="00D47087"/>
    <w:rsid w:val="00D50E7F"/>
    <w:rsid w:val="00D51409"/>
    <w:rsid w:val="00D51447"/>
    <w:rsid w:val="00D51579"/>
    <w:rsid w:val="00D51FC9"/>
    <w:rsid w:val="00D52779"/>
    <w:rsid w:val="00D535C8"/>
    <w:rsid w:val="00D53B98"/>
    <w:rsid w:val="00D543D8"/>
    <w:rsid w:val="00D549EF"/>
    <w:rsid w:val="00D553C1"/>
    <w:rsid w:val="00D5576D"/>
    <w:rsid w:val="00D5581E"/>
    <w:rsid w:val="00D55D10"/>
    <w:rsid w:val="00D55E88"/>
    <w:rsid w:val="00D55F24"/>
    <w:rsid w:val="00D562FF"/>
    <w:rsid w:val="00D5672E"/>
    <w:rsid w:val="00D5682D"/>
    <w:rsid w:val="00D56F6B"/>
    <w:rsid w:val="00D5799B"/>
    <w:rsid w:val="00D60245"/>
    <w:rsid w:val="00D603A9"/>
    <w:rsid w:val="00D60461"/>
    <w:rsid w:val="00D607E9"/>
    <w:rsid w:val="00D60802"/>
    <w:rsid w:val="00D60922"/>
    <w:rsid w:val="00D60BBA"/>
    <w:rsid w:val="00D6139B"/>
    <w:rsid w:val="00D61D24"/>
    <w:rsid w:val="00D6282E"/>
    <w:rsid w:val="00D62BE1"/>
    <w:rsid w:val="00D62C42"/>
    <w:rsid w:val="00D62D9B"/>
    <w:rsid w:val="00D62F2E"/>
    <w:rsid w:val="00D63290"/>
    <w:rsid w:val="00D6345F"/>
    <w:rsid w:val="00D638F9"/>
    <w:rsid w:val="00D63BD1"/>
    <w:rsid w:val="00D63D78"/>
    <w:rsid w:val="00D641B4"/>
    <w:rsid w:val="00D641D0"/>
    <w:rsid w:val="00D64259"/>
    <w:rsid w:val="00D643BE"/>
    <w:rsid w:val="00D64405"/>
    <w:rsid w:val="00D6448E"/>
    <w:rsid w:val="00D65007"/>
    <w:rsid w:val="00D6508C"/>
    <w:rsid w:val="00D6545B"/>
    <w:rsid w:val="00D65F36"/>
    <w:rsid w:val="00D661EB"/>
    <w:rsid w:val="00D662B4"/>
    <w:rsid w:val="00D664FF"/>
    <w:rsid w:val="00D667F1"/>
    <w:rsid w:val="00D6690B"/>
    <w:rsid w:val="00D67948"/>
    <w:rsid w:val="00D7027C"/>
    <w:rsid w:val="00D7069D"/>
    <w:rsid w:val="00D70994"/>
    <w:rsid w:val="00D70A3D"/>
    <w:rsid w:val="00D70C7E"/>
    <w:rsid w:val="00D713AD"/>
    <w:rsid w:val="00D71B8C"/>
    <w:rsid w:val="00D723CB"/>
    <w:rsid w:val="00D72E8E"/>
    <w:rsid w:val="00D7371B"/>
    <w:rsid w:val="00D73A80"/>
    <w:rsid w:val="00D73A85"/>
    <w:rsid w:val="00D73B55"/>
    <w:rsid w:val="00D73C18"/>
    <w:rsid w:val="00D73C32"/>
    <w:rsid w:val="00D73E27"/>
    <w:rsid w:val="00D74023"/>
    <w:rsid w:val="00D74105"/>
    <w:rsid w:val="00D74969"/>
    <w:rsid w:val="00D74FA7"/>
    <w:rsid w:val="00D74FF6"/>
    <w:rsid w:val="00D75694"/>
    <w:rsid w:val="00D75A7D"/>
    <w:rsid w:val="00D76A76"/>
    <w:rsid w:val="00D7786E"/>
    <w:rsid w:val="00D77DFE"/>
    <w:rsid w:val="00D801D0"/>
    <w:rsid w:val="00D82008"/>
    <w:rsid w:val="00D8209A"/>
    <w:rsid w:val="00D823A0"/>
    <w:rsid w:val="00D823AB"/>
    <w:rsid w:val="00D82AA2"/>
    <w:rsid w:val="00D83288"/>
    <w:rsid w:val="00D84001"/>
    <w:rsid w:val="00D84756"/>
    <w:rsid w:val="00D84A6E"/>
    <w:rsid w:val="00D84C65"/>
    <w:rsid w:val="00D84E2B"/>
    <w:rsid w:val="00D8580D"/>
    <w:rsid w:val="00D85897"/>
    <w:rsid w:val="00D86588"/>
    <w:rsid w:val="00D8674A"/>
    <w:rsid w:val="00D86A7B"/>
    <w:rsid w:val="00D86C3B"/>
    <w:rsid w:val="00D86D0F"/>
    <w:rsid w:val="00D86F80"/>
    <w:rsid w:val="00D86FC6"/>
    <w:rsid w:val="00D871DA"/>
    <w:rsid w:val="00D87384"/>
    <w:rsid w:val="00D87440"/>
    <w:rsid w:val="00D87C8A"/>
    <w:rsid w:val="00D9094D"/>
    <w:rsid w:val="00D909E6"/>
    <w:rsid w:val="00D90A7B"/>
    <w:rsid w:val="00D90BF5"/>
    <w:rsid w:val="00D90CBD"/>
    <w:rsid w:val="00D9184B"/>
    <w:rsid w:val="00D922B5"/>
    <w:rsid w:val="00D9331C"/>
    <w:rsid w:val="00D93364"/>
    <w:rsid w:val="00D9448D"/>
    <w:rsid w:val="00D94F0F"/>
    <w:rsid w:val="00D95239"/>
    <w:rsid w:val="00D95967"/>
    <w:rsid w:val="00D95DB5"/>
    <w:rsid w:val="00D962CB"/>
    <w:rsid w:val="00D96668"/>
    <w:rsid w:val="00D969D8"/>
    <w:rsid w:val="00D97086"/>
    <w:rsid w:val="00D9750A"/>
    <w:rsid w:val="00D9772E"/>
    <w:rsid w:val="00D977A7"/>
    <w:rsid w:val="00D97CDC"/>
    <w:rsid w:val="00DA0399"/>
    <w:rsid w:val="00DA06BC"/>
    <w:rsid w:val="00DA27F1"/>
    <w:rsid w:val="00DA2852"/>
    <w:rsid w:val="00DA2943"/>
    <w:rsid w:val="00DA2A1F"/>
    <w:rsid w:val="00DA3517"/>
    <w:rsid w:val="00DA3555"/>
    <w:rsid w:val="00DA3596"/>
    <w:rsid w:val="00DA3598"/>
    <w:rsid w:val="00DA3633"/>
    <w:rsid w:val="00DA4006"/>
    <w:rsid w:val="00DA420C"/>
    <w:rsid w:val="00DA4E0F"/>
    <w:rsid w:val="00DA53FF"/>
    <w:rsid w:val="00DA5DBB"/>
    <w:rsid w:val="00DA5EE7"/>
    <w:rsid w:val="00DA610A"/>
    <w:rsid w:val="00DA616A"/>
    <w:rsid w:val="00DA64F2"/>
    <w:rsid w:val="00DA79BB"/>
    <w:rsid w:val="00DB00C0"/>
    <w:rsid w:val="00DB04C3"/>
    <w:rsid w:val="00DB0C00"/>
    <w:rsid w:val="00DB1364"/>
    <w:rsid w:val="00DB1440"/>
    <w:rsid w:val="00DB14C1"/>
    <w:rsid w:val="00DB3083"/>
    <w:rsid w:val="00DB398B"/>
    <w:rsid w:val="00DB39EC"/>
    <w:rsid w:val="00DB4023"/>
    <w:rsid w:val="00DB424B"/>
    <w:rsid w:val="00DB43FF"/>
    <w:rsid w:val="00DB490B"/>
    <w:rsid w:val="00DB4AEE"/>
    <w:rsid w:val="00DB5122"/>
    <w:rsid w:val="00DB5317"/>
    <w:rsid w:val="00DB53F7"/>
    <w:rsid w:val="00DB6761"/>
    <w:rsid w:val="00DB69A4"/>
    <w:rsid w:val="00DB69EF"/>
    <w:rsid w:val="00DB6D04"/>
    <w:rsid w:val="00DB6DF6"/>
    <w:rsid w:val="00DB7BEF"/>
    <w:rsid w:val="00DB7D07"/>
    <w:rsid w:val="00DC0DE7"/>
    <w:rsid w:val="00DC1B25"/>
    <w:rsid w:val="00DC1FE7"/>
    <w:rsid w:val="00DC236B"/>
    <w:rsid w:val="00DC28AA"/>
    <w:rsid w:val="00DC2F2E"/>
    <w:rsid w:val="00DC4671"/>
    <w:rsid w:val="00DC601E"/>
    <w:rsid w:val="00DC68FF"/>
    <w:rsid w:val="00DC69FF"/>
    <w:rsid w:val="00DC6B8A"/>
    <w:rsid w:val="00DC721D"/>
    <w:rsid w:val="00DC7B7F"/>
    <w:rsid w:val="00DC7F84"/>
    <w:rsid w:val="00DD00C9"/>
    <w:rsid w:val="00DD0101"/>
    <w:rsid w:val="00DD02B7"/>
    <w:rsid w:val="00DD0526"/>
    <w:rsid w:val="00DD0D13"/>
    <w:rsid w:val="00DD0E9F"/>
    <w:rsid w:val="00DD1BB8"/>
    <w:rsid w:val="00DD1FE2"/>
    <w:rsid w:val="00DD2015"/>
    <w:rsid w:val="00DD2A5A"/>
    <w:rsid w:val="00DD2B17"/>
    <w:rsid w:val="00DD3DBF"/>
    <w:rsid w:val="00DD4153"/>
    <w:rsid w:val="00DD4E72"/>
    <w:rsid w:val="00DD5399"/>
    <w:rsid w:val="00DD5556"/>
    <w:rsid w:val="00DD565A"/>
    <w:rsid w:val="00DD5F12"/>
    <w:rsid w:val="00DD6005"/>
    <w:rsid w:val="00DD66CE"/>
    <w:rsid w:val="00DD6A0E"/>
    <w:rsid w:val="00DD73C4"/>
    <w:rsid w:val="00DD7A95"/>
    <w:rsid w:val="00DE039A"/>
    <w:rsid w:val="00DE0903"/>
    <w:rsid w:val="00DE1362"/>
    <w:rsid w:val="00DE13AE"/>
    <w:rsid w:val="00DE1D16"/>
    <w:rsid w:val="00DE1EBE"/>
    <w:rsid w:val="00DE21F5"/>
    <w:rsid w:val="00DE22C5"/>
    <w:rsid w:val="00DE2483"/>
    <w:rsid w:val="00DE284E"/>
    <w:rsid w:val="00DE3780"/>
    <w:rsid w:val="00DE3D15"/>
    <w:rsid w:val="00DE3D7A"/>
    <w:rsid w:val="00DE4129"/>
    <w:rsid w:val="00DE4327"/>
    <w:rsid w:val="00DE5371"/>
    <w:rsid w:val="00DE586C"/>
    <w:rsid w:val="00DE5CFF"/>
    <w:rsid w:val="00DE5DE9"/>
    <w:rsid w:val="00DE5F9C"/>
    <w:rsid w:val="00DE6A96"/>
    <w:rsid w:val="00DE7606"/>
    <w:rsid w:val="00DE7A7C"/>
    <w:rsid w:val="00DE7AC3"/>
    <w:rsid w:val="00DE7E59"/>
    <w:rsid w:val="00DE7EC0"/>
    <w:rsid w:val="00DF0316"/>
    <w:rsid w:val="00DF037E"/>
    <w:rsid w:val="00DF068E"/>
    <w:rsid w:val="00DF0D39"/>
    <w:rsid w:val="00DF0DA4"/>
    <w:rsid w:val="00DF1BDA"/>
    <w:rsid w:val="00DF26D0"/>
    <w:rsid w:val="00DF3278"/>
    <w:rsid w:val="00DF4554"/>
    <w:rsid w:val="00DF484E"/>
    <w:rsid w:val="00DF4C37"/>
    <w:rsid w:val="00DF4DD4"/>
    <w:rsid w:val="00DF532B"/>
    <w:rsid w:val="00DF71E0"/>
    <w:rsid w:val="00DF7A58"/>
    <w:rsid w:val="00DF7AC3"/>
    <w:rsid w:val="00DF7CD0"/>
    <w:rsid w:val="00DF7FB4"/>
    <w:rsid w:val="00E000FE"/>
    <w:rsid w:val="00E0083B"/>
    <w:rsid w:val="00E00CAC"/>
    <w:rsid w:val="00E00DC4"/>
    <w:rsid w:val="00E03C85"/>
    <w:rsid w:val="00E03D50"/>
    <w:rsid w:val="00E0400C"/>
    <w:rsid w:val="00E04705"/>
    <w:rsid w:val="00E0476D"/>
    <w:rsid w:val="00E05338"/>
    <w:rsid w:val="00E05442"/>
    <w:rsid w:val="00E05FF7"/>
    <w:rsid w:val="00E06924"/>
    <w:rsid w:val="00E06C98"/>
    <w:rsid w:val="00E06F37"/>
    <w:rsid w:val="00E06FA5"/>
    <w:rsid w:val="00E07368"/>
    <w:rsid w:val="00E100FF"/>
    <w:rsid w:val="00E10A29"/>
    <w:rsid w:val="00E10B35"/>
    <w:rsid w:val="00E10EDD"/>
    <w:rsid w:val="00E11535"/>
    <w:rsid w:val="00E115E2"/>
    <w:rsid w:val="00E11B7C"/>
    <w:rsid w:val="00E11C67"/>
    <w:rsid w:val="00E12282"/>
    <w:rsid w:val="00E12A36"/>
    <w:rsid w:val="00E12AEA"/>
    <w:rsid w:val="00E132EB"/>
    <w:rsid w:val="00E133CA"/>
    <w:rsid w:val="00E13BB7"/>
    <w:rsid w:val="00E14424"/>
    <w:rsid w:val="00E1456C"/>
    <w:rsid w:val="00E145D8"/>
    <w:rsid w:val="00E146FD"/>
    <w:rsid w:val="00E149FF"/>
    <w:rsid w:val="00E153F9"/>
    <w:rsid w:val="00E15590"/>
    <w:rsid w:val="00E156A9"/>
    <w:rsid w:val="00E1599F"/>
    <w:rsid w:val="00E15C93"/>
    <w:rsid w:val="00E16064"/>
    <w:rsid w:val="00E1668D"/>
    <w:rsid w:val="00E1727E"/>
    <w:rsid w:val="00E17C6C"/>
    <w:rsid w:val="00E17DEB"/>
    <w:rsid w:val="00E21157"/>
    <w:rsid w:val="00E223FD"/>
    <w:rsid w:val="00E2290D"/>
    <w:rsid w:val="00E23FB0"/>
    <w:rsid w:val="00E24512"/>
    <w:rsid w:val="00E25CC5"/>
    <w:rsid w:val="00E25D04"/>
    <w:rsid w:val="00E25EBE"/>
    <w:rsid w:val="00E264E9"/>
    <w:rsid w:val="00E2679F"/>
    <w:rsid w:val="00E275F9"/>
    <w:rsid w:val="00E30D41"/>
    <w:rsid w:val="00E30F6A"/>
    <w:rsid w:val="00E312A0"/>
    <w:rsid w:val="00E3142C"/>
    <w:rsid w:val="00E31F2A"/>
    <w:rsid w:val="00E31F77"/>
    <w:rsid w:val="00E33059"/>
    <w:rsid w:val="00E34362"/>
    <w:rsid w:val="00E34F23"/>
    <w:rsid w:val="00E35336"/>
    <w:rsid w:val="00E359FA"/>
    <w:rsid w:val="00E35C3A"/>
    <w:rsid w:val="00E364AB"/>
    <w:rsid w:val="00E367F3"/>
    <w:rsid w:val="00E369E6"/>
    <w:rsid w:val="00E37421"/>
    <w:rsid w:val="00E40417"/>
    <w:rsid w:val="00E412D1"/>
    <w:rsid w:val="00E4293A"/>
    <w:rsid w:val="00E42A07"/>
    <w:rsid w:val="00E42FE0"/>
    <w:rsid w:val="00E43227"/>
    <w:rsid w:val="00E43AEF"/>
    <w:rsid w:val="00E43CDC"/>
    <w:rsid w:val="00E43D77"/>
    <w:rsid w:val="00E441CC"/>
    <w:rsid w:val="00E44392"/>
    <w:rsid w:val="00E452F9"/>
    <w:rsid w:val="00E45B31"/>
    <w:rsid w:val="00E45C21"/>
    <w:rsid w:val="00E45C6C"/>
    <w:rsid w:val="00E465C1"/>
    <w:rsid w:val="00E46B2C"/>
    <w:rsid w:val="00E470A3"/>
    <w:rsid w:val="00E47428"/>
    <w:rsid w:val="00E474AF"/>
    <w:rsid w:val="00E4751C"/>
    <w:rsid w:val="00E47F28"/>
    <w:rsid w:val="00E47F5A"/>
    <w:rsid w:val="00E50057"/>
    <w:rsid w:val="00E506E3"/>
    <w:rsid w:val="00E50EB1"/>
    <w:rsid w:val="00E51295"/>
    <w:rsid w:val="00E53A0E"/>
    <w:rsid w:val="00E53E0E"/>
    <w:rsid w:val="00E54396"/>
    <w:rsid w:val="00E5476C"/>
    <w:rsid w:val="00E547D1"/>
    <w:rsid w:val="00E54D1D"/>
    <w:rsid w:val="00E55E65"/>
    <w:rsid w:val="00E560D7"/>
    <w:rsid w:val="00E566BF"/>
    <w:rsid w:val="00E56C5E"/>
    <w:rsid w:val="00E56D82"/>
    <w:rsid w:val="00E571C9"/>
    <w:rsid w:val="00E57DAF"/>
    <w:rsid w:val="00E6033F"/>
    <w:rsid w:val="00E610FF"/>
    <w:rsid w:val="00E62367"/>
    <w:rsid w:val="00E628F6"/>
    <w:rsid w:val="00E63237"/>
    <w:rsid w:val="00E6384D"/>
    <w:rsid w:val="00E639A8"/>
    <w:rsid w:val="00E63BC6"/>
    <w:rsid w:val="00E63C93"/>
    <w:rsid w:val="00E644F9"/>
    <w:rsid w:val="00E64859"/>
    <w:rsid w:val="00E64B46"/>
    <w:rsid w:val="00E64F40"/>
    <w:rsid w:val="00E65748"/>
    <w:rsid w:val="00E6626F"/>
    <w:rsid w:val="00E66574"/>
    <w:rsid w:val="00E66711"/>
    <w:rsid w:val="00E66C5B"/>
    <w:rsid w:val="00E66EB0"/>
    <w:rsid w:val="00E67805"/>
    <w:rsid w:val="00E67D66"/>
    <w:rsid w:val="00E7198E"/>
    <w:rsid w:val="00E71FF5"/>
    <w:rsid w:val="00E7207A"/>
    <w:rsid w:val="00E7222A"/>
    <w:rsid w:val="00E722AA"/>
    <w:rsid w:val="00E72A55"/>
    <w:rsid w:val="00E72FDC"/>
    <w:rsid w:val="00E73075"/>
    <w:rsid w:val="00E73639"/>
    <w:rsid w:val="00E73A2D"/>
    <w:rsid w:val="00E73DCC"/>
    <w:rsid w:val="00E74237"/>
    <w:rsid w:val="00E746FA"/>
    <w:rsid w:val="00E74770"/>
    <w:rsid w:val="00E75E36"/>
    <w:rsid w:val="00E767A2"/>
    <w:rsid w:val="00E77553"/>
    <w:rsid w:val="00E7797A"/>
    <w:rsid w:val="00E77F04"/>
    <w:rsid w:val="00E8068F"/>
    <w:rsid w:val="00E80A05"/>
    <w:rsid w:val="00E8112D"/>
    <w:rsid w:val="00E8252B"/>
    <w:rsid w:val="00E82D8B"/>
    <w:rsid w:val="00E8309A"/>
    <w:rsid w:val="00E831B1"/>
    <w:rsid w:val="00E8405F"/>
    <w:rsid w:val="00E842CD"/>
    <w:rsid w:val="00E84A3C"/>
    <w:rsid w:val="00E84D47"/>
    <w:rsid w:val="00E84D5C"/>
    <w:rsid w:val="00E84F0D"/>
    <w:rsid w:val="00E85817"/>
    <w:rsid w:val="00E85F7B"/>
    <w:rsid w:val="00E866B9"/>
    <w:rsid w:val="00E8671A"/>
    <w:rsid w:val="00E86F5A"/>
    <w:rsid w:val="00E8729D"/>
    <w:rsid w:val="00E90023"/>
    <w:rsid w:val="00E921B1"/>
    <w:rsid w:val="00E927BA"/>
    <w:rsid w:val="00E92998"/>
    <w:rsid w:val="00E92EDF"/>
    <w:rsid w:val="00E93B7E"/>
    <w:rsid w:val="00E94C3F"/>
    <w:rsid w:val="00E94F76"/>
    <w:rsid w:val="00E95185"/>
    <w:rsid w:val="00E95244"/>
    <w:rsid w:val="00E95991"/>
    <w:rsid w:val="00E95CA4"/>
    <w:rsid w:val="00E95D10"/>
    <w:rsid w:val="00E96611"/>
    <w:rsid w:val="00E97524"/>
    <w:rsid w:val="00E97CF0"/>
    <w:rsid w:val="00EA058A"/>
    <w:rsid w:val="00EA0BFA"/>
    <w:rsid w:val="00EA1AD2"/>
    <w:rsid w:val="00EA1D85"/>
    <w:rsid w:val="00EA2646"/>
    <w:rsid w:val="00EA29A8"/>
    <w:rsid w:val="00EA29BC"/>
    <w:rsid w:val="00EA2F82"/>
    <w:rsid w:val="00EA3AD2"/>
    <w:rsid w:val="00EA3B48"/>
    <w:rsid w:val="00EA418A"/>
    <w:rsid w:val="00EA4D24"/>
    <w:rsid w:val="00EA4EDC"/>
    <w:rsid w:val="00EA5A50"/>
    <w:rsid w:val="00EA5F39"/>
    <w:rsid w:val="00EA62C6"/>
    <w:rsid w:val="00EA67CE"/>
    <w:rsid w:val="00EA700D"/>
    <w:rsid w:val="00EA71AC"/>
    <w:rsid w:val="00EA71E8"/>
    <w:rsid w:val="00EA7630"/>
    <w:rsid w:val="00EA7900"/>
    <w:rsid w:val="00EA7A1F"/>
    <w:rsid w:val="00EA7C98"/>
    <w:rsid w:val="00EA7E3B"/>
    <w:rsid w:val="00EB0FA6"/>
    <w:rsid w:val="00EB194A"/>
    <w:rsid w:val="00EB1F20"/>
    <w:rsid w:val="00EB1FFF"/>
    <w:rsid w:val="00EB240E"/>
    <w:rsid w:val="00EB2F15"/>
    <w:rsid w:val="00EB302A"/>
    <w:rsid w:val="00EB3351"/>
    <w:rsid w:val="00EB33F5"/>
    <w:rsid w:val="00EB474C"/>
    <w:rsid w:val="00EB49AB"/>
    <w:rsid w:val="00EB591D"/>
    <w:rsid w:val="00EB6217"/>
    <w:rsid w:val="00EB6AD9"/>
    <w:rsid w:val="00EB6BCC"/>
    <w:rsid w:val="00EC03A5"/>
    <w:rsid w:val="00EC0639"/>
    <w:rsid w:val="00EC06D8"/>
    <w:rsid w:val="00EC0EEB"/>
    <w:rsid w:val="00EC1803"/>
    <w:rsid w:val="00EC1E46"/>
    <w:rsid w:val="00EC2A6D"/>
    <w:rsid w:val="00EC2F7F"/>
    <w:rsid w:val="00EC3451"/>
    <w:rsid w:val="00EC364A"/>
    <w:rsid w:val="00EC4003"/>
    <w:rsid w:val="00EC62B0"/>
    <w:rsid w:val="00EC6637"/>
    <w:rsid w:val="00EC6899"/>
    <w:rsid w:val="00EC6A7C"/>
    <w:rsid w:val="00EC70DB"/>
    <w:rsid w:val="00EC7269"/>
    <w:rsid w:val="00EC7994"/>
    <w:rsid w:val="00EC7C61"/>
    <w:rsid w:val="00ED0175"/>
    <w:rsid w:val="00ED0B9A"/>
    <w:rsid w:val="00ED0F64"/>
    <w:rsid w:val="00ED0F69"/>
    <w:rsid w:val="00ED1B22"/>
    <w:rsid w:val="00ED212B"/>
    <w:rsid w:val="00ED22EA"/>
    <w:rsid w:val="00ED24F9"/>
    <w:rsid w:val="00ED2B08"/>
    <w:rsid w:val="00ED3E44"/>
    <w:rsid w:val="00ED3EB1"/>
    <w:rsid w:val="00ED4510"/>
    <w:rsid w:val="00ED4FBD"/>
    <w:rsid w:val="00ED50E0"/>
    <w:rsid w:val="00ED5533"/>
    <w:rsid w:val="00ED5D66"/>
    <w:rsid w:val="00ED62AF"/>
    <w:rsid w:val="00ED6568"/>
    <w:rsid w:val="00ED6701"/>
    <w:rsid w:val="00ED6B82"/>
    <w:rsid w:val="00ED6DD7"/>
    <w:rsid w:val="00ED6E0A"/>
    <w:rsid w:val="00ED6FA0"/>
    <w:rsid w:val="00ED709F"/>
    <w:rsid w:val="00ED7243"/>
    <w:rsid w:val="00ED747D"/>
    <w:rsid w:val="00ED75FD"/>
    <w:rsid w:val="00ED7730"/>
    <w:rsid w:val="00ED7927"/>
    <w:rsid w:val="00ED7F07"/>
    <w:rsid w:val="00EE0A59"/>
    <w:rsid w:val="00EE0C95"/>
    <w:rsid w:val="00EE0ECF"/>
    <w:rsid w:val="00EE15A5"/>
    <w:rsid w:val="00EE17B1"/>
    <w:rsid w:val="00EE187E"/>
    <w:rsid w:val="00EE1C21"/>
    <w:rsid w:val="00EE1D66"/>
    <w:rsid w:val="00EE1D81"/>
    <w:rsid w:val="00EE2640"/>
    <w:rsid w:val="00EE26AC"/>
    <w:rsid w:val="00EE2D7F"/>
    <w:rsid w:val="00EE2EF7"/>
    <w:rsid w:val="00EE3954"/>
    <w:rsid w:val="00EE3DFD"/>
    <w:rsid w:val="00EE4465"/>
    <w:rsid w:val="00EE4CBF"/>
    <w:rsid w:val="00EE4E34"/>
    <w:rsid w:val="00EE5126"/>
    <w:rsid w:val="00EE5307"/>
    <w:rsid w:val="00EE61BB"/>
    <w:rsid w:val="00EE62D3"/>
    <w:rsid w:val="00EE7167"/>
    <w:rsid w:val="00EE7A48"/>
    <w:rsid w:val="00EE7C5F"/>
    <w:rsid w:val="00EE7D86"/>
    <w:rsid w:val="00EF014D"/>
    <w:rsid w:val="00EF02C1"/>
    <w:rsid w:val="00EF0A86"/>
    <w:rsid w:val="00EF11D1"/>
    <w:rsid w:val="00EF133C"/>
    <w:rsid w:val="00EF180C"/>
    <w:rsid w:val="00EF19B2"/>
    <w:rsid w:val="00EF1FE6"/>
    <w:rsid w:val="00EF22A9"/>
    <w:rsid w:val="00EF26BD"/>
    <w:rsid w:val="00EF33B5"/>
    <w:rsid w:val="00EF3912"/>
    <w:rsid w:val="00EF3AA4"/>
    <w:rsid w:val="00EF4955"/>
    <w:rsid w:val="00EF4F24"/>
    <w:rsid w:val="00EF526B"/>
    <w:rsid w:val="00EF5C62"/>
    <w:rsid w:val="00EF6B22"/>
    <w:rsid w:val="00EF6B8C"/>
    <w:rsid w:val="00EF6D2A"/>
    <w:rsid w:val="00EF6F50"/>
    <w:rsid w:val="00EF7309"/>
    <w:rsid w:val="00EF7462"/>
    <w:rsid w:val="00EF77AE"/>
    <w:rsid w:val="00F0009F"/>
    <w:rsid w:val="00F00415"/>
    <w:rsid w:val="00F01185"/>
    <w:rsid w:val="00F01C5E"/>
    <w:rsid w:val="00F0211C"/>
    <w:rsid w:val="00F02211"/>
    <w:rsid w:val="00F02E54"/>
    <w:rsid w:val="00F0385E"/>
    <w:rsid w:val="00F038BD"/>
    <w:rsid w:val="00F03EC8"/>
    <w:rsid w:val="00F048CE"/>
    <w:rsid w:val="00F04FC0"/>
    <w:rsid w:val="00F053A9"/>
    <w:rsid w:val="00F071C6"/>
    <w:rsid w:val="00F07462"/>
    <w:rsid w:val="00F07911"/>
    <w:rsid w:val="00F07FC8"/>
    <w:rsid w:val="00F102A0"/>
    <w:rsid w:val="00F10D76"/>
    <w:rsid w:val="00F112E4"/>
    <w:rsid w:val="00F118A9"/>
    <w:rsid w:val="00F12FB6"/>
    <w:rsid w:val="00F1320C"/>
    <w:rsid w:val="00F138F9"/>
    <w:rsid w:val="00F14078"/>
    <w:rsid w:val="00F144E4"/>
    <w:rsid w:val="00F14AE4"/>
    <w:rsid w:val="00F14B23"/>
    <w:rsid w:val="00F14C9B"/>
    <w:rsid w:val="00F15128"/>
    <w:rsid w:val="00F15582"/>
    <w:rsid w:val="00F15D1C"/>
    <w:rsid w:val="00F161E7"/>
    <w:rsid w:val="00F1663A"/>
    <w:rsid w:val="00F1686F"/>
    <w:rsid w:val="00F16F03"/>
    <w:rsid w:val="00F1702F"/>
    <w:rsid w:val="00F179C3"/>
    <w:rsid w:val="00F17F71"/>
    <w:rsid w:val="00F20388"/>
    <w:rsid w:val="00F20644"/>
    <w:rsid w:val="00F20F30"/>
    <w:rsid w:val="00F21564"/>
    <w:rsid w:val="00F21C10"/>
    <w:rsid w:val="00F22E4C"/>
    <w:rsid w:val="00F23218"/>
    <w:rsid w:val="00F23573"/>
    <w:rsid w:val="00F242E1"/>
    <w:rsid w:val="00F246E9"/>
    <w:rsid w:val="00F248DA"/>
    <w:rsid w:val="00F24E98"/>
    <w:rsid w:val="00F25365"/>
    <w:rsid w:val="00F25393"/>
    <w:rsid w:val="00F25827"/>
    <w:rsid w:val="00F267F5"/>
    <w:rsid w:val="00F26FB1"/>
    <w:rsid w:val="00F27420"/>
    <w:rsid w:val="00F27ACE"/>
    <w:rsid w:val="00F27B07"/>
    <w:rsid w:val="00F302DD"/>
    <w:rsid w:val="00F30D40"/>
    <w:rsid w:val="00F30D86"/>
    <w:rsid w:val="00F32F79"/>
    <w:rsid w:val="00F33471"/>
    <w:rsid w:val="00F343BA"/>
    <w:rsid w:val="00F34C5D"/>
    <w:rsid w:val="00F34DB6"/>
    <w:rsid w:val="00F35332"/>
    <w:rsid w:val="00F3567D"/>
    <w:rsid w:val="00F35721"/>
    <w:rsid w:val="00F357AF"/>
    <w:rsid w:val="00F35EB6"/>
    <w:rsid w:val="00F360D4"/>
    <w:rsid w:val="00F366D4"/>
    <w:rsid w:val="00F36811"/>
    <w:rsid w:val="00F370F9"/>
    <w:rsid w:val="00F3733A"/>
    <w:rsid w:val="00F376DB"/>
    <w:rsid w:val="00F41160"/>
    <w:rsid w:val="00F42474"/>
    <w:rsid w:val="00F42A37"/>
    <w:rsid w:val="00F42AE1"/>
    <w:rsid w:val="00F42BA7"/>
    <w:rsid w:val="00F42C41"/>
    <w:rsid w:val="00F43086"/>
    <w:rsid w:val="00F435EF"/>
    <w:rsid w:val="00F43AA4"/>
    <w:rsid w:val="00F43B3E"/>
    <w:rsid w:val="00F43C3A"/>
    <w:rsid w:val="00F44514"/>
    <w:rsid w:val="00F454CC"/>
    <w:rsid w:val="00F4579A"/>
    <w:rsid w:val="00F457B3"/>
    <w:rsid w:val="00F45BE9"/>
    <w:rsid w:val="00F4600B"/>
    <w:rsid w:val="00F464EE"/>
    <w:rsid w:val="00F4670A"/>
    <w:rsid w:val="00F47155"/>
    <w:rsid w:val="00F47738"/>
    <w:rsid w:val="00F50440"/>
    <w:rsid w:val="00F5058A"/>
    <w:rsid w:val="00F5085C"/>
    <w:rsid w:val="00F50B7C"/>
    <w:rsid w:val="00F50B8E"/>
    <w:rsid w:val="00F51230"/>
    <w:rsid w:val="00F5172D"/>
    <w:rsid w:val="00F51A8D"/>
    <w:rsid w:val="00F5217F"/>
    <w:rsid w:val="00F5258E"/>
    <w:rsid w:val="00F52F8D"/>
    <w:rsid w:val="00F52FCF"/>
    <w:rsid w:val="00F537BD"/>
    <w:rsid w:val="00F53A46"/>
    <w:rsid w:val="00F53ABC"/>
    <w:rsid w:val="00F5494F"/>
    <w:rsid w:val="00F549F1"/>
    <w:rsid w:val="00F54B21"/>
    <w:rsid w:val="00F54BC4"/>
    <w:rsid w:val="00F54C30"/>
    <w:rsid w:val="00F54CBA"/>
    <w:rsid w:val="00F54EDD"/>
    <w:rsid w:val="00F55424"/>
    <w:rsid w:val="00F56250"/>
    <w:rsid w:val="00F57A30"/>
    <w:rsid w:val="00F57CB4"/>
    <w:rsid w:val="00F6050B"/>
    <w:rsid w:val="00F606EA"/>
    <w:rsid w:val="00F61869"/>
    <w:rsid w:val="00F61AE0"/>
    <w:rsid w:val="00F61F52"/>
    <w:rsid w:val="00F622ED"/>
    <w:rsid w:val="00F623D8"/>
    <w:rsid w:val="00F62532"/>
    <w:rsid w:val="00F625A5"/>
    <w:rsid w:val="00F62D8F"/>
    <w:rsid w:val="00F63543"/>
    <w:rsid w:val="00F63BCD"/>
    <w:rsid w:val="00F64896"/>
    <w:rsid w:val="00F64C75"/>
    <w:rsid w:val="00F654AA"/>
    <w:rsid w:val="00F6578C"/>
    <w:rsid w:val="00F6591C"/>
    <w:rsid w:val="00F659AF"/>
    <w:rsid w:val="00F65CB0"/>
    <w:rsid w:val="00F65E37"/>
    <w:rsid w:val="00F66AFA"/>
    <w:rsid w:val="00F678F0"/>
    <w:rsid w:val="00F707A0"/>
    <w:rsid w:val="00F70AF3"/>
    <w:rsid w:val="00F70AF5"/>
    <w:rsid w:val="00F70D0A"/>
    <w:rsid w:val="00F71098"/>
    <w:rsid w:val="00F723A5"/>
    <w:rsid w:val="00F72592"/>
    <w:rsid w:val="00F72DFB"/>
    <w:rsid w:val="00F730F2"/>
    <w:rsid w:val="00F7314F"/>
    <w:rsid w:val="00F732A2"/>
    <w:rsid w:val="00F73681"/>
    <w:rsid w:val="00F7376D"/>
    <w:rsid w:val="00F7393F"/>
    <w:rsid w:val="00F73ABB"/>
    <w:rsid w:val="00F73D9E"/>
    <w:rsid w:val="00F745AC"/>
    <w:rsid w:val="00F75392"/>
    <w:rsid w:val="00F756E8"/>
    <w:rsid w:val="00F75D11"/>
    <w:rsid w:val="00F760D0"/>
    <w:rsid w:val="00F77089"/>
    <w:rsid w:val="00F772F4"/>
    <w:rsid w:val="00F774F3"/>
    <w:rsid w:val="00F77E0B"/>
    <w:rsid w:val="00F77E27"/>
    <w:rsid w:val="00F80849"/>
    <w:rsid w:val="00F80A10"/>
    <w:rsid w:val="00F810C9"/>
    <w:rsid w:val="00F810EA"/>
    <w:rsid w:val="00F8127C"/>
    <w:rsid w:val="00F81787"/>
    <w:rsid w:val="00F818C7"/>
    <w:rsid w:val="00F82546"/>
    <w:rsid w:val="00F8312D"/>
    <w:rsid w:val="00F835D1"/>
    <w:rsid w:val="00F83620"/>
    <w:rsid w:val="00F83E15"/>
    <w:rsid w:val="00F8441C"/>
    <w:rsid w:val="00F84494"/>
    <w:rsid w:val="00F844C7"/>
    <w:rsid w:val="00F84C2C"/>
    <w:rsid w:val="00F84F9A"/>
    <w:rsid w:val="00F854A7"/>
    <w:rsid w:val="00F85BC2"/>
    <w:rsid w:val="00F85DDF"/>
    <w:rsid w:val="00F85F14"/>
    <w:rsid w:val="00F8600C"/>
    <w:rsid w:val="00F8658C"/>
    <w:rsid w:val="00F914B8"/>
    <w:rsid w:val="00F91686"/>
    <w:rsid w:val="00F91828"/>
    <w:rsid w:val="00F91CEF"/>
    <w:rsid w:val="00F91E08"/>
    <w:rsid w:val="00F92C72"/>
    <w:rsid w:val="00F93041"/>
    <w:rsid w:val="00F9350B"/>
    <w:rsid w:val="00F93755"/>
    <w:rsid w:val="00F937EE"/>
    <w:rsid w:val="00F93F48"/>
    <w:rsid w:val="00F944BE"/>
    <w:rsid w:val="00F958DB"/>
    <w:rsid w:val="00F9641A"/>
    <w:rsid w:val="00F96712"/>
    <w:rsid w:val="00F96771"/>
    <w:rsid w:val="00F96E81"/>
    <w:rsid w:val="00F97189"/>
    <w:rsid w:val="00F9743C"/>
    <w:rsid w:val="00F974C3"/>
    <w:rsid w:val="00F97B18"/>
    <w:rsid w:val="00FA0097"/>
    <w:rsid w:val="00FA096C"/>
    <w:rsid w:val="00FA0EAE"/>
    <w:rsid w:val="00FA0F22"/>
    <w:rsid w:val="00FA0F69"/>
    <w:rsid w:val="00FA2058"/>
    <w:rsid w:val="00FA2DDA"/>
    <w:rsid w:val="00FA32DA"/>
    <w:rsid w:val="00FA3AFB"/>
    <w:rsid w:val="00FA4694"/>
    <w:rsid w:val="00FA546F"/>
    <w:rsid w:val="00FA55AD"/>
    <w:rsid w:val="00FA5876"/>
    <w:rsid w:val="00FA5C31"/>
    <w:rsid w:val="00FA61D0"/>
    <w:rsid w:val="00FA6F60"/>
    <w:rsid w:val="00FA7483"/>
    <w:rsid w:val="00FA7674"/>
    <w:rsid w:val="00FA7E10"/>
    <w:rsid w:val="00FB1819"/>
    <w:rsid w:val="00FB1BC4"/>
    <w:rsid w:val="00FB1FD0"/>
    <w:rsid w:val="00FB2230"/>
    <w:rsid w:val="00FB23AE"/>
    <w:rsid w:val="00FB3279"/>
    <w:rsid w:val="00FB3308"/>
    <w:rsid w:val="00FB3315"/>
    <w:rsid w:val="00FB4103"/>
    <w:rsid w:val="00FB4515"/>
    <w:rsid w:val="00FB48DF"/>
    <w:rsid w:val="00FB54AC"/>
    <w:rsid w:val="00FB58C4"/>
    <w:rsid w:val="00FB5E7F"/>
    <w:rsid w:val="00FB5ECE"/>
    <w:rsid w:val="00FB602A"/>
    <w:rsid w:val="00FB6441"/>
    <w:rsid w:val="00FB683B"/>
    <w:rsid w:val="00FB6B45"/>
    <w:rsid w:val="00FB6FEC"/>
    <w:rsid w:val="00FB77E3"/>
    <w:rsid w:val="00FB7897"/>
    <w:rsid w:val="00FB7F23"/>
    <w:rsid w:val="00FC0004"/>
    <w:rsid w:val="00FC0020"/>
    <w:rsid w:val="00FC002A"/>
    <w:rsid w:val="00FC095B"/>
    <w:rsid w:val="00FC0DAC"/>
    <w:rsid w:val="00FC137F"/>
    <w:rsid w:val="00FC2867"/>
    <w:rsid w:val="00FC2AEA"/>
    <w:rsid w:val="00FC2DFD"/>
    <w:rsid w:val="00FC2FD4"/>
    <w:rsid w:val="00FC3DA5"/>
    <w:rsid w:val="00FC4DA7"/>
    <w:rsid w:val="00FC50F1"/>
    <w:rsid w:val="00FC5DDC"/>
    <w:rsid w:val="00FC6738"/>
    <w:rsid w:val="00FC7304"/>
    <w:rsid w:val="00FC7636"/>
    <w:rsid w:val="00FC7E6E"/>
    <w:rsid w:val="00FD075F"/>
    <w:rsid w:val="00FD1023"/>
    <w:rsid w:val="00FD270E"/>
    <w:rsid w:val="00FD2731"/>
    <w:rsid w:val="00FD28A9"/>
    <w:rsid w:val="00FD2BFD"/>
    <w:rsid w:val="00FD2E35"/>
    <w:rsid w:val="00FD3072"/>
    <w:rsid w:val="00FD35C0"/>
    <w:rsid w:val="00FD37C2"/>
    <w:rsid w:val="00FD47FC"/>
    <w:rsid w:val="00FD4810"/>
    <w:rsid w:val="00FD4A44"/>
    <w:rsid w:val="00FD4A4C"/>
    <w:rsid w:val="00FD4C4E"/>
    <w:rsid w:val="00FD4DE9"/>
    <w:rsid w:val="00FD4EFF"/>
    <w:rsid w:val="00FD52B6"/>
    <w:rsid w:val="00FD5313"/>
    <w:rsid w:val="00FD558C"/>
    <w:rsid w:val="00FD6E41"/>
    <w:rsid w:val="00FE0076"/>
    <w:rsid w:val="00FE01DF"/>
    <w:rsid w:val="00FE0892"/>
    <w:rsid w:val="00FE0AA3"/>
    <w:rsid w:val="00FE11BB"/>
    <w:rsid w:val="00FE1266"/>
    <w:rsid w:val="00FE1656"/>
    <w:rsid w:val="00FE1664"/>
    <w:rsid w:val="00FE1E9B"/>
    <w:rsid w:val="00FE2A7E"/>
    <w:rsid w:val="00FE2EE1"/>
    <w:rsid w:val="00FE3403"/>
    <w:rsid w:val="00FE3C47"/>
    <w:rsid w:val="00FE4A88"/>
    <w:rsid w:val="00FE4C2C"/>
    <w:rsid w:val="00FE57F1"/>
    <w:rsid w:val="00FE5DE0"/>
    <w:rsid w:val="00FE6498"/>
    <w:rsid w:val="00FE6E39"/>
    <w:rsid w:val="00FF133D"/>
    <w:rsid w:val="00FF1778"/>
    <w:rsid w:val="00FF1BF1"/>
    <w:rsid w:val="00FF2309"/>
    <w:rsid w:val="00FF2723"/>
    <w:rsid w:val="00FF2857"/>
    <w:rsid w:val="00FF2A5D"/>
    <w:rsid w:val="00FF31F5"/>
    <w:rsid w:val="00FF3305"/>
    <w:rsid w:val="00FF3318"/>
    <w:rsid w:val="00FF3585"/>
    <w:rsid w:val="00FF3838"/>
    <w:rsid w:val="00FF3C46"/>
    <w:rsid w:val="00FF3F34"/>
    <w:rsid w:val="00FF40BE"/>
    <w:rsid w:val="00FF4436"/>
    <w:rsid w:val="00FF4C8C"/>
    <w:rsid w:val="00FF4FC2"/>
    <w:rsid w:val="00FF5E10"/>
    <w:rsid w:val="00FF60D0"/>
    <w:rsid w:val="00FF613E"/>
    <w:rsid w:val="00FF6644"/>
    <w:rsid w:val="00FF6DF3"/>
    <w:rsid w:val="00FF7F13"/>
    <w:rsid w:val="01243595"/>
    <w:rsid w:val="03A8EB3B"/>
    <w:rsid w:val="1D6FAFF4"/>
    <w:rsid w:val="24C97FB7"/>
    <w:rsid w:val="26CD8E44"/>
    <w:rsid w:val="27C0004B"/>
    <w:rsid w:val="37F656DC"/>
    <w:rsid w:val="4C6F18A1"/>
    <w:rsid w:val="65F918BC"/>
    <w:rsid w:val="755270F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page;mso-position-vertical-relative:page" fillcolor="none [671]" stroke="f">
      <v:fill color="none [671]" opacity=".75"/>
      <v:stroke on="f"/>
      <o:colormru v:ext="edit" colors="#a6b4be,#d2d9de"/>
    </o:shapedefaults>
    <o:shapelayout v:ext="edit">
      <o:idmap v:ext="edit" data="2"/>
    </o:shapelayout>
  </w:shapeDefaults>
  <w:decimalSymbol w:val="."/>
  <w:listSeparator w:val=","/>
  <w14:docId w14:val="7259A0B9"/>
  <w15:docId w15:val="{ED5C2D67-8E1E-460C-8D8C-E010B4729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locked="1" w:uiPriority="1" w:qFormat="1"/>
    <w:lsdException w:name="heading 2" w:locked="1" w:semiHidden="1" w:uiPriority="2" w:unhideWhenUsed="1" w:qFormat="1"/>
    <w:lsdException w:name="heading 3" w:locked="1" w:semiHidden="1" w:uiPriority="3" w:unhideWhenUsed="1" w:qFormat="1"/>
    <w:lsdException w:name="heading 4" w:semiHidden="1" w:uiPriority="4" w:unhideWhenUsed="1"/>
    <w:lsdException w:name="heading 5" w:semiHidden="1" w:uiPriority="5" w:unhideWhenUsed="1"/>
    <w:lsdException w:name="heading 6" w:semiHidden="1" w:uiPriority="9" w:unhideWhenUsed="1"/>
    <w:lsdException w:name="heading 7" w:semiHidden="1" w:uiPriority="3"/>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0" w:qFormat="1"/>
    <w:lsdException w:name="Intense Quote" w:semiHidden="1" w:uiPriority="3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21" w:unhideWhenUsed="1" w:qFormat="1"/>
    <w:lsdException w:name="Intense Emphasis" w:semiHidden="1" w:uiPriority="23" w:unhideWhenUsed="1" w:qFormat="1"/>
    <w:lsdException w:name="Subtle Reference" w:semiHidden="1" w:uiPriority="32" w:unhideWhenUsed="1" w:qFormat="1"/>
    <w:lsdException w:name="Intense Reference" w:semiHidden="1" w:uiPriority="33"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3754B0"/>
    <w:rPr>
      <w:lang w:val="en-NZ"/>
    </w:rPr>
  </w:style>
  <w:style w:type="paragraph" w:styleId="Heading1">
    <w:name w:val="heading 1"/>
    <w:basedOn w:val="BodyText"/>
    <w:next w:val="BodyText"/>
    <w:link w:val="Heading1Char"/>
    <w:uiPriority w:val="1"/>
    <w:qFormat/>
    <w:locked/>
    <w:rsid w:val="00B174E5"/>
    <w:pPr>
      <w:keepNext/>
      <w:spacing w:before="360" w:after="240"/>
      <w:outlineLvl w:val="0"/>
    </w:pPr>
    <w:rPr>
      <w:rFonts w:asciiTheme="majorHAnsi" w:hAnsiTheme="majorHAnsi"/>
      <w:b/>
      <w:caps/>
      <w:color w:val="36424A" w:themeColor="text2"/>
      <w:sz w:val="28"/>
    </w:rPr>
  </w:style>
  <w:style w:type="paragraph" w:styleId="Heading2">
    <w:name w:val="heading 2"/>
    <w:basedOn w:val="Normal"/>
    <w:next w:val="BodyText"/>
    <w:link w:val="Heading2Char"/>
    <w:uiPriority w:val="1"/>
    <w:qFormat/>
    <w:locked/>
    <w:rsid w:val="00B174E5"/>
    <w:pPr>
      <w:keepNext/>
      <w:spacing w:before="360" w:after="120"/>
      <w:outlineLvl w:val="1"/>
    </w:pPr>
    <w:rPr>
      <w:rFonts w:asciiTheme="majorHAnsi" w:hAnsiTheme="majorHAnsi"/>
      <w:b/>
      <w:color w:val="36424A" w:themeColor="text2"/>
      <w:sz w:val="28"/>
    </w:rPr>
  </w:style>
  <w:style w:type="paragraph" w:styleId="Heading3">
    <w:name w:val="heading 3"/>
    <w:basedOn w:val="BodyText"/>
    <w:next w:val="BodyText"/>
    <w:link w:val="Heading3Char"/>
    <w:uiPriority w:val="1"/>
    <w:qFormat/>
    <w:locked/>
    <w:rsid w:val="00B174E5"/>
    <w:pPr>
      <w:keepNext/>
      <w:spacing w:before="240"/>
      <w:outlineLvl w:val="2"/>
    </w:pPr>
    <w:rPr>
      <w:rFonts w:asciiTheme="majorHAnsi" w:hAnsiTheme="majorHAnsi"/>
      <w:b/>
      <w:color w:val="36424A" w:themeColor="text2"/>
      <w:sz w:val="24"/>
    </w:rPr>
  </w:style>
  <w:style w:type="paragraph" w:styleId="Heading4">
    <w:name w:val="heading 4"/>
    <w:basedOn w:val="BodyText"/>
    <w:next w:val="BodyText"/>
    <w:link w:val="Heading4Char"/>
    <w:uiPriority w:val="1"/>
    <w:unhideWhenUsed/>
    <w:rsid w:val="001C3B9F"/>
    <w:pPr>
      <w:keepNext/>
      <w:outlineLvl w:val="3"/>
    </w:pPr>
    <w:rPr>
      <w:rFonts w:asciiTheme="majorHAnsi" w:hAnsiTheme="majorHAnsi"/>
      <w:b/>
      <w:i/>
      <w:color w:val="36424A" w:themeColor="text2"/>
      <w:sz w:val="24"/>
    </w:rPr>
  </w:style>
  <w:style w:type="paragraph" w:styleId="Heading5">
    <w:name w:val="heading 5"/>
    <w:basedOn w:val="BodyText"/>
    <w:next w:val="BodyText"/>
    <w:link w:val="Heading5Char"/>
    <w:uiPriority w:val="1"/>
    <w:unhideWhenUsed/>
    <w:rsid w:val="00946114"/>
    <w:pPr>
      <w:keepNext/>
      <w:outlineLvl w:val="4"/>
    </w:pPr>
    <w:rPr>
      <w:rFonts w:asciiTheme="majorHAnsi" w:hAnsiTheme="majorHAnsi"/>
      <w:i/>
      <w:color w:val="36424A" w:themeColor="text2"/>
    </w:rPr>
  </w:style>
  <w:style w:type="paragraph" w:styleId="Heading6">
    <w:name w:val="heading 6"/>
    <w:basedOn w:val="Normal"/>
    <w:next w:val="Normal"/>
    <w:link w:val="Heading6Char"/>
    <w:uiPriority w:val="1"/>
    <w:semiHidden/>
    <w:rsid w:val="004B2442"/>
    <w:pPr>
      <w:keepNext/>
      <w:keepLines/>
      <w:spacing w:before="200"/>
      <w:outlineLvl w:val="5"/>
    </w:pPr>
    <w:rPr>
      <w:rFonts w:asciiTheme="majorHAnsi" w:eastAsiaTheme="majorEastAsia" w:hAnsiTheme="majorHAnsi" w:cstheme="majorBidi"/>
      <w:i/>
      <w:iCs/>
      <w:color w:val="1B202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C3B9F"/>
    <w:rPr>
      <w:rFonts w:asciiTheme="majorHAnsi" w:hAnsiTheme="majorHAnsi"/>
      <w:b/>
      <w:caps/>
      <w:color w:val="36424A" w:themeColor="text2"/>
      <w:sz w:val="28"/>
    </w:rPr>
  </w:style>
  <w:style w:type="character" w:customStyle="1" w:styleId="Heading2Char">
    <w:name w:val="Heading 2 Char"/>
    <w:basedOn w:val="DefaultParagraphFont"/>
    <w:link w:val="Heading2"/>
    <w:uiPriority w:val="1"/>
    <w:rsid w:val="00DF3278"/>
    <w:rPr>
      <w:rFonts w:asciiTheme="majorHAnsi" w:hAnsiTheme="majorHAnsi"/>
      <w:b/>
      <w:color w:val="36424A" w:themeColor="text2"/>
      <w:sz w:val="28"/>
    </w:rPr>
  </w:style>
  <w:style w:type="character" w:customStyle="1" w:styleId="Heading3Char">
    <w:name w:val="Heading 3 Char"/>
    <w:basedOn w:val="DefaultParagraphFont"/>
    <w:link w:val="Heading3"/>
    <w:uiPriority w:val="1"/>
    <w:rsid w:val="001C3B9F"/>
    <w:rPr>
      <w:rFonts w:asciiTheme="majorHAnsi" w:hAnsiTheme="majorHAnsi"/>
      <w:b/>
      <w:color w:val="36424A" w:themeColor="text2"/>
      <w:sz w:val="24"/>
    </w:rPr>
  </w:style>
  <w:style w:type="character" w:customStyle="1" w:styleId="Heading4Char">
    <w:name w:val="Heading 4 Char"/>
    <w:basedOn w:val="DefaultParagraphFont"/>
    <w:link w:val="Heading4"/>
    <w:uiPriority w:val="1"/>
    <w:rsid w:val="001C3B9F"/>
    <w:rPr>
      <w:rFonts w:asciiTheme="majorHAnsi" w:hAnsiTheme="majorHAnsi"/>
      <w:b/>
      <w:i/>
      <w:color w:val="36424A" w:themeColor="text2"/>
      <w:sz w:val="24"/>
      <w:lang w:val="en-NZ"/>
    </w:rPr>
  </w:style>
  <w:style w:type="character" w:customStyle="1" w:styleId="Heading5Char">
    <w:name w:val="Heading 5 Char"/>
    <w:basedOn w:val="DefaultParagraphFont"/>
    <w:link w:val="Heading5"/>
    <w:uiPriority w:val="1"/>
    <w:rsid w:val="001C3B9F"/>
    <w:rPr>
      <w:rFonts w:asciiTheme="majorHAnsi" w:hAnsiTheme="majorHAnsi"/>
      <w:i/>
      <w:color w:val="36424A" w:themeColor="text2"/>
    </w:rPr>
  </w:style>
  <w:style w:type="paragraph" w:customStyle="1" w:styleId="MainTitleHeading">
    <w:name w:val="Main Title Heading"/>
    <w:basedOn w:val="Normal"/>
    <w:link w:val="MainTitleHeadingChar"/>
    <w:uiPriority w:val="14"/>
    <w:unhideWhenUsed/>
    <w:qFormat/>
    <w:rsid w:val="00A60C1C"/>
    <w:pPr>
      <w:jc w:val="center"/>
    </w:pPr>
    <w:rPr>
      <w:rFonts w:asciiTheme="majorHAnsi" w:hAnsiTheme="majorHAnsi"/>
      <w:b/>
      <w:caps/>
      <w:color w:val="36424A"/>
      <w:sz w:val="48"/>
    </w:rPr>
  </w:style>
  <w:style w:type="paragraph" w:customStyle="1" w:styleId="SubTitleHeading">
    <w:name w:val="Sub Title Heading"/>
    <w:basedOn w:val="Normal"/>
    <w:link w:val="SubTitleHeadingChar"/>
    <w:uiPriority w:val="15"/>
    <w:unhideWhenUsed/>
    <w:qFormat/>
    <w:rsid w:val="00A60C1C"/>
    <w:pPr>
      <w:jc w:val="center"/>
    </w:pPr>
    <w:rPr>
      <w:rFonts w:asciiTheme="majorHAnsi" w:hAnsiTheme="majorHAnsi"/>
      <w:b/>
      <w:color w:val="36424A"/>
      <w:sz w:val="28"/>
    </w:rPr>
  </w:style>
  <w:style w:type="character" w:customStyle="1" w:styleId="MainTitleHeadingChar">
    <w:name w:val="Main Title Heading Char"/>
    <w:basedOn w:val="DefaultParagraphFont"/>
    <w:link w:val="MainTitleHeading"/>
    <w:uiPriority w:val="14"/>
    <w:rsid w:val="00A60C1C"/>
    <w:rPr>
      <w:rFonts w:asciiTheme="majorHAnsi" w:hAnsiTheme="majorHAnsi"/>
      <w:b/>
      <w:caps/>
      <w:color w:val="36424A"/>
      <w:sz w:val="48"/>
    </w:rPr>
  </w:style>
  <w:style w:type="paragraph" w:styleId="Header">
    <w:name w:val="header"/>
    <w:basedOn w:val="Normal"/>
    <w:link w:val="HeaderChar"/>
    <w:uiPriority w:val="99"/>
    <w:unhideWhenUsed/>
    <w:rsid w:val="00084F67"/>
    <w:rPr>
      <w:rFonts w:asciiTheme="majorHAnsi" w:hAnsiTheme="majorHAnsi"/>
      <w:sz w:val="18"/>
    </w:rPr>
  </w:style>
  <w:style w:type="character" w:customStyle="1" w:styleId="SubTitleHeadingChar">
    <w:name w:val="Sub Title Heading Char"/>
    <w:basedOn w:val="DefaultParagraphFont"/>
    <w:link w:val="SubTitleHeading"/>
    <w:uiPriority w:val="15"/>
    <w:rsid w:val="00A60C1C"/>
    <w:rPr>
      <w:rFonts w:asciiTheme="majorHAnsi" w:hAnsiTheme="majorHAnsi"/>
      <w:b/>
      <w:color w:val="36424A"/>
      <w:sz w:val="28"/>
    </w:rPr>
  </w:style>
  <w:style w:type="character" w:customStyle="1" w:styleId="HeaderChar">
    <w:name w:val="Header Char"/>
    <w:basedOn w:val="DefaultParagraphFont"/>
    <w:link w:val="Header"/>
    <w:uiPriority w:val="99"/>
    <w:rsid w:val="00084F67"/>
    <w:rPr>
      <w:rFonts w:asciiTheme="majorHAnsi" w:hAnsiTheme="majorHAnsi"/>
      <w:sz w:val="18"/>
    </w:rPr>
  </w:style>
  <w:style w:type="paragraph" w:styleId="Footer">
    <w:name w:val="footer"/>
    <w:basedOn w:val="Normal"/>
    <w:link w:val="FooterChar"/>
    <w:uiPriority w:val="99"/>
    <w:rsid w:val="00084F67"/>
    <w:rPr>
      <w:rFonts w:asciiTheme="majorHAnsi" w:hAnsiTheme="majorHAnsi"/>
      <w:sz w:val="18"/>
    </w:rPr>
  </w:style>
  <w:style w:type="character" w:customStyle="1" w:styleId="FooterChar">
    <w:name w:val="Footer Char"/>
    <w:basedOn w:val="DefaultParagraphFont"/>
    <w:link w:val="Footer"/>
    <w:uiPriority w:val="99"/>
    <w:rsid w:val="005966E4"/>
    <w:rPr>
      <w:rFonts w:asciiTheme="majorHAnsi" w:hAnsiTheme="majorHAnsi"/>
      <w:sz w:val="18"/>
    </w:rPr>
  </w:style>
  <w:style w:type="paragraph" w:styleId="BalloonText">
    <w:name w:val="Balloon Text"/>
    <w:basedOn w:val="Normal"/>
    <w:link w:val="BalloonTextChar"/>
    <w:uiPriority w:val="99"/>
    <w:semiHidden/>
    <w:unhideWhenUsed/>
    <w:rsid w:val="0024555D"/>
    <w:rPr>
      <w:rFonts w:cs="Tahoma"/>
      <w:sz w:val="16"/>
      <w:szCs w:val="16"/>
    </w:rPr>
  </w:style>
  <w:style w:type="character" w:customStyle="1" w:styleId="BalloonTextChar">
    <w:name w:val="Balloon Text Char"/>
    <w:basedOn w:val="DefaultParagraphFont"/>
    <w:link w:val="BalloonText"/>
    <w:uiPriority w:val="99"/>
    <w:semiHidden/>
    <w:rsid w:val="0024555D"/>
    <w:rPr>
      <w:rFonts w:ascii="Tahoma" w:hAnsi="Tahoma" w:cs="Tahoma"/>
      <w:sz w:val="16"/>
      <w:szCs w:val="16"/>
    </w:rPr>
  </w:style>
  <w:style w:type="paragraph" w:styleId="ListParagraph">
    <w:name w:val="List Paragraph"/>
    <w:aliases w:val="NFP GP Bulleted List,Bullets,Recommendation,List Paragraph1,List Paragraph11,1 heading,Bullet point,CAB - List Bullet,Dot point 1.5 line spacing,FooterText,L,List Bullet Cab,List Paragraph - bullets,List Paragraph2,bullet point list,列,lp1"/>
    <w:basedOn w:val="Normal"/>
    <w:link w:val="ListParagraphChar"/>
    <w:uiPriority w:val="34"/>
    <w:qFormat/>
    <w:rsid w:val="0047667C"/>
    <w:pPr>
      <w:spacing w:before="120" w:after="120"/>
      <w:ind w:left="851" w:hanging="567"/>
    </w:pPr>
  </w:style>
  <w:style w:type="paragraph" w:customStyle="1" w:styleId="List-BulletLvl1">
    <w:name w:val="List - Bullet Lvl 1"/>
    <w:basedOn w:val="BodyText"/>
    <w:link w:val="List-BulletLvl1Char"/>
    <w:uiPriority w:val="4"/>
    <w:qFormat/>
    <w:rsid w:val="002A78C5"/>
    <w:pPr>
      <w:numPr>
        <w:numId w:val="6"/>
      </w:numPr>
      <w:spacing w:before="0"/>
    </w:pPr>
  </w:style>
  <w:style w:type="paragraph" w:customStyle="1" w:styleId="List-AlphanumericLvl1">
    <w:name w:val="List - Alphanumeric Lvl 1"/>
    <w:basedOn w:val="ListParagraph"/>
    <w:link w:val="List-AlphanumericLvl1Char"/>
    <w:uiPriority w:val="7"/>
    <w:qFormat/>
    <w:rsid w:val="00F974C3"/>
    <w:pPr>
      <w:numPr>
        <w:numId w:val="5"/>
      </w:numPr>
      <w:ind w:left="851"/>
    </w:pPr>
  </w:style>
  <w:style w:type="character" w:customStyle="1" w:styleId="ListParagraphChar">
    <w:name w:val="List Paragraph Char"/>
    <w:aliases w:val="NFP GP Bulleted List Char,Bullets Char,Recommendation Char,List Paragraph1 Char,List Paragraph11 Char,1 heading Char,Bullet point Char,CAB - List Bullet Char,Dot point 1.5 line spacing Char,FooterText Char,L Char,List Bullet Cab Char"/>
    <w:basedOn w:val="DefaultParagraphFont"/>
    <w:link w:val="ListParagraph"/>
    <w:uiPriority w:val="34"/>
    <w:qFormat/>
    <w:rsid w:val="005966E4"/>
  </w:style>
  <w:style w:type="character" w:customStyle="1" w:styleId="List-BulletLvl1Char">
    <w:name w:val="List - Bullet Lvl 1 Char"/>
    <w:basedOn w:val="ListParagraphChar"/>
    <w:link w:val="List-BulletLvl1"/>
    <w:uiPriority w:val="4"/>
    <w:rsid w:val="002A78C5"/>
    <w:rPr>
      <w:lang w:val="en-NZ"/>
    </w:rPr>
  </w:style>
  <w:style w:type="character" w:customStyle="1" w:styleId="List-AlphanumericLvl1Char">
    <w:name w:val="List - Alphanumeric Lvl 1 Char"/>
    <w:basedOn w:val="ListParagraphChar"/>
    <w:link w:val="List-AlphanumericLvl1"/>
    <w:uiPriority w:val="7"/>
    <w:rsid w:val="00F974C3"/>
    <w:rPr>
      <w:lang w:val="en-NZ"/>
    </w:rPr>
  </w:style>
  <w:style w:type="paragraph" w:customStyle="1" w:styleId="List-BulletLvl2">
    <w:name w:val="List - Bullet Lvl 2"/>
    <w:basedOn w:val="BodyText"/>
    <w:link w:val="List-BulletLvl2Char"/>
    <w:uiPriority w:val="4"/>
    <w:rsid w:val="002A78C5"/>
    <w:pPr>
      <w:numPr>
        <w:ilvl w:val="1"/>
        <w:numId w:val="6"/>
      </w:numPr>
    </w:pPr>
  </w:style>
  <w:style w:type="paragraph" w:customStyle="1" w:styleId="List-AlphanumericLvl2">
    <w:name w:val="List - Alphanumeric Lvl 2"/>
    <w:basedOn w:val="List-AlphanumericLvl1"/>
    <w:link w:val="List-AlphanumericLvl2Char"/>
    <w:uiPriority w:val="7"/>
    <w:rsid w:val="00F974C3"/>
    <w:pPr>
      <w:numPr>
        <w:ilvl w:val="1"/>
      </w:numPr>
      <w:ind w:left="1418"/>
    </w:pPr>
  </w:style>
  <w:style w:type="character" w:customStyle="1" w:styleId="List-BulletLvl2Char">
    <w:name w:val="List - Bullet Lvl 2 Char"/>
    <w:basedOn w:val="List-BulletLvl1Char"/>
    <w:link w:val="List-BulletLvl2"/>
    <w:uiPriority w:val="4"/>
    <w:rsid w:val="00106F45"/>
    <w:rPr>
      <w:lang w:val="en-NZ"/>
    </w:rPr>
  </w:style>
  <w:style w:type="paragraph" w:customStyle="1" w:styleId="List-AlphanumericLvl3">
    <w:name w:val="List - Alphanumeric Lvl 3"/>
    <w:basedOn w:val="List-AlphanumericLvl2"/>
    <w:link w:val="List-AlphanumericLvl3Char"/>
    <w:uiPriority w:val="7"/>
    <w:rsid w:val="00F974C3"/>
    <w:pPr>
      <w:numPr>
        <w:ilvl w:val="2"/>
      </w:numPr>
      <w:tabs>
        <w:tab w:val="left" w:pos="1985"/>
      </w:tabs>
      <w:ind w:left="1985"/>
    </w:pPr>
  </w:style>
  <w:style w:type="character" w:customStyle="1" w:styleId="List-AlphanumericLvl2Char">
    <w:name w:val="List - Alphanumeric Lvl 2 Char"/>
    <w:basedOn w:val="List-AlphanumericLvl1Char"/>
    <w:link w:val="List-AlphanumericLvl2"/>
    <w:uiPriority w:val="7"/>
    <w:rsid w:val="00F974C3"/>
    <w:rPr>
      <w:lang w:val="en-NZ"/>
    </w:rPr>
  </w:style>
  <w:style w:type="character" w:customStyle="1" w:styleId="List-AlphanumericLvl3Char">
    <w:name w:val="List - Alphanumeric Lvl 3 Char"/>
    <w:basedOn w:val="List-AlphanumericLvl2Char"/>
    <w:link w:val="List-AlphanumericLvl3"/>
    <w:uiPriority w:val="7"/>
    <w:rsid w:val="00F974C3"/>
    <w:rPr>
      <w:lang w:val="en-NZ"/>
    </w:rPr>
  </w:style>
  <w:style w:type="paragraph" w:customStyle="1" w:styleId="CV-Name">
    <w:name w:val="CV - Name"/>
    <w:basedOn w:val="BodyText"/>
    <w:next w:val="CV-Quals"/>
    <w:link w:val="CV-NameChar"/>
    <w:uiPriority w:val="11"/>
    <w:qFormat/>
    <w:rsid w:val="00A60C1C"/>
    <w:rPr>
      <w:b/>
      <w:color w:val="77B800"/>
      <w:sz w:val="32"/>
    </w:rPr>
  </w:style>
  <w:style w:type="paragraph" w:customStyle="1" w:styleId="CV-Quals">
    <w:name w:val="CV - Quals"/>
    <w:basedOn w:val="BodyText"/>
    <w:next w:val="BodyText"/>
    <w:link w:val="CV-QualsChar"/>
    <w:uiPriority w:val="11"/>
    <w:qFormat/>
    <w:rsid w:val="008D6A45"/>
    <w:pPr>
      <w:spacing w:after="360"/>
    </w:pPr>
    <w:rPr>
      <w:b/>
      <w:i/>
      <w:color w:val="36424A" w:themeColor="text2"/>
    </w:rPr>
  </w:style>
  <w:style w:type="character" w:customStyle="1" w:styleId="CV-NameChar">
    <w:name w:val="CV - Name Char"/>
    <w:basedOn w:val="DefaultParagraphFont"/>
    <w:link w:val="CV-Name"/>
    <w:uiPriority w:val="11"/>
    <w:rsid w:val="00E367F3"/>
    <w:rPr>
      <w:b/>
      <w:color w:val="77B800"/>
      <w:sz w:val="32"/>
      <w:lang w:val="en-NZ"/>
    </w:rPr>
  </w:style>
  <w:style w:type="paragraph" w:customStyle="1" w:styleId="CV-Heading">
    <w:name w:val="CV - Heading"/>
    <w:basedOn w:val="BodyText"/>
    <w:next w:val="BodyText"/>
    <w:link w:val="CV-HeadingChar"/>
    <w:uiPriority w:val="11"/>
    <w:qFormat/>
    <w:rsid w:val="00A60C1C"/>
    <w:pPr>
      <w:keepNext/>
      <w:spacing w:before="360"/>
    </w:pPr>
    <w:rPr>
      <w:b/>
      <w:color w:val="77B800"/>
      <w:sz w:val="24"/>
    </w:rPr>
  </w:style>
  <w:style w:type="character" w:customStyle="1" w:styleId="CV-QualsChar">
    <w:name w:val="CV - Quals Char"/>
    <w:basedOn w:val="DefaultParagraphFont"/>
    <w:link w:val="CV-Quals"/>
    <w:uiPriority w:val="11"/>
    <w:rsid w:val="008D6A45"/>
    <w:rPr>
      <w:b/>
      <w:i/>
      <w:color w:val="36424A" w:themeColor="text2"/>
      <w:lang w:val="en-NZ"/>
    </w:rPr>
  </w:style>
  <w:style w:type="paragraph" w:styleId="Title">
    <w:name w:val="Title"/>
    <w:basedOn w:val="MainTitleHeading"/>
    <w:next w:val="Normal"/>
    <w:link w:val="TitleChar"/>
    <w:uiPriority w:val="99"/>
    <w:semiHidden/>
    <w:qFormat/>
    <w:rsid w:val="007F2820"/>
    <w:pPr>
      <w:spacing w:before="3000"/>
    </w:pPr>
  </w:style>
  <w:style w:type="character" w:customStyle="1" w:styleId="CV-HeadingChar">
    <w:name w:val="CV - Heading Char"/>
    <w:basedOn w:val="DefaultParagraphFont"/>
    <w:link w:val="CV-Heading"/>
    <w:uiPriority w:val="11"/>
    <w:rsid w:val="00E367F3"/>
    <w:rPr>
      <w:b/>
      <w:color w:val="77B800"/>
      <w:sz w:val="24"/>
      <w:lang w:val="en-NZ"/>
    </w:rPr>
  </w:style>
  <w:style w:type="character" w:customStyle="1" w:styleId="TitleChar">
    <w:name w:val="Title Char"/>
    <w:basedOn w:val="DefaultParagraphFont"/>
    <w:link w:val="Title"/>
    <w:uiPriority w:val="99"/>
    <w:semiHidden/>
    <w:rsid w:val="002306E8"/>
    <w:rPr>
      <w:rFonts w:asciiTheme="majorHAnsi" w:hAnsiTheme="majorHAnsi"/>
      <w:b/>
      <w:caps/>
      <w:sz w:val="48"/>
    </w:rPr>
  </w:style>
  <w:style w:type="paragraph" w:styleId="Subtitle">
    <w:name w:val="Subtitle"/>
    <w:basedOn w:val="SubTitleHeading"/>
    <w:next w:val="Normal"/>
    <w:link w:val="SubtitleChar"/>
    <w:uiPriority w:val="11"/>
    <w:qFormat/>
    <w:rsid w:val="007F2820"/>
  </w:style>
  <w:style w:type="character" w:customStyle="1" w:styleId="SubtitleChar">
    <w:name w:val="Subtitle Char"/>
    <w:basedOn w:val="DefaultParagraphFont"/>
    <w:link w:val="Subtitle"/>
    <w:uiPriority w:val="11"/>
    <w:rsid w:val="002306E8"/>
    <w:rPr>
      <w:rFonts w:asciiTheme="majorHAnsi" w:hAnsiTheme="majorHAnsi"/>
      <w:b/>
      <w:sz w:val="28"/>
    </w:rPr>
  </w:style>
  <w:style w:type="character" w:customStyle="1" w:styleId="Heading6Char">
    <w:name w:val="Heading 6 Char"/>
    <w:basedOn w:val="DefaultParagraphFont"/>
    <w:link w:val="Heading6"/>
    <w:uiPriority w:val="1"/>
    <w:semiHidden/>
    <w:rsid w:val="0023471F"/>
    <w:rPr>
      <w:rFonts w:asciiTheme="majorHAnsi" w:eastAsiaTheme="majorEastAsia" w:hAnsiTheme="majorHAnsi" w:cstheme="majorBidi"/>
      <w:i/>
      <w:iCs/>
      <w:color w:val="1B2024" w:themeColor="accent1" w:themeShade="7F"/>
    </w:rPr>
  </w:style>
  <w:style w:type="paragraph" w:styleId="TOC1">
    <w:name w:val="toc 1"/>
    <w:basedOn w:val="Normal"/>
    <w:next w:val="Normal"/>
    <w:uiPriority w:val="39"/>
    <w:unhideWhenUsed/>
    <w:rsid w:val="00580A2B"/>
    <w:pPr>
      <w:tabs>
        <w:tab w:val="left" w:pos="567"/>
        <w:tab w:val="right" w:pos="9072"/>
      </w:tabs>
      <w:spacing w:before="120" w:after="0"/>
    </w:pPr>
    <w:rPr>
      <w:rFonts w:asciiTheme="majorHAnsi" w:hAnsiTheme="majorHAnsi"/>
      <w:b/>
      <w:caps/>
      <w:noProof/>
    </w:rPr>
  </w:style>
  <w:style w:type="paragraph" w:styleId="TOC2">
    <w:name w:val="toc 2"/>
    <w:basedOn w:val="Normal"/>
    <w:next w:val="Normal"/>
    <w:uiPriority w:val="39"/>
    <w:unhideWhenUsed/>
    <w:rsid w:val="00580A2B"/>
    <w:pPr>
      <w:tabs>
        <w:tab w:val="left" w:pos="1418"/>
        <w:tab w:val="right" w:pos="9072"/>
      </w:tabs>
      <w:spacing w:after="0" w:line="240" w:lineRule="auto"/>
      <w:ind w:left="1418" w:hanging="851"/>
    </w:pPr>
    <w:rPr>
      <w:rFonts w:asciiTheme="majorHAnsi" w:hAnsiTheme="majorHAnsi"/>
      <w:noProof/>
    </w:rPr>
  </w:style>
  <w:style w:type="paragraph" w:styleId="TOC3">
    <w:name w:val="toc 3"/>
    <w:basedOn w:val="Normal"/>
    <w:next w:val="Normal"/>
    <w:uiPriority w:val="39"/>
    <w:unhideWhenUsed/>
    <w:rsid w:val="00CB6F2E"/>
    <w:pPr>
      <w:tabs>
        <w:tab w:val="right" w:pos="9072"/>
      </w:tabs>
      <w:spacing w:after="0" w:line="240" w:lineRule="auto"/>
      <w:ind w:left="2268" w:hanging="851"/>
    </w:pPr>
    <w:rPr>
      <w:rFonts w:asciiTheme="majorHAnsi" w:hAnsiTheme="majorHAnsi"/>
      <w:noProof/>
      <w:sz w:val="20"/>
    </w:rPr>
  </w:style>
  <w:style w:type="character" w:styleId="Hyperlink">
    <w:name w:val="Hyperlink"/>
    <w:basedOn w:val="DefaultParagraphFont"/>
    <w:uiPriority w:val="99"/>
    <w:unhideWhenUsed/>
    <w:rsid w:val="00EC7994"/>
    <w:rPr>
      <w:color w:val="0000FF" w:themeColor="hyperlink"/>
      <w:u w:val="single"/>
    </w:rPr>
  </w:style>
  <w:style w:type="paragraph" w:customStyle="1" w:styleId="NumberedHeading1">
    <w:name w:val="Numbered Heading 1"/>
    <w:basedOn w:val="ListParagraph"/>
    <w:next w:val="BodyText"/>
    <w:link w:val="NumberedHeading1Char"/>
    <w:qFormat/>
    <w:rsid w:val="00F707A0"/>
    <w:pPr>
      <w:keepNext/>
      <w:numPr>
        <w:numId w:val="2"/>
      </w:numPr>
      <w:spacing w:before="360" w:after="240"/>
      <w:ind w:left="567" w:hanging="567"/>
      <w:outlineLvl w:val="0"/>
    </w:pPr>
    <w:rPr>
      <w:rFonts w:asciiTheme="majorHAnsi" w:hAnsiTheme="majorHAnsi"/>
      <w:b/>
      <w:caps/>
      <w:color w:val="36424A" w:themeColor="text2"/>
      <w:sz w:val="28"/>
    </w:rPr>
  </w:style>
  <w:style w:type="paragraph" w:customStyle="1" w:styleId="NumberedHeading2">
    <w:name w:val="Numbered Heading 2"/>
    <w:basedOn w:val="ListParagraph"/>
    <w:next w:val="BodyText"/>
    <w:link w:val="NumberedHeading2Char"/>
    <w:uiPriority w:val="2"/>
    <w:qFormat/>
    <w:rsid w:val="0077052C"/>
    <w:pPr>
      <w:keepNext/>
      <w:numPr>
        <w:ilvl w:val="1"/>
        <w:numId w:val="2"/>
      </w:numPr>
      <w:spacing w:before="360"/>
      <w:ind w:left="851" w:hanging="851"/>
      <w:outlineLvl w:val="1"/>
    </w:pPr>
    <w:rPr>
      <w:rFonts w:asciiTheme="majorHAnsi" w:hAnsiTheme="majorHAnsi"/>
      <w:b/>
      <w:color w:val="36424A" w:themeColor="text2"/>
      <w:sz w:val="28"/>
    </w:rPr>
  </w:style>
  <w:style w:type="character" w:customStyle="1" w:styleId="NumberedHeading1Char">
    <w:name w:val="Numbered Heading 1 Char"/>
    <w:basedOn w:val="Heading1Char"/>
    <w:link w:val="NumberedHeading1"/>
    <w:rsid w:val="00F707A0"/>
    <w:rPr>
      <w:rFonts w:asciiTheme="majorHAnsi" w:hAnsiTheme="majorHAnsi"/>
      <w:b/>
      <w:caps/>
      <w:color w:val="36424A" w:themeColor="text2"/>
      <w:sz w:val="28"/>
      <w:lang w:val="en-NZ"/>
    </w:rPr>
  </w:style>
  <w:style w:type="paragraph" w:customStyle="1" w:styleId="NumberedHeading3">
    <w:name w:val="Numbered Heading 3"/>
    <w:basedOn w:val="ListParagraph"/>
    <w:link w:val="NumberedHeading3Char"/>
    <w:uiPriority w:val="2"/>
    <w:qFormat/>
    <w:rsid w:val="0077052C"/>
    <w:pPr>
      <w:keepNext/>
      <w:numPr>
        <w:ilvl w:val="2"/>
        <w:numId w:val="2"/>
      </w:numPr>
      <w:spacing w:before="240"/>
      <w:outlineLvl w:val="2"/>
    </w:pPr>
    <w:rPr>
      <w:rFonts w:asciiTheme="majorHAnsi" w:hAnsiTheme="majorHAnsi"/>
      <w:b/>
      <w:color w:val="36424A" w:themeColor="text2"/>
      <w:sz w:val="24"/>
    </w:rPr>
  </w:style>
  <w:style w:type="character" w:customStyle="1" w:styleId="NumberedHeading2Char">
    <w:name w:val="Numbered Heading 2 Char"/>
    <w:basedOn w:val="Heading2Char"/>
    <w:link w:val="NumberedHeading2"/>
    <w:uiPriority w:val="2"/>
    <w:rsid w:val="0077052C"/>
    <w:rPr>
      <w:rFonts w:asciiTheme="majorHAnsi" w:hAnsiTheme="majorHAnsi"/>
      <w:b/>
      <w:color w:val="36424A" w:themeColor="text2"/>
      <w:sz w:val="28"/>
      <w:lang w:val="en-NZ"/>
    </w:rPr>
  </w:style>
  <w:style w:type="paragraph" w:customStyle="1" w:styleId="NumberedHeading4">
    <w:name w:val="Numbered Heading 4"/>
    <w:basedOn w:val="ListParagraph"/>
    <w:next w:val="BodyText"/>
    <w:link w:val="NumberedHeading4Char"/>
    <w:uiPriority w:val="2"/>
    <w:unhideWhenUsed/>
    <w:rsid w:val="0077052C"/>
    <w:pPr>
      <w:keepNext/>
      <w:numPr>
        <w:ilvl w:val="3"/>
        <w:numId w:val="2"/>
      </w:numPr>
      <w:ind w:left="1134" w:hanging="1134"/>
      <w:outlineLvl w:val="3"/>
    </w:pPr>
    <w:rPr>
      <w:rFonts w:asciiTheme="majorHAnsi" w:hAnsiTheme="majorHAnsi"/>
      <w:b/>
      <w:i/>
      <w:color w:val="36424A" w:themeColor="text2"/>
      <w:sz w:val="24"/>
    </w:rPr>
  </w:style>
  <w:style w:type="character" w:customStyle="1" w:styleId="NumberedHeading3Char">
    <w:name w:val="Numbered Heading 3 Char"/>
    <w:basedOn w:val="Heading3Char"/>
    <w:link w:val="NumberedHeading3"/>
    <w:uiPriority w:val="2"/>
    <w:rsid w:val="0077052C"/>
    <w:rPr>
      <w:rFonts w:asciiTheme="majorHAnsi" w:hAnsiTheme="majorHAnsi"/>
      <w:b/>
      <w:color w:val="36424A" w:themeColor="text2"/>
      <w:sz w:val="24"/>
      <w:lang w:val="en-NZ"/>
    </w:rPr>
  </w:style>
  <w:style w:type="paragraph" w:customStyle="1" w:styleId="NumberedHeading5">
    <w:name w:val="Numbered Heading 5"/>
    <w:basedOn w:val="ListParagraph"/>
    <w:next w:val="BodyText"/>
    <w:link w:val="NumberedHeading5Char"/>
    <w:uiPriority w:val="2"/>
    <w:unhideWhenUsed/>
    <w:rsid w:val="0077052C"/>
    <w:pPr>
      <w:keepNext/>
      <w:numPr>
        <w:ilvl w:val="4"/>
        <w:numId w:val="3"/>
      </w:numPr>
      <w:ind w:left="1134" w:hanging="1134"/>
      <w:outlineLvl w:val="4"/>
    </w:pPr>
    <w:rPr>
      <w:rFonts w:asciiTheme="majorHAnsi" w:hAnsiTheme="majorHAnsi"/>
      <w:i/>
      <w:color w:val="36424A" w:themeColor="text2"/>
    </w:rPr>
  </w:style>
  <w:style w:type="character" w:customStyle="1" w:styleId="NumberedHeading4Char">
    <w:name w:val="Numbered Heading 4 Char"/>
    <w:basedOn w:val="Heading4Char"/>
    <w:link w:val="NumberedHeading4"/>
    <w:uiPriority w:val="2"/>
    <w:rsid w:val="0077052C"/>
    <w:rPr>
      <w:rFonts w:asciiTheme="majorHAnsi" w:hAnsiTheme="majorHAnsi"/>
      <w:b/>
      <w:i/>
      <w:color w:val="36424A" w:themeColor="text2"/>
      <w:sz w:val="24"/>
      <w:lang w:val="en-NZ"/>
    </w:rPr>
  </w:style>
  <w:style w:type="character" w:customStyle="1" w:styleId="NumberedHeading5Char">
    <w:name w:val="Numbered Heading 5 Char"/>
    <w:basedOn w:val="Heading5Char"/>
    <w:link w:val="NumberedHeading5"/>
    <w:uiPriority w:val="2"/>
    <w:rsid w:val="0077052C"/>
    <w:rPr>
      <w:rFonts w:asciiTheme="majorHAnsi" w:hAnsiTheme="majorHAnsi"/>
      <w:i/>
      <w:color w:val="36424A" w:themeColor="text2"/>
      <w:lang w:val="en-NZ"/>
    </w:rPr>
  </w:style>
  <w:style w:type="paragraph" w:customStyle="1" w:styleId="Footer-EvenPg">
    <w:name w:val="Footer - Even Pg"/>
    <w:basedOn w:val="Footer"/>
    <w:link w:val="Footer-EvenPgChar"/>
    <w:uiPriority w:val="96"/>
    <w:rsid w:val="00B22EE9"/>
    <w:pPr>
      <w:pBdr>
        <w:top w:val="single" w:sz="4" w:space="6" w:color="77B800" w:themeColor="background2"/>
      </w:pBdr>
      <w:spacing w:before="240"/>
    </w:pPr>
  </w:style>
  <w:style w:type="paragraph" w:customStyle="1" w:styleId="Footer-OddPage">
    <w:name w:val="Footer - Odd Page"/>
    <w:basedOn w:val="Footer"/>
    <w:link w:val="Footer-OddPageChar"/>
    <w:uiPriority w:val="96"/>
    <w:rsid w:val="00B22EE9"/>
    <w:pPr>
      <w:pBdr>
        <w:top w:val="single" w:sz="4" w:space="6" w:color="77B800" w:themeColor="background2"/>
      </w:pBdr>
      <w:tabs>
        <w:tab w:val="center" w:pos="4253"/>
        <w:tab w:val="right" w:pos="9071"/>
      </w:tabs>
      <w:spacing w:before="240"/>
    </w:pPr>
  </w:style>
  <w:style w:type="character" w:customStyle="1" w:styleId="Footer-EvenPgChar">
    <w:name w:val="Footer - Even Pg Char"/>
    <w:basedOn w:val="FooterChar"/>
    <w:link w:val="Footer-EvenPg"/>
    <w:uiPriority w:val="96"/>
    <w:rsid w:val="00E367F3"/>
    <w:rPr>
      <w:rFonts w:asciiTheme="majorHAnsi" w:hAnsiTheme="majorHAnsi"/>
      <w:sz w:val="18"/>
      <w:lang w:val="en-NZ"/>
    </w:rPr>
  </w:style>
  <w:style w:type="table" w:customStyle="1" w:styleId="ACGreen-BandedTable">
    <w:name w:val="A+C Green - Banded Table"/>
    <w:basedOn w:val="TableNormal"/>
    <w:uiPriority w:val="99"/>
    <w:rsid w:val="00CF2461"/>
    <w:pPr>
      <w:spacing w:after="0" w:line="240" w:lineRule="auto"/>
    </w:pPr>
    <w:rPr>
      <w:rFonts w:asciiTheme="majorHAnsi" w:hAnsiTheme="majorHAnsi"/>
      <w:sz w:val="21"/>
    </w:rPr>
    <w:tblPr>
      <w:tblStyleRowBandSize w:val="1"/>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57" w:type="dxa"/>
        <w:left w:w="28" w:type="dxa"/>
        <w:bottom w:w="57" w:type="dxa"/>
        <w:right w:w="28" w:type="dxa"/>
      </w:tblCellMar>
    </w:tblPr>
    <w:tblStylePr w:type="firstRow">
      <w:rPr>
        <w:rFonts w:asciiTheme="majorHAnsi" w:hAnsiTheme="majorHAnsi"/>
        <w:color w:val="FFFFFF" w:themeColor="background1"/>
      </w:rPr>
      <w:tblPr/>
      <w:trPr>
        <w:tblHeader/>
      </w:trPr>
      <w:tcPr>
        <w:shd w:val="clear" w:color="auto" w:fill="77B800" w:themeFill="background2"/>
      </w:tcPr>
    </w:tblStylePr>
    <w:tblStylePr w:type="band2Horz">
      <w:tblPr/>
      <w:tcPr>
        <w:shd w:val="clear" w:color="auto" w:fill="E7FFBD" w:themeFill="background2" w:themeFillTint="33"/>
      </w:tcPr>
    </w:tblStylePr>
  </w:style>
  <w:style w:type="character" w:customStyle="1" w:styleId="Footer-OddPageChar">
    <w:name w:val="Footer - Odd Page Char"/>
    <w:basedOn w:val="FooterChar"/>
    <w:link w:val="Footer-OddPage"/>
    <w:uiPriority w:val="96"/>
    <w:rsid w:val="00654C3D"/>
    <w:rPr>
      <w:rFonts w:asciiTheme="majorHAnsi" w:hAnsiTheme="majorHAnsi"/>
      <w:sz w:val="18"/>
      <w:lang w:val="en-NZ"/>
    </w:rPr>
  </w:style>
  <w:style w:type="table" w:styleId="TableGrid">
    <w:name w:val="Table Grid"/>
    <w:basedOn w:val="TableNormal"/>
    <w:uiPriority w:val="39"/>
    <w:rsid w:val="00F3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Green-BasicTable">
    <w:name w:val="A+C Green - Basic Table"/>
    <w:basedOn w:val="TableNormal"/>
    <w:uiPriority w:val="99"/>
    <w:rsid w:val="005F69CB"/>
    <w:pPr>
      <w:spacing w:after="0" w:line="240" w:lineRule="auto"/>
    </w:pPr>
    <w:rPr>
      <w:rFonts w:asciiTheme="majorHAnsi" w:hAnsiTheme="majorHAnsi"/>
      <w:sz w:val="21"/>
    </w:rPr>
    <w:tblPr>
      <w:tblStyleRowBandSize w:val="1"/>
      <w:tblStyleColBandSize w:val="1"/>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57" w:type="dxa"/>
        <w:left w:w="28" w:type="dxa"/>
        <w:bottom w:w="57" w:type="dxa"/>
        <w:right w:w="28" w:type="dxa"/>
      </w:tblCellMar>
    </w:tblPr>
    <w:tblStylePr w:type="firstRow">
      <w:rPr>
        <w:rFonts w:asciiTheme="majorHAnsi" w:hAnsiTheme="majorHAnsi"/>
        <w:b/>
        <w:color w:val="FFFFFF" w:themeColor="background1"/>
        <w:sz w:val="22"/>
      </w:rPr>
      <w:tblPr/>
      <w:trPr>
        <w:tblHeader/>
      </w:trPr>
      <w:tcPr>
        <w:shd w:val="clear" w:color="auto" w:fill="77B800" w:themeFill="background2"/>
      </w:tcPr>
    </w:tblStylePr>
  </w:style>
  <w:style w:type="paragraph" w:customStyle="1" w:styleId="Table-bullet">
    <w:name w:val="Table - bullet"/>
    <w:basedOn w:val="Table-para"/>
    <w:link w:val="Table-bulletChar"/>
    <w:uiPriority w:val="12"/>
    <w:rsid w:val="00106B1D"/>
    <w:pPr>
      <w:numPr>
        <w:numId w:val="1"/>
      </w:numPr>
      <w:tabs>
        <w:tab w:val="left" w:pos="453"/>
      </w:tabs>
      <w:spacing w:line="240" w:lineRule="auto"/>
      <w:ind w:left="453"/>
    </w:pPr>
  </w:style>
  <w:style w:type="paragraph" w:customStyle="1" w:styleId="Table-Heading">
    <w:name w:val="Table - Heading"/>
    <w:next w:val="Table-para"/>
    <w:link w:val="Table-HeadingChar"/>
    <w:uiPriority w:val="11"/>
    <w:rsid w:val="005F69CB"/>
    <w:pPr>
      <w:spacing w:before="40" w:after="40"/>
    </w:pPr>
    <w:rPr>
      <w:rFonts w:asciiTheme="majorHAnsi" w:hAnsiTheme="majorHAnsi"/>
      <w:b/>
      <w:sz w:val="21"/>
      <w:szCs w:val="21"/>
      <w:lang w:val="en-NZ"/>
    </w:rPr>
  </w:style>
  <w:style w:type="character" w:customStyle="1" w:styleId="Table-bulletChar">
    <w:name w:val="Table - bullet Char"/>
    <w:basedOn w:val="DefaultParagraphFont"/>
    <w:link w:val="Table-bullet"/>
    <w:uiPriority w:val="12"/>
    <w:rsid w:val="005F69CB"/>
    <w:rPr>
      <w:rFonts w:asciiTheme="majorHAnsi" w:hAnsiTheme="majorHAnsi"/>
      <w:sz w:val="21"/>
      <w:szCs w:val="21"/>
      <w:lang w:val="en-NZ"/>
    </w:rPr>
  </w:style>
  <w:style w:type="paragraph" w:customStyle="1" w:styleId="Table-para">
    <w:name w:val="Table - para"/>
    <w:basedOn w:val="Table-Heading"/>
    <w:link w:val="Table-paraChar"/>
    <w:uiPriority w:val="11"/>
    <w:rsid w:val="005F69CB"/>
    <w:rPr>
      <w:b w:val="0"/>
    </w:rPr>
  </w:style>
  <w:style w:type="character" w:customStyle="1" w:styleId="Table-HeadingChar">
    <w:name w:val="Table - Heading Char"/>
    <w:basedOn w:val="DefaultParagraphFont"/>
    <w:link w:val="Table-Heading"/>
    <w:uiPriority w:val="11"/>
    <w:rsid w:val="005F69CB"/>
    <w:rPr>
      <w:rFonts w:asciiTheme="majorHAnsi" w:hAnsiTheme="majorHAnsi"/>
      <w:b/>
      <w:sz w:val="21"/>
      <w:szCs w:val="21"/>
      <w:lang w:val="en-NZ"/>
    </w:rPr>
  </w:style>
  <w:style w:type="character" w:customStyle="1" w:styleId="Table-paraChar">
    <w:name w:val="Table - para Char"/>
    <w:basedOn w:val="DefaultParagraphFont"/>
    <w:link w:val="Table-para"/>
    <w:uiPriority w:val="11"/>
    <w:rsid w:val="003754B0"/>
    <w:rPr>
      <w:rFonts w:asciiTheme="majorHAnsi" w:hAnsiTheme="majorHAnsi"/>
      <w:sz w:val="21"/>
      <w:szCs w:val="21"/>
      <w:lang w:val="en-NZ"/>
    </w:rPr>
  </w:style>
  <w:style w:type="paragraph" w:styleId="Quote">
    <w:name w:val="Quote"/>
    <w:basedOn w:val="BodyText"/>
    <w:next w:val="BodyText"/>
    <w:link w:val="QuoteChar"/>
    <w:uiPriority w:val="20"/>
    <w:qFormat/>
    <w:rsid w:val="00F02E54"/>
    <w:pPr>
      <w:ind w:left="1134" w:right="1089"/>
    </w:pPr>
    <w:rPr>
      <w:i/>
      <w:iCs/>
      <w:color w:val="000000" w:themeColor="text1"/>
    </w:rPr>
  </w:style>
  <w:style w:type="character" w:customStyle="1" w:styleId="QuoteChar">
    <w:name w:val="Quote Char"/>
    <w:basedOn w:val="DefaultParagraphFont"/>
    <w:link w:val="Quote"/>
    <w:uiPriority w:val="20"/>
    <w:rsid w:val="00E367F3"/>
    <w:rPr>
      <w:i/>
      <w:iCs/>
      <w:color w:val="000000" w:themeColor="text1"/>
      <w:lang w:val="en-NZ"/>
    </w:rPr>
  </w:style>
  <w:style w:type="paragraph" w:styleId="BodyText">
    <w:name w:val="Body Text"/>
    <w:aliases w:val="Body Text MFAT"/>
    <w:link w:val="BodyTextChar"/>
    <w:qFormat/>
    <w:locked/>
    <w:rsid w:val="000F1B7E"/>
    <w:pPr>
      <w:spacing w:before="120" w:after="120" w:line="280" w:lineRule="exact"/>
    </w:pPr>
    <w:rPr>
      <w:lang w:val="en-NZ"/>
    </w:rPr>
  </w:style>
  <w:style w:type="character" w:customStyle="1" w:styleId="BodyTextChar">
    <w:name w:val="Body Text Char"/>
    <w:aliases w:val="Body Text MFAT Char"/>
    <w:basedOn w:val="DefaultParagraphFont"/>
    <w:link w:val="BodyText"/>
    <w:rsid w:val="00E14424"/>
    <w:rPr>
      <w:lang w:val="en-NZ"/>
    </w:rPr>
  </w:style>
  <w:style w:type="paragraph" w:styleId="Caption">
    <w:name w:val="caption"/>
    <w:basedOn w:val="Normal"/>
    <w:next w:val="Normal"/>
    <w:link w:val="CaptionChar"/>
    <w:uiPriority w:val="99"/>
    <w:qFormat/>
    <w:rsid w:val="00B9352F"/>
    <w:pPr>
      <w:spacing w:after="120"/>
    </w:pPr>
    <w:rPr>
      <w:b/>
      <w:bCs/>
      <w:color w:val="36424A" w:themeColor="accent1"/>
      <w:sz w:val="18"/>
      <w:szCs w:val="18"/>
    </w:rPr>
  </w:style>
  <w:style w:type="paragraph" w:customStyle="1" w:styleId="Footer-OddpageLANDSCAPE">
    <w:name w:val="Footer - Odd page LANDSCAPE"/>
    <w:basedOn w:val="Footer-OddPage"/>
    <w:link w:val="Footer-OddpageLANDSCAPEChar"/>
    <w:uiPriority w:val="97"/>
    <w:qFormat/>
    <w:rsid w:val="00B22EE9"/>
    <w:pPr>
      <w:tabs>
        <w:tab w:val="clear" w:pos="9071"/>
        <w:tab w:val="center" w:pos="7088"/>
        <w:tab w:val="right" w:pos="14003"/>
      </w:tabs>
    </w:pPr>
  </w:style>
  <w:style w:type="character" w:customStyle="1" w:styleId="Footer-OddpageLANDSCAPEChar">
    <w:name w:val="Footer - Odd page LANDSCAPE Char"/>
    <w:basedOn w:val="Footer-OddPageChar"/>
    <w:link w:val="Footer-OddpageLANDSCAPE"/>
    <w:uiPriority w:val="97"/>
    <w:rsid w:val="0084747E"/>
    <w:rPr>
      <w:rFonts w:asciiTheme="majorHAnsi" w:hAnsiTheme="majorHAnsi"/>
      <w:sz w:val="18"/>
      <w:lang w:val="en-NZ"/>
    </w:rPr>
  </w:style>
  <w:style w:type="character" w:customStyle="1" w:styleId="Subheader">
    <w:name w:val="Sub header"/>
    <w:uiPriority w:val="99"/>
    <w:semiHidden/>
    <w:rsid w:val="00731BFE"/>
    <w:rPr>
      <w:rFonts w:ascii="NexusMixPro-Bold" w:hAnsi="NexusMixPro-Bold" w:cs="NexusMixPro-Bold"/>
      <w:b/>
      <w:bCs/>
      <w:color w:val="4B565E"/>
      <w:sz w:val="28"/>
      <w:szCs w:val="28"/>
    </w:rPr>
  </w:style>
  <w:style w:type="character" w:customStyle="1" w:styleId="Subsub">
    <w:name w:val="Sub sub"/>
    <w:uiPriority w:val="99"/>
    <w:semiHidden/>
    <w:rsid w:val="00731BFE"/>
    <w:rPr>
      <w:rFonts w:ascii="AvenirLTStd-Book" w:hAnsi="AvenirLTStd-Book" w:cs="AvenirLTStd-Book"/>
      <w:color w:val="373F45"/>
      <w:sz w:val="26"/>
      <w:szCs w:val="26"/>
    </w:rPr>
  </w:style>
  <w:style w:type="paragraph" w:styleId="NormalWeb">
    <w:name w:val="Normal (Web)"/>
    <w:basedOn w:val="Normal"/>
    <w:uiPriority w:val="99"/>
    <w:unhideWhenUsed/>
    <w:rsid w:val="00451CA4"/>
    <w:pPr>
      <w:spacing w:before="100" w:beforeAutospacing="1" w:after="100" w:afterAutospacing="1"/>
    </w:pPr>
    <w:rPr>
      <w:rFonts w:ascii="Times New Roman" w:eastAsiaTheme="minorEastAsia" w:hAnsi="Times New Roman" w:cs="Times New Roman"/>
      <w:sz w:val="24"/>
      <w:szCs w:val="24"/>
      <w:lang w:eastAsia="en-NZ"/>
    </w:rPr>
  </w:style>
  <w:style w:type="table" w:styleId="LightList-Accent2">
    <w:name w:val="Light List Accent 2"/>
    <w:basedOn w:val="TableNormal"/>
    <w:uiPriority w:val="61"/>
    <w:rsid w:val="00B63343"/>
    <w:pPr>
      <w:spacing w:after="0" w:line="240" w:lineRule="auto"/>
    </w:pPr>
    <w:tblPr>
      <w:tblStyleRowBandSize w:val="1"/>
      <w:tblStyleColBandSize w:val="1"/>
      <w:tblBorders>
        <w:top w:val="single" w:sz="8" w:space="0" w:color="77B800" w:themeColor="accent2"/>
        <w:left w:val="single" w:sz="8" w:space="0" w:color="77B800" w:themeColor="accent2"/>
        <w:bottom w:val="single" w:sz="8" w:space="0" w:color="77B800" w:themeColor="accent2"/>
        <w:right w:val="single" w:sz="8" w:space="0" w:color="77B800" w:themeColor="accent2"/>
      </w:tblBorders>
    </w:tblPr>
    <w:tblStylePr w:type="firstRow">
      <w:pPr>
        <w:spacing w:before="0" w:after="0" w:line="240" w:lineRule="auto"/>
      </w:pPr>
      <w:rPr>
        <w:b/>
        <w:bCs/>
        <w:color w:val="FFFFFF" w:themeColor="background1"/>
      </w:rPr>
      <w:tblPr/>
      <w:tcPr>
        <w:shd w:val="clear" w:color="auto" w:fill="77B800" w:themeFill="accent2"/>
      </w:tcPr>
    </w:tblStylePr>
    <w:tblStylePr w:type="lastRow">
      <w:pPr>
        <w:spacing w:before="0" w:after="0" w:line="240" w:lineRule="auto"/>
      </w:pPr>
      <w:rPr>
        <w:b/>
        <w:bCs/>
      </w:rPr>
      <w:tblPr/>
      <w:tcPr>
        <w:tcBorders>
          <w:top w:val="double" w:sz="6" w:space="0" w:color="77B800" w:themeColor="accent2"/>
          <w:left w:val="single" w:sz="8" w:space="0" w:color="77B800" w:themeColor="accent2"/>
          <w:bottom w:val="single" w:sz="8" w:space="0" w:color="77B800" w:themeColor="accent2"/>
          <w:right w:val="single" w:sz="8" w:space="0" w:color="77B800" w:themeColor="accent2"/>
        </w:tcBorders>
      </w:tcPr>
    </w:tblStylePr>
    <w:tblStylePr w:type="firstCol">
      <w:rPr>
        <w:b/>
        <w:bCs/>
      </w:rPr>
    </w:tblStylePr>
    <w:tblStylePr w:type="lastCol">
      <w:rPr>
        <w:b/>
        <w:bCs/>
      </w:rPr>
    </w:tblStylePr>
    <w:tblStylePr w:type="band1Vert">
      <w:tblPr/>
      <w:tcPr>
        <w:tcBorders>
          <w:top w:val="single" w:sz="8" w:space="0" w:color="77B800" w:themeColor="accent2"/>
          <w:left w:val="single" w:sz="8" w:space="0" w:color="77B800" w:themeColor="accent2"/>
          <w:bottom w:val="single" w:sz="8" w:space="0" w:color="77B800" w:themeColor="accent2"/>
          <w:right w:val="single" w:sz="8" w:space="0" w:color="77B800" w:themeColor="accent2"/>
        </w:tcBorders>
      </w:tcPr>
    </w:tblStylePr>
    <w:tblStylePr w:type="band1Horz">
      <w:tblPr/>
      <w:tcPr>
        <w:tcBorders>
          <w:top w:val="single" w:sz="8" w:space="0" w:color="77B800" w:themeColor="accent2"/>
          <w:left w:val="single" w:sz="8" w:space="0" w:color="77B800" w:themeColor="accent2"/>
          <w:bottom w:val="single" w:sz="8" w:space="0" w:color="77B800" w:themeColor="accent2"/>
          <w:right w:val="single" w:sz="8" w:space="0" w:color="77B800" w:themeColor="accent2"/>
        </w:tcBorders>
      </w:tcPr>
    </w:tblStylePr>
  </w:style>
  <w:style w:type="character" w:styleId="PlaceholderText">
    <w:name w:val="Placeholder Text"/>
    <w:basedOn w:val="DefaultParagraphFont"/>
    <w:uiPriority w:val="99"/>
    <w:semiHidden/>
    <w:rsid w:val="00A81AD0"/>
    <w:rPr>
      <w:color w:val="808080"/>
    </w:rPr>
  </w:style>
  <w:style w:type="paragraph" w:styleId="ListBullet">
    <w:name w:val="List Bullet"/>
    <w:basedOn w:val="List-BulletLvl1"/>
    <w:uiPriority w:val="99"/>
    <w:semiHidden/>
    <w:rsid w:val="00515F93"/>
  </w:style>
  <w:style w:type="paragraph" w:styleId="ListBullet2">
    <w:name w:val="List Bullet 2"/>
    <w:basedOn w:val="List-BulletLvl2"/>
    <w:uiPriority w:val="99"/>
    <w:semiHidden/>
    <w:rsid w:val="001D206F"/>
  </w:style>
  <w:style w:type="paragraph" w:styleId="ListNumber">
    <w:name w:val="List Number"/>
    <w:basedOn w:val="List-AlphanumericLvl1"/>
    <w:next w:val="ListNumber2"/>
    <w:link w:val="ListNumberChar"/>
    <w:uiPriority w:val="99"/>
    <w:semiHidden/>
    <w:rsid w:val="00C41817"/>
  </w:style>
  <w:style w:type="paragraph" w:styleId="ListNumber2">
    <w:name w:val="List Number 2"/>
    <w:basedOn w:val="List-AlphanumericLvl2"/>
    <w:next w:val="ListNumber3"/>
    <w:uiPriority w:val="99"/>
    <w:semiHidden/>
    <w:rsid w:val="00C41817"/>
  </w:style>
  <w:style w:type="paragraph" w:styleId="ListNumber3">
    <w:name w:val="List Number 3"/>
    <w:basedOn w:val="List-AlphanumericLvl3"/>
    <w:uiPriority w:val="99"/>
    <w:semiHidden/>
    <w:rsid w:val="00C41817"/>
  </w:style>
  <w:style w:type="paragraph" w:styleId="ListBullet3">
    <w:name w:val="List Bullet 3"/>
    <w:basedOn w:val="Normal"/>
    <w:link w:val="ListBullet3Char"/>
    <w:uiPriority w:val="99"/>
    <w:semiHidden/>
    <w:rsid w:val="00946114"/>
    <w:pPr>
      <w:numPr>
        <w:numId w:val="4"/>
      </w:numPr>
      <w:spacing w:before="120" w:after="120"/>
      <w:ind w:left="1985" w:hanging="567"/>
    </w:pPr>
  </w:style>
  <w:style w:type="paragraph" w:customStyle="1" w:styleId="List-BulletLvl3">
    <w:name w:val="List - Bullet Lvl 3"/>
    <w:basedOn w:val="BodyText"/>
    <w:link w:val="List-BulletLvl3Char"/>
    <w:uiPriority w:val="4"/>
    <w:rsid w:val="002A78C5"/>
    <w:pPr>
      <w:numPr>
        <w:ilvl w:val="2"/>
        <w:numId w:val="6"/>
      </w:numPr>
    </w:pPr>
  </w:style>
  <w:style w:type="paragraph" w:customStyle="1" w:styleId="CV-Heading2">
    <w:name w:val="CV - Heading 2"/>
    <w:basedOn w:val="Heading5"/>
    <w:next w:val="BodyText"/>
    <w:link w:val="CV-Heading2Char"/>
    <w:uiPriority w:val="11"/>
    <w:qFormat/>
    <w:rsid w:val="00A60C1C"/>
    <w:pPr>
      <w:spacing w:before="360"/>
      <w:outlineLvl w:val="9"/>
    </w:pPr>
    <w:rPr>
      <w:rFonts w:asciiTheme="minorHAnsi" w:hAnsiTheme="minorHAnsi"/>
      <w:b/>
      <w:i w:val="0"/>
    </w:rPr>
  </w:style>
  <w:style w:type="character" w:customStyle="1" w:styleId="ListBullet3Char">
    <w:name w:val="List Bullet 3 Char"/>
    <w:basedOn w:val="List-BulletLvl2Char"/>
    <w:link w:val="ListBullet3"/>
    <w:uiPriority w:val="99"/>
    <w:semiHidden/>
    <w:rsid w:val="005966E4"/>
    <w:rPr>
      <w:lang w:val="en-NZ"/>
    </w:rPr>
  </w:style>
  <w:style w:type="character" w:customStyle="1" w:styleId="List-BulletLvl3Char">
    <w:name w:val="List - Bullet Lvl 3 Char"/>
    <w:basedOn w:val="ListBullet3Char"/>
    <w:link w:val="List-BulletLvl3"/>
    <w:uiPriority w:val="4"/>
    <w:rsid w:val="00106F45"/>
    <w:rPr>
      <w:lang w:val="en-NZ"/>
    </w:rPr>
  </w:style>
  <w:style w:type="character" w:customStyle="1" w:styleId="CV-Heading2Char">
    <w:name w:val="CV - Heading 2 Char"/>
    <w:basedOn w:val="Heading5Char"/>
    <w:link w:val="CV-Heading2"/>
    <w:uiPriority w:val="11"/>
    <w:rsid w:val="00E367F3"/>
    <w:rPr>
      <w:rFonts w:asciiTheme="majorHAnsi" w:hAnsiTheme="majorHAnsi"/>
      <w:b/>
      <w:i w:val="0"/>
      <w:color w:val="36424A" w:themeColor="text2"/>
      <w:lang w:val="en-NZ"/>
    </w:rPr>
  </w:style>
  <w:style w:type="table" w:customStyle="1" w:styleId="ACGrey-BasicTable">
    <w:name w:val="A+C Grey - Basic Table"/>
    <w:basedOn w:val="TableNormal"/>
    <w:uiPriority w:val="99"/>
    <w:rsid w:val="00CF2461"/>
    <w:pPr>
      <w:spacing w:after="0" w:line="240" w:lineRule="auto"/>
    </w:pPr>
    <w:rPr>
      <w:rFonts w:asciiTheme="majorHAnsi" w:hAnsiTheme="majorHAnsi"/>
      <w:sz w:val="21"/>
    </w:rPr>
    <w:tblPr>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57" w:type="dxa"/>
        <w:left w:w="28" w:type="dxa"/>
        <w:bottom w:w="57" w:type="dxa"/>
        <w:right w:w="28" w:type="dxa"/>
      </w:tblCellMar>
    </w:tblPr>
    <w:tblStylePr w:type="firstRow">
      <w:rPr>
        <w:rFonts w:asciiTheme="majorHAnsi" w:hAnsiTheme="majorHAnsi"/>
        <w:color w:val="FFFFFF" w:themeColor="background1"/>
        <w:sz w:val="20"/>
      </w:rPr>
      <w:tblPr/>
      <w:trPr>
        <w:cantSplit/>
        <w:tblHeader/>
      </w:trPr>
      <w:tcPr>
        <w:shd w:val="clear" w:color="auto" w:fill="36424A" w:themeFill="text2"/>
      </w:tcPr>
    </w:tblStylePr>
  </w:style>
  <w:style w:type="table" w:customStyle="1" w:styleId="ACGrey-BandedTable">
    <w:name w:val="A+C Grey - Banded Table"/>
    <w:basedOn w:val="TableNormal"/>
    <w:uiPriority w:val="99"/>
    <w:rsid w:val="00CF2461"/>
    <w:pPr>
      <w:spacing w:after="0" w:line="240" w:lineRule="auto"/>
    </w:pPr>
    <w:rPr>
      <w:rFonts w:asciiTheme="majorHAnsi" w:hAnsiTheme="majorHAnsi"/>
      <w:sz w:val="21"/>
    </w:rPr>
    <w:tblPr>
      <w:tblStyleRowBandSize w:val="1"/>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57" w:type="dxa"/>
        <w:left w:w="28" w:type="dxa"/>
        <w:bottom w:w="57" w:type="dxa"/>
        <w:right w:w="28" w:type="dxa"/>
      </w:tblCellMar>
    </w:tblPr>
    <w:tcPr>
      <w:shd w:val="clear" w:color="auto" w:fill="auto"/>
    </w:tcPr>
    <w:tblStylePr w:type="firstRow">
      <w:rPr>
        <w:rFonts w:asciiTheme="majorHAnsi" w:hAnsiTheme="majorHAnsi"/>
        <w:color w:val="FFFFFF" w:themeColor="background1"/>
      </w:rPr>
      <w:tblPr/>
      <w:tcPr>
        <w:shd w:val="clear" w:color="auto" w:fill="36424A" w:themeFill="text2"/>
      </w:tcPr>
    </w:tblStylePr>
    <w:tblStylePr w:type="band2Horz">
      <w:rPr>
        <w:color w:val="auto"/>
      </w:rPr>
      <w:tblPr/>
      <w:tcPr>
        <w:shd w:val="clear" w:color="auto" w:fill="D2D9DE" w:themeFill="text2" w:themeFillTint="33"/>
      </w:tcPr>
    </w:tblStylePr>
  </w:style>
  <w:style w:type="character" w:customStyle="1" w:styleId="ListNumberChar">
    <w:name w:val="List Number Char"/>
    <w:basedOn w:val="List-AlphanumericLvl1Char"/>
    <w:link w:val="ListNumber"/>
    <w:uiPriority w:val="99"/>
    <w:semiHidden/>
    <w:rsid w:val="005966E4"/>
    <w:rPr>
      <w:lang w:val="en-NZ"/>
    </w:rPr>
  </w:style>
  <w:style w:type="paragraph" w:styleId="NoSpacing">
    <w:name w:val="No Spacing"/>
    <w:rsid w:val="0005451D"/>
    <w:pPr>
      <w:spacing w:after="0" w:line="240" w:lineRule="auto"/>
    </w:pPr>
    <w:rPr>
      <w:lang w:val="en-NZ"/>
    </w:rPr>
  </w:style>
  <w:style w:type="paragraph" w:customStyle="1" w:styleId="ACReport-MainTitle">
    <w:name w:val="A+C Report - Main Title"/>
    <w:basedOn w:val="MainTitleHeading"/>
    <w:link w:val="ACReport-MainTitleChar"/>
    <w:rsid w:val="00EE4E34"/>
    <w:pPr>
      <w:spacing w:before="240" w:after="0" w:line="216" w:lineRule="auto"/>
      <w:ind w:left="567"/>
      <w:jc w:val="left"/>
    </w:pPr>
    <w:rPr>
      <w:b w:val="0"/>
      <w:caps w:val="0"/>
      <w:color w:val="FFFFFF" w:themeColor="background1"/>
      <w:sz w:val="96"/>
    </w:rPr>
  </w:style>
  <w:style w:type="character" w:styleId="Emphasis">
    <w:name w:val="Emphasis"/>
    <w:basedOn w:val="DefaultParagraphFont"/>
    <w:uiPriority w:val="20"/>
    <w:qFormat/>
    <w:rsid w:val="00492E74"/>
    <w:rPr>
      <w:i/>
      <w:iCs/>
    </w:rPr>
  </w:style>
  <w:style w:type="character" w:styleId="Strong">
    <w:name w:val="Strong"/>
    <w:basedOn w:val="DefaultParagraphFont"/>
    <w:uiPriority w:val="22"/>
    <w:qFormat/>
    <w:rsid w:val="00492E74"/>
    <w:rPr>
      <w:b/>
      <w:bCs/>
    </w:rPr>
  </w:style>
  <w:style w:type="paragraph" w:styleId="TableofFigures">
    <w:name w:val="table of figures"/>
    <w:basedOn w:val="BodyText"/>
    <w:next w:val="Normal"/>
    <w:uiPriority w:val="99"/>
    <w:unhideWhenUsed/>
    <w:rsid w:val="00D17582"/>
    <w:pPr>
      <w:tabs>
        <w:tab w:val="right" w:pos="9072"/>
      </w:tabs>
    </w:pPr>
    <w:rPr>
      <w:rFonts w:asciiTheme="majorHAnsi" w:hAnsiTheme="majorHAnsi"/>
    </w:rPr>
  </w:style>
  <w:style w:type="paragraph" w:styleId="FootnoteText">
    <w:name w:val="footnote text"/>
    <w:basedOn w:val="Normal"/>
    <w:link w:val="FootnoteTextChar"/>
    <w:uiPriority w:val="99"/>
    <w:qFormat/>
    <w:rsid w:val="00E56D82"/>
    <w:pPr>
      <w:spacing w:after="0" w:line="240" w:lineRule="auto"/>
    </w:pPr>
    <w:rPr>
      <w:sz w:val="20"/>
      <w:szCs w:val="20"/>
    </w:rPr>
  </w:style>
  <w:style w:type="character" w:customStyle="1" w:styleId="FootnoteTextChar">
    <w:name w:val="Footnote Text Char"/>
    <w:basedOn w:val="DefaultParagraphFont"/>
    <w:link w:val="FootnoteText"/>
    <w:uiPriority w:val="99"/>
    <w:rsid w:val="005966E4"/>
    <w:rPr>
      <w:sz w:val="20"/>
      <w:szCs w:val="20"/>
    </w:rPr>
  </w:style>
  <w:style w:type="character" w:styleId="FootnoteReference">
    <w:name w:val="footnote reference"/>
    <w:basedOn w:val="DefaultParagraphFont"/>
    <w:uiPriority w:val="99"/>
    <w:semiHidden/>
    <w:unhideWhenUsed/>
    <w:rsid w:val="00E56D82"/>
    <w:rPr>
      <w:vertAlign w:val="superscript"/>
    </w:rPr>
  </w:style>
  <w:style w:type="paragraph" w:customStyle="1" w:styleId="Footer-OddPg-RomanNumerals">
    <w:name w:val="Footer - Odd Pg - Roman Numerals"/>
    <w:basedOn w:val="Footer-OddPage"/>
    <w:link w:val="Footer-OddPg-RomanNumeralsChar"/>
    <w:uiPriority w:val="98"/>
    <w:qFormat/>
    <w:rsid w:val="005B2E0E"/>
    <w:pPr>
      <w:pBdr>
        <w:top w:val="single" w:sz="4" w:space="1" w:color="77B800" w:themeColor="background2"/>
      </w:pBdr>
    </w:pPr>
  </w:style>
  <w:style w:type="paragraph" w:customStyle="1" w:styleId="Footer-EvenPg-RomanNumeral">
    <w:name w:val="Footer - Even Pg - Roman Numeral"/>
    <w:basedOn w:val="Footer-EvenPg"/>
    <w:link w:val="Footer-EvenPg-RomanNumeralChar"/>
    <w:uiPriority w:val="98"/>
    <w:qFormat/>
    <w:rsid w:val="005B2E0E"/>
    <w:pPr>
      <w:pBdr>
        <w:top w:val="single" w:sz="4" w:space="1" w:color="77B800" w:themeColor="background2"/>
      </w:pBdr>
    </w:pPr>
  </w:style>
  <w:style w:type="character" w:customStyle="1" w:styleId="Footer-OddPg-RomanNumeralsChar">
    <w:name w:val="Footer - Odd Pg - Roman Numerals Char"/>
    <w:basedOn w:val="Footer-OddPageChar"/>
    <w:link w:val="Footer-OddPg-RomanNumerals"/>
    <w:uiPriority w:val="98"/>
    <w:rsid w:val="00654C3D"/>
    <w:rPr>
      <w:rFonts w:asciiTheme="majorHAnsi" w:hAnsiTheme="majorHAnsi"/>
      <w:sz w:val="18"/>
      <w:lang w:val="en-NZ"/>
    </w:rPr>
  </w:style>
  <w:style w:type="paragraph" w:customStyle="1" w:styleId="Footer-EvenPg-LANDSCAPE">
    <w:name w:val="Footer - Even Pg - LANDSCAPE"/>
    <w:basedOn w:val="Footer-EvenPg"/>
    <w:link w:val="Footer-EvenPg-LANDSCAPEChar"/>
    <w:uiPriority w:val="97"/>
    <w:qFormat/>
    <w:rsid w:val="00DA53FF"/>
    <w:pPr>
      <w:pBdr>
        <w:top w:val="single" w:sz="4" w:space="0" w:color="77B800" w:themeColor="background2"/>
      </w:pBdr>
    </w:pPr>
  </w:style>
  <w:style w:type="character" w:customStyle="1" w:styleId="Footer-EvenPg-RomanNumeralChar">
    <w:name w:val="Footer - Even Pg - Roman Numeral Char"/>
    <w:basedOn w:val="Footer-EvenPgChar"/>
    <w:link w:val="Footer-EvenPg-RomanNumeral"/>
    <w:uiPriority w:val="98"/>
    <w:rsid w:val="00654C3D"/>
    <w:rPr>
      <w:rFonts w:asciiTheme="majorHAnsi" w:hAnsiTheme="majorHAnsi"/>
      <w:sz w:val="18"/>
      <w:lang w:val="en-NZ"/>
    </w:rPr>
  </w:style>
  <w:style w:type="character" w:customStyle="1" w:styleId="Footer-EvenPg-LANDSCAPEChar">
    <w:name w:val="Footer - Even Pg - LANDSCAPE Char"/>
    <w:basedOn w:val="Footer-EvenPgChar"/>
    <w:link w:val="Footer-EvenPg-LANDSCAPE"/>
    <w:uiPriority w:val="97"/>
    <w:rsid w:val="00DA53FF"/>
    <w:rPr>
      <w:rFonts w:asciiTheme="majorHAnsi" w:hAnsiTheme="majorHAnsi"/>
      <w:sz w:val="18"/>
      <w:lang w:val="en-NZ"/>
    </w:rPr>
  </w:style>
  <w:style w:type="paragraph" w:customStyle="1" w:styleId="GreenTextBox">
    <w:name w:val="Green Text Box"/>
    <w:basedOn w:val="BodyText"/>
    <w:next w:val="BodyText"/>
    <w:link w:val="GreenTextBoxChar"/>
    <w:uiPriority w:val="1"/>
    <w:qFormat/>
    <w:rsid w:val="00F914B8"/>
    <w:pPr>
      <w:pBdr>
        <w:top w:val="single" w:sz="4" w:space="3" w:color="77B800" w:themeColor="background2"/>
        <w:left w:val="single" w:sz="4" w:space="6" w:color="77B800" w:themeColor="background2"/>
        <w:bottom w:val="single" w:sz="4" w:space="3" w:color="77B800" w:themeColor="background2"/>
        <w:right w:val="single" w:sz="4" w:space="6" w:color="77B800" w:themeColor="background2"/>
      </w:pBdr>
      <w:shd w:val="clear" w:color="auto" w:fill="77B800" w:themeFill="background2"/>
      <w:ind w:left="142" w:right="140"/>
    </w:pPr>
    <w:rPr>
      <w:i/>
      <w:color w:val="FFFFFF" w:themeColor="background1"/>
    </w:rPr>
  </w:style>
  <w:style w:type="paragraph" w:customStyle="1" w:styleId="Heading1-NOTinTOC">
    <w:name w:val="Heading 1 - NOT in TOC"/>
    <w:basedOn w:val="Heading1"/>
    <w:next w:val="BodyText"/>
    <w:link w:val="Heading1-NOTinTOCChar"/>
    <w:uiPriority w:val="13"/>
    <w:qFormat/>
    <w:rsid w:val="00AB34E9"/>
    <w:pPr>
      <w:spacing w:line="480" w:lineRule="exact"/>
      <w:outlineLvl w:val="9"/>
    </w:pPr>
    <w:rPr>
      <w:sz w:val="56"/>
    </w:rPr>
  </w:style>
  <w:style w:type="character" w:customStyle="1" w:styleId="GreenTextBoxChar">
    <w:name w:val="Green Text Box Char"/>
    <w:basedOn w:val="BodyTextChar"/>
    <w:link w:val="GreenTextBox"/>
    <w:uiPriority w:val="1"/>
    <w:rsid w:val="00E367F3"/>
    <w:rPr>
      <w:i/>
      <w:color w:val="FFFFFF" w:themeColor="background1"/>
      <w:shd w:val="clear" w:color="auto" w:fill="77B800" w:themeFill="background2"/>
      <w:lang w:val="en-NZ"/>
    </w:rPr>
  </w:style>
  <w:style w:type="paragraph" w:customStyle="1" w:styleId="Heading2-NOTinTOC">
    <w:name w:val="Heading 2 - NOT in TOC"/>
    <w:basedOn w:val="Heading2"/>
    <w:next w:val="BodyText"/>
    <w:link w:val="Heading2-NOTinTOCChar"/>
    <w:uiPriority w:val="13"/>
    <w:qFormat/>
    <w:rsid w:val="000968A5"/>
    <w:pPr>
      <w:outlineLvl w:val="9"/>
    </w:pPr>
  </w:style>
  <w:style w:type="character" w:customStyle="1" w:styleId="Heading1-NOTinTOCChar">
    <w:name w:val="Heading 1 - NOT in TOC Char"/>
    <w:basedOn w:val="Heading1Char"/>
    <w:link w:val="Heading1-NOTinTOC"/>
    <w:uiPriority w:val="13"/>
    <w:rsid w:val="00AB34E9"/>
    <w:rPr>
      <w:rFonts w:asciiTheme="majorHAnsi" w:hAnsiTheme="majorHAnsi"/>
      <w:b/>
      <w:caps/>
      <w:color w:val="36424A" w:themeColor="text2"/>
      <w:sz w:val="56"/>
      <w:lang w:val="en-NZ"/>
    </w:rPr>
  </w:style>
  <w:style w:type="paragraph" w:customStyle="1" w:styleId="Heading3-NOTinTOC">
    <w:name w:val="Heading 3 - NOT in TOC"/>
    <w:basedOn w:val="Heading3"/>
    <w:next w:val="BodyText"/>
    <w:link w:val="Heading3-NOTinTOCChar"/>
    <w:uiPriority w:val="13"/>
    <w:qFormat/>
    <w:rsid w:val="000968A5"/>
    <w:pPr>
      <w:outlineLvl w:val="9"/>
    </w:pPr>
  </w:style>
  <w:style w:type="character" w:customStyle="1" w:styleId="Heading2-NOTinTOCChar">
    <w:name w:val="Heading 2 - NOT in TOC Char"/>
    <w:basedOn w:val="Heading2Char"/>
    <w:link w:val="Heading2-NOTinTOC"/>
    <w:uiPriority w:val="13"/>
    <w:rsid w:val="000968A5"/>
    <w:rPr>
      <w:rFonts w:asciiTheme="majorHAnsi" w:hAnsiTheme="majorHAnsi"/>
      <w:b/>
      <w:color w:val="36424A" w:themeColor="text2"/>
      <w:sz w:val="28"/>
      <w:lang w:val="en-NZ"/>
    </w:rPr>
  </w:style>
  <w:style w:type="character" w:customStyle="1" w:styleId="Heading3-NOTinTOCChar">
    <w:name w:val="Heading 3 - NOT in TOC Char"/>
    <w:basedOn w:val="Heading3Char"/>
    <w:link w:val="Heading3-NOTinTOC"/>
    <w:uiPriority w:val="13"/>
    <w:rsid w:val="000968A5"/>
    <w:rPr>
      <w:rFonts w:asciiTheme="majorHAnsi" w:hAnsiTheme="majorHAnsi"/>
      <w:b/>
      <w:color w:val="36424A" w:themeColor="text2"/>
      <w:sz w:val="24"/>
      <w:lang w:val="en-NZ"/>
    </w:rPr>
  </w:style>
  <w:style w:type="paragraph" w:customStyle="1" w:styleId="BodyText-GREEN">
    <w:name w:val="Body Text - GREEN"/>
    <w:basedOn w:val="BodyText"/>
    <w:link w:val="BodyText-GREENChar"/>
    <w:qFormat/>
    <w:rsid w:val="00654C3D"/>
    <w:rPr>
      <w:color w:val="77B800" w:themeColor="background2"/>
    </w:rPr>
  </w:style>
  <w:style w:type="paragraph" w:customStyle="1" w:styleId="ACReport-Subtitle">
    <w:name w:val="A+C Report - Subtitle"/>
    <w:basedOn w:val="SubTitleHeading"/>
    <w:link w:val="ACReport-SubtitleChar"/>
    <w:rsid w:val="00EE4E34"/>
    <w:pPr>
      <w:spacing w:before="240"/>
      <w:ind w:left="567"/>
      <w:jc w:val="left"/>
    </w:pPr>
    <w:rPr>
      <w:color w:val="FFFFFF" w:themeColor="background1"/>
      <w:sz w:val="32"/>
    </w:rPr>
  </w:style>
  <w:style w:type="character" w:customStyle="1" w:styleId="BodyText-GREENChar">
    <w:name w:val="Body Text - GREEN Char"/>
    <w:basedOn w:val="BodyTextChar"/>
    <w:link w:val="BodyText-GREEN"/>
    <w:rsid w:val="00654C3D"/>
    <w:rPr>
      <w:color w:val="77B800" w:themeColor="background2"/>
      <w:lang w:val="en-NZ"/>
    </w:rPr>
  </w:style>
  <w:style w:type="character" w:customStyle="1" w:styleId="ACReport-MainTitleChar">
    <w:name w:val="A+C Report - Main Title Char"/>
    <w:basedOn w:val="MainTitleHeadingChar"/>
    <w:link w:val="ACReport-MainTitle"/>
    <w:rsid w:val="00EE4E34"/>
    <w:rPr>
      <w:rFonts w:asciiTheme="majorHAnsi" w:hAnsiTheme="majorHAnsi"/>
      <w:b w:val="0"/>
      <w:caps w:val="0"/>
      <w:color w:val="FFFFFF" w:themeColor="background1"/>
      <w:sz w:val="96"/>
      <w:lang w:val="en-NZ"/>
    </w:rPr>
  </w:style>
  <w:style w:type="character" w:customStyle="1" w:styleId="ACReport-SubtitleChar">
    <w:name w:val="A+C Report - Subtitle Char"/>
    <w:basedOn w:val="SubTitleHeadingChar"/>
    <w:link w:val="ACReport-Subtitle"/>
    <w:rsid w:val="00EE4E34"/>
    <w:rPr>
      <w:rFonts w:asciiTheme="majorHAnsi" w:hAnsiTheme="majorHAnsi"/>
      <w:b/>
      <w:color w:val="FFFFFF" w:themeColor="background1"/>
      <w:sz w:val="32"/>
      <w:lang w:val="en-NZ"/>
    </w:rPr>
  </w:style>
  <w:style w:type="paragraph" w:customStyle="1" w:styleId="ACReportDate">
    <w:name w:val="A+C Report Date"/>
    <w:basedOn w:val="ACReport-Subtitle"/>
    <w:link w:val="ACReportDateChar"/>
    <w:rsid w:val="00EE4E34"/>
    <w:rPr>
      <w:sz w:val="24"/>
    </w:rPr>
  </w:style>
  <w:style w:type="character" w:customStyle="1" w:styleId="ACReportDateChar">
    <w:name w:val="A+C Report Date Char"/>
    <w:basedOn w:val="ACReport-SubtitleChar"/>
    <w:link w:val="ACReportDate"/>
    <w:rsid w:val="00EE4E34"/>
    <w:rPr>
      <w:rFonts w:asciiTheme="majorHAnsi" w:hAnsiTheme="majorHAnsi"/>
      <w:b/>
      <w:color w:val="FFFFFF" w:themeColor="background1"/>
      <w:sz w:val="24"/>
      <w:lang w:val="en-NZ"/>
    </w:rPr>
  </w:style>
  <w:style w:type="table" w:styleId="TableGridLight">
    <w:name w:val="Grid Table Light"/>
    <w:basedOn w:val="TableNormal"/>
    <w:uiPriority w:val="40"/>
    <w:rsid w:val="00172C6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7D7E1D"/>
    <w:pPr>
      <w:autoSpaceDE w:val="0"/>
      <w:autoSpaceDN w:val="0"/>
      <w:adjustRightInd w:val="0"/>
      <w:spacing w:after="0" w:line="240" w:lineRule="auto"/>
    </w:pPr>
    <w:rPr>
      <w:rFonts w:ascii="Calibri" w:hAnsi="Calibri" w:cs="Calibri"/>
      <w:color w:val="000000"/>
      <w:sz w:val="24"/>
      <w:szCs w:val="24"/>
      <w:lang w:val="en-AU"/>
    </w:rPr>
  </w:style>
  <w:style w:type="paragraph" w:customStyle="1" w:styleId="1Dot-point">
    <w:name w:val="1 Dot-point"/>
    <w:basedOn w:val="BodyText"/>
    <w:qFormat/>
    <w:rsid w:val="004641E9"/>
    <w:pPr>
      <w:numPr>
        <w:numId w:val="82"/>
      </w:numPr>
      <w:spacing w:line="259" w:lineRule="auto"/>
    </w:pPr>
    <w:rPr>
      <w:rFonts w:ascii="Arial" w:hAnsi="Arial"/>
      <w:color w:val="000000"/>
      <w:lang w:val="en-AU"/>
    </w:rPr>
  </w:style>
  <w:style w:type="table" w:styleId="ListTable4-Accent6">
    <w:name w:val="List Table 4 Accent 6"/>
    <w:basedOn w:val="TableNormal"/>
    <w:uiPriority w:val="49"/>
    <w:rsid w:val="004641E9"/>
    <w:pPr>
      <w:spacing w:after="0" w:line="240" w:lineRule="auto"/>
    </w:pPr>
    <w:rPr>
      <w:lang w:val="en-AU"/>
    </w:rPr>
    <w:tblPr>
      <w:tblStyleRowBandSize w:val="1"/>
      <w:tblStyleColBandSize w:val="1"/>
      <w:tblBorders>
        <w:top w:val="single" w:sz="6" w:space="0" w:color="0E4168"/>
        <w:left w:val="single" w:sz="6" w:space="0" w:color="0E4168"/>
        <w:bottom w:val="single" w:sz="6" w:space="0" w:color="0E4168"/>
        <w:right w:val="single" w:sz="6" w:space="0" w:color="0E4168"/>
        <w:insideH w:val="single" w:sz="6" w:space="0" w:color="0E4168"/>
      </w:tblBorders>
    </w:tblPr>
    <w:tblStylePr w:type="firstRow">
      <w:rPr>
        <w:b/>
        <w:bCs/>
        <w:color w:val="FFFFFF" w:themeColor="background1"/>
      </w:rPr>
      <w:tblPr/>
      <w:tcPr>
        <w:shd w:val="clear" w:color="auto" w:fill="0E4168"/>
      </w:tcPr>
    </w:tblStylePr>
    <w:tblStylePr w:type="lastRow">
      <w:rPr>
        <w:b/>
        <w:bCs/>
      </w:rPr>
      <w:tblPr/>
      <w:tcPr>
        <w:tcBorders>
          <w:top w:val="double" w:sz="4" w:space="0" w:color="B9FF3B" w:themeColor="accent6" w:themeTint="99"/>
        </w:tcBorders>
      </w:tcPr>
    </w:tblStylePr>
    <w:tblStylePr w:type="firstCol">
      <w:rPr>
        <w:b/>
        <w:bCs/>
      </w:rPr>
    </w:tblStylePr>
    <w:tblStylePr w:type="lastCol">
      <w:rPr>
        <w:b/>
        <w:bCs/>
      </w:rPr>
    </w:tblStylePr>
    <w:tblStylePr w:type="band1Vert">
      <w:tblPr/>
      <w:tcPr>
        <w:shd w:val="clear" w:color="auto" w:fill="E7FFBD" w:themeFill="accent6" w:themeFillTint="33"/>
      </w:tcPr>
    </w:tblStylePr>
    <w:tblStylePr w:type="band1Horz">
      <w:tblPr/>
      <w:tcPr>
        <w:shd w:val="clear" w:color="auto" w:fill="E7FFBD" w:themeFill="accent6" w:themeFillTint="33"/>
      </w:tcPr>
    </w:tblStylePr>
  </w:style>
  <w:style w:type="paragraph" w:styleId="CommentText">
    <w:name w:val="annotation text"/>
    <w:basedOn w:val="Normal"/>
    <w:link w:val="CommentTextChar"/>
    <w:uiPriority w:val="99"/>
    <w:unhideWhenUsed/>
    <w:rsid w:val="00356FEE"/>
    <w:pPr>
      <w:spacing w:line="240" w:lineRule="auto"/>
    </w:pPr>
    <w:rPr>
      <w:rFonts w:ascii="Arial" w:hAnsi="Arial"/>
      <w:sz w:val="20"/>
      <w:szCs w:val="20"/>
      <w:lang w:val="en-AU"/>
    </w:rPr>
  </w:style>
  <w:style w:type="character" w:customStyle="1" w:styleId="CommentTextChar">
    <w:name w:val="Comment Text Char"/>
    <w:basedOn w:val="DefaultParagraphFont"/>
    <w:link w:val="CommentText"/>
    <w:uiPriority w:val="99"/>
    <w:rsid w:val="00356FEE"/>
    <w:rPr>
      <w:rFonts w:ascii="Arial" w:hAnsi="Arial"/>
      <w:sz w:val="20"/>
      <w:szCs w:val="20"/>
      <w:lang w:val="en-AU"/>
    </w:rPr>
  </w:style>
  <w:style w:type="character" w:styleId="CommentReference">
    <w:name w:val="annotation reference"/>
    <w:basedOn w:val="DefaultParagraphFont"/>
    <w:uiPriority w:val="99"/>
    <w:semiHidden/>
    <w:unhideWhenUsed/>
    <w:rsid w:val="00356FEE"/>
    <w:rPr>
      <w:sz w:val="16"/>
      <w:szCs w:val="16"/>
    </w:rPr>
  </w:style>
  <w:style w:type="paragraph" w:styleId="CommentSubject">
    <w:name w:val="annotation subject"/>
    <w:basedOn w:val="CommentText"/>
    <w:next w:val="CommentText"/>
    <w:link w:val="CommentSubjectChar"/>
    <w:uiPriority w:val="99"/>
    <w:semiHidden/>
    <w:unhideWhenUsed/>
    <w:rsid w:val="00195495"/>
    <w:rPr>
      <w:rFonts w:asciiTheme="minorHAnsi" w:hAnsiTheme="minorHAnsi"/>
      <w:b/>
      <w:bCs/>
      <w:lang w:val="en-NZ"/>
    </w:rPr>
  </w:style>
  <w:style w:type="character" w:customStyle="1" w:styleId="CommentSubjectChar">
    <w:name w:val="Comment Subject Char"/>
    <w:basedOn w:val="CommentTextChar"/>
    <w:link w:val="CommentSubject"/>
    <w:uiPriority w:val="99"/>
    <w:semiHidden/>
    <w:rsid w:val="00195495"/>
    <w:rPr>
      <w:rFonts w:ascii="Arial" w:hAnsi="Arial"/>
      <w:b/>
      <w:bCs/>
      <w:sz w:val="20"/>
      <w:szCs w:val="20"/>
      <w:lang w:val="en-NZ"/>
    </w:rPr>
  </w:style>
  <w:style w:type="character" w:customStyle="1" w:styleId="field">
    <w:name w:val="field"/>
    <w:basedOn w:val="DefaultParagraphFont"/>
    <w:rsid w:val="00DF068E"/>
  </w:style>
  <w:style w:type="paragraph" w:customStyle="1" w:styleId="2Dot-point">
    <w:name w:val="2 Dot-point"/>
    <w:basedOn w:val="1Dot-point"/>
    <w:qFormat/>
    <w:rsid w:val="00A14E25"/>
    <w:pPr>
      <w:numPr>
        <w:numId w:val="8"/>
      </w:numPr>
    </w:pPr>
  </w:style>
  <w:style w:type="paragraph" w:customStyle="1" w:styleId="Numberedheading20">
    <w:name w:val="Numbered heading 2"/>
    <w:basedOn w:val="NumberedHeading1"/>
    <w:qFormat/>
    <w:rsid w:val="006B2F98"/>
    <w:pPr>
      <w:keepLines/>
      <w:numPr>
        <w:numId w:val="0"/>
      </w:numPr>
      <w:spacing w:before="240" w:after="360"/>
      <w:ind w:left="567" w:hanging="567"/>
    </w:pPr>
    <w:rPr>
      <w:rFonts w:ascii="Calibri" w:eastAsia="Arial" w:hAnsi="Calibri" w:cstheme="majorBidi"/>
      <w:caps w:val="0"/>
      <w:color w:val="36424A"/>
      <w:sz w:val="36"/>
      <w:szCs w:val="32"/>
      <w:lang w:val="en-AU"/>
    </w:rPr>
  </w:style>
  <w:style w:type="numbering" w:customStyle="1" w:styleId="Numberedheadings">
    <w:name w:val="Numbered headings"/>
    <w:uiPriority w:val="99"/>
    <w:rsid w:val="006B2F98"/>
    <w:pPr>
      <w:numPr>
        <w:numId w:val="10"/>
      </w:numPr>
    </w:pPr>
  </w:style>
  <w:style w:type="character" w:customStyle="1" w:styleId="UnresolvedMention1">
    <w:name w:val="Unresolved Mention1"/>
    <w:basedOn w:val="DefaultParagraphFont"/>
    <w:uiPriority w:val="99"/>
    <w:unhideWhenUsed/>
    <w:rsid w:val="00CC4876"/>
    <w:rPr>
      <w:color w:val="605E5C"/>
      <w:shd w:val="clear" w:color="auto" w:fill="E1DFDD"/>
    </w:rPr>
  </w:style>
  <w:style w:type="character" w:customStyle="1" w:styleId="Mention1">
    <w:name w:val="Mention1"/>
    <w:basedOn w:val="DefaultParagraphFont"/>
    <w:uiPriority w:val="99"/>
    <w:unhideWhenUsed/>
    <w:rsid w:val="00CC4876"/>
    <w:rPr>
      <w:color w:val="2B579A"/>
      <w:shd w:val="clear" w:color="auto" w:fill="E1DFDD"/>
    </w:rPr>
  </w:style>
  <w:style w:type="paragraph" w:customStyle="1" w:styleId="PhasesBold">
    <w:name w:val="Phases Bold"/>
    <w:basedOn w:val="Normal"/>
    <w:link w:val="PhasesBoldChar"/>
    <w:qFormat/>
    <w:rsid w:val="00127D21"/>
    <w:rPr>
      <w:rFonts w:asciiTheme="majorHAnsi" w:hAnsiTheme="majorHAnsi" w:cstheme="minorHAnsi"/>
      <w:b/>
      <w:bCs/>
      <w:color w:val="000000" w:themeColor="text1"/>
      <w:kern w:val="24"/>
      <w:sz w:val="16"/>
      <w:szCs w:val="16"/>
    </w:rPr>
  </w:style>
  <w:style w:type="character" w:customStyle="1" w:styleId="PhasesBoldChar">
    <w:name w:val="Phases Bold Char"/>
    <w:basedOn w:val="DefaultParagraphFont"/>
    <w:link w:val="PhasesBold"/>
    <w:rsid w:val="00127D21"/>
    <w:rPr>
      <w:rFonts w:asciiTheme="majorHAnsi" w:hAnsiTheme="majorHAnsi" w:cstheme="minorHAnsi"/>
      <w:b/>
      <w:bCs/>
      <w:color w:val="000000" w:themeColor="text1"/>
      <w:kern w:val="24"/>
      <w:sz w:val="16"/>
      <w:szCs w:val="16"/>
      <w:lang w:val="en-NZ"/>
    </w:rPr>
  </w:style>
  <w:style w:type="paragraph" w:customStyle="1" w:styleId="Phasemetho">
    <w:name w:val="Phase_metho"/>
    <w:basedOn w:val="PhasesBold"/>
    <w:link w:val="PhasemethoChar"/>
    <w:uiPriority w:val="99"/>
    <w:qFormat/>
    <w:rsid w:val="00127D21"/>
    <w:pPr>
      <w:pBdr>
        <w:top w:val="single" w:sz="12" w:space="5" w:color="77B800"/>
      </w:pBdr>
      <w:spacing w:after="0"/>
    </w:pPr>
    <w:rPr>
      <w:rFonts w:ascii="Calibri Light" w:hAnsi="Calibri Light" w:cs="Calibri"/>
      <w:color w:val="000000"/>
    </w:rPr>
  </w:style>
  <w:style w:type="paragraph" w:customStyle="1" w:styleId="Activitiesmetho">
    <w:name w:val="Activities_metho"/>
    <w:basedOn w:val="Normal"/>
    <w:link w:val="ActivitiesmethoChar"/>
    <w:uiPriority w:val="99"/>
    <w:qFormat/>
    <w:rsid w:val="00127D21"/>
    <w:pPr>
      <w:spacing w:after="0"/>
      <w:jc w:val="center"/>
    </w:pPr>
    <w:rPr>
      <w:rFonts w:ascii="Calibri Light" w:hAnsi="Calibri Light"/>
      <w:color w:val="000000"/>
      <w:kern w:val="24"/>
      <w:sz w:val="16"/>
      <w:szCs w:val="16"/>
    </w:rPr>
  </w:style>
  <w:style w:type="character" w:customStyle="1" w:styleId="PhasemethoChar">
    <w:name w:val="Phase_metho Char"/>
    <w:basedOn w:val="PhasesBoldChar"/>
    <w:link w:val="Phasemetho"/>
    <w:uiPriority w:val="99"/>
    <w:rsid w:val="00127D21"/>
    <w:rPr>
      <w:rFonts w:ascii="Calibri Light" w:hAnsi="Calibri Light" w:cs="Calibri"/>
      <w:b/>
      <w:bCs/>
      <w:color w:val="000000"/>
      <w:kern w:val="24"/>
      <w:sz w:val="16"/>
      <w:szCs w:val="16"/>
      <w:lang w:val="en-NZ"/>
    </w:rPr>
  </w:style>
  <w:style w:type="paragraph" w:customStyle="1" w:styleId="Outputsmetho">
    <w:name w:val="Outputs_metho"/>
    <w:basedOn w:val="PhasesBold"/>
    <w:link w:val="OutputsmethoChar"/>
    <w:uiPriority w:val="99"/>
    <w:qFormat/>
    <w:rsid w:val="00127D21"/>
    <w:pPr>
      <w:spacing w:after="0"/>
      <w:jc w:val="center"/>
    </w:pPr>
    <w:rPr>
      <w:rFonts w:ascii="Calibri Light" w:hAnsi="Calibri Light" w:cs="Calibri"/>
      <w:color w:val="000000"/>
    </w:rPr>
  </w:style>
  <w:style w:type="character" w:customStyle="1" w:styleId="ActivitiesmethoChar">
    <w:name w:val="Activities_metho Char"/>
    <w:basedOn w:val="DefaultParagraphFont"/>
    <w:link w:val="Activitiesmetho"/>
    <w:uiPriority w:val="99"/>
    <w:rsid w:val="00127D21"/>
    <w:rPr>
      <w:rFonts w:ascii="Calibri Light" w:hAnsi="Calibri Light"/>
      <w:color w:val="000000"/>
      <w:kern w:val="24"/>
      <w:sz w:val="16"/>
      <w:szCs w:val="16"/>
      <w:lang w:val="en-NZ"/>
    </w:rPr>
  </w:style>
  <w:style w:type="paragraph" w:customStyle="1" w:styleId="Datemetho">
    <w:name w:val="Date_metho"/>
    <w:basedOn w:val="Normal"/>
    <w:link w:val="DatemethoChar"/>
    <w:uiPriority w:val="99"/>
    <w:qFormat/>
    <w:rsid w:val="00127D21"/>
    <w:pPr>
      <w:spacing w:after="0"/>
    </w:pPr>
    <w:rPr>
      <w:rFonts w:ascii="Calibri Light" w:hAnsi="Calibri Light" w:cs="Calibri"/>
      <w:color w:val="000000"/>
      <w:kern w:val="24"/>
      <w:sz w:val="14"/>
      <w:szCs w:val="14"/>
    </w:rPr>
  </w:style>
  <w:style w:type="character" w:customStyle="1" w:styleId="OutputsmethoChar">
    <w:name w:val="Outputs_metho Char"/>
    <w:basedOn w:val="PhasesBoldChar"/>
    <w:link w:val="Outputsmetho"/>
    <w:uiPriority w:val="99"/>
    <w:rsid w:val="00127D21"/>
    <w:rPr>
      <w:rFonts w:ascii="Calibri Light" w:hAnsi="Calibri Light" w:cs="Calibri"/>
      <w:b/>
      <w:bCs/>
      <w:color w:val="000000"/>
      <w:kern w:val="24"/>
      <w:sz w:val="16"/>
      <w:szCs w:val="16"/>
      <w:lang w:val="en-NZ"/>
    </w:rPr>
  </w:style>
  <w:style w:type="character" w:customStyle="1" w:styleId="DatemethoChar">
    <w:name w:val="Date_metho Char"/>
    <w:basedOn w:val="DefaultParagraphFont"/>
    <w:link w:val="Datemetho"/>
    <w:uiPriority w:val="99"/>
    <w:rsid w:val="00127D21"/>
    <w:rPr>
      <w:rFonts w:ascii="Calibri Light" w:hAnsi="Calibri Light" w:cs="Calibri"/>
      <w:color w:val="000000"/>
      <w:kern w:val="24"/>
      <w:sz w:val="14"/>
      <w:szCs w:val="14"/>
      <w:lang w:val="en-NZ"/>
    </w:rPr>
  </w:style>
  <w:style w:type="character" w:customStyle="1" w:styleId="CaptionChar">
    <w:name w:val="Caption Char"/>
    <w:link w:val="Caption"/>
    <w:uiPriority w:val="99"/>
    <w:rsid w:val="00127D21"/>
    <w:rPr>
      <w:b/>
      <w:bCs/>
      <w:color w:val="36424A" w:themeColor="accent1"/>
      <w:sz w:val="18"/>
      <w:szCs w:val="18"/>
      <w:lang w:val="en-NZ"/>
    </w:rPr>
  </w:style>
  <w:style w:type="paragraph" w:styleId="Revision">
    <w:name w:val="Revision"/>
    <w:hidden/>
    <w:uiPriority w:val="99"/>
    <w:semiHidden/>
    <w:rsid w:val="006721E1"/>
    <w:pPr>
      <w:spacing w:after="0" w:line="240" w:lineRule="auto"/>
    </w:pPr>
    <w:rPr>
      <w:lang w:val="en-NZ"/>
    </w:rPr>
  </w:style>
  <w:style w:type="paragraph" w:customStyle="1" w:styleId="MainTitle">
    <w:name w:val="Main Title"/>
    <w:basedOn w:val="BodyText"/>
    <w:qFormat/>
    <w:rsid w:val="00200913"/>
    <w:pPr>
      <w:spacing w:before="0" w:after="160" w:line="259" w:lineRule="auto"/>
      <w:jc w:val="center"/>
    </w:pPr>
    <w:rPr>
      <w:rFonts w:asciiTheme="majorHAnsi" w:hAnsiTheme="majorHAnsi"/>
      <w:b/>
      <w:caps/>
      <w:color w:val="36424A"/>
      <w:sz w:val="48"/>
      <w:lang w:val="en-AU"/>
    </w:rPr>
  </w:style>
  <w:style w:type="table" w:customStyle="1" w:styleId="ACtable2">
    <w:name w:val="A+C table 2"/>
    <w:basedOn w:val="TableNormal"/>
    <w:uiPriority w:val="99"/>
    <w:rsid w:val="00E84D47"/>
    <w:pPr>
      <w:spacing w:after="0" w:line="240" w:lineRule="auto"/>
    </w:pPr>
    <w:rPr>
      <w:rFonts w:ascii="Calibri" w:hAnsi="Calibri"/>
      <w:color w:val="000000"/>
      <w:lang w:val="en-AU"/>
    </w:rPr>
    <w:tblPr>
      <w:tblStyleRowBandSize w:val="1"/>
      <w:tblStyleColBandSize w:val="1"/>
      <w:tblBorders>
        <w:bottom w:val="single" w:sz="4" w:space="0" w:color="77B800"/>
      </w:tblBorders>
      <w:tblCellMar>
        <w:top w:w="57" w:type="dxa"/>
        <w:left w:w="85" w:type="dxa"/>
        <w:bottom w:w="57" w:type="dxa"/>
        <w:right w:w="85" w:type="dxa"/>
      </w:tblCellMar>
    </w:tblPr>
    <w:tblStylePr w:type="firstRow">
      <w:rPr>
        <w:b/>
      </w:rPr>
      <w:tblPr/>
      <w:tcPr>
        <w:shd w:val="clear" w:color="auto" w:fill="77B800"/>
      </w:tcPr>
    </w:tblStylePr>
    <w:tblStylePr w:type="band1Horz">
      <w:tblPr/>
      <w:tcPr>
        <w:shd w:val="clear" w:color="auto" w:fill="F4FFE1"/>
      </w:tcPr>
    </w:tblStylePr>
  </w:style>
  <w:style w:type="table" w:styleId="ListTable4-Accent1">
    <w:name w:val="List Table 4 Accent 1"/>
    <w:basedOn w:val="TableNormal"/>
    <w:uiPriority w:val="49"/>
    <w:rsid w:val="00D60245"/>
    <w:pPr>
      <w:spacing w:after="0" w:line="240" w:lineRule="auto"/>
    </w:pPr>
    <w:tblPr>
      <w:tblStyleRowBandSize w:val="1"/>
      <w:tblStyleColBandSize w:val="1"/>
      <w:tblBorders>
        <w:top w:val="single" w:sz="4" w:space="0" w:color="7A8F9E" w:themeColor="accent1" w:themeTint="99"/>
        <w:left w:val="single" w:sz="4" w:space="0" w:color="7A8F9E" w:themeColor="accent1" w:themeTint="99"/>
        <w:bottom w:val="single" w:sz="4" w:space="0" w:color="7A8F9E" w:themeColor="accent1" w:themeTint="99"/>
        <w:right w:val="single" w:sz="4" w:space="0" w:color="7A8F9E" w:themeColor="accent1" w:themeTint="99"/>
        <w:insideH w:val="single" w:sz="4" w:space="0" w:color="7A8F9E" w:themeColor="accent1" w:themeTint="99"/>
      </w:tblBorders>
    </w:tblPr>
    <w:tblStylePr w:type="firstRow">
      <w:rPr>
        <w:b/>
        <w:bCs/>
        <w:color w:val="FFFFFF" w:themeColor="background1"/>
      </w:rPr>
      <w:tblPr/>
      <w:tcPr>
        <w:shd w:val="clear" w:color="auto" w:fill="0E4168"/>
      </w:tcPr>
    </w:tblStylePr>
    <w:tblStylePr w:type="lastRow">
      <w:rPr>
        <w:b/>
        <w:bCs/>
      </w:rPr>
      <w:tblPr/>
      <w:tcPr>
        <w:tcBorders>
          <w:top w:val="double" w:sz="4" w:space="0" w:color="7A8F9E" w:themeColor="accent1" w:themeTint="99"/>
        </w:tcBorders>
      </w:tcPr>
    </w:tblStylePr>
    <w:tblStylePr w:type="firstCol">
      <w:rPr>
        <w:b/>
        <w:bCs/>
      </w:rPr>
    </w:tblStylePr>
    <w:tblStylePr w:type="lastCol">
      <w:rPr>
        <w:b/>
        <w:bCs/>
      </w:rPr>
    </w:tblStylePr>
    <w:tblStylePr w:type="band1Vert">
      <w:tblPr/>
      <w:tcPr>
        <w:shd w:val="clear" w:color="auto" w:fill="D2D9DE" w:themeFill="accent1" w:themeFillTint="33"/>
      </w:tcPr>
    </w:tblStylePr>
    <w:tblStylePr w:type="band1Horz">
      <w:tblPr/>
      <w:tcPr>
        <w:shd w:val="clear" w:color="auto" w:fill="D7EAF9"/>
      </w:tcPr>
    </w:tblStylePr>
  </w:style>
  <w:style w:type="character" w:styleId="FollowedHyperlink">
    <w:name w:val="FollowedHyperlink"/>
    <w:basedOn w:val="DefaultParagraphFont"/>
    <w:uiPriority w:val="99"/>
    <w:semiHidden/>
    <w:unhideWhenUsed/>
    <w:rsid w:val="0078630E"/>
    <w:rPr>
      <w:color w:val="800080" w:themeColor="followedHyperlink"/>
      <w:u w:val="single"/>
    </w:rPr>
  </w:style>
  <w:style w:type="character" w:customStyle="1" w:styleId="UnresolvedMention2">
    <w:name w:val="Unresolved Mention2"/>
    <w:basedOn w:val="DefaultParagraphFont"/>
    <w:uiPriority w:val="99"/>
    <w:unhideWhenUsed/>
    <w:rsid w:val="00254FD3"/>
    <w:rPr>
      <w:color w:val="605E5C"/>
      <w:shd w:val="clear" w:color="auto" w:fill="E1DFDD"/>
    </w:rPr>
  </w:style>
  <w:style w:type="character" w:customStyle="1" w:styleId="Mention2">
    <w:name w:val="Mention2"/>
    <w:basedOn w:val="DefaultParagraphFont"/>
    <w:uiPriority w:val="99"/>
    <w:unhideWhenUsed/>
    <w:rsid w:val="00254FD3"/>
    <w:rPr>
      <w:color w:val="2B579A"/>
      <w:shd w:val="clear" w:color="auto" w:fill="E1DFDD"/>
    </w:rPr>
  </w:style>
  <w:style w:type="paragraph" w:styleId="EndnoteText">
    <w:name w:val="endnote text"/>
    <w:basedOn w:val="Normal"/>
    <w:link w:val="EndnoteTextChar"/>
    <w:uiPriority w:val="99"/>
    <w:semiHidden/>
    <w:unhideWhenUsed/>
    <w:rsid w:val="00EF19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19B2"/>
    <w:rPr>
      <w:sz w:val="20"/>
      <w:szCs w:val="20"/>
      <w:lang w:val="en-NZ"/>
    </w:rPr>
  </w:style>
  <w:style w:type="character" w:styleId="EndnoteReference">
    <w:name w:val="endnote reference"/>
    <w:basedOn w:val="DefaultParagraphFont"/>
    <w:uiPriority w:val="99"/>
    <w:semiHidden/>
    <w:unhideWhenUsed/>
    <w:rsid w:val="00EF19B2"/>
    <w:rPr>
      <w:vertAlign w:val="superscript"/>
    </w:rPr>
  </w:style>
  <w:style w:type="paragraph" w:customStyle="1" w:styleId="FigureorTableTitle">
    <w:name w:val="Figure or Table Title"/>
    <w:basedOn w:val="Normal"/>
    <w:link w:val="FigureorTableTitleChar"/>
    <w:qFormat/>
    <w:rsid w:val="008450F4"/>
    <w:pPr>
      <w:spacing w:after="120"/>
      <w:jc w:val="both"/>
    </w:pPr>
    <w:rPr>
      <w:rFonts w:asciiTheme="majorHAnsi" w:hAnsiTheme="majorHAnsi"/>
      <w:b/>
      <w:bCs/>
      <w:color w:val="36424A"/>
      <w:lang w:val="en-AU"/>
    </w:rPr>
  </w:style>
  <w:style w:type="character" w:customStyle="1" w:styleId="FigureorTableTitleChar">
    <w:name w:val="Figure or Table Title Char"/>
    <w:basedOn w:val="DefaultParagraphFont"/>
    <w:link w:val="FigureorTableTitle"/>
    <w:rsid w:val="008450F4"/>
    <w:rPr>
      <w:rFonts w:asciiTheme="majorHAnsi" w:hAnsiTheme="majorHAnsi"/>
      <w:b/>
      <w:bCs/>
      <w:color w:val="36424A"/>
      <w:lang w:val="en-AU"/>
    </w:rPr>
  </w:style>
  <w:style w:type="character" w:styleId="UnresolvedMention">
    <w:name w:val="Unresolved Mention"/>
    <w:basedOn w:val="DefaultParagraphFont"/>
    <w:uiPriority w:val="99"/>
    <w:unhideWhenUsed/>
    <w:rsid w:val="00074B8F"/>
    <w:rPr>
      <w:color w:val="605E5C"/>
      <w:shd w:val="clear" w:color="auto" w:fill="E1DFDD"/>
    </w:rPr>
  </w:style>
  <w:style w:type="character" w:styleId="Mention">
    <w:name w:val="Mention"/>
    <w:basedOn w:val="DefaultParagraphFont"/>
    <w:uiPriority w:val="99"/>
    <w:unhideWhenUsed/>
    <w:rsid w:val="00074B8F"/>
    <w:rPr>
      <w:color w:val="2B579A"/>
      <w:shd w:val="clear" w:color="auto" w:fill="E1DFDD"/>
    </w:rPr>
  </w:style>
  <w:style w:type="paragraph" w:customStyle="1" w:styleId="Paragraphtext">
    <w:name w:val="Paragraph text"/>
    <w:basedOn w:val="Normal"/>
    <w:qFormat/>
    <w:rsid w:val="007B2E26"/>
    <w:pPr>
      <w:spacing w:before="120" w:after="60" w:line="276" w:lineRule="auto"/>
    </w:pPr>
    <w:rPr>
      <w:rFonts w:ascii="Arial" w:eastAsia="Times New Roman" w:hAnsi="Arial" w:cs="Times New Roman"/>
      <w:color w:val="000000" w:themeColor="text1"/>
      <w:sz w:val="21"/>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11392">
      <w:bodyDiv w:val="1"/>
      <w:marLeft w:val="0"/>
      <w:marRight w:val="0"/>
      <w:marTop w:val="0"/>
      <w:marBottom w:val="0"/>
      <w:divBdr>
        <w:top w:val="none" w:sz="0" w:space="0" w:color="auto"/>
        <w:left w:val="none" w:sz="0" w:space="0" w:color="auto"/>
        <w:bottom w:val="none" w:sz="0" w:space="0" w:color="auto"/>
        <w:right w:val="none" w:sz="0" w:space="0" w:color="auto"/>
      </w:divBdr>
    </w:div>
    <w:div w:id="122312568">
      <w:bodyDiv w:val="1"/>
      <w:marLeft w:val="0"/>
      <w:marRight w:val="0"/>
      <w:marTop w:val="0"/>
      <w:marBottom w:val="0"/>
      <w:divBdr>
        <w:top w:val="none" w:sz="0" w:space="0" w:color="auto"/>
        <w:left w:val="none" w:sz="0" w:space="0" w:color="auto"/>
        <w:bottom w:val="none" w:sz="0" w:space="0" w:color="auto"/>
        <w:right w:val="none" w:sz="0" w:space="0" w:color="auto"/>
      </w:divBdr>
      <w:divsChild>
        <w:div w:id="962734237">
          <w:marLeft w:val="0"/>
          <w:marRight w:val="0"/>
          <w:marTop w:val="0"/>
          <w:marBottom w:val="480"/>
          <w:divBdr>
            <w:top w:val="none" w:sz="0" w:space="0" w:color="auto"/>
            <w:left w:val="none" w:sz="0" w:space="0" w:color="auto"/>
            <w:bottom w:val="none" w:sz="0" w:space="0" w:color="auto"/>
            <w:right w:val="none" w:sz="0" w:space="0" w:color="auto"/>
          </w:divBdr>
          <w:divsChild>
            <w:div w:id="1692102869">
              <w:marLeft w:val="0"/>
              <w:marRight w:val="0"/>
              <w:marTop w:val="100"/>
              <w:marBottom w:val="100"/>
              <w:divBdr>
                <w:top w:val="none" w:sz="0" w:space="0" w:color="auto"/>
                <w:left w:val="none" w:sz="0" w:space="0" w:color="auto"/>
                <w:bottom w:val="none" w:sz="0" w:space="0" w:color="auto"/>
                <w:right w:val="none" w:sz="0" w:space="0" w:color="auto"/>
              </w:divBdr>
            </w:div>
          </w:divsChild>
        </w:div>
        <w:div w:id="1299143443">
          <w:marLeft w:val="0"/>
          <w:marRight w:val="0"/>
          <w:marTop w:val="0"/>
          <w:marBottom w:val="900"/>
          <w:divBdr>
            <w:top w:val="none" w:sz="0" w:space="0" w:color="auto"/>
            <w:left w:val="none" w:sz="0" w:space="0" w:color="auto"/>
            <w:bottom w:val="none" w:sz="0" w:space="0" w:color="auto"/>
            <w:right w:val="none" w:sz="0" w:space="0" w:color="auto"/>
          </w:divBdr>
          <w:divsChild>
            <w:div w:id="41205241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25323457">
      <w:bodyDiv w:val="1"/>
      <w:marLeft w:val="0"/>
      <w:marRight w:val="0"/>
      <w:marTop w:val="0"/>
      <w:marBottom w:val="0"/>
      <w:divBdr>
        <w:top w:val="none" w:sz="0" w:space="0" w:color="auto"/>
        <w:left w:val="none" w:sz="0" w:space="0" w:color="auto"/>
        <w:bottom w:val="none" w:sz="0" w:space="0" w:color="auto"/>
        <w:right w:val="none" w:sz="0" w:space="0" w:color="auto"/>
      </w:divBdr>
    </w:div>
    <w:div w:id="285162068">
      <w:bodyDiv w:val="1"/>
      <w:marLeft w:val="0"/>
      <w:marRight w:val="0"/>
      <w:marTop w:val="0"/>
      <w:marBottom w:val="0"/>
      <w:divBdr>
        <w:top w:val="none" w:sz="0" w:space="0" w:color="auto"/>
        <w:left w:val="none" w:sz="0" w:space="0" w:color="auto"/>
        <w:bottom w:val="none" w:sz="0" w:space="0" w:color="auto"/>
        <w:right w:val="none" w:sz="0" w:space="0" w:color="auto"/>
      </w:divBdr>
    </w:div>
    <w:div w:id="335697112">
      <w:bodyDiv w:val="1"/>
      <w:marLeft w:val="0"/>
      <w:marRight w:val="0"/>
      <w:marTop w:val="0"/>
      <w:marBottom w:val="0"/>
      <w:divBdr>
        <w:top w:val="none" w:sz="0" w:space="0" w:color="auto"/>
        <w:left w:val="none" w:sz="0" w:space="0" w:color="auto"/>
        <w:bottom w:val="none" w:sz="0" w:space="0" w:color="auto"/>
        <w:right w:val="none" w:sz="0" w:space="0" w:color="auto"/>
      </w:divBdr>
    </w:div>
    <w:div w:id="362051115">
      <w:bodyDiv w:val="1"/>
      <w:marLeft w:val="0"/>
      <w:marRight w:val="0"/>
      <w:marTop w:val="0"/>
      <w:marBottom w:val="0"/>
      <w:divBdr>
        <w:top w:val="none" w:sz="0" w:space="0" w:color="auto"/>
        <w:left w:val="none" w:sz="0" w:space="0" w:color="auto"/>
        <w:bottom w:val="none" w:sz="0" w:space="0" w:color="auto"/>
        <w:right w:val="none" w:sz="0" w:space="0" w:color="auto"/>
      </w:divBdr>
    </w:div>
    <w:div w:id="415135682">
      <w:bodyDiv w:val="1"/>
      <w:marLeft w:val="0"/>
      <w:marRight w:val="0"/>
      <w:marTop w:val="0"/>
      <w:marBottom w:val="0"/>
      <w:divBdr>
        <w:top w:val="none" w:sz="0" w:space="0" w:color="auto"/>
        <w:left w:val="none" w:sz="0" w:space="0" w:color="auto"/>
        <w:bottom w:val="none" w:sz="0" w:space="0" w:color="auto"/>
        <w:right w:val="none" w:sz="0" w:space="0" w:color="auto"/>
      </w:divBdr>
    </w:div>
    <w:div w:id="466944269">
      <w:bodyDiv w:val="1"/>
      <w:marLeft w:val="0"/>
      <w:marRight w:val="0"/>
      <w:marTop w:val="0"/>
      <w:marBottom w:val="0"/>
      <w:divBdr>
        <w:top w:val="none" w:sz="0" w:space="0" w:color="auto"/>
        <w:left w:val="none" w:sz="0" w:space="0" w:color="auto"/>
        <w:bottom w:val="none" w:sz="0" w:space="0" w:color="auto"/>
        <w:right w:val="none" w:sz="0" w:space="0" w:color="auto"/>
      </w:divBdr>
    </w:div>
    <w:div w:id="481696920">
      <w:bodyDiv w:val="1"/>
      <w:marLeft w:val="0"/>
      <w:marRight w:val="0"/>
      <w:marTop w:val="0"/>
      <w:marBottom w:val="0"/>
      <w:divBdr>
        <w:top w:val="none" w:sz="0" w:space="0" w:color="auto"/>
        <w:left w:val="none" w:sz="0" w:space="0" w:color="auto"/>
        <w:bottom w:val="none" w:sz="0" w:space="0" w:color="auto"/>
        <w:right w:val="none" w:sz="0" w:space="0" w:color="auto"/>
      </w:divBdr>
    </w:div>
    <w:div w:id="529994107">
      <w:bodyDiv w:val="1"/>
      <w:marLeft w:val="0"/>
      <w:marRight w:val="0"/>
      <w:marTop w:val="0"/>
      <w:marBottom w:val="0"/>
      <w:divBdr>
        <w:top w:val="none" w:sz="0" w:space="0" w:color="auto"/>
        <w:left w:val="none" w:sz="0" w:space="0" w:color="auto"/>
        <w:bottom w:val="none" w:sz="0" w:space="0" w:color="auto"/>
        <w:right w:val="none" w:sz="0" w:space="0" w:color="auto"/>
      </w:divBdr>
    </w:div>
    <w:div w:id="600064147">
      <w:bodyDiv w:val="1"/>
      <w:marLeft w:val="0"/>
      <w:marRight w:val="0"/>
      <w:marTop w:val="0"/>
      <w:marBottom w:val="0"/>
      <w:divBdr>
        <w:top w:val="none" w:sz="0" w:space="0" w:color="auto"/>
        <w:left w:val="none" w:sz="0" w:space="0" w:color="auto"/>
        <w:bottom w:val="none" w:sz="0" w:space="0" w:color="auto"/>
        <w:right w:val="none" w:sz="0" w:space="0" w:color="auto"/>
      </w:divBdr>
      <w:divsChild>
        <w:div w:id="367487838">
          <w:marLeft w:val="0"/>
          <w:marRight w:val="0"/>
          <w:marTop w:val="0"/>
          <w:marBottom w:val="900"/>
          <w:divBdr>
            <w:top w:val="none" w:sz="0" w:space="0" w:color="auto"/>
            <w:left w:val="none" w:sz="0" w:space="0" w:color="auto"/>
            <w:bottom w:val="none" w:sz="0" w:space="0" w:color="auto"/>
            <w:right w:val="none" w:sz="0" w:space="0" w:color="auto"/>
          </w:divBdr>
          <w:divsChild>
            <w:div w:id="386144111">
              <w:marLeft w:val="0"/>
              <w:marRight w:val="0"/>
              <w:marTop w:val="0"/>
              <w:marBottom w:val="900"/>
              <w:divBdr>
                <w:top w:val="none" w:sz="0" w:space="0" w:color="auto"/>
                <w:left w:val="none" w:sz="0" w:space="0" w:color="auto"/>
                <w:bottom w:val="none" w:sz="0" w:space="0" w:color="auto"/>
                <w:right w:val="none" w:sz="0" w:space="0" w:color="auto"/>
              </w:divBdr>
            </w:div>
          </w:divsChild>
        </w:div>
        <w:div w:id="847214594">
          <w:marLeft w:val="0"/>
          <w:marRight w:val="0"/>
          <w:marTop w:val="0"/>
          <w:marBottom w:val="480"/>
          <w:divBdr>
            <w:top w:val="none" w:sz="0" w:space="0" w:color="auto"/>
            <w:left w:val="none" w:sz="0" w:space="0" w:color="auto"/>
            <w:bottom w:val="none" w:sz="0" w:space="0" w:color="auto"/>
            <w:right w:val="none" w:sz="0" w:space="0" w:color="auto"/>
          </w:divBdr>
          <w:divsChild>
            <w:div w:id="60188490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96659710">
      <w:bodyDiv w:val="1"/>
      <w:marLeft w:val="0"/>
      <w:marRight w:val="0"/>
      <w:marTop w:val="0"/>
      <w:marBottom w:val="0"/>
      <w:divBdr>
        <w:top w:val="none" w:sz="0" w:space="0" w:color="auto"/>
        <w:left w:val="none" w:sz="0" w:space="0" w:color="auto"/>
        <w:bottom w:val="none" w:sz="0" w:space="0" w:color="auto"/>
        <w:right w:val="none" w:sz="0" w:space="0" w:color="auto"/>
      </w:divBdr>
    </w:div>
    <w:div w:id="819005834">
      <w:bodyDiv w:val="1"/>
      <w:marLeft w:val="0"/>
      <w:marRight w:val="0"/>
      <w:marTop w:val="0"/>
      <w:marBottom w:val="0"/>
      <w:divBdr>
        <w:top w:val="none" w:sz="0" w:space="0" w:color="auto"/>
        <w:left w:val="none" w:sz="0" w:space="0" w:color="auto"/>
        <w:bottom w:val="none" w:sz="0" w:space="0" w:color="auto"/>
        <w:right w:val="none" w:sz="0" w:space="0" w:color="auto"/>
      </w:divBdr>
    </w:div>
    <w:div w:id="827555226">
      <w:bodyDiv w:val="1"/>
      <w:marLeft w:val="0"/>
      <w:marRight w:val="0"/>
      <w:marTop w:val="0"/>
      <w:marBottom w:val="0"/>
      <w:divBdr>
        <w:top w:val="none" w:sz="0" w:space="0" w:color="auto"/>
        <w:left w:val="none" w:sz="0" w:space="0" w:color="auto"/>
        <w:bottom w:val="none" w:sz="0" w:space="0" w:color="auto"/>
        <w:right w:val="none" w:sz="0" w:space="0" w:color="auto"/>
      </w:divBdr>
    </w:div>
    <w:div w:id="878396645">
      <w:bodyDiv w:val="1"/>
      <w:marLeft w:val="0"/>
      <w:marRight w:val="0"/>
      <w:marTop w:val="0"/>
      <w:marBottom w:val="0"/>
      <w:divBdr>
        <w:top w:val="none" w:sz="0" w:space="0" w:color="auto"/>
        <w:left w:val="none" w:sz="0" w:space="0" w:color="auto"/>
        <w:bottom w:val="none" w:sz="0" w:space="0" w:color="auto"/>
        <w:right w:val="none" w:sz="0" w:space="0" w:color="auto"/>
      </w:divBdr>
      <w:divsChild>
        <w:div w:id="233440339">
          <w:marLeft w:val="0"/>
          <w:marRight w:val="0"/>
          <w:marTop w:val="0"/>
          <w:marBottom w:val="720"/>
          <w:divBdr>
            <w:top w:val="none" w:sz="0" w:space="0" w:color="auto"/>
            <w:left w:val="single" w:sz="24" w:space="12" w:color="C33250"/>
            <w:bottom w:val="none" w:sz="0" w:space="0" w:color="auto"/>
            <w:right w:val="none" w:sz="0" w:space="0" w:color="auto"/>
          </w:divBdr>
        </w:div>
      </w:divsChild>
    </w:div>
    <w:div w:id="921185951">
      <w:bodyDiv w:val="1"/>
      <w:marLeft w:val="0"/>
      <w:marRight w:val="0"/>
      <w:marTop w:val="0"/>
      <w:marBottom w:val="0"/>
      <w:divBdr>
        <w:top w:val="none" w:sz="0" w:space="0" w:color="auto"/>
        <w:left w:val="none" w:sz="0" w:space="0" w:color="auto"/>
        <w:bottom w:val="none" w:sz="0" w:space="0" w:color="auto"/>
        <w:right w:val="none" w:sz="0" w:space="0" w:color="auto"/>
      </w:divBdr>
    </w:div>
    <w:div w:id="958335236">
      <w:bodyDiv w:val="1"/>
      <w:marLeft w:val="0"/>
      <w:marRight w:val="0"/>
      <w:marTop w:val="0"/>
      <w:marBottom w:val="0"/>
      <w:divBdr>
        <w:top w:val="none" w:sz="0" w:space="0" w:color="auto"/>
        <w:left w:val="none" w:sz="0" w:space="0" w:color="auto"/>
        <w:bottom w:val="none" w:sz="0" w:space="0" w:color="auto"/>
        <w:right w:val="none" w:sz="0" w:space="0" w:color="auto"/>
      </w:divBdr>
    </w:div>
    <w:div w:id="991056890">
      <w:bodyDiv w:val="1"/>
      <w:marLeft w:val="0"/>
      <w:marRight w:val="0"/>
      <w:marTop w:val="0"/>
      <w:marBottom w:val="0"/>
      <w:divBdr>
        <w:top w:val="none" w:sz="0" w:space="0" w:color="auto"/>
        <w:left w:val="none" w:sz="0" w:space="0" w:color="auto"/>
        <w:bottom w:val="none" w:sz="0" w:space="0" w:color="auto"/>
        <w:right w:val="none" w:sz="0" w:space="0" w:color="auto"/>
      </w:divBdr>
    </w:div>
    <w:div w:id="1000238113">
      <w:bodyDiv w:val="1"/>
      <w:marLeft w:val="0"/>
      <w:marRight w:val="0"/>
      <w:marTop w:val="0"/>
      <w:marBottom w:val="0"/>
      <w:divBdr>
        <w:top w:val="none" w:sz="0" w:space="0" w:color="auto"/>
        <w:left w:val="none" w:sz="0" w:space="0" w:color="auto"/>
        <w:bottom w:val="none" w:sz="0" w:space="0" w:color="auto"/>
        <w:right w:val="none" w:sz="0" w:space="0" w:color="auto"/>
      </w:divBdr>
    </w:div>
    <w:div w:id="1003168810">
      <w:bodyDiv w:val="1"/>
      <w:marLeft w:val="0"/>
      <w:marRight w:val="0"/>
      <w:marTop w:val="0"/>
      <w:marBottom w:val="0"/>
      <w:divBdr>
        <w:top w:val="none" w:sz="0" w:space="0" w:color="auto"/>
        <w:left w:val="none" w:sz="0" w:space="0" w:color="auto"/>
        <w:bottom w:val="none" w:sz="0" w:space="0" w:color="auto"/>
        <w:right w:val="none" w:sz="0" w:space="0" w:color="auto"/>
      </w:divBdr>
    </w:div>
    <w:div w:id="1015231942">
      <w:bodyDiv w:val="1"/>
      <w:marLeft w:val="0"/>
      <w:marRight w:val="0"/>
      <w:marTop w:val="0"/>
      <w:marBottom w:val="0"/>
      <w:divBdr>
        <w:top w:val="none" w:sz="0" w:space="0" w:color="auto"/>
        <w:left w:val="none" w:sz="0" w:space="0" w:color="auto"/>
        <w:bottom w:val="none" w:sz="0" w:space="0" w:color="auto"/>
        <w:right w:val="none" w:sz="0" w:space="0" w:color="auto"/>
      </w:divBdr>
    </w:div>
    <w:div w:id="1021468734">
      <w:bodyDiv w:val="1"/>
      <w:marLeft w:val="0"/>
      <w:marRight w:val="0"/>
      <w:marTop w:val="0"/>
      <w:marBottom w:val="0"/>
      <w:divBdr>
        <w:top w:val="none" w:sz="0" w:space="0" w:color="auto"/>
        <w:left w:val="none" w:sz="0" w:space="0" w:color="auto"/>
        <w:bottom w:val="none" w:sz="0" w:space="0" w:color="auto"/>
        <w:right w:val="none" w:sz="0" w:space="0" w:color="auto"/>
      </w:divBdr>
    </w:div>
    <w:div w:id="1095440987">
      <w:bodyDiv w:val="1"/>
      <w:marLeft w:val="0"/>
      <w:marRight w:val="0"/>
      <w:marTop w:val="0"/>
      <w:marBottom w:val="0"/>
      <w:divBdr>
        <w:top w:val="none" w:sz="0" w:space="0" w:color="auto"/>
        <w:left w:val="none" w:sz="0" w:space="0" w:color="auto"/>
        <w:bottom w:val="none" w:sz="0" w:space="0" w:color="auto"/>
        <w:right w:val="none" w:sz="0" w:space="0" w:color="auto"/>
      </w:divBdr>
    </w:div>
    <w:div w:id="1138912841">
      <w:bodyDiv w:val="1"/>
      <w:marLeft w:val="0"/>
      <w:marRight w:val="0"/>
      <w:marTop w:val="0"/>
      <w:marBottom w:val="0"/>
      <w:divBdr>
        <w:top w:val="none" w:sz="0" w:space="0" w:color="auto"/>
        <w:left w:val="none" w:sz="0" w:space="0" w:color="auto"/>
        <w:bottom w:val="none" w:sz="0" w:space="0" w:color="auto"/>
        <w:right w:val="none" w:sz="0" w:space="0" w:color="auto"/>
      </w:divBdr>
    </w:div>
    <w:div w:id="1216700280">
      <w:bodyDiv w:val="1"/>
      <w:marLeft w:val="0"/>
      <w:marRight w:val="0"/>
      <w:marTop w:val="0"/>
      <w:marBottom w:val="0"/>
      <w:divBdr>
        <w:top w:val="none" w:sz="0" w:space="0" w:color="auto"/>
        <w:left w:val="none" w:sz="0" w:space="0" w:color="auto"/>
        <w:bottom w:val="none" w:sz="0" w:space="0" w:color="auto"/>
        <w:right w:val="none" w:sz="0" w:space="0" w:color="auto"/>
      </w:divBdr>
    </w:div>
    <w:div w:id="1239898059">
      <w:bodyDiv w:val="1"/>
      <w:marLeft w:val="0"/>
      <w:marRight w:val="0"/>
      <w:marTop w:val="0"/>
      <w:marBottom w:val="0"/>
      <w:divBdr>
        <w:top w:val="none" w:sz="0" w:space="0" w:color="auto"/>
        <w:left w:val="none" w:sz="0" w:space="0" w:color="auto"/>
        <w:bottom w:val="none" w:sz="0" w:space="0" w:color="auto"/>
        <w:right w:val="none" w:sz="0" w:space="0" w:color="auto"/>
      </w:divBdr>
    </w:div>
    <w:div w:id="1275479981">
      <w:bodyDiv w:val="1"/>
      <w:marLeft w:val="0"/>
      <w:marRight w:val="0"/>
      <w:marTop w:val="0"/>
      <w:marBottom w:val="0"/>
      <w:divBdr>
        <w:top w:val="none" w:sz="0" w:space="0" w:color="auto"/>
        <w:left w:val="none" w:sz="0" w:space="0" w:color="auto"/>
        <w:bottom w:val="none" w:sz="0" w:space="0" w:color="auto"/>
        <w:right w:val="none" w:sz="0" w:space="0" w:color="auto"/>
      </w:divBdr>
    </w:div>
    <w:div w:id="1282565372">
      <w:bodyDiv w:val="1"/>
      <w:marLeft w:val="0"/>
      <w:marRight w:val="0"/>
      <w:marTop w:val="0"/>
      <w:marBottom w:val="0"/>
      <w:divBdr>
        <w:top w:val="none" w:sz="0" w:space="0" w:color="auto"/>
        <w:left w:val="none" w:sz="0" w:space="0" w:color="auto"/>
        <w:bottom w:val="none" w:sz="0" w:space="0" w:color="auto"/>
        <w:right w:val="none" w:sz="0" w:space="0" w:color="auto"/>
      </w:divBdr>
    </w:div>
    <w:div w:id="1404569884">
      <w:bodyDiv w:val="1"/>
      <w:marLeft w:val="0"/>
      <w:marRight w:val="0"/>
      <w:marTop w:val="0"/>
      <w:marBottom w:val="0"/>
      <w:divBdr>
        <w:top w:val="none" w:sz="0" w:space="0" w:color="auto"/>
        <w:left w:val="none" w:sz="0" w:space="0" w:color="auto"/>
        <w:bottom w:val="none" w:sz="0" w:space="0" w:color="auto"/>
        <w:right w:val="none" w:sz="0" w:space="0" w:color="auto"/>
      </w:divBdr>
    </w:div>
    <w:div w:id="1423070129">
      <w:bodyDiv w:val="1"/>
      <w:marLeft w:val="0"/>
      <w:marRight w:val="0"/>
      <w:marTop w:val="0"/>
      <w:marBottom w:val="0"/>
      <w:divBdr>
        <w:top w:val="none" w:sz="0" w:space="0" w:color="auto"/>
        <w:left w:val="none" w:sz="0" w:space="0" w:color="auto"/>
        <w:bottom w:val="none" w:sz="0" w:space="0" w:color="auto"/>
        <w:right w:val="none" w:sz="0" w:space="0" w:color="auto"/>
      </w:divBdr>
    </w:div>
    <w:div w:id="1440678875">
      <w:bodyDiv w:val="1"/>
      <w:marLeft w:val="0"/>
      <w:marRight w:val="0"/>
      <w:marTop w:val="0"/>
      <w:marBottom w:val="0"/>
      <w:divBdr>
        <w:top w:val="none" w:sz="0" w:space="0" w:color="auto"/>
        <w:left w:val="none" w:sz="0" w:space="0" w:color="auto"/>
        <w:bottom w:val="none" w:sz="0" w:space="0" w:color="auto"/>
        <w:right w:val="none" w:sz="0" w:space="0" w:color="auto"/>
      </w:divBdr>
    </w:div>
    <w:div w:id="1459912060">
      <w:bodyDiv w:val="1"/>
      <w:marLeft w:val="0"/>
      <w:marRight w:val="0"/>
      <w:marTop w:val="0"/>
      <w:marBottom w:val="0"/>
      <w:divBdr>
        <w:top w:val="none" w:sz="0" w:space="0" w:color="auto"/>
        <w:left w:val="none" w:sz="0" w:space="0" w:color="auto"/>
        <w:bottom w:val="none" w:sz="0" w:space="0" w:color="auto"/>
        <w:right w:val="none" w:sz="0" w:space="0" w:color="auto"/>
      </w:divBdr>
    </w:div>
    <w:div w:id="1488742439">
      <w:bodyDiv w:val="1"/>
      <w:marLeft w:val="0"/>
      <w:marRight w:val="0"/>
      <w:marTop w:val="0"/>
      <w:marBottom w:val="0"/>
      <w:divBdr>
        <w:top w:val="none" w:sz="0" w:space="0" w:color="auto"/>
        <w:left w:val="none" w:sz="0" w:space="0" w:color="auto"/>
        <w:bottom w:val="none" w:sz="0" w:space="0" w:color="auto"/>
        <w:right w:val="none" w:sz="0" w:space="0" w:color="auto"/>
      </w:divBdr>
    </w:div>
    <w:div w:id="1508326379">
      <w:bodyDiv w:val="1"/>
      <w:marLeft w:val="0"/>
      <w:marRight w:val="0"/>
      <w:marTop w:val="0"/>
      <w:marBottom w:val="0"/>
      <w:divBdr>
        <w:top w:val="none" w:sz="0" w:space="0" w:color="auto"/>
        <w:left w:val="none" w:sz="0" w:space="0" w:color="auto"/>
        <w:bottom w:val="none" w:sz="0" w:space="0" w:color="auto"/>
        <w:right w:val="none" w:sz="0" w:space="0" w:color="auto"/>
      </w:divBdr>
    </w:div>
    <w:div w:id="1548488605">
      <w:bodyDiv w:val="1"/>
      <w:marLeft w:val="0"/>
      <w:marRight w:val="0"/>
      <w:marTop w:val="0"/>
      <w:marBottom w:val="0"/>
      <w:divBdr>
        <w:top w:val="none" w:sz="0" w:space="0" w:color="auto"/>
        <w:left w:val="none" w:sz="0" w:space="0" w:color="auto"/>
        <w:bottom w:val="none" w:sz="0" w:space="0" w:color="auto"/>
        <w:right w:val="none" w:sz="0" w:space="0" w:color="auto"/>
      </w:divBdr>
      <w:divsChild>
        <w:div w:id="1270162425">
          <w:marLeft w:val="0"/>
          <w:marRight w:val="0"/>
          <w:marTop w:val="0"/>
          <w:marBottom w:val="720"/>
          <w:divBdr>
            <w:top w:val="none" w:sz="0" w:space="0" w:color="auto"/>
            <w:left w:val="single" w:sz="24" w:space="12" w:color="C33250"/>
            <w:bottom w:val="none" w:sz="0" w:space="0" w:color="auto"/>
            <w:right w:val="none" w:sz="0" w:space="0" w:color="auto"/>
          </w:divBdr>
        </w:div>
      </w:divsChild>
    </w:div>
    <w:div w:id="1589650661">
      <w:bodyDiv w:val="1"/>
      <w:marLeft w:val="0"/>
      <w:marRight w:val="0"/>
      <w:marTop w:val="0"/>
      <w:marBottom w:val="0"/>
      <w:divBdr>
        <w:top w:val="none" w:sz="0" w:space="0" w:color="auto"/>
        <w:left w:val="none" w:sz="0" w:space="0" w:color="auto"/>
        <w:bottom w:val="none" w:sz="0" w:space="0" w:color="auto"/>
        <w:right w:val="none" w:sz="0" w:space="0" w:color="auto"/>
      </w:divBdr>
    </w:div>
    <w:div w:id="1602298796">
      <w:bodyDiv w:val="1"/>
      <w:marLeft w:val="0"/>
      <w:marRight w:val="0"/>
      <w:marTop w:val="0"/>
      <w:marBottom w:val="0"/>
      <w:divBdr>
        <w:top w:val="none" w:sz="0" w:space="0" w:color="auto"/>
        <w:left w:val="none" w:sz="0" w:space="0" w:color="auto"/>
        <w:bottom w:val="none" w:sz="0" w:space="0" w:color="auto"/>
        <w:right w:val="none" w:sz="0" w:space="0" w:color="auto"/>
      </w:divBdr>
    </w:div>
    <w:div w:id="1615214066">
      <w:bodyDiv w:val="1"/>
      <w:marLeft w:val="0"/>
      <w:marRight w:val="0"/>
      <w:marTop w:val="0"/>
      <w:marBottom w:val="0"/>
      <w:divBdr>
        <w:top w:val="none" w:sz="0" w:space="0" w:color="auto"/>
        <w:left w:val="none" w:sz="0" w:space="0" w:color="auto"/>
        <w:bottom w:val="none" w:sz="0" w:space="0" w:color="auto"/>
        <w:right w:val="none" w:sz="0" w:space="0" w:color="auto"/>
      </w:divBdr>
    </w:div>
    <w:div w:id="1632517471">
      <w:bodyDiv w:val="1"/>
      <w:marLeft w:val="0"/>
      <w:marRight w:val="0"/>
      <w:marTop w:val="0"/>
      <w:marBottom w:val="0"/>
      <w:divBdr>
        <w:top w:val="none" w:sz="0" w:space="0" w:color="auto"/>
        <w:left w:val="none" w:sz="0" w:space="0" w:color="auto"/>
        <w:bottom w:val="none" w:sz="0" w:space="0" w:color="auto"/>
        <w:right w:val="none" w:sz="0" w:space="0" w:color="auto"/>
      </w:divBdr>
    </w:div>
    <w:div w:id="1766879792">
      <w:bodyDiv w:val="1"/>
      <w:marLeft w:val="0"/>
      <w:marRight w:val="0"/>
      <w:marTop w:val="0"/>
      <w:marBottom w:val="0"/>
      <w:divBdr>
        <w:top w:val="none" w:sz="0" w:space="0" w:color="auto"/>
        <w:left w:val="none" w:sz="0" w:space="0" w:color="auto"/>
        <w:bottom w:val="none" w:sz="0" w:space="0" w:color="auto"/>
        <w:right w:val="none" w:sz="0" w:space="0" w:color="auto"/>
      </w:divBdr>
    </w:div>
    <w:div w:id="1814368003">
      <w:bodyDiv w:val="1"/>
      <w:marLeft w:val="0"/>
      <w:marRight w:val="0"/>
      <w:marTop w:val="0"/>
      <w:marBottom w:val="0"/>
      <w:divBdr>
        <w:top w:val="none" w:sz="0" w:space="0" w:color="auto"/>
        <w:left w:val="none" w:sz="0" w:space="0" w:color="auto"/>
        <w:bottom w:val="none" w:sz="0" w:space="0" w:color="auto"/>
        <w:right w:val="none" w:sz="0" w:space="0" w:color="auto"/>
      </w:divBdr>
    </w:div>
    <w:div w:id="1825201401">
      <w:bodyDiv w:val="1"/>
      <w:marLeft w:val="0"/>
      <w:marRight w:val="0"/>
      <w:marTop w:val="0"/>
      <w:marBottom w:val="0"/>
      <w:divBdr>
        <w:top w:val="none" w:sz="0" w:space="0" w:color="auto"/>
        <w:left w:val="none" w:sz="0" w:space="0" w:color="auto"/>
        <w:bottom w:val="none" w:sz="0" w:space="0" w:color="auto"/>
        <w:right w:val="none" w:sz="0" w:space="0" w:color="auto"/>
      </w:divBdr>
    </w:div>
    <w:div w:id="1862162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sv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hyperlink" Target="https://anzsbt.org.au/education-research/research/" TargetMode="External"/><Relationship Id="rId63" Type="http://schemas.openxmlformats.org/officeDocument/2006/relationships/hyperlink" Target="https://www.finance.gov.au/government/commonwealth-grants/commonwealth-grants-rules-and-guidelines" TargetMode="External"/><Relationship Id="rId68" Type="http://schemas.openxmlformats.org/officeDocument/2006/relationships/hyperlink" Target="https://www.haemophilia.org.au/research/research-fund" TargetMode="External"/><Relationship Id="rId84" Type="http://schemas.openxmlformats.org/officeDocument/2006/relationships/header" Target="header4.xml"/><Relationship Id="rId89"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image" Target="media/image1.jpeg"/><Relationship Id="rId32" Type="http://schemas.openxmlformats.org/officeDocument/2006/relationships/image" Target="media/image17.svg"/><Relationship Id="rId37" Type="http://schemas.openxmlformats.org/officeDocument/2006/relationships/image" Target="media/image22.svg"/><Relationship Id="rId53" Type="http://schemas.openxmlformats.org/officeDocument/2006/relationships/hyperlink" Target="https://www.donateblood.com.au/research/product-safety" TargetMode="External"/><Relationship Id="rId58" Type="http://schemas.openxmlformats.org/officeDocument/2006/relationships/hyperlink" Target="https://bloodsynergy.org/research/" TargetMode="External"/><Relationship Id="rId74" Type="http://schemas.openxmlformats.org/officeDocument/2006/relationships/hyperlink" Target="https://www.blood.gov.au/haemovigilance-reporting" TargetMode="External"/><Relationship Id="rId79" Type="http://schemas.openxmlformats.org/officeDocument/2006/relationships/hyperlink" Target="http://www.sanofi.com.au/en/corporate-responsibility/grant-funding"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eader" Target="header1.xml"/><Relationship Id="rId22" Type="http://schemas.openxmlformats.org/officeDocument/2006/relationships/image" Target="media/image7.sv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svg"/><Relationship Id="rId43" Type="http://schemas.openxmlformats.org/officeDocument/2006/relationships/image" Target="media/image28.svg"/><Relationship Id="rId48" Type="http://schemas.openxmlformats.org/officeDocument/2006/relationships/hyperlink" Target="https://www.abs.gov.au/statistics/industry/technology-and-innovation/research-and-experimental-development-businesses-australia/latest-release" TargetMode="External"/><Relationship Id="rId56" Type="http://schemas.openxmlformats.org/officeDocument/2006/relationships/hyperlink" Target="https://www.donateblood.com.au/sites/default/files/J20515_2019_20_RDAnnualReport-Public_5.0.pdf" TargetMode="External"/><Relationship Id="rId64" Type="http://schemas.openxmlformats.org/officeDocument/2006/relationships/hyperlink" Target="https://www.finance.gov.au/government/managing-commonwealth-resources/planning-and-reporting/commonwealth-performance-framework" TargetMode="External"/><Relationship Id="rId69" Type="http://schemas.openxmlformats.org/officeDocument/2006/relationships/hyperlink" Target="https://www.haemophilia.org.au/about-bleeding-disorders/von-willebrand-disease" TargetMode="External"/><Relationship Id="rId77" Type="http://schemas.openxmlformats.org/officeDocument/2006/relationships/hyperlink" Target="https://researchaustralia.org/category/hmr-facts/" TargetMode="External"/><Relationship Id="rId8" Type="http://schemas.openxmlformats.org/officeDocument/2006/relationships/webSettings" Target="webSettings.xml"/><Relationship Id="rId51" Type="http://schemas.openxmlformats.org/officeDocument/2006/relationships/hyperlink" Target="https://www.ahcdo.org.au" TargetMode="External"/><Relationship Id="rId72" Type="http://schemas.openxmlformats.org/officeDocument/2006/relationships/hyperlink" Target="https://www.blood.gov.au/patient-blood-management-pbm" TargetMode="External"/><Relationship Id="rId80" Type="http://schemas.openxmlformats.org/officeDocument/2006/relationships/hyperlink" Target="https://www.sanofi.com.au/en/healthcare-solutions/rare-blood-disorders" TargetMode="External"/><Relationship Id="rId85"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hyperlink" Target="https://www.alfredhealth.org.au/research/research-areas/clinical-haematology-research" TargetMode="External"/><Relationship Id="rId59" Type="http://schemas.openxmlformats.org/officeDocument/2006/relationships/hyperlink" Target="https://www.blood.ca/sites/default/files/CBS_Strat_Plan_2019_ENGLISH_April_5_2019.pdf" TargetMode="External"/><Relationship Id="rId67" Type="http://schemas.openxmlformats.org/officeDocument/2006/relationships/hyperlink" Target="https://www2.health.vic.gov.au/about/clinical-trials-and-research/victorian-medical-research-acceleration-fund" TargetMode="External"/><Relationship Id="rId20" Type="http://schemas.openxmlformats.org/officeDocument/2006/relationships/image" Target="media/image5.jpeg"/><Relationship Id="rId41" Type="http://schemas.openxmlformats.org/officeDocument/2006/relationships/image" Target="media/image26.svg"/><Relationship Id="rId54" Type="http://schemas.openxmlformats.org/officeDocument/2006/relationships/hyperlink" Target="https://allenandclarke.sharepoint.com/australia/Work%20Restored/CTH_NBA%20Review%20of%20strategic%20priorities/04%20Deliverables/Reports/donateblood.com.au/research/our-research-program" TargetMode="External"/><Relationship Id="rId62" Type="http://schemas.openxmlformats.org/officeDocument/2006/relationships/hyperlink" Target="https://www.dese.gov.au/research-block-grants" TargetMode="External"/><Relationship Id="rId70" Type="http://schemas.openxmlformats.org/officeDocument/2006/relationships/hyperlink" Target="file:///C:/Users/smcdowell/Desktop/Heart%20Research%20Institute.%20(2021).%20Navigating%202020:%20Without%20skipping%20a%20beat.%20Retrieved%20from:%20https:/dvl2h13awlxkt.cloudfront.net/general-downloads/HRI_Annual_Review_2020.pdf" TargetMode="External"/><Relationship Id="rId75" Type="http://schemas.openxmlformats.org/officeDocument/2006/relationships/hyperlink" Target="https://www.nhmrc.gov.au/funding/data-research/outcomes" TargetMode="External"/><Relationship Id="rId83" Type="http://schemas.openxmlformats.org/officeDocument/2006/relationships/hyperlink" Target="https://www.sydney.edu.au/research/research-funding/research-fellowships.html" TargetMode="External"/><Relationship Id="rId88"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svg"/><Relationship Id="rId36" Type="http://schemas.openxmlformats.org/officeDocument/2006/relationships/image" Target="media/image21.png"/><Relationship Id="rId49" Type="http://schemas.openxmlformats.org/officeDocument/2006/relationships/hyperlink" Target="https://www.abs.gov.au/statistics/industry/technology-and-innovation/research-and-experimental-development-higher-education-organisations-australia/latest-release" TargetMode="External"/><Relationship Id="rId57" Type="http://schemas.openxmlformats.org/officeDocument/2006/relationships/hyperlink" Target="https://bloodsynergy.org/"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www.donateblood.com.au/research/our-research-program" TargetMode="External"/><Relationship Id="rId60" Type="http://schemas.openxmlformats.org/officeDocument/2006/relationships/hyperlink" Target="https://www.blood.gov.au/system/files/documents/nba-national-blood-agreement.pdf" TargetMode="External"/><Relationship Id="rId65" Type="http://schemas.openxmlformats.org/officeDocument/2006/relationships/hyperlink" Target="https://www.finance.gov.au/government/managing-commonwealth-resources/developing-good-performance-information-rmg-131" TargetMode="External"/><Relationship Id="rId73" Type="http://schemas.openxmlformats.org/officeDocument/2006/relationships/hyperlink" Target="https://www.blood.gov.au/haemovigilance" TargetMode="External"/><Relationship Id="rId78" Type="http://schemas.openxmlformats.org/officeDocument/2006/relationships/hyperlink" Target="https://www.thermh.org.au/research/researchers/grants/rfp/outcome" TargetMode="External"/><Relationship Id="rId81" Type="http://schemas.openxmlformats.org/officeDocument/2006/relationships/hyperlink" Target="https://earth.stanford.edu/news/how-does-climate-change-affect-disease%23gs.40i05j" TargetMode="External"/><Relationship Id="rId86"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image" Target="media/image24.svg"/><Relationship Id="rId34" Type="http://schemas.openxmlformats.org/officeDocument/2006/relationships/image" Target="media/image19.png"/><Relationship Id="rId50" Type="http://schemas.openxmlformats.org/officeDocument/2006/relationships/hyperlink" Target="https://www.safetyandquality.gov.au/about-us" TargetMode="External"/><Relationship Id="rId55" Type="http://schemas.openxmlformats.org/officeDocument/2006/relationships/hyperlink" Target="https://www.blood.gov.au/document/national-blood-sector-education-and-training-strategy-2013-2016-docx" TargetMode="External"/><Relationship Id="rId76" Type="http://schemas.openxmlformats.org/officeDocument/2006/relationships/hyperlink" Target="https://nhsbtdbe.blob.core.windows.net/umbraco-assets-corp/1435/strategic_plan_june_2015.pdf" TargetMode="External"/><Relationship Id="rId7" Type="http://schemas.openxmlformats.org/officeDocument/2006/relationships/settings" Target="settings.xml"/><Relationship Id="rId71" Type="http://schemas.openxmlformats.org/officeDocument/2006/relationships/hyperlink" Target="https://www.blood.gov.au/system/files/What%20is%20bloodstar4_Jul2018.pdf"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svg"/><Relationship Id="rId40" Type="http://schemas.openxmlformats.org/officeDocument/2006/relationships/image" Target="media/image25.png"/><Relationship Id="rId45" Type="http://schemas.openxmlformats.org/officeDocument/2006/relationships/image" Target="media/image30.svg"/><Relationship Id="rId66" Type="http://schemas.openxmlformats.org/officeDocument/2006/relationships/hyperlink" Target="https://www.health.gov.au/about-us/the-australian-health-system" TargetMode="External"/><Relationship Id="rId87" Type="http://schemas.openxmlformats.org/officeDocument/2006/relationships/footer" Target="footer5.xml"/><Relationship Id="rId61" Type="http://schemas.openxmlformats.org/officeDocument/2006/relationships/hyperlink" Target="https://www.cslbehring.com.au/research-and-development/research-and-development-capabilities" TargetMode="External"/><Relationship Id="rId82" Type="http://schemas.openxmlformats.org/officeDocument/2006/relationships/hyperlink" Target="https://www2.health.vic.gov.au/hospitals-and-health-services/patient-care/speciality-diagnostics-therapeutics/blood-matters/serious-transfusion-incidents" TargetMode="External"/><Relationship Id="rId1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1.jpg"/></Relationships>
</file>

<file path=word/_rels/footnotes.xml.rels><?xml version="1.0" encoding="UTF-8" standalone="yes"?>
<Relationships xmlns="http://schemas.openxmlformats.org/package/2006/relationships"><Relationship Id="rId8" Type="http://schemas.openxmlformats.org/officeDocument/2006/relationships/hyperlink" Target="https://dvl2h13awlxkt.cloudfront.net/general-downloads/HRI_Annual_Review_2020.pdf?mtime=20210527095756&amp;focal=none" TargetMode="External"/><Relationship Id="rId13" Type="http://schemas.openxmlformats.org/officeDocument/2006/relationships/hyperlink" Target="https://www.donateblood.com.au/sites/default/files/J20515_2019_20_RDAnnualReport-Public_5.0.pdf" TargetMode="External"/><Relationship Id="rId18" Type="http://schemas.openxmlformats.org/officeDocument/2006/relationships/hyperlink" Target="https://www.alfredhealth.org.au/research/research-areas/clinical-haematology-research" TargetMode="External"/><Relationship Id="rId26" Type="http://schemas.openxmlformats.org/officeDocument/2006/relationships/hyperlink" Target="https://www.health.gov.au/about-us/the-australian-health-system" TargetMode="External"/><Relationship Id="rId3" Type="http://schemas.openxmlformats.org/officeDocument/2006/relationships/hyperlink" Target="https://www.abs.gov.au/statistics/industry/technology-and-innovation/research-and-experimental-development-higher-education-organisations-australia/latest-release" TargetMode="External"/><Relationship Id="rId21" Type="http://schemas.openxmlformats.org/officeDocument/2006/relationships/hyperlink" Target="https://allenandclarke.sharepoint.com/australia/Work%20Restored/CTH_NBA%20Review%20of%20strategic%20priorities/04%20Deliverables/Reports/donateblood.com.au/research/our-research-program" TargetMode="External"/><Relationship Id="rId7" Type="http://schemas.openxmlformats.org/officeDocument/2006/relationships/hyperlink" Target="https://anzsbt.org.au/education-research/research/" TargetMode="External"/><Relationship Id="rId12" Type="http://schemas.openxmlformats.org/officeDocument/2006/relationships/hyperlink" Target="https://www.sanofi.com.au/en/healthcare-solutions/rare-blood-disorders" TargetMode="External"/><Relationship Id="rId17" Type="http://schemas.openxmlformats.org/officeDocument/2006/relationships/hyperlink" Target="https://www.ahcdo.org.au" TargetMode="External"/><Relationship Id="rId25" Type="http://schemas.openxmlformats.org/officeDocument/2006/relationships/hyperlink" Target="https://www2.health.vic.gov.au/hospitals-and-health-services/patient-care/speciality-diagnostics-therapeutics/blood-matters/serious-transfusion-incidents" TargetMode="External"/><Relationship Id="rId2" Type="http://schemas.openxmlformats.org/officeDocument/2006/relationships/hyperlink" Target="https://www2.health.vic.gov.au/about/clinical-trials-and-research/victorian-medical-research-acceleration-fund" TargetMode="External"/><Relationship Id="rId16" Type="http://schemas.openxmlformats.org/officeDocument/2006/relationships/hyperlink" Target="https://www.donateblood.com.au/sites/default/files/J20515_2019_20_RDAnnualReport-Public_5.0.pdf" TargetMode="External"/><Relationship Id="rId20" Type="http://schemas.openxmlformats.org/officeDocument/2006/relationships/hyperlink" Target="https://nhsbtdbe.blob.core.windows.net/umbraco-assets-corp/1435/strategic_plan_june_2015.pdf" TargetMode="External"/><Relationship Id="rId29" Type="http://schemas.openxmlformats.org/officeDocument/2006/relationships/hyperlink" Target="https://www.finance.gov.au/government/managing-commonwealth-resources/planning-and-reporting/commonwealth-performance-framework" TargetMode="External"/><Relationship Id="rId1" Type="http://schemas.openxmlformats.org/officeDocument/2006/relationships/hyperlink" Target="https://www.abs.gov.au/statistics/industry/technology-and-innovation/research-and-experimental-development-higher-education-organisations-australia/latest-release" TargetMode="External"/><Relationship Id="rId6" Type="http://schemas.openxmlformats.org/officeDocument/2006/relationships/hyperlink" Target="https://www.abs.gov.au/statistics/industry/technology-and-innovation/research-and-experimental-development-businesses-australia/latest-release" TargetMode="External"/><Relationship Id="rId11" Type="http://schemas.openxmlformats.org/officeDocument/2006/relationships/hyperlink" Target="https://www.cslbehring.com.au/research-and-development/research-and-development-capabilities" TargetMode="External"/><Relationship Id="rId24" Type="http://schemas.openxmlformats.org/officeDocument/2006/relationships/hyperlink" Target="https://www.blood.gov.au/haemovigilance-reporting" TargetMode="External"/><Relationship Id="rId5" Type="http://schemas.openxmlformats.org/officeDocument/2006/relationships/hyperlink" Target="https://www.sydney.edu.au/research/research-funding/research-fellowships.html" TargetMode="External"/><Relationship Id="rId15" Type="http://schemas.openxmlformats.org/officeDocument/2006/relationships/hyperlink" Target="https://www.donateblood.com.au/sites/default/files/J20515_2019_20_RDAnnualReport-Public_5.0.pdf" TargetMode="External"/><Relationship Id="rId23" Type="http://schemas.openxmlformats.org/officeDocument/2006/relationships/hyperlink" Target="https://www.donateblood.com.au/research/product-safety" TargetMode="External"/><Relationship Id="rId28" Type="http://schemas.openxmlformats.org/officeDocument/2006/relationships/hyperlink" Target="https://www.blood.gov.au/document/national-blood-sector-education-and-training-strategy-2013-2016-docx" TargetMode="External"/><Relationship Id="rId10" Type="http://schemas.openxmlformats.org/officeDocument/2006/relationships/hyperlink" Target="https://bloodsynergy.org/research/" TargetMode="External"/><Relationship Id="rId19" Type="http://schemas.openxmlformats.org/officeDocument/2006/relationships/hyperlink" Target="https://www.blood.ca/sites/default/files/CBS_Strat_Plan_2019_ENGLISH_April_5_2019.pdf" TargetMode="External"/><Relationship Id="rId4" Type="http://schemas.openxmlformats.org/officeDocument/2006/relationships/hyperlink" Target="https://www.thermh.org.au/research/researchers/grants/rfp/outcome" TargetMode="External"/><Relationship Id="rId9" Type="http://schemas.openxmlformats.org/officeDocument/2006/relationships/hyperlink" Target="https://researchaustralia.org/category/hmr-facts/" TargetMode="External"/><Relationship Id="rId14" Type="http://schemas.openxmlformats.org/officeDocument/2006/relationships/hyperlink" Target="https://www.blood.gov.au/document/nba-annual-report-2019-20" TargetMode="External"/><Relationship Id="rId22" Type="http://schemas.openxmlformats.org/officeDocument/2006/relationships/hyperlink" Target="https://earth.stanford.edu/news/how-does-climate-change-affect-disease%23gs.40i05j" TargetMode="External"/><Relationship Id="rId27" Type="http://schemas.openxmlformats.org/officeDocument/2006/relationships/hyperlink" Target="https://www.blood.gov.au/system/files/What%20is%20bloodstar4_Jul2018.pdf" TargetMode="External"/><Relationship Id="rId30" Type="http://schemas.openxmlformats.org/officeDocument/2006/relationships/hyperlink" Target="https://www.finance.gov.au/government/managing-commonwealth-resources/developing-good-performance-information-rmg-13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cdowell\Downloads\A+C%20REPORT%20Template%20(8).dotx" TargetMode="External"/></Relationships>
</file>

<file path=word/theme/theme1.xml><?xml version="1.0" encoding="utf-8"?>
<a:theme xmlns:a="http://schemas.openxmlformats.org/drawingml/2006/main" name="A+C Theme 12 August 15">
  <a:themeElements>
    <a:clrScheme name="A+C Green and Grey">
      <a:dk1>
        <a:sysClr val="windowText" lastClr="000000"/>
      </a:dk1>
      <a:lt1>
        <a:sysClr val="window" lastClr="FFFFFF"/>
      </a:lt1>
      <a:dk2>
        <a:srgbClr val="36424A"/>
      </a:dk2>
      <a:lt2>
        <a:srgbClr val="77B800"/>
      </a:lt2>
      <a:accent1>
        <a:srgbClr val="36424A"/>
      </a:accent1>
      <a:accent2>
        <a:srgbClr val="77B800"/>
      </a:accent2>
      <a:accent3>
        <a:srgbClr val="36424A"/>
      </a:accent3>
      <a:accent4>
        <a:srgbClr val="77B800"/>
      </a:accent4>
      <a:accent5>
        <a:srgbClr val="36424A"/>
      </a:accent5>
      <a:accent6>
        <a:srgbClr val="77B800"/>
      </a:accent6>
      <a:hlink>
        <a:srgbClr val="0000FF"/>
      </a:hlink>
      <a:folHlink>
        <a:srgbClr val="800080"/>
      </a:folHlink>
    </a:clrScheme>
    <a:fontScheme name="A+C Fonts">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9809AD955D5546BD159910ADB46DDA" ma:contentTypeVersion="13" ma:contentTypeDescription="Create a new document." ma:contentTypeScope="" ma:versionID="2e072c620ebadcfa53f50a5c4cbf6491">
  <xsd:schema xmlns:xsd="http://www.w3.org/2001/XMLSchema" xmlns:xs="http://www.w3.org/2001/XMLSchema" xmlns:p="http://schemas.microsoft.com/office/2006/metadata/properties" xmlns:ns2="0c1abe7e-2f16-4b85-a276-bdb7f94acced" xmlns:ns3="f24a5cda-31b5-465e-a0e9-d446c5f13893" targetNamespace="http://schemas.microsoft.com/office/2006/metadata/properties" ma:root="true" ma:fieldsID="781986a91cfd7fae7fd12613ee8419aa" ns2:_="" ns3:_="">
    <xsd:import namespace="0c1abe7e-2f16-4b85-a276-bdb7f94acced"/>
    <xsd:import namespace="f24a5cda-31b5-465e-a0e9-d446c5f138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abe7e-2f16-4b85-a276-bdb7f94acc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2C743-9C0B-43FF-A71C-77961E5C077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246C73C-4F67-403B-922C-75D42A221F05}">
  <ds:schemaRefs>
    <ds:schemaRef ds:uri="http://schemas.microsoft.com/sharepoint/v3/contenttype/forms"/>
  </ds:schemaRefs>
</ds:datastoreItem>
</file>

<file path=customXml/itemProps3.xml><?xml version="1.0" encoding="utf-8"?>
<ds:datastoreItem xmlns:ds="http://schemas.openxmlformats.org/officeDocument/2006/customXml" ds:itemID="{02D035DF-8A2F-46CC-8BF0-E43A8BE90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abe7e-2f16-4b85-a276-bdb7f94acced"/>
    <ds:schemaRef ds:uri="f24a5cda-31b5-465e-a0e9-d446c5f138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5E37AA-174F-4498-9306-3F999CE3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 REPORT Template (8)</Template>
  <TotalTime>1</TotalTime>
  <Pages>11</Pages>
  <Words>13473</Words>
  <Characters>76797</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Allen and Clarke</Company>
  <LinksUpToDate>false</LinksUpToDate>
  <CharactersWithSpaces>90090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McDowell</dc:creator>
  <cp:keywords/>
  <cp:lastModifiedBy>O'Connor, Louise</cp:lastModifiedBy>
  <cp:revision>2</cp:revision>
  <cp:lastPrinted>2022-03-22T23:28:00Z</cp:lastPrinted>
  <dcterms:created xsi:type="dcterms:W3CDTF">2022-06-08T04:40:00Z</dcterms:created>
  <dcterms:modified xsi:type="dcterms:W3CDTF">2022-06-08T04:40:00Z</dcterms:modified>
  <cp:version>5 July 2017</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0x0101001A9809AD955D5546BD159910ADB46DDA</vt:lpwstr>
  </property>
  <property fmtid="{D5CDD505-2E9C-101B-9397-08002B2CF9AE}" pid="3" name="TitusGUID">
    <vt:lpwstr>2e6eb3db-f656-4354-93d2-00340239ba1d</vt:lpwstr>
  </property>
  <property fmtid="{D5CDD505-2E9C-101B-9397-08002B2CF9AE}" pid="4" name="ClassificationContentMarkingHeaderShapeIds">
    <vt:lpwstr>17,26,28,29,2a,2b</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MSIP_Label_11d3a1ea-a727-4720-a216-7dae13a61c56_Enabled">
    <vt:lpwstr>true</vt:lpwstr>
  </property>
  <property fmtid="{D5CDD505-2E9C-101B-9397-08002B2CF9AE}" pid="8" name="MSIP_Label_11d3a1ea-a727-4720-a216-7dae13a61c56_SetDate">
    <vt:lpwstr>2022-06-08T00:17:54Z</vt:lpwstr>
  </property>
  <property fmtid="{D5CDD505-2E9C-101B-9397-08002B2CF9AE}" pid="9" name="MSIP_Label_11d3a1ea-a727-4720-a216-7dae13a61c56_Method">
    <vt:lpwstr>Privileged</vt:lpwstr>
  </property>
  <property fmtid="{D5CDD505-2E9C-101B-9397-08002B2CF9AE}" pid="10" name="MSIP_Label_11d3a1ea-a727-4720-a216-7dae13a61c56_Name">
    <vt:lpwstr>OFFICIAL</vt:lpwstr>
  </property>
  <property fmtid="{D5CDD505-2E9C-101B-9397-08002B2CF9AE}" pid="11" name="MSIP_Label_11d3a1ea-a727-4720-a216-7dae13a61c56_SiteId">
    <vt:lpwstr>9c233057-0738-4b40-91b2-3798ceb38ebf</vt:lpwstr>
  </property>
  <property fmtid="{D5CDD505-2E9C-101B-9397-08002B2CF9AE}" pid="12" name="MSIP_Label_11d3a1ea-a727-4720-a216-7dae13a61c56_ActionId">
    <vt:lpwstr>16d33df8-17f4-48b6-b4cb-54bdfafd97b2</vt:lpwstr>
  </property>
  <property fmtid="{D5CDD505-2E9C-101B-9397-08002B2CF9AE}" pid="13" name="MSIP_Label_11d3a1ea-a727-4720-a216-7dae13a61c56_ContentBits">
    <vt:lpwstr>1</vt:lpwstr>
  </property>
</Properties>
</file>