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3000" w14:textId="4E1BF6EE" w:rsidR="00142228" w:rsidRPr="00142228" w:rsidRDefault="00142228" w:rsidP="00AB22B1">
      <w:pPr>
        <w:spacing w:before="0" w:after="160" w:line="264" w:lineRule="auto"/>
        <w:contextualSpacing/>
        <w:jc w:val="both"/>
        <w:rPr>
          <w:rFonts w:cstheme="minorBidi"/>
          <w:b/>
          <w:bCs/>
          <w:sz w:val="48"/>
          <w:szCs w:val="48"/>
        </w:rPr>
      </w:pPr>
      <w:r w:rsidRPr="00142228">
        <w:rPr>
          <w:rFonts w:cstheme="minorBidi"/>
          <w:b/>
          <w:bCs/>
          <w:sz w:val="48"/>
          <w:szCs w:val="48"/>
        </w:rPr>
        <w:t>Monitoring International Trends</w:t>
      </w:r>
    </w:p>
    <w:p w14:paraId="34EF3443" w14:textId="5C6509AF" w:rsidR="00142228" w:rsidRPr="00142228" w:rsidRDefault="00A15FDF" w:rsidP="1861BF96">
      <w:pPr>
        <w:spacing w:before="0" w:after="160" w:line="264" w:lineRule="auto"/>
        <w:contextualSpacing/>
        <w:jc w:val="both"/>
        <w:rPr>
          <w:rFonts w:cstheme="minorBidi"/>
          <w:b/>
          <w:bCs/>
          <w:sz w:val="32"/>
          <w:szCs w:val="32"/>
        </w:rPr>
      </w:pPr>
      <w:r>
        <w:rPr>
          <w:rFonts w:cstheme="minorBidi"/>
          <w:b/>
          <w:bCs/>
          <w:sz w:val="32"/>
          <w:szCs w:val="32"/>
        </w:rPr>
        <w:t>October</w:t>
      </w:r>
      <w:r w:rsidR="2C943EF2" w:rsidRPr="1861BF96">
        <w:rPr>
          <w:rFonts w:cstheme="minorBidi"/>
          <w:b/>
          <w:bCs/>
          <w:sz w:val="32"/>
          <w:szCs w:val="32"/>
        </w:rPr>
        <w:t xml:space="preserve"> – </w:t>
      </w:r>
      <w:r>
        <w:rPr>
          <w:rFonts w:cstheme="minorBidi"/>
          <w:b/>
          <w:bCs/>
          <w:sz w:val="32"/>
          <w:szCs w:val="32"/>
        </w:rPr>
        <w:t>Dec</w:t>
      </w:r>
      <w:r w:rsidR="2C943EF2" w:rsidRPr="1861BF96">
        <w:rPr>
          <w:rFonts w:cstheme="minorBidi"/>
          <w:b/>
          <w:bCs/>
          <w:sz w:val="32"/>
          <w:szCs w:val="32"/>
        </w:rPr>
        <w:t>ember 2022</w:t>
      </w:r>
    </w:p>
    <w:p w14:paraId="57B4B406" w14:textId="77777777" w:rsidR="00142228" w:rsidRPr="00142228" w:rsidRDefault="00142228" w:rsidP="00142228">
      <w:pPr>
        <w:spacing w:before="0" w:after="160" w:line="264" w:lineRule="auto"/>
        <w:contextualSpacing/>
        <w:jc w:val="both"/>
        <w:rPr>
          <w:rFonts w:cstheme="minorBidi"/>
        </w:rPr>
      </w:pPr>
      <w:r w:rsidRPr="00142228">
        <w:rPr>
          <w:rFonts w:cstheme="minorBidi"/>
        </w:rPr>
        <w:t xml:space="preserve">The NBA monitors international developments that may influence the management of blood and blood products in Australia including but not limited to: </w:t>
      </w:r>
    </w:p>
    <w:p w14:paraId="4A6B212C" w14:textId="6DC34A2B" w:rsidR="00142228" w:rsidRPr="00142228" w:rsidRDefault="007C1BC0" w:rsidP="009807FF">
      <w:pPr>
        <w:numPr>
          <w:ilvl w:val="0"/>
          <w:numId w:val="3"/>
        </w:numPr>
        <w:spacing w:before="0" w:after="160" w:line="264" w:lineRule="auto"/>
        <w:contextualSpacing/>
        <w:jc w:val="both"/>
        <w:rPr>
          <w:rFonts w:cstheme="minorBidi"/>
        </w:rPr>
      </w:pPr>
      <w:r>
        <w:rPr>
          <w:rFonts w:cstheme="minorBidi"/>
        </w:rPr>
        <w:t>p</w:t>
      </w:r>
      <w:r w:rsidR="00142228" w:rsidRPr="00142228">
        <w:rPr>
          <w:rFonts w:cstheme="minorBidi"/>
        </w:rPr>
        <w:t>otential new product developments and applications</w:t>
      </w:r>
    </w:p>
    <w:p w14:paraId="0AE46A68" w14:textId="780141EA" w:rsidR="00142228" w:rsidRPr="00142228" w:rsidRDefault="007C1BC0" w:rsidP="009807FF">
      <w:pPr>
        <w:numPr>
          <w:ilvl w:val="0"/>
          <w:numId w:val="3"/>
        </w:numPr>
        <w:spacing w:before="0" w:after="160" w:line="264" w:lineRule="auto"/>
        <w:contextualSpacing/>
        <w:jc w:val="both"/>
        <w:rPr>
          <w:rFonts w:cstheme="minorBidi"/>
        </w:rPr>
      </w:pPr>
      <w:r>
        <w:rPr>
          <w:rFonts w:cstheme="minorBidi"/>
        </w:rPr>
        <w:t>g</w:t>
      </w:r>
      <w:r w:rsidR="00142228" w:rsidRPr="00142228">
        <w:rPr>
          <w:rFonts w:cstheme="minorBidi"/>
        </w:rPr>
        <w:t>lobal regulatory and blood practice trends</w:t>
      </w:r>
    </w:p>
    <w:p w14:paraId="77D2CDF4" w14:textId="634A963B" w:rsidR="00142228" w:rsidRPr="00142228" w:rsidRDefault="007C1BC0" w:rsidP="009807FF">
      <w:pPr>
        <w:numPr>
          <w:ilvl w:val="0"/>
          <w:numId w:val="3"/>
        </w:numPr>
        <w:spacing w:before="0" w:after="160" w:line="264" w:lineRule="auto"/>
        <w:contextualSpacing/>
        <w:jc w:val="both"/>
        <w:rPr>
          <w:rFonts w:cstheme="minorBidi"/>
        </w:rPr>
      </w:pPr>
      <w:r>
        <w:rPr>
          <w:rFonts w:cstheme="minorBidi"/>
        </w:rPr>
        <w:t>e</w:t>
      </w:r>
      <w:r w:rsidR="00142228" w:rsidRPr="00142228">
        <w:rPr>
          <w:rFonts w:cstheme="minorBidi"/>
        </w:rPr>
        <w:t xml:space="preserve">vents that may have an impact on global supply, </w:t>
      </w:r>
      <w:proofErr w:type="gramStart"/>
      <w:r w:rsidR="00142228" w:rsidRPr="00142228">
        <w:rPr>
          <w:rFonts w:cstheme="minorBidi"/>
        </w:rPr>
        <w:t>demand</w:t>
      </w:r>
      <w:proofErr w:type="gramEnd"/>
      <w:r w:rsidR="00142228" w:rsidRPr="00142228">
        <w:rPr>
          <w:rFonts w:cstheme="minorBidi"/>
        </w:rPr>
        <w:t xml:space="preserve"> and pricing</w:t>
      </w:r>
    </w:p>
    <w:p w14:paraId="6D33EFFE" w14:textId="3F7248C0" w:rsidR="00142228" w:rsidRPr="00142228" w:rsidRDefault="007C1BC0" w:rsidP="009807FF">
      <w:pPr>
        <w:numPr>
          <w:ilvl w:val="0"/>
          <w:numId w:val="3"/>
        </w:numPr>
        <w:spacing w:before="0" w:after="120" w:line="264" w:lineRule="auto"/>
        <w:ind w:left="714" w:hanging="357"/>
        <w:jc w:val="both"/>
        <w:rPr>
          <w:rFonts w:cstheme="minorBidi"/>
        </w:rPr>
      </w:pPr>
      <w:r>
        <w:rPr>
          <w:rFonts w:cstheme="minorBidi"/>
        </w:rPr>
        <w:t>e</w:t>
      </w:r>
      <w:r w:rsidR="00142228" w:rsidRPr="00142228">
        <w:rPr>
          <w:rFonts w:cstheme="minorBidi"/>
        </w:rPr>
        <w:t xml:space="preserve">merging risks and relevant issues. </w:t>
      </w:r>
    </w:p>
    <w:p w14:paraId="723DCB01" w14:textId="4B744309" w:rsidR="00142228" w:rsidRPr="00142228" w:rsidRDefault="00CC4377" w:rsidP="00C71C71">
      <w:pPr>
        <w:spacing w:before="120" w:after="120"/>
        <w:jc w:val="both"/>
      </w:pPr>
      <w:r>
        <w:t xml:space="preserve">The following </w:t>
      </w:r>
      <w:r w:rsidR="00142228" w:rsidRPr="00142228">
        <w:t xml:space="preserve">key topics have appeared in news media, online </w:t>
      </w:r>
      <w:r w:rsidR="00AE19ED" w:rsidRPr="00142228">
        <w:t xml:space="preserve">publications, </w:t>
      </w:r>
      <w:r w:rsidR="00823DF2" w:rsidRPr="00142228">
        <w:t>industry,</w:t>
      </w:r>
      <w:r w:rsidR="00142228" w:rsidRPr="00142228">
        <w:t xml:space="preserve"> and research updates </w:t>
      </w:r>
      <w:r w:rsidR="006F5093">
        <w:t>and</w:t>
      </w:r>
      <w:r w:rsidR="0037089F">
        <w:t xml:space="preserve"> have</w:t>
      </w:r>
      <w:r w:rsidR="00142228" w:rsidRPr="00142228">
        <w:t xml:space="preserve"> been included in this report</w:t>
      </w:r>
      <w:r w:rsidR="00B207B2">
        <w:t>:</w:t>
      </w:r>
      <w:r w:rsidR="00142228" w:rsidRPr="00142228">
        <w:t xml:space="preserve"> </w:t>
      </w:r>
    </w:p>
    <w:p w14:paraId="4776A577" w14:textId="21EC3B2D" w:rsidR="00BC2662" w:rsidRPr="007920F2" w:rsidRDefault="00142228" w:rsidP="007920F2">
      <w:pPr>
        <w:spacing w:beforeLines="50" w:before="120" w:afterLines="50" w:after="120"/>
        <w:jc w:val="both"/>
      </w:pPr>
      <w:r w:rsidRPr="00142228">
        <w:rPr>
          <w:b/>
          <w:bCs/>
          <w:u w:val="single"/>
        </w:rPr>
        <w:t xml:space="preserve">Blood </w:t>
      </w:r>
      <w:r w:rsidR="00E951AD">
        <w:rPr>
          <w:b/>
          <w:bCs/>
          <w:u w:val="single"/>
        </w:rPr>
        <w:t>s</w:t>
      </w:r>
      <w:r w:rsidRPr="00142228">
        <w:rPr>
          <w:b/>
          <w:bCs/>
          <w:u w:val="single"/>
        </w:rPr>
        <w:t>upply</w:t>
      </w:r>
      <w:r w:rsidRPr="00956F60">
        <w:rPr>
          <w:b/>
          <w:bCs/>
        </w:rPr>
        <w:t>:</w:t>
      </w:r>
      <w:r w:rsidR="000934FE" w:rsidRPr="00956F60">
        <w:rPr>
          <w:b/>
          <w:bCs/>
        </w:rPr>
        <w:t xml:space="preserve"> </w:t>
      </w:r>
      <w:r w:rsidR="00BC2662" w:rsidRPr="007920F2">
        <w:t xml:space="preserve">During the COVID-19 pandemic, Australian donors aged 70 and over were advised to temporarily stop donating. </w:t>
      </w:r>
      <w:r w:rsidR="00242A75">
        <w:t>R</w:t>
      </w:r>
      <w:r w:rsidR="00BC2662" w:rsidRPr="007920F2">
        <w:t xml:space="preserve">esearch looked at the number of donors that heeded the advice and the reasons some donors continued to donate. Researchers also suggest that stay at home advice should be accompanied by strategies to encourage donors to return once </w:t>
      </w:r>
      <w:r w:rsidR="007920F2">
        <w:t xml:space="preserve">the health </w:t>
      </w:r>
      <w:r w:rsidR="00BC2662" w:rsidRPr="007920F2">
        <w:t>advice changed.</w:t>
      </w:r>
    </w:p>
    <w:p w14:paraId="13BBCBE6" w14:textId="5D2AAE6C" w:rsidR="00FF18FB" w:rsidRPr="00FF18FB" w:rsidRDefault="00142228" w:rsidP="00FF18FB">
      <w:r w:rsidRPr="00142228">
        <w:rPr>
          <w:b/>
          <w:bCs/>
          <w:u w:val="single"/>
        </w:rPr>
        <w:t xml:space="preserve">Blood </w:t>
      </w:r>
      <w:r w:rsidR="00E951AD">
        <w:rPr>
          <w:b/>
          <w:bCs/>
          <w:u w:val="single"/>
        </w:rPr>
        <w:t>d</w:t>
      </w:r>
      <w:r w:rsidRPr="00142228">
        <w:rPr>
          <w:b/>
          <w:bCs/>
          <w:u w:val="single"/>
        </w:rPr>
        <w:t>isorders:</w:t>
      </w:r>
      <w:r w:rsidR="00D14D4D" w:rsidRPr="00233492">
        <w:t xml:space="preserve"> </w:t>
      </w:r>
      <w:r w:rsidR="00FF18FB" w:rsidRPr="00FF18FB">
        <w:t xml:space="preserve"> A team of doctors and scientists at Great Ormond Street Hospital in London used base editing technology to engineer a new type of T-cell capable of hunting down and killing the cancerous cells in a </w:t>
      </w:r>
      <w:r w:rsidR="00BA229B" w:rsidRPr="00FF18FB">
        <w:t>13-year-old</w:t>
      </w:r>
      <w:r w:rsidR="00FF18FB" w:rsidRPr="00FF18FB">
        <w:t xml:space="preserve"> girl. Scientists were able to zoom to a precise part of the genetic code and then alter the molecular structure to change its genetic instructions.  The technology was successful after chemotherapy and a bone marrow transplant failed. The girls T-cell acute lymphoblastic leukemia is now in remission.</w:t>
      </w:r>
    </w:p>
    <w:p w14:paraId="741C9431" w14:textId="42F53BCF" w:rsidR="00473A26" w:rsidRPr="00D6520C" w:rsidRDefault="00142228" w:rsidP="00192912">
      <w:pPr>
        <w:spacing w:beforeLines="50" w:before="120" w:afterLines="50" w:after="120"/>
        <w:jc w:val="both"/>
      </w:pPr>
      <w:r w:rsidRPr="00233492">
        <w:rPr>
          <w:b/>
          <w:bCs/>
          <w:u w:val="single"/>
        </w:rPr>
        <w:t>Transfusion:</w:t>
      </w:r>
      <w:r w:rsidR="00AD16AA" w:rsidRPr="00956F60">
        <w:rPr>
          <w:b/>
          <w:bCs/>
        </w:rPr>
        <w:t xml:space="preserve"> </w:t>
      </w:r>
      <w:r w:rsidR="00473A26">
        <w:t>Researchers</w:t>
      </w:r>
      <w:r w:rsidR="00473A26" w:rsidRPr="77D9C368">
        <w:t xml:space="preserve"> survey</w:t>
      </w:r>
      <w:r w:rsidR="00473A26">
        <w:t>ed</w:t>
      </w:r>
      <w:r w:rsidR="00473A26" w:rsidRPr="77D9C368">
        <w:t xml:space="preserve"> liver transplant centr</w:t>
      </w:r>
      <w:r w:rsidR="00473A26">
        <w:t>e</w:t>
      </w:r>
      <w:r w:rsidR="00473A26" w:rsidRPr="77D9C368">
        <w:t xml:space="preserve">s in the </w:t>
      </w:r>
      <w:r w:rsidR="00473A26">
        <w:t>US</w:t>
      </w:r>
      <w:r w:rsidR="00473A26" w:rsidRPr="77D9C368">
        <w:t xml:space="preserve"> to assess blood utili</w:t>
      </w:r>
      <w:r w:rsidR="00473A26">
        <w:t>s</w:t>
      </w:r>
      <w:r w:rsidR="00473A26" w:rsidRPr="77D9C368">
        <w:t>ation and identify opportunities for standardi</w:t>
      </w:r>
      <w:r w:rsidR="00473A26">
        <w:t>s</w:t>
      </w:r>
      <w:r w:rsidR="00473A26" w:rsidRPr="77D9C368">
        <w:t>ation to optimi</w:t>
      </w:r>
      <w:r w:rsidR="00473A26">
        <w:t>s</w:t>
      </w:r>
      <w:r w:rsidR="00473A26" w:rsidRPr="77D9C368">
        <w:t>e blood use</w:t>
      </w:r>
      <w:r w:rsidR="00473A26">
        <w:t>. Using responses from two surveys, researchers found that m</w:t>
      </w:r>
      <w:r w:rsidR="00473A26" w:rsidRPr="009E6325">
        <w:t xml:space="preserve">ore blood products </w:t>
      </w:r>
      <w:r w:rsidR="00473A26">
        <w:t xml:space="preserve">were </w:t>
      </w:r>
      <w:r w:rsidR="00473A26" w:rsidRPr="009E6325">
        <w:t xml:space="preserve">issued during surgery than </w:t>
      </w:r>
      <w:r w:rsidR="00473A26">
        <w:t xml:space="preserve">were </w:t>
      </w:r>
      <w:r w:rsidR="00473A26" w:rsidRPr="009E6325">
        <w:t>transfused</w:t>
      </w:r>
      <w:r w:rsidR="00473A26">
        <w:t>. They suggested future studies</w:t>
      </w:r>
      <w:r w:rsidR="00473A26" w:rsidRPr="00794A0A">
        <w:t xml:space="preserve"> focus</w:t>
      </w:r>
      <w:r w:rsidR="00473A26" w:rsidRPr="009E6325">
        <w:t xml:space="preserve"> on </w:t>
      </w:r>
      <w:r w:rsidR="00473A26" w:rsidRPr="00794A0A">
        <w:t xml:space="preserve">how to better predict </w:t>
      </w:r>
      <w:r w:rsidR="00473A26">
        <w:t xml:space="preserve">patient </w:t>
      </w:r>
      <w:r w:rsidR="00473A26" w:rsidRPr="00794A0A">
        <w:t>blood needs to improve efficiency.</w:t>
      </w:r>
      <w:r w:rsidR="00473A26">
        <w:rPr>
          <w:rFonts w:ascii="Open Sans" w:hAnsi="Open Sans" w:cs="Open Sans"/>
          <w:color w:val="1C1D1E"/>
          <w:shd w:val="clear" w:color="auto" w:fill="FFFFFF"/>
        </w:rPr>
        <w:t> </w:t>
      </w:r>
    </w:p>
    <w:p w14:paraId="2BD7B018" w14:textId="582CC50C" w:rsidR="00AD16AA" w:rsidRPr="007C7BA1" w:rsidRDefault="0025742B" w:rsidP="00CE217D">
      <w:pPr>
        <w:spacing w:beforeLines="50" w:before="120" w:afterLines="50" w:after="120"/>
        <w:jc w:val="both"/>
      </w:pPr>
      <w:r w:rsidRPr="0025742B">
        <w:rPr>
          <w:b/>
          <w:bCs/>
          <w:u w:val="single"/>
        </w:rPr>
        <w:t>Product Management</w:t>
      </w:r>
      <w:r w:rsidRPr="00956F60">
        <w:rPr>
          <w:b/>
          <w:bCs/>
        </w:rPr>
        <w:t>:</w:t>
      </w:r>
      <w:r w:rsidR="00AD16AA" w:rsidRPr="00956F60">
        <w:rPr>
          <w:b/>
          <w:bCs/>
        </w:rPr>
        <w:t xml:space="preserve"> </w:t>
      </w:r>
      <w:proofErr w:type="spellStart"/>
      <w:r w:rsidR="00AD16AA" w:rsidRPr="007920F2">
        <w:t>Octopharma</w:t>
      </w:r>
      <w:proofErr w:type="spellEnd"/>
      <w:r w:rsidR="00AD16AA" w:rsidRPr="007920F2">
        <w:t xml:space="preserve"> have released a new freeze-dried form of its plasma product </w:t>
      </w:r>
      <w:proofErr w:type="spellStart"/>
      <w:r w:rsidR="00AD16AA" w:rsidRPr="007920F2">
        <w:t>OctaplasLG</w:t>
      </w:r>
      <w:proofErr w:type="spellEnd"/>
      <w:r w:rsidR="00AD16AA" w:rsidRPr="007920F2">
        <w:t xml:space="preserve">. </w:t>
      </w:r>
      <w:proofErr w:type="spellStart"/>
      <w:r w:rsidR="00AD16AA" w:rsidRPr="007920F2">
        <w:t>OctaplasLG</w:t>
      </w:r>
      <w:proofErr w:type="spellEnd"/>
      <w:r w:rsidR="00AD16AA" w:rsidRPr="007920F2">
        <w:t xml:space="preserve"> and the new product </w:t>
      </w:r>
      <w:proofErr w:type="spellStart"/>
      <w:r w:rsidR="00AD16AA" w:rsidRPr="007920F2">
        <w:t>OctaplasLG</w:t>
      </w:r>
      <w:proofErr w:type="spellEnd"/>
      <w:r w:rsidR="00AD16AA" w:rsidRPr="007920F2">
        <w:t xml:space="preserve"> </w:t>
      </w:r>
      <w:proofErr w:type="spellStart"/>
      <w:r w:rsidR="00AD16AA" w:rsidRPr="007920F2">
        <w:t>Lyo</w:t>
      </w:r>
      <w:proofErr w:type="spellEnd"/>
      <w:r w:rsidR="00AD16AA" w:rsidRPr="007920F2">
        <w:t xml:space="preserve"> are used for treating complex coagulation factor deficiencies. </w:t>
      </w:r>
      <w:proofErr w:type="spellStart"/>
      <w:r w:rsidR="00AD16AA" w:rsidRPr="007920F2">
        <w:t>Octopharma</w:t>
      </w:r>
      <w:proofErr w:type="spellEnd"/>
      <w:r w:rsidR="00AD16AA" w:rsidRPr="007920F2">
        <w:t xml:space="preserve"> have stated that the new product offers quicker reconstitution, enabling more flexible storage conditions and utilisation.</w:t>
      </w:r>
    </w:p>
    <w:p w14:paraId="7A2F9AD5" w14:textId="38B60C26" w:rsidR="00AD16AA" w:rsidRDefault="009D1605" w:rsidP="00192912">
      <w:pPr>
        <w:spacing w:beforeLines="50" w:before="120" w:afterLines="50" w:after="120"/>
        <w:jc w:val="both"/>
      </w:pPr>
      <w:r w:rsidRPr="00233492">
        <w:rPr>
          <w:b/>
          <w:bCs/>
          <w:u w:val="single"/>
        </w:rPr>
        <w:t>Immunoglobulin:</w:t>
      </w:r>
      <w:r w:rsidR="00330EDE" w:rsidRPr="00233492">
        <w:t xml:space="preserve"> </w:t>
      </w:r>
      <w:r w:rsidR="00AD16AA">
        <w:t xml:space="preserve">Researchers </w:t>
      </w:r>
      <w:r w:rsidR="00AD16AA" w:rsidRPr="0001022D">
        <w:t>conducted a retrospective study</w:t>
      </w:r>
      <w:r w:rsidR="00AD16AA">
        <w:t xml:space="preserve"> of</w:t>
      </w:r>
      <w:r w:rsidR="00AD16AA" w:rsidRPr="0001022D">
        <w:t xml:space="preserve"> adult patients with sepsis </w:t>
      </w:r>
      <w:r w:rsidR="00AD16AA">
        <w:t>or</w:t>
      </w:r>
      <w:r w:rsidR="00AD16AA" w:rsidRPr="0001022D">
        <w:t xml:space="preserve"> autoimmune diseases who received</w:t>
      </w:r>
      <w:r w:rsidR="00AD16AA">
        <w:t xml:space="preserve"> intravenous immunoglobulin</w:t>
      </w:r>
      <w:r w:rsidR="00AD16AA" w:rsidRPr="0001022D">
        <w:t xml:space="preserve"> </w:t>
      </w:r>
      <w:r w:rsidR="00AD16AA">
        <w:t>(</w:t>
      </w:r>
      <w:r w:rsidR="00AD16AA" w:rsidRPr="0001022D">
        <w:t>IVI</w:t>
      </w:r>
      <w:r w:rsidR="00AD16AA">
        <w:t>g)s. They found that s</w:t>
      </w:r>
      <w:r w:rsidR="00AD16AA" w:rsidRPr="00AB186F">
        <w:t>eptic patients had a shorter ICU stay, received IVI</w:t>
      </w:r>
      <w:r w:rsidR="00AD16AA">
        <w:t xml:space="preserve">g </w:t>
      </w:r>
      <w:r w:rsidR="00AD16AA" w:rsidRPr="00AB186F">
        <w:t>early, and had reduced mortality if treated with high dose IVI</w:t>
      </w:r>
      <w:r w:rsidR="00AD16AA">
        <w:t>g</w:t>
      </w:r>
      <w:r w:rsidR="00AD16AA" w:rsidRPr="00AB186F">
        <w:t>. Patients with autoimmune diseases did not have a favo</w:t>
      </w:r>
      <w:r w:rsidR="00AD16AA">
        <w:t>u</w:t>
      </w:r>
      <w:r w:rsidR="00AD16AA" w:rsidRPr="00AB186F">
        <w:t>rable outcome despite IVI</w:t>
      </w:r>
      <w:r w:rsidR="00AD16AA">
        <w:t>g</w:t>
      </w:r>
      <w:r w:rsidR="00AD16AA" w:rsidRPr="00AB186F">
        <w:t xml:space="preserve"> treatment</w:t>
      </w:r>
      <w:r w:rsidR="00AD16AA">
        <w:t>, however,</w:t>
      </w:r>
      <w:r w:rsidR="00AD16AA" w:rsidRPr="00AB186F">
        <w:t xml:space="preserve"> IVI</w:t>
      </w:r>
      <w:r w:rsidR="00AD16AA">
        <w:t>g</w:t>
      </w:r>
      <w:r w:rsidR="00AD16AA" w:rsidRPr="00AB186F">
        <w:t xml:space="preserve"> was administered later than in the sepsis group.</w:t>
      </w:r>
    </w:p>
    <w:p w14:paraId="353DB906" w14:textId="39A3DC8F" w:rsidR="00BA229B" w:rsidRDefault="00142228" w:rsidP="00576224">
      <w:pPr>
        <w:spacing w:beforeLines="50" w:before="120" w:afterLines="50" w:after="120"/>
        <w:jc w:val="both"/>
      </w:pPr>
      <w:r w:rsidRPr="00142228">
        <w:rPr>
          <w:b/>
          <w:bCs/>
          <w:u w:val="single"/>
        </w:rPr>
        <w:t xml:space="preserve">Gene </w:t>
      </w:r>
      <w:r w:rsidR="00E951AD">
        <w:rPr>
          <w:b/>
          <w:bCs/>
          <w:u w:val="single"/>
        </w:rPr>
        <w:t>t</w:t>
      </w:r>
      <w:r w:rsidRPr="00142228">
        <w:rPr>
          <w:b/>
          <w:bCs/>
          <w:u w:val="single"/>
        </w:rPr>
        <w:t>herapy</w:t>
      </w:r>
      <w:r w:rsidRPr="00142228">
        <w:t>:</w:t>
      </w:r>
      <w:r w:rsidR="00AD16AA">
        <w:t xml:space="preserve"> </w:t>
      </w:r>
      <w:r w:rsidR="00576224">
        <w:t xml:space="preserve">The US FDA has approved CSL’s gene therapy </w:t>
      </w:r>
      <w:proofErr w:type="spellStart"/>
      <w:r w:rsidR="00576224">
        <w:t>e</w:t>
      </w:r>
      <w:r w:rsidR="00576224" w:rsidRPr="00C648AC">
        <w:t>tranacogene</w:t>
      </w:r>
      <w:proofErr w:type="spellEnd"/>
      <w:r w:rsidR="00576224" w:rsidRPr="00C648AC">
        <w:t xml:space="preserve"> </w:t>
      </w:r>
      <w:proofErr w:type="spellStart"/>
      <w:r w:rsidR="00576224" w:rsidRPr="00C648AC">
        <w:t>dezaparvovec</w:t>
      </w:r>
      <w:proofErr w:type="spellEnd"/>
      <w:r w:rsidR="00576224">
        <w:t xml:space="preserve"> (</w:t>
      </w:r>
      <w:proofErr w:type="spellStart"/>
      <w:r w:rsidR="00576224">
        <w:t>Hemgenix</w:t>
      </w:r>
      <w:proofErr w:type="spellEnd"/>
      <w:r w:rsidR="00576224">
        <w:t xml:space="preserve">) for the treatment of haemophilia B. </w:t>
      </w:r>
      <w:proofErr w:type="spellStart"/>
      <w:r w:rsidR="00576224">
        <w:t>Hemgenix</w:t>
      </w:r>
      <w:proofErr w:type="spellEnd"/>
      <w:r w:rsidR="00576224">
        <w:t xml:space="preserve"> is</w:t>
      </w:r>
      <w:r w:rsidR="00576224" w:rsidRPr="00D71641">
        <w:t xml:space="preserve"> a</w:t>
      </w:r>
      <w:r w:rsidR="00576224">
        <w:t xml:space="preserve">n </w:t>
      </w:r>
      <w:r w:rsidR="00576224" w:rsidRPr="00D71641">
        <w:t xml:space="preserve">adeno-associated virus vector-based gene therapy which consists of a viral vector carrying a gene for clotting </w:t>
      </w:r>
      <w:r w:rsidR="008E75FE">
        <w:t>F</w:t>
      </w:r>
      <w:r w:rsidR="00576224" w:rsidRPr="00D71641">
        <w:t>actor IX</w:t>
      </w:r>
      <w:r w:rsidR="00576224">
        <w:t xml:space="preserve">. </w:t>
      </w:r>
    </w:p>
    <w:p w14:paraId="1D8C67E4" w14:textId="74387718" w:rsidR="00AD16AA" w:rsidRPr="00147512" w:rsidRDefault="00A75BA1" w:rsidP="00576224">
      <w:pPr>
        <w:spacing w:beforeLines="50" w:before="120" w:afterLines="50" w:after="120"/>
        <w:jc w:val="both"/>
      </w:pPr>
      <w:r w:rsidRPr="00FF18FB">
        <w:t>The Australian Haemophilia Centre Directors' Organisation (AHCDO) developed the Gene Therapy Roadmap to provide a Clinical Implementation Plan that sets out AHCDO’s position on the preferred approach to implementation of gene therapy for haemophilia in Australia</w:t>
      </w:r>
      <w:r w:rsidR="00366994">
        <w:t>.</w:t>
      </w:r>
      <w:r w:rsidRPr="00FF18FB">
        <w:t xml:space="preserve"> </w:t>
      </w:r>
      <w:r w:rsidR="00366994">
        <w:t xml:space="preserve">It </w:t>
      </w:r>
      <w:r w:rsidRPr="00FF18FB">
        <w:t>focus</w:t>
      </w:r>
      <w:r w:rsidR="00366994">
        <w:t>es</w:t>
      </w:r>
      <w:r w:rsidRPr="00FF18FB">
        <w:t xml:space="preserve"> on patient need</w:t>
      </w:r>
      <w:r w:rsidR="00366994">
        <w:t xml:space="preserve">, </w:t>
      </w:r>
      <w:r w:rsidRPr="00FF18FB">
        <w:t>informed by clinical experience.</w:t>
      </w:r>
    </w:p>
    <w:p w14:paraId="6DF25F86" w14:textId="3A96256F" w:rsidR="00AD16AA" w:rsidRDefault="00142228" w:rsidP="005457E8">
      <w:pPr>
        <w:jc w:val="both"/>
      </w:pPr>
      <w:r w:rsidRPr="00576224">
        <w:rPr>
          <w:b/>
          <w:bCs/>
          <w:u w:val="single"/>
        </w:rPr>
        <w:t>Other items of interest</w:t>
      </w:r>
      <w:r w:rsidRPr="00142228">
        <w:rPr>
          <w:rFonts w:cstheme="minorBidi"/>
          <w:b/>
          <w:bCs/>
          <w:u w:val="single"/>
        </w:rPr>
        <w:t>:</w:t>
      </w:r>
      <w:r w:rsidR="00AD16AA" w:rsidRPr="00956F60">
        <w:rPr>
          <w:rFonts w:cstheme="minorBidi"/>
          <w:b/>
          <w:bCs/>
        </w:rPr>
        <w:t xml:space="preserve"> </w:t>
      </w:r>
      <w:r w:rsidR="00576224" w:rsidRPr="002F6E96">
        <w:t>Scientists have transfused ex-vivo grown blood cells for the first time. A clinical trial in the United Kingdom is studying the lifespan of the lab grown cells compared with infusions of standard red blood cells from the same donor.</w:t>
      </w:r>
      <w:r w:rsidR="00576224" w:rsidRPr="00964D4E">
        <w:t xml:space="preserve"> </w:t>
      </w:r>
      <w:r w:rsidR="00576224" w:rsidRPr="002F6E96">
        <w:t>Two people have been transfused with the lab grown red cells and are being closely monitored with no untoward side effects reported. Grown blood cells could improve treatment for sufferers of rare blood diseases while reducing demand on blood supplies</w:t>
      </w:r>
      <w:r w:rsidR="00A4170A">
        <w:t>.</w:t>
      </w:r>
    </w:p>
    <w:sdt>
      <w:sdtPr>
        <w:rPr>
          <w:rFonts w:asciiTheme="minorHAnsi" w:eastAsiaTheme="minorHAnsi" w:hAnsiTheme="minorHAnsi" w:cstheme="minorBidi"/>
        </w:rPr>
        <w:id w:val="-1929728505"/>
        <w:docPartObj>
          <w:docPartGallery w:val="Table of Contents"/>
          <w:docPartUnique/>
        </w:docPartObj>
      </w:sdtPr>
      <w:sdtEndPr/>
      <w:sdtContent>
        <w:p w14:paraId="7ED67A9D" w14:textId="77777777" w:rsidR="00430A43" w:rsidRDefault="00430A43" w:rsidP="00430A43">
          <w:pPr>
            <w:keepNext/>
            <w:keepLines/>
            <w:spacing w:before="240" w:after="0" w:line="256" w:lineRule="auto"/>
            <w:jc w:val="both"/>
            <w:rPr>
              <w:rFonts w:eastAsiaTheme="majorEastAsia" w:cstheme="majorBidi"/>
              <w:b/>
              <w:sz w:val="32"/>
              <w:szCs w:val="32"/>
              <w:lang w:val="en-US"/>
            </w:rPr>
          </w:pPr>
          <w:r>
            <w:rPr>
              <w:rFonts w:eastAsiaTheme="majorEastAsia" w:cstheme="majorBidi"/>
              <w:b/>
              <w:sz w:val="32"/>
              <w:szCs w:val="32"/>
              <w:lang w:val="en-US"/>
            </w:rPr>
            <w:t>Contents</w:t>
          </w:r>
        </w:p>
        <w:p w14:paraId="15E621AB" w14:textId="57B3C434" w:rsidR="00FE70B7" w:rsidRDefault="00430A43">
          <w:pPr>
            <w:pStyle w:val="TOC1"/>
            <w:tabs>
              <w:tab w:val="left" w:pos="440"/>
              <w:tab w:val="right" w:leader="dot" w:pos="9016"/>
            </w:tabs>
            <w:rPr>
              <w:rFonts w:asciiTheme="minorHAnsi" w:eastAsiaTheme="minorEastAsia" w:hAnsiTheme="minorHAnsi" w:cstheme="minorBidi"/>
              <w:noProof/>
              <w:lang w:eastAsia="en-AU"/>
            </w:rPr>
          </w:pPr>
          <w:r w:rsidRPr="0084207C">
            <w:rPr>
              <w:sz w:val="20"/>
              <w:szCs w:val="20"/>
            </w:rPr>
            <w:fldChar w:fldCharType="begin"/>
          </w:r>
          <w:r w:rsidRPr="0084207C">
            <w:rPr>
              <w:sz w:val="20"/>
              <w:szCs w:val="20"/>
            </w:rPr>
            <w:instrText xml:space="preserve"> TOC \o "1-3" \h \z \u </w:instrText>
          </w:r>
          <w:r w:rsidRPr="0084207C">
            <w:rPr>
              <w:sz w:val="20"/>
              <w:szCs w:val="20"/>
            </w:rPr>
            <w:fldChar w:fldCharType="separate"/>
          </w:r>
          <w:hyperlink w:anchor="_Toc126935625" w:history="1">
            <w:r w:rsidR="00FE70B7" w:rsidRPr="00970EE7">
              <w:rPr>
                <w:rStyle w:val="Hyperlink"/>
                <w:rFonts w:eastAsiaTheme="majorEastAsia" w:cstheme="majorBidi"/>
                <w:b/>
                <w:noProof/>
              </w:rPr>
              <w:t>1</w:t>
            </w:r>
            <w:r w:rsidR="00FE70B7">
              <w:rPr>
                <w:rFonts w:asciiTheme="minorHAnsi" w:eastAsiaTheme="minorEastAsia" w:hAnsiTheme="minorHAnsi" w:cstheme="minorBidi"/>
                <w:noProof/>
                <w:lang w:eastAsia="en-AU"/>
              </w:rPr>
              <w:tab/>
            </w:r>
            <w:r w:rsidR="00FE70B7" w:rsidRPr="00970EE7">
              <w:rPr>
                <w:rStyle w:val="Hyperlink"/>
                <w:rFonts w:eastAsiaTheme="majorEastAsia" w:cstheme="majorBidi"/>
                <w:b/>
                <w:noProof/>
              </w:rPr>
              <w:t>Blood supply</w:t>
            </w:r>
            <w:r w:rsidR="00FE70B7">
              <w:rPr>
                <w:noProof/>
                <w:webHidden/>
              </w:rPr>
              <w:tab/>
            </w:r>
            <w:r w:rsidR="00FE70B7">
              <w:rPr>
                <w:noProof/>
                <w:webHidden/>
              </w:rPr>
              <w:fldChar w:fldCharType="begin"/>
            </w:r>
            <w:r w:rsidR="00FE70B7">
              <w:rPr>
                <w:noProof/>
                <w:webHidden/>
              </w:rPr>
              <w:instrText xml:space="preserve"> PAGEREF _Toc126935625 \h </w:instrText>
            </w:r>
            <w:r w:rsidR="00FE70B7">
              <w:rPr>
                <w:noProof/>
                <w:webHidden/>
              </w:rPr>
            </w:r>
            <w:r w:rsidR="00FE70B7">
              <w:rPr>
                <w:noProof/>
                <w:webHidden/>
              </w:rPr>
              <w:fldChar w:fldCharType="separate"/>
            </w:r>
            <w:r w:rsidR="00FE70B7">
              <w:rPr>
                <w:noProof/>
                <w:webHidden/>
              </w:rPr>
              <w:t>4</w:t>
            </w:r>
            <w:r w:rsidR="00FE70B7">
              <w:rPr>
                <w:noProof/>
                <w:webHidden/>
              </w:rPr>
              <w:fldChar w:fldCharType="end"/>
            </w:r>
          </w:hyperlink>
        </w:p>
        <w:p w14:paraId="38A64DAD" w14:textId="4B722C95"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26" w:history="1">
            <w:r w:rsidR="00FE70B7" w:rsidRPr="00970EE7">
              <w:rPr>
                <w:rStyle w:val="Hyperlink"/>
                <w:rFonts w:cstheme="minorHAnsi"/>
                <w:b/>
                <w:noProof/>
              </w:rPr>
              <w:t>1.1</w:t>
            </w:r>
            <w:r w:rsidR="00FE70B7">
              <w:rPr>
                <w:rFonts w:asciiTheme="minorHAnsi" w:eastAsiaTheme="minorEastAsia" w:hAnsiTheme="minorHAnsi" w:cstheme="minorBidi"/>
                <w:noProof/>
                <w:lang w:eastAsia="en-AU"/>
              </w:rPr>
              <w:tab/>
            </w:r>
            <w:r w:rsidR="00FE70B7" w:rsidRPr="00970EE7">
              <w:rPr>
                <w:rStyle w:val="Hyperlink"/>
                <w:rFonts w:cs="Arial"/>
                <w:b/>
                <w:noProof/>
              </w:rPr>
              <w:t>Blood supply – Australia</w:t>
            </w:r>
            <w:r w:rsidR="00FE70B7">
              <w:rPr>
                <w:noProof/>
                <w:webHidden/>
              </w:rPr>
              <w:tab/>
            </w:r>
            <w:r w:rsidR="00FE70B7">
              <w:rPr>
                <w:noProof/>
                <w:webHidden/>
              </w:rPr>
              <w:fldChar w:fldCharType="begin"/>
            </w:r>
            <w:r w:rsidR="00FE70B7">
              <w:rPr>
                <w:noProof/>
                <w:webHidden/>
              </w:rPr>
              <w:instrText xml:space="preserve"> PAGEREF _Toc126935626 \h </w:instrText>
            </w:r>
            <w:r w:rsidR="00FE70B7">
              <w:rPr>
                <w:noProof/>
                <w:webHidden/>
              </w:rPr>
            </w:r>
            <w:r w:rsidR="00FE70B7">
              <w:rPr>
                <w:noProof/>
                <w:webHidden/>
              </w:rPr>
              <w:fldChar w:fldCharType="separate"/>
            </w:r>
            <w:r w:rsidR="00FE70B7">
              <w:rPr>
                <w:noProof/>
                <w:webHidden/>
              </w:rPr>
              <w:t>4</w:t>
            </w:r>
            <w:r w:rsidR="00FE70B7">
              <w:rPr>
                <w:noProof/>
                <w:webHidden/>
              </w:rPr>
              <w:fldChar w:fldCharType="end"/>
            </w:r>
          </w:hyperlink>
        </w:p>
        <w:p w14:paraId="5EFEB44C" w14:textId="109C1E89"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27" w:history="1">
            <w:r w:rsidR="00FE70B7" w:rsidRPr="00970EE7">
              <w:rPr>
                <w:rStyle w:val="Hyperlink"/>
                <w:rFonts w:cstheme="minorHAnsi"/>
                <w:b/>
                <w:noProof/>
              </w:rPr>
              <w:t>1.2</w:t>
            </w:r>
            <w:r w:rsidR="00FE70B7">
              <w:rPr>
                <w:rFonts w:asciiTheme="minorHAnsi" w:eastAsiaTheme="minorEastAsia" w:hAnsiTheme="minorHAnsi" w:cstheme="minorBidi"/>
                <w:noProof/>
                <w:lang w:eastAsia="en-AU"/>
              </w:rPr>
              <w:tab/>
            </w:r>
            <w:r w:rsidR="00FE70B7" w:rsidRPr="00970EE7">
              <w:rPr>
                <w:rStyle w:val="Hyperlink"/>
                <w:rFonts w:cs="Arial"/>
                <w:b/>
                <w:noProof/>
              </w:rPr>
              <w:t>Blood supply – United States</w:t>
            </w:r>
            <w:r w:rsidR="00FE70B7">
              <w:rPr>
                <w:noProof/>
                <w:webHidden/>
              </w:rPr>
              <w:tab/>
            </w:r>
            <w:r w:rsidR="00FE70B7">
              <w:rPr>
                <w:noProof/>
                <w:webHidden/>
              </w:rPr>
              <w:fldChar w:fldCharType="begin"/>
            </w:r>
            <w:r w:rsidR="00FE70B7">
              <w:rPr>
                <w:noProof/>
                <w:webHidden/>
              </w:rPr>
              <w:instrText xml:space="preserve"> PAGEREF _Toc126935627 \h </w:instrText>
            </w:r>
            <w:r w:rsidR="00FE70B7">
              <w:rPr>
                <w:noProof/>
                <w:webHidden/>
              </w:rPr>
            </w:r>
            <w:r w:rsidR="00FE70B7">
              <w:rPr>
                <w:noProof/>
                <w:webHidden/>
              </w:rPr>
              <w:fldChar w:fldCharType="separate"/>
            </w:r>
            <w:r w:rsidR="00FE70B7">
              <w:rPr>
                <w:noProof/>
                <w:webHidden/>
              </w:rPr>
              <w:t>4</w:t>
            </w:r>
            <w:r w:rsidR="00FE70B7">
              <w:rPr>
                <w:noProof/>
                <w:webHidden/>
              </w:rPr>
              <w:fldChar w:fldCharType="end"/>
            </w:r>
          </w:hyperlink>
        </w:p>
        <w:p w14:paraId="6C57A844" w14:textId="45A43DCD"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28" w:history="1">
            <w:r w:rsidR="00FE70B7" w:rsidRPr="00970EE7">
              <w:rPr>
                <w:rStyle w:val="Hyperlink"/>
                <w:rFonts w:cstheme="minorHAnsi"/>
                <w:b/>
                <w:noProof/>
              </w:rPr>
              <w:t>1.3</w:t>
            </w:r>
            <w:r w:rsidR="00FE70B7">
              <w:rPr>
                <w:rFonts w:asciiTheme="minorHAnsi" w:eastAsiaTheme="minorEastAsia" w:hAnsiTheme="minorHAnsi" w:cstheme="minorBidi"/>
                <w:noProof/>
                <w:lang w:eastAsia="en-AU"/>
              </w:rPr>
              <w:tab/>
            </w:r>
            <w:r w:rsidR="00FE70B7" w:rsidRPr="00970EE7">
              <w:rPr>
                <w:rStyle w:val="Hyperlink"/>
                <w:rFonts w:cs="Arial"/>
                <w:b/>
                <w:noProof/>
              </w:rPr>
              <w:t>Blood supply - World news</w:t>
            </w:r>
            <w:r w:rsidR="00FE70B7">
              <w:rPr>
                <w:noProof/>
                <w:webHidden/>
              </w:rPr>
              <w:tab/>
            </w:r>
            <w:r w:rsidR="00FE70B7">
              <w:rPr>
                <w:noProof/>
                <w:webHidden/>
              </w:rPr>
              <w:fldChar w:fldCharType="begin"/>
            </w:r>
            <w:r w:rsidR="00FE70B7">
              <w:rPr>
                <w:noProof/>
                <w:webHidden/>
              </w:rPr>
              <w:instrText xml:space="preserve"> PAGEREF _Toc126935628 \h </w:instrText>
            </w:r>
            <w:r w:rsidR="00FE70B7">
              <w:rPr>
                <w:noProof/>
                <w:webHidden/>
              </w:rPr>
            </w:r>
            <w:r w:rsidR="00FE70B7">
              <w:rPr>
                <w:noProof/>
                <w:webHidden/>
              </w:rPr>
              <w:fldChar w:fldCharType="separate"/>
            </w:r>
            <w:r w:rsidR="00FE70B7">
              <w:rPr>
                <w:noProof/>
                <w:webHidden/>
              </w:rPr>
              <w:t>4</w:t>
            </w:r>
            <w:r w:rsidR="00FE70B7">
              <w:rPr>
                <w:noProof/>
                <w:webHidden/>
              </w:rPr>
              <w:fldChar w:fldCharType="end"/>
            </w:r>
          </w:hyperlink>
        </w:p>
        <w:p w14:paraId="79DF1EAD" w14:textId="0EF29B34"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29" w:history="1">
            <w:r w:rsidR="00FE70B7" w:rsidRPr="00970EE7">
              <w:rPr>
                <w:rStyle w:val="Hyperlink"/>
                <w:rFonts w:cstheme="minorHAnsi"/>
                <w:b/>
                <w:noProof/>
              </w:rPr>
              <w:t>1.4</w:t>
            </w:r>
            <w:r w:rsidR="00FE70B7">
              <w:rPr>
                <w:rFonts w:asciiTheme="minorHAnsi" w:eastAsiaTheme="minorEastAsia" w:hAnsiTheme="minorHAnsi" w:cstheme="minorBidi"/>
                <w:noProof/>
                <w:lang w:eastAsia="en-AU"/>
              </w:rPr>
              <w:tab/>
            </w:r>
            <w:r w:rsidR="00FE70B7" w:rsidRPr="00970EE7">
              <w:rPr>
                <w:rStyle w:val="Hyperlink"/>
                <w:rFonts w:cs="Arial"/>
                <w:b/>
                <w:noProof/>
              </w:rPr>
              <w:t>Regulatory and donation criteria</w:t>
            </w:r>
            <w:r w:rsidR="00FE70B7">
              <w:rPr>
                <w:noProof/>
                <w:webHidden/>
              </w:rPr>
              <w:tab/>
            </w:r>
            <w:r w:rsidR="00FE70B7">
              <w:rPr>
                <w:noProof/>
                <w:webHidden/>
              </w:rPr>
              <w:fldChar w:fldCharType="begin"/>
            </w:r>
            <w:r w:rsidR="00FE70B7">
              <w:rPr>
                <w:noProof/>
                <w:webHidden/>
              </w:rPr>
              <w:instrText xml:space="preserve"> PAGEREF _Toc126935629 \h </w:instrText>
            </w:r>
            <w:r w:rsidR="00FE70B7">
              <w:rPr>
                <w:noProof/>
                <w:webHidden/>
              </w:rPr>
            </w:r>
            <w:r w:rsidR="00FE70B7">
              <w:rPr>
                <w:noProof/>
                <w:webHidden/>
              </w:rPr>
              <w:fldChar w:fldCharType="separate"/>
            </w:r>
            <w:r w:rsidR="00FE70B7">
              <w:rPr>
                <w:noProof/>
                <w:webHidden/>
              </w:rPr>
              <w:t>4</w:t>
            </w:r>
            <w:r w:rsidR="00FE70B7">
              <w:rPr>
                <w:noProof/>
                <w:webHidden/>
              </w:rPr>
              <w:fldChar w:fldCharType="end"/>
            </w:r>
          </w:hyperlink>
        </w:p>
        <w:p w14:paraId="7FA8DB4A" w14:textId="00B3C335"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30" w:history="1">
            <w:r w:rsidR="00FE70B7" w:rsidRPr="00970EE7">
              <w:rPr>
                <w:rStyle w:val="Hyperlink"/>
                <w:rFonts w:cstheme="minorHAnsi"/>
                <w:b/>
                <w:noProof/>
              </w:rPr>
              <w:t>1.5</w:t>
            </w:r>
            <w:r w:rsidR="00FE70B7">
              <w:rPr>
                <w:rFonts w:asciiTheme="minorHAnsi" w:eastAsiaTheme="minorEastAsia" w:hAnsiTheme="minorHAnsi" w:cstheme="minorBidi"/>
                <w:noProof/>
                <w:lang w:eastAsia="en-AU"/>
              </w:rPr>
              <w:tab/>
            </w:r>
            <w:r w:rsidR="00FE70B7" w:rsidRPr="00970EE7">
              <w:rPr>
                <w:rStyle w:val="Hyperlink"/>
                <w:rFonts w:cs="Arial"/>
                <w:b/>
                <w:bCs/>
                <w:noProof/>
              </w:rPr>
              <w:t>Blood donor characteristics and donation effects</w:t>
            </w:r>
            <w:r w:rsidR="00FE70B7">
              <w:rPr>
                <w:noProof/>
                <w:webHidden/>
              </w:rPr>
              <w:tab/>
            </w:r>
            <w:r w:rsidR="00FE70B7">
              <w:rPr>
                <w:noProof/>
                <w:webHidden/>
              </w:rPr>
              <w:fldChar w:fldCharType="begin"/>
            </w:r>
            <w:r w:rsidR="00FE70B7">
              <w:rPr>
                <w:noProof/>
                <w:webHidden/>
              </w:rPr>
              <w:instrText xml:space="preserve"> PAGEREF _Toc126935630 \h </w:instrText>
            </w:r>
            <w:r w:rsidR="00FE70B7">
              <w:rPr>
                <w:noProof/>
                <w:webHidden/>
              </w:rPr>
            </w:r>
            <w:r w:rsidR="00FE70B7">
              <w:rPr>
                <w:noProof/>
                <w:webHidden/>
              </w:rPr>
              <w:fldChar w:fldCharType="separate"/>
            </w:r>
            <w:r w:rsidR="00FE70B7">
              <w:rPr>
                <w:noProof/>
                <w:webHidden/>
              </w:rPr>
              <w:t>5</w:t>
            </w:r>
            <w:r w:rsidR="00FE70B7">
              <w:rPr>
                <w:noProof/>
                <w:webHidden/>
              </w:rPr>
              <w:fldChar w:fldCharType="end"/>
            </w:r>
          </w:hyperlink>
        </w:p>
        <w:p w14:paraId="0BF19D3F" w14:textId="1274A9A6" w:rsidR="00FE70B7" w:rsidRDefault="005A7942">
          <w:pPr>
            <w:pStyle w:val="TOC1"/>
            <w:tabs>
              <w:tab w:val="left" w:pos="440"/>
              <w:tab w:val="right" w:leader="dot" w:pos="9016"/>
            </w:tabs>
            <w:rPr>
              <w:rFonts w:asciiTheme="minorHAnsi" w:eastAsiaTheme="minorEastAsia" w:hAnsiTheme="minorHAnsi" w:cstheme="minorBidi"/>
              <w:noProof/>
              <w:lang w:eastAsia="en-AU"/>
            </w:rPr>
          </w:pPr>
          <w:hyperlink w:anchor="_Toc126935631" w:history="1">
            <w:r w:rsidR="00FE70B7" w:rsidRPr="00970EE7">
              <w:rPr>
                <w:rStyle w:val="Hyperlink"/>
                <w:rFonts w:eastAsiaTheme="majorEastAsia" w:cstheme="majorBidi"/>
                <w:b/>
                <w:noProof/>
              </w:rPr>
              <w:t>2</w:t>
            </w:r>
            <w:r w:rsidR="00FE70B7">
              <w:rPr>
                <w:rFonts w:asciiTheme="minorHAnsi" w:eastAsiaTheme="minorEastAsia" w:hAnsiTheme="minorHAnsi" w:cstheme="minorBidi"/>
                <w:noProof/>
                <w:lang w:eastAsia="en-AU"/>
              </w:rPr>
              <w:tab/>
            </w:r>
            <w:r w:rsidR="00FE70B7" w:rsidRPr="00970EE7">
              <w:rPr>
                <w:rStyle w:val="Hyperlink"/>
                <w:rFonts w:eastAsiaTheme="majorEastAsia" w:cstheme="majorBidi"/>
                <w:b/>
                <w:noProof/>
              </w:rPr>
              <w:t>Blood disorders and treatments</w:t>
            </w:r>
            <w:r w:rsidR="00FE70B7">
              <w:rPr>
                <w:noProof/>
                <w:webHidden/>
              </w:rPr>
              <w:tab/>
            </w:r>
            <w:r w:rsidR="00FE70B7">
              <w:rPr>
                <w:noProof/>
                <w:webHidden/>
              </w:rPr>
              <w:fldChar w:fldCharType="begin"/>
            </w:r>
            <w:r w:rsidR="00FE70B7">
              <w:rPr>
                <w:noProof/>
                <w:webHidden/>
              </w:rPr>
              <w:instrText xml:space="preserve"> PAGEREF _Toc126935631 \h </w:instrText>
            </w:r>
            <w:r w:rsidR="00FE70B7">
              <w:rPr>
                <w:noProof/>
                <w:webHidden/>
              </w:rPr>
            </w:r>
            <w:r w:rsidR="00FE70B7">
              <w:rPr>
                <w:noProof/>
                <w:webHidden/>
              </w:rPr>
              <w:fldChar w:fldCharType="separate"/>
            </w:r>
            <w:r w:rsidR="00FE70B7">
              <w:rPr>
                <w:noProof/>
                <w:webHidden/>
              </w:rPr>
              <w:t>7</w:t>
            </w:r>
            <w:r w:rsidR="00FE70B7">
              <w:rPr>
                <w:noProof/>
                <w:webHidden/>
              </w:rPr>
              <w:fldChar w:fldCharType="end"/>
            </w:r>
          </w:hyperlink>
        </w:p>
        <w:p w14:paraId="4F2A3B00" w14:textId="32D590B8"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32" w:history="1">
            <w:r w:rsidR="00FE70B7" w:rsidRPr="00970EE7">
              <w:rPr>
                <w:rStyle w:val="Hyperlink"/>
                <w:rFonts w:cstheme="minorHAnsi"/>
                <w:b/>
                <w:noProof/>
              </w:rPr>
              <w:t>2.1</w:t>
            </w:r>
            <w:r w:rsidR="00FE70B7">
              <w:rPr>
                <w:rFonts w:asciiTheme="minorHAnsi" w:eastAsiaTheme="minorEastAsia" w:hAnsiTheme="minorHAnsi" w:cstheme="minorBidi"/>
                <w:noProof/>
                <w:lang w:eastAsia="en-AU"/>
              </w:rPr>
              <w:tab/>
            </w:r>
            <w:r w:rsidR="00FE70B7" w:rsidRPr="00970EE7">
              <w:rPr>
                <w:rStyle w:val="Hyperlink"/>
                <w:rFonts w:cs="Arial"/>
                <w:b/>
                <w:noProof/>
              </w:rPr>
              <w:t>Haemophilia</w:t>
            </w:r>
            <w:r w:rsidR="00FE70B7">
              <w:rPr>
                <w:noProof/>
                <w:webHidden/>
              </w:rPr>
              <w:tab/>
            </w:r>
            <w:r w:rsidR="00FE70B7">
              <w:rPr>
                <w:noProof/>
                <w:webHidden/>
              </w:rPr>
              <w:fldChar w:fldCharType="begin"/>
            </w:r>
            <w:r w:rsidR="00FE70B7">
              <w:rPr>
                <w:noProof/>
                <w:webHidden/>
              </w:rPr>
              <w:instrText xml:space="preserve"> PAGEREF _Toc126935632 \h </w:instrText>
            </w:r>
            <w:r w:rsidR="00FE70B7">
              <w:rPr>
                <w:noProof/>
                <w:webHidden/>
              </w:rPr>
            </w:r>
            <w:r w:rsidR="00FE70B7">
              <w:rPr>
                <w:noProof/>
                <w:webHidden/>
              </w:rPr>
              <w:fldChar w:fldCharType="separate"/>
            </w:r>
            <w:r w:rsidR="00FE70B7">
              <w:rPr>
                <w:noProof/>
                <w:webHidden/>
              </w:rPr>
              <w:t>7</w:t>
            </w:r>
            <w:r w:rsidR="00FE70B7">
              <w:rPr>
                <w:noProof/>
                <w:webHidden/>
              </w:rPr>
              <w:fldChar w:fldCharType="end"/>
            </w:r>
          </w:hyperlink>
        </w:p>
        <w:p w14:paraId="222642EC" w14:textId="64CFE719"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33" w:history="1">
            <w:r w:rsidR="00FE70B7" w:rsidRPr="00970EE7">
              <w:rPr>
                <w:rStyle w:val="Hyperlink"/>
                <w:rFonts w:cstheme="minorHAnsi"/>
                <w:b/>
                <w:noProof/>
              </w:rPr>
              <w:t>2.2</w:t>
            </w:r>
            <w:r w:rsidR="00FE70B7">
              <w:rPr>
                <w:rFonts w:asciiTheme="minorHAnsi" w:eastAsiaTheme="minorEastAsia" w:hAnsiTheme="minorHAnsi" w:cstheme="minorBidi"/>
                <w:noProof/>
                <w:lang w:eastAsia="en-AU"/>
              </w:rPr>
              <w:tab/>
            </w:r>
            <w:r w:rsidR="00FE70B7" w:rsidRPr="00970EE7">
              <w:rPr>
                <w:rStyle w:val="Hyperlink"/>
                <w:rFonts w:cs="Arial"/>
                <w:b/>
                <w:noProof/>
              </w:rPr>
              <w:t>Von Willebrand disease (VWD)</w:t>
            </w:r>
            <w:r w:rsidR="00FE70B7">
              <w:rPr>
                <w:noProof/>
                <w:webHidden/>
              </w:rPr>
              <w:tab/>
            </w:r>
            <w:r w:rsidR="00FE70B7">
              <w:rPr>
                <w:noProof/>
                <w:webHidden/>
              </w:rPr>
              <w:fldChar w:fldCharType="begin"/>
            </w:r>
            <w:r w:rsidR="00FE70B7">
              <w:rPr>
                <w:noProof/>
                <w:webHidden/>
              </w:rPr>
              <w:instrText xml:space="preserve"> PAGEREF _Toc126935633 \h </w:instrText>
            </w:r>
            <w:r w:rsidR="00FE70B7">
              <w:rPr>
                <w:noProof/>
                <w:webHidden/>
              </w:rPr>
            </w:r>
            <w:r w:rsidR="00FE70B7">
              <w:rPr>
                <w:noProof/>
                <w:webHidden/>
              </w:rPr>
              <w:fldChar w:fldCharType="separate"/>
            </w:r>
            <w:r w:rsidR="00FE70B7">
              <w:rPr>
                <w:noProof/>
                <w:webHidden/>
              </w:rPr>
              <w:t>9</w:t>
            </w:r>
            <w:r w:rsidR="00FE70B7">
              <w:rPr>
                <w:noProof/>
                <w:webHidden/>
              </w:rPr>
              <w:fldChar w:fldCharType="end"/>
            </w:r>
          </w:hyperlink>
        </w:p>
        <w:p w14:paraId="30E21BFF" w14:textId="2A890353"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34" w:history="1">
            <w:r w:rsidR="00FE70B7" w:rsidRPr="00970EE7">
              <w:rPr>
                <w:rStyle w:val="Hyperlink"/>
                <w:rFonts w:cstheme="minorHAnsi"/>
                <w:b/>
                <w:noProof/>
              </w:rPr>
              <w:t>2.3</w:t>
            </w:r>
            <w:r w:rsidR="00FE70B7">
              <w:rPr>
                <w:rFonts w:asciiTheme="minorHAnsi" w:eastAsiaTheme="minorEastAsia" w:hAnsiTheme="minorHAnsi" w:cstheme="minorBidi"/>
                <w:noProof/>
                <w:lang w:eastAsia="en-AU"/>
              </w:rPr>
              <w:tab/>
            </w:r>
            <w:r w:rsidR="00FE70B7" w:rsidRPr="00970EE7">
              <w:rPr>
                <w:rStyle w:val="Hyperlink"/>
                <w:rFonts w:cs="Arial"/>
                <w:b/>
                <w:noProof/>
              </w:rPr>
              <w:t>Thrombocytopaenia</w:t>
            </w:r>
            <w:r w:rsidR="00FE70B7">
              <w:rPr>
                <w:noProof/>
                <w:webHidden/>
              </w:rPr>
              <w:tab/>
            </w:r>
            <w:r w:rsidR="00FE70B7">
              <w:rPr>
                <w:noProof/>
                <w:webHidden/>
              </w:rPr>
              <w:fldChar w:fldCharType="begin"/>
            </w:r>
            <w:r w:rsidR="00FE70B7">
              <w:rPr>
                <w:noProof/>
                <w:webHidden/>
              </w:rPr>
              <w:instrText xml:space="preserve"> PAGEREF _Toc126935634 \h </w:instrText>
            </w:r>
            <w:r w:rsidR="00FE70B7">
              <w:rPr>
                <w:noProof/>
                <w:webHidden/>
              </w:rPr>
            </w:r>
            <w:r w:rsidR="00FE70B7">
              <w:rPr>
                <w:noProof/>
                <w:webHidden/>
              </w:rPr>
              <w:fldChar w:fldCharType="separate"/>
            </w:r>
            <w:r w:rsidR="00FE70B7">
              <w:rPr>
                <w:noProof/>
                <w:webHidden/>
              </w:rPr>
              <w:t>9</w:t>
            </w:r>
            <w:r w:rsidR="00FE70B7">
              <w:rPr>
                <w:noProof/>
                <w:webHidden/>
              </w:rPr>
              <w:fldChar w:fldCharType="end"/>
            </w:r>
          </w:hyperlink>
        </w:p>
        <w:p w14:paraId="6D58CB51" w14:textId="39237F7D"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35" w:history="1">
            <w:r w:rsidR="00FE70B7" w:rsidRPr="00970EE7">
              <w:rPr>
                <w:rStyle w:val="Hyperlink"/>
                <w:rFonts w:cstheme="minorHAnsi"/>
                <w:b/>
                <w:noProof/>
              </w:rPr>
              <w:t>2.4</w:t>
            </w:r>
            <w:r w:rsidR="00FE70B7">
              <w:rPr>
                <w:rFonts w:asciiTheme="minorHAnsi" w:eastAsiaTheme="minorEastAsia" w:hAnsiTheme="minorHAnsi" w:cstheme="minorBidi"/>
                <w:noProof/>
                <w:lang w:eastAsia="en-AU"/>
              </w:rPr>
              <w:tab/>
            </w:r>
            <w:r w:rsidR="00FE70B7" w:rsidRPr="00970EE7">
              <w:rPr>
                <w:rStyle w:val="Hyperlink"/>
                <w:rFonts w:cs="Arial"/>
                <w:b/>
                <w:noProof/>
              </w:rPr>
              <w:t>Thalassemia</w:t>
            </w:r>
            <w:r w:rsidR="00FE70B7">
              <w:rPr>
                <w:noProof/>
                <w:webHidden/>
              </w:rPr>
              <w:tab/>
            </w:r>
            <w:r w:rsidR="00FE70B7">
              <w:rPr>
                <w:noProof/>
                <w:webHidden/>
              </w:rPr>
              <w:fldChar w:fldCharType="begin"/>
            </w:r>
            <w:r w:rsidR="00FE70B7">
              <w:rPr>
                <w:noProof/>
                <w:webHidden/>
              </w:rPr>
              <w:instrText xml:space="preserve"> PAGEREF _Toc126935635 \h </w:instrText>
            </w:r>
            <w:r w:rsidR="00FE70B7">
              <w:rPr>
                <w:noProof/>
                <w:webHidden/>
              </w:rPr>
            </w:r>
            <w:r w:rsidR="00FE70B7">
              <w:rPr>
                <w:noProof/>
                <w:webHidden/>
              </w:rPr>
              <w:fldChar w:fldCharType="separate"/>
            </w:r>
            <w:r w:rsidR="00FE70B7">
              <w:rPr>
                <w:noProof/>
                <w:webHidden/>
              </w:rPr>
              <w:t>10</w:t>
            </w:r>
            <w:r w:rsidR="00FE70B7">
              <w:rPr>
                <w:noProof/>
                <w:webHidden/>
              </w:rPr>
              <w:fldChar w:fldCharType="end"/>
            </w:r>
          </w:hyperlink>
        </w:p>
        <w:p w14:paraId="027CDFC9" w14:textId="6A0530F4"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36" w:history="1">
            <w:r w:rsidR="00FE70B7" w:rsidRPr="00970EE7">
              <w:rPr>
                <w:rStyle w:val="Hyperlink"/>
                <w:rFonts w:cstheme="minorHAnsi"/>
                <w:b/>
                <w:noProof/>
              </w:rPr>
              <w:t>2.5</w:t>
            </w:r>
            <w:r w:rsidR="00FE70B7">
              <w:rPr>
                <w:rFonts w:asciiTheme="minorHAnsi" w:eastAsiaTheme="minorEastAsia" w:hAnsiTheme="minorHAnsi" w:cstheme="minorBidi"/>
                <w:noProof/>
                <w:lang w:eastAsia="en-AU"/>
              </w:rPr>
              <w:tab/>
            </w:r>
            <w:r w:rsidR="00FE70B7" w:rsidRPr="00970EE7">
              <w:rPr>
                <w:rStyle w:val="Hyperlink"/>
                <w:rFonts w:cs="Arial"/>
                <w:b/>
                <w:noProof/>
              </w:rPr>
              <w:t>Myeloma</w:t>
            </w:r>
            <w:r w:rsidR="00FE70B7">
              <w:rPr>
                <w:noProof/>
                <w:webHidden/>
              </w:rPr>
              <w:tab/>
            </w:r>
            <w:r w:rsidR="00FE70B7">
              <w:rPr>
                <w:noProof/>
                <w:webHidden/>
              </w:rPr>
              <w:fldChar w:fldCharType="begin"/>
            </w:r>
            <w:r w:rsidR="00FE70B7">
              <w:rPr>
                <w:noProof/>
                <w:webHidden/>
              </w:rPr>
              <w:instrText xml:space="preserve"> PAGEREF _Toc126935636 \h </w:instrText>
            </w:r>
            <w:r w:rsidR="00FE70B7">
              <w:rPr>
                <w:noProof/>
                <w:webHidden/>
              </w:rPr>
            </w:r>
            <w:r w:rsidR="00FE70B7">
              <w:rPr>
                <w:noProof/>
                <w:webHidden/>
              </w:rPr>
              <w:fldChar w:fldCharType="separate"/>
            </w:r>
            <w:r w:rsidR="00FE70B7">
              <w:rPr>
                <w:noProof/>
                <w:webHidden/>
              </w:rPr>
              <w:t>10</w:t>
            </w:r>
            <w:r w:rsidR="00FE70B7">
              <w:rPr>
                <w:noProof/>
                <w:webHidden/>
              </w:rPr>
              <w:fldChar w:fldCharType="end"/>
            </w:r>
          </w:hyperlink>
        </w:p>
        <w:p w14:paraId="0BA1D127" w14:textId="4F803ECD"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37" w:history="1">
            <w:r w:rsidR="00FE70B7" w:rsidRPr="00970EE7">
              <w:rPr>
                <w:rStyle w:val="Hyperlink"/>
                <w:rFonts w:cstheme="minorHAnsi"/>
                <w:b/>
                <w:noProof/>
              </w:rPr>
              <w:t>2.6</w:t>
            </w:r>
            <w:r w:rsidR="00FE70B7">
              <w:rPr>
                <w:rFonts w:asciiTheme="minorHAnsi" w:eastAsiaTheme="minorEastAsia" w:hAnsiTheme="minorHAnsi" w:cstheme="minorBidi"/>
                <w:noProof/>
                <w:lang w:eastAsia="en-AU"/>
              </w:rPr>
              <w:tab/>
            </w:r>
            <w:r w:rsidR="00FE70B7" w:rsidRPr="00970EE7">
              <w:rPr>
                <w:rStyle w:val="Hyperlink"/>
                <w:rFonts w:cs="Arial"/>
                <w:b/>
                <w:noProof/>
              </w:rPr>
              <w:t>Leukaemia</w:t>
            </w:r>
            <w:r w:rsidR="00FE70B7">
              <w:rPr>
                <w:noProof/>
                <w:webHidden/>
              </w:rPr>
              <w:tab/>
            </w:r>
            <w:r w:rsidR="00FE70B7">
              <w:rPr>
                <w:noProof/>
                <w:webHidden/>
              </w:rPr>
              <w:fldChar w:fldCharType="begin"/>
            </w:r>
            <w:r w:rsidR="00FE70B7">
              <w:rPr>
                <w:noProof/>
                <w:webHidden/>
              </w:rPr>
              <w:instrText xml:space="preserve"> PAGEREF _Toc126935637 \h </w:instrText>
            </w:r>
            <w:r w:rsidR="00FE70B7">
              <w:rPr>
                <w:noProof/>
                <w:webHidden/>
              </w:rPr>
            </w:r>
            <w:r w:rsidR="00FE70B7">
              <w:rPr>
                <w:noProof/>
                <w:webHidden/>
              </w:rPr>
              <w:fldChar w:fldCharType="separate"/>
            </w:r>
            <w:r w:rsidR="00FE70B7">
              <w:rPr>
                <w:noProof/>
                <w:webHidden/>
              </w:rPr>
              <w:t>10</w:t>
            </w:r>
            <w:r w:rsidR="00FE70B7">
              <w:rPr>
                <w:noProof/>
                <w:webHidden/>
              </w:rPr>
              <w:fldChar w:fldCharType="end"/>
            </w:r>
          </w:hyperlink>
        </w:p>
        <w:p w14:paraId="59E1824F" w14:textId="32671F6D"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38" w:history="1">
            <w:r w:rsidR="00FE70B7" w:rsidRPr="00970EE7">
              <w:rPr>
                <w:rStyle w:val="Hyperlink"/>
                <w:rFonts w:cstheme="minorHAnsi"/>
                <w:b/>
                <w:noProof/>
              </w:rPr>
              <w:t>2.7</w:t>
            </w:r>
            <w:r w:rsidR="00FE70B7">
              <w:rPr>
                <w:rFonts w:asciiTheme="minorHAnsi" w:eastAsiaTheme="minorEastAsia" w:hAnsiTheme="minorHAnsi" w:cstheme="minorBidi"/>
                <w:noProof/>
                <w:lang w:eastAsia="en-AU"/>
              </w:rPr>
              <w:tab/>
            </w:r>
            <w:r w:rsidR="00FE70B7" w:rsidRPr="00970EE7">
              <w:rPr>
                <w:rStyle w:val="Hyperlink"/>
                <w:rFonts w:cs="Arial"/>
                <w:b/>
                <w:noProof/>
              </w:rPr>
              <w:t>Myelodysplastic Syndrome</w:t>
            </w:r>
            <w:r w:rsidR="00FE70B7">
              <w:rPr>
                <w:noProof/>
                <w:webHidden/>
              </w:rPr>
              <w:tab/>
            </w:r>
            <w:r w:rsidR="00FE70B7">
              <w:rPr>
                <w:noProof/>
                <w:webHidden/>
              </w:rPr>
              <w:fldChar w:fldCharType="begin"/>
            </w:r>
            <w:r w:rsidR="00FE70B7">
              <w:rPr>
                <w:noProof/>
                <w:webHidden/>
              </w:rPr>
              <w:instrText xml:space="preserve"> PAGEREF _Toc126935638 \h </w:instrText>
            </w:r>
            <w:r w:rsidR="00FE70B7">
              <w:rPr>
                <w:noProof/>
                <w:webHidden/>
              </w:rPr>
            </w:r>
            <w:r w:rsidR="00FE70B7">
              <w:rPr>
                <w:noProof/>
                <w:webHidden/>
              </w:rPr>
              <w:fldChar w:fldCharType="separate"/>
            </w:r>
            <w:r w:rsidR="00FE70B7">
              <w:rPr>
                <w:noProof/>
                <w:webHidden/>
              </w:rPr>
              <w:t>11</w:t>
            </w:r>
            <w:r w:rsidR="00FE70B7">
              <w:rPr>
                <w:noProof/>
                <w:webHidden/>
              </w:rPr>
              <w:fldChar w:fldCharType="end"/>
            </w:r>
          </w:hyperlink>
        </w:p>
        <w:p w14:paraId="3B5109ED" w14:textId="16443459"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39" w:history="1">
            <w:r w:rsidR="00FE70B7" w:rsidRPr="00970EE7">
              <w:rPr>
                <w:rStyle w:val="Hyperlink"/>
                <w:rFonts w:cstheme="minorHAnsi"/>
                <w:b/>
                <w:noProof/>
              </w:rPr>
              <w:t>2.8</w:t>
            </w:r>
            <w:r w:rsidR="00FE70B7">
              <w:rPr>
                <w:rFonts w:asciiTheme="minorHAnsi" w:eastAsiaTheme="minorEastAsia" w:hAnsiTheme="minorHAnsi" w:cstheme="minorBidi"/>
                <w:noProof/>
                <w:lang w:eastAsia="en-AU"/>
              </w:rPr>
              <w:tab/>
            </w:r>
            <w:r w:rsidR="00FE70B7" w:rsidRPr="00970EE7">
              <w:rPr>
                <w:rStyle w:val="Hyperlink"/>
                <w:rFonts w:cs="Arial"/>
                <w:b/>
                <w:noProof/>
              </w:rPr>
              <w:t>Sickle cell disease (SCD)</w:t>
            </w:r>
            <w:r w:rsidR="00FE70B7">
              <w:rPr>
                <w:noProof/>
                <w:webHidden/>
              </w:rPr>
              <w:tab/>
            </w:r>
            <w:r w:rsidR="00FE70B7">
              <w:rPr>
                <w:noProof/>
                <w:webHidden/>
              </w:rPr>
              <w:fldChar w:fldCharType="begin"/>
            </w:r>
            <w:r w:rsidR="00FE70B7">
              <w:rPr>
                <w:noProof/>
                <w:webHidden/>
              </w:rPr>
              <w:instrText xml:space="preserve"> PAGEREF _Toc126935639 \h </w:instrText>
            </w:r>
            <w:r w:rsidR="00FE70B7">
              <w:rPr>
                <w:noProof/>
                <w:webHidden/>
              </w:rPr>
            </w:r>
            <w:r w:rsidR="00FE70B7">
              <w:rPr>
                <w:noProof/>
                <w:webHidden/>
              </w:rPr>
              <w:fldChar w:fldCharType="separate"/>
            </w:r>
            <w:r w:rsidR="00FE70B7">
              <w:rPr>
                <w:noProof/>
                <w:webHidden/>
              </w:rPr>
              <w:t>11</w:t>
            </w:r>
            <w:r w:rsidR="00FE70B7">
              <w:rPr>
                <w:noProof/>
                <w:webHidden/>
              </w:rPr>
              <w:fldChar w:fldCharType="end"/>
            </w:r>
          </w:hyperlink>
        </w:p>
        <w:p w14:paraId="2EF68F9B" w14:textId="381BC66A"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40" w:history="1">
            <w:r w:rsidR="00FE70B7" w:rsidRPr="00970EE7">
              <w:rPr>
                <w:rStyle w:val="Hyperlink"/>
                <w:rFonts w:cstheme="minorHAnsi"/>
                <w:b/>
                <w:noProof/>
              </w:rPr>
              <w:t>2.9</w:t>
            </w:r>
            <w:r w:rsidR="00FE70B7">
              <w:rPr>
                <w:rFonts w:asciiTheme="minorHAnsi" w:eastAsiaTheme="minorEastAsia" w:hAnsiTheme="minorHAnsi" w:cstheme="minorBidi"/>
                <w:noProof/>
                <w:lang w:eastAsia="en-AU"/>
              </w:rPr>
              <w:tab/>
            </w:r>
            <w:r w:rsidR="00FE70B7" w:rsidRPr="00970EE7">
              <w:rPr>
                <w:rStyle w:val="Hyperlink"/>
                <w:rFonts w:cs="Arial"/>
                <w:b/>
                <w:noProof/>
              </w:rPr>
              <w:t>Pyruvate kinase (PK) deficiency</w:t>
            </w:r>
            <w:r w:rsidR="00FE70B7">
              <w:rPr>
                <w:noProof/>
                <w:webHidden/>
              </w:rPr>
              <w:tab/>
            </w:r>
            <w:r w:rsidR="00FE70B7">
              <w:rPr>
                <w:noProof/>
                <w:webHidden/>
              </w:rPr>
              <w:fldChar w:fldCharType="begin"/>
            </w:r>
            <w:r w:rsidR="00FE70B7">
              <w:rPr>
                <w:noProof/>
                <w:webHidden/>
              </w:rPr>
              <w:instrText xml:space="preserve"> PAGEREF _Toc126935640 \h </w:instrText>
            </w:r>
            <w:r w:rsidR="00FE70B7">
              <w:rPr>
                <w:noProof/>
                <w:webHidden/>
              </w:rPr>
            </w:r>
            <w:r w:rsidR="00FE70B7">
              <w:rPr>
                <w:noProof/>
                <w:webHidden/>
              </w:rPr>
              <w:fldChar w:fldCharType="separate"/>
            </w:r>
            <w:r w:rsidR="00FE70B7">
              <w:rPr>
                <w:noProof/>
                <w:webHidden/>
              </w:rPr>
              <w:t>12</w:t>
            </w:r>
            <w:r w:rsidR="00FE70B7">
              <w:rPr>
                <w:noProof/>
                <w:webHidden/>
              </w:rPr>
              <w:fldChar w:fldCharType="end"/>
            </w:r>
          </w:hyperlink>
        </w:p>
        <w:p w14:paraId="43F0043A" w14:textId="23CAD669"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41" w:history="1">
            <w:r w:rsidR="00FE70B7" w:rsidRPr="00970EE7">
              <w:rPr>
                <w:rStyle w:val="Hyperlink"/>
                <w:rFonts w:cstheme="minorHAnsi"/>
                <w:b/>
                <w:noProof/>
              </w:rPr>
              <w:t>2.10</w:t>
            </w:r>
            <w:r w:rsidR="00FE70B7">
              <w:rPr>
                <w:rFonts w:asciiTheme="minorHAnsi" w:eastAsiaTheme="minorEastAsia" w:hAnsiTheme="minorHAnsi" w:cstheme="minorBidi"/>
                <w:noProof/>
                <w:lang w:eastAsia="en-AU"/>
              </w:rPr>
              <w:tab/>
            </w:r>
            <w:r w:rsidR="00FE70B7" w:rsidRPr="00970EE7">
              <w:rPr>
                <w:rStyle w:val="Hyperlink"/>
                <w:rFonts w:cs="Arial"/>
                <w:b/>
                <w:noProof/>
              </w:rPr>
              <w:t>Cold agglutin disease (CAD)</w:t>
            </w:r>
            <w:r w:rsidR="00FE70B7">
              <w:rPr>
                <w:noProof/>
                <w:webHidden/>
              </w:rPr>
              <w:tab/>
            </w:r>
            <w:r w:rsidR="00FE70B7">
              <w:rPr>
                <w:noProof/>
                <w:webHidden/>
              </w:rPr>
              <w:fldChar w:fldCharType="begin"/>
            </w:r>
            <w:r w:rsidR="00FE70B7">
              <w:rPr>
                <w:noProof/>
                <w:webHidden/>
              </w:rPr>
              <w:instrText xml:space="preserve"> PAGEREF _Toc126935641 \h </w:instrText>
            </w:r>
            <w:r w:rsidR="00FE70B7">
              <w:rPr>
                <w:noProof/>
                <w:webHidden/>
              </w:rPr>
            </w:r>
            <w:r w:rsidR="00FE70B7">
              <w:rPr>
                <w:noProof/>
                <w:webHidden/>
              </w:rPr>
              <w:fldChar w:fldCharType="separate"/>
            </w:r>
            <w:r w:rsidR="00FE70B7">
              <w:rPr>
                <w:noProof/>
                <w:webHidden/>
              </w:rPr>
              <w:t>13</w:t>
            </w:r>
            <w:r w:rsidR="00FE70B7">
              <w:rPr>
                <w:noProof/>
                <w:webHidden/>
              </w:rPr>
              <w:fldChar w:fldCharType="end"/>
            </w:r>
          </w:hyperlink>
        </w:p>
        <w:p w14:paraId="69DEF385" w14:textId="3BA10124"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42" w:history="1">
            <w:r w:rsidR="00FE70B7" w:rsidRPr="00970EE7">
              <w:rPr>
                <w:rStyle w:val="Hyperlink"/>
                <w:rFonts w:cstheme="minorHAnsi"/>
                <w:b/>
                <w:noProof/>
              </w:rPr>
              <w:t>2.11</w:t>
            </w:r>
            <w:r w:rsidR="00FE70B7">
              <w:rPr>
                <w:rFonts w:asciiTheme="minorHAnsi" w:eastAsiaTheme="minorEastAsia" w:hAnsiTheme="minorHAnsi" w:cstheme="minorBidi"/>
                <w:noProof/>
                <w:lang w:eastAsia="en-AU"/>
              </w:rPr>
              <w:tab/>
            </w:r>
            <w:r w:rsidR="00FE70B7" w:rsidRPr="00970EE7">
              <w:rPr>
                <w:rStyle w:val="Hyperlink"/>
                <w:rFonts w:cs="Arial"/>
                <w:b/>
                <w:noProof/>
              </w:rPr>
              <w:t>Postpartum haemorrhage (PPH)</w:t>
            </w:r>
            <w:r w:rsidR="00FE70B7">
              <w:rPr>
                <w:noProof/>
                <w:webHidden/>
              </w:rPr>
              <w:tab/>
            </w:r>
            <w:r w:rsidR="00FE70B7">
              <w:rPr>
                <w:noProof/>
                <w:webHidden/>
              </w:rPr>
              <w:fldChar w:fldCharType="begin"/>
            </w:r>
            <w:r w:rsidR="00FE70B7">
              <w:rPr>
                <w:noProof/>
                <w:webHidden/>
              </w:rPr>
              <w:instrText xml:space="preserve"> PAGEREF _Toc126935642 \h </w:instrText>
            </w:r>
            <w:r w:rsidR="00FE70B7">
              <w:rPr>
                <w:noProof/>
                <w:webHidden/>
              </w:rPr>
            </w:r>
            <w:r w:rsidR="00FE70B7">
              <w:rPr>
                <w:noProof/>
                <w:webHidden/>
              </w:rPr>
              <w:fldChar w:fldCharType="separate"/>
            </w:r>
            <w:r w:rsidR="00FE70B7">
              <w:rPr>
                <w:noProof/>
                <w:webHidden/>
              </w:rPr>
              <w:t>13</w:t>
            </w:r>
            <w:r w:rsidR="00FE70B7">
              <w:rPr>
                <w:noProof/>
                <w:webHidden/>
              </w:rPr>
              <w:fldChar w:fldCharType="end"/>
            </w:r>
          </w:hyperlink>
        </w:p>
        <w:p w14:paraId="293115FA" w14:textId="00E6C1FE"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43" w:history="1">
            <w:r w:rsidR="00FE70B7" w:rsidRPr="00970EE7">
              <w:rPr>
                <w:rStyle w:val="Hyperlink"/>
                <w:rFonts w:cstheme="minorHAnsi"/>
                <w:b/>
                <w:noProof/>
              </w:rPr>
              <w:t>2.12</w:t>
            </w:r>
            <w:r w:rsidR="00FE70B7">
              <w:rPr>
                <w:rFonts w:asciiTheme="minorHAnsi" w:eastAsiaTheme="minorEastAsia" w:hAnsiTheme="minorHAnsi" w:cstheme="minorBidi"/>
                <w:noProof/>
                <w:lang w:eastAsia="en-AU"/>
              </w:rPr>
              <w:tab/>
            </w:r>
            <w:r w:rsidR="00FE70B7" w:rsidRPr="00970EE7">
              <w:rPr>
                <w:rStyle w:val="Hyperlink"/>
                <w:rFonts w:cs="Arial"/>
                <w:b/>
                <w:noProof/>
              </w:rPr>
              <w:t>Hereditary angioedema</w:t>
            </w:r>
            <w:r w:rsidR="00FE70B7">
              <w:rPr>
                <w:noProof/>
                <w:webHidden/>
              </w:rPr>
              <w:tab/>
            </w:r>
            <w:r w:rsidR="00FE70B7">
              <w:rPr>
                <w:noProof/>
                <w:webHidden/>
              </w:rPr>
              <w:fldChar w:fldCharType="begin"/>
            </w:r>
            <w:r w:rsidR="00FE70B7">
              <w:rPr>
                <w:noProof/>
                <w:webHidden/>
              </w:rPr>
              <w:instrText xml:space="preserve"> PAGEREF _Toc126935643 \h </w:instrText>
            </w:r>
            <w:r w:rsidR="00FE70B7">
              <w:rPr>
                <w:noProof/>
                <w:webHidden/>
              </w:rPr>
            </w:r>
            <w:r w:rsidR="00FE70B7">
              <w:rPr>
                <w:noProof/>
                <w:webHidden/>
              </w:rPr>
              <w:fldChar w:fldCharType="separate"/>
            </w:r>
            <w:r w:rsidR="00FE70B7">
              <w:rPr>
                <w:noProof/>
                <w:webHidden/>
              </w:rPr>
              <w:t>13</w:t>
            </w:r>
            <w:r w:rsidR="00FE70B7">
              <w:rPr>
                <w:noProof/>
                <w:webHidden/>
              </w:rPr>
              <w:fldChar w:fldCharType="end"/>
            </w:r>
          </w:hyperlink>
        </w:p>
        <w:p w14:paraId="5B24D76F" w14:textId="416F3C65"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44" w:history="1">
            <w:r w:rsidR="00FE70B7" w:rsidRPr="00970EE7">
              <w:rPr>
                <w:rStyle w:val="Hyperlink"/>
                <w:rFonts w:cstheme="minorHAnsi"/>
                <w:b/>
                <w:noProof/>
              </w:rPr>
              <w:t>2.13</w:t>
            </w:r>
            <w:r w:rsidR="00FE70B7">
              <w:rPr>
                <w:rFonts w:asciiTheme="minorHAnsi" w:eastAsiaTheme="minorEastAsia" w:hAnsiTheme="minorHAnsi" w:cstheme="minorBidi"/>
                <w:noProof/>
                <w:lang w:eastAsia="en-AU"/>
              </w:rPr>
              <w:tab/>
            </w:r>
            <w:r w:rsidR="00FE70B7" w:rsidRPr="00970EE7">
              <w:rPr>
                <w:rStyle w:val="Hyperlink"/>
                <w:rFonts w:cs="Arial"/>
                <w:b/>
                <w:noProof/>
              </w:rPr>
              <w:t>Venous thromboembolism</w:t>
            </w:r>
            <w:r w:rsidR="00FE70B7">
              <w:rPr>
                <w:noProof/>
                <w:webHidden/>
              </w:rPr>
              <w:tab/>
            </w:r>
            <w:r w:rsidR="00FE70B7">
              <w:rPr>
                <w:noProof/>
                <w:webHidden/>
              </w:rPr>
              <w:fldChar w:fldCharType="begin"/>
            </w:r>
            <w:r w:rsidR="00FE70B7">
              <w:rPr>
                <w:noProof/>
                <w:webHidden/>
              </w:rPr>
              <w:instrText xml:space="preserve"> PAGEREF _Toc126935644 \h </w:instrText>
            </w:r>
            <w:r w:rsidR="00FE70B7">
              <w:rPr>
                <w:noProof/>
                <w:webHidden/>
              </w:rPr>
            </w:r>
            <w:r w:rsidR="00FE70B7">
              <w:rPr>
                <w:noProof/>
                <w:webHidden/>
              </w:rPr>
              <w:fldChar w:fldCharType="separate"/>
            </w:r>
            <w:r w:rsidR="00FE70B7">
              <w:rPr>
                <w:noProof/>
                <w:webHidden/>
              </w:rPr>
              <w:t>13</w:t>
            </w:r>
            <w:r w:rsidR="00FE70B7">
              <w:rPr>
                <w:noProof/>
                <w:webHidden/>
              </w:rPr>
              <w:fldChar w:fldCharType="end"/>
            </w:r>
          </w:hyperlink>
        </w:p>
        <w:p w14:paraId="2F699F55" w14:textId="631988A3"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45" w:history="1">
            <w:r w:rsidR="00FE70B7" w:rsidRPr="00970EE7">
              <w:rPr>
                <w:rStyle w:val="Hyperlink"/>
                <w:rFonts w:cstheme="minorHAnsi"/>
                <w:b/>
                <w:noProof/>
              </w:rPr>
              <w:t>2.14</w:t>
            </w:r>
            <w:r w:rsidR="00FE70B7">
              <w:rPr>
                <w:rFonts w:asciiTheme="minorHAnsi" w:eastAsiaTheme="minorEastAsia" w:hAnsiTheme="minorHAnsi" w:cstheme="minorBidi"/>
                <w:noProof/>
                <w:lang w:eastAsia="en-AU"/>
              </w:rPr>
              <w:tab/>
            </w:r>
            <w:r w:rsidR="00FE70B7" w:rsidRPr="00970EE7">
              <w:rPr>
                <w:rStyle w:val="Hyperlink"/>
                <w:rFonts w:cs="Arial"/>
                <w:b/>
                <w:noProof/>
              </w:rPr>
              <w:t>Immune system and immunotherapy</w:t>
            </w:r>
            <w:r w:rsidR="00FE70B7">
              <w:rPr>
                <w:noProof/>
                <w:webHidden/>
              </w:rPr>
              <w:tab/>
            </w:r>
            <w:r w:rsidR="00FE70B7">
              <w:rPr>
                <w:noProof/>
                <w:webHidden/>
              </w:rPr>
              <w:fldChar w:fldCharType="begin"/>
            </w:r>
            <w:r w:rsidR="00FE70B7">
              <w:rPr>
                <w:noProof/>
                <w:webHidden/>
              </w:rPr>
              <w:instrText xml:space="preserve"> PAGEREF _Toc126935645 \h </w:instrText>
            </w:r>
            <w:r w:rsidR="00FE70B7">
              <w:rPr>
                <w:noProof/>
                <w:webHidden/>
              </w:rPr>
            </w:r>
            <w:r w:rsidR="00FE70B7">
              <w:rPr>
                <w:noProof/>
                <w:webHidden/>
              </w:rPr>
              <w:fldChar w:fldCharType="separate"/>
            </w:r>
            <w:r w:rsidR="00FE70B7">
              <w:rPr>
                <w:noProof/>
                <w:webHidden/>
              </w:rPr>
              <w:t>14</w:t>
            </w:r>
            <w:r w:rsidR="00FE70B7">
              <w:rPr>
                <w:noProof/>
                <w:webHidden/>
              </w:rPr>
              <w:fldChar w:fldCharType="end"/>
            </w:r>
          </w:hyperlink>
        </w:p>
        <w:p w14:paraId="021249D6" w14:textId="16C2AEC2" w:rsidR="00FE70B7" w:rsidRDefault="005A7942">
          <w:pPr>
            <w:pStyle w:val="TOC1"/>
            <w:tabs>
              <w:tab w:val="left" w:pos="440"/>
              <w:tab w:val="right" w:leader="dot" w:pos="9016"/>
            </w:tabs>
            <w:rPr>
              <w:rFonts w:asciiTheme="minorHAnsi" w:eastAsiaTheme="minorEastAsia" w:hAnsiTheme="minorHAnsi" w:cstheme="minorBidi"/>
              <w:noProof/>
              <w:lang w:eastAsia="en-AU"/>
            </w:rPr>
          </w:pPr>
          <w:hyperlink w:anchor="_Toc126935646" w:history="1">
            <w:r w:rsidR="00FE70B7" w:rsidRPr="00970EE7">
              <w:rPr>
                <w:rStyle w:val="Hyperlink"/>
                <w:rFonts w:eastAsiaTheme="majorEastAsia" w:cstheme="majorBidi"/>
                <w:b/>
                <w:noProof/>
              </w:rPr>
              <w:t>3</w:t>
            </w:r>
            <w:r w:rsidR="00FE70B7">
              <w:rPr>
                <w:rFonts w:asciiTheme="minorHAnsi" w:eastAsiaTheme="minorEastAsia" w:hAnsiTheme="minorHAnsi" w:cstheme="minorBidi"/>
                <w:noProof/>
                <w:lang w:eastAsia="en-AU"/>
              </w:rPr>
              <w:tab/>
            </w:r>
            <w:r w:rsidR="00FE70B7" w:rsidRPr="00970EE7">
              <w:rPr>
                <w:rStyle w:val="Hyperlink"/>
                <w:rFonts w:eastAsiaTheme="majorEastAsia" w:cstheme="majorBidi"/>
                <w:b/>
                <w:noProof/>
              </w:rPr>
              <w:t>Transfusion</w:t>
            </w:r>
            <w:r w:rsidR="00FE70B7">
              <w:rPr>
                <w:noProof/>
                <w:webHidden/>
              </w:rPr>
              <w:tab/>
            </w:r>
            <w:r w:rsidR="00FE70B7">
              <w:rPr>
                <w:noProof/>
                <w:webHidden/>
              </w:rPr>
              <w:fldChar w:fldCharType="begin"/>
            </w:r>
            <w:r w:rsidR="00FE70B7">
              <w:rPr>
                <w:noProof/>
                <w:webHidden/>
              </w:rPr>
              <w:instrText xml:space="preserve"> PAGEREF _Toc126935646 \h </w:instrText>
            </w:r>
            <w:r w:rsidR="00FE70B7">
              <w:rPr>
                <w:noProof/>
                <w:webHidden/>
              </w:rPr>
            </w:r>
            <w:r w:rsidR="00FE70B7">
              <w:rPr>
                <w:noProof/>
                <w:webHidden/>
              </w:rPr>
              <w:fldChar w:fldCharType="separate"/>
            </w:r>
            <w:r w:rsidR="00FE70B7">
              <w:rPr>
                <w:noProof/>
                <w:webHidden/>
              </w:rPr>
              <w:t>14</w:t>
            </w:r>
            <w:r w:rsidR="00FE70B7">
              <w:rPr>
                <w:noProof/>
                <w:webHidden/>
              </w:rPr>
              <w:fldChar w:fldCharType="end"/>
            </w:r>
          </w:hyperlink>
        </w:p>
        <w:p w14:paraId="12A754F0" w14:textId="56B218B5"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47" w:history="1">
            <w:r w:rsidR="00FE70B7" w:rsidRPr="00970EE7">
              <w:rPr>
                <w:rStyle w:val="Hyperlink"/>
                <w:rFonts w:cstheme="minorHAnsi"/>
                <w:b/>
                <w:noProof/>
              </w:rPr>
              <w:t>3.1</w:t>
            </w:r>
            <w:r w:rsidR="00FE70B7">
              <w:rPr>
                <w:rFonts w:asciiTheme="minorHAnsi" w:eastAsiaTheme="minorEastAsia" w:hAnsiTheme="minorHAnsi" w:cstheme="minorBidi"/>
                <w:noProof/>
                <w:lang w:eastAsia="en-AU"/>
              </w:rPr>
              <w:tab/>
            </w:r>
            <w:r w:rsidR="00FE70B7" w:rsidRPr="00970EE7">
              <w:rPr>
                <w:rStyle w:val="Hyperlink"/>
                <w:rFonts w:cs="Arial"/>
                <w:b/>
                <w:noProof/>
              </w:rPr>
              <w:t>Paediatrics</w:t>
            </w:r>
            <w:r w:rsidR="00FE70B7">
              <w:rPr>
                <w:noProof/>
                <w:webHidden/>
              </w:rPr>
              <w:tab/>
            </w:r>
            <w:r w:rsidR="00FE70B7">
              <w:rPr>
                <w:noProof/>
                <w:webHidden/>
              </w:rPr>
              <w:fldChar w:fldCharType="begin"/>
            </w:r>
            <w:r w:rsidR="00FE70B7">
              <w:rPr>
                <w:noProof/>
                <w:webHidden/>
              </w:rPr>
              <w:instrText xml:space="preserve"> PAGEREF _Toc126935647 \h </w:instrText>
            </w:r>
            <w:r w:rsidR="00FE70B7">
              <w:rPr>
                <w:noProof/>
                <w:webHidden/>
              </w:rPr>
            </w:r>
            <w:r w:rsidR="00FE70B7">
              <w:rPr>
                <w:noProof/>
                <w:webHidden/>
              </w:rPr>
              <w:fldChar w:fldCharType="separate"/>
            </w:r>
            <w:r w:rsidR="00FE70B7">
              <w:rPr>
                <w:noProof/>
                <w:webHidden/>
              </w:rPr>
              <w:t>14</w:t>
            </w:r>
            <w:r w:rsidR="00FE70B7">
              <w:rPr>
                <w:noProof/>
                <w:webHidden/>
              </w:rPr>
              <w:fldChar w:fldCharType="end"/>
            </w:r>
          </w:hyperlink>
        </w:p>
        <w:p w14:paraId="38722586" w14:textId="7805CA1A"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48" w:history="1">
            <w:r w:rsidR="00FE70B7" w:rsidRPr="00970EE7">
              <w:rPr>
                <w:rStyle w:val="Hyperlink"/>
                <w:rFonts w:cstheme="minorHAnsi"/>
                <w:b/>
                <w:noProof/>
              </w:rPr>
              <w:t>3.2</w:t>
            </w:r>
            <w:r w:rsidR="00FE70B7">
              <w:rPr>
                <w:rFonts w:asciiTheme="minorHAnsi" w:eastAsiaTheme="minorEastAsia" w:hAnsiTheme="minorHAnsi" w:cstheme="minorBidi"/>
                <w:noProof/>
                <w:lang w:eastAsia="en-AU"/>
              </w:rPr>
              <w:tab/>
            </w:r>
            <w:r w:rsidR="00FE70B7" w:rsidRPr="00970EE7">
              <w:rPr>
                <w:rStyle w:val="Hyperlink"/>
                <w:rFonts w:cs="Arial"/>
                <w:b/>
                <w:noProof/>
              </w:rPr>
              <w:t>Clinical Practice</w:t>
            </w:r>
            <w:r w:rsidR="00FE70B7">
              <w:rPr>
                <w:noProof/>
                <w:webHidden/>
              </w:rPr>
              <w:tab/>
            </w:r>
            <w:r w:rsidR="00FE70B7">
              <w:rPr>
                <w:noProof/>
                <w:webHidden/>
              </w:rPr>
              <w:fldChar w:fldCharType="begin"/>
            </w:r>
            <w:r w:rsidR="00FE70B7">
              <w:rPr>
                <w:noProof/>
                <w:webHidden/>
              </w:rPr>
              <w:instrText xml:space="preserve"> PAGEREF _Toc126935648 \h </w:instrText>
            </w:r>
            <w:r w:rsidR="00FE70B7">
              <w:rPr>
                <w:noProof/>
                <w:webHidden/>
              </w:rPr>
            </w:r>
            <w:r w:rsidR="00FE70B7">
              <w:rPr>
                <w:noProof/>
                <w:webHidden/>
              </w:rPr>
              <w:fldChar w:fldCharType="separate"/>
            </w:r>
            <w:r w:rsidR="00FE70B7">
              <w:rPr>
                <w:noProof/>
                <w:webHidden/>
              </w:rPr>
              <w:t>15</w:t>
            </w:r>
            <w:r w:rsidR="00FE70B7">
              <w:rPr>
                <w:noProof/>
                <w:webHidden/>
              </w:rPr>
              <w:fldChar w:fldCharType="end"/>
            </w:r>
          </w:hyperlink>
        </w:p>
        <w:p w14:paraId="0E166837" w14:textId="7685B119" w:rsidR="00FE70B7" w:rsidRDefault="005A7942">
          <w:pPr>
            <w:pStyle w:val="TOC1"/>
            <w:tabs>
              <w:tab w:val="left" w:pos="440"/>
              <w:tab w:val="right" w:leader="dot" w:pos="9016"/>
            </w:tabs>
            <w:rPr>
              <w:rFonts w:asciiTheme="minorHAnsi" w:eastAsiaTheme="minorEastAsia" w:hAnsiTheme="minorHAnsi" w:cstheme="minorBidi"/>
              <w:noProof/>
              <w:lang w:eastAsia="en-AU"/>
            </w:rPr>
          </w:pPr>
          <w:hyperlink w:anchor="_Toc126935649" w:history="1">
            <w:r w:rsidR="00FE70B7" w:rsidRPr="00970EE7">
              <w:rPr>
                <w:rStyle w:val="Hyperlink"/>
                <w:rFonts w:eastAsiaTheme="majorEastAsia" w:cstheme="majorBidi"/>
                <w:b/>
                <w:noProof/>
              </w:rPr>
              <w:t>4</w:t>
            </w:r>
            <w:r w:rsidR="00FE70B7">
              <w:rPr>
                <w:rFonts w:asciiTheme="minorHAnsi" w:eastAsiaTheme="minorEastAsia" w:hAnsiTheme="minorHAnsi" w:cstheme="minorBidi"/>
                <w:noProof/>
                <w:lang w:eastAsia="en-AU"/>
              </w:rPr>
              <w:tab/>
            </w:r>
            <w:r w:rsidR="00FE70B7" w:rsidRPr="00970EE7">
              <w:rPr>
                <w:rStyle w:val="Hyperlink"/>
                <w:rFonts w:eastAsiaTheme="majorEastAsia" w:cstheme="majorBidi"/>
                <w:b/>
                <w:noProof/>
              </w:rPr>
              <w:t>Product management</w:t>
            </w:r>
            <w:r w:rsidR="00FE70B7">
              <w:rPr>
                <w:noProof/>
                <w:webHidden/>
              </w:rPr>
              <w:tab/>
            </w:r>
            <w:r w:rsidR="00FE70B7">
              <w:rPr>
                <w:noProof/>
                <w:webHidden/>
              </w:rPr>
              <w:fldChar w:fldCharType="begin"/>
            </w:r>
            <w:r w:rsidR="00FE70B7">
              <w:rPr>
                <w:noProof/>
                <w:webHidden/>
              </w:rPr>
              <w:instrText xml:space="preserve"> PAGEREF _Toc126935649 \h </w:instrText>
            </w:r>
            <w:r w:rsidR="00FE70B7">
              <w:rPr>
                <w:noProof/>
                <w:webHidden/>
              </w:rPr>
            </w:r>
            <w:r w:rsidR="00FE70B7">
              <w:rPr>
                <w:noProof/>
                <w:webHidden/>
              </w:rPr>
              <w:fldChar w:fldCharType="separate"/>
            </w:r>
            <w:r w:rsidR="00FE70B7">
              <w:rPr>
                <w:noProof/>
                <w:webHidden/>
              </w:rPr>
              <w:t>17</w:t>
            </w:r>
            <w:r w:rsidR="00FE70B7">
              <w:rPr>
                <w:noProof/>
                <w:webHidden/>
              </w:rPr>
              <w:fldChar w:fldCharType="end"/>
            </w:r>
          </w:hyperlink>
        </w:p>
        <w:p w14:paraId="0CA8B3FD" w14:textId="12495E34"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50" w:history="1">
            <w:r w:rsidR="00FE70B7" w:rsidRPr="00970EE7">
              <w:rPr>
                <w:rStyle w:val="Hyperlink"/>
                <w:rFonts w:cstheme="minorHAnsi"/>
                <w:b/>
                <w:noProof/>
              </w:rPr>
              <w:t>4.1</w:t>
            </w:r>
            <w:r w:rsidR="00FE70B7">
              <w:rPr>
                <w:rFonts w:asciiTheme="minorHAnsi" w:eastAsiaTheme="minorEastAsia" w:hAnsiTheme="minorHAnsi" w:cstheme="minorBidi"/>
                <w:noProof/>
                <w:lang w:eastAsia="en-AU"/>
              </w:rPr>
              <w:tab/>
            </w:r>
            <w:r w:rsidR="00FE70B7" w:rsidRPr="00970EE7">
              <w:rPr>
                <w:rStyle w:val="Hyperlink"/>
                <w:rFonts w:cs="Arial"/>
                <w:b/>
                <w:noProof/>
              </w:rPr>
              <w:t>Storage</w:t>
            </w:r>
            <w:r w:rsidR="00FE70B7">
              <w:rPr>
                <w:noProof/>
                <w:webHidden/>
              </w:rPr>
              <w:tab/>
            </w:r>
            <w:r w:rsidR="00FE70B7">
              <w:rPr>
                <w:noProof/>
                <w:webHidden/>
              </w:rPr>
              <w:fldChar w:fldCharType="begin"/>
            </w:r>
            <w:r w:rsidR="00FE70B7">
              <w:rPr>
                <w:noProof/>
                <w:webHidden/>
              </w:rPr>
              <w:instrText xml:space="preserve"> PAGEREF _Toc126935650 \h </w:instrText>
            </w:r>
            <w:r w:rsidR="00FE70B7">
              <w:rPr>
                <w:noProof/>
                <w:webHidden/>
              </w:rPr>
            </w:r>
            <w:r w:rsidR="00FE70B7">
              <w:rPr>
                <w:noProof/>
                <w:webHidden/>
              </w:rPr>
              <w:fldChar w:fldCharType="separate"/>
            </w:r>
            <w:r w:rsidR="00FE70B7">
              <w:rPr>
                <w:noProof/>
                <w:webHidden/>
              </w:rPr>
              <w:t>17</w:t>
            </w:r>
            <w:r w:rsidR="00FE70B7">
              <w:rPr>
                <w:noProof/>
                <w:webHidden/>
              </w:rPr>
              <w:fldChar w:fldCharType="end"/>
            </w:r>
          </w:hyperlink>
        </w:p>
        <w:p w14:paraId="3F0DB89E" w14:textId="0600F547"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51" w:history="1">
            <w:r w:rsidR="00FE70B7" w:rsidRPr="00970EE7">
              <w:rPr>
                <w:rStyle w:val="Hyperlink"/>
                <w:rFonts w:cstheme="minorHAnsi"/>
                <w:b/>
                <w:noProof/>
              </w:rPr>
              <w:t>4.2</w:t>
            </w:r>
            <w:r w:rsidR="00FE70B7">
              <w:rPr>
                <w:rFonts w:asciiTheme="minorHAnsi" w:eastAsiaTheme="minorEastAsia" w:hAnsiTheme="minorHAnsi" w:cstheme="minorBidi"/>
                <w:noProof/>
                <w:lang w:eastAsia="en-AU"/>
              </w:rPr>
              <w:tab/>
            </w:r>
            <w:r w:rsidR="00FE70B7" w:rsidRPr="00970EE7">
              <w:rPr>
                <w:rStyle w:val="Hyperlink"/>
                <w:rFonts w:cs="Arial"/>
                <w:b/>
                <w:noProof/>
              </w:rPr>
              <w:t>Treatment</w:t>
            </w:r>
            <w:r w:rsidR="00FE70B7">
              <w:rPr>
                <w:noProof/>
                <w:webHidden/>
              </w:rPr>
              <w:tab/>
            </w:r>
            <w:r w:rsidR="00FE70B7">
              <w:rPr>
                <w:noProof/>
                <w:webHidden/>
              </w:rPr>
              <w:fldChar w:fldCharType="begin"/>
            </w:r>
            <w:r w:rsidR="00FE70B7">
              <w:rPr>
                <w:noProof/>
                <w:webHidden/>
              </w:rPr>
              <w:instrText xml:space="preserve"> PAGEREF _Toc126935651 \h </w:instrText>
            </w:r>
            <w:r w:rsidR="00FE70B7">
              <w:rPr>
                <w:noProof/>
                <w:webHidden/>
              </w:rPr>
            </w:r>
            <w:r w:rsidR="00FE70B7">
              <w:rPr>
                <w:noProof/>
                <w:webHidden/>
              </w:rPr>
              <w:fldChar w:fldCharType="separate"/>
            </w:r>
            <w:r w:rsidR="00FE70B7">
              <w:rPr>
                <w:noProof/>
                <w:webHidden/>
              </w:rPr>
              <w:t>17</w:t>
            </w:r>
            <w:r w:rsidR="00FE70B7">
              <w:rPr>
                <w:noProof/>
                <w:webHidden/>
              </w:rPr>
              <w:fldChar w:fldCharType="end"/>
            </w:r>
          </w:hyperlink>
        </w:p>
        <w:p w14:paraId="0C7058B9" w14:textId="6FB57B39" w:rsidR="00FE70B7" w:rsidRDefault="005A7942">
          <w:pPr>
            <w:pStyle w:val="TOC1"/>
            <w:tabs>
              <w:tab w:val="left" w:pos="440"/>
              <w:tab w:val="right" w:leader="dot" w:pos="9016"/>
            </w:tabs>
            <w:rPr>
              <w:rFonts w:asciiTheme="minorHAnsi" w:eastAsiaTheme="minorEastAsia" w:hAnsiTheme="minorHAnsi" w:cstheme="minorBidi"/>
              <w:noProof/>
              <w:lang w:eastAsia="en-AU"/>
            </w:rPr>
          </w:pPr>
          <w:hyperlink w:anchor="_Toc126935652" w:history="1">
            <w:r w:rsidR="00FE70B7" w:rsidRPr="00970EE7">
              <w:rPr>
                <w:rStyle w:val="Hyperlink"/>
                <w:rFonts w:eastAsiaTheme="majorEastAsia" w:cstheme="majorBidi"/>
                <w:b/>
                <w:noProof/>
              </w:rPr>
              <w:t>5</w:t>
            </w:r>
            <w:r w:rsidR="00FE70B7">
              <w:rPr>
                <w:rFonts w:asciiTheme="minorHAnsi" w:eastAsiaTheme="minorEastAsia" w:hAnsiTheme="minorHAnsi" w:cstheme="minorBidi"/>
                <w:noProof/>
                <w:lang w:eastAsia="en-AU"/>
              </w:rPr>
              <w:tab/>
            </w:r>
            <w:r w:rsidR="00FE70B7" w:rsidRPr="00970EE7">
              <w:rPr>
                <w:rStyle w:val="Hyperlink"/>
                <w:rFonts w:eastAsiaTheme="majorEastAsia" w:cstheme="majorBidi"/>
                <w:b/>
                <w:noProof/>
              </w:rPr>
              <w:t>Immunoglobulin</w:t>
            </w:r>
            <w:r w:rsidR="00FE70B7">
              <w:rPr>
                <w:noProof/>
                <w:webHidden/>
              </w:rPr>
              <w:tab/>
            </w:r>
            <w:r w:rsidR="00FE70B7">
              <w:rPr>
                <w:noProof/>
                <w:webHidden/>
              </w:rPr>
              <w:fldChar w:fldCharType="begin"/>
            </w:r>
            <w:r w:rsidR="00FE70B7">
              <w:rPr>
                <w:noProof/>
                <w:webHidden/>
              </w:rPr>
              <w:instrText xml:space="preserve"> PAGEREF _Toc126935652 \h </w:instrText>
            </w:r>
            <w:r w:rsidR="00FE70B7">
              <w:rPr>
                <w:noProof/>
                <w:webHidden/>
              </w:rPr>
            </w:r>
            <w:r w:rsidR="00FE70B7">
              <w:rPr>
                <w:noProof/>
                <w:webHidden/>
              </w:rPr>
              <w:fldChar w:fldCharType="separate"/>
            </w:r>
            <w:r w:rsidR="00FE70B7">
              <w:rPr>
                <w:noProof/>
                <w:webHidden/>
              </w:rPr>
              <w:t>18</w:t>
            </w:r>
            <w:r w:rsidR="00FE70B7">
              <w:rPr>
                <w:noProof/>
                <w:webHidden/>
              </w:rPr>
              <w:fldChar w:fldCharType="end"/>
            </w:r>
          </w:hyperlink>
        </w:p>
        <w:p w14:paraId="4D086415" w14:textId="29A271FA" w:rsidR="00FE70B7" w:rsidRDefault="005A7942">
          <w:pPr>
            <w:pStyle w:val="TOC1"/>
            <w:tabs>
              <w:tab w:val="left" w:pos="440"/>
              <w:tab w:val="right" w:leader="dot" w:pos="9016"/>
            </w:tabs>
            <w:rPr>
              <w:rFonts w:asciiTheme="minorHAnsi" w:eastAsiaTheme="minorEastAsia" w:hAnsiTheme="minorHAnsi" w:cstheme="minorBidi"/>
              <w:noProof/>
              <w:lang w:eastAsia="en-AU"/>
            </w:rPr>
          </w:pPr>
          <w:hyperlink w:anchor="_Toc126935653" w:history="1">
            <w:r w:rsidR="00FE70B7" w:rsidRPr="00970EE7">
              <w:rPr>
                <w:rStyle w:val="Hyperlink"/>
                <w:rFonts w:eastAsiaTheme="majorEastAsia" w:cstheme="majorBidi"/>
                <w:b/>
                <w:noProof/>
              </w:rPr>
              <w:t>6</w:t>
            </w:r>
            <w:r w:rsidR="00FE70B7">
              <w:rPr>
                <w:rFonts w:asciiTheme="minorHAnsi" w:eastAsiaTheme="minorEastAsia" w:hAnsiTheme="minorHAnsi" w:cstheme="minorBidi"/>
                <w:noProof/>
                <w:lang w:eastAsia="en-AU"/>
              </w:rPr>
              <w:tab/>
            </w:r>
            <w:r w:rsidR="00FE70B7" w:rsidRPr="00970EE7">
              <w:rPr>
                <w:rStyle w:val="Hyperlink"/>
                <w:rFonts w:eastAsiaTheme="majorEastAsia" w:cstheme="majorBidi"/>
                <w:b/>
                <w:noProof/>
              </w:rPr>
              <w:t>Gene therapies</w:t>
            </w:r>
            <w:r w:rsidR="00FE70B7">
              <w:rPr>
                <w:noProof/>
                <w:webHidden/>
              </w:rPr>
              <w:tab/>
            </w:r>
            <w:r w:rsidR="00FE70B7">
              <w:rPr>
                <w:noProof/>
                <w:webHidden/>
              </w:rPr>
              <w:fldChar w:fldCharType="begin"/>
            </w:r>
            <w:r w:rsidR="00FE70B7">
              <w:rPr>
                <w:noProof/>
                <w:webHidden/>
              </w:rPr>
              <w:instrText xml:space="preserve"> PAGEREF _Toc126935653 \h </w:instrText>
            </w:r>
            <w:r w:rsidR="00FE70B7">
              <w:rPr>
                <w:noProof/>
                <w:webHidden/>
              </w:rPr>
            </w:r>
            <w:r w:rsidR="00FE70B7">
              <w:rPr>
                <w:noProof/>
                <w:webHidden/>
              </w:rPr>
              <w:fldChar w:fldCharType="separate"/>
            </w:r>
            <w:r w:rsidR="00FE70B7">
              <w:rPr>
                <w:noProof/>
                <w:webHidden/>
              </w:rPr>
              <w:t>18</w:t>
            </w:r>
            <w:r w:rsidR="00FE70B7">
              <w:rPr>
                <w:noProof/>
                <w:webHidden/>
              </w:rPr>
              <w:fldChar w:fldCharType="end"/>
            </w:r>
          </w:hyperlink>
        </w:p>
        <w:p w14:paraId="55F46048" w14:textId="537292D4"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54" w:history="1">
            <w:r w:rsidR="00FE70B7" w:rsidRPr="00970EE7">
              <w:rPr>
                <w:rStyle w:val="Hyperlink"/>
                <w:rFonts w:cstheme="minorHAnsi"/>
                <w:b/>
                <w:noProof/>
              </w:rPr>
              <w:t>6.1</w:t>
            </w:r>
            <w:r w:rsidR="00FE70B7">
              <w:rPr>
                <w:rFonts w:asciiTheme="minorHAnsi" w:eastAsiaTheme="minorEastAsia" w:hAnsiTheme="minorHAnsi" w:cstheme="minorBidi"/>
                <w:noProof/>
                <w:lang w:eastAsia="en-AU"/>
              </w:rPr>
              <w:tab/>
            </w:r>
            <w:r w:rsidR="00FE70B7" w:rsidRPr="00970EE7">
              <w:rPr>
                <w:rStyle w:val="Hyperlink"/>
                <w:rFonts w:cs="Arial"/>
                <w:b/>
                <w:noProof/>
              </w:rPr>
              <w:t>Gene therapies: blood and bleeding disorders</w:t>
            </w:r>
            <w:r w:rsidR="00FE70B7">
              <w:rPr>
                <w:noProof/>
                <w:webHidden/>
              </w:rPr>
              <w:tab/>
            </w:r>
            <w:r w:rsidR="00FE70B7">
              <w:rPr>
                <w:noProof/>
                <w:webHidden/>
              </w:rPr>
              <w:fldChar w:fldCharType="begin"/>
            </w:r>
            <w:r w:rsidR="00FE70B7">
              <w:rPr>
                <w:noProof/>
                <w:webHidden/>
              </w:rPr>
              <w:instrText xml:space="preserve"> PAGEREF _Toc126935654 \h </w:instrText>
            </w:r>
            <w:r w:rsidR="00FE70B7">
              <w:rPr>
                <w:noProof/>
                <w:webHidden/>
              </w:rPr>
            </w:r>
            <w:r w:rsidR="00FE70B7">
              <w:rPr>
                <w:noProof/>
                <w:webHidden/>
              </w:rPr>
              <w:fldChar w:fldCharType="separate"/>
            </w:r>
            <w:r w:rsidR="00FE70B7">
              <w:rPr>
                <w:noProof/>
                <w:webHidden/>
              </w:rPr>
              <w:t>18</w:t>
            </w:r>
            <w:r w:rsidR="00FE70B7">
              <w:rPr>
                <w:noProof/>
                <w:webHidden/>
              </w:rPr>
              <w:fldChar w:fldCharType="end"/>
            </w:r>
          </w:hyperlink>
        </w:p>
        <w:p w14:paraId="1B1E7E27" w14:textId="03AFA023" w:rsidR="00FE70B7" w:rsidRDefault="005A7942">
          <w:pPr>
            <w:pStyle w:val="TOC1"/>
            <w:tabs>
              <w:tab w:val="left" w:pos="440"/>
              <w:tab w:val="right" w:leader="dot" w:pos="9016"/>
            </w:tabs>
            <w:rPr>
              <w:rFonts w:asciiTheme="minorHAnsi" w:eastAsiaTheme="minorEastAsia" w:hAnsiTheme="minorHAnsi" w:cstheme="minorBidi"/>
              <w:noProof/>
              <w:lang w:eastAsia="en-AU"/>
            </w:rPr>
          </w:pPr>
          <w:hyperlink w:anchor="_Toc126935655" w:history="1">
            <w:r w:rsidR="00FE70B7" w:rsidRPr="00970EE7">
              <w:rPr>
                <w:rStyle w:val="Hyperlink"/>
                <w:rFonts w:eastAsiaTheme="majorEastAsia" w:cstheme="majorBidi"/>
                <w:b/>
                <w:noProof/>
              </w:rPr>
              <w:t>7</w:t>
            </w:r>
            <w:r w:rsidR="00FE70B7">
              <w:rPr>
                <w:rFonts w:asciiTheme="minorHAnsi" w:eastAsiaTheme="minorEastAsia" w:hAnsiTheme="minorHAnsi" w:cstheme="minorBidi"/>
                <w:noProof/>
                <w:lang w:eastAsia="en-AU"/>
              </w:rPr>
              <w:tab/>
            </w:r>
            <w:r w:rsidR="00FE70B7" w:rsidRPr="00970EE7">
              <w:rPr>
                <w:rStyle w:val="Hyperlink"/>
                <w:rFonts w:eastAsiaTheme="majorEastAsia" w:cstheme="majorBidi"/>
                <w:b/>
                <w:noProof/>
              </w:rPr>
              <w:t>COVID-19</w:t>
            </w:r>
            <w:r w:rsidR="00FE70B7">
              <w:rPr>
                <w:noProof/>
                <w:webHidden/>
              </w:rPr>
              <w:tab/>
            </w:r>
            <w:r w:rsidR="00FE70B7">
              <w:rPr>
                <w:noProof/>
                <w:webHidden/>
              </w:rPr>
              <w:fldChar w:fldCharType="begin"/>
            </w:r>
            <w:r w:rsidR="00FE70B7">
              <w:rPr>
                <w:noProof/>
                <w:webHidden/>
              </w:rPr>
              <w:instrText xml:space="preserve"> PAGEREF _Toc126935655 \h </w:instrText>
            </w:r>
            <w:r w:rsidR="00FE70B7">
              <w:rPr>
                <w:noProof/>
                <w:webHidden/>
              </w:rPr>
            </w:r>
            <w:r w:rsidR="00FE70B7">
              <w:rPr>
                <w:noProof/>
                <w:webHidden/>
              </w:rPr>
              <w:fldChar w:fldCharType="separate"/>
            </w:r>
            <w:r w:rsidR="00FE70B7">
              <w:rPr>
                <w:noProof/>
                <w:webHidden/>
              </w:rPr>
              <w:t>20</w:t>
            </w:r>
            <w:r w:rsidR="00FE70B7">
              <w:rPr>
                <w:noProof/>
                <w:webHidden/>
              </w:rPr>
              <w:fldChar w:fldCharType="end"/>
            </w:r>
          </w:hyperlink>
        </w:p>
        <w:p w14:paraId="7BDA6965" w14:textId="05123CEF"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56" w:history="1">
            <w:r w:rsidR="00FE70B7" w:rsidRPr="00970EE7">
              <w:rPr>
                <w:rStyle w:val="Hyperlink"/>
                <w:rFonts w:cstheme="minorHAnsi"/>
                <w:b/>
                <w:noProof/>
              </w:rPr>
              <w:t>7.1</w:t>
            </w:r>
            <w:r w:rsidR="00FE70B7">
              <w:rPr>
                <w:rFonts w:asciiTheme="minorHAnsi" w:eastAsiaTheme="minorEastAsia" w:hAnsiTheme="minorHAnsi" w:cstheme="minorBidi"/>
                <w:noProof/>
                <w:lang w:eastAsia="en-AU"/>
              </w:rPr>
              <w:tab/>
            </w:r>
            <w:r w:rsidR="00FE70B7" w:rsidRPr="00970EE7">
              <w:rPr>
                <w:rStyle w:val="Hyperlink"/>
                <w:rFonts w:cs="Arial"/>
                <w:b/>
                <w:bCs/>
                <w:noProof/>
              </w:rPr>
              <w:t>COVID-19 effect on blood, blood diseases and related services</w:t>
            </w:r>
            <w:r w:rsidR="00FE70B7">
              <w:rPr>
                <w:noProof/>
                <w:webHidden/>
              </w:rPr>
              <w:tab/>
            </w:r>
            <w:r w:rsidR="00FE70B7">
              <w:rPr>
                <w:noProof/>
                <w:webHidden/>
              </w:rPr>
              <w:fldChar w:fldCharType="begin"/>
            </w:r>
            <w:r w:rsidR="00FE70B7">
              <w:rPr>
                <w:noProof/>
                <w:webHidden/>
              </w:rPr>
              <w:instrText xml:space="preserve"> PAGEREF _Toc126935656 \h </w:instrText>
            </w:r>
            <w:r w:rsidR="00FE70B7">
              <w:rPr>
                <w:noProof/>
                <w:webHidden/>
              </w:rPr>
            </w:r>
            <w:r w:rsidR="00FE70B7">
              <w:rPr>
                <w:noProof/>
                <w:webHidden/>
              </w:rPr>
              <w:fldChar w:fldCharType="separate"/>
            </w:r>
            <w:r w:rsidR="00FE70B7">
              <w:rPr>
                <w:noProof/>
                <w:webHidden/>
              </w:rPr>
              <w:t>20</w:t>
            </w:r>
            <w:r w:rsidR="00FE70B7">
              <w:rPr>
                <w:noProof/>
                <w:webHidden/>
              </w:rPr>
              <w:fldChar w:fldCharType="end"/>
            </w:r>
          </w:hyperlink>
        </w:p>
        <w:p w14:paraId="050A2F9F" w14:textId="77CA2E8D"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57" w:history="1">
            <w:r w:rsidR="00FE70B7" w:rsidRPr="00970EE7">
              <w:rPr>
                <w:rStyle w:val="Hyperlink"/>
                <w:rFonts w:cstheme="minorHAnsi"/>
                <w:b/>
                <w:noProof/>
              </w:rPr>
              <w:t>7.2</w:t>
            </w:r>
            <w:r w:rsidR="00FE70B7">
              <w:rPr>
                <w:rFonts w:asciiTheme="minorHAnsi" w:eastAsiaTheme="minorEastAsia" w:hAnsiTheme="minorHAnsi" w:cstheme="minorBidi"/>
                <w:noProof/>
                <w:lang w:eastAsia="en-AU"/>
              </w:rPr>
              <w:tab/>
            </w:r>
            <w:r w:rsidR="00FE70B7" w:rsidRPr="00970EE7">
              <w:rPr>
                <w:rStyle w:val="Hyperlink"/>
                <w:rFonts w:cs="Arial"/>
                <w:b/>
                <w:bCs/>
                <w:noProof/>
              </w:rPr>
              <w:t>COVID-19 research and treatment</w:t>
            </w:r>
            <w:r w:rsidR="00FE70B7">
              <w:rPr>
                <w:noProof/>
                <w:webHidden/>
              </w:rPr>
              <w:tab/>
            </w:r>
            <w:r w:rsidR="00FE70B7">
              <w:rPr>
                <w:noProof/>
                <w:webHidden/>
              </w:rPr>
              <w:fldChar w:fldCharType="begin"/>
            </w:r>
            <w:r w:rsidR="00FE70B7">
              <w:rPr>
                <w:noProof/>
                <w:webHidden/>
              </w:rPr>
              <w:instrText xml:space="preserve"> PAGEREF _Toc126935657 \h </w:instrText>
            </w:r>
            <w:r w:rsidR="00FE70B7">
              <w:rPr>
                <w:noProof/>
                <w:webHidden/>
              </w:rPr>
            </w:r>
            <w:r w:rsidR="00FE70B7">
              <w:rPr>
                <w:noProof/>
                <w:webHidden/>
              </w:rPr>
              <w:fldChar w:fldCharType="separate"/>
            </w:r>
            <w:r w:rsidR="00FE70B7">
              <w:rPr>
                <w:noProof/>
                <w:webHidden/>
              </w:rPr>
              <w:t>20</w:t>
            </w:r>
            <w:r w:rsidR="00FE70B7">
              <w:rPr>
                <w:noProof/>
                <w:webHidden/>
              </w:rPr>
              <w:fldChar w:fldCharType="end"/>
            </w:r>
          </w:hyperlink>
        </w:p>
        <w:p w14:paraId="72D197D6" w14:textId="63B1128C" w:rsidR="00FE70B7" w:rsidRDefault="005A7942">
          <w:pPr>
            <w:pStyle w:val="TOC1"/>
            <w:tabs>
              <w:tab w:val="left" w:pos="440"/>
              <w:tab w:val="right" w:leader="dot" w:pos="9016"/>
            </w:tabs>
            <w:rPr>
              <w:rFonts w:asciiTheme="minorHAnsi" w:eastAsiaTheme="minorEastAsia" w:hAnsiTheme="minorHAnsi" w:cstheme="minorBidi"/>
              <w:noProof/>
              <w:lang w:eastAsia="en-AU"/>
            </w:rPr>
          </w:pPr>
          <w:hyperlink w:anchor="_Toc126935658" w:history="1">
            <w:r w:rsidR="00FE70B7" w:rsidRPr="00970EE7">
              <w:rPr>
                <w:rStyle w:val="Hyperlink"/>
                <w:rFonts w:eastAsiaTheme="majorEastAsia" w:cstheme="majorBidi"/>
                <w:b/>
                <w:noProof/>
              </w:rPr>
              <w:t>8</w:t>
            </w:r>
            <w:r w:rsidR="00FE70B7">
              <w:rPr>
                <w:rFonts w:asciiTheme="minorHAnsi" w:eastAsiaTheme="minorEastAsia" w:hAnsiTheme="minorHAnsi" w:cstheme="minorBidi"/>
                <w:noProof/>
                <w:lang w:eastAsia="en-AU"/>
              </w:rPr>
              <w:tab/>
            </w:r>
            <w:r w:rsidR="00FE70B7" w:rsidRPr="00970EE7">
              <w:rPr>
                <w:rStyle w:val="Hyperlink"/>
                <w:rFonts w:eastAsiaTheme="majorEastAsia" w:cstheme="majorBidi"/>
                <w:b/>
                <w:noProof/>
              </w:rPr>
              <w:t>Other items of interest</w:t>
            </w:r>
            <w:r w:rsidR="00FE70B7">
              <w:rPr>
                <w:noProof/>
                <w:webHidden/>
              </w:rPr>
              <w:tab/>
            </w:r>
            <w:r w:rsidR="00FE70B7">
              <w:rPr>
                <w:noProof/>
                <w:webHidden/>
              </w:rPr>
              <w:fldChar w:fldCharType="begin"/>
            </w:r>
            <w:r w:rsidR="00FE70B7">
              <w:rPr>
                <w:noProof/>
                <w:webHidden/>
              </w:rPr>
              <w:instrText xml:space="preserve"> PAGEREF _Toc126935658 \h </w:instrText>
            </w:r>
            <w:r w:rsidR="00FE70B7">
              <w:rPr>
                <w:noProof/>
                <w:webHidden/>
              </w:rPr>
            </w:r>
            <w:r w:rsidR="00FE70B7">
              <w:rPr>
                <w:noProof/>
                <w:webHidden/>
              </w:rPr>
              <w:fldChar w:fldCharType="separate"/>
            </w:r>
            <w:r w:rsidR="00FE70B7">
              <w:rPr>
                <w:noProof/>
                <w:webHidden/>
              </w:rPr>
              <w:t>21</w:t>
            </w:r>
            <w:r w:rsidR="00FE70B7">
              <w:rPr>
                <w:noProof/>
                <w:webHidden/>
              </w:rPr>
              <w:fldChar w:fldCharType="end"/>
            </w:r>
          </w:hyperlink>
        </w:p>
        <w:p w14:paraId="6DBAEBF8" w14:textId="4B854B5D"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59" w:history="1">
            <w:r w:rsidR="00FE70B7" w:rsidRPr="00970EE7">
              <w:rPr>
                <w:rStyle w:val="Hyperlink"/>
                <w:rFonts w:cstheme="minorHAnsi"/>
                <w:b/>
                <w:noProof/>
              </w:rPr>
              <w:t>8.1</w:t>
            </w:r>
            <w:r w:rsidR="00FE70B7">
              <w:rPr>
                <w:rFonts w:asciiTheme="minorHAnsi" w:eastAsiaTheme="minorEastAsia" w:hAnsiTheme="minorHAnsi" w:cstheme="minorBidi"/>
                <w:noProof/>
                <w:lang w:eastAsia="en-AU"/>
              </w:rPr>
              <w:tab/>
            </w:r>
            <w:r w:rsidR="00FE70B7" w:rsidRPr="00970EE7">
              <w:rPr>
                <w:rStyle w:val="Hyperlink"/>
                <w:rFonts w:cs="Arial"/>
                <w:b/>
                <w:bCs/>
                <w:noProof/>
              </w:rPr>
              <w:t>NBA - National Blood Sector Research and Development Program</w:t>
            </w:r>
            <w:r w:rsidR="00FE70B7">
              <w:rPr>
                <w:noProof/>
                <w:webHidden/>
              </w:rPr>
              <w:tab/>
            </w:r>
            <w:r w:rsidR="00FE70B7">
              <w:rPr>
                <w:noProof/>
                <w:webHidden/>
              </w:rPr>
              <w:fldChar w:fldCharType="begin"/>
            </w:r>
            <w:r w:rsidR="00FE70B7">
              <w:rPr>
                <w:noProof/>
                <w:webHidden/>
              </w:rPr>
              <w:instrText xml:space="preserve"> PAGEREF _Toc126935659 \h </w:instrText>
            </w:r>
            <w:r w:rsidR="00FE70B7">
              <w:rPr>
                <w:noProof/>
                <w:webHidden/>
              </w:rPr>
            </w:r>
            <w:r w:rsidR="00FE70B7">
              <w:rPr>
                <w:noProof/>
                <w:webHidden/>
              </w:rPr>
              <w:fldChar w:fldCharType="separate"/>
            </w:r>
            <w:r w:rsidR="00FE70B7">
              <w:rPr>
                <w:noProof/>
                <w:webHidden/>
              </w:rPr>
              <w:t>21</w:t>
            </w:r>
            <w:r w:rsidR="00FE70B7">
              <w:rPr>
                <w:noProof/>
                <w:webHidden/>
              </w:rPr>
              <w:fldChar w:fldCharType="end"/>
            </w:r>
          </w:hyperlink>
        </w:p>
        <w:p w14:paraId="36FB736B" w14:textId="47DD6CCA"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60" w:history="1">
            <w:r w:rsidR="00FE70B7" w:rsidRPr="00970EE7">
              <w:rPr>
                <w:rStyle w:val="Hyperlink"/>
                <w:rFonts w:cstheme="minorHAnsi"/>
                <w:b/>
                <w:noProof/>
              </w:rPr>
              <w:t>8.2</w:t>
            </w:r>
            <w:r w:rsidR="00FE70B7">
              <w:rPr>
                <w:rFonts w:asciiTheme="minorHAnsi" w:eastAsiaTheme="minorEastAsia" w:hAnsiTheme="minorHAnsi" w:cstheme="minorBidi"/>
                <w:noProof/>
                <w:lang w:eastAsia="en-AU"/>
              </w:rPr>
              <w:tab/>
            </w:r>
            <w:r w:rsidR="00FE70B7" w:rsidRPr="00970EE7">
              <w:rPr>
                <w:rStyle w:val="Hyperlink"/>
                <w:rFonts w:cs="Arial"/>
                <w:b/>
                <w:bCs/>
                <w:noProof/>
              </w:rPr>
              <w:t>Lifeblood</w:t>
            </w:r>
            <w:r w:rsidR="00FE70B7">
              <w:rPr>
                <w:noProof/>
                <w:webHidden/>
              </w:rPr>
              <w:tab/>
            </w:r>
            <w:r w:rsidR="00FE70B7">
              <w:rPr>
                <w:noProof/>
                <w:webHidden/>
              </w:rPr>
              <w:fldChar w:fldCharType="begin"/>
            </w:r>
            <w:r w:rsidR="00FE70B7">
              <w:rPr>
                <w:noProof/>
                <w:webHidden/>
              </w:rPr>
              <w:instrText xml:space="preserve"> PAGEREF _Toc126935660 \h </w:instrText>
            </w:r>
            <w:r w:rsidR="00FE70B7">
              <w:rPr>
                <w:noProof/>
                <w:webHidden/>
              </w:rPr>
            </w:r>
            <w:r w:rsidR="00FE70B7">
              <w:rPr>
                <w:noProof/>
                <w:webHidden/>
              </w:rPr>
              <w:fldChar w:fldCharType="separate"/>
            </w:r>
            <w:r w:rsidR="00FE70B7">
              <w:rPr>
                <w:noProof/>
                <w:webHidden/>
              </w:rPr>
              <w:t>22</w:t>
            </w:r>
            <w:r w:rsidR="00FE70B7">
              <w:rPr>
                <w:noProof/>
                <w:webHidden/>
              </w:rPr>
              <w:fldChar w:fldCharType="end"/>
            </w:r>
          </w:hyperlink>
        </w:p>
        <w:p w14:paraId="6787A01E" w14:textId="7353EC92"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61" w:history="1">
            <w:r w:rsidR="00FE70B7" w:rsidRPr="00970EE7">
              <w:rPr>
                <w:rStyle w:val="Hyperlink"/>
                <w:rFonts w:cstheme="minorHAnsi"/>
                <w:b/>
                <w:noProof/>
              </w:rPr>
              <w:t>8.3</w:t>
            </w:r>
            <w:r w:rsidR="00FE70B7">
              <w:rPr>
                <w:rFonts w:asciiTheme="minorHAnsi" w:eastAsiaTheme="minorEastAsia" w:hAnsiTheme="minorHAnsi" w:cstheme="minorBidi"/>
                <w:noProof/>
                <w:lang w:eastAsia="en-AU"/>
              </w:rPr>
              <w:tab/>
            </w:r>
            <w:r w:rsidR="00FE70B7" w:rsidRPr="00970EE7">
              <w:rPr>
                <w:rStyle w:val="Hyperlink"/>
                <w:rFonts w:cs="Arial"/>
                <w:b/>
                <w:bCs/>
                <w:noProof/>
              </w:rPr>
              <w:t>Research and development news</w:t>
            </w:r>
            <w:r w:rsidR="00FE70B7">
              <w:rPr>
                <w:noProof/>
                <w:webHidden/>
              </w:rPr>
              <w:tab/>
            </w:r>
            <w:r w:rsidR="00FE70B7">
              <w:rPr>
                <w:noProof/>
                <w:webHidden/>
              </w:rPr>
              <w:fldChar w:fldCharType="begin"/>
            </w:r>
            <w:r w:rsidR="00FE70B7">
              <w:rPr>
                <w:noProof/>
                <w:webHidden/>
              </w:rPr>
              <w:instrText xml:space="preserve"> PAGEREF _Toc126935661 \h </w:instrText>
            </w:r>
            <w:r w:rsidR="00FE70B7">
              <w:rPr>
                <w:noProof/>
                <w:webHidden/>
              </w:rPr>
            </w:r>
            <w:r w:rsidR="00FE70B7">
              <w:rPr>
                <w:noProof/>
                <w:webHidden/>
              </w:rPr>
              <w:fldChar w:fldCharType="separate"/>
            </w:r>
            <w:r w:rsidR="00FE70B7">
              <w:rPr>
                <w:noProof/>
                <w:webHidden/>
              </w:rPr>
              <w:t>22</w:t>
            </w:r>
            <w:r w:rsidR="00FE70B7">
              <w:rPr>
                <w:noProof/>
                <w:webHidden/>
              </w:rPr>
              <w:fldChar w:fldCharType="end"/>
            </w:r>
          </w:hyperlink>
        </w:p>
        <w:p w14:paraId="59168D57" w14:textId="124B13E2"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62" w:history="1">
            <w:r w:rsidR="00FE70B7" w:rsidRPr="00970EE7">
              <w:rPr>
                <w:rStyle w:val="Hyperlink"/>
                <w:rFonts w:cstheme="minorHAnsi"/>
                <w:b/>
                <w:noProof/>
              </w:rPr>
              <w:t>8.4</w:t>
            </w:r>
            <w:r w:rsidR="00FE70B7">
              <w:rPr>
                <w:rFonts w:asciiTheme="minorHAnsi" w:eastAsiaTheme="minorEastAsia" w:hAnsiTheme="minorHAnsi" w:cstheme="minorBidi"/>
                <w:noProof/>
                <w:lang w:eastAsia="en-AU"/>
              </w:rPr>
              <w:tab/>
            </w:r>
            <w:r w:rsidR="00FE70B7" w:rsidRPr="00970EE7">
              <w:rPr>
                <w:rStyle w:val="Hyperlink"/>
                <w:rFonts w:cs="Arial"/>
                <w:b/>
                <w:bCs/>
                <w:noProof/>
              </w:rPr>
              <w:t>Industry news</w:t>
            </w:r>
            <w:r w:rsidR="00FE70B7">
              <w:rPr>
                <w:noProof/>
                <w:webHidden/>
              </w:rPr>
              <w:tab/>
            </w:r>
            <w:r w:rsidR="00FE70B7">
              <w:rPr>
                <w:noProof/>
                <w:webHidden/>
              </w:rPr>
              <w:fldChar w:fldCharType="begin"/>
            </w:r>
            <w:r w:rsidR="00FE70B7">
              <w:rPr>
                <w:noProof/>
                <w:webHidden/>
              </w:rPr>
              <w:instrText xml:space="preserve"> PAGEREF _Toc126935662 \h </w:instrText>
            </w:r>
            <w:r w:rsidR="00FE70B7">
              <w:rPr>
                <w:noProof/>
                <w:webHidden/>
              </w:rPr>
            </w:r>
            <w:r w:rsidR="00FE70B7">
              <w:rPr>
                <w:noProof/>
                <w:webHidden/>
              </w:rPr>
              <w:fldChar w:fldCharType="separate"/>
            </w:r>
            <w:r w:rsidR="00FE70B7">
              <w:rPr>
                <w:noProof/>
                <w:webHidden/>
              </w:rPr>
              <w:t>23</w:t>
            </w:r>
            <w:r w:rsidR="00FE70B7">
              <w:rPr>
                <w:noProof/>
                <w:webHidden/>
              </w:rPr>
              <w:fldChar w:fldCharType="end"/>
            </w:r>
          </w:hyperlink>
        </w:p>
        <w:p w14:paraId="513938C4" w14:textId="343BF6C5"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63" w:history="1">
            <w:r w:rsidR="00FE70B7" w:rsidRPr="00970EE7">
              <w:rPr>
                <w:rStyle w:val="Hyperlink"/>
                <w:rFonts w:cstheme="minorHAnsi"/>
                <w:b/>
                <w:noProof/>
              </w:rPr>
              <w:t>8.5</w:t>
            </w:r>
            <w:r w:rsidR="00FE70B7">
              <w:rPr>
                <w:rFonts w:asciiTheme="minorHAnsi" w:eastAsiaTheme="minorEastAsia" w:hAnsiTheme="minorHAnsi" w:cstheme="minorBidi"/>
                <w:noProof/>
                <w:lang w:eastAsia="en-AU"/>
              </w:rPr>
              <w:tab/>
            </w:r>
            <w:r w:rsidR="00FE70B7" w:rsidRPr="00970EE7">
              <w:rPr>
                <w:rStyle w:val="Hyperlink"/>
                <w:rFonts w:cs="Arial"/>
                <w:b/>
                <w:bCs/>
                <w:noProof/>
              </w:rPr>
              <w:t>Government &amp; policy</w:t>
            </w:r>
            <w:r w:rsidR="00FE70B7">
              <w:rPr>
                <w:noProof/>
                <w:webHidden/>
              </w:rPr>
              <w:tab/>
            </w:r>
            <w:r w:rsidR="00FE70B7">
              <w:rPr>
                <w:noProof/>
                <w:webHidden/>
              </w:rPr>
              <w:fldChar w:fldCharType="begin"/>
            </w:r>
            <w:r w:rsidR="00FE70B7">
              <w:rPr>
                <w:noProof/>
                <w:webHidden/>
              </w:rPr>
              <w:instrText xml:space="preserve"> PAGEREF _Toc126935663 \h </w:instrText>
            </w:r>
            <w:r w:rsidR="00FE70B7">
              <w:rPr>
                <w:noProof/>
                <w:webHidden/>
              </w:rPr>
            </w:r>
            <w:r w:rsidR="00FE70B7">
              <w:rPr>
                <w:noProof/>
                <w:webHidden/>
              </w:rPr>
              <w:fldChar w:fldCharType="separate"/>
            </w:r>
            <w:r w:rsidR="00FE70B7">
              <w:rPr>
                <w:noProof/>
                <w:webHidden/>
              </w:rPr>
              <w:t>23</w:t>
            </w:r>
            <w:r w:rsidR="00FE70B7">
              <w:rPr>
                <w:noProof/>
                <w:webHidden/>
              </w:rPr>
              <w:fldChar w:fldCharType="end"/>
            </w:r>
          </w:hyperlink>
        </w:p>
        <w:p w14:paraId="1B43A234" w14:textId="21B17EFB" w:rsidR="00FE70B7" w:rsidRDefault="005A7942">
          <w:pPr>
            <w:pStyle w:val="TOC2"/>
            <w:tabs>
              <w:tab w:val="left" w:pos="880"/>
              <w:tab w:val="right" w:leader="dot" w:pos="9016"/>
            </w:tabs>
            <w:rPr>
              <w:rFonts w:asciiTheme="minorHAnsi" w:eastAsiaTheme="minorEastAsia" w:hAnsiTheme="minorHAnsi" w:cstheme="minorBidi"/>
              <w:noProof/>
              <w:lang w:eastAsia="en-AU"/>
            </w:rPr>
          </w:pPr>
          <w:hyperlink w:anchor="_Toc126935664" w:history="1">
            <w:r w:rsidR="00FE70B7" w:rsidRPr="00970EE7">
              <w:rPr>
                <w:rStyle w:val="Hyperlink"/>
                <w:rFonts w:cstheme="minorHAnsi"/>
                <w:b/>
                <w:noProof/>
              </w:rPr>
              <w:t>8.6</w:t>
            </w:r>
            <w:r w:rsidR="00FE70B7">
              <w:rPr>
                <w:rFonts w:asciiTheme="minorHAnsi" w:eastAsiaTheme="minorEastAsia" w:hAnsiTheme="minorHAnsi" w:cstheme="minorBidi"/>
                <w:noProof/>
                <w:lang w:eastAsia="en-AU"/>
              </w:rPr>
              <w:tab/>
            </w:r>
            <w:r w:rsidR="00FE70B7" w:rsidRPr="00970EE7">
              <w:rPr>
                <w:rStyle w:val="Hyperlink"/>
                <w:rFonts w:cs="Arial"/>
                <w:b/>
                <w:bCs/>
                <w:noProof/>
              </w:rPr>
              <w:t>Other diseases and developments</w:t>
            </w:r>
            <w:r w:rsidR="00FE70B7">
              <w:rPr>
                <w:noProof/>
                <w:webHidden/>
              </w:rPr>
              <w:tab/>
            </w:r>
            <w:r w:rsidR="00FE70B7">
              <w:rPr>
                <w:noProof/>
                <w:webHidden/>
              </w:rPr>
              <w:fldChar w:fldCharType="begin"/>
            </w:r>
            <w:r w:rsidR="00FE70B7">
              <w:rPr>
                <w:noProof/>
                <w:webHidden/>
              </w:rPr>
              <w:instrText xml:space="preserve"> PAGEREF _Toc126935664 \h </w:instrText>
            </w:r>
            <w:r w:rsidR="00FE70B7">
              <w:rPr>
                <w:noProof/>
                <w:webHidden/>
              </w:rPr>
            </w:r>
            <w:r w:rsidR="00FE70B7">
              <w:rPr>
                <w:noProof/>
                <w:webHidden/>
              </w:rPr>
              <w:fldChar w:fldCharType="separate"/>
            </w:r>
            <w:r w:rsidR="00FE70B7">
              <w:rPr>
                <w:noProof/>
                <w:webHidden/>
              </w:rPr>
              <w:t>24</w:t>
            </w:r>
            <w:r w:rsidR="00FE70B7">
              <w:rPr>
                <w:noProof/>
                <w:webHidden/>
              </w:rPr>
              <w:fldChar w:fldCharType="end"/>
            </w:r>
          </w:hyperlink>
        </w:p>
        <w:p w14:paraId="0CB2670E" w14:textId="30BBB142" w:rsidR="00FE70B7" w:rsidRDefault="005A7942">
          <w:pPr>
            <w:pStyle w:val="TOC3"/>
            <w:tabs>
              <w:tab w:val="left" w:pos="1320"/>
              <w:tab w:val="right" w:leader="dot" w:pos="9016"/>
            </w:tabs>
            <w:rPr>
              <w:rFonts w:asciiTheme="minorHAnsi" w:eastAsiaTheme="minorEastAsia" w:hAnsiTheme="minorHAnsi" w:cstheme="minorBidi"/>
              <w:noProof/>
              <w:lang w:eastAsia="en-AU"/>
            </w:rPr>
          </w:pPr>
          <w:hyperlink w:anchor="_Toc126935665" w:history="1">
            <w:r w:rsidR="00FE70B7" w:rsidRPr="00970EE7">
              <w:rPr>
                <w:rStyle w:val="Hyperlink"/>
                <w:rFonts w:eastAsia="Times New Roman" w:cstheme="minorHAnsi"/>
                <w:noProof/>
                <w:lang w:val="en-US"/>
              </w:rPr>
              <w:t>8.6.1</w:t>
            </w:r>
            <w:r w:rsidR="00FE70B7">
              <w:rPr>
                <w:rFonts w:asciiTheme="minorHAnsi" w:eastAsiaTheme="minorEastAsia" w:hAnsiTheme="minorHAnsi" w:cstheme="minorBidi"/>
                <w:noProof/>
                <w:lang w:eastAsia="en-AU"/>
              </w:rPr>
              <w:tab/>
            </w:r>
            <w:r w:rsidR="00FE70B7" w:rsidRPr="00970EE7">
              <w:rPr>
                <w:rStyle w:val="Hyperlink"/>
                <w:rFonts w:eastAsia="Times New Roman"/>
                <w:noProof/>
                <w:lang w:val="en-US"/>
              </w:rPr>
              <w:t>Malaria</w:t>
            </w:r>
            <w:r w:rsidR="00FE70B7">
              <w:rPr>
                <w:noProof/>
                <w:webHidden/>
              </w:rPr>
              <w:tab/>
            </w:r>
            <w:r w:rsidR="00FE70B7">
              <w:rPr>
                <w:noProof/>
                <w:webHidden/>
              </w:rPr>
              <w:fldChar w:fldCharType="begin"/>
            </w:r>
            <w:r w:rsidR="00FE70B7">
              <w:rPr>
                <w:noProof/>
                <w:webHidden/>
              </w:rPr>
              <w:instrText xml:space="preserve"> PAGEREF _Toc126935665 \h </w:instrText>
            </w:r>
            <w:r w:rsidR="00FE70B7">
              <w:rPr>
                <w:noProof/>
                <w:webHidden/>
              </w:rPr>
            </w:r>
            <w:r w:rsidR="00FE70B7">
              <w:rPr>
                <w:noProof/>
                <w:webHidden/>
              </w:rPr>
              <w:fldChar w:fldCharType="separate"/>
            </w:r>
            <w:r w:rsidR="00FE70B7">
              <w:rPr>
                <w:noProof/>
                <w:webHidden/>
              </w:rPr>
              <w:t>24</w:t>
            </w:r>
            <w:r w:rsidR="00FE70B7">
              <w:rPr>
                <w:noProof/>
                <w:webHidden/>
              </w:rPr>
              <w:fldChar w:fldCharType="end"/>
            </w:r>
          </w:hyperlink>
        </w:p>
        <w:p w14:paraId="33284679" w14:textId="76E29ACD" w:rsidR="00FE70B7" w:rsidRDefault="005A7942">
          <w:pPr>
            <w:pStyle w:val="TOC3"/>
            <w:tabs>
              <w:tab w:val="left" w:pos="1320"/>
              <w:tab w:val="right" w:leader="dot" w:pos="9016"/>
            </w:tabs>
            <w:rPr>
              <w:rFonts w:asciiTheme="minorHAnsi" w:eastAsiaTheme="minorEastAsia" w:hAnsiTheme="minorHAnsi" w:cstheme="minorBidi"/>
              <w:noProof/>
              <w:lang w:eastAsia="en-AU"/>
            </w:rPr>
          </w:pPr>
          <w:hyperlink w:anchor="_Toc126935666" w:history="1">
            <w:r w:rsidR="00FE70B7" w:rsidRPr="00970EE7">
              <w:rPr>
                <w:rStyle w:val="Hyperlink"/>
                <w:rFonts w:eastAsia="Times New Roman" w:cstheme="minorHAnsi"/>
                <w:noProof/>
                <w:lang w:val="en-US"/>
              </w:rPr>
              <w:t>8.6.2</w:t>
            </w:r>
            <w:r w:rsidR="00FE70B7">
              <w:rPr>
                <w:rFonts w:asciiTheme="minorHAnsi" w:eastAsiaTheme="minorEastAsia" w:hAnsiTheme="minorHAnsi" w:cstheme="minorBidi"/>
                <w:noProof/>
                <w:lang w:eastAsia="en-AU"/>
              </w:rPr>
              <w:tab/>
            </w:r>
            <w:r w:rsidR="00FE70B7" w:rsidRPr="00970EE7">
              <w:rPr>
                <w:rStyle w:val="Hyperlink"/>
                <w:rFonts w:eastAsia="Times New Roman"/>
                <w:noProof/>
                <w:lang w:val="en-US"/>
              </w:rPr>
              <w:t>Dengue</w:t>
            </w:r>
            <w:r w:rsidR="00FE70B7">
              <w:rPr>
                <w:noProof/>
                <w:webHidden/>
              </w:rPr>
              <w:tab/>
            </w:r>
            <w:r w:rsidR="00FE70B7">
              <w:rPr>
                <w:noProof/>
                <w:webHidden/>
              </w:rPr>
              <w:fldChar w:fldCharType="begin"/>
            </w:r>
            <w:r w:rsidR="00FE70B7">
              <w:rPr>
                <w:noProof/>
                <w:webHidden/>
              </w:rPr>
              <w:instrText xml:space="preserve"> PAGEREF _Toc126935666 \h </w:instrText>
            </w:r>
            <w:r w:rsidR="00FE70B7">
              <w:rPr>
                <w:noProof/>
                <w:webHidden/>
              </w:rPr>
            </w:r>
            <w:r w:rsidR="00FE70B7">
              <w:rPr>
                <w:noProof/>
                <w:webHidden/>
              </w:rPr>
              <w:fldChar w:fldCharType="separate"/>
            </w:r>
            <w:r w:rsidR="00FE70B7">
              <w:rPr>
                <w:noProof/>
                <w:webHidden/>
              </w:rPr>
              <w:t>24</w:t>
            </w:r>
            <w:r w:rsidR="00FE70B7">
              <w:rPr>
                <w:noProof/>
                <w:webHidden/>
              </w:rPr>
              <w:fldChar w:fldCharType="end"/>
            </w:r>
          </w:hyperlink>
        </w:p>
        <w:p w14:paraId="2B246740" w14:textId="3FFB375A" w:rsidR="00FE70B7" w:rsidRDefault="005A7942">
          <w:pPr>
            <w:pStyle w:val="TOC3"/>
            <w:tabs>
              <w:tab w:val="left" w:pos="1320"/>
              <w:tab w:val="right" w:leader="dot" w:pos="9016"/>
            </w:tabs>
            <w:rPr>
              <w:rFonts w:asciiTheme="minorHAnsi" w:eastAsiaTheme="minorEastAsia" w:hAnsiTheme="minorHAnsi" w:cstheme="minorBidi"/>
              <w:noProof/>
              <w:lang w:eastAsia="en-AU"/>
            </w:rPr>
          </w:pPr>
          <w:hyperlink w:anchor="_Toc126935667" w:history="1">
            <w:r w:rsidR="00FE70B7" w:rsidRPr="00970EE7">
              <w:rPr>
                <w:rStyle w:val="Hyperlink"/>
                <w:rFonts w:eastAsia="Times New Roman" w:cstheme="minorHAnsi"/>
                <w:noProof/>
                <w:lang w:val="en-US"/>
              </w:rPr>
              <w:t>8.6.3</w:t>
            </w:r>
            <w:r w:rsidR="00FE70B7">
              <w:rPr>
                <w:rFonts w:asciiTheme="minorHAnsi" w:eastAsiaTheme="minorEastAsia" w:hAnsiTheme="minorHAnsi" w:cstheme="minorBidi"/>
                <w:noProof/>
                <w:lang w:eastAsia="en-AU"/>
              </w:rPr>
              <w:tab/>
            </w:r>
            <w:r w:rsidR="00FE70B7" w:rsidRPr="00970EE7">
              <w:rPr>
                <w:rStyle w:val="Hyperlink"/>
                <w:rFonts w:eastAsia="Times New Roman"/>
                <w:noProof/>
                <w:lang w:val="en-US"/>
              </w:rPr>
              <w:t>Japanese Encephalitis</w:t>
            </w:r>
            <w:r w:rsidR="00FE70B7">
              <w:rPr>
                <w:noProof/>
                <w:webHidden/>
              </w:rPr>
              <w:tab/>
            </w:r>
            <w:r w:rsidR="00FE70B7">
              <w:rPr>
                <w:noProof/>
                <w:webHidden/>
              </w:rPr>
              <w:fldChar w:fldCharType="begin"/>
            </w:r>
            <w:r w:rsidR="00FE70B7">
              <w:rPr>
                <w:noProof/>
                <w:webHidden/>
              </w:rPr>
              <w:instrText xml:space="preserve"> PAGEREF _Toc126935667 \h </w:instrText>
            </w:r>
            <w:r w:rsidR="00FE70B7">
              <w:rPr>
                <w:noProof/>
                <w:webHidden/>
              </w:rPr>
            </w:r>
            <w:r w:rsidR="00FE70B7">
              <w:rPr>
                <w:noProof/>
                <w:webHidden/>
              </w:rPr>
              <w:fldChar w:fldCharType="separate"/>
            </w:r>
            <w:r w:rsidR="00FE70B7">
              <w:rPr>
                <w:noProof/>
                <w:webHidden/>
              </w:rPr>
              <w:t>24</w:t>
            </w:r>
            <w:r w:rsidR="00FE70B7">
              <w:rPr>
                <w:noProof/>
                <w:webHidden/>
              </w:rPr>
              <w:fldChar w:fldCharType="end"/>
            </w:r>
          </w:hyperlink>
        </w:p>
        <w:p w14:paraId="2E99CD2E" w14:textId="2E921DF7" w:rsidR="00FE70B7" w:rsidRDefault="005A7942">
          <w:pPr>
            <w:pStyle w:val="TOC3"/>
            <w:tabs>
              <w:tab w:val="left" w:pos="1320"/>
              <w:tab w:val="right" w:leader="dot" w:pos="9016"/>
            </w:tabs>
            <w:rPr>
              <w:rFonts w:asciiTheme="minorHAnsi" w:eastAsiaTheme="minorEastAsia" w:hAnsiTheme="minorHAnsi" w:cstheme="minorBidi"/>
              <w:noProof/>
              <w:lang w:eastAsia="en-AU"/>
            </w:rPr>
          </w:pPr>
          <w:hyperlink w:anchor="_Toc126935668" w:history="1">
            <w:r w:rsidR="00FE70B7" w:rsidRPr="00970EE7">
              <w:rPr>
                <w:rStyle w:val="Hyperlink"/>
                <w:rFonts w:eastAsia="Times New Roman" w:cstheme="minorHAnsi"/>
                <w:noProof/>
                <w:lang w:val="en-US"/>
              </w:rPr>
              <w:t>8.6.4</w:t>
            </w:r>
            <w:r w:rsidR="00FE70B7">
              <w:rPr>
                <w:rFonts w:asciiTheme="minorHAnsi" w:eastAsiaTheme="minorEastAsia" w:hAnsiTheme="minorHAnsi" w:cstheme="minorBidi"/>
                <w:noProof/>
                <w:lang w:eastAsia="en-AU"/>
              </w:rPr>
              <w:tab/>
            </w:r>
            <w:r w:rsidR="00FE70B7" w:rsidRPr="00970EE7">
              <w:rPr>
                <w:rStyle w:val="Hyperlink"/>
                <w:rFonts w:eastAsia="Times New Roman"/>
                <w:noProof/>
                <w:lang w:val="en-US"/>
              </w:rPr>
              <w:t>Monkeypox</w:t>
            </w:r>
            <w:r w:rsidR="00FE70B7">
              <w:rPr>
                <w:noProof/>
                <w:webHidden/>
              </w:rPr>
              <w:tab/>
            </w:r>
            <w:r w:rsidR="00FE70B7">
              <w:rPr>
                <w:noProof/>
                <w:webHidden/>
              </w:rPr>
              <w:fldChar w:fldCharType="begin"/>
            </w:r>
            <w:r w:rsidR="00FE70B7">
              <w:rPr>
                <w:noProof/>
                <w:webHidden/>
              </w:rPr>
              <w:instrText xml:space="preserve"> PAGEREF _Toc126935668 \h </w:instrText>
            </w:r>
            <w:r w:rsidR="00FE70B7">
              <w:rPr>
                <w:noProof/>
                <w:webHidden/>
              </w:rPr>
            </w:r>
            <w:r w:rsidR="00FE70B7">
              <w:rPr>
                <w:noProof/>
                <w:webHidden/>
              </w:rPr>
              <w:fldChar w:fldCharType="separate"/>
            </w:r>
            <w:r w:rsidR="00FE70B7">
              <w:rPr>
                <w:noProof/>
                <w:webHidden/>
              </w:rPr>
              <w:t>24</w:t>
            </w:r>
            <w:r w:rsidR="00FE70B7">
              <w:rPr>
                <w:noProof/>
                <w:webHidden/>
              </w:rPr>
              <w:fldChar w:fldCharType="end"/>
            </w:r>
          </w:hyperlink>
        </w:p>
        <w:p w14:paraId="5D6129C3" w14:textId="17933026" w:rsidR="00FE70B7" w:rsidRDefault="005A7942">
          <w:pPr>
            <w:pStyle w:val="TOC3"/>
            <w:tabs>
              <w:tab w:val="left" w:pos="1320"/>
              <w:tab w:val="right" w:leader="dot" w:pos="9016"/>
            </w:tabs>
            <w:rPr>
              <w:rFonts w:asciiTheme="minorHAnsi" w:eastAsiaTheme="minorEastAsia" w:hAnsiTheme="minorHAnsi" w:cstheme="minorBidi"/>
              <w:noProof/>
              <w:lang w:eastAsia="en-AU"/>
            </w:rPr>
          </w:pPr>
          <w:hyperlink w:anchor="_Toc126935669" w:history="1">
            <w:r w:rsidR="00FE70B7" w:rsidRPr="00970EE7">
              <w:rPr>
                <w:rStyle w:val="Hyperlink"/>
                <w:rFonts w:eastAsia="Times New Roman" w:cstheme="minorHAnsi"/>
                <w:noProof/>
                <w:lang w:val="en-US"/>
              </w:rPr>
              <w:t>8.6.5</w:t>
            </w:r>
            <w:r w:rsidR="00FE70B7">
              <w:rPr>
                <w:rFonts w:asciiTheme="minorHAnsi" w:eastAsiaTheme="minorEastAsia" w:hAnsiTheme="minorHAnsi" w:cstheme="minorBidi"/>
                <w:noProof/>
                <w:lang w:eastAsia="en-AU"/>
              </w:rPr>
              <w:tab/>
            </w:r>
            <w:r w:rsidR="00FE70B7" w:rsidRPr="00970EE7">
              <w:rPr>
                <w:rStyle w:val="Hyperlink"/>
                <w:rFonts w:eastAsia="Times New Roman"/>
                <w:noProof/>
                <w:lang w:val="en-US"/>
              </w:rPr>
              <w:t>Ebola</w:t>
            </w:r>
            <w:r w:rsidR="00FE70B7">
              <w:rPr>
                <w:noProof/>
                <w:webHidden/>
              </w:rPr>
              <w:tab/>
            </w:r>
            <w:r w:rsidR="00FE70B7">
              <w:rPr>
                <w:noProof/>
                <w:webHidden/>
              </w:rPr>
              <w:fldChar w:fldCharType="begin"/>
            </w:r>
            <w:r w:rsidR="00FE70B7">
              <w:rPr>
                <w:noProof/>
                <w:webHidden/>
              </w:rPr>
              <w:instrText xml:space="preserve"> PAGEREF _Toc126935669 \h </w:instrText>
            </w:r>
            <w:r w:rsidR="00FE70B7">
              <w:rPr>
                <w:noProof/>
                <w:webHidden/>
              </w:rPr>
            </w:r>
            <w:r w:rsidR="00FE70B7">
              <w:rPr>
                <w:noProof/>
                <w:webHidden/>
              </w:rPr>
              <w:fldChar w:fldCharType="separate"/>
            </w:r>
            <w:r w:rsidR="00FE70B7">
              <w:rPr>
                <w:noProof/>
                <w:webHidden/>
              </w:rPr>
              <w:t>24</w:t>
            </w:r>
            <w:r w:rsidR="00FE70B7">
              <w:rPr>
                <w:noProof/>
                <w:webHidden/>
              </w:rPr>
              <w:fldChar w:fldCharType="end"/>
            </w:r>
          </w:hyperlink>
        </w:p>
        <w:p w14:paraId="738C05B0" w14:textId="13ECEA15" w:rsidR="00FE70B7" w:rsidRDefault="005A7942">
          <w:pPr>
            <w:pStyle w:val="TOC3"/>
            <w:tabs>
              <w:tab w:val="left" w:pos="1320"/>
              <w:tab w:val="right" w:leader="dot" w:pos="9016"/>
            </w:tabs>
            <w:rPr>
              <w:rFonts w:asciiTheme="minorHAnsi" w:eastAsiaTheme="minorEastAsia" w:hAnsiTheme="minorHAnsi" w:cstheme="minorBidi"/>
              <w:noProof/>
              <w:lang w:eastAsia="en-AU"/>
            </w:rPr>
          </w:pPr>
          <w:hyperlink w:anchor="_Toc126935670" w:history="1">
            <w:r w:rsidR="00FE70B7" w:rsidRPr="00970EE7">
              <w:rPr>
                <w:rStyle w:val="Hyperlink"/>
                <w:rFonts w:eastAsia="Times New Roman" w:cstheme="minorHAnsi"/>
                <w:noProof/>
                <w:lang w:val="en-US"/>
              </w:rPr>
              <w:t>8.6.6</w:t>
            </w:r>
            <w:r w:rsidR="00FE70B7">
              <w:rPr>
                <w:rFonts w:asciiTheme="minorHAnsi" w:eastAsiaTheme="minorEastAsia" w:hAnsiTheme="minorHAnsi" w:cstheme="minorBidi"/>
                <w:noProof/>
                <w:lang w:eastAsia="en-AU"/>
              </w:rPr>
              <w:tab/>
            </w:r>
            <w:r w:rsidR="00FE70B7" w:rsidRPr="00970EE7">
              <w:rPr>
                <w:rStyle w:val="Hyperlink"/>
                <w:rFonts w:eastAsia="Times New Roman"/>
                <w:noProof/>
                <w:lang w:val="en-US"/>
              </w:rPr>
              <w:t>Ross River Virus</w:t>
            </w:r>
            <w:r w:rsidR="00FE70B7">
              <w:rPr>
                <w:noProof/>
                <w:webHidden/>
              </w:rPr>
              <w:tab/>
            </w:r>
            <w:r w:rsidR="00FE70B7">
              <w:rPr>
                <w:noProof/>
                <w:webHidden/>
              </w:rPr>
              <w:fldChar w:fldCharType="begin"/>
            </w:r>
            <w:r w:rsidR="00FE70B7">
              <w:rPr>
                <w:noProof/>
                <w:webHidden/>
              </w:rPr>
              <w:instrText xml:space="preserve"> PAGEREF _Toc126935670 \h </w:instrText>
            </w:r>
            <w:r w:rsidR="00FE70B7">
              <w:rPr>
                <w:noProof/>
                <w:webHidden/>
              </w:rPr>
            </w:r>
            <w:r w:rsidR="00FE70B7">
              <w:rPr>
                <w:noProof/>
                <w:webHidden/>
              </w:rPr>
              <w:fldChar w:fldCharType="separate"/>
            </w:r>
            <w:r w:rsidR="00FE70B7">
              <w:rPr>
                <w:noProof/>
                <w:webHidden/>
              </w:rPr>
              <w:t>24</w:t>
            </w:r>
            <w:r w:rsidR="00FE70B7">
              <w:rPr>
                <w:noProof/>
                <w:webHidden/>
              </w:rPr>
              <w:fldChar w:fldCharType="end"/>
            </w:r>
          </w:hyperlink>
        </w:p>
        <w:p w14:paraId="5DC327B3" w14:textId="17280F2B" w:rsidR="00FE70B7" w:rsidRDefault="005A7942">
          <w:pPr>
            <w:pStyle w:val="TOC3"/>
            <w:tabs>
              <w:tab w:val="left" w:pos="1320"/>
              <w:tab w:val="right" w:leader="dot" w:pos="9016"/>
            </w:tabs>
            <w:rPr>
              <w:rFonts w:asciiTheme="minorHAnsi" w:eastAsiaTheme="minorEastAsia" w:hAnsiTheme="minorHAnsi" w:cstheme="minorBidi"/>
              <w:noProof/>
              <w:lang w:eastAsia="en-AU"/>
            </w:rPr>
          </w:pPr>
          <w:hyperlink w:anchor="_Toc126935671" w:history="1">
            <w:r w:rsidR="00FE70B7" w:rsidRPr="00970EE7">
              <w:rPr>
                <w:rStyle w:val="Hyperlink"/>
                <w:rFonts w:eastAsia="Times New Roman" w:cstheme="minorHAnsi"/>
                <w:noProof/>
                <w:lang w:val="en-US"/>
              </w:rPr>
              <w:t>8.6.7</w:t>
            </w:r>
            <w:r w:rsidR="00FE70B7">
              <w:rPr>
                <w:rFonts w:asciiTheme="minorHAnsi" w:eastAsiaTheme="minorEastAsia" w:hAnsiTheme="minorHAnsi" w:cstheme="minorBidi"/>
                <w:noProof/>
                <w:lang w:eastAsia="en-AU"/>
              </w:rPr>
              <w:tab/>
            </w:r>
            <w:r w:rsidR="00FE70B7" w:rsidRPr="00970EE7">
              <w:rPr>
                <w:rStyle w:val="Hyperlink"/>
                <w:rFonts w:eastAsia="Times New Roman"/>
                <w:noProof/>
                <w:lang w:val="en-US"/>
              </w:rPr>
              <w:t>Polio</w:t>
            </w:r>
            <w:r w:rsidR="00FE70B7">
              <w:rPr>
                <w:noProof/>
                <w:webHidden/>
              </w:rPr>
              <w:tab/>
            </w:r>
            <w:r w:rsidR="00FE70B7">
              <w:rPr>
                <w:noProof/>
                <w:webHidden/>
              </w:rPr>
              <w:fldChar w:fldCharType="begin"/>
            </w:r>
            <w:r w:rsidR="00FE70B7">
              <w:rPr>
                <w:noProof/>
                <w:webHidden/>
              </w:rPr>
              <w:instrText xml:space="preserve"> PAGEREF _Toc126935671 \h </w:instrText>
            </w:r>
            <w:r w:rsidR="00FE70B7">
              <w:rPr>
                <w:noProof/>
                <w:webHidden/>
              </w:rPr>
            </w:r>
            <w:r w:rsidR="00FE70B7">
              <w:rPr>
                <w:noProof/>
                <w:webHidden/>
              </w:rPr>
              <w:fldChar w:fldCharType="separate"/>
            </w:r>
            <w:r w:rsidR="00FE70B7">
              <w:rPr>
                <w:noProof/>
                <w:webHidden/>
              </w:rPr>
              <w:t>24</w:t>
            </w:r>
            <w:r w:rsidR="00FE70B7">
              <w:rPr>
                <w:noProof/>
                <w:webHidden/>
              </w:rPr>
              <w:fldChar w:fldCharType="end"/>
            </w:r>
          </w:hyperlink>
        </w:p>
        <w:p w14:paraId="042B4BA1" w14:textId="22D6D41F" w:rsidR="00430A43" w:rsidRDefault="00430A43" w:rsidP="00430A43">
          <w:pPr>
            <w:jc w:val="both"/>
          </w:pPr>
          <w:r w:rsidRPr="0084207C">
            <w:rPr>
              <w:b/>
              <w:bCs/>
              <w:noProof/>
              <w:sz w:val="20"/>
              <w:szCs w:val="20"/>
            </w:rPr>
            <w:fldChar w:fldCharType="end"/>
          </w:r>
        </w:p>
      </w:sdtContent>
    </w:sdt>
    <w:p w14:paraId="7CD58BAB" w14:textId="77777777" w:rsidR="0084207C" w:rsidRDefault="0084207C">
      <w:pPr>
        <w:spacing w:before="0" w:after="160" w:line="259" w:lineRule="auto"/>
        <w:rPr>
          <w:rFonts w:eastAsiaTheme="majorEastAsia" w:cstheme="majorBidi"/>
          <w:b/>
          <w:sz w:val="36"/>
          <w:szCs w:val="32"/>
        </w:rPr>
      </w:pPr>
      <w:r>
        <w:rPr>
          <w:rFonts w:eastAsiaTheme="majorEastAsia" w:cstheme="majorBidi"/>
          <w:b/>
          <w:sz w:val="36"/>
          <w:szCs w:val="32"/>
        </w:rPr>
        <w:br w:type="page"/>
      </w:r>
    </w:p>
    <w:p w14:paraId="0C012493" w14:textId="19EEE50B" w:rsidR="00430A43" w:rsidRDefault="00430A43" w:rsidP="009807FF">
      <w:pPr>
        <w:keepNext/>
        <w:keepLines/>
        <w:numPr>
          <w:ilvl w:val="0"/>
          <w:numId w:val="2"/>
        </w:numPr>
        <w:spacing w:before="240" w:after="0" w:line="360" w:lineRule="auto"/>
        <w:ind w:left="431" w:hanging="431"/>
        <w:jc w:val="both"/>
        <w:outlineLvl w:val="0"/>
        <w:rPr>
          <w:rFonts w:eastAsiaTheme="majorEastAsia" w:cstheme="majorBidi"/>
          <w:b/>
          <w:sz w:val="36"/>
          <w:szCs w:val="32"/>
        </w:rPr>
      </w:pPr>
      <w:bookmarkStart w:id="0" w:name="_Toc126935625"/>
      <w:r>
        <w:rPr>
          <w:rFonts w:eastAsiaTheme="majorEastAsia" w:cstheme="majorBidi"/>
          <w:b/>
          <w:sz w:val="36"/>
          <w:szCs w:val="32"/>
        </w:rPr>
        <w:lastRenderedPageBreak/>
        <w:t>Blood supply</w:t>
      </w:r>
      <w:bookmarkEnd w:id="0"/>
    </w:p>
    <w:p w14:paraId="22E4E103" w14:textId="7BAE1090" w:rsidR="00430A43" w:rsidRPr="00CE1156" w:rsidRDefault="00430A43" w:rsidP="00CE1156">
      <w:pPr>
        <w:spacing w:before="0" w:after="0"/>
        <w:jc w:val="both"/>
      </w:pPr>
      <w:r>
        <w:t xml:space="preserve">This section contains news articles and government </w:t>
      </w:r>
      <w:r w:rsidR="006F5093">
        <w:t xml:space="preserve">agency </w:t>
      </w:r>
      <w:r>
        <w:t>statements on blood supply</w:t>
      </w:r>
      <w:r w:rsidR="00CE1156">
        <w:t xml:space="preserve"> in Australia and around the world.</w:t>
      </w:r>
      <w:r w:rsidRPr="00CE1156">
        <w:t xml:space="preserve"> </w:t>
      </w:r>
    </w:p>
    <w:p w14:paraId="0243DA56" w14:textId="4532990D" w:rsidR="006A23FF" w:rsidRDefault="006A23FF" w:rsidP="009807FF">
      <w:pPr>
        <w:numPr>
          <w:ilvl w:val="1"/>
          <w:numId w:val="2"/>
        </w:numPr>
        <w:spacing w:before="120" w:after="0"/>
        <w:ind w:left="578" w:hanging="578"/>
        <w:jc w:val="both"/>
        <w:outlineLvl w:val="1"/>
        <w:rPr>
          <w:rFonts w:cs="Arial"/>
          <w:b/>
          <w:sz w:val="28"/>
          <w:szCs w:val="36"/>
        </w:rPr>
      </w:pPr>
      <w:bookmarkStart w:id="1" w:name="_Toc126935626"/>
      <w:bookmarkStart w:id="2" w:name="_Hlk117610152"/>
      <w:r>
        <w:rPr>
          <w:rFonts w:cs="Arial"/>
          <w:b/>
          <w:sz w:val="28"/>
          <w:szCs w:val="36"/>
        </w:rPr>
        <w:t xml:space="preserve">Blood supply </w:t>
      </w:r>
      <w:r w:rsidR="0085323B">
        <w:rPr>
          <w:rFonts w:cs="Arial"/>
          <w:b/>
          <w:sz w:val="28"/>
          <w:szCs w:val="36"/>
        </w:rPr>
        <w:t>–</w:t>
      </w:r>
      <w:r>
        <w:rPr>
          <w:rFonts w:cs="Arial"/>
          <w:b/>
          <w:sz w:val="28"/>
          <w:szCs w:val="36"/>
        </w:rPr>
        <w:t xml:space="preserve"> Australia</w:t>
      </w:r>
      <w:bookmarkEnd w:id="1"/>
    </w:p>
    <w:p w14:paraId="2C3771B2" w14:textId="30C89D7B" w:rsidR="0085323B" w:rsidRDefault="0085323B" w:rsidP="0085323B">
      <w:r>
        <w:t xml:space="preserve">The Lismore Blood Donor Centre finally reopened in December following inundation during the February 2022 flood event. The new Lismore Donor Centre offers donors a welcoming space, designed with donors in mind. </w:t>
      </w:r>
      <w:r w:rsidR="007D1E07">
        <w:t>Lifeblood delayed r</w:t>
      </w:r>
      <w:r>
        <w:t xml:space="preserve">ebuilding to </w:t>
      </w:r>
      <w:r w:rsidR="00C01FBA">
        <w:t>free up trades and let the community get back on their feet, using a mobile blood truck to maintain donations in the meantime.</w:t>
      </w:r>
    </w:p>
    <w:bookmarkEnd w:id="2"/>
    <w:p w14:paraId="2976C727" w14:textId="03E6D515" w:rsidR="00232601" w:rsidRPr="006B53DA" w:rsidRDefault="000772A3" w:rsidP="00E63FD5">
      <w:pPr>
        <w:pStyle w:val="ListParagraph"/>
        <w:numPr>
          <w:ilvl w:val="0"/>
          <w:numId w:val="4"/>
        </w:numPr>
        <w:spacing w:before="120" w:after="0"/>
        <w:rPr>
          <w:rStyle w:val="Hyperlink"/>
        </w:rPr>
      </w:pPr>
      <w:r w:rsidRPr="006B53DA">
        <w:rPr>
          <w:rStyle w:val="Hyperlink"/>
        </w:rPr>
        <w:fldChar w:fldCharType="begin"/>
      </w:r>
      <w:r w:rsidRPr="006B53DA">
        <w:rPr>
          <w:rStyle w:val="Hyperlink"/>
        </w:rPr>
        <w:instrText xml:space="preserve"> HYPERLINK "https://lismoreapp.com.au/news-sport/news/lismore-blood-donor-centre-reopens-monday-as-lifeblood-launches-new-gifts-program?id=63870f012bb418023de28484" </w:instrText>
      </w:r>
      <w:r w:rsidRPr="006B53DA">
        <w:rPr>
          <w:rStyle w:val="Hyperlink"/>
        </w:rPr>
        <w:fldChar w:fldCharType="separate"/>
      </w:r>
      <w:r w:rsidRPr="006B53DA">
        <w:rPr>
          <w:rStyle w:val="Hyperlink"/>
        </w:rPr>
        <w:t>Lismore Blood Donor Centre reopens Monday as Lifeblood Launches New Gifts Program</w:t>
      </w:r>
      <w:r w:rsidRPr="006B53DA">
        <w:rPr>
          <w:rStyle w:val="Hyperlink"/>
        </w:rPr>
        <w:fldChar w:fldCharType="end"/>
      </w:r>
    </w:p>
    <w:p w14:paraId="242D07F6" w14:textId="77777777" w:rsidR="00012B7F" w:rsidRPr="006B53DA" w:rsidRDefault="005A7942" w:rsidP="00E63FD5">
      <w:pPr>
        <w:pStyle w:val="ListParagraph"/>
        <w:numPr>
          <w:ilvl w:val="0"/>
          <w:numId w:val="4"/>
        </w:numPr>
        <w:spacing w:before="120" w:after="0"/>
        <w:rPr>
          <w:rStyle w:val="Hyperlink"/>
        </w:rPr>
      </w:pPr>
      <w:hyperlink r:id="rId11" w:history="1">
        <w:r w:rsidR="00012B7F" w:rsidRPr="006B53DA">
          <w:rPr>
            <w:rStyle w:val="Hyperlink"/>
          </w:rPr>
          <w:t>MP Bridget Archer has spoken out against blood donation policies which ban most gay men</w:t>
        </w:r>
      </w:hyperlink>
    </w:p>
    <w:p w14:paraId="59EAED0A" w14:textId="77777777" w:rsidR="00440D5D" w:rsidRPr="006B53DA" w:rsidRDefault="005A7942" w:rsidP="00E63FD5">
      <w:pPr>
        <w:pStyle w:val="ListParagraph"/>
        <w:numPr>
          <w:ilvl w:val="0"/>
          <w:numId w:val="4"/>
        </w:numPr>
        <w:spacing w:before="120" w:after="0"/>
        <w:rPr>
          <w:rStyle w:val="Hyperlink"/>
        </w:rPr>
      </w:pPr>
      <w:hyperlink r:id="rId12">
        <w:r w:rsidR="00440D5D" w:rsidRPr="006B53DA">
          <w:rPr>
            <w:rStyle w:val="Hyperlink"/>
          </w:rPr>
          <w:t>There are only 100 Anti-D plasma donors in Australia, but their antibodies save thousands of babies each year</w:t>
        </w:r>
      </w:hyperlink>
    </w:p>
    <w:p w14:paraId="14A0F7D2" w14:textId="77777777" w:rsidR="00F4030F" w:rsidRPr="006B53DA" w:rsidRDefault="005A7942" w:rsidP="00E63FD5">
      <w:pPr>
        <w:pStyle w:val="ListParagraph"/>
        <w:numPr>
          <w:ilvl w:val="0"/>
          <w:numId w:val="4"/>
        </w:numPr>
        <w:spacing w:before="120" w:after="0"/>
        <w:rPr>
          <w:rStyle w:val="Hyperlink"/>
        </w:rPr>
      </w:pPr>
      <w:hyperlink r:id="rId13" w:history="1">
        <w:r w:rsidR="00F4030F" w:rsidRPr="006B53DA">
          <w:rPr>
            <w:rStyle w:val="Hyperlink"/>
          </w:rPr>
          <w:t>Kalgoorlie MP Ali Kent continues to push for the return of blood donation service</w:t>
        </w:r>
      </w:hyperlink>
    </w:p>
    <w:p w14:paraId="1F9E9305" w14:textId="77777777" w:rsidR="00770ABD" w:rsidRPr="006B53DA" w:rsidRDefault="005A7942" w:rsidP="00E63FD5">
      <w:pPr>
        <w:pStyle w:val="ListParagraph"/>
        <w:numPr>
          <w:ilvl w:val="0"/>
          <w:numId w:val="4"/>
        </w:numPr>
        <w:spacing w:before="120" w:after="0"/>
        <w:rPr>
          <w:rStyle w:val="Hyperlink"/>
        </w:rPr>
      </w:pPr>
      <w:hyperlink r:id="rId14" w:history="1">
        <w:r w:rsidR="00770ABD" w:rsidRPr="006B53DA">
          <w:rPr>
            <w:rStyle w:val="Hyperlink"/>
          </w:rPr>
          <w:t>Aussie plasma donors needed for ‘medical miracle’</w:t>
        </w:r>
      </w:hyperlink>
    </w:p>
    <w:p w14:paraId="498945DE" w14:textId="5D303075" w:rsidR="00A527B2" w:rsidRPr="006B53DA" w:rsidRDefault="005A7942" w:rsidP="00E63FD5">
      <w:pPr>
        <w:pStyle w:val="ListParagraph"/>
        <w:numPr>
          <w:ilvl w:val="0"/>
          <w:numId w:val="4"/>
        </w:numPr>
        <w:spacing w:before="120" w:after="0"/>
        <w:rPr>
          <w:rStyle w:val="Hyperlink"/>
        </w:rPr>
      </w:pPr>
      <w:hyperlink r:id="rId15" w:history="1">
        <w:r w:rsidR="00770ABD" w:rsidRPr="006B53DA">
          <w:rPr>
            <w:rStyle w:val="Hyperlink"/>
          </w:rPr>
          <w:t>Tattoo artists illustrate tatts are no barrier to blood donation</w:t>
        </w:r>
      </w:hyperlink>
    </w:p>
    <w:p w14:paraId="1EEEA20E" w14:textId="66A821AE" w:rsidR="0085323B" w:rsidRDefault="00430A43" w:rsidP="0085323B">
      <w:pPr>
        <w:numPr>
          <w:ilvl w:val="1"/>
          <w:numId w:val="2"/>
        </w:numPr>
        <w:spacing w:before="120" w:after="0"/>
        <w:ind w:left="578" w:hanging="578"/>
        <w:jc w:val="both"/>
        <w:outlineLvl w:val="1"/>
        <w:rPr>
          <w:rFonts w:cs="Arial"/>
          <w:b/>
          <w:sz w:val="28"/>
          <w:szCs w:val="36"/>
        </w:rPr>
      </w:pPr>
      <w:bookmarkStart w:id="3" w:name="_Toc126935627"/>
      <w:r>
        <w:rPr>
          <w:rFonts w:cs="Arial"/>
          <w:b/>
          <w:sz w:val="28"/>
          <w:szCs w:val="36"/>
        </w:rPr>
        <w:t xml:space="preserve">Blood supply – </w:t>
      </w:r>
      <w:r w:rsidR="008815CE">
        <w:rPr>
          <w:rFonts w:cs="Arial"/>
          <w:b/>
          <w:sz w:val="28"/>
          <w:szCs w:val="36"/>
        </w:rPr>
        <w:t>United States</w:t>
      </w:r>
      <w:bookmarkEnd w:id="3"/>
      <w:r w:rsidR="008815CE">
        <w:rPr>
          <w:rFonts w:cs="Arial"/>
          <w:b/>
          <w:sz w:val="28"/>
          <w:szCs w:val="36"/>
        </w:rPr>
        <w:t xml:space="preserve"> </w:t>
      </w:r>
    </w:p>
    <w:p w14:paraId="5B20FB0F" w14:textId="49D3B8BE" w:rsidR="0085323B" w:rsidRPr="0085323B" w:rsidRDefault="0038076A" w:rsidP="0085323B">
      <w:r>
        <w:t>The American Red Cross’ in Michigan</w:t>
      </w:r>
      <w:r w:rsidR="00067BAB">
        <w:t xml:space="preserve"> hosted a blood drive as part of the Red Cross’ Sickle Cell Initiative in November 2022. The blood drive sought to increase the diversity of the donor pool and boost access to matching blood products for sickle cell disease (SCD) patients. There are more than 100,000 SCD patients in the US, most of whom are of African descent.</w:t>
      </w:r>
    </w:p>
    <w:p w14:paraId="5318B921" w14:textId="77777777" w:rsidR="00251267" w:rsidRPr="006B53DA" w:rsidRDefault="005A7942" w:rsidP="00251267">
      <w:pPr>
        <w:pStyle w:val="ListParagraph"/>
        <w:numPr>
          <w:ilvl w:val="0"/>
          <w:numId w:val="5"/>
        </w:numPr>
        <w:spacing w:before="120" w:after="0"/>
        <w:rPr>
          <w:rStyle w:val="Hyperlink"/>
        </w:rPr>
      </w:pPr>
      <w:hyperlink r:id="rId16">
        <w:r w:rsidR="00251267" w:rsidRPr="006B53DA">
          <w:rPr>
            <w:rStyle w:val="Hyperlink"/>
          </w:rPr>
          <w:t>Blood donations sought in Flint to diversify donor pool, combat Sickle Cell Disease</w:t>
        </w:r>
      </w:hyperlink>
    </w:p>
    <w:p w14:paraId="1934F29D" w14:textId="4C55E8F1" w:rsidR="009A2FAB" w:rsidRPr="006B53DA" w:rsidRDefault="005A7942" w:rsidP="00E63FD5">
      <w:pPr>
        <w:pStyle w:val="ListParagraph"/>
        <w:numPr>
          <w:ilvl w:val="0"/>
          <w:numId w:val="5"/>
        </w:numPr>
        <w:spacing w:before="120" w:after="0"/>
        <w:rPr>
          <w:rStyle w:val="Hyperlink"/>
        </w:rPr>
      </w:pPr>
      <w:hyperlink r:id="rId17" w:history="1">
        <w:proofErr w:type="spellStart"/>
        <w:r w:rsidR="009A2FAB" w:rsidRPr="006B53DA">
          <w:rPr>
            <w:rStyle w:val="Hyperlink"/>
          </w:rPr>
          <w:t>LifeServe</w:t>
        </w:r>
        <w:proofErr w:type="spellEnd"/>
        <w:r w:rsidR="009A2FAB" w:rsidRPr="006B53DA">
          <w:rPr>
            <w:rStyle w:val="Hyperlink"/>
          </w:rPr>
          <w:t xml:space="preserve"> Blood </w:t>
        </w:r>
        <w:r w:rsidR="00762ABD" w:rsidRPr="006B53DA">
          <w:rPr>
            <w:rStyle w:val="Hyperlink"/>
          </w:rPr>
          <w:t>Cent</w:t>
        </w:r>
        <w:r w:rsidR="00762ABD">
          <w:rPr>
            <w:rStyle w:val="Hyperlink"/>
          </w:rPr>
          <w:t>re</w:t>
        </w:r>
        <w:r w:rsidR="00762ABD" w:rsidRPr="006B53DA">
          <w:rPr>
            <w:rStyle w:val="Hyperlink"/>
          </w:rPr>
          <w:t xml:space="preserve"> </w:t>
        </w:r>
        <w:r w:rsidR="009A2FAB" w:rsidRPr="006B53DA">
          <w:rPr>
            <w:rStyle w:val="Hyperlink"/>
          </w:rPr>
          <w:t xml:space="preserve">celebrates 75 years of saving lives </w:t>
        </w:r>
      </w:hyperlink>
    </w:p>
    <w:p w14:paraId="12B3A67A" w14:textId="319C41F0" w:rsidR="001A6FCD" w:rsidRPr="006B53DA" w:rsidRDefault="005A7942" w:rsidP="00E63FD5">
      <w:pPr>
        <w:pStyle w:val="ListParagraph"/>
        <w:numPr>
          <w:ilvl w:val="0"/>
          <w:numId w:val="5"/>
        </w:numPr>
        <w:spacing w:before="120" w:after="0"/>
        <w:rPr>
          <w:rStyle w:val="Hyperlink"/>
        </w:rPr>
      </w:pPr>
      <w:hyperlink r:id="rId18">
        <w:r w:rsidR="001A6FCD" w:rsidRPr="006B53DA">
          <w:rPr>
            <w:rStyle w:val="Hyperlink"/>
          </w:rPr>
          <w:t>Blood donations needed following mass shooting at Colorado Springs LGBTQ nightclub</w:t>
        </w:r>
      </w:hyperlink>
    </w:p>
    <w:p w14:paraId="663DF335" w14:textId="77777777" w:rsidR="008D4DBA" w:rsidRPr="006B53DA" w:rsidRDefault="005A7942" w:rsidP="00E63FD5">
      <w:pPr>
        <w:pStyle w:val="ListParagraph"/>
        <w:numPr>
          <w:ilvl w:val="0"/>
          <w:numId w:val="5"/>
        </w:numPr>
        <w:spacing w:before="120" w:after="0"/>
        <w:rPr>
          <w:rStyle w:val="Hyperlink"/>
        </w:rPr>
      </w:pPr>
      <w:hyperlink r:id="rId19" w:history="1">
        <w:r w:rsidR="008D4DBA" w:rsidRPr="006B53DA">
          <w:rPr>
            <w:rStyle w:val="Hyperlink"/>
          </w:rPr>
          <w:t>Northern California Community Blood Bank using new tech to address donation shortages</w:t>
        </w:r>
      </w:hyperlink>
    </w:p>
    <w:p w14:paraId="6EA9A33C" w14:textId="47FCB6E5" w:rsidR="00070218" w:rsidRPr="006B53DA" w:rsidRDefault="005A7942" w:rsidP="00E63FD5">
      <w:pPr>
        <w:pStyle w:val="ListParagraph"/>
        <w:numPr>
          <w:ilvl w:val="0"/>
          <w:numId w:val="5"/>
        </w:numPr>
        <w:spacing w:before="120" w:after="0"/>
        <w:rPr>
          <w:rStyle w:val="Hyperlink"/>
        </w:rPr>
      </w:pPr>
      <w:hyperlink r:id="rId20" w:history="1">
        <w:r w:rsidR="00070218" w:rsidRPr="006B53DA">
          <w:rPr>
            <w:rStyle w:val="Hyperlink"/>
          </w:rPr>
          <w:t xml:space="preserve">CSL Plasma Expands in California with New Donation </w:t>
        </w:r>
        <w:r w:rsidR="00583DE5" w:rsidRPr="006B53DA">
          <w:rPr>
            <w:rStyle w:val="Hyperlink"/>
          </w:rPr>
          <w:t>Cent</w:t>
        </w:r>
        <w:r w:rsidR="00583DE5">
          <w:rPr>
            <w:rStyle w:val="Hyperlink"/>
          </w:rPr>
          <w:t>re</w:t>
        </w:r>
        <w:r w:rsidR="00583DE5" w:rsidRPr="006B53DA">
          <w:rPr>
            <w:rStyle w:val="Hyperlink"/>
          </w:rPr>
          <w:t xml:space="preserve">s </w:t>
        </w:r>
        <w:r w:rsidR="00070218" w:rsidRPr="006B53DA">
          <w:rPr>
            <w:rStyle w:val="Hyperlink"/>
          </w:rPr>
          <w:t>to Collect Life-Saving Plasma</w:t>
        </w:r>
      </w:hyperlink>
    </w:p>
    <w:p w14:paraId="47AB8BA0" w14:textId="77777777" w:rsidR="005F3F89" w:rsidRDefault="00430A43" w:rsidP="009807FF">
      <w:pPr>
        <w:numPr>
          <w:ilvl w:val="1"/>
          <w:numId w:val="2"/>
        </w:numPr>
        <w:spacing w:before="120" w:after="0"/>
        <w:ind w:left="578" w:hanging="578"/>
        <w:jc w:val="both"/>
        <w:outlineLvl w:val="1"/>
        <w:rPr>
          <w:rFonts w:cs="Arial"/>
          <w:b/>
          <w:sz w:val="28"/>
          <w:szCs w:val="36"/>
        </w:rPr>
      </w:pPr>
      <w:bookmarkStart w:id="4" w:name="_Toc126935628"/>
      <w:r>
        <w:rPr>
          <w:rFonts w:cs="Arial"/>
          <w:b/>
          <w:sz w:val="28"/>
          <w:szCs w:val="36"/>
        </w:rPr>
        <w:t>Blood supply - World news</w:t>
      </w:r>
      <w:bookmarkEnd w:id="4"/>
    </w:p>
    <w:p w14:paraId="680E2B4C" w14:textId="77777777" w:rsidR="00EE4DBA" w:rsidRPr="006B53DA" w:rsidRDefault="005A7942" w:rsidP="00E63FD5">
      <w:pPr>
        <w:pStyle w:val="ListParagraph"/>
        <w:numPr>
          <w:ilvl w:val="0"/>
          <w:numId w:val="6"/>
        </w:numPr>
        <w:spacing w:before="120" w:after="0"/>
        <w:rPr>
          <w:rStyle w:val="Hyperlink"/>
        </w:rPr>
      </w:pPr>
      <w:hyperlink r:id="rId21">
        <w:r w:rsidR="00EE4DBA" w:rsidRPr="006B53DA">
          <w:rPr>
            <w:rStyle w:val="Hyperlink"/>
          </w:rPr>
          <w:t>New Zealand - New $2m blood bank at Waikato Hospital a 'vital link' in life-saving chain</w:t>
        </w:r>
      </w:hyperlink>
    </w:p>
    <w:p w14:paraId="4F1A3CED" w14:textId="77777777" w:rsidR="00EE4DBA" w:rsidRPr="006B53DA" w:rsidRDefault="005A7942" w:rsidP="00E63FD5">
      <w:pPr>
        <w:pStyle w:val="ListParagraph"/>
        <w:numPr>
          <w:ilvl w:val="0"/>
          <w:numId w:val="6"/>
        </w:numPr>
        <w:spacing w:before="120" w:after="0"/>
        <w:rPr>
          <w:rStyle w:val="Hyperlink"/>
        </w:rPr>
      </w:pPr>
      <w:hyperlink r:id="rId22">
        <w:r w:rsidR="00EE4DBA" w:rsidRPr="006B53DA">
          <w:rPr>
            <w:rStyle w:val="Hyperlink"/>
          </w:rPr>
          <w:t>Ireland - New 'fairer' risk assessment for blood donors</w:t>
        </w:r>
      </w:hyperlink>
    </w:p>
    <w:p w14:paraId="3CA01F00" w14:textId="77777777" w:rsidR="00EE4DBA" w:rsidRPr="006B53DA" w:rsidRDefault="005A7942" w:rsidP="00E63FD5">
      <w:pPr>
        <w:pStyle w:val="ListParagraph"/>
        <w:numPr>
          <w:ilvl w:val="0"/>
          <w:numId w:val="6"/>
        </w:numPr>
        <w:spacing w:before="120" w:after="0"/>
        <w:rPr>
          <w:rStyle w:val="Hyperlink"/>
        </w:rPr>
      </w:pPr>
      <w:hyperlink r:id="rId23">
        <w:r w:rsidR="00EE4DBA" w:rsidRPr="006B53DA">
          <w:rPr>
            <w:rStyle w:val="Hyperlink"/>
          </w:rPr>
          <w:t>UK - Female friendly' machines boost Birmingham plasma donors</w:t>
        </w:r>
      </w:hyperlink>
    </w:p>
    <w:p w14:paraId="5905E89D" w14:textId="77777777" w:rsidR="00FC7DF1" w:rsidRPr="006B53DA" w:rsidRDefault="005A7942" w:rsidP="00E63FD5">
      <w:pPr>
        <w:pStyle w:val="ListParagraph"/>
        <w:numPr>
          <w:ilvl w:val="0"/>
          <w:numId w:val="6"/>
        </w:numPr>
        <w:spacing w:before="120" w:after="0"/>
        <w:rPr>
          <w:rStyle w:val="Hyperlink"/>
        </w:rPr>
      </w:pPr>
      <w:hyperlink r:id="rId24">
        <w:r w:rsidR="00FC7DF1" w:rsidRPr="006B53DA">
          <w:rPr>
            <w:rStyle w:val="Hyperlink"/>
          </w:rPr>
          <w:t>Iran: Over 1.3m Iranians donate blood in 7 months</w:t>
        </w:r>
      </w:hyperlink>
    </w:p>
    <w:p w14:paraId="1D336B88" w14:textId="77777777" w:rsidR="00D5470A" w:rsidRPr="006B53DA" w:rsidRDefault="005A7942" w:rsidP="00E63FD5">
      <w:pPr>
        <w:pStyle w:val="ListParagraph"/>
        <w:numPr>
          <w:ilvl w:val="0"/>
          <w:numId w:val="6"/>
        </w:numPr>
        <w:spacing w:before="120" w:after="0"/>
        <w:rPr>
          <w:rStyle w:val="Hyperlink"/>
        </w:rPr>
      </w:pPr>
      <w:hyperlink r:id="rId25" w:history="1">
        <w:r w:rsidR="00D5470A" w:rsidRPr="006B53DA">
          <w:rPr>
            <w:rStyle w:val="Hyperlink"/>
          </w:rPr>
          <w:t>UK: Public responds to NHS amber alert over donor blood stocks</w:t>
        </w:r>
      </w:hyperlink>
    </w:p>
    <w:p w14:paraId="73DBDF10" w14:textId="35D2C222" w:rsidR="00430A43" w:rsidRDefault="00430A43" w:rsidP="009807FF">
      <w:pPr>
        <w:numPr>
          <w:ilvl w:val="1"/>
          <w:numId w:val="2"/>
        </w:numPr>
        <w:spacing w:before="120" w:after="0"/>
        <w:ind w:left="578" w:hanging="578"/>
        <w:jc w:val="both"/>
        <w:outlineLvl w:val="1"/>
        <w:rPr>
          <w:rFonts w:cs="Arial"/>
          <w:b/>
          <w:sz w:val="28"/>
          <w:szCs w:val="36"/>
        </w:rPr>
      </w:pPr>
      <w:bookmarkStart w:id="5" w:name="_Toc126935629"/>
      <w:r>
        <w:rPr>
          <w:rFonts w:cs="Arial"/>
          <w:b/>
          <w:sz w:val="28"/>
          <w:szCs w:val="36"/>
        </w:rPr>
        <w:t>Regulatory and donation criteria</w:t>
      </w:r>
      <w:bookmarkEnd w:id="5"/>
      <w:r>
        <w:rPr>
          <w:rFonts w:cs="Arial"/>
          <w:b/>
          <w:sz w:val="28"/>
          <w:szCs w:val="36"/>
        </w:rPr>
        <w:t xml:space="preserve"> </w:t>
      </w:r>
    </w:p>
    <w:p w14:paraId="30DB0C46" w14:textId="77777777" w:rsidR="0090378F" w:rsidRDefault="005A7942" w:rsidP="0090378F">
      <w:pPr>
        <w:spacing w:before="120" w:after="0"/>
      </w:pPr>
      <w:hyperlink r:id="rId26">
        <w:r w:rsidR="0090378F" w:rsidRPr="3CCCEE28">
          <w:rPr>
            <w:rStyle w:val="Hyperlink"/>
          </w:rPr>
          <w:t>Risk of a blood donation contaminated with hepatitis E virus entering the blood supply before the implementation of universal RNA screening in France</w:t>
        </w:r>
      </w:hyperlink>
    </w:p>
    <w:p w14:paraId="5E72954C" w14:textId="77777777" w:rsidR="0090378F" w:rsidRPr="00EA75FE" w:rsidRDefault="0090378F" w:rsidP="0090378F">
      <w:pPr>
        <w:jc w:val="both"/>
        <w:rPr>
          <w:rFonts w:eastAsiaTheme="minorEastAsia"/>
          <w:color w:val="1C1D1E"/>
        </w:rPr>
      </w:pPr>
      <w:r>
        <w:rPr>
          <w:rFonts w:eastAsiaTheme="minorEastAsia"/>
          <w:color w:val="1C1D1E"/>
        </w:rPr>
        <w:t xml:space="preserve">In early 2023, France will introduce hepatitis E-virus (HEV) RNA screening for all whole blood donations. HEV is mainly acquired by eating raw or undercooked meat that is contaminated, but it can also be transmitted by transfusion. Since 2012, HEV nucleic acid testing (HEV-NAT) has been conducted in France to screen and track the transmission risks. This study looked at data from 2018-2020 and estimated the risk of a whole blood donation being positive for HEV-RNA was 1 in 1682. </w:t>
      </w:r>
    </w:p>
    <w:p w14:paraId="1CC79178" w14:textId="0604A12E" w:rsidR="00430A43" w:rsidRDefault="00981161" w:rsidP="009807FF">
      <w:pPr>
        <w:numPr>
          <w:ilvl w:val="1"/>
          <w:numId w:val="2"/>
        </w:numPr>
        <w:spacing w:before="120" w:after="0"/>
        <w:ind w:left="578" w:hanging="578"/>
        <w:jc w:val="both"/>
        <w:outlineLvl w:val="1"/>
        <w:rPr>
          <w:rFonts w:cs="Arial"/>
          <w:b/>
          <w:sz w:val="28"/>
          <w:szCs w:val="36"/>
        </w:rPr>
      </w:pPr>
      <w:bookmarkStart w:id="6" w:name="_Toc125359159"/>
      <w:bookmarkEnd w:id="6"/>
      <w:r>
        <w:rPr>
          <w:rFonts w:cs="Arial"/>
          <w:b/>
          <w:bCs/>
          <w:sz w:val="28"/>
          <w:szCs w:val="28"/>
        </w:rPr>
        <w:br w:type="page"/>
      </w:r>
      <w:bookmarkStart w:id="7" w:name="_Toc126935630"/>
      <w:r w:rsidR="00430A43" w:rsidRPr="1D7E9F89">
        <w:rPr>
          <w:rFonts w:cs="Arial"/>
          <w:b/>
          <w:bCs/>
          <w:sz w:val="28"/>
          <w:szCs w:val="28"/>
        </w:rPr>
        <w:lastRenderedPageBreak/>
        <w:t>Blood donor characteristics and donation effects</w:t>
      </w:r>
      <w:bookmarkEnd w:id="7"/>
    </w:p>
    <w:p w14:paraId="02223D97" w14:textId="77777777" w:rsidR="00A9537D" w:rsidRPr="006B53DA" w:rsidRDefault="005A7942" w:rsidP="006B53DA">
      <w:pPr>
        <w:spacing w:before="120" w:after="0"/>
        <w:rPr>
          <w:rStyle w:val="Hyperlink"/>
        </w:rPr>
      </w:pPr>
      <w:hyperlink r:id="rId27" w:history="1">
        <w:r w:rsidR="00A9537D" w:rsidRPr="006B53DA">
          <w:rPr>
            <w:rStyle w:val="Hyperlink"/>
          </w:rPr>
          <w:t>Donor and non‐donor perspectives on receiving information from routine genomic testing of donor blood</w:t>
        </w:r>
      </w:hyperlink>
    </w:p>
    <w:p w14:paraId="4F000EF3" w14:textId="3B6CB8E4" w:rsidR="00482258" w:rsidRDefault="00A9537D" w:rsidP="001D0B3B">
      <w:pPr>
        <w:spacing w:before="0" w:after="160"/>
        <w:jc w:val="both"/>
      </w:pPr>
      <w:r>
        <w:t xml:space="preserve">Genomic testing is already used to identify rare blood types and match blood between donors and recipients, but there is scope to use genomic testing for other applications such as identifying genetic markers. </w:t>
      </w:r>
      <w:r w:rsidR="00251267">
        <w:t>S</w:t>
      </w:r>
      <w:r>
        <w:t xml:space="preserve">tudy participants were presented with hypothetical scenarios about how genomic testing could be used now and into the future. Participants felt that genomic testing to identify rare blood types was appropriate, while identifying markers associated with iron metabolism and cancer were only partially supported. Participants raised concerns about the boundaries of testing and the implications of testing for privacy, data security, and health insurance. </w:t>
      </w:r>
    </w:p>
    <w:p w14:paraId="67F17ECA" w14:textId="77777777" w:rsidR="0013290C" w:rsidRPr="00192912" w:rsidRDefault="005A7942" w:rsidP="00192912">
      <w:pPr>
        <w:spacing w:before="120" w:after="0"/>
        <w:rPr>
          <w:rStyle w:val="Hyperlink"/>
        </w:rPr>
      </w:pPr>
      <w:hyperlink r:id="rId28">
        <w:r w:rsidR="0013290C" w:rsidRPr="00192912">
          <w:rPr>
            <w:rStyle w:val="Hyperlink"/>
          </w:rPr>
          <w:t xml:space="preserve">Donor variation in stored platelets: Higher metabolic rates of platelets are associated with mean platelet volume, </w:t>
        </w:r>
        <w:proofErr w:type="gramStart"/>
        <w:r w:rsidR="0013290C" w:rsidRPr="00192912">
          <w:rPr>
            <w:rStyle w:val="Hyperlink"/>
          </w:rPr>
          <w:t>activation</w:t>
        </w:r>
        <w:proofErr w:type="gramEnd"/>
        <w:r w:rsidR="0013290C" w:rsidRPr="00192912">
          <w:rPr>
            <w:rStyle w:val="Hyperlink"/>
          </w:rPr>
          <w:t xml:space="preserve"> and donor health</w:t>
        </w:r>
      </w:hyperlink>
    </w:p>
    <w:p w14:paraId="3699FD80" w14:textId="77777777" w:rsidR="0013290C" w:rsidRDefault="0013290C" w:rsidP="0013290C">
      <w:pPr>
        <w:spacing w:line="257" w:lineRule="auto"/>
        <w:jc w:val="both"/>
      </w:pPr>
      <w:r w:rsidRPr="00F117A9">
        <w:rPr>
          <w:rFonts w:eastAsia="Calibri"/>
        </w:rPr>
        <w:t>Researchers investigated why platelet (PLT) glycolysis rates vary between platelet donors and how the rate of glycolytic activity affects subsequent storage performance.</w:t>
      </w:r>
      <w:r w:rsidRPr="00F117A9">
        <w:rPr>
          <w:rFonts w:ascii="Arial" w:eastAsia="Arial" w:hAnsi="Arial" w:cs="Arial"/>
          <w:color w:val="1C1D1E"/>
        </w:rPr>
        <w:t xml:space="preserve"> </w:t>
      </w:r>
      <w:r w:rsidRPr="00F117A9">
        <w:t>They found</w:t>
      </w:r>
      <w:r w:rsidRPr="00F117A9">
        <w:rPr>
          <w:rFonts w:ascii="Arial" w:eastAsia="Arial" w:hAnsi="Arial" w:cs="Arial"/>
          <w:color w:val="1C1D1E"/>
        </w:rPr>
        <w:t xml:space="preserve"> </w:t>
      </w:r>
      <w:r w:rsidRPr="00AD1DC9">
        <w:rPr>
          <w:rFonts w:eastAsia="Arial" w:cstheme="minorHAnsi"/>
          <w:color w:val="1C1D1E"/>
        </w:rPr>
        <w:t>that</w:t>
      </w:r>
      <w:r w:rsidRPr="00F117A9">
        <w:rPr>
          <w:rFonts w:ascii="Arial" w:eastAsia="Arial" w:hAnsi="Arial" w:cs="Arial"/>
          <w:color w:val="1C1D1E"/>
        </w:rPr>
        <w:t xml:space="preserve"> </w:t>
      </w:r>
      <w:r w:rsidRPr="00AD1DC9">
        <w:rPr>
          <w:rFonts w:eastAsia="Arial" w:cstheme="minorHAnsi"/>
          <w:color w:val="1C1D1E"/>
        </w:rPr>
        <w:t>h</w:t>
      </w:r>
      <w:r w:rsidRPr="00F117A9">
        <w:rPr>
          <w:rFonts w:eastAsia="Calibri"/>
        </w:rPr>
        <w:t>igh glucose-consuming platelet concentrates develop</w:t>
      </w:r>
      <w:r>
        <w:rPr>
          <w:rFonts w:eastAsia="Calibri"/>
        </w:rPr>
        <w:t>ed</w:t>
      </w:r>
      <w:r w:rsidRPr="00F117A9">
        <w:rPr>
          <w:rFonts w:eastAsia="Calibri"/>
        </w:rPr>
        <w:t xml:space="preserve"> higher activation levels, displayed enhanced mitochondrial activity but were also found to contain larger PLTs. </w:t>
      </w:r>
      <w:r>
        <w:rPr>
          <w:rFonts w:eastAsia="Calibri"/>
        </w:rPr>
        <w:t>S</w:t>
      </w:r>
      <w:r w:rsidRPr="00F117A9">
        <w:rPr>
          <w:rFonts w:eastAsia="Calibri"/>
        </w:rPr>
        <w:t xml:space="preserve">torage performance of PLTs was associated </w:t>
      </w:r>
      <w:r>
        <w:rPr>
          <w:rFonts w:eastAsia="Calibri"/>
        </w:rPr>
        <w:t xml:space="preserve">with </w:t>
      </w:r>
      <w:r w:rsidRPr="00F117A9">
        <w:rPr>
          <w:rFonts w:eastAsia="Calibri"/>
        </w:rPr>
        <w:t>donor health, not with donor age.</w:t>
      </w:r>
    </w:p>
    <w:p w14:paraId="0CE25179" w14:textId="77777777" w:rsidR="00482258" w:rsidRPr="00192912" w:rsidRDefault="005A7942" w:rsidP="00192912">
      <w:pPr>
        <w:spacing w:before="120" w:after="0"/>
        <w:rPr>
          <w:rStyle w:val="Hyperlink"/>
        </w:rPr>
      </w:pPr>
      <w:hyperlink r:id="rId29">
        <w:r w:rsidR="00482258" w:rsidRPr="00192912">
          <w:rPr>
            <w:rStyle w:val="Hyperlink"/>
          </w:rPr>
          <w:t>Syphilis infections among volunteer blood donors</w:t>
        </w:r>
      </w:hyperlink>
    </w:p>
    <w:p w14:paraId="615C38C4" w14:textId="7094DA4C" w:rsidR="00482258" w:rsidRPr="00251267" w:rsidRDefault="00482258" w:rsidP="00251267">
      <w:pPr>
        <w:spacing w:line="257" w:lineRule="auto"/>
        <w:jc w:val="both"/>
        <w:rPr>
          <w:rFonts w:eastAsia="Calibri"/>
        </w:rPr>
      </w:pPr>
      <w:r w:rsidRPr="00251267">
        <w:rPr>
          <w:rFonts w:eastAsia="Calibri"/>
        </w:rPr>
        <w:t xml:space="preserve">This study analysed volunteer blood donors in a Chinese blood centre to determine the likelihood of syphilis infection amongst </w:t>
      </w:r>
      <w:r w:rsidR="00294BBE" w:rsidRPr="00251267">
        <w:rPr>
          <w:rFonts w:eastAsia="Calibri"/>
        </w:rPr>
        <w:t xml:space="preserve">select </w:t>
      </w:r>
      <w:r w:rsidRPr="00251267">
        <w:rPr>
          <w:rFonts w:eastAsia="Calibri"/>
        </w:rPr>
        <w:t>donor groups. A total of 700,757 blood samples were collected from 2007 to 2021, with 2290 samples testing positive. A range of factors were identified as associated with high risk of infection, with the most significant being first time donors.</w:t>
      </w:r>
    </w:p>
    <w:p w14:paraId="0FA1205D" w14:textId="77777777" w:rsidR="00A405BC" w:rsidRPr="00192912" w:rsidRDefault="005A7942" w:rsidP="00192912">
      <w:pPr>
        <w:spacing w:before="120" w:after="0"/>
        <w:rPr>
          <w:rStyle w:val="Hyperlink"/>
        </w:rPr>
      </w:pPr>
      <w:hyperlink r:id="rId30">
        <w:r w:rsidR="00A405BC" w:rsidRPr="00192912">
          <w:rPr>
            <w:rStyle w:val="Hyperlink"/>
          </w:rPr>
          <w:t>Beyond fear: A longitudinal investigation of emotions and risk of a vasovagal reaction in first‐time whole‐blood donors</w:t>
        </w:r>
      </w:hyperlink>
    </w:p>
    <w:p w14:paraId="336339F9" w14:textId="370DD130" w:rsidR="00A405BC" w:rsidRPr="00251267" w:rsidRDefault="00A405BC" w:rsidP="00251267">
      <w:pPr>
        <w:spacing w:line="257" w:lineRule="auto"/>
        <w:jc w:val="both"/>
        <w:rPr>
          <w:rFonts w:eastAsia="Calibri"/>
        </w:rPr>
      </w:pPr>
      <w:r w:rsidRPr="00251267">
        <w:rPr>
          <w:rFonts w:eastAsia="Calibri"/>
        </w:rPr>
        <w:t>This study investigated the emotions experienced in blood donation centres to predict onsite vasovagal reactions (fainting due to stress)</w:t>
      </w:r>
      <w:r w:rsidR="00251267">
        <w:rPr>
          <w:rFonts w:eastAsia="Calibri"/>
        </w:rPr>
        <w:t xml:space="preserve"> in Australia</w:t>
      </w:r>
      <w:r w:rsidRPr="00251267">
        <w:rPr>
          <w:rFonts w:eastAsia="Calibri"/>
        </w:rPr>
        <w:t xml:space="preserve">. First-time whole-blood donors completed surveys at multiple points during their time at the donor centre. Researchers found that donors often experienced negative emotional states in the waiting room which gradually increased to the moment before </w:t>
      </w:r>
      <w:r w:rsidR="006B53DA" w:rsidRPr="00251267">
        <w:rPr>
          <w:rFonts w:eastAsia="Calibri"/>
        </w:rPr>
        <w:t>venepuncture</w:t>
      </w:r>
      <w:r w:rsidRPr="00251267">
        <w:rPr>
          <w:rFonts w:eastAsia="Calibri"/>
        </w:rPr>
        <w:t>. The occurrence of vasovagal reactions was significantly associated with negative emotional states suggesting that blood collection agencies need to address a broader range of emotions at different points during the donation process.</w:t>
      </w:r>
    </w:p>
    <w:p w14:paraId="03EDC19A" w14:textId="77777777" w:rsidR="006F1CBC" w:rsidRPr="00192912" w:rsidRDefault="005A7942" w:rsidP="00192912">
      <w:pPr>
        <w:spacing w:before="120" w:after="0"/>
        <w:rPr>
          <w:rStyle w:val="Hyperlink"/>
        </w:rPr>
      </w:pPr>
      <w:hyperlink r:id="rId31">
        <w:r w:rsidR="006F1CBC" w:rsidRPr="00192912">
          <w:rPr>
            <w:rStyle w:val="Hyperlink"/>
          </w:rPr>
          <w:t>A pilot study of the metabolic profiles of apheresis platelets modified by donor age and sex and in vitro short‐term incubation with sex hormones</w:t>
        </w:r>
      </w:hyperlink>
    </w:p>
    <w:p w14:paraId="5328D728" w14:textId="77777777" w:rsidR="006F1CBC" w:rsidRPr="00251267" w:rsidRDefault="006F1CBC" w:rsidP="00251267">
      <w:pPr>
        <w:spacing w:line="257" w:lineRule="auto"/>
        <w:jc w:val="both"/>
        <w:rPr>
          <w:rFonts w:eastAsia="Calibri"/>
        </w:rPr>
      </w:pPr>
      <w:r w:rsidRPr="00251267">
        <w:rPr>
          <w:rFonts w:eastAsia="Calibri"/>
        </w:rPr>
        <w:t xml:space="preserve">Researchers investigated the effect of sex on platelet biology to determine if platelets from males and females have different metabolic profiles at different life stages. Apheresis platelets were drawn from five pre-menopausal younger females, five post-menopausal older females, five younger males (under 45) and four older males (45 and above). Researchers found that platelets from older males are metabolically distinct from other donors, implying increased energy metabolism, more free fatty acids, </w:t>
      </w:r>
      <w:proofErr w:type="spellStart"/>
      <w:r w:rsidRPr="00251267">
        <w:rPr>
          <w:rFonts w:eastAsia="Calibri"/>
        </w:rPr>
        <w:t>acylcarnitines</w:t>
      </w:r>
      <w:proofErr w:type="spellEnd"/>
      <w:r w:rsidRPr="00251267">
        <w:rPr>
          <w:rFonts w:eastAsia="Calibri"/>
        </w:rPr>
        <w:t>, and amino acids, and increased breakdown of purines and deamination products. Only platelets from older males were affected by sex hormones in vitro.</w:t>
      </w:r>
    </w:p>
    <w:p w14:paraId="2946D17E" w14:textId="4E0F61F0" w:rsidR="007A00E6" w:rsidRPr="00192912" w:rsidRDefault="005A7942" w:rsidP="00192912">
      <w:pPr>
        <w:spacing w:before="120" w:after="0"/>
        <w:rPr>
          <w:rStyle w:val="Hyperlink"/>
        </w:rPr>
      </w:pPr>
      <w:hyperlink r:id="rId32">
        <w:r w:rsidR="007A00E6" w:rsidRPr="00192912">
          <w:rPr>
            <w:rStyle w:val="Hyperlink"/>
          </w:rPr>
          <w:t>How do we decide how representative our donors are for public health surveillance?</w:t>
        </w:r>
      </w:hyperlink>
    </w:p>
    <w:p w14:paraId="1CDF9FED" w14:textId="77777777" w:rsidR="007A00E6" w:rsidRDefault="007A00E6" w:rsidP="007A00E6">
      <w:pPr>
        <w:jc w:val="both"/>
        <w:rPr>
          <w:rFonts w:eastAsia="Calibri"/>
        </w:rPr>
      </w:pPr>
      <w:r>
        <w:rPr>
          <w:rFonts w:eastAsia="Calibri"/>
        </w:rPr>
        <w:t>Researchers</w:t>
      </w:r>
      <w:r w:rsidRPr="00115128">
        <w:rPr>
          <w:rFonts w:eastAsia="Calibri"/>
        </w:rPr>
        <w:t xml:space="preserve"> evaluate</w:t>
      </w:r>
      <w:r>
        <w:rPr>
          <w:rFonts w:eastAsia="Calibri"/>
        </w:rPr>
        <w:t xml:space="preserve">d the Canadian donor base </w:t>
      </w:r>
      <w:r w:rsidRPr="00115128">
        <w:rPr>
          <w:rFonts w:eastAsia="Calibri"/>
        </w:rPr>
        <w:t xml:space="preserve">to understand which </w:t>
      </w:r>
      <w:r>
        <w:rPr>
          <w:rFonts w:eastAsia="Calibri"/>
        </w:rPr>
        <w:t>subset</w:t>
      </w:r>
      <w:r w:rsidRPr="00115128">
        <w:rPr>
          <w:rFonts w:eastAsia="Calibri"/>
        </w:rPr>
        <w:t xml:space="preserve"> of the general population they</w:t>
      </w:r>
      <w:r>
        <w:rPr>
          <w:rFonts w:eastAsia="Calibri"/>
        </w:rPr>
        <w:t xml:space="preserve"> </w:t>
      </w:r>
      <w:r w:rsidRPr="00115128">
        <w:rPr>
          <w:rFonts w:eastAsia="Calibri"/>
        </w:rPr>
        <w:t>represent</w:t>
      </w:r>
      <w:r>
        <w:rPr>
          <w:rFonts w:eastAsia="Calibri"/>
        </w:rPr>
        <w:t xml:space="preserve">. They found that </w:t>
      </w:r>
      <w:r w:rsidRPr="00115128">
        <w:rPr>
          <w:rFonts w:eastAsia="Calibri"/>
        </w:rPr>
        <w:t xml:space="preserve">donors are an ideal convenience population for </w:t>
      </w:r>
      <w:r>
        <w:rPr>
          <w:rFonts w:eastAsia="Calibri"/>
        </w:rPr>
        <w:t xml:space="preserve">the </w:t>
      </w:r>
      <w:r w:rsidRPr="00115128">
        <w:rPr>
          <w:rFonts w:eastAsia="Calibri"/>
        </w:rPr>
        <w:t>surveillance of infectious agents</w:t>
      </w:r>
      <w:r>
        <w:rPr>
          <w:rFonts w:eastAsia="Calibri"/>
        </w:rPr>
        <w:t xml:space="preserve"> for which many people may be asymptomatic, as well as for the surveillance of vaccination serology</w:t>
      </w:r>
      <w:r w:rsidRPr="00115128">
        <w:rPr>
          <w:rFonts w:eastAsia="Calibri"/>
        </w:rPr>
        <w:t>.</w:t>
      </w:r>
    </w:p>
    <w:p w14:paraId="471843A7" w14:textId="77777777" w:rsidR="00363746" w:rsidRDefault="00363746" w:rsidP="006B53DA">
      <w:pPr>
        <w:spacing w:before="120" w:after="0"/>
      </w:pPr>
    </w:p>
    <w:p w14:paraId="4A06FB36" w14:textId="32642626" w:rsidR="007A00E6" w:rsidRPr="006B53DA" w:rsidRDefault="005A7942" w:rsidP="006B53DA">
      <w:pPr>
        <w:spacing w:before="120" w:after="0"/>
        <w:rPr>
          <w:rStyle w:val="Hyperlink"/>
        </w:rPr>
      </w:pPr>
      <w:hyperlink r:id="rId33">
        <w:r w:rsidR="007A00E6" w:rsidRPr="006B53DA">
          <w:rPr>
            <w:rStyle w:val="Hyperlink"/>
          </w:rPr>
          <w:t>‘Stay at home and limit contact’: The impact of stay‐at‐home advice on the behavio</w:t>
        </w:r>
        <w:r w:rsidR="00294BBE">
          <w:rPr>
            <w:rStyle w:val="Hyperlink"/>
          </w:rPr>
          <w:t>u</w:t>
        </w:r>
        <w:r w:rsidR="007A00E6" w:rsidRPr="006B53DA">
          <w:rPr>
            <w:rStyle w:val="Hyperlink"/>
          </w:rPr>
          <w:t>r of Australian donors aged 70 and over in the first year of the pandemic</w:t>
        </w:r>
      </w:hyperlink>
    </w:p>
    <w:p w14:paraId="08E019FB" w14:textId="4406856D" w:rsidR="007A00E6" w:rsidRPr="00A22DAB" w:rsidRDefault="006078D7" w:rsidP="007A00E6">
      <w:pPr>
        <w:jc w:val="both"/>
      </w:pPr>
      <w:r>
        <w:rPr>
          <w:rFonts w:eastAsia="Calibri"/>
        </w:rPr>
        <w:t>Early in</w:t>
      </w:r>
      <w:r w:rsidR="007A00E6" w:rsidRPr="00A22DAB">
        <w:rPr>
          <w:rFonts w:eastAsia="Calibri"/>
        </w:rPr>
        <w:t xml:space="preserve"> the COVID-19 pandemic, Australian donors aged 70 and over were advised to temporarily stop donating. </w:t>
      </w:r>
      <w:r w:rsidR="000E3BB7">
        <w:rPr>
          <w:rFonts w:eastAsia="Calibri"/>
        </w:rPr>
        <w:t>Researchers used s</w:t>
      </w:r>
      <w:r>
        <w:rPr>
          <w:rFonts w:eastAsia="Calibri"/>
        </w:rPr>
        <w:t xml:space="preserve">urvey data </w:t>
      </w:r>
      <w:r w:rsidR="000E3BB7">
        <w:rPr>
          <w:rFonts w:eastAsia="Calibri"/>
        </w:rPr>
        <w:t xml:space="preserve">collected during the first 6 months of the pandemic </w:t>
      </w:r>
      <w:r>
        <w:rPr>
          <w:rFonts w:eastAsia="Calibri"/>
        </w:rPr>
        <w:t xml:space="preserve">to analyse </w:t>
      </w:r>
      <w:r w:rsidR="007A00E6" w:rsidRPr="00A22DAB">
        <w:rPr>
          <w:rFonts w:eastAsia="Calibri"/>
        </w:rPr>
        <w:t>the number of donors</w:t>
      </w:r>
      <w:r w:rsidR="00792769">
        <w:rPr>
          <w:rFonts w:eastAsia="Calibri"/>
        </w:rPr>
        <w:t xml:space="preserve"> aged 70 and over who </w:t>
      </w:r>
      <w:r w:rsidR="007A00E6" w:rsidRPr="00A22DAB">
        <w:rPr>
          <w:rFonts w:eastAsia="Calibri"/>
        </w:rPr>
        <w:t>continued to donate</w:t>
      </w:r>
      <w:r w:rsidR="00792769">
        <w:rPr>
          <w:rFonts w:eastAsia="Calibri"/>
        </w:rPr>
        <w:t xml:space="preserve"> despite </w:t>
      </w:r>
      <w:r w:rsidR="00A4170A">
        <w:rPr>
          <w:rFonts w:eastAsia="Calibri"/>
        </w:rPr>
        <w:t>stay-at-home</w:t>
      </w:r>
      <w:r w:rsidR="00792769">
        <w:rPr>
          <w:rFonts w:eastAsia="Calibri"/>
        </w:rPr>
        <w:t xml:space="preserve"> advice</w:t>
      </w:r>
      <w:r w:rsidR="000E3BB7">
        <w:rPr>
          <w:rFonts w:eastAsia="Calibri"/>
        </w:rPr>
        <w:t>.</w:t>
      </w:r>
      <w:r w:rsidR="00A4170A">
        <w:rPr>
          <w:rFonts w:eastAsia="Calibri"/>
        </w:rPr>
        <w:t xml:space="preserve"> </w:t>
      </w:r>
      <w:r w:rsidR="007A00E6" w:rsidRPr="00A22DAB">
        <w:rPr>
          <w:rFonts w:eastAsia="Calibri"/>
        </w:rPr>
        <w:t>The</w:t>
      </w:r>
      <w:r>
        <w:rPr>
          <w:rFonts w:eastAsia="Calibri"/>
        </w:rPr>
        <w:t xml:space="preserve"> study</w:t>
      </w:r>
      <w:r w:rsidR="007A00E6" w:rsidRPr="00A22DAB">
        <w:rPr>
          <w:rFonts w:eastAsia="Calibri"/>
        </w:rPr>
        <w:t xml:space="preserve"> found that </w:t>
      </w:r>
      <w:r w:rsidR="00653DB8">
        <w:rPr>
          <w:rFonts w:eastAsia="Calibri"/>
        </w:rPr>
        <w:t>s</w:t>
      </w:r>
      <w:r w:rsidR="007A00E6" w:rsidRPr="00A22DAB">
        <w:rPr>
          <w:rFonts w:eastAsia="Calibri"/>
        </w:rPr>
        <w:t>tay at home advice was partially successful in preventing older donors from donating however, that a more tailored approach may have prevented more donors from donating. Researchers also suggest that stay at home advice should be accompanied by strategies to encourage donors to return once advice has changed.</w:t>
      </w:r>
    </w:p>
    <w:p w14:paraId="7C8A0579" w14:textId="77777777" w:rsidR="00AE2F65" w:rsidRPr="00192912" w:rsidRDefault="005A7942" w:rsidP="00192912">
      <w:pPr>
        <w:spacing w:before="120" w:after="0"/>
        <w:rPr>
          <w:rStyle w:val="Hyperlink"/>
        </w:rPr>
      </w:pPr>
      <w:hyperlink r:id="rId34">
        <w:r w:rsidR="00AE2F65" w:rsidRPr="00192912">
          <w:rPr>
            <w:rStyle w:val="Hyperlink"/>
          </w:rPr>
          <w:t>West Nile virus transfusion‐transmission risk in Australia associated with a seasonal outbreak in the United States</w:t>
        </w:r>
      </w:hyperlink>
    </w:p>
    <w:p w14:paraId="5600DB2E" w14:textId="77777777" w:rsidR="00AE2F65" w:rsidRPr="00996D31" w:rsidRDefault="00AE2F65" w:rsidP="00AE2F65">
      <w:pPr>
        <w:jc w:val="both"/>
        <w:rPr>
          <w:rFonts w:eastAsia="Calibri"/>
        </w:rPr>
      </w:pPr>
      <w:r>
        <w:rPr>
          <w:shd w:val="clear" w:color="auto" w:fill="FFFFFF"/>
        </w:rPr>
        <w:t>This study estimated the monthly West Nile virus (WNV) transfusion transmission (TT) risk in Australia associated with donors returning from the US</w:t>
      </w:r>
      <w:r>
        <w:t xml:space="preserve"> where </w:t>
      </w:r>
      <w:r>
        <w:rPr>
          <w:shd w:val="clear" w:color="auto" w:fill="FFFFFF"/>
        </w:rPr>
        <w:t>WNV is endemic and a potentially transfusion-transmissible virus.  The</w:t>
      </w:r>
      <w:r w:rsidRPr="00AB186F">
        <w:rPr>
          <w:shd w:val="clear" w:color="auto" w:fill="FFFFFF"/>
        </w:rPr>
        <w:t xml:space="preserve"> highest monthly cumulative transfusion risk in Australia occurred in August 2018 when 746 West Nile </w:t>
      </w:r>
      <w:proofErr w:type="spellStart"/>
      <w:r w:rsidRPr="00AB186F">
        <w:rPr>
          <w:shd w:val="clear" w:color="auto" w:fill="FFFFFF"/>
        </w:rPr>
        <w:t>neuroinvasive</w:t>
      </w:r>
      <w:proofErr w:type="spellEnd"/>
      <w:r w:rsidRPr="00AB186F">
        <w:rPr>
          <w:shd w:val="clear" w:color="auto" w:fill="FFFFFF"/>
        </w:rPr>
        <w:t xml:space="preserve"> disease cases were reported in the US</w:t>
      </w:r>
      <w:r>
        <w:rPr>
          <w:shd w:val="clear" w:color="auto" w:fill="FFFFFF"/>
        </w:rPr>
        <w:t xml:space="preserve">. However, researchers found that the </w:t>
      </w:r>
      <w:r w:rsidRPr="00AB186F">
        <w:rPr>
          <w:shd w:val="clear" w:color="auto" w:fill="FFFFFF"/>
        </w:rPr>
        <w:t xml:space="preserve">risk in Australia associated with seasonal outbreaks in the US </w:t>
      </w:r>
      <w:r>
        <w:rPr>
          <w:shd w:val="clear" w:color="auto" w:fill="FFFFFF"/>
        </w:rPr>
        <w:t>wa</w:t>
      </w:r>
      <w:r w:rsidRPr="00AB186F">
        <w:rPr>
          <w:shd w:val="clear" w:color="auto" w:fill="FFFFFF"/>
        </w:rPr>
        <w:t>s extremely small</w:t>
      </w:r>
      <w:r>
        <w:rPr>
          <w:shd w:val="clear" w:color="auto" w:fill="FFFFFF"/>
        </w:rPr>
        <w:t>.</w:t>
      </w:r>
    </w:p>
    <w:p w14:paraId="79E56706" w14:textId="77777777" w:rsidR="00AE2F65" w:rsidRPr="00192912" w:rsidRDefault="005A7942" w:rsidP="00192912">
      <w:pPr>
        <w:spacing w:before="120" w:after="0"/>
        <w:rPr>
          <w:rStyle w:val="Hyperlink"/>
        </w:rPr>
      </w:pPr>
      <w:hyperlink r:id="rId35">
        <w:r w:rsidR="00AE2F65" w:rsidRPr="00192912">
          <w:rPr>
            <w:rStyle w:val="Hyperlink"/>
          </w:rPr>
          <w:t>Transfusion-transmitted arboviruses: Update and systematic review</w:t>
        </w:r>
      </w:hyperlink>
    </w:p>
    <w:p w14:paraId="70AE3FEC" w14:textId="03F47682" w:rsidR="00AE2F65" w:rsidRDefault="00AE2F65" w:rsidP="00AE2F65">
      <w:pPr>
        <w:jc w:val="both"/>
        <w:rPr>
          <w:rFonts w:eastAsia="Calibri"/>
        </w:rPr>
      </w:pPr>
      <w:r w:rsidRPr="00AB186F">
        <w:rPr>
          <w:rFonts w:eastAsia="Calibri"/>
        </w:rPr>
        <w:t>Th</w:t>
      </w:r>
      <w:r>
        <w:rPr>
          <w:rFonts w:eastAsia="Calibri"/>
        </w:rPr>
        <w:t xml:space="preserve">is study </w:t>
      </w:r>
      <w:r w:rsidRPr="00AB186F">
        <w:rPr>
          <w:rFonts w:eastAsia="Calibri"/>
        </w:rPr>
        <w:t>review</w:t>
      </w:r>
      <w:r>
        <w:rPr>
          <w:rFonts w:eastAsia="Calibri"/>
        </w:rPr>
        <w:t>ed</w:t>
      </w:r>
      <w:r w:rsidRPr="00AB186F">
        <w:rPr>
          <w:rFonts w:eastAsia="Calibri"/>
        </w:rPr>
        <w:t xml:space="preserve"> the published cases of arbovirus transmission through transfusion of blood or blood components</w:t>
      </w:r>
      <w:r>
        <w:rPr>
          <w:rFonts w:eastAsia="Calibri"/>
        </w:rPr>
        <w:t xml:space="preserve"> worldwide</w:t>
      </w:r>
      <w:r w:rsidRPr="00AB186F">
        <w:rPr>
          <w:rFonts w:eastAsia="Calibri"/>
        </w:rPr>
        <w:t>.</w:t>
      </w:r>
      <w:r>
        <w:rPr>
          <w:rFonts w:eastAsia="Calibri"/>
        </w:rPr>
        <w:t xml:space="preserve"> Researchers identified 7</w:t>
      </w:r>
      <w:r w:rsidRPr="00AB186F">
        <w:rPr>
          <w:rFonts w:eastAsia="Calibri"/>
        </w:rPr>
        <w:t>4 cases of transfusion-transmitted</w:t>
      </w:r>
      <w:r>
        <w:rPr>
          <w:rFonts w:eastAsia="Calibri"/>
        </w:rPr>
        <w:t xml:space="preserve"> arbovirus</w:t>
      </w:r>
      <w:r w:rsidRPr="00AB186F">
        <w:rPr>
          <w:rFonts w:eastAsia="Calibri"/>
        </w:rPr>
        <w:t xml:space="preserve"> infections</w:t>
      </w:r>
      <w:r>
        <w:rPr>
          <w:rFonts w:eastAsia="Calibri"/>
        </w:rPr>
        <w:t xml:space="preserve"> to November 2021. </w:t>
      </w:r>
      <w:r w:rsidR="00294BBE">
        <w:rPr>
          <w:rFonts w:eastAsia="Calibri"/>
        </w:rPr>
        <w:t>Most</w:t>
      </w:r>
      <w:r>
        <w:rPr>
          <w:rFonts w:eastAsia="Calibri"/>
        </w:rPr>
        <w:t xml:space="preserve"> infections were </w:t>
      </w:r>
      <w:r w:rsidRPr="00AB186F">
        <w:rPr>
          <w:rFonts w:eastAsia="Calibri"/>
        </w:rPr>
        <w:t>West Nile virus (42)</w:t>
      </w:r>
      <w:r>
        <w:rPr>
          <w:rFonts w:eastAsia="Calibri"/>
        </w:rPr>
        <w:t xml:space="preserve"> or </w:t>
      </w:r>
      <w:r w:rsidRPr="00AB186F">
        <w:rPr>
          <w:rFonts w:eastAsia="Calibri"/>
        </w:rPr>
        <w:t>dengue virus (18)</w:t>
      </w:r>
      <w:r>
        <w:rPr>
          <w:rFonts w:eastAsia="Calibri"/>
        </w:rPr>
        <w:t>.</w:t>
      </w:r>
      <w:r w:rsidRPr="00AB186F">
        <w:rPr>
          <w:rFonts w:eastAsia="Calibri"/>
        </w:rPr>
        <w:t xml:space="preserve"> The blood component </w:t>
      </w:r>
      <w:proofErr w:type="gramStart"/>
      <w:r w:rsidRPr="00AB186F">
        <w:rPr>
          <w:rFonts w:eastAsia="Calibri"/>
        </w:rPr>
        <w:t>most commonly involved</w:t>
      </w:r>
      <w:proofErr w:type="gramEnd"/>
      <w:r w:rsidRPr="00AB186F">
        <w:rPr>
          <w:rFonts w:eastAsia="Calibri"/>
        </w:rPr>
        <w:t xml:space="preserve"> was red blood cells </w:t>
      </w:r>
      <w:r>
        <w:rPr>
          <w:rFonts w:eastAsia="Calibri"/>
        </w:rPr>
        <w:t>and t</w:t>
      </w:r>
      <w:r w:rsidRPr="00AB186F">
        <w:rPr>
          <w:rFonts w:eastAsia="Calibri"/>
        </w:rPr>
        <w:t>ransmission resulted in death in 14</w:t>
      </w:r>
      <w:r>
        <w:rPr>
          <w:rFonts w:eastAsia="Calibri"/>
        </w:rPr>
        <w:t xml:space="preserve"> cases.</w:t>
      </w:r>
    </w:p>
    <w:p w14:paraId="323BC99D" w14:textId="77777777" w:rsidR="00644F00" w:rsidRPr="00E55425" w:rsidRDefault="005A7942" w:rsidP="00192912">
      <w:pPr>
        <w:spacing w:before="120" w:after="0"/>
        <w:rPr>
          <w:rStyle w:val="Hyperlink"/>
        </w:rPr>
      </w:pPr>
      <w:hyperlink r:id="rId36">
        <w:r w:rsidR="00644F00" w:rsidRPr="00E55425">
          <w:rPr>
            <w:rStyle w:val="Hyperlink"/>
          </w:rPr>
          <w:t>Explainable haemoglobin deferral predictions using machine learning models: Interpretation and consequences for the blood supply</w:t>
        </w:r>
      </w:hyperlink>
    </w:p>
    <w:p w14:paraId="3AB2668D" w14:textId="1281C65B" w:rsidR="00644F00" w:rsidRDefault="00E12A1B" w:rsidP="00981161">
      <w:pPr>
        <w:rPr>
          <w:rStyle w:val="Hyperlink"/>
        </w:rPr>
      </w:pPr>
      <w:r>
        <w:t xml:space="preserve">This research presents a </w:t>
      </w:r>
      <w:r w:rsidR="006616AA">
        <w:t>novel</w:t>
      </w:r>
      <w:r w:rsidR="00420A40">
        <w:t>,</w:t>
      </w:r>
      <w:r w:rsidR="006616AA">
        <w:t xml:space="preserve"> machine learning haemoglobin deferral prediction</w:t>
      </w:r>
      <w:r w:rsidR="00644F00" w:rsidRPr="00981161">
        <w:t xml:space="preserve"> model </w:t>
      </w:r>
      <w:r>
        <w:t>based on donor characteristics and donation history.  The model</w:t>
      </w:r>
      <w:r w:rsidR="00653DB8">
        <w:t xml:space="preserve"> </w:t>
      </w:r>
      <w:r>
        <w:t>was developed to</w:t>
      </w:r>
      <w:r w:rsidR="00644F00" w:rsidRPr="00981161">
        <w:t xml:space="preserve"> predict ha</w:t>
      </w:r>
      <w:r w:rsidR="00644F00">
        <w:rPr>
          <w:shd w:val="clear" w:color="auto" w:fill="FFFFFF"/>
        </w:rPr>
        <w:t>emoglobin</w:t>
      </w:r>
      <w:r w:rsidR="00644F00" w:rsidRPr="00E55425">
        <w:rPr>
          <w:shd w:val="clear" w:color="auto" w:fill="FFFFFF"/>
        </w:rPr>
        <w:t xml:space="preserve"> deferral</w:t>
      </w:r>
      <w:r w:rsidR="00644F00">
        <w:rPr>
          <w:shd w:val="clear" w:color="auto" w:fill="FFFFFF"/>
        </w:rPr>
        <w:t xml:space="preserve"> for whole blood donors with the aim of reducing</w:t>
      </w:r>
      <w:r w:rsidR="00644F00" w:rsidRPr="00E55425">
        <w:rPr>
          <w:shd w:val="clear" w:color="auto" w:fill="FFFFFF"/>
        </w:rPr>
        <w:t xml:space="preserve"> deferral</w:t>
      </w:r>
      <w:r w:rsidR="00644F00">
        <w:rPr>
          <w:shd w:val="clear" w:color="auto" w:fill="FFFFFF"/>
        </w:rPr>
        <w:t xml:space="preserve">s, while </w:t>
      </w:r>
      <w:r w:rsidR="00644F00" w:rsidRPr="00E55425">
        <w:rPr>
          <w:shd w:val="clear" w:color="auto" w:fill="FFFFFF"/>
        </w:rPr>
        <w:t>increas</w:t>
      </w:r>
      <w:r w:rsidR="00644F00">
        <w:rPr>
          <w:shd w:val="clear" w:color="auto" w:fill="FFFFFF"/>
        </w:rPr>
        <w:t xml:space="preserve">ing </w:t>
      </w:r>
      <w:r w:rsidR="00644F00" w:rsidRPr="00E55425">
        <w:rPr>
          <w:shd w:val="clear" w:color="auto" w:fill="FFFFFF"/>
        </w:rPr>
        <w:t>efficiency and donor motivation.</w:t>
      </w:r>
      <w:r w:rsidR="00644F00">
        <w:rPr>
          <w:shd w:val="clear" w:color="auto" w:fill="FFFFFF"/>
        </w:rPr>
        <w:t xml:space="preserve"> Researchers suggest </w:t>
      </w:r>
      <w:r>
        <w:rPr>
          <w:shd w:val="clear" w:color="auto" w:fill="FFFFFF"/>
        </w:rPr>
        <w:t xml:space="preserve">using the prediction model </w:t>
      </w:r>
      <w:r w:rsidR="00653DB8">
        <w:rPr>
          <w:shd w:val="clear" w:color="auto" w:fill="FFFFFF"/>
        </w:rPr>
        <w:t>could</w:t>
      </w:r>
      <w:r>
        <w:rPr>
          <w:shd w:val="clear" w:color="auto" w:fill="FFFFFF"/>
        </w:rPr>
        <w:t xml:space="preserve"> assist </w:t>
      </w:r>
      <w:r w:rsidR="00420A40">
        <w:rPr>
          <w:shd w:val="clear" w:color="auto" w:fill="FFFFFF"/>
        </w:rPr>
        <w:t xml:space="preserve">timing of when </w:t>
      </w:r>
      <w:r w:rsidR="00644F00">
        <w:rPr>
          <w:shd w:val="clear" w:color="auto" w:fill="FFFFFF"/>
        </w:rPr>
        <w:t xml:space="preserve">invites are sent to donors </w:t>
      </w:r>
      <w:r w:rsidR="00420A40">
        <w:rPr>
          <w:shd w:val="clear" w:color="auto" w:fill="FFFFFF"/>
        </w:rPr>
        <w:t xml:space="preserve">to match </w:t>
      </w:r>
      <w:r w:rsidR="00644F00">
        <w:rPr>
          <w:shd w:val="clear" w:color="auto" w:fill="FFFFFF"/>
        </w:rPr>
        <w:t>when their haemoglobin levels are safe for donation. The</w:t>
      </w:r>
      <w:r w:rsidR="006616AA">
        <w:rPr>
          <w:shd w:val="clear" w:color="auto" w:fill="FFFFFF"/>
        </w:rPr>
        <w:t xml:space="preserve"> results concluded that by using the model,</w:t>
      </w:r>
      <w:r w:rsidR="00644F00">
        <w:rPr>
          <w:shd w:val="clear" w:color="auto" w:fill="FFFFFF"/>
        </w:rPr>
        <w:t xml:space="preserve"> </w:t>
      </w:r>
      <w:r w:rsidR="00644F00" w:rsidRPr="00693C86">
        <w:rPr>
          <w:shd w:val="clear" w:color="auto" w:fill="FFFFFF"/>
        </w:rPr>
        <w:t>the number of blood bank visits would increase by 15%, while deferral rates would decrease by 60%</w:t>
      </w:r>
      <w:r w:rsidR="00644F00" w:rsidRPr="00E55425">
        <w:rPr>
          <w:shd w:val="clear" w:color="auto" w:fill="FFFFFF"/>
        </w:rPr>
        <w:t>.</w:t>
      </w:r>
    </w:p>
    <w:p w14:paraId="4454562C" w14:textId="77777777" w:rsidR="00B04A04" w:rsidRPr="00192912" w:rsidRDefault="005A7942" w:rsidP="00192912">
      <w:pPr>
        <w:spacing w:before="120" w:after="0"/>
        <w:rPr>
          <w:rStyle w:val="Hyperlink"/>
        </w:rPr>
      </w:pPr>
      <w:hyperlink r:id="rId37" w:history="1">
        <w:r w:rsidR="00B04A04">
          <w:rPr>
            <w:rStyle w:val="Hyperlink"/>
          </w:rPr>
          <w:t>Scientists find new set of blood types</w:t>
        </w:r>
      </w:hyperlink>
    </w:p>
    <w:p w14:paraId="727AA182" w14:textId="77777777" w:rsidR="00B04A04" w:rsidRDefault="00B04A04" w:rsidP="00B04A04">
      <w:r>
        <w:t>Scientists have described the different mutations of the Er blood group antigen, including two previously unknown versions.</w:t>
      </w:r>
    </w:p>
    <w:p w14:paraId="2F247625" w14:textId="414E93E2" w:rsidR="00430A43" w:rsidRDefault="00430A43" w:rsidP="009807FF">
      <w:pPr>
        <w:keepNext/>
        <w:keepLines/>
        <w:numPr>
          <w:ilvl w:val="0"/>
          <w:numId w:val="2"/>
        </w:numPr>
        <w:spacing w:before="240" w:after="0"/>
        <w:ind w:left="431" w:hanging="431"/>
        <w:jc w:val="both"/>
        <w:outlineLvl w:val="0"/>
        <w:rPr>
          <w:rFonts w:eastAsiaTheme="majorEastAsia" w:cstheme="majorBidi"/>
          <w:b/>
          <w:sz w:val="36"/>
          <w:szCs w:val="32"/>
        </w:rPr>
      </w:pPr>
      <w:bookmarkStart w:id="8" w:name="_Toc126935631"/>
      <w:r>
        <w:rPr>
          <w:rFonts w:eastAsiaTheme="majorEastAsia" w:cstheme="majorBidi"/>
          <w:b/>
          <w:sz w:val="36"/>
          <w:szCs w:val="32"/>
        </w:rPr>
        <w:t>Blood disorders and treatments</w:t>
      </w:r>
      <w:bookmarkEnd w:id="8"/>
    </w:p>
    <w:p w14:paraId="24D54335" w14:textId="77777777" w:rsidR="00430A43" w:rsidRDefault="00430A43" w:rsidP="00CE1156">
      <w:pPr>
        <w:spacing w:before="0" w:after="0"/>
        <w:jc w:val="both"/>
      </w:pPr>
      <w:r>
        <w:t xml:space="preserve">This section includes published new media, </w:t>
      </w:r>
      <w:proofErr w:type="gramStart"/>
      <w:r>
        <w:t>research</w:t>
      </w:r>
      <w:proofErr w:type="gramEnd"/>
      <w:r>
        <w:t xml:space="preserve"> and industry statements on the progress of blood disorder treatments across various conditions. </w:t>
      </w:r>
    </w:p>
    <w:p w14:paraId="60641E83" w14:textId="77E9D208" w:rsidR="00430A43" w:rsidRPr="001E4143" w:rsidRDefault="00430A43" w:rsidP="009807FF">
      <w:pPr>
        <w:numPr>
          <w:ilvl w:val="1"/>
          <w:numId w:val="2"/>
        </w:numPr>
        <w:spacing w:before="120" w:after="0"/>
        <w:ind w:left="578" w:hanging="578"/>
        <w:jc w:val="both"/>
        <w:outlineLvl w:val="1"/>
        <w:rPr>
          <w:rFonts w:cs="Arial"/>
          <w:b/>
          <w:sz w:val="28"/>
          <w:szCs w:val="36"/>
        </w:rPr>
      </w:pPr>
      <w:bookmarkStart w:id="9" w:name="_Toc116476041"/>
      <w:bookmarkStart w:id="10" w:name="_Toc126935632"/>
      <w:bookmarkEnd w:id="9"/>
      <w:r w:rsidRPr="001E4143">
        <w:rPr>
          <w:rFonts w:cs="Arial"/>
          <w:b/>
          <w:sz w:val="28"/>
          <w:szCs w:val="36"/>
        </w:rPr>
        <w:t>Haemophilia</w:t>
      </w:r>
      <w:bookmarkEnd w:id="10"/>
    </w:p>
    <w:p w14:paraId="0FDA3374" w14:textId="77777777" w:rsidR="004876B9" w:rsidRPr="00192912" w:rsidRDefault="005A7942" w:rsidP="004876B9">
      <w:pPr>
        <w:spacing w:before="120" w:after="0"/>
        <w:rPr>
          <w:rStyle w:val="Hyperlink"/>
        </w:rPr>
      </w:pPr>
      <w:hyperlink r:id="rId38">
        <w:r w:rsidR="004876B9" w:rsidRPr="00192912">
          <w:rPr>
            <w:rStyle w:val="Hyperlink"/>
          </w:rPr>
          <w:t>Drug associated acquired haemophilia A: an analysis based on 185 cases from the WHO pharmacovigilance database</w:t>
        </w:r>
      </w:hyperlink>
    </w:p>
    <w:p w14:paraId="40F4962C" w14:textId="17E6C941" w:rsidR="004876B9" w:rsidRDefault="004876B9" w:rsidP="004876B9">
      <w:pPr>
        <w:jc w:val="both"/>
        <w:rPr>
          <w:rFonts w:eastAsia="Calibri"/>
        </w:rPr>
      </w:pPr>
      <w:r>
        <w:rPr>
          <w:rFonts w:eastAsia="Calibri"/>
        </w:rPr>
        <w:t xml:space="preserve">This study </w:t>
      </w:r>
      <w:r w:rsidRPr="006D4D08">
        <w:rPr>
          <w:rFonts w:eastAsia="Calibri"/>
        </w:rPr>
        <w:t>identif</w:t>
      </w:r>
      <w:r>
        <w:rPr>
          <w:rFonts w:eastAsia="Calibri"/>
        </w:rPr>
        <w:t xml:space="preserve">ied </w:t>
      </w:r>
      <w:r w:rsidRPr="006D4D08">
        <w:rPr>
          <w:rFonts w:eastAsia="Calibri"/>
        </w:rPr>
        <w:t>and characteri</w:t>
      </w:r>
      <w:r>
        <w:rPr>
          <w:rFonts w:eastAsia="Calibri"/>
        </w:rPr>
        <w:t>s</w:t>
      </w:r>
      <w:r w:rsidRPr="006D4D08">
        <w:rPr>
          <w:rFonts w:eastAsia="Calibri"/>
        </w:rPr>
        <w:t>e</w:t>
      </w:r>
      <w:r>
        <w:rPr>
          <w:rFonts w:eastAsia="Calibri"/>
        </w:rPr>
        <w:t xml:space="preserve">d the </w:t>
      </w:r>
      <w:r w:rsidRPr="006D4D08">
        <w:rPr>
          <w:rFonts w:eastAsia="Calibri"/>
        </w:rPr>
        <w:t xml:space="preserve">drugs associated with </w:t>
      </w:r>
      <w:r>
        <w:rPr>
          <w:rFonts w:eastAsia="Calibri"/>
        </w:rPr>
        <w:t>acquired haemophilia A</w:t>
      </w:r>
      <w:r w:rsidRPr="006D4D08">
        <w:rPr>
          <w:rFonts w:eastAsia="Calibri"/>
        </w:rPr>
        <w:t xml:space="preserve"> using the WHO global database of reported potential effects of medicinal products.</w:t>
      </w:r>
      <w:r>
        <w:rPr>
          <w:rFonts w:eastAsia="Calibri"/>
        </w:rPr>
        <w:t xml:space="preserve"> Researchers</w:t>
      </w:r>
      <w:r w:rsidRPr="006D4D08">
        <w:rPr>
          <w:rFonts w:eastAsia="Calibri"/>
        </w:rPr>
        <w:t xml:space="preserve"> </w:t>
      </w:r>
      <w:r>
        <w:rPr>
          <w:rFonts w:eastAsia="Calibri"/>
        </w:rPr>
        <w:t>analysed all adverse drug reactions associated with acquired haemophilia between 2004 and 2021</w:t>
      </w:r>
      <w:r w:rsidRPr="006D4D08">
        <w:rPr>
          <w:rFonts w:eastAsia="Calibri"/>
        </w:rPr>
        <w:t>.</w:t>
      </w:r>
      <w:r>
        <w:rPr>
          <w:rFonts w:eastAsia="Calibri"/>
        </w:rPr>
        <w:t xml:space="preserve"> Researchers were able to identify 14 </w:t>
      </w:r>
      <w:r w:rsidRPr="006D4D08">
        <w:rPr>
          <w:rFonts w:eastAsia="Calibri"/>
        </w:rPr>
        <w:t xml:space="preserve">drugs </w:t>
      </w:r>
      <w:r>
        <w:rPr>
          <w:rFonts w:eastAsia="Calibri"/>
        </w:rPr>
        <w:t>associated with</w:t>
      </w:r>
      <w:r w:rsidRPr="006D4D08">
        <w:rPr>
          <w:rFonts w:eastAsia="Calibri"/>
        </w:rPr>
        <w:t xml:space="preserve"> a total of 185 cases</w:t>
      </w:r>
      <w:r>
        <w:rPr>
          <w:rFonts w:eastAsia="Calibri"/>
        </w:rPr>
        <w:t>.</w:t>
      </w:r>
    </w:p>
    <w:p w14:paraId="0BC37AF6" w14:textId="08E83693" w:rsidR="004876B9" w:rsidRDefault="004876B9" w:rsidP="004876B9">
      <w:pPr>
        <w:jc w:val="both"/>
        <w:rPr>
          <w:rFonts w:eastAsia="Calibri"/>
        </w:rPr>
      </w:pPr>
    </w:p>
    <w:p w14:paraId="4F82598D" w14:textId="77777777" w:rsidR="00363746" w:rsidRDefault="00363746" w:rsidP="004876B9">
      <w:pPr>
        <w:jc w:val="both"/>
        <w:rPr>
          <w:rFonts w:eastAsia="Calibri"/>
        </w:rPr>
      </w:pPr>
    </w:p>
    <w:p w14:paraId="10A4E684" w14:textId="77777777" w:rsidR="00C33B62" w:rsidRPr="00005CF2" w:rsidRDefault="005A7942" w:rsidP="00192912">
      <w:pPr>
        <w:spacing w:before="120" w:after="0"/>
        <w:rPr>
          <w:rStyle w:val="Hyperlink"/>
        </w:rPr>
      </w:pPr>
      <w:hyperlink r:id="rId39">
        <w:proofErr w:type="spellStart"/>
        <w:r w:rsidR="00C33B62" w:rsidRPr="00005CF2">
          <w:rPr>
            <w:rStyle w:val="Hyperlink"/>
          </w:rPr>
          <w:t>Emicizumab</w:t>
        </w:r>
        <w:proofErr w:type="spellEnd"/>
        <w:r w:rsidR="00C33B62" w:rsidRPr="00005CF2">
          <w:rPr>
            <w:rStyle w:val="Hyperlink"/>
          </w:rPr>
          <w:t xml:space="preserve"> assays evaluations with four different reagents in severe haemophilia A patients: Concentration from baseline to maintenance therapy</w:t>
        </w:r>
      </w:hyperlink>
    </w:p>
    <w:p w14:paraId="10088E77" w14:textId="1CCB4D89" w:rsidR="009021AB" w:rsidRDefault="009021AB" w:rsidP="009021AB">
      <w:pPr>
        <w:spacing w:line="252" w:lineRule="auto"/>
        <w:rPr>
          <w:rFonts w:eastAsiaTheme="minorHAnsi"/>
        </w:rPr>
      </w:pPr>
      <w:r>
        <w:t xml:space="preserve">Biological monitoring of patients treated with </w:t>
      </w:r>
      <w:proofErr w:type="spellStart"/>
      <w:r>
        <w:t>emicizumab</w:t>
      </w:r>
      <w:proofErr w:type="spellEnd"/>
      <w:r>
        <w:t xml:space="preserve"> (</w:t>
      </w:r>
      <w:proofErr w:type="spellStart"/>
      <w:r>
        <w:t>Hemlibra</w:t>
      </w:r>
      <w:proofErr w:type="spellEnd"/>
      <w:r>
        <w:t xml:space="preserve">) presents challenges as the treatment can interfere with some coagulation assays. </w:t>
      </w:r>
      <w:r w:rsidR="00FD0490">
        <w:t>E</w:t>
      </w:r>
      <w:r>
        <w:t>valuat</w:t>
      </w:r>
      <w:r w:rsidR="00FD0490">
        <w:t>ion of</w:t>
      </w:r>
      <w:r>
        <w:t xml:space="preserve"> several reagents and assays used to measure </w:t>
      </w:r>
      <w:proofErr w:type="spellStart"/>
      <w:r>
        <w:t>emicizumab</w:t>
      </w:r>
      <w:proofErr w:type="spellEnd"/>
      <w:r>
        <w:t xml:space="preserve"> plasma concentrations in </w:t>
      </w:r>
      <w:proofErr w:type="spellStart"/>
      <w:r w:rsidR="002F5E52">
        <w:t>hemophilia</w:t>
      </w:r>
      <w:proofErr w:type="spellEnd"/>
      <w:r w:rsidR="002F5E52">
        <w:t xml:space="preserve"> </w:t>
      </w:r>
      <w:r>
        <w:t xml:space="preserve">A patients showed that in real life conditions, the four reagents tested seem to be acceptable for the measurement of </w:t>
      </w:r>
      <w:proofErr w:type="spellStart"/>
      <w:r>
        <w:t>emicizumab</w:t>
      </w:r>
      <w:proofErr w:type="spellEnd"/>
      <w:r>
        <w:t xml:space="preserve"> concentration. However, one of the assays (</w:t>
      </w:r>
      <w:proofErr w:type="spellStart"/>
      <w:r>
        <w:t>aPTT</w:t>
      </w:r>
      <w:proofErr w:type="spellEnd"/>
      <w:r>
        <w:t xml:space="preserve">-based FVIII:C OSA) is influenced by the presence of exogenous FVIII and should be interpreted with caution in patients having received such therapeutic agents in combination with </w:t>
      </w:r>
      <w:proofErr w:type="spellStart"/>
      <w:r>
        <w:t>emicizumab</w:t>
      </w:r>
      <w:proofErr w:type="spellEnd"/>
      <w:r>
        <w:t>.</w:t>
      </w:r>
    </w:p>
    <w:p w14:paraId="702C0F4A" w14:textId="77777777" w:rsidR="005744A9" w:rsidRDefault="005A7942" w:rsidP="00192912">
      <w:pPr>
        <w:spacing w:before="120" w:after="0"/>
        <w:rPr>
          <w:rStyle w:val="Hyperlink"/>
        </w:rPr>
      </w:pPr>
      <w:hyperlink r:id="rId40">
        <w:r w:rsidR="005744A9" w:rsidRPr="18E3645C">
          <w:rPr>
            <w:rStyle w:val="Hyperlink"/>
          </w:rPr>
          <w:t>Clinical outcomes of low‐dose pharmacokinetic‐guided extended half‐life versus low‐dose standard half‐life factor VIII concentrate prophylaxis in haemophilia A patients</w:t>
        </w:r>
      </w:hyperlink>
    </w:p>
    <w:p w14:paraId="655377A7" w14:textId="2DE6E8F2" w:rsidR="005744A9" w:rsidRDefault="005744A9" w:rsidP="005744A9">
      <w:pPr>
        <w:jc w:val="both"/>
        <w:rPr>
          <w:shd w:val="clear" w:color="auto" w:fill="FFFFFF"/>
        </w:rPr>
      </w:pPr>
      <w:r>
        <w:rPr>
          <w:shd w:val="clear" w:color="auto" w:fill="FFFFFF"/>
        </w:rPr>
        <w:t xml:space="preserve">This Thai study aimed to compare clinical outcomes when switching </w:t>
      </w:r>
      <w:proofErr w:type="gramStart"/>
      <w:r>
        <w:rPr>
          <w:shd w:val="clear" w:color="auto" w:fill="FFFFFF"/>
        </w:rPr>
        <w:t>haemophilia</w:t>
      </w:r>
      <w:proofErr w:type="gramEnd"/>
      <w:r>
        <w:rPr>
          <w:shd w:val="clear" w:color="auto" w:fill="FFFFFF"/>
        </w:rPr>
        <w:t xml:space="preserve"> A (HA) patients from low-dose</w:t>
      </w:r>
      <w:r w:rsidRPr="00054C68">
        <w:rPr>
          <w:shd w:val="clear" w:color="auto" w:fill="FFFFFF"/>
        </w:rPr>
        <w:t xml:space="preserve"> </w:t>
      </w:r>
      <w:r w:rsidRPr="00306627">
        <w:rPr>
          <w:shd w:val="clear" w:color="auto" w:fill="FFFFFF"/>
        </w:rPr>
        <w:t xml:space="preserve">standard half-life </w:t>
      </w:r>
      <w:r>
        <w:rPr>
          <w:shd w:val="clear" w:color="auto" w:fill="FFFFFF"/>
        </w:rPr>
        <w:t>FVIII prophylaxis to</w:t>
      </w:r>
      <w:r w:rsidRPr="007A56CB">
        <w:rPr>
          <w:shd w:val="clear" w:color="auto" w:fill="FFFFFF"/>
        </w:rPr>
        <w:t xml:space="preserve"> pharmacokinetic</w:t>
      </w:r>
      <w:r>
        <w:rPr>
          <w:shd w:val="clear" w:color="auto" w:fill="FFFFFF"/>
        </w:rPr>
        <w:t xml:space="preserve"> guided </w:t>
      </w:r>
      <w:r w:rsidRPr="00E33569">
        <w:rPr>
          <w:shd w:val="clear" w:color="auto" w:fill="FFFFFF"/>
        </w:rPr>
        <w:t>extended half-life</w:t>
      </w:r>
      <w:r>
        <w:rPr>
          <w:shd w:val="clear" w:color="auto" w:fill="FFFFFF"/>
        </w:rPr>
        <w:t xml:space="preserve"> FVIII concentrates. </w:t>
      </w:r>
      <w:r w:rsidR="00974F4E">
        <w:rPr>
          <w:shd w:val="clear" w:color="auto" w:fill="FFFFFF"/>
        </w:rPr>
        <w:t>O</w:t>
      </w:r>
      <w:r>
        <w:rPr>
          <w:shd w:val="clear" w:color="auto" w:fill="FFFFFF"/>
        </w:rPr>
        <w:t>ver a</w:t>
      </w:r>
      <w:r w:rsidRPr="00D90BA7">
        <w:rPr>
          <w:shd w:val="clear" w:color="auto" w:fill="FFFFFF"/>
        </w:rPr>
        <w:t xml:space="preserve"> 6-month</w:t>
      </w:r>
      <w:r>
        <w:rPr>
          <w:shd w:val="clear" w:color="auto" w:fill="FFFFFF"/>
        </w:rPr>
        <w:t xml:space="preserve"> period the switch improved</w:t>
      </w:r>
      <w:r w:rsidRPr="00D90BA7">
        <w:rPr>
          <w:shd w:val="clear" w:color="auto" w:fill="FFFFFF"/>
        </w:rPr>
        <w:t xml:space="preserve"> </w:t>
      </w:r>
      <w:r>
        <w:rPr>
          <w:shd w:val="clear" w:color="auto" w:fill="FFFFFF"/>
        </w:rPr>
        <w:t xml:space="preserve">annual bleeding rates, joint bleeding rates, joint health scores and quality of life in patients with severe or moderate HA but it did result in an overall increase in FVIII consumption. While cost effectiveness was not analysed as part of this study, the results do suggest that PK guided dosing is worth considering due to improved patient outcomes, even if there are budget constraints. </w:t>
      </w:r>
    </w:p>
    <w:p w14:paraId="4E221F8D" w14:textId="77777777" w:rsidR="005744A9" w:rsidRDefault="005A7942" w:rsidP="00192912">
      <w:pPr>
        <w:spacing w:before="120" w:after="0"/>
        <w:rPr>
          <w:rStyle w:val="Hyperlink"/>
        </w:rPr>
      </w:pPr>
      <w:hyperlink r:id="rId41" w:history="1">
        <w:r w:rsidR="005744A9" w:rsidRPr="00990B7A">
          <w:rPr>
            <w:rStyle w:val="Hyperlink"/>
          </w:rPr>
          <w:t>Modulating</w:t>
        </w:r>
        <w:r w:rsidR="005744A9" w:rsidRPr="00B70C66">
          <w:rPr>
            <w:rStyle w:val="Hyperlink"/>
          </w:rPr>
          <w:t xml:space="preserve"> the microenvironment during FVIII uptake influences the nature of FVIII-peptides presented by antigen-presenting cells</w:t>
        </w:r>
      </w:hyperlink>
    </w:p>
    <w:p w14:paraId="4B5F92FD" w14:textId="687FA2DB" w:rsidR="00EF4FCA" w:rsidRDefault="005744A9" w:rsidP="005744A9">
      <w:pPr>
        <w:spacing w:before="0" w:after="0"/>
        <w:jc w:val="both"/>
        <w:rPr>
          <w:lang w:val="en-US"/>
        </w:rPr>
      </w:pPr>
      <w:r w:rsidRPr="00BB3559">
        <w:rPr>
          <w:shd w:val="clear" w:color="auto" w:fill="FFFFFF"/>
        </w:rPr>
        <w:t xml:space="preserve">In this study, </w:t>
      </w:r>
      <w:r>
        <w:rPr>
          <w:shd w:val="clear" w:color="auto" w:fill="FFFFFF"/>
        </w:rPr>
        <w:t>researchers</w:t>
      </w:r>
      <w:r w:rsidRPr="00BB3559">
        <w:rPr>
          <w:shd w:val="clear" w:color="auto" w:fill="FFFFFF"/>
        </w:rPr>
        <w:t xml:space="preserve"> </w:t>
      </w:r>
      <w:r>
        <w:rPr>
          <w:shd w:val="clear" w:color="auto" w:fill="FFFFFF"/>
        </w:rPr>
        <w:t>sought to understand the risk factors of haemophilia A patients developing inhibitors following Factor VIII (FVIII) replacement therapy.  They looked at the</w:t>
      </w:r>
      <w:r w:rsidRPr="00BB3559">
        <w:rPr>
          <w:shd w:val="clear" w:color="auto" w:fill="FFFFFF"/>
        </w:rPr>
        <w:t xml:space="preserve"> FVIII peptide repertoire presented by antigen-presenting cells (APCs) under different microenvironment conditions</w:t>
      </w:r>
      <w:r>
        <w:rPr>
          <w:shd w:val="clear" w:color="auto" w:fill="FFFFFF"/>
        </w:rPr>
        <w:t>, and how these microenvironments</w:t>
      </w:r>
      <w:r w:rsidRPr="00BB3559">
        <w:rPr>
          <w:shd w:val="clear" w:color="auto" w:fill="FFFFFF"/>
        </w:rPr>
        <w:t xml:space="preserve"> alter</w:t>
      </w:r>
      <w:r>
        <w:rPr>
          <w:shd w:val="clear" w:color="auto" w:fill="FFFFFF"/>
        </w:rPr>
        <w:t>ed</w:t>
      </w:r>
      <w:r w:rsidRPr="00BB3559">
        <w:rPr>
          <w:shd w:val="clear" w:color="auto" w:fill="FFFFFF"/>
        </w:rPr>
        <w:t xml:space="preserve"> the uptake of FVIII by APCs. </w:t>
      </w:r>
    </w:p>
    <w:p w14:paraId="18DFB4FC" w14:textId="77777777" w:rsidR="009021AB" w:rsidRPr="008638BD" w:rsidRDefault="005A7942" w:rsidP="009021AB">
      <w:pPr>
        <w:spacing w:before="120" w:after="0"/>
        <w:rPr>
          <w:rStyle w:val="Hyperlink"/>
        </w:rPr>
      </w:pPr>
      <w:hyperlink r:id="rId42">
        <w:r w:rsidR="009021AB" w:rsidRPr="008638BD">
          <w:rPr>
            <w:rStyle w:val="Hyperlink"/>
          </w:rPr>
          <w:t xml:space="preserve">Haemophilia </w:t>
        </w:r>
        <w:r w:rsidR="009021AB">
          <w:rPr>
            <w:rStyle w:val="Hyperlink"/>
          </w:rPr>
          <w:t>p</w:t>
        </w:r>
        <w:r w:rsidR="009021AB" w:rsidRPr="008638BD">
          <w:rPr>
            <w:rStyle w:val="Hyperlink"/>
          </w:rPr>
          <w:t xml:space="preserve">atients </w:t>
        </w:r>
        <w:r w:rsidR="009021AB">
          <w:rPr>
            <w:rStyle w:val="Hyperlink"/>
          </w:rPr>
          <w:t>t</w:t>
        </w:r>
        <w:r w:rsidR="009021AB" w:rsidRPr="008638BD">
          <w:rPr>
            <w:rStyle w:val="Hyperlink"/>
          </w:rPr>
          <w:t xml:space="preserve">reated </w:t>
        </w:r>
        <w:r w:rsidR="009021AB">
          <w:rPr>
            <w:rStyle w:val="Hyperlink"/>
          </w:rPr>
          <w:t>w</w:t>
        </w:r>
        <w:r w:rsidR="009021AB" w:rsidRPr="008638BD">
          <w:rPr>
            <w:rStyle w:val="Hyperlink"/>
          </w:rPr>
          <w:t xml:space="preserve">ith </w:t>
        </w:r>
        <w:proofErr w:type="spellStart"/>
        <w:r w:rsidR="009021AB">
          <w:rPr>
            <w:rStyle w:val="Hyperlink"/>
          </w:rPr>
          <w:t>m</w:t>
        </w:r>
        <w:r w:rsidR="009021AB" w:rsidRPr="008638BD">
          <w:rPr>
            <w:rStyle w:val="Hyperlink"/>
          </w:rPr>
          <w:t>arstacimab</w:t>
        </w:r>
        <w:proofErr w:type="spellEnd"/>
        <w:r w:rsidR="009021AB" w:rsidRPr="008638BD">
          <w:rPr>
            <w:rStyle w:val="Hyperlink"/>
          </w:rPr>
          <w:t xml:space="preserve"> </w:t>
        </w:r>
        <w:r w:rsidR="009021AB">
          <w:rPr>
            <w:rStyle w:val="Hyperlink"/>
          </w:rPr>
          <w:t>s</w:t>
        </w:r>
        <w:r w:rsidR="009021AB" w:rsidRPr="008638BD">
          <w:rPr>
            <w:rStyle w:val="Hyperlink"/>
          </w:rPr>
          <w:t xml:space="preserve">ee </w:t>
        </w:r>
        <w:r w:rsidR="009021AB">
          <w:rPr>
            <w:rStyle w:val="Hyperlink"/>
          </w:rPr>
          <w:t>f</w:t>
        </w:r>
        <w:r w:rsidR="009021AB" w:rsidRPr="008638BD">
          <w:rPr>
            <w:rStyle w:val="Hyperlink"/>
          </w:rPr>
          <w:t xml:space="preserve">ewer </w:t>
        </w:r>
        <w:r w:rsidR="009021AB">
          <w:rPr>
            <w:rStyle w:val="Hyperlink"/>
          </w:rPr>
          <w:t>b</w:t>
        </w:r>
        <w:r w:rsidR="009021AB" w:rsidRPr="008638BD">
          <w:rPr>
            <w:rStyle w:val="Hyperlink"/>
          </w:rPr>
          <w:t>leeds</w:t>
        </w:r>
      </w:hyperlink>
    </w:p>
    <w:p w14:paraId="592EF878" w14:textId="77777777" w:rsidR="009021AB" w:rsidRPr="00132FF6" w:rsidRDefault="009021AB" w:rsidP="009021AB">
      <w:pPr>
        <w:jc w:val="both"/>
        <w:rPr>
          <w:shd w:val="clear" w:color="auto" w:fill="FFFFFF"/>
        </w:rPr>
      </w:pPr>
      <w:r w:rsidRPr="00132FF6">
        <w:rPr>
          <w:shd w:val="clear" w:color="auto" w:fill="FFFFFF"/>
        </w:rPr>
        <w:t xml:space="preserve">Treatment with </w:t>
      </w:r>
      <w:proofErr w:type="spellStart"/>
      <w:r w:rsidRPr="00132FF6">
        <w:rPr>
          <w:shd w:val="clear" w:color="auto" w:fill="FFFFFF"/>
        </w:rPr>
        <w:t>marstacimab</w:t>
      </w:r>
      <w:proofErr w:type="spellEnd"/>
      <w:r w:rsidRPr="00132FF6">
        <w:rPr>
          <w:shd w:val="clear" w:color="auto" w:fill="FFFFFF"/>
        </w:rPr>
        <w:t>, an experimental antibody-based therapy developed by Pfizer, reduced the number of bleeds in patients with severe haemophilia who took part in a phase 1b/2 clinical study. The result was the same for patients with haemophilia A or haemophilia B, regardless of inhibitors.</w:t>
      </w:r>
    </w:p>
    <w:p w14:paraId="674BE874" w14:textId="614F4C6D" w:rsidR="00EF4FCA" w:rsidRPr="00192912" w:rsidRDefault="005A7942" w:rsidP="00192912">
      <w:pPr>
        <w:spacing w:before="120" w:after="0"/>
        <w:rPr>
          <w:rStyle w:val="Hyperlink"/>
        </w:rPr>
      </w:pPr>
      <w:hyperlink r:id="rId43">
        <w:r w:rsidR="00EF4FCA" w:rsidRPr="00B01034">
          <w:rPr>
            <w:rStyle w:val="Hyperlink"/>
          </w:rPr>
          <w:t>Association of factor expression levels with annual bleeding rate in people with haemophilia B</w:t>
        </w:r>
      </w:hyperlink>
    </w:p>
    <w:p w14:paraId="66219BF4" w14:textId="76DA964C" w:rsidR="00EF4FCA" w:rsidRPr="00B01034" w:rsidRDefault="00EF4FCA" w:rsidP="00EF4FCA">
      <w:pPr>
        <w:jc w:val="both"/>
      </w:pPr>
      <w:r w:rsidRPr="00B01034">
        <w:t xml:space="preserve">This cross-sectional study evaluated the association between steady-state clotting factor expression level (FEL) and annual bleeding rate (ABR) in people with haemophilia B. The study included 407 participants with haemophilia B and no inhibitors who were receiving on-demand treatment. </w:t>
      </w:r>
      <w:r w:rsidR="00D020B2">
        <w:t xml:space="preserve">The results </w:t>
      </w:r>
      <w:r w:rsidRPr="00B01034">
        <w:t>found a significant relationship between FEL and ABR. After adjusting for covariates</w:t>
      </w:r>
      <w:r w:rsidR="00FE70B7">
        <w:t>,</w:t>
      </w:r>
      <w:r w:rsidRPr="00B01034">
        <w:t xml:space="preserve"> the model showed that for every 1% increase in FEL, the average ABR decreased by 0.08 (p&lt;.001). </w:t>
      </w:r>
    </w:p>
    <w:p w14:paraId="0372F5F6" w14:textId="77777777" w:rsidR="0037555F" w:rsidRPr="00192912" w:rsidRDefault="005A7942" w:rsidP="00192912">
      <w:pPr>
        <w:spacing w:before="120" w:after="0"/>
        <w:rPr>
          <w:rStyle w:val="Hyperlink"/>
        </w:rPr>
      </w:pPr>
      <w:hyperlink r:id="rId44">
        <w:r w:rsidR="0037555F" w:rsidRPr="00192912">
          <w:rPr>
            <w:rStyle w:val="Hyperlink"/>
          </w:rPr>
          <w:t>Prophylaxis use of clotting factor replacement products in people with non‐severe haemophilia: A review of the literature</w:t>
        </w:r>
      </w:hyperlink>
    </w:p>
    <w:p w14:paraId="6C5291FE" w14:textId="41152D09" w:rsidR="0037555F" w:rsidRDefault="0037555F" w:rsidP="0037555F">
      <w:pPr>
        <w:jc w:val="both"/>
        <w:rPr>
          <w:rFonts w:eastAsia="Calibri"/>
          <w:color w:val="000000" w:themeColor="text1"/>
        </w:rPr>
      </w:pPr>
      <w:r>
        <w:rPr>
          <w:rFonts w:eastAsia="Calibri"/>
          <w:color w:val="000000" w:themeColor="text1"/>
        </w:rPr>
        <w:t>This study investigated whether</w:t>
      </w:r>
      <w:r w:rsidRPr="00C15EBB">
        <w:rPr>
          <w:rFonts w:eastAsia="Calibri"/>
          <w:color w:val="000000" w:themeColor="text1"/>
        </w:rPr>
        <w:t xml:space="preserve"> people with non-severe haemophilia A and B</w:t>
      </w:r>
      <w:r>
        <w:rPr>
          <w:rFonts w:eastAsia="Calibri"/>
          <w:color w:val="000000" w:themeColor="text1"/>
        </w:rPr>
        <w:t xml:space="preserve"> are receiving less treatment due to their lower severity of symptoms.</w:t>
      </w:r>
      <w:r w:rsidRPr="00704393">
        <w:t xml:space="preserve"> </w:t>
      </w:r>
      <w:r w:rsidR="00D020B2">
        <w:t xml:space="preserve">A review of the </w:t>
      </w:r>
      <w:r>
        <w:t xml:space="preserve">literature </w:t>
      </w:r>
      <w:r w:rsidRPr="00704393">
        <w:t xml:space="preserve">identified large </w:t>
      </w:r>
      <w:r>
        <w:t>information gaps relating to the best treatment</w:t>
      </w:r>
      <w:r w:rsidRPr="00704393">
        <w:t xml:space="preserve"> for people with non-severe </w:t>
      </w:r>
      <w:r w:rsidR="00FE70B7" w:rsidRPr="00704393">
        <w:t>haemophilia</w:t>
      </w:r>
      <w:r w:rsidR="00FE70B7">
        <w:t xml:space="preserve"> and</w:t>
      </w:r>
      <w:r w:rsidR="00D57504">
        <w:t xml:space="preserve"> suggested</w:t>
      </w:r>
      <w:r w:rsidRPr="00704393">
        <w:t xml:space="preserve"> that </w:t>
      </w:r>
      <w:r>
        <w:t xml:space="preserve">best treatment for non-severe cases should be </w:t>
      </w:r>
      <w:proofErr w:type="gramStart"/>
      <w:r>
        <w:t>s</w:t>
      </w:r>
      <w:r w:rsidRPr="00704393">
        <w:t>imilar</w:t>
      </w:r>
      <w:r w:rsidR="0074398A">
        <w:t xml:space="preserve"> </w:t>
      </w:r>
      <w:r>
        <w:t>to</w:t>
      </w:r>
      <w:proofErr w:type="gramEnd"/>
      <w:r>
        <w:t xml:space="preserve"> the s</w:t>
      </w:r>
      <w:r w:rsidRPr="00704393">
        <w:t>trategies</w:t>
      </w:r>
      <w:r>
        <w:t xml:space="preserve"> employed f</w:t>
      </w:r>
      <w:r w:rsidRPr="00704393">
        <w:t>or severe haemophilia</w:t>
      </w:r>
      <w:r>
        <w:t>.</w:t>
      </w:r>
    </w:p>
    <w:p w14:paraId="36B79CE2" w14:textId="6F312E7F" w:rsidR="0037555F" w:rsidRPr="00192912" w:rsidRDefault="005A7942" w:rsidP="00192912">
      <w:pPr>
        <w:spacing w:before="120" w:after="0"/>
        <w:rPr>
          <w:rStyle w:val="Hyperlink"/>
        </w:rPr>
      </w:pPr>
      <w:hyperlink r:id="rId45">
        <w:r w:rsidR="0037555F" w:rsidRPr="00192912">
          <w:rPr>
            <w:rStyle w:val="Hyperlink"/>
          </w:rPr>
          <w:t xml:space="preserve">Increased acute care utilisation, </w:t>
        </w:r>
        <w:proofErr w:type="gramStart"/>
        <w:r w:rsidR="0037555F" w:rsidRPr="00192912">
          <w:rPr>
            <w:rStyle w:val="Hyperlink"/>
          </w:rPr>
          <w:t>comorbidities</w:t>
        </w:r>
        <w:proofErr w:type="gramEnd"/>
        <w:r w:rsidR="0037555F" w:rsidRPr="00192912">
          <w:rPr>
            <w:rStyle w:val="Hyperlink"/>
          </w:rPr>
          <w:t xml:space="preserve"> and mortality in adults with haemophilia: A population‐based cohort study from 2012 to 2019</w:t>
        </w:r>
      </w:hyperlink>
    </w:p>
    <w:p w14:paraId="3D0A5B40" w14:textId="5F3A0CB0" w:rsidR="0037555F" w:rsidRDefault="005D378F" w:rsidP="0037555F">
      <w:pPr>
        <w:jc w:val="both"/>
        <w:rPr>
          <w:shd w:val="clear" w:color="auto" w:fill="FFFFFF"/>
        </w:rPr>
      </w:pPr>
      <w:r>
        <w:rPr>
          <w:shd w:val="clear" w:color="auto" w:fill="FFFFFF"/>
        </w:rPr>
        <w:t>A</w:t>
      </w:r>
      <w:r w:rsidR="0037555F">
        <w:rPr>
          <w:shd w:val="clear" w:color="auto" w:fill="FFFFFF"/>
        </w:rPr>
        <w:t xml:space="preserve"> population-based study in Canada</w:t>
      </w:r>
      <w:r>
        <w:rPr>
          <w:shd w:val="clear" w:color="auto" w:fill="FFFFFF"/>
        </w:rPr>
        <w:t xml:space="preserve"> was conducted</w:t>
      </w:r>
      <w:r w:rsidR="0037555F">
        <w:rPr>
          <w:shd w:val="clear" w:color="auto" w:fill="FFFFFF"/>
        </w:rPr>
        <w:t xml:space="preserve"> to understand the health outcomes of haemophilia patients. Men with haemophilia were identified in Alberta, Canada (2012–2019) with a validated case definition and were age-matched with male population controls. Researchers </w:t>
      </w:r>
      <w:r>
        <w:rPr>
          <w:shd w:val="clear" w:color="auto" w:fill="FFFFFF"/>
        </w:rPr>
        <w:t>showed</w:t>
      </w:r>
      <w:r w:rsidR="0037555F">
        <w:rPr>
          <w:shd w:val="clear" w:color="auto" w:fill="FFFFFF"/>
        </w:rPr>
        <w:t xml:space="preserve"> that patients </w:t>
      </w:r>
      <w:r w:rsidR="0037555F" w:rsidRPr="005F5920">
        <w:rPr>
          <w:shd w:val="clear" w:color="auto" w:fill="FFFFFF"/>
        </w:rPr>
        <w:t xml:space="preserve">had a significantly higher prevalence of hypertension, liver diseases and malignancies than </w:t>
      </w:r>
      <w:r w:rsidR="0037555F">
        <w:rPr>
          <w:shd w:val="clear" w:color="auto" w:fill="FFFFFF"/>
        </w:rPr>
        <w:t>the rest of the population</w:t>
      </w:r>
      <w:r w:rsidR="0037555F" w:rsidRPr="005F5920">
        <w:rPr>
          <w:shd w:val="clear" w:color="auto" w:fill="FFFFFF"/>
        </w:rPr>
        <w:t xml:space="preserve">. Moderately severe haemophilia was associated with significantly higher rates of hospitalisations, </w:t>
      </w:r>
      <w:r w:rsidR="0037555F">
        <w:rPr>
          <w:shd w:val="clear" w:color="auto" w:fill="FFFFFF"/>
        </w:rPr>
        <w:t>e</w:t>
      </w:r>
      <w:r w:rsidR="0037555F" w:rsidRPr="005F5920">
        <w:rPr>
          <w:shd w:val="clear" w:color="auto" w:fill="FFFFFF"/>
        </w:rPr>
        <w:t xml:space="preserve">mergency </w:t>
      </w:r>
      <w:r w:rsidR="0037555F">
        <w:rPr>
          <w:shd w:val="clear" w:color="auto" w:fill="FFFFFF"/>
        </w:rPr>
        <w:t>d</w:t>
      </w:r>
      <w:r w:rsidR="0037555F" w:rsidRPr="005F5920">
        <w:rPr>
          <w:shd w:val="clear" w:color="auto" w:fill="FFFFFF"/>
        </w:rPr>
        <w:t xml:space="preserve">epartment visits and intensive care admissions. </w:t>
      </w:r>
    </w:p>
    <w:p w14:paraId="515B7539" w14:textId="77777777" w:rsidR="0037555F" w:rsidRPr="00192912" w:rsidRDefault="005A7942" w:rsidP="00192912">
      <w:pPr>
        <w:spacing w:before="120" w:after="0"/>
        <w:rPr>
          <w:rStyle w:val="Hyperlink"/>
        </w:rPr>
      </w:pPr>
      <w:hyperlink r:id="rId46">
        <w:proofErr w:type="spellStart"/>
        <w:r w:rsidR="0037555F" w:rsidRPr="00192912">
          <w:rPr>
            <w:rStyle w:val="Hyperlink"/>
          </w:rPr>
          <w:t>Emicizumab</w:t>
        </w:r>
        <w:proofErr w:type="spellEnd"/>
        <w:r w:rsidR="0037555F" w:rsidRPr="00192912">
          <w:rPr>
            <w:rStyle w:val="Hyperlink"/>
          </w:rPr>
          <w:t xml:space="preserve"> dose up‐titration in case of suboptimal bleeding control in people with haemophilia A</w:t>
        </w:r>
      </w:hyperlink>
    </w:p>
    <w:p w14:paraId="3CACF6C8" w14:textId="183DEA06" w:rsidR="0037555F" w:rsidRDefault="0037555F" w:rsidP="0037555F">
      <w:pPr>
        <w:jc w:val="both"/>
        <w:rPr>
          <w:rFonts w:eastAsia="Calibri"/>
        </w:rPr>
      </w:pPr>
      <w:r>
        <w:t xml:space="preserve">This study investigated the effect of increasing the dose of prophylactic drug </w:t>
      </w:r>
      <w:proofErr w:type="spellStart"/>
      <w:r>
        <w:t>emicizumab</w:t>
      </w:r>
      <w:proofErr w:type="spellEnd"/>
      <w:r>
        <w:t xml:space="preserve"> (</w:t>
      </w:r>
      <w:proofErr w:type="spellStart"/>
      <w:r>
        <w:t>Hemlibra</w:t>
      </w:r>
      <w:proofErr w:type="spellEnd"/>
      <w:r>
        <w:t xml:space="preserve">) for people with haemophilia A who had suboptimal bleeding control after receiving the treatment. Researchers compiled data from seven completed or ongoing phase III studies and evaluated patient results before </w:t>
      </w:r>
      <w:r w:rsidRPr="422AD0A2">
        <w:rPr>
          <w:rFonts w:eastAsiaTheme="minorEastAsia"/>
        </w:rPr>
        <w:t xml:space="preserve">and after their dose of </w:t>
      </w:r>
      <w:proofErr w:type="spellStart"/>
      <w:r w:rsidRPr="422AD0A2">
        <w:rPr>
          <w:rFonts w:eastAsiaTheme="minorEastAsia"/>
        </w:rPr>
        <w:t>emicizumab</w:t>
      </w:r>
      <w:proofErr w:type="spellEnd"/>
      <w:r w:rsidRPr="422AD0A2">
        <w:rPr>
          <w:rFonts w:eastAsiaTheme="minorEastAsia"/>
        </w:rPr>
        <w:t xml:space="preserve"> was increased by 3mg/kg per week. They found that b</w:t>
      </w:r>
      <w:r w:rsidRPr="422AD0A2">
        <w:rPr>
          <w:rFonts w:eastAsiaTheme="minorEastAsia"/>
          <w:color w:val="1C1D1E"/>
        </w:rPr>
        <w:t>leed control improved in most participants whose bleeding tendency was inadequately controlled during clinical trials.</w:t>
      </w:r>
    </w:p>
    <w:p w14:paraId="52841FC9" w14:textId="77777777" w:rsidR="0037555F" w:rsidRDefault="005A7942" w:rsidP="00192912">
      <w:pPr>
        <w:spacing w:before="120" w:after="0"/>
        <w:rPr>
          <w:rStyle w:val="Hyperlink"/>
        </w:rPr>
      </w:pPr>
      <w:hyperlink r:id="rId47" w:history="1">
        <w:r w:rsidR="0037555F">
          <w:rPr>
            <w:rStyle w:val="Hyperlink"/>
          </w:rPr>
          <w:t xml:space="preserve">Safety of FEIBA and </w:t>
        </w:r>
        <w:proofErr w:type="spellStart"/>
        <w:r w:rsidR="0037555F">
          <w:rPr>
            <w:rStyle w:val="Hyperlink"/>
          </w:rPr>
          <w:t>emicizumab</w:t>
        </w:r>
        <w:proofErr w:type="spellEnd"/>
        <w:r w:rsidR="0037555F">
          <w:rPr>
            <w:rStyle w:val="Hyperlink"/>
          </w:rPr>
          <w:t xml:space="preserve"> (SAFE): Dose escalation study evaluating the safety of in vivo administration of activated prothrombin complex concentrate in haemophilia A patients on </w:t>
        </w:r>
        <w:proofErr w:type="spellStart"/>
        <w:r w:rsidR="0037555F">
          <w:rPr>
            <w:rStyle w:val="Hyperlink"/>
          </w:rPr>
          <w:t>emicizumab</w:t>
        </w:r>
        <w:proofErr w:type="spellEnd"/>
      </w:hyperlink>
    </w:p>
    <w:p w14:paraId="31C446A6" w14:textId="1A479404" w:rsidR="0037555F" w:rsidRPr="001B56BD" w:rsidRDefault="0037555F" w:rsidP="0037555F">
      <w:pPr>
        <w:jc w:val="both"/>
        <w:rPr>
          <w:rStyle w:val="Hyperlink"/>
        </w:rPr>
      </w:pPr>
      <w:r w:rsidRPr="001B56BD">
        <w:rPr>
          <w:shd w:val="clear" w:color="auto" w:fill="FFFFFF"/>
        </w:rPr>
        <w:t xml:space="preserve">Researchers studied the effect of infusing various doses of activated prothrombin complex concentrate </w:t>
      </w:r>
      <w:r>
        <w:rPr>
          <w:shd w:val="clear" w:color="auto" w:fill="FFFFFF"/>
        </w:rPr>
        <w:t>(</w:t>
      </w:r>
      <w:proofErr w:type="spellStart"/>
      <w:r w:rsidRPr="001B56BD">
        <w:rPr>
          <w:shd w:val="clear" w:color="auto" w:fill="FFFFFF"/>
        </w:rPr>
        <w:t>aPCC</w:t>
      </w:r>
      <w:proofErr w:type="spellEnd"/>
      <w:r>
        <w:rPr>
          <w:shd w:val="clear" w:color="auto" w:fill="FFFFFF"/>
        </w:rPr>
        <w:t>)</w:t>
      </w:r>
      <w:r w:rsidRPr="001B56BD">
        <w:rPr>
          <w:shd w:val="clear" w:color="auto" w:fill="FFFFFF"/>
        </w:rPr>
        <w:t xml:space="preserve"> to patients on </w:t>
      </w:r>
      <w:proofErr w:type="spellStart"/>
      <w:r w:rsidRPr="001B56BD">
        <w:rPr>
          <w:shd w:val="clear" w:color="auto" w:fill="FFFFFF"/>
        </w:rPr>
        <w:t>emicizumab</w:t>
      </w:r>
      <w:proofErr w:type="spellEnd"/>
      <w:r w:rsidRPr="001B56BD">
        <w:rPr>
          <w:shd w:val="clear" w:color="auto" w:fill="FFFFFF"/>
        </w:rPr>
        <w:t xml:space="preserve"> when they experienced breakthrough bleeding events. Nine patients with severe haemophilia A with inhibitors were infused with varying doses of </w:t>
      </w:r>
      <w:proofErr w:type="spellStart"/>
      <w:r w:rsidRPr="001B56BD">
        <w:rPr>
          <w:shd w:val="clear" w:color="auto" w:fill="FFFFFF"/>
        </w:rPr>
        <w:t>aPCC</w:t>
      </w:r>
      <w:proofErr w:type="spellEnd"/>
      <w:r>
        <w:rPr>
          <w:shd w:val="clear" w:color="auto" w:fill="FFFFFF"/>
        </w:rPr>
        <w:t>. Researchers</w:t>
      </w:r>
      <w:r w:rsidRPr="001B56BD">
        <w:rPr>
          <w:shd w:val="clear" w:color="auto" w:fill="FFFFFF"/>
        </w:rPr>
        <w:t xml:space="preserve"> found that clinically relevant concentrations of </w:t>
      </w:r>
      <w:proofErr w:type="spellStart"/>
      <w:r w:rsidRPr="001B56BD">
        <w:rPr>
          <w:shd w:val="clear" w:color="auto" w:fill="FFFFFF"/>
        </w:rPr>
        <w:t>aPCC</w:t>
      </w:r>
      <w:proofErr w:type="spellEnd"/>
      <w:r w:rsidRPr="001B56BD">
        <w:rPr>
          <w:shd w:val="clear" w:color="auto" w:fill="FFFFFF"/>
        </w:rPr>
        <w:t xml:space="preserve"> resulted in excessive thrombin generation</w:t>
      </w:r>
      <w:r>
        <w:rPr>
          <w:shd w:val="clear" w:color="auto" w:fill="FFFFFF"/>
        </w:rPr>
        <w:t xml:space="preserve"> when tested on tissue samples</w:t>
      </w:r>
      <w:r w:rsidRPr="001B56BD">
        <w:rPr>
          <w:shd w:val="clear" w:color="auto" w:fill="FFFFFF"/>
        </w:rPr>
        <w:t xml:space="preserve">, however, in vivo administration of </w:t>
      </w:r>
      <w:proofErr w:type="spellStart"/>
      <w:r w:rsidRPr="001B56BD">
        <w:rPr>
          <w:shd w:val="clear" w:color="auto" w:fill="FFFFFF"/>
        </w:rPr>
        <w:t>aPCC</w:t>
      </w:r>
      <w:proofErr w:type="spellEnd"/>
      <w:r w:rsidRPr="001B56BD">
        <w:rPr>
          <w:shd w:val="clear" w:color="auto" w:fill="FFFFFF"/>
        </w:rPr>
        <w:t xml:space="preserve"> to the same patients demonstrated that most patients had normal thrombin generation at the approved dose. </w:t>
      </w:r>
    </w:p>
    <w:p w14:paraId="51D725F8" w14:textId="2B7C7881" w:rsidR="0037555F" w:rsidRPr="001B56BD" w:rsidRDefault="005A7942" w:rsidP="00192912">
      <w:pPr>
        <w:spacing w:before="120" w:after="0"/>
        <w:rPr>
          <w:rStyle w:val="Hyperlink"/>
        </w:rPr>
      </w:pPr>
      <w:hyperlink r:id="rId48">
        <w:r w:rsidR="0037555F" w:rsidRPr="001B56BD">
          <w:rPr>
            <w:rStyle w:val="Hyperlink"/>
          </w:rPr>
          <w:t xml:space="preserve">Comprehensive analysis and prediction of long-term durability of factor IX activity following </w:t>
        </w:r>
        <w:proofErr w:type="spellStart"/>
        <w:r w:rsidR="0037555F" w:rsidRPr="001B56BD">
          <w:rPr>
            <w:rStyle w:val="Hyperlink"/>
          </w:rPr>
          <w:t>etranacogene</w:t>
        </w:r>
        <w:proofErr w:type="spellEnd"/>
        <w:r w:rsidR="0037555F" w:rsidRPr="001B56BD">
          <w:rPr>
            <w:rStyle w:val="Hyperlink"/>
          </w:rPr>
          <w:t xml:space="preserve"> </w:t>
        </w:r>
        <w:proofErr w:type="spellStart"/>
        <w:r w:rsidR="0037555F" w:rsidRPr="001B56BD">
          <w:rPr>
            <w:rStyle w:val="Hyperlink"/>
          </w:rPr>
          <w:t>dezaparvovec</w:t>
        </w:r>
        <w:proofErr w:type="spellEnd"/>
        <w:r w:rsidR="0037555F" w:rsidRPr="001B56BD">
          <w:rPr>
            <w:rStyle w:val="Hyperlink"/>
          </w:rPr>
          <w:t xml:space="preserve"> gene therapy in the treatment of h</w:t>
        </w:r>
        <w:r w:rsidR="00583DE5">
          <w:rPr>
            <w:rStyle w:val="Hyperlink"/>
          </w:rPr>
          <w:t>a</w:t>
        </w:r>
        <w:r w:rsidR="0037555F" w:rsidRPr="001B56BD">
          <w:rPr>
            <w:rStyle w:val="Hyperlink"/>
          </w:rPr>
          <w:t>emophilia B</w:t>
        </w:r>
      </w:hyperlink>
    </w:p>
    <w:p w14:paraId="53DC72F3" w14:textId="3CDDCB6B" w:rsidR="00EF4FCA" w:rsidRPr="0035410C" w:rsidRDefault="00F32778" w:rsidP="0035410C">
      <w:pPr>
        <w:rPr>
          <w:rFonts w:eastAsia="Calibri"/>
          <w:color w:val="0563C1" w:themeColor="hyperlink"/>
          <w:u w:val="single"/>
        </w:rPr>
      </w:pPr>
      <w:r>
        <w:t>T</w:t>
      </w:r>
      <w:r w:rsidR="0037555F" w:rsidRPr="001B56BD">
        <w:t xml:space="preserve">he gene therapy </w:t>
      </w:r>
      <w:proofErr w:type="spellStart"/>
      <w:r w:rsidR="0037555F" w:rsidRPr="001B56BD">
        <w:t>etranacogene</w:t>
      </w:r>
      <w:proofErr w:type="spellEnd"/>
      <w:r w:rsidR="0037555F" w:rsidRPr="001B56BD">
        <w:t xml:space="preserve"> </w:t>
      </w:r>
      <w:proofErr w:type="spellStart"/>
      <w:r w:rsidR="0037555F" w:rsidRPr="001B56BD">
        <w:t>dezaparvovec</w:t>
      </w:r>
      <w:proofErr w:type="spellEnd"/>
      <w:r w:rsidR="0037555F" w:rsidRPr="001B56BD">
        <w:t xml:space="preserve"> </w:t>
      </w:r>
      <w:r w:rsidR="0074398A">
        <w:t>(</w:t>
      </w:r>
      <w:proofErr w:type="spellStart"/>
      <w:r w:rsidR="0074398A">
        <w:t>Hemgenix</w:t>
      </w:r>
      <w:proofErr w:type="spellEnd"/>
      <w:r w:rsidR="0074398A">
        <w:t xml:space="preserve">) </w:t>
      </w:r>
      <w:r w:rsidR="0037555F" w:rsidRPr="001B56BD">
        <w:t>for haemophilia B</w:t>
      </w:r>
      <w:r>
        <w:t xml:space="preserve"> was assessed</w:t>
      </w:r>
      <w:r w:rsidR="0037555F" w:rsidRPr="001B56BD">
        <w:t xml:space="preserve"> to determine the durability of the treatment. </w:t>
      </w:r>
      <w:r>
        <w:t>O</w:t>
      </w:r>
      <w:r w:rsidR="0037555F" w:rsidRPr="001B56BD">
        <w:t xml:space="preserve">nly 10% of </w:t>
      </w:r>
      <w:r w:rsidR="0037555F">
        <w:t xml:space="preserve">the </w:t>
      </w:r>
      <w:r w:rsidR="0037555F" w:rsidRPr="001B56BD">
        <w:t>current trial participants</w:t>
      </w:r>
      <w:r w:rsidR="0037555F">
        <w:t xml:space="preserve"> for </w:t>
      </w:r>
      <w:proofErr w:type="spellStart"/>
      <w:r w:rsidR="0074398A">
        <w:t>He</w:t>
      </w:r>
      <w:r w:rsidR="00762ABD">
        <w:t>m</w:t>
      </w:r>
      <w:r w:rsidR="0074398A">
        <w:t>genix</w:t>
      </w:r>
      <w:proofErr w:type="spellEnd"/>
      <w:r w:rsidR="0037555F" w:rsidRPr="004C2756">
        <w:t xml:space="preserve"> </w:t>
      </w:r>
      <w:r w:rsidR="0037555F" w:rsidRPr="001B56BD">
        <w:t>would have durability of FIX activity levels up to 25</w:t>
      </w:r>
      <w:r w:rsidR="0037555F">
        <w:t xml:space="preserve"> ye</w:t>
      </w:r>
      <w:r w:rsidR="0037555F" w:rsidRPr="001B56BD">
        <w:t>ars post-infusion but</w:t>
      </w:r>
      <w:r w:rsidR="0037555F">
        <w:t xml:space="preserve"> suggested </w:t>
      </w:r>
      <w:r w:rsidR="0037555F" w:rsidRPr="001B56BD">
        <w:t xml:space="preserve">that future </w:t>
      </w:r>
      <w:r w:rsidR="0037555F">
        <w:t>p</w:t>
      </w:r>
      <w:r w:rsidR="0037555F" w:rsidRPr="001B56BD">
        <w:t>atients may have more than an 80% chance they would be free</w:t>
      </w:r>
      <w:r w:rsidR="0037555F">
        <w:t xml:space="preserve"> </w:t>
      </w:r>
      <w:r w:rsidR="0037555F" w:rsidRPr="001B56BD">
        <w:t>from prophylactic FIX replacement products 25 years post-infusion.</w:t>
      </w:r>
      <w:r w:rsidR="0037555F" w:rsidRPr="00890FCB">
        <w:t xml:space="preserve"> </w:t>
      </w:r>
    </w:p>
    <w:p w14:paraId="49B50D22" w14:textId="2329D385" w:rsidR="002258D7" w:rsidRPr="00192912" w:rsidRDefault="005A7942" w:rsidP="00192912">
      <w:pPr>
        <w:spacing w:before="120" w:after="0"/>
        <w:rPr>
          <w:rStyle w:val="Hyperlink"/>
        </w:rPr>
      </w:pPr>
      <w:hyperlink r:id="rId49">
        <w:r w:rsidR="002258D7" w:rsidRPr="00192912">
          <w:rPr>
            <w:rStyle w:val="Hyperlink"/>
          </w:rPr>
          <w:t xml:space="preserve">Peri‐operative haemostatic management of tooth extraction in patients with haemophilia A, with and without inhibitors, receiving </w:t>
        </w:r>
        <w:proofErr w:type="spellStart"/>
        <w:r w:rsidR="002258D7" w:rsidRPr="00192912">
          <w:rPr>
            <w:rStyle w:val="Hyperlink"/>
          </w:rPr>
          <w:t>emicizumab</w:t>
        </w:r>
        <w:proofErr w:type="spellEnd"/>
        <w:r w:rsidR="002258D7" w:rsidRPr="00192912">
          <w:rPr>
            <w:rStyle w:val="Hyperlink"/>
          </w:rPr>
          <w:t xml:space="preserve"> prophylaxis</w:t>
        </w:r>
      </w:hyperlink>
    </w:p>
    <w:p w14:paraId="41C5AFC3" w14:textId="23D19F04" w:rsidR="002258D7" w:rsidRPr="00132FF6" w:rsidRDefault="002258D7" w:rsidP="002258D7">
      <w:pPr>
        <w:jc w:val="both"/>
        <w:rPr>
          <w:shd w:val="clear" w:color="auto" w:fill="FFFFFF"/>
        </w:rPr>
      </w:pPr>
      <w:r>
        <w:rPr>
          <w:shd w:val="clear" w:color="auto" w:fill="FFFFFF"/>
        </w:rPr>
        <w:t xml:space="preserve">Researchers investigated the effect of </w:t>
      </w:r>
      <w:proofErr w:type="spellStart"/>
      <w:r>
        <w:rPr>
          <w:shd w:val="clear" w:color="auto" w:fill="FFFFFF"/>
        </w:rPr>
        <w:t>emicizumab</w:t>
      </w:r>
      <w:proofErr w:type="spellEnd"/>
      <w:r>
        <w:rPr>
          <w:shd w:val="clear" w:color="auto" w:fill="FFFFFF"/>
        </w:rPr>
        <w:t xml:space="preserve"> </w:t>
      </w:r>
      <w:r w:rsidR="0074398A">
        <w:rPr>
          <w:shd w:val="clear" w:color="auto" w:fill="FFFFFF"/>
        </w:rPr>
        <w:t>(</w:t>
      </w:r>
      <w:proofErr w:type="spellStart"/>
      <w:r w:rsidR="0074398A">
        <w:rPr>
          <w:shd w:val="clear" w:color="auto" w:fill="FFFFFF"/>
        </w:rPr>
        <w:t>Hemlibra</w:t>
      </w:r>
      <w:proofErr w:type="spellEnd"/>
      <w:r w:rsidR="0074398A">
        <w:rPr>
          <w:shd w:val="clear" w:color="auto" w:fill="FFFFFF"/>
        </w:rPr>
        <w:t>)</w:t>
      </w:r>
      <w:r w:rsidR="008548C5">
        <w:rPr>
          <w:shd w:val="clear" w:color="auto" w:fill="FFFFFF"/>
        </w:rPr>
        <w:t xml:space="preserve"> </w:t>
      </w:r>
      <w:r>
        <w:rPr>
          <w:shd w:val="clear" w:color="auto" w:fill="FFFFFF"/>
        </w:rPr>
        <w:t>treatment for people with haemophilia A who underwent tooth extraction</w:t>
      </w:r>
      <w:r w:rsidR="0036049B">
        <w:rPr>
          <w:shd w:val="clear" w:color="auto" w:fill="FFFFFF"/>
        </w:rPr>
        <w:t xml:space="preserve"> and</w:t>
      </w:r>
      <w:r>
        <w:rPr>
          <w:shd w:val="clear" w:color="auto" w:fill="FFFFFF"/>
        </w:rPr>
        <w:t xml:space="preserve"> </w:t>
      </w:r>
      <w:r w:rsidRPr="00C0705B">
        <w:rPr>
          <w:shd w:val="clear" w:color="auto" w:fill="FFFFFF"/>
        </w:rPr>
        <w:t>evaluated</w:t>
      </w:r>
      <w:r>
        <w:rPr>
          <w:shd w:val="clear" w:color="auto" w:fill="FFFFFF"/>
        </w:rPr>
        <w:t xml:space="preserve"> the outcomes of people with and without inhibitors to assess </w:t>
      </w:r>
      <w:r w:rsidRPr="00C0705B">
        <w:rPr>
          <w:shd w:val="clear" w:color="auto" w:fill="FFFFFF"/>
        </w:rPr>
        <w:t>bleeding ris</w:t>
      </w:r>
      <w:r>
        <w:rPr>
          <w:shd w:val="clear" w:color="auto" w:fill="FFFFFF"/>
        </w:rPr>
        <w:t>k.</w:t>
      </w:r>
      <w:r w:rsidRPr="00132FF6">
        <w:rPr>
          <w:shd w:val="clear" w:color="auto" w:fill="FFFFFF"/>
        </w:rPr>
        <w:t xml:space="preserve"> </w:t>
      </w:r>
      <w:r w:rsidRPr="006B2F1C">
        <w:rPr>
          <w:shd w:val="clear" w:color="auto" w:fill="FFFFFF"/>
        </w:rPr>
        <w:t>Twenty-nine extractions were performed</w:t>
      </w:r>
      <w:r>
        <w:rPr>
          <w:shd w:val="clear" w:color="auto" w:fill="FFFFFF"/>
        </w:rPr>
        <w:t xml:space="preserve"> at a single institution</w:t>
      </w:r>
      <w:r w:rsidRPr="00132FF6">
        <w:rPr>
          <w:shd w:val="clear" w:color="auto" w:fill="FFFFFF"/>
        </w:rPr>
        <w:t xml:space="preserve">, </w:t>
      </w:r>
      <w:r>
        <w:rPr>
          <w:shd w:val="clear" w:color="auto" w:fill="FFFFFF"/>
        </w:rPr>
        <w:t xml:space="preserve">with researchers finding that while there was some risk of additional bleeding, planning, </w:t>
      </w:r>
      <w:proofErr w:type="gramStart"/>
      <w:r>
        <w:rPr>
          <w:shd w:val="clear" w:color="auto" w:fill="FFFFFF"/>
        </w:rPr>
        <w:t>clamping</w:t>
      </w:r>
      <w:proofErr w:type="gramEnd"/>
      <w:r>
        <w:rPr>
          <w:shd w:val="clear" w:color="auto" w:fill="FFFFFF"/>
        </w:rPr>
        <w:t xml:space="preserve"> and </w:t>
      </w:r>
      <w:r w:rsidRPr="006B2F1C">
        <w:rPr>
          <w:shd w:val="clear" w:color="auto" w:fill="FFFFFF"/>
        </w:rPr>
        <w:t>mouth splint</w:t>
      </w:r>
      <w:r>
        <w:rPr>
          <w:shd w:val="clear" w:color="auto" w:fill="FFFFFF"/>
        </w:rPr>
        <w:t xml:space="preserve">s </w:t>
      </w:r>
      <w:r w:rsidRPr="006B2F1C">
        <w:rPr>
          <w:shd w:val="clear" w:color="auto" w:fill="FFFFFF"/>
        </w:rPr>
        <w:t>achieve</w:t>
      </w:r>
      <w:r>
        <w:rPr>
          <w:shd w:val="clear" w:color="auto" w:fill="FFFFFF"/>
        </w:rPr>
        <w:t>d</w:t>
      </w:r>
      <w:r w:rsidRPr="006B2F1C">
        <w:rPr>
          <w:shd w:val="clear" w:color="auto" w:fill="FFFFFF"/>
        </w:rPr>
        <w:t xml:space="preserve"> effective and safe h</w:t>
      </w:r>
      <w:r>
        <w:rPr>
          <w:shd w:val="clear" w:color="auto" w:fill="FFFFFF"/>
        </w:rPr>
        <w:t>a</w:t>
      </w:r>
      <w:r w:rsidRPr="006B2F1C">
        <w:rPr>
          <w:shd w:val="clear" w:color="auto" w:fill="FFFFFF"/>
        </w:rPr>
        <w:t xml:space="preserve">emostatic management in </w:t>
      </w:r>
      <w:proofErr w:type="spellStart"/>
      <w:r w:rsidR="008548C5">
        <w:rPr>
          <w:shd w:val="clear" w:color="auto" w:fill="FFFFFF"/>
        </w:rPr>
        <w:t>Hemlibra</w:t>
      </w:r>
      <w:proofErr w:type="spellEnd"/>
      <w:r w:rsidR="008548C5">
        <w:rPr>
          <w:shd w:val="clear" w:color="auto" w:fill="FFFFFF"/>
        </w:rPr>
        <w:t xml:space="preserve"> </w:t>
      </w:r>
      <w:r w:rsidRPr="006B2F1C">
        <w:rPr>
          <w:shd w:val="clear" w:color="auto" w:fill="FFFFFF"/>
        </w:rPr>
        <w:t>treated</w:t>
      </w:r>
      <w:r>
        <w:rPr>
          <w:shd w:val="clear" w:color="auto" w:fill="FFFFFF"/>
        </w:rPr>
        <w:t xml:space="preserve"> </w:t>
      </w:r>
      <w:r w:rsidR="00602533">
        <w:rPr>
          <w:shd w:val="clear" w:color="auto" w:fill="FFFFFF"/>
        </w:rPr>
        <w:t>patients</w:t>
      </w:r>
      <w:r>
        <w:rPr>
          <w:shd w:val="clear" w:color="auto" w:fill="FFFFFF"/>
        </w:rPr>
        <w:t>.</w:t>
      </w:r>
    </w:p>
    <w:p w14:paraId="57F4A095" w14:textId="42854B46" w:rsidR="002258D7" w:rsidRPr="00192912" w:rsidRDefault="005A7942" w:rsidP="00192912">
      <w:pPr>
        <w:spacing w:before="120" w:after="0"/>
        <w:rPr>
          <w:rStyle w:val="Hyperlink"/>
        </w:rPr>
      </w:pPr>
      <w:hyperlink r:id="rId50" w:history="1">
        <w:r w:rsidR="002258D7" w:rsidRPr="00542E81">
          <w:rPr>
            <w:rStyle w:val="Hyperlink"/>
          </w:rPr>
          <w:t xml:space="preserve">FDA </w:t>
        </w:r>
        <w:r w:rsidR="002258D7">
          <w:rPr>
            <w:rStyle w:val="Hyperlink"/>
          </w:rPr>
          <w:t>c</w:t>
        </w:r>
        <w:r w:rsidR="002258D7" w:rsidRPr="00542E81">
          <w:rPr>
            <w:rStyle w:val="Hyperlink"/>
          </w:rPr>
          <w:t xml:space="preserve">lears </w:t>
        </w:r>
        <w:r w:rsidR="002258D7">
          <w:rPr>
            <w:rStyle w:val="Hyperlink"/>
          </w:rPr>
          <w:t>t</w:t>
        </w:r>
        <w:r w:rsidR="002258D7" w:rsidRPr="00542E81">
          <w:rPr>
            <w:rStyle w:val="Hyperlink"/>
          </w:rPr>
          <w:t xml:space="preserve">rial of TI-168 </w:t>
        </w:r>
        <w:r w:rsidR="002258D7">
          <w:rPr>
            <w:rStyle w:val="Hyperlink"/>
          </w:rPr>
          <w:t>t</w:t>
        </w:r>
        <w:r w:rsidR="002258D7" w:rsidRPr="00542E81">
          <w:rPr>
            <w:rStyle w:val="Hyperlink"/>
          </w:rPr>
          <w:t xml:space="preserve">herapy to </w:t>
        </w:r>
        <w:r w:rsidR="002258D7">
          <w:rPr>
            <w:rStyle w:val="Hyperlink"/>
          </w:rPr>
          <w:t>e</w:t>
        </w:r>
        <w:r w:rsidR="002258D7" w:rsidRPr="00542E81">
          <w:rPr>
            <w:rStyle w:val="Hyperlink"/>
          </w:rPr>
          <w:t xml:space="preserve">liminate </w:t>
        </w:r>
        <w:r w:rsidR="002258D7">
          <w:rPr>
            <w:rStyle w:val="Hyperlink"/>
          </w:rPr>
          <w:t>ha</w:t>
        </w:r>
        <w:r w:rsidR="002258D7" w:rsidRPr="00542E81">
          <w:rPr>
            <w:rStyle w:val="Hyperlink"/>
          </w:rPr>
          <w:t xml:space="preserve">emophilia A </w:t>
        </w:r>
        <w:r w:rsidR="002258D7">
          <w:rPr>
            <w:rStyle w:val="Hyperlink"/>
          </w:rPr>
          <w:t>i</w:t>
        </w:r>
        <w:r w:rsidR="002258D7" w:rsidRPr="00542E81">
          <w:rPr>
            <w:rStyle w:val="Hyperlink"/>
          </w:rPr>
          <w:t>nhibitors</w:t>
        </w:r>
      </w:hyperlink>
    </w:p>
    <w:p w14:paraId="5EC15EAD" w14:textId="525C639E" w:rsidR="002258D7" w:rsidRPr="00132FF6" w:rsidRDefault="002258D7" w:rsidP="002258D7">
      <w:pPr>
        <w:jc w:val="both"/>
        <w:rPr>
          <w:shd w:val="clear" w:color="auto" w:fill="FFFFFF"/>
        </w:rPr>
      </w:pPr>
      <w:r w:rsidRPr="00132FF6">
        <w:rPr>
          <w:shd w:val="clear" w:color="auto" w:fill="FFFFFF"/>
        </w:rPr>
        <w:t>The U.S. Food and Drug Administration (FDA) has granted investigational new drug (IND)</w:t>
      </w:r>
      <w:r w:rsidR="00602533">
        <w:rPr>
          <w:shd w:val="clear" w:color="auto" w:fill="FFFFFF"/>
        </w:rPr>
        <w:t xml:space="preserve"> </w:t>
      </w:r>
      <w:r w:rsidRPr="00132FF6">
        <w:rPr>
          <w:shd w:val="clear" w:color="auto" w:fill="FFFFFF"/>
        </w:rPr>
        <w:t xml:space="preserve">clearance for TI-168, a regulatory T-cell therapy designed to eliminate inhibitors in people with haemophilia A. The biotech company, </w:t>
      </w:r>
      <w:proofErr w:type="spellStart"/>
      <w:r w:rsidRPr="00132FF6">
        <w:rPr>
          <w:shd w:val="clear" w:color="auto" w:fill="FFFFFF"/>
        </w:rPr>
        <w:t>TeraImmune</w:t>
      </w:r>
      <w:proofErr w:type="spellEnd"/>
      <w:r w:rsidRPr="00132FF6">
        <w:rPr>
          <w:shd w:val="clear" w:color="auto" w:fill="FFFFFF"/>
        </w:rPr>
        <w:t xml:space="preserve">, will launch a Phase 1/2a clinical trial to assess the safety and efficacy of TI-168 in up to eighteen congenital haemophilia A patients with refractory inhibitors.  </w:t>
      </w:r>
    </w:p>
    <w:p w14:paraId="021EC572" w14:textId="77777777" w:rsidR="00F4278C" w:rsidRDefault="005A7942" w:rsidP="00192912">
      <w:pPr>
        <w:spacing w:before="120" w:after="0"/>
        <w:rPr>
          <w:rStyle w:val="Hyperlink"/>
        </w:rPr>
      </w:pPr>
      <w:hyperlink r:id="rId51">
        <w:proofErr w:type="spellStart"/>
        <w:r w:rsidR="00F4278C" w:rsidRPr="73461004">
          <w:rPr>
            <w:rStyle w:val="Hyperlink"/>
          </w:rPr>
          <w:t>Emicizumab</w:t>
        </w:r>
        <w:proofErr w:type="spellEnd"/>
        <w:r w:rsidR="00F4278C" w:rsidRPr="73461004">
          <w:rPr>
            <w:rStyle w:val="Hyperlink"/>
          </w:rPr>
          <w:t xml:space="preserve"> for the treatment of acquired h</w:t>
        </w:r>
        <w:r w:rsidR="00F4278C">
          <w:rPr>
            <w:rStyle w:val="Hyperlink"/>
          </w:rPr>
          <w:t>a</w:t>
        </w:r>
        <w:r w:rsidR="00F4278C" w:rsidRPr="73461004">
          <w:rPr>
            <w:rStyle w:val="Hyperlink"/>
          </w:rPr>
          <w:t>emophilia A</w:t>
        </w:r>
      </w:hyperlink>
    </w:p>
    <w:p w14:paraId="71896068" w14:textId="3D669218" w:rsidR="00F4278C" w:rsidRDefault="00F4278C" w:rsidP="00F4278C">
      <w:pPr>
        <w:jc w:val="both"/>
        <w:rPr>
          <w:rFonts w:eastAsia="Calibri"/>
        </w:rPr>
      </w:pPr>
      <w:r>
        <w:rPr>
          <w:shd w:val="clear" w:color="auto" w:fill="FFFFFF"/>
        </w:rPr>
        <w:t xml:space="preserve">This study reviewed the results of 11 acquired haemophilia A patients treated with </w:t>
      </w:r>
      <w:proofErr w:type="spellStart"/>
      <w:r>
        <w:rPr>
          <w:shd w:val="clear" w:color="auto" w:fill="FFFFFF"/>
        </w:rPr>
        <w:t>emicizumab</w:t>
      </w:r>
      <w:proofErr w:type="spellEnd"/>
      <w:r>
        <w:rPr>
          <w:shd w:val="clear" w:color="auto" w:fill="FFFFFF"/>
        </w:rPr>
        <w:t xml:space="preserve"> (</w:t>
      </w:r>
      <w:proofErr w:type="spellStart"/>
      <w:r>
        <w:rPr>
          <w:shd w:val="clear" w:color="auto" w:fill="FFFFFF"/>
        </w:rPr>
        <w:t>Hemlibra</w:t>
      </w:r>
      <w:proofErr w:type="spellEnd"/>
      <w:r>
        <w:rPr>
          <w:shd w:val="clear" w:color="auto" w:fill="FFFFFF"/>
        </w:rPr>
        <w:t>), in conjunction with rituximab (</w:t>
      </w:r>
      <w:r w:rsidRPr="00166034">
        <w:rPr>
          <w:shd w:val="clear" w:color="auto" w:fill="FFFFFF"/>
        </w:rPr>
        <w:t>Rituxan</w:t>
      </w:r>
      <w:r>
        <w:rPr>
          <w:shd w:val="clear" w:color="auto" w:fill="FFFFFF"/>
        </w:rPr>
        <w:t xml:space="preserve">) for four weeks at a single US institute. After an average follow-up period of 14 months, eight patients had </w:t>
      </w:r>
      <w:r w:rsidRPr="007F3567">
        <w:rPr>
          <w:shd w:val="clear" w:color="auto" w:fill="FFFFFF"/>
        </w:rPr>
        <w:t>achieved complete remission</w:t>
      </w:r>
      <w:r>
        <w:rPr>
          <w:shd w:val="clear" w:color="auto" w:fill="FFFFFF"/>
        </w:rPr>
        <w:t>,</w:t>
      </w:r>
      <w:r w:rsidRPr="007F3567">
        <w:rPr>
          <w:shd w:val="clear" w:color="auto" w:fill="FFFFFF"/>
        </w:rPr>
        <w:t xml:space="preserve"> two patients achieved a partial </w:t>
      </w:r>
      <w:proofErr w:type="gramStart"/>
      <w:r>
        <w:rPr>
          <w:shd w:val="clear" w:color="auto" w:fill="FFFFFF"/>
        </w:rPr>
        <w:t>remission</w:t>
      </w:r>
      <w:proofErr w:type="gramEnd"/>
      <w:r>
        <w:rPr>
          <w:shd w:val="clear" w:color="auto" w:fill="FFFFFF"/>
        </w:rPr>
        <w:t xml:space="preserve"> and </w:t>
      </w:r>
      <w:r w:rsidRPr="007F3567">
        <w:rPr>
          <w:shd w:val="clear" w:color="auto" w:fill="FFFFFF"/>
        </w:rPr>
        <w:t xml:space="preserve">one patient experienced </w:t>
      </w:r>
      <w:r>
        <w:rPr>
          <w:shd w:val="clear" w:color="auto" w:fill="FFFFFF"/>
        </w:rPr>
        <w:t>a recurrence of the</w:t>
      </w:r>
      <w:r w:rsidRPr="007F3567">
        <w:rPr>
          <w:shd w:val="clear" w:color="auto" w:fill="FFFFFF"/>
        </w:rPr>
        <w:t xml:space="preserve"> disease. </w:t>
      </w:r>
    </w:p>
    <w:p w14:paraId="3E446640" w14:textId="77777777" w:rsidR="00F4278C" w:rsidRDefault="005A7942" w:rsidP="00192912">
      <w:pPr>
        <w:spacing w:before="120" w:after="0"/>
        <w:rPr>
          <w:rStyle w:val="Hyperlink"/>
        </w:rPr>
      </w:pPr>
      <w:hyperlink r:id="rId52">
        <w:r w:rsidR="00F4278C" w:rsidRPr="73461004">
          <w:rPr>
            <w:rStyle w:val="Hyperlink"/>
          </w:rPr>
          <w:t>Factor IX inhibitors in haemophilia B: A report of National Haemophilia Registry in China</w:t>
        </w:r>
      </w:hyperlink>
    </w:p>
    <w:p w14:paraId="61138861" w14:textId="54EE923F" w:rsidR="00F4278C" w:rsidRDefault="00F4278C" w:rsidP="00F4278C">
      <w:pPr>
        <w:jc w:val="both"/>
        <w:rPr>
          <w:shd w:val="clear" w:color="auto" w:fill="FFFFFF"/>
        </w:rPr>
      </w:pPr>
      <w:r>
        <w:rPr>
          <w:shd w:val="clear" w:color="auto" w:fill="FFFFFF"/>
        </w:rPr>
        <w:t xml:space="preserve">Researchers analysed haemophilia B (HB) inhibitor patients’ characteristics, factor IX (FIX) genotypes, treatment strategies and outcomes to explore the risk factors for FIX inhibitor development. The study looked retrospectively at patients registered on the Chinese National Registry and Patient Organisation Registry. </w:t>
      </w:r>
      <w:r w:rsidR="00CF49CD">
        <w:rPr>
          <w:shd w:val="clear" w:color="auto" w:fill="FFFFFF"/>
        </w:rPr>
        <w:t xml:space="preserve">It was found that </w:t>
      </w:r>
      <w:r>
        <w:rPr>
          <w:shd w:val="clear" w:color="auto" w:fill="FFFFFF"/>
        </w:rPr>
        <w:t>large deletions and missense mutations of the FIX gene were most significantly associated with inhibitor development and that low-dose immune tolerance induction (ITI) therapy might be feasible for FIX inhibitor eradication.</w:t>
      </w:r>
    </w:p>
    <w:p w14:paraId="5F6D70BF" w14:textId="048B44E1" w:rsidR="00363746" w:rsidRDefault="00363746" w:rsidP="00F4278C">
      <w:pPr>
        <w:jc w:val="both"/>
        <w:rPr>
          <w:shd w:val="clear" w:color="auto" w:fill="FFFFFF"/>
        </w:rPr>
      </w:pPr>
    </w:p>
    <w:p w14:paraId="6DDE1805" w14:textId="77777777" w:rsidR="00363746" w:rsidRDefault="00363746" w:rsidP="00F4278C">
      <w:pPr>
        <w:jc w:val="both"/>
        <w:rPr>
          <w:shd w:val="clear" w:color="auto" w:fill="FFFFFF"/>
        </w:rPr>
      </w:pPr>
    </w:p>
    <w:p w14:paraId="4563D6FE" w14:textId="77777777" w:rsidR="00F4278C" w:rsidRDefault="005A7942" w:rsidP="00192912">
      <w:pPr>
        <w:spacing w:before="120" w:after="0"/>
        <w:rPr>
          <w:rStyle w:val="Hyperlink"/>
        </w:rPr>
      </w:pPr>
      <w:hyperlink r:id="rId53">
        <w:r w:rsidR="00F4278C" w:rsidRPr="7CF60E3A">
          <w:rPr>
            <w:rStyle w:val="Hyperlink"/>
          </w:rPr>
          <w:t>Clinical experience of switching patients with severe h</w:t>
        </w:r>
        <w:r w:rsidR="00F4278C">
          <w:rPr>
            <w:rStyle w:val="Hyperlink"/>
          </w:rPr>
          <w:t>a</w:t>
        </w:r>
        <w:r w:rsidR="00F4278C" w:rsidRPr="7CF60E3A">
          <w:rPr>
            <w:rStyle w:val="Hyperlink"/>
          </w:rPr>
          <w:t xml:space="preserve">emophilia to </w:t>
        </w:r>
        <w:proofErr w:type="spellStart"/>
        <w:r w:rsidR="00F4278C" w:rsidRPr="7CF60E3A">
          <w:rPr>
            <w:rStyle w:val="Hyperlink"/>
          </w:rPr>
          <w:t>rVIII-SingleChain</w:t>
        </w:r>
        <w:proofErr w:type="spellEnd"/>
        <w:r w:rsidR="00F4278C" w:rsidRPr="7CF60E3A">
          <w:rPr>
            <w:rStyle w:val="Hyperlink"/>
          </w:rPr>
          <w:t xml:space="preserve"> or </w:t>
        </w:r>
        <w:proofErr w:type="spellStart"/>
        <w:r w:rsidR="00F4278C" w:rsidRPr="7CF60E3A">
          <w:rPr>
            <w:rStyle w:val="Hyperlink"/>
          </w:rPr>
          <w:t>rIX</w:t>
        </w:r>
        <w:proofErr w:type="spellEnd"/>
        <w:r w:rsidR="00F4278C" w:rsidRPr="7CF60E3A">
          <w:rPr>
            <w:rStyle w:val="Hyperlink"/>
          </w:rPr>
          <w:t>-FP</w:t>
        </w:r>
      </w:hyperlink>
    </w:p>
    <w:p w14:paraId="434E80F4" w14:textId="1D57305E" w:rsidR="001D0B3B" w:rsidRDefault="00F4278C" w:rsidP="001D0B3B">
      <w:pPr>
        <w:spacing w:before="0" w:after="160"/>
        <w:jc w:val="both"/>
      </w:pPr>
      <w:r w:rsidRPr="0097041C">
        <w:t>This report summarise</w:t>
      </w:r>
      <w:r>
        <w:t>s</w:t>
      </w:r>
      <w:r w:rsidRPr="0097041C">
        <w:t xml:space="preserve"> the clinical experience of different </w:t>
      </w:r>
      <w:r>
        <w:t>ha</w:t>
      </w:r>
      <w:r w:rsidRPr="0097041C">
        <w:t xml:space="preserve">emophilia </w:t>
      </w:r>
      <w:r>
        <w:t>t</w:t>
      </w:r>
      <w:r w:rsidRPr="0097041C">
        <w:t xml:space="preserve">reatment </w:t>
      </w:r>
      <w:r>
        <w:t>ce</w:t>
      </w:r>
      <w:r w:rsidRPr="0097041C">
        <w:t>nt</w:t>
      </w:r>
      <w:r>
        <w:t>re</w:t>
      </w:r>
      <w:r w:rsidRPr="0097041C">
        <w:t xml:space="preserve">s in managing the switch to </w:t>
      </w:r>
      <w:proofErr w:type="spellStart"/>
      <w:r w:rsidRPr="0097041C">
        <w:t>rVIII-SingleChain</w:t>
      </w:r>
      <w:proofErr w:type="spellEnd"/>
      <w:r w:rsidRPr="0097041C">
        <w:t xml:space="preserve"> or </w:t>
      </w:r>
      <w:proofErr w:type="spellStart"/>
      <w:r w:rsidRPr="0097041C">
        <w:t>rIX</w:t>
      </w:r>
      <w:proofErr w:type="spellEnd"/>
      <w:r w:rsidRPr="0097041C">
        <w:t xml:space="preserve">-FP in </w:t>
      </w:r>
      <w:r>
        <w:t xml:space="preserve">haemophilia </w:t>
      </w:r>
      <w:r w:rsidRPr="0097041C">
        <w:t>patients.</w:t>
      </w:r>
      <w:r>
        <w:t xml:space="preserve"> </w:t>
      </w:r>
      <w:r w:rsidRPr="0097041C">
        <w:t> </w:t>
      </w:r>
      <w:r>
        <w:t>Researchers found that t</w:t>
      </w:r>
      <w:r w:rsidRPr="0097041C">
        <w:t>he physician plays an important role in the motivation of patients </w:t>
      </w:r>
      <w:r>
        <w:t>to switch based on their individual needs and expectations.</w:t>
      </w:r>
    </w:p>
    <w:p w14:paraId="739EFD2C" w14:textId="77777777" w:rsidR="0089301B" w:rsidRPr="001E4143" w:rsidRDefault="0089301B" w:rsidP="0089301B">
      <w:pPr>
        <w:numPr>
          <w:ilvl w:val="1"/>
          <w:numId w:val="2"/>
        </w:numPr>
        <w:spacing w:before="120" w:after="0"/>
        <w:ind w:left="578" w:hanging="578"/>
        <w:jc w:val="both"/>
        <w:outlineLvl w:val="1"/>
        <w:rPr>
          <w:rFonts w:cs="Arial"/>
          <w:b/>
          <w:sz w:val="28"/>
          <w:szCs w:val="36"/>
        </w:rPr>
      </w:pPr>
      <w:bookmarkStart w:id="11" w:name="_Toc116476043"/>
      <w:bookmarkStart w:id="12" w:name="_Toc116476044"/>
      <w:bookmarkStart w:id="13" w:name="_Toc126935633"/>
      <w:bookmarkEnd w:id="11"/>
      <w:bookmarkEnd w:id="12"/>
      <w:r w:rsidRPr="001E4143">
        <w:rPr>
          <w:rFonts w:cs="Arial"/>
          <w:b/>
          <w:sz w:val="28"/>
          <w:szCs w:val="36"/>
        </w:rPr>
        <w:t>Von Willebrand disease</w:t>
      </w:r>
      <w:r>
        <w:rPr>
          <w:rFonts w:cs="Arial"/>
          <w:b/>
          <w:sz w:val="28"/>
          <w:szCs w:val="36"/>
        </w:rPr>
        <w:t xml:space="preserve"> (VWD)</w:t>
      </w:r>
      <w:bookmarkEnd w:id="13"/>
    </w:p>
    <w:p w14:paraId="63B16C54" w14:textId="77777777" w:rsidR="00B54F2E" w:rsidRPr="00192912" w:rsidRDefault="005A7942" w:rsidP="00192912">
      <w:pPr>
        <w:spacing w:before="120" w:after="0"/>
        <w:rPr>
          <w:rStyle w:val="Hyperlink"/>
        </w:rPr>
      </w:pPr>
      <w:hyperlink r:id="rId54">
        <w:r w:rsidR="00B54F2E" w:rsidRPr="00192912">
          <w:rPr>
            <w:rStyle w:val="Hyperlink"/>
          </w:rPr>
          <w:t>ADAMTS13 inhibition to treat acquired von Willebrand syndrome during mechanical circulatory support device implantation</w:t>
        </w:r>
      </w:hyperlink>
    </w:p>
    <w:p w14:paraId="2895B0B4" w14:textId="77777777" w:rsidR="00B54F2E" w:rsidRDefault="00B54F2E" w:rsidP="00B54F2E">
      <w:pPr>
        <w:jc w:val="both"/>
        <w:rPr>
          <w:rStyle w:val="Hyperlink"/>
          <w:rFonts w:eastAsia="Calibri"/>
        </w:rPr>
      </w:pPr>
      <w:r>
        <w:rPr>
          <w:shd w:val="clear" w:color="auto" w:fill="FFFFFF"/>
        </w:rPr>
        <w:t>Acquired von Willebrand syndrome (</w:t>
      </w:r>
      <w:proofErr w:type="spellStart"/>
      <w:r>
        <w:rPr>
          <w:shd w:val="clear" w:color="auto" w:fill="FFFFFF"/>
        </w:rPr>
        <w:t>aVWS</w:t>
      </w:r>
      <w:proofErr w:type="spellEnd"/>
      <w:r>
        <w:rPr>
          <w:shd w:val="clear" w:color="auto" w:fill="FFFFFF"/>
        </w:rPr>
        <w:t xml:space="preserve">) is common in patients with mechanical circulatory support (MCS) devices. In these patients, the high shear stress in the device leads to increased shear-induced proteolysis of von Willebrand factor (VWF), by </w:t>
      </w:r>
      <w:hyperlink r:id="rId55" w:history="1">
        <w:r w:rsidRPr="00BE0708">
          <w:rPr>
            <w:rStyle w:val="Hyperlink"/>
            <w:shd w:val="clear" w:color="auto" w:fill="FFFFFF"/>
          </w:rPr>
          <w:t>ADAMSTS13</w:t>
        </w:r>
      </w:hyperlink>
      <w:r>
        <w:rPr>
          <w:shd w:val="clear" w:color="auto" w:fill="FFFFFF"/>
        </w:rPr>
        <w:t>. As a result, VWF function was decreased and haemostasis impaired. Researchers developed a novel targeted therapy, using an anti-</w:t>
      </w:r>
      <w:hyperlink r:id="rId56" w:history="1">
        <w:r w:rsidRPr="00BE0708">
          <w:t>ADAMTS13</w:t>
        </w:r>
      </w:hyperlink>
      <w:r>
        <w:rPr>
          <w:shd w:val="clear" w:color="auto" w:fill="FFFFFF"/>
        </w:rPr>
        <w:t xml:space="preserve"> monoclonal antibody that inhibits the shear-induced proteolysis of VWF by ADAMTS13.</w:t>
      </w:r>
    </w:p>
    <w:p w14:paraId="11A8A93C" w14:textId="633E6DE7" w:rsidR="00B54F2E" w:rsidRPr="00192912" w:rsidRDefault="005A7942" w:rsidP="00192912">
      <w:pPr>
        <w:spacing w:before="120" w:after="0"/>
        <w:rPr>
          <w:rStyle w:val="Hyperlink"/>
        </w:rPr>
      </w:pPr>
      <w:hyperlink r:id="rId57" w:history="1">
        <w:r w:rsidR="00B54F2E" w:rsidRPr="00192912">
          <w:rPr>
            <w:rStyle w:val="Hyperlink"/>
          </w:rPr>
          <w:t>Patients with von Willebrand disease in China: Results of an online survey</w:t>
        </w:r>
      </w:hyperlink>
    </w:p>
    <w:p w14:paraId="0E710CFC" w14:textId="3C32AB93" w:rsidR="009021AB" w:rsidRDefault="00B54F2E" w:rsidP="00B54F2E">
      <w:pPr>
        <w:jc w:val="both"/>
        <w:rPr>
          <w:lang w:eastAsia="en-AU"/>
        </w:rPr>
      </w:pPr>
      <w:r>
        <w:rPr>
          <w:lang w:eastAsia="en-AU"/>
        </w:rPr>
        <w:t xml:space="preserve">Researchers investigated </w:t>
      </w:r>
      <w:r w:rsidRPr="00037FF0">
        <w:rPr>
          <w:lang w:eastAsia="en-AU"/>
        </w:rPr>
        <w:t xml:space="preserve">the clinical characteristics of a group of </w:t>
      </w:r>
      <w:r>
        <w:rPr>
          <w:lang w:eastAsia="en-AU"/>
        </w:rPr>
        <w:t>von Willebrand disease (</w:t>
      </w:r>
      <w:r w:rsidRPr="00037FF0">
        <w:rPr>
          <w:lang w:eastAsia="en-AU"/>
        </w:rPr>
        <w:t>VWD</w:t>
      </w:r>
      <w:r>
        <w:rPr>
          <w:lang w:eastAsia="en-AU"/>
        </w:rPr>
        <w:t>)</w:t>
      </w:r>
      <w:r w:rsidRPr="00037FF0">
        <w:rPr>
          <w:lang w:eastAsia="en-AU"/>
        </w:rPr>
        <w:t xml:space="preserve"> patients in China, the impact of Covid-19 on them and their genetic mutation.</w:t>
      </w:r>
      <w:r>
        <w:rPr>
          <w:lang w:eastAsia="en-AU"/>
        </w:rPr>
        <w:t xml:space="preserve"> They found a </w:t>
      </w:r>
      <w:r w:rsidRPr="00037FF0">
        <w:rPr>
          <w:lang w:eastAsia="en-AU"/>
        </w:rPr>
        <w:t>high rate of type 3 patients</w:t>
      </w:r>
      <w:r>
        <w:rPr>
          <w:lang w:eastAsia="en-AU"/>
        </w:rPr>
        <w:t xml:space="preserve"> and experiences of </w:t>
      </w:r>
      <w:r w:rsidRPr="00037FF0">
        <w:rPr>
          <w:lang w:eastAsia="en-AU"/>
        </w:rPr>
        <w:t>misdiagnosis</w:t>
      </w:r>
      <w:r>
        <w:rPr>
          <w:lang w:eastAsia="en-AU"/>
        </w:rPr>
        <w:t xml:space="preserve"> reported which suggested that VWD may be significantly under-</w:t>
      </w:r>
      <w:r w:rsidRPr="00037FF0">
        <w:rPr>
          <w:lang w:eastAsia="en-AU"/>
        </w:rPr>
        <w:t>diagnos</w:t>
      </w:r>
      <w:r>
        <w:rPr>
          <w:lang w:eastAsia="en-AU"/>
        </w:rPr>
        <w:t xml:space="preserve">ed </w:t>
      </w:r>
      <w:r w:rsidRPr="00037FF0">
        <w:rPr>
          <w:lang w:eastAsia="en-AU"/>
        </w:rPr>
        <w:t xml:space="preserve">in China. </w:t>
      </w:r>
      <w:r>
        <w:rPr>
          <w:lang w:eastAsia="en-AU"/>
        </w:rPr>
        <w:t xml:space="preserve"> </w:t>
      </w:r>
    </w:p>
    <w:p w14:paraId="7D36F07D" w14:textId="289025FA" w:rsidR="007634FD" w:rsidRDefault="007634FD" w:rsidP="005B130A">
      <w:pPr>
        <w:numPr>
          <w:ilvl w:val="1"/>
          <w:numId w:val="2"/>
        </w:numPr>
        <w:spacing w:before="120" w:after="0"/>
        <w:ind w:left="578" w:hanging="578"/>
        <w:jc w:val="both"/>
        <w:outlineLvl w:val="1"/>
        <w:rPr>
          <w:rFonts w:cs="Arial"/>
          <w:b/>
          <w:sz w:val="28"/>
          <w:szCs w:val="36"/>
        </w:rPr>
      </w:pPr>
      <w:bookmarkStart w:id="14" w:name="_Toc126935634"/>
      <w:r>
        <w:rPr>
          <w:rFonts w:cs="Arial"/>
          <w:b/>
          <w:sz w:val="28"/>
          <w:szCs w:val="36"/>
        </w:rPr>
        <w:t>Thrombocytopaenia</w:t>
      </w:r>
      <w:bookmarkEnd w:id="14"/>
    </w:p>
    <w:p w14:paraId="50C0451D" w14:textId="77777777" w:rsidR="007634FD" w:rsidRPr="00005CF2" w:rsidRDefault="005A7942" w:rsidP="00192912">
      <w:pPr>
        <w:spacing w:before="120" w:after="0"/>
        <w:rPr>
          <w:rStyle w:val="Hyperlink"/>
        </w:rPr>
      </w:pPr>
      <w:hyperlink r:id="rId58" w:history="1">
        <w:r w:rsidR="007634FD" w:rsidRPr="00005CF2">
          <w:rPr>
            <w:rStyle w:val="Hyperlink"/>
          </w:rPr>
          <w:t xml:space="preserve">NICE recommends </w:t>
        </w:r>
        <w:proofErr w:type="spellStart"/>
        <w:r w:rsidR="007634FD" w:rsidRPr="00005CF2">
          <w:rPr>
            <w:rStyle w:val="Hyperlink"/>
          </w:rPr>
          <w:t>Sobi’s</w:t>
        </w:r>
        <w:proofErr w:type="spellEnd"/>
        <w:r w:rsidR="007634FD" w:rsidRPr="00005CF2">
          <w:rPr>
            <w:rStyle w:val="Hyperlink"/>
          </w:rPr>
          <w:t xml:space="preserve"> </w:t>
        </w:r>
        <w:proofErr w:type="spellStart"/>
        <w:r w:rsidR="007634FD" w:rsidRPr="00005CF2">
          <w:rPr>
            <w:rStyle w:val="Hyperlink"/>
          </w:rPr>
          <w:t>Doptelet</w:t>
        </w:r>
        <w:proofErr w:type="spellEnd"/>
        <w:r w:rsidR="007634FD" w:rsidRPr="00005CF2">
          <w:rPr>
            <w:rStyle w:val="Hyperlink"/>
          </w:rPr>
          <w:t xml:space="preserve"> to treat thrombocytopenia</w:t>
        </w:r>
      </w:hyperlink>
    </w:p>
    <w:p w14:paraId="7B284731" w14:textId="77777777" w:rsidR="007634FD" w:rsidRPr="006D26B9" w:rsidRDefault="007634FD" w:rsidP="007634FD">
      <w:pPr>
        <w:spacing w:line="257" w:lineRule="auto"/>
      </w:pPr>
      <w:r>
        <w:t>T</w:t>
      </w:r>
      <w:r w:rsidRPr="006D26B9">
        <w:t xml:space="preserve">he National Institute for Health and Care Excellence (NICE) has issued the Final Appraisal Document in England and Wales recommending the use of </w:t>
      </w:r>
      <w:proofErr w:type="spellStart"/>
      <w:r w:rsidRPr="006D26B9">
        <w:t>Doptelet</w:t>
      </w:r>
      <w:proofErr w:type="spellEnd"/>
      <w:r>
        <w:t xml:space="preserve"> (</w:t>
      </w:r>
      <w:proofErr w:type="spellStart"/>
      <w:r>
        <w:t>avatrombopag</w:t>
      </w:r>
      <w:proofErr w:type="spellEnd"/>
      <w:r>
        <w:t>) as a treatment for adults with primary chronic immune thrombocytopenia (ITP) who are resistant to other treatments such as corticosteroids or immunoglobulins.</w:t>
      </w:r>
      <w:r w:rsidRPr="000B251E">
        <w:t xml:space="preserve"> Among the 49 patients</w:t>
      </w:r>
      <w:r>
        <w:t xml:space="preserve"> who participated in the study</w:t>
      </w:r>
      <w:r w:rsidRPr="000B251E">
        <w:t xml:space="preserve">, </w:t>
      </w:r>
      <w:proofErr w:type="spellStart"/>
      <w:r w:rsidRPr="000B251E">
        <w:t>Doptelet</w:t>
      </w:r>
      <w:proofErr w:type="spellEnd"/>
      <w:r w:rsidRPr="000B251E">
        <w:t xml:space="preserve"> was superior to placebo for the cumulative number of weeks of platelet response.</w:t>
      </w:r>
    </w:p>
    <w:p w14:paraId="2EF20455" w14:textId="20222E70" w:rsidR="00AD36FC" w:rsidRDefault="00AD36FC" w:rsidP="00923C02">
      <w:pPr>
        <w:numPr>
          <w:ilvl w:val="1"/>
          <w:numId w:val="2"/>
        </w:numPr>
        <w:spacing w:before="120" w:after="0"/>
        <w:ind w:left="578" w:hanging="578"/>
        <w:jc w:val="both"/>
        <w:outlineLvl w:val="1"/>
        <w:rPr>
          <w:rFonts w:cs="Arial"/>
          <w:b/>
          <w:sz w:val="28"/>
          <w:szCs w:val="36"/>
        </w:rPr>
      </w:pPr>
      <w:bookmarkStart w:id="15" w:name="_Toc108791545"/>
      <w:bookmarkStart w:id="16" w:name="_Toc126935635"/>
      <w:r w:rsidRPr="001E4143">
        <w:rPr>
          <w:rFonts w:cs="Arial"/>
          <w:b/>
          <w:sz w:val="28"/>
          <w:szCs w:val="36"/>
        </w:rPr>
        <w:t>Thalassemia</w:t>
      </w:r>
      <w:bookmarkEnd w:id="15"/>
      <w:bookmarkEnd w:id="16"/>
      <w:r w:rsidRPr="001E4143">
        <w:rPr>
          <w:rFonts w:cs="Arial"/>
          <w:b/>
          <w:sz w:val="28"/>
          <w:szCs w:val="36"/>
        </w:rPr>
        <w:t xml:space="preserve"> </w:t>
      </w:r>
    </w:p>
    <w:p w14:paraId="4997AF82" w14:textId="77777777" w:rsidR="008E696E" w:rsidRPr="00005CF2" w:rsidRDefault="005A7942" w:rsidP="00192912">
      <w:pPr>
        <w:spacing w:before="120" w:after="0"/>
        <w:rPr>
          <w:rStyle w:val="Hyperlink"/>
        </w:rPr>
      </w:pPr>
      <w:hyperlink r:id="rId59" w:history="1">
        <w:r w:rsidR="008E696E" w:rsidRPr="00005CF2">
          <w:rPr>
            <w:rStyle w:val="Hyperlink"/>
          </w:rPr>
          <w:t>Long-term safety and erythroid</w:t>
        </w:r>
        <w:bookmarkStart w:id="17" w:name="_Hlt121906322"/>
        <w:bookmarkStart w:id="18" w:name="_Hlt121906323"/>
        <w:r w:rsidR="008E696E" w:rsidRPr="00005CF2">
          <w:rPr>
            <w:rStyle w:val="Hyperlink"/>
          </w:rPr>
          <w:t xml:space="preserve"> </w:t>
        </w:r>
        <w:bookmarkEnd w:id="17"/>
        <w:bookmarkEnd w:id="18"/>
        <w:r w:rsidR="008E696E" w:rsidRPr="00005CF2">
          <w:rPr>
            <w:rStyle w:val="Hyperlink"/>
          </w:rPr>
          <w:t xml:space="preserve">response with </w:t>
        </w:r>
        <w:proofErr w:type="spellStart"/>
        <w:r w:rsidR="008E696E" w:rsidRPr="00005CF2">
          <w:rPr>
            <w:rStyle w:val="Hyperlink"/>
          </w:rPr>
          <w:t>luspatercept</w:t>
        </w:r>
        <w:proofErr w:type="spellEnd"/>
        <w:r w:rsidR="008E696E" w:rsidRPr="00005CF2">
          <w:rPr>
            <w:rStyle w:val="Hyperlink"/>
          </w:rPr>
          <w:t xml:space="preserve"> treatment in patients with β-thalassemia</w:t>
        </w:r>
      </w:hyperlink>
    </w:p>
    <w:p w14:paraId="3256DE37" w14:textId="133C9C7B" w:rsidR="008E696E" w:rsidRDefault="008E696E" w:rsidP="00005CF2">
      <w:r>
        <w:t>This study</w:t>
      </w:r>
      <w:r w:rsidRPr="00B955CC">
        <w:t xml:space="preserve"> report</w:t>
      </w:r>
      <w:r>
        <w:t>s on the</w:t>
      </w:r>
      <w:r w:rsidRPr="00B955CC">
        <w:t xml:space="preserve"> long-term safety and efficacy results of the first clinical study of </w:t>
      </w:r>
      <w:proofErr w:type="spellStart"/>
      <w:r w:rsidRPr="00B955CC">
        <w:t>luspatercept</w:t>
      </w:r>
      <w:proofErr w:type="spellEnd"/>
      <w:r w:rsidRPr="00B955CC">
        <w:t xml:space="preserve"> in </w:t>
      </w:r>
      <w:r>
        <w:t xml:space="preserve">beta </w:t>
      </w:r>
      <w:r w:rsidRPr="00B955CC">
        <w:t>thalassemia</w:t>
      </w:r>
      <w:r>
        <w:t xml:space="preserve">. The study was </w:t>
      </w:r>
      <w:r w:rsidRPr="00B955CC">
        <w:t xml:space="preserve">initiated in 2013, enrolling adults with both </w:t>
      </w:r>
      <w:proofErr w:type="spellStart"/>
      <w:r w:rsidRPr="00B955CC">
        <w:t>nontransfusion</w:t>
      </w:r>
      <w:proofErr w:type="spellEnd"/>
      <w:r w:rsidRPr="00B955CC">
        <w:t>-dependent (NTD) and transfusion-dependent (TD)</w:t>
      </w:r>
      <w:r>
        <w:t xml:space="preserve"> beta</w:t>
      </w:r>
      <w:r w:rsidRPr="00B955CC">
        <w:t>-thalassemia.</w:t>
      </w:r>
      <w:r>
        <w:t xml:space="preserve"> Researchers reviewed</w:t>
      </w:r>
      <w:r w:rsidRPr="00B1648A">
        <w:t xml:space="preserve"> up to 5 years of treatment for 64 patients with </w:t>
      </w:r>
      <w:r>
        <w:t>N</w:t>
      </w:r>
      <w:r w:rsidRPr="00B1648A">
        <w:t xml:space="preserve">TD or TD </w:t>
      </w:r>
      <w:r>
        <w:t>beta</w:t>
      </w:r>
      <w:r w:rsidRPr="00B1648A">
        <w:t xml:space="preserve">-thalassemia, and long-term efficacy data for a subset of 63 patients with </w:t>
      </w:r>
      <w:r>
        <w:t>beta</w:t>
      </w:r>
      <w:r w:rsidRPr="00B1648A">
        <w:t xml:space="preserve">-thalassemia who received high-dose </w:t>
      </w:r>
      <w:proofErr w:type="spellStart"/>
      <w:r w:rsidRPr="00B1648A">
        <w:t>luspatercept</w:t>
      </w:r>
      <w:proofErr w:type="spellEnd"/>
      <w:r>
        <w:t xml:space="preserve">. </w:t>
      </w:r>
      <w:r w:rsidR="00090013">
        <w:t>L</w:t>
      </w:r>
      <w:r w:rsidRPr="00E56084">
        <w:t xml:space="preserve">ong-term assessment of patients with </w:t>
      </w:r>
      <w:r>
        <w:t>beta</w:t>
      </w:r>
      <w:r w:rsidRPr="00E56084">
        <w:t xml:space="preserve">-thalassemia showed </w:t>
      </w:r>
      <w:proofErr w:type="spellStart"/>
      <w:r w:rsidRPr="00E56084">
        <w:t>luspatercept</w:t>
      </w:r>
      <w:proofErr w:type="spellEnd"/>
      <w:r w:rsidRPr="00E56084">
        <w:t xml:space="preserve"> was associated with sustained increases in h</w:t>
      </w:r>
      <w:r>
        <w:t>a</w:t>
      </w:r>
      <w:r w:rsidRPr="00E56084">
        <w:t>emoglobin levels in NTD patients and sustained transfusion burden reductions in TD patients.</w:t>
      </w:r>
    </w:p>
    <w:p w14:paraId="5E1C498F" w14:textId="54F02769" w:rsidR="00FF7358" w:rsidRDefault="00C87F96" w:rsidP="00FF7358">
      <w:pPr>
        <w:numPr>
          <w:ilvl w:val="1"/>
          <w:numId w:val="2"/>
        </w:numPr>
        <w:spacing w:before="120" w:after="0"/>
        <w:ind w:left="578" w:hanging="578"/>
        <w:jc w:val="both"/>
        <w:outlineLvl w:val="1"/>
        <w:rPr>
          <w:rFonts w:cs="Arial"/>
          <w:b/>
          <w:sz w:val="28"/>
          <w:szCs w:val="36"/>
        </w:rPr>
      </w:pPr>
      <w:bookmarkStart w:id="19" w:name="_Toc126935636"/>
      <w:r>
        <w:rPr>
          <w:rFonts w:cs="Arial"/>
          <w:b/>
          <w:sz w:val="28"/>
          <w:szCs w:val="36"/>
        </w:rPr>
        <w:t>M</w:t>
      </w:r>
      <w:r w:rsidR="00FF7358" w:rsidRPr="00EB3F7B">
        <w:rPr>
          <w:rFonts w:cs="Arial"/>
          <w:b/>
          <w:sz w:val="28"/>
          <w:szCs w:val="36"/>
        </w:rPr>
        <w:t>yeloma</w:t>
      </w:r>
      <w:bookmarkEnd w:id="19"/>
    </w:p>
    <w:p w14:paraId="7E3ED793" w14:textId="59B8F8E8" w:rsidR="00FF7358" w:rsidRPr="00005CF2" w:rsidRDefault="005A7942" w:rsidP="00192912">
      <w:pPr>
        <w:spacing w:before="120" w:after="0"/>
        <w:rPr>
          <w:rStyle w:val="Hyperlink"/>
        </w:rPr>
      </w:pPr>
      <w:hyperlink r:id="rId60" w:anchor=":~:text=The%20approach%2C%20known%20as%20MinimuMM,by%20the%20journal%20Cancer%20Discovery." w:history="1">
        <w:r w:rsidR="00FF7358" w:rsidRPr="00005CF2">
          <w:rPr>
            <w:rStyle w:val="Hyperlink"/>
          </w:rPr>
          <w:t>New Technique Can Detect and Analy</w:t>
        </w:r>
        <w:r w:rsidR="00583DE5">
          <w:rPr>
            <w:rStyle w:val="Hyperlink"/>
          </w:rPr>
          <w:t>s</w:t>
        </w:r>
        <w:r w:rsidR="00FF7358" w:rsidRPr="00005CF2">
          <w:rPr>
            <w:rStyle w:val="Hyperlink"/>
          </w:rPr>
          <w:t xml:space="preserve">e </w:t>
        </w:r>
        <w:proofErr w:type="spellStart"/>
        <w:r w:rsidR="00FF7358" w:rsidRPr="00005CF2">
          <w:rPr>
            <w:rStyle w:val="Hyperlink"/>
          </w:rPr>
          <w:t>Tumor</w:t>
        </w:r>
        <w:proofErr w:type="spellEnd"/>
        <w:r w:rsidR="00FF7358" w:rsidRPr="00005CF2">
          <w:rPr>
            <w:rStyle w:val="Hyperlink"/>
          </w:rPr>
          <w:t xml:space="preserve"> Cells of Multiple Myeloma and Precursor Conditions from Blood Sample </w:t>
        </w:r>
      </w:hyperlink>
    </w:p>
    <w:p w14:paraId="1A62DF46" w14:textId="7C4C5F10" w:rsidR="00FF7358" w:rsidRDefault="00FF7358" w:rsidP="00005CF2">
      <w:r w:rsidRPr="005371AF">
        <w:t xml:space="preserve">A new technique developed by researchers </w:t>
      </w:r>
      <w:r>
        <w:t xml:space="preserve">at the Dana-Farber </w:t>
      </w:r>
      <w:r w:rsidR="00BA2F6B">
        <w:t>C</w:t>
      </w:r>
      <w:r>
        <w:t xml:space="preserve">ancer </w:t>
      </w:r>
      <w:r w:rsidR="00BA2F6B">
        <w:t>I</w:t>
      </w:r>
      <w:r>
        <w:t>nstitute in Boston can</w:t>
      </w:r>
      <w:r w:rsidRPr="005371AF">
        <w:t xml:space="preserve"> </w:t>
      </w:r>
      <w:r>
        <w:t xml:space="preserve">use </w:t>
      </w:r>
      <w:r w:rsidRPr="005371AF">
        <w:t>a small blood sample to detect tumo</w:t>
      </w:r>
      <w:r>
        <w:t>u</w:t>
      </w:r>
      <w:r w:rsidRPr="005371AF">
        <w:t>r cells in people at heightened risk for multiple myeloma, assess risk of progression in patients with myeloma, and track genetic changes in tumo</w:t>
      </w:r>
      <w:r>
        <w:t>u</w:t>
      </w:r>
      <w:r w:rsidRPr="005371AF">
        <w:t>r cells over time</w:t>
      </w:r>
      <w:r>
        <w:t>.</w:t>
      </w:r>
      <w:r w:rsidRPr="009C687E">
        <w:t xml:space="preserve"> The approach, known as </w:t>
      </w:r>
      <w:proofErr w:type="spellStart"/>
      <w:r w:rsidRPr="009C687E">
        <w:t>MinimuMM</w:t>
      </w:r>
      <w:proofErr w:type="spellEnd"/>
      <w:r w:rsidRPr="009C687E">
        <w:t>-seq, has the potential to replace a bone marrow biopsy</w:t>
      </w:r>
      <w:r>
        <w:t xml:space="preserve"> by </w:t>
      </w:r>
      <w:r w:rsidRPr="00E32B05">
        <w:t>us</w:t>
      </w:r>
      <w:r>
        <w:t>ing</w:t>
      </w:r>
      <w:r w:rsidRPr="00E32B05">
        <w:t xml:space="preserve"> whole-genome sequencing to probe the entirety of myeloma cells’ DNA</w:t>
      </w:r>
      <w:r>
        <w:t>. Researchers</w:t>
      </w:r>
      <w:r w:rsidRPr="00FC5E60">
        <w:t xml:space="preserve"> found that </w:t>
      </w:r>
      <w:proofErr w:type="spellStart"/>
      <w:r w:rsidRPr="00FC5E60">
        <w:t>MinimuMM</w:t>
      </w:r>
      <w:proofErr w:type="spellEnd"/>
      <w:r w:rsidRPr="00FC5E60">
        <w:t>-seq was able to detect the same genetic abnormalities in circulating tumo</w:t>
      </w:r>
      <w:r>
        <w:t>u</w:t>
      </w:r>
      <w:r w:rsidRPr="00FC5E60">
        <w:t>r cells that existed in bone marrow biopsy samples, including hallmark features of myeloma</w:t>
      </w:r>
      <w:r>
        <w:t>.</w:t>
      </w:r>
    </w:p>
    <w:p w14:paraId="18E7F4B5" w14:textId="77777777" w:rsidR="00363746" w:rsidRPr="001E4143" w:rsidRDefault="00363746" w:rsidP="00005CF2">
      <w:pPr>
        <w:rPr>
          <w:rFonts w:cs="Arial"/>
          <w:b/>
          <w:sz w:val="28"/>
          <w:szCs w:val="36"/>
        </w:rPr>
      </w:pPr>
    </w:p>
    <w:p w14:paraId="713F5B97" w14:textId="77777777" w:rsidR="00BC5656" w:rsidRPr="00192912" w:rsidRDefault="005A7942" w:rsidP="00192912">
      <w:pPr>
        <w:spacing w:before="120" w:after="0"/>
        <w:rPr>
          <w:rStyle w:val="Hyperlink"/>
        </w:rPr>
      </w:pPr>
      <w:hyperlink r:id="rId61">
        <w:proofErr w:type="spellStart"/>
        <w:r w:rsidR="00BC5656" w:rsidRPr="00192912">
          <w:rPr>
            <w:rStyle w:val="Hyperlink"/>
          </w:rPr>
          <w:t>Elranatamab</w:t>
        </w:r>
        <w:proofErr w:type="spellEnd"/>
        <w:r w:rsidR="00BC5656" w:rsidRPr="00192912">
          <w:rPr>
            <w:rStyle w:val="Hyperlink"/>
          </w:rPr>
          <w:t xml:space="preserve"> receives breakthrough therapy designation for advanced multiple myeloma</w:t>
        </w:r>
      </w:hyperlink>
    </w:p>
    <w:p w14:paraId="26A9A725" w14:textId="77777777" w:rsidR="00BC5656" w:rsidRDefault="00BC5656" w:rsidP="00192912">
      <w:r>
        <w:t xml:space="preserve">The FDA has granted breakthrough therapy designation to </w:t>
      </w:r>
      <w:proofErr w:type="spellStart"/>
      <w:r>
        <w:t>elranatamab</w:t>
      </w:r>
      <w:proofErr w:type="spellEnd"/>
      <w:r>
        <w:t xml:space="preserve"> for treatment of relapsed or refractory multiple myeloma. </w:t>
      </w:r>
      <w:proofErr w:type="spellStart"/>
      <w:r>
        <w:t>Elranatamab</w:t>
      </w:r>
      <w:proofErr w:type="spellEnd"/>
      <w:r>
        <w:t xml:space="preserve"> is a B-cell maturation antigen (BCMA) CD3-targeted bispecific antibody designed to bind to BCMA on the surface of multiple myeloma cells and the CD3 receptor found on the surface of T cells.</w:t>
      </w:r>
    </w:p>
    <w:p w14:paraId="44DC8840" w14:textId="7DAD84F9" w:rsidR="00BD6F0B" w:rsidRDefault="002C6241" w:rsidP="009807FF">
      <w:pPr>
        <w:numPr>
          <w:ilvl w:val="1"/>
          <w:numId w:val="2"/>
        </w:numPr>
        <w:spacing w:before="120" w:after="0"/>
        <w:ind w:left="578" w:hanging="578"/>
        <w:jc w:val="both"/>
        <w:outlineLvl w:val="1"/>
        <w:rPr>
          <w:rFonts w:cs="Arial"/>
          <w:b/>
          <w:sz w:val="28"/>
          <w:szCs w:val="36"/>
        </w:rPr>
      </w:pPr>
      <w:bookmarkStart w:id="20" w:name="_Toc116476046"/>
      <w:bookmarkStart w:id="21" w:name="_Toc126935637"/>
      <w:bookmarkEnd w:id="20"/>
      <w:r>
        <w:rPr>
          <w:rFonts w:cs="Arial"/>
          <w:b/>
          <w:sz w:val="28"/>
          <w:szCs w:val="36"/>
        </w:rPr>
        <w:t>L</w:t>
      </w:r>
      <w:r w:rsidR="00BD6F0B">
        <w:rPr>
          <w:rFonts w:cs="Arial"/>
          <w:b/>
          <w:sz w:val="28"/>
          <w:szCs w:val="36"/>
        </w:rPr>
        <w:t>eukaemia</w:t>
      </w:r>
      <w:bookmarkEnd w:id="21"/>
    </w:p>
    <w:p w14:paraId="7C215A29" w14:textId="5C686A59" w:rsidR="00C8567C" w:rsidRPr="00192912" w:rsidRDefault="00C8567C" w:rsidP="00192912">
      <w:pPr>
        <w:spacing w:before="120" w:after="0"/>
        <w:rPr>
          <w:rStyle w:val="Hyperlink"/>
        </w:rPr>
      </w:pPr>
      <w:r w:rsidRPr="00923C02">
        <w:rPr>
          <w:rStyle w:val="Hyperlink"/>
        </w:rPr>
        <w:t xml:space="preserve">Acute myeloid leukemia resistant to </w:t>
      </w:r>
      <w:proofErr w:type="spellStart"/>
      <w:r w:rsidRPr="00923C02">
        <w:rPr>
          <w:rStyle w:val="Hyperlink"/>
        </w:rPr>
        <w:t>venetoclax</w:t>
      </w:r>
      <w:proofErr w:type="spellEnd"/>
      <w:r w:rsidRPr="00923C02">
        <w:rPr>
          <w:rStyle w:val="Hyperlink"/>
        </w:rPr>
        <w:t>-based therapy: What does the future hold?</w:t>
      </w:r>
    </w:p>
    <w:p w14:paraId="268CDDD8" w14:textId="6E136086" w:rsidR="00C8567C" w:rsidRDefault="00C8567C" w:rsidP="00C8567C">
      <w:proofErr w:type="spellStart"/>
      <w:r w:rsidRPr="00AF2C8B">
        <w:t>Venetoclax</w:t>
      </w:r>
      <w:proofErr w:type="spellEnd"/>
      <w:r w:rsidRPr="00AF2C8B">
        <w:t xml:space="preserve"> is a highly selective B-cell lymphoma-2 (BCL-2) inhibitor</w:t>
      </w:r>
      <w:r>
        <w:t>. When</w:t>
      </w:r>
      <w:r w:rsidRPr="00AF2C8B">
        <w:t xml:space="preserve"> combined with a DNA hypomethylating agent or low dose cytarabine, </w:t>
      </w:r>
      <w:r>
        <w:t>it</w:t>
      </w:r>
      <w:r w:rsidRPr="00AF2C8B">
        <w:t xml:space="preserve"> results in high rates of initial responses in patients with acute myeloid leukemia (AML). However, the disease relapses in most patients.</w:t>
      </w:r>
      <w:r w:rsidRPr="009E4370">
        <w:t xml:space="preserve"> </w:t>
      </w:r>
      <w:r w:rsidRPr="00B05F0E">
        <w:t xml:space="preserve">Understanding the mechanisms associated with </w:t>
      </w:r>
      <w:r w:rsidRPr="009E4370">
        <w:t xml:space="preserve">resistance to </w:t>
      </w:r>
      <w:proofErr w:type="spellStart"/>
      <w:r w:rsidRPr="009E4370">
        <w:t>venetoclax</w:t>
      </w:r>
      <w:proofErr w:type="spellEnd"/>
      <w:r w:rsidRPr="00B05F0E">
        <w:t>-based therapy is important and relevant to designing therapeutic strategies to mitigate or overcome resistance.</w:t>
      </w:r>
      <w:r w:rsidRPr="00654D52">
        <w:t xml:space="preserve"> </w:t>
      </w:r>
      <w:r>
        <w:t xml:space="preserve">Future studies </w:t>
      </w:r>
      <w:r w:rsidRPr="00654D52">
        <w:t xml:space="preserve">should focus on identifying predictive biomarkers of response to </w:t>
      </w:r>
      <w:proofErr w:type="spellStart"/>
      <w:r w:rsidRPr="00654D52">
        <w:t>venetoclax</w:t>
      </w:r>
      <w:proofErr w:type="spellEnd"/>
      <w:r w:rsidRPr="00654D52">
        <w:t>-based therapy and incorporating immunotherapeutic approaches to improve outcomes for patients with AML.</w:t>
      </w:r>
    </w:p>
    <w:p w14:paraId="2D41C7F0" w14:textId="4B3517AA" w:rsidR="009021AB" w:rsidRPr="00192912" w:rsidRDefault="005A7942" w:rsidP="009021AB">
      <w:pPr>
        <w:spacing w:before="120" w:after="0"/>
        <w:rPr>
          <w:rStyle w:val="Hyperlink"/>
        </w:rPr>
      </w:pPr>
      <w:hyperlink r:id="rId62" w:history="1">
        <w:r w:rsidR="009021AB" w:rsidRPr="00192912">
          <w:rPr>
            <w:rStyle w:val="Hyperlink"/>
          </w:rPr>
          <w:t xml:space="preserve">FDA approves </w:t>
        </w:r>
        <w:proofErr w:type="spellStart"/>
        <w:r w:rsidR="009021AB" w:rsidRPr="00192912">
          <w:rPr>
            <w:rStyle w:val="Hyperlink"/>
          </w:rPr>
          <w:t>olutasidenib</w:t>
        </w:r>
        <w:proofErr w:type="spellEnd"/>
        <w:r w:rsidR="009021AB" w:rsidRPr="00192912">
          <w:rPr>
            <w:rStyle w:val="Hyperlink"/>
          </w:rPr>
          <w:t xml:space="preserve"> for relapsed or refractory acute myeloid leukemia with a susceptible IDH1 mutation</w:t>
        </w:r>
      </w:hyperlink>
      <w:r w:rsidR="009021AB" w:rsidRPr="00192912">
        <w:rPr>
          <w:rStyle w:val="Hyperlink"/>
        </w:rPr>
        <w:t xml:space="preserve"> </w:t>
      </w:r>
    </w:p>
    <w:p w14:paraId="4FA0143C" w14:textId="23A2AE1E" w:rsidR="009021AB" w:rsidRPr="00B25ABA" w:rsidRDefault="009021AB" w:rsidP="009021AB">
      <w:r w:rsidRPr="00B25ABA">
        <w:t xml:space="preserve">The FDA approved </w:t>
      </w:r>
      <w:r>
        <w:t xml:space="preserve">oral </w:t>
      </w:r>
      <w:proofErr w:type="spellStart"/>
      <w:r w:rsidRPr="00B25ABA">
        <w:t>olutasidenib</w:t>
      </w:r>
      <w:proofErr w:type="spellEnd"/>
      <w:r w:rsidRPr="00B25ABA">
        <w:t xml:space="preserve"> for treating patients with relapsed or refractory acute myeloid leukemia susceptible to </w:t>
      </w:r>
      <w:r w:rsidR="00FE70B7" w:rsidRPr="00B25ABA">
        <w:t>harbouring</w:t>
      </w:r>
      <w:r w:rsidRPr="00B25ABA">
        <w:t xml:space="preserve"> an IDH1 mutation</w:t>
      </w:r>
      <w:r>
        <w:t xml:space="preserve">. It </w:t>
      </w:r>
      <w:r w:rsidRPr="00B25ABA">
        <w:t xml:space="preserve">has also approved the Abbott </w:t>
      </w:r>
      <w:proofErr w:type="spellStart"/>
      <w:r w:rsidRPr="00B25ABA">
        <w:t>RealTime</w:t>
      </w:r>
      <w:proofErr w:type="spellEnd"/>
      <w:r w:rsidRPr="00B25ABA">
        <w:t xml:space="preserve"> IDH1 Assay, which is used to select patients suitable for receiving </w:t>
      </w:r>
      <w:proofErr w:type="spellStart"/>
      <w:r w:rsidRPr="00B25ABA">
        <w:t>olutasidenib</w:t>
      </w:r>
      <w:proofErr w:type="spellEnd"/>
      <w:r w:rsidRPr="00B25ABA">
        <w:t>.</w:t>
      </w:r>
    </w:p>
    <w:p w14:paraId="05276032" w14:textId="77777777" w:rsidR="00C8567C" w:rsidRPr="00192912" w:rsidRDefault="005A7942" w:rsidP="00192912">
      <w:pPr>
        <w:spacing w:before="120" w:after="0"/>
        <w:rPr>
          <w:rStyle w:val="Hyperlink"/>
        </w:rPr>
      </w:pPr>
      <w:hyperlink r:id="rId63" w:history="1">
        <w:r w:rsidR="00C8567C" w:rsidRPr="00192912">
          <w:rPr>
            <w:rStyle w:val="Hyperlink"/>
          </w:rPr>
          <w:t>Electrostatic anti-CD33-antibody–protamine n</w:t>
        </w:r>
        <w:bookmarkStart w:id="22" w:name="_Hlt121905574"/>
        <w:bookmarkStart w:id="23" w:name="_Hlt121905575"/>
        <w:r w:rsidR="00C8567C" w:rsidRPr="00192912">
          <w:rPr>
            <w:rStyle w:val="Hyperlink"/>
          </w:rPr>
          <w:t>a</w:t>
        </w:r>
        <w:bookmarkEnd w:id="22"/>
        <w:bookmarkEnd w:id="23"/>
        <w:r w:rsidR="00C8567C" w:rsidRPr="00192912">
          <w:rPr>
            <w:rStyle w:val="Hyperlink"/>
          </w:rPr>
          <w:t>nocarriers as platform for a targeted treatment of acute myeloid leukemia</w:t>
        </w:r>
      </w:hyperlink>
    </w:p>
    <w:p w14:paraId="52A1FE88" w14:textId="17F813CA" w:rsidR="00C8567C" w:rsidRDefault="00C8567C" w:rsidP="00C8567C">
      <w:r w:rsidRPr="00F10368">
        <w:t xml:space="preserve">This </w:t>
      </w:r>
      <w:r>
        <w:t>research</w:t>
      </w:r>
      <w:r w:rsidRPr="00F10368">
        <w:t xml:space="preserve"> presents</w:t>
      </w:r>
      <w:r>
        <w:t>, personalised</w:t>
      </w:r>
      <w:r w:rsidRPr="00F10368">
        <w:t xml:space="preserve"> </w:t>
      </w:r>
      <w:r>
        <w:t>and targeted treatment options for</w:t>
      </w:r>
      <w:r w:rsidRPr="00F10368">
        <w:t xml:space="preserve"> </w:t>
      </w:r>
      <w:r>
        <w:t>acute myeloid leukemia (</w:t>
      </w:r>
      <w:r w:rsidRPr="00F10368">
        <w:t>AML</w:t>
      </w:r>
      <w:r>
        <w:t>)</w:t>
      </w:r>
      <w:r w:rsidRPr="00F10368">
        <w:t>.</w:t>
      </w:r>
      <w:r w:rsidRPr="009C3CD6">
        <w:t xml:space="preserve"> </w:t>
      </w:r>
      <w:r>
        <w:t>The</w:t>
      </w:r>
      <w:r w:rsidRPr="00B51FD8">
        <w:t xml:space="preserve"> AML-targeting system consists of </w:t>
      </w:r>
      <w:r>
        <w:t xml:space="preserve">an antibody-based siRNA carrier able </w:t>
      </w:r>
      <w:r w:rsidR="00923C02">
        <w:t xml:space="preserve">to </w:t>
      </w:r>
      <w:r>
        <w:t>silence leukaemia-related oncogenes, DNMT3A and FLT3.</w:t>
      </w:r>
      <w:r>
        <w:rPr>
          <w:rFonts w:ascii="Georgia" w:hAnsi="Georgia"/>
          <w:color w:val="333333"/>
          <w:sz w:val="27"/>
          <w:szCs w:val="27"/>
          <w:shd w:val="clear" w:color="auto" w:fill="FFFFFF"/>
        </w:rPr>
        <w:t xml:space="preserve"> </w:t>
      </w:r>
    </w:p>
    <w:p w14:paraId="21314833" w14:textId="77777777" w:rsidR="00606EDB" w:rsidRPr="00192912" w:rsidRDefault="005A7942" w:rsidP="00192912">
      <w:pPr>
        <w:spacing w:before="120" w:after="0"/>
        <w:rPr>
          <w:rStyle w:val="Hyperlink"/>
        </w:rPr>
      </w:pPr>
      <w:hyperlink r:id="rId64" w:history="1">
        <w:r w:rsidR="00606EDB" w:rsidRPr="00192912">
          <w:rPr>
            <w:rStyle w:val="Hyperlink"/>
          </w:rPr>
          <w:t>The prognostic significance of hematogones in childhood B‐cell acute lymphoblastic leukemia</w:t>
        </w:r>
      </w:hyperlink>
    </w:p>
    <w:p w14:paraId="7AAB94AE" w14:textId="28808B59" w:rsidR="00606EDB" w:rsidRDefault="00606EDB" w:rsidP="00606EDB">
      <w:r w:rsidRPr="00646C3C">
        <w:t>In this prospective cohort study, a total of 122 subjects with definitive diagnosis of precursor B lymphoblastic leuk</w:t>
      </w:r>
      <w:r>
        <w:t>a</w:t>
      </w:r>
      <w:r w:rsidRPr="00646C3C">
        <w:t xml:space="preserve">emia were evaluated to assess the prognostic value of </w:t>
      </w:r>
      <w:r>
        <w:t>hematogones (</w:t>
      </w:r>
      <w:r w:rsidRPr="00646C3C">
        <w:t>HGs</w:t>
      </w:r>
      <w:r>
        <w:t>)</w:t>
      </w:r>
      <w:r w:rsidRPr="00646C3C">
        <w:t xml:space="preserve"> on relapse-free survival and overall survival in childhood </w:t>
      </w:r>
      <w:r>
        <w:t>acute lymphoblastic leukemia (ALL)</w:t>
      </w:r>
      <w:r w:rsidRPr="00646C3C">
        <w:t xml:space="preserve">. </w:t>
      </w:r>
      <w:r>
        <w:t xml:space="preserve">The researchers found that HGs could be a significant independent prognostic factor which could be beneficial in assessing the risk stratification and treatment options for paediatric ALL patients. </w:t>
      </w:r>
    </w:p>
    <w:p w14:paraId="3DA50F48" w14:textId="77777777" w:rsidR="00731A7B" w:rsidRPr="00192912" w:rsidRDefault="005A7942" w:rsidP="00192912">
      <w:pPr>
        <w:spacing w:before="120" w:after="0"/>
        <w:rPr>
          <w:rStyle w:val="Hyperlink"/>
        </w:rPr>
      </w:pPr>
      <w:hyperlink r:id="rId65">
        <w:r w:rsidR="00731A7B" w:rsidRPr="5BEEB2A1">
          <w:rPr>
            <w:rStyle w:val="Hyperlink"/>
          </w:rPr>
          <w:t xml:space="preserve">CAR-T </w:t>
        </w:r>
        <w:r w:rsidR="00731A7B">
          <w:rPr>
            <w:rStyle w:val="Hyperlink"/>
          </w:rPr>
          <w:t>t</w:t>
        </w:r>
        <w:r w:rsidR="00731A7B" w:rsidRPr="5BEEB2A1">
          <w:rPr>
            <w:rStyle w:val="Hyperlink"/>
          </w:rPr>
          <w:t xml:space="preserve">herapy </w:t>
        </w:r>
        <w:r w:rsidR="00731A7B">
          <w:rPr>
            <w:rStyle w:val="Hyperlink"/>
          </w:rPr>
          <w:t>e</w:t>
        </w:r>
        <w:r w:rsidR="00731A7B" w:rsidRPr="5BEEB2A1">
          <w:rPr>
            <w:rStyle w:val="Hyperlink"/>
          </w:rPr>
          <w:t xml:space="preserve">ffective in </w:t>
        </w:r>
        <w:r w:rsidR="00731A7B">
          <w:rPr>
            <w:rStyle w:val="Hyperlink"/>
          </w:rPr>
          <w:t>y</w:t>
        </w:r>
        <w:r w:rsidR="00731A7B" w:rsidRPr="5BEEB2A1">
          <w:rPr>
            <w:rStyle w:val="Hyperlink"/>
          </w:rPr>
          <w:t xml:space="preserve">oungest </w:t>
        </w:r>
        <w:r w:rsidR="00731A7B">
          <w:rPr>
            <w:rStyle w:val="Hyperlink"/>
          </w:rPr>
          <w:t>k</w:t>
        </w:r>
        <w:r w:rsidR="00731A7B" w:rsidRPr="5BEEB2A1">
          <w:rPr>
            <w:rStyle w:val="Hyperlink"/>
          </w:rPr>
          <w:t xml:space="preserve">ids </w:t>
        </w:r>
        <w:r w:rsidR="00731A7B">
          <w:rPr>
            <w:rStyle w:val="Hyperlink"/>
          </w:rPr>
          <w:t>w</w:t>
        </w:r>
        <w:r w:rsidR="00731A7B" w:rsidRPr="5BEEB2A1">
          <w:rPr>
            <w:rStyle w:val="Hyperlink"/>
          </w:rPr>
          <w:t>ith ALL</w:t>
        </w:r>
      </w:hyperlink>
    </w:p>
    <w:p w14:paraId="0048022B" w14:textId="77777777" w:rsidR="00731A7B" w:rsidRPr="003E2BA3" w:rsidRDefault="00731A7B" w:rsidP="00731A7B">
      <w:r>
        <w:t xml:space="preserve">Researchers examined the </w:t>
      </w:r>
      <w:r w:rsidRPr="003E2BA3">
        <w:t>real-world outcome of</w:t>
      </w:r>
      <w:r>
        <w:t xml:space="preserve"> treatment with</w:t>
      </w:r>
      <w:r w:rsidRPr="003E2BA3">
        <w:t xml:space="preserve"> </w:t>
      </w:r>
      <w:proofErr w:type="spellStart"/>
      <w:r w:rsidRPr="003E2BA3">
        <w:t>tisagenlecleucel</w:t>
      </w:r>
      <w:proofErr w:type="spellEnd"/>
      <w:r>
        <w:t xml:space="preserve"> (Kymriah)</w:t>
      </w:r>
      <w:r w:rsidRPr="003E2BA3">
        <w:t xml:space="preserve"> in younger children and infants with acute lymphoblastic leukaemia </w:t>
      </w:r>
      <w:r>
        <w:t xml:space="preserve">(ALL) </w:t>
      </w:r>
      <w:r w:rsidRPr="003E2BA3">
        <w:t xml:space="preserve">at 15 </w:t>
      </w:r>
      <w:r>
        <w:t xml:space="preserve">different </w:t>
      </w:r>
      <w:r w:rsidRPr="003E2BA3">
        <w:t xml:space="preserve">hospitals in Europe. Patients received a single intravenous infusion of </w:t>
      </w:r>
      <w:proofErr w:type="spellStart"/>
      <w:r w:rsidRPr="003E2BA3">
        <w:t>tisagenlecleucel</w:t>
      </w:r>
      <w:proofErr w:type="spellEnd"/>
      <w:r>
        <w:t xml:space="preserve"> with overall</w:t>
      </w:r>
      <w:r w:rsidRPr="00CE62AB">
        <w:t xml:space="preserve"> survival at 6 and 12 months after infusion </w:t>
      </w:r>
      <w:r>
        <w:t>being</w:t>
      </w:r>
      <w:r w:rsidRPr="00CE62AB">
        <w:t xml:space="preserve"> 88% and 84%, respectively, while event-free survival was 75% and 69%</w:t>
      </w:r>
      <w:r>
        <w:t>.</w:t>
      </w:r>
    </w:p>
    <w:p w14:paraId="1921FDCA" w14:textId="29143621" w:rsidR="002A1659" w:rsidRDefault="002A1659" w:rsidP="009807FF">
      <w:pPr>
        <w:numPr>
          <w:ilvl w:val="1"/>
          <w:numId w:val="2"/>
        </w:numPr>
        <w:spacing w:before="120" w:after="0"/>
        <w:ind w:left="578" w:hanging="578"/>
        <w:jc w:val="both"/>
        <w:outlineLvl w:val="1"/>
        <w:rPr>
          <w:rFonts w:cs="Arial"/>
          <w:b/>
          <w:sz w:val="28"/>
          <w:szCs w:val="36"/>
        </w:rPr>
      </w:pPr>
      <w:bookmarkStart w:id="24" w:name="_Toc126935638"/>
      <w:r>
        <w:rPr>
          <w:rFonts w:cs="Arial"/>
          <w:b/>
          <w:sz w:val="28"/>
          <w:szCs w:val="36"/>
        </w:rPr>
        <w:t>Myelodysplastic Syndrome</w:t>
      </w:r>
      <w:bookmarkEnd w:id="24"/>
    </w:p>
    <w:p w14:paraId="0A84C712" w14:textId="77777777" w:rsidR="00EF0C11" w:rsidRPr="00192912" w:rsidRDefault="005A7942" w:rsidP="00192912">
      <w:pPr>
        <w:spacing w:before="120" w:after="0"/>
        <w:rPr>
          <w:rStyle w:val="Hyperlink"/>
        </w:rPr>
      </w:pPr>
      <w:hyperlink r:id="rId66">
        <w:r w:rsidR="00EF0C11" w:rsidRPr="00192912">
          <w:rPr>
            <w:rStyle w:val="Hyperlink"/>
          </w:rPr>
          <w:t>A sex-informed approach to improve the personalised decision-making process in myelodysplastic syndromes: a multicentre, observational cohort study</w:t>
        </w:r>
      </w:hyperlink>
    </w:p>
    <w:p w14:paraId="076D633D" w14:textId="2FD33234" w:rsidR="00EF0C11" w:rsidRDefault="00EF0C11" w:rsidP="00192912">
      <w:r w:rsidRPr="00AA21C4">
        <w:t>Myelodysplastic syndromes</w:t>
      </w:r>
      <w:r>
        <w:t xml:space="preserve"> (MDS)</w:t>
      </w:r>
      <w:r w:rsidRPr="00AA21C4">
        <w:t xml:space="preserve"> are extremely heterogeneous and therefore a risk-adapted approach is mandatory in their treatment.</w:t>
      </w:r>
      <w:r w:rsidRPr="008E40E0">
        <w:t xml:space="preserve"> </w:t>
      </w:r>
      <w:r>
        <w:t>T</w:t>
      </w:r>
      <w:r w:rsidRPr="008E40E0">
        <w:t xml:space="preserve">his study aimed to describe sex diversity in myelodysplastic syndromes in terms of disease genotype, phenotype, and clinical outcome. </w:t>
      </w:r>
      <w:r>
        <w:t xml:space="preserve">Research </w:t>
      </w:r>
      <w:r w:rsidRPr="00F43183">
        <w:t xml:space="preserve">results suggest that a sex-informed approach can </w:t>
      </w:r>
      <w:r>
        <w:t xml:space="preserve">help make </w:t>
      </w:r>
      <w:r w:rsidRPr="00F43183">
        <w:t xml:space="preserve">personalised </w:t>
      </w:r>
      <w:r>
        <w:t xml:space="preserve">treatment </w:t>
      </w:r>
      <w:r w:rsidRPr="00F43183">
        <w:t>decision</w:t>
      </w:r>
      <w:r>
        <w:t xml:space="preserve">s for MDS patients </w:t>
      </w:r>
      <w:r w:rsidRPr="00F43183">
        <w:t xml:space="preserve">and should be considered in the design of </w:t>
      </w:r>
      <w:r>
        <w:t xml:space="preserve">future </w:t>
      </w:r>
      <w:r w:rsidRPr="00F43183">
        <w:t>clinical trials</w:t>
      </w:r>
      <w:r>
        <w:t>.</w:t>
      </w:r>
    </w:p>
    <w:p w14:paraId="5439B4BB" w14:textId="44D73A7B" w:rsidR="00363746" w:rsidRDefault="00363746" w:rsidP="00192912"/>
    <w:p w14:paraId="0FEB64A4" w14:textId="5480A6E4" w:rsidR="00363746" w:rsidRDefault="00363746" w:rsidP="00192912"/>
    <w:p w14:paraId="668F6552" w14:textId="77777777" w:rsidR="00363746" w:rsidRDefault="00363746" w:rsidP="00192912"/>
    <w:p w14:paraId="065BEF23" w14:textId="77777777" w:rsidR="000B23BD" w:rsidRDefault="005A7942" w:rsidP="00192912">
      <w:pPr>
        <w:spacing w:before="120" w:after="0"/>
        <w:rPr>
          <w:rStyle w:val="Hyperlink"/>
        </w:rPr>
      </w:pPr>
      <w:hyperlink r:id="rId67" w:history="1">
        <w:proofErr w:type="spellStart"/>
        <w:r w:rsidR="000B23BD" w:rsidRPr="00355FC7">
          <w:rPr>
            <w:rStyle w:val="Hyperlink"/>
          </w:rPr>
          <w:t>Luspatercept</w:t>
        </w:r>
        <w:proofErr w:type="spellEnd"/>
        <w:r w:rsidR="000B23BD" w:rsidRPr="00355FC7">
          <w:rPr>
            <w:rStyle w:val="Hyperlink"/>
          </w:rPr>
          <w:t xml:space="preserve"> </w:t>
        </w:r>
        <w:r w:rsidR="000B23BD">
          <w:rPr>
            <w:rStyle w:val="Hyperlink"/>
          </w:rPr>
          <w:t>im</w:t>
        </w:r>
        <w:r w:rsidR="000B23BD" w:rsidRPr="00355FC7">
          <w:rPr>
            <w:rStyle w:val="Hyperlink"/>
          </w:rPr>
          <w:t xml:space="preserve">proves RBC </w:t>
        </w:r>
        <w:r w:rsidR="000B23BD">
          <w:rPr>
            <w:rStyle w:val="Hyperlink"/>
          </w:rPr>
          <w:t>t</w:t>
        </w:r>
        <w:r w:rsidR="000B23BD" w:rsidRPr="00355FC7">
          <w:rPr>
            <w:rStyle w:val="Hyperlink"/>
          </w:rPr>
          <w:t xml:space="preserve">ransfusion </w:t>
        </w:r>
        <w:r w:rsidR="000B23BD">
          <w:rPr>
            <w:rStyle w:val="Hyperlink"/>
          </w:rPr>
          <w:t>in</w:t>
        </w:r>
        <w:r w:rsidR="000B23BD" w:rsidRPr="00355FC7">
          <w:rPr>
            <w:rStyle w:val="Hyperlink"/>
          </w:rPr>
          <w:t xml:space="preserve">dependence in </w:t>
        </w:r>
        <w:r w:rsidR="000B23BD">
          <w:rPr>
            <w:rStyle w:val="Hyperlink"/>
          </w:rPr>
          <w:t>p</w:t>
        </w:r>
        <w:r w:rsidR="000B23BD" w:rsidRPr="00355FC7">
          <w:rPr>
            <w:rStyle w:val="Hyperlink"/>
          </w:rPr>
          <w:t xml:space="preserve">atients </w:t>
        </w:r>
        <w:r w:rsidR="000B23BD">
          <w:rPr>
            <w:rStyle w:val="Hyperlink"/>
          </w:rPr>
          <w:t>w</w:t>
        </w:r>
        <w:r w:rsidR="000B23BD" w:rsidRPr="00355FC7">
          <w:rPr>
            <w:rStyle w:val="Hyperlink"/>
          </w:rPr>
          <w:t>ith MDS</w:t>
        </w:r>
      </w:hyperlink>
    </w:p>
    <w:p w14:paraId="0FF1CB1D" w14:textId="786ADA48" w:rsidR="000B23BD" w:rsidRDefault="000B23BD" w:rsidP="00192912">
      <w:pPr>
        <w:rPr>
          <w:rFonts w:eastAsia="Calibri"/>
        </w:rPr>
      </w:pPr>
      <w:r>
        <w:rPr>
          <w:shd w:val="clear" w:color="auto" w:fill="FFFFFF"/>
        </w:rPr>
        <w:t xml:space="preserve">This phase 3 trial evaluated </w:t>
      </w:r>
      <w:proofErr w:type="spellStart"/>
      <w:r>
        <w:rPr>
          <w:shd w:val="clear" w:color="auto" w:fill="FFFFFF"/>
        </w:rPr>
        <w:t>luspatercept-aamt</w:t>
      </w:r>
      <w:proofErr w:type="spellEnd"/>
      <w:r>
        <w:rPr>
          <w:shd w:val="clear" w:color="auto" w:fill="FFFFFF"/>
        </w:rPr>
        <w:t xml:space="preserve"> (</w:t>
      </w:r>
      <w:proofErr w:type="spellStart"/>
      <w:r>
        <w:rPr>
          <w:shd w:val="clear" w:color="auto" w:fill="FFFFFF"/>
        </w:rPr>
        <w:t>Reblozyl</w:t>
      </w:r>
      <w:proofErr w:type="spellEnd"/>
      <w:r>
        <w:rPr>
          <w:shd w:val="clear" w:color="auto" w:fill="FFFFFF"/>
        </w:rPr>
        <w:t xml:space="preserve">) as a frontline treatment, for patients with very low or intermediate-risk myelodysplastic syndromes (MDS) who required red blood cell transfusions. Researchers found that treatment with </w:t>
      </w:r>
      <w:proofErr w:type="spellStart"/>
      <w:r>
        <w:rPr>
          <w:shd w:val="clear" w:color="auto" w:fill="FFFFFF"/>
        </w:rPr>
        <w:t>Reblozyl</w:t>
      </w:r>
      <w:proofErr w:type="spellEnd"/>
      <w:r>
        <w:rPr>
          <w:shd w:val="clear" w:color="auto" w:fill="FFFFFF"/>
        </w:rPr>
        <w:t xml:space="preserve"> resulted in red blood cell transfusion independence with concurrent haemoglobin increase.</w:t>
      </w:r>
    </w:p>
    <w:p w14:paraId="4EBDDBE7" w14:textId="1EC51BAF" w:rsidR="00430A43" w:rsidRPr="001E4143" w:rsidRDefault="00430A43" w:rsidP="009807FF">
      <w:pPr>
        <w:numPr>
          <w:ilvl w:val="1"/>
          <w:numId w:val="2"/>
        </w:numPr>
        <w:spacing w:before="120" w:after="0"/>
        <w:ind w:left="578" w:hanging="578"/>
        <w:jc w:val="both"/>
        <w:outlineLvl w:val="1"/>
        <w:rPr>
          <w:rFonts w:cs="Arial"/>
          <w:b/>
          <w:sz w:val="28"/>
          <w:szCs w:val="36"/>
        </w:rPr>
      </w:pPr>
      <w:bookmarkStart w:id="25" w:name="_Toc126935639"/>
      <w:r w:rsidRPr="001E4143">
        <w:rPr>
          <w:rFonts w:cs="Arial"/>
          <w:b/>
          <w:sz w:val="28"/>
          <w:szCs w:val="36"/>
        </w:rPr>
        <w:t xml:space="preserve">Sickle cell disease </w:t>
      </w:r>
      <w:r w:rsidR="00F5701E">
        <w:rPr>
          <w:rFonts w:cs="Arial"/>
          <w:b/>
          <w:sz w:val="28"/>
          <w:szCs w:val="36"/>
        </w:rPr>
        <w:t>(SCD)</w:t>
      </w:r>
      <w:bookmarkEnd w:id="25"/>
    </w:p>
    <w:p w14:paraId="420B951B" w14:textId="77777777" w:rsidR="00215020" w:rsidRPr="00192912" w:rsidRDefault="005A7942" w:rsidP="00215020">
      <w:pPr>
        <w:spacing w:before="120" w:after="0"/>
        <w:rPr>
          <w:rStyle w:val="Hyperlink"/>
        </w:rPr>
      </w:pPr>
      <w:hyperlink r:id="rId68" w:history="1">
        <w:r w:rsidR="00215020" w:rsidRPr="00192912">
          <w:rPr>
            <w:rStyle w:val="Hyperlink"/>
          </w:rPr>
          <w:t xml:space="preserve">Trailing rivals, </w:t>
        </w:r>
        <w:proofErr w:type="spellStart"/>
        <w:r w:rsidR="00215020" w:rsidRPr="00192912">
          <w:rPr>
            <w:rStyle w:val="Hyperlink"/>
          </w:rPr>
          <w:t>Editas</w:t>
        </w:r>
        <w:proofErr w:type="spellEnd"/>
        <w:r w:rsidR="00215020" w:rsidRPr="00192912">
          <w:rPr>
            <w:rStyle w:val="Hyperlink"/>
          </w:rPr>
          <w:t xml:space="preserve"> shares first study data for </w:t>
        </w:r>
        <w:bookmarkStart w:id="26" w:name="_Hlt121904980"/>
        <w:bookmarkStart w:id="27" w:name="_Hlt121904981"/>
        <w:r w:rsidR="00215020" w:rsidRPr="00192912">
          <w:rPr>
            <w:rStyle w:val="Hyperlink"/>
          </w:rPr>
          <w:t>s</w:t>
        </w:r>
        <w:bookmarkEnd w:id="26"/>
        <w:bookmarkEnd w:id="27"/>
        <w:r w:rsidR="00215020" w:rsidRPr="00192912">
          <w:rPr>
            <w:rStyle w:val="Hyperlink"/>
          </w:rPr>
          <w:t xml:space="preserve">ickle cell treatment </w:t>
        </w:r>
      </w:hyperlink>
    </w:p>
    <w:p w14:paraId="516413E9" w14:textId="77777777" w:rsidR="00215020" w:rsidRPr="00923C02" w:rsidRDefault="00215020" w:rsidP="00215020">
      <w:pPr>
        <w:rPr>
          <w:rStyle w:val="Hyperlink"/>
          <w:rFonts w:eastAsia="Calibri"/>
          <w:color w:val="auto"/>
          <w:u w:val="none"/>
        </w:rPr>
      </w:pPr>
      <w:r w:rsidRPr="00923C02">
        <w:rPr>
          <w:rStyle w:val="Hyperlink"/>
          <w:rFonts w:eastAsia="Calibri"/>
          <w:color w:val="auto"/>
          <w:u w:val="none"/>
        </w:rPr>
        <w:t xml:space="preserve">Biotechnology company </w:t>
      </w:r>
      <w:proofErr w:type="spellStart"/>
      <w:r w:rsidRPr="00923C02">
        <w:rPr>
          <w:rStyle w:val="Hyperlink"/>
          <w:rFonts w:eastAsia="Calibri"/>
          <w:color w:val="auto"/>
          <w:u w:val="none"/>
        </w:rPr>
        <w:t>Editas</w:t>
      </w:r>
      <w:proofErr w:type="spellEnd"/>
      <w:r w:rsidRPr="00923C02">
        <w:rPr>
          <w:rStyle w:val="Hyperlink"/>
          <w:rFonts w:eastAsia="Calibri"/>
          <w:color w:val="auto"/>
          <w:u w:val="none"/>
        </w:rPr>
        <w:t xml:space="preserve"> have announced its experimental gene editing treatment for sickle cell disease has shown promise in the first two patients treated. This is an early step in the company’s efforts to catch up, with some of their rivals already looking at seeking regulatory approval for their products. </w:t>
      </w:r>
    </w:p>
    <w:p w14:paraId="62E3F4C9" w14:textId="10F7AAA7" w:rsidR="00215020" w:rsidRPr="00192912" w:rsidRDefault="00185304" w:rsidP="00215020">
      <w:pPr>
        <w:spacing w:before="120" w:after="0"/>
        <w:rPr>
          <w:rStyle w:val="Hyperlink"/>
        </w:rPr>
      </w:pPr>
      <w:r>
        <w:fldChar w:fldCharType="begin"/>
      </w:r>
      <w:r>
        <w:instrText xml:space="preserve"> HYPERLINK "https://pubmed.ncbi.nlm.nih.gov/30122266/" </w:instrText>
      </w:r>
      <w:r>
        <w:fldChar w:fldCharType="separate"/>
      </w:r>
      <w:r w:rsidR="002E3208" w:rsidRPr="00192912">
        <w:rPr>
          <w:rStyle w:val="Hyperlink"/>
        </w:rPr>
        <w:t>Impact of Red Blood Cell Antigen Matching on Alloimmunizat</w:t>
      </w:r>
      <w:bookmarkStart w:id="28" w:name="_Hlt121904569"/>
      <w:bookmarkStart w:id="29" w:name="_Hlt121904570"/>
      <w:r w:rsidR="002E3208" w:rsidRPr="00192912">
        <w:rPr>
          <w:rStyle w:val="Hyperlink"/>
        </w:rPr>
        <w:t>i</w:t>
      </w:r>
      <w:bookmarkEnd w:id="28"/>
      <w:bookmarkEnd w:id="29"/>
      <w:r w:rsidR="002E3208" w:rsidRPr="00192912">
        <w:rPr>
          <w:rStyle w:val="Hyperlink"/>
        </w:rPr>
        <w:t xml:space="preserve">on and Transfusion Complications in </w:t>
      </w:r>
      <w:hyperlink r:id="rId69" w:history="1">
        <w:r w:rsidR="00215020" w:rsidRPr="00192912">
          <w:rPr>
            <w:rStyle w:val="Hyperlink"/>
          </w:rPr>
          <w:t>Blood transfusion vs. hydroxyurea for stroke prevention in children with sickle cell anemia: A systematic review and meta-analysis</w:t>
        </w:r>
      </w:hyperlink>
    </w:p>
    <w:p w14:paraId="5E32B03A" w14:textId="77777777" w:rsidR="00215020" w:rsidRPr="00AE6608" w:rsidRDefault="00215020" w:rsidP="00215020">
      <w:pPr>
        <w:jc w:val="both"/>
        <w:rPr>
          <w:color w:val="0000FF"/>
          <w:u w:val="single"/>
        </w:rPr>
      </w:pPr>
      <w:r w:rsidRPr="00AE6608">
        <w:rPr>
          <w:rFonts w:eastAsia="Calibri Light" w:cstheme="minorHAnsi"/>
        </w:rPr>
        <w:t xml:space="preserve">This </w:t>
      </w:r>
      <w:r>
        <w:rPr>
          <w:rFonts w:eastAsia="Calibri Light" w:cstheme="minorHAnsi"/>
        </w:rPr>
        <w:t>systematic review compared the use of blood transfusions versus oral hydroxyurea (HU) therapy in preventing strokes in children with sickle cell anaemia (SCA). The study used transcranial Doppler (TCD) to determine a patient’s risk of stroke. Results showed that both chronic blood transfusions and HU can effectively prevent primary strokes in children with SCA, however it is unclear if HU may prevent a second stroke.</w:t>
      </w:r>
      <w:r w:rsidDel="0028278A">
        <w:rPr>
          <w:rFonts w:eastAsia="Calibri Light" w:cstheme="minorHAnsi"/>
        </w:rPr>
        <w:t xml:space="preserve"> </w:t>
      </w:r>
    </w:p>
    <w:p w14:paraId="5A31329D" w14:textId="77777777" w:rsidR="00653DB8" w:rsidRPr="00192912" w:rsidRDefault="005A7942" w:rsidP="00653DB8">
      <w:pPr>
        <w:spacing w:before="120" w:after="0"/>
        <w:rPr>
          <w:rStyle w:val="Hyperlink"/>
        </w:rPr>
      </w:pPr>
      <w:hyperlink r:id="rId70">
        <w:r w:rsidR="00653DB8" w:rsidRPr="00363746">
          <w:rPr>
            <w:rStyle w:val="Hyperlink"/>
          </w:rPr>
          <w:t>Pulmonary</w:t>
        </w:r>
        <w:r w:rsidR="00653DB8" w:rsidRPr="00E74574">
          <w:rPr>
            <w:rStyle w:val="Hyperlink"/>
          </w:rPr>
          <w:t xml:space="preserve"> hypertension screening in children with sickle cell disease</w:t>
        </w:r>
      </w:hyperlink>
    </w:p>
    <w:p w14:paraId="537A42F3" w14:textId="018E7825" w:rsidR="002E3208" w:rsidRPr="00192912" w:rsidRDefault="00653DB8" w:rsidP="006A1E80">
      <w:pPr>
        <w:spacing w:before="120" w:after="120"/>
        <w:rPr>
          <w:rStyle w:val="Hyperlink"/>
        </w:rPr>
      </w:pPr>
      <w:r w:rsidRPr="006A1E80">
        <w:rPr>
          <w:rFonts w:eastAsia="Calibri Light" w:cstheme="minorHAnsi"/>
        </w:rPr>
        <w:t xml:space="preserve">This study examined the utility of screening for pulmonary hypertension (PHT) by using multiple methods to determine the best approach for discovery. Children aged 8-18 were screened but found that PHT symptoms </w:t>
      </w:r>
      <w:r w:rsidRPr="006A1E80">
        <w:t>were</w:t>
      </w:r>
      <w:r w:rsidRPr="006A1E80">
        <w:rPr>
          <w:rFonts w:eastAsia="Calibri Light" w:cstheme="minorHAnsi"/>
        </w:rPr>
        <w:t xml:space="preserve"> not consistent with current suggested screening methods. </w:t>
      </w:r>
      <w:r w:rsidR="006A1E80">
        <w:rPr>
          <w:rFonts w:eastAsia="Calibri Light" w:cstheme="minorHAnsi"/>
        </w:rPr>
        <w:br/>
      </w:r>
      <w:r w:rsidR="006A1E80">
        <w:rPr>
          <w:rFonts w:eastAsia="Calibri Light" w:cstheme="minorHAnsi"/>
        </w:rPr>
        <w:br/>
      </w:r>
      <w:r w:rsidR="002E3208" w:rsidRPr="00192912">
        <w:rPr>
          <w:rStyle w:val="Hyperlink"/>
        </w:rPr>
        <w:t>Patients with Sickle Cell Disease: A Systematic Review</w:t>
      </w:r>
      <w:r w:rsidR="00185304">
        <w:rPr>
          <w:rStyle w:val="Hyperlink"/>
        </w:rPr>
        <w:fldChar w:fldCharType="end"/>
      </w:r>
    </w:p>
    <w:p w14:paraId="14673953" w14:textId="1334BDF9" w:rsidR="002E3208" w:rsidRPr="00464780" w:rsidRDefault="002E3208" w:rsidP="002E3208">
      <w:pPr>
        <w:spacing w:line="257" w:lineRule="auto"/>
        <w:rPr>
          <w:color w:val="0563C1" w:themeColor="hyperlink"/>
          <w:u w:val="single"/>
        </w:rPr>
      </w:pPr>
      <w:r>
        <w:t xml:space="preserve">Red blood cell transfusions are important to effectively manage sickle cell disease. However, patients often experience complications such as alloimmunisation, iron overland, transfusion reactions and infections. To prevent this, guidelines recommend genomic testing to ensure blood is properly matched to patients. </w:t>
      </w:r>
      <w:r w:rsidRPr="00142BB3">
        <w:t xml:space="preserve">This systematic review </w:t>
      </w:r>
      <w:r>
        <w:t>found l</w:t>
      </w:r>
      <w:r w:rsidRPr="00142BB3">
        <w:t>ow-quality evidence from observational cohort studies supported that alloimmuni</w:t>
      </w:r>
      <w:r>
        <w:t>s</w:t>
      </w:r>
      <w:r w:rsidRPr="00142BB3">
        <w:t xml:space="preserve">ation prevalence can be decreased by extending serological red blood cell antigen matching. </w:t>
      </w:r>
      <w:r>
        <w:t>It also found that t</w:t>
      </w:r>
      <w:r w:rsidRPr="00142BB3">
        <w:t xml:space="preserve">ransfusion reactions were generally poorly and inconsistently reported. </w:t>
      </w:r>
      <w:r>
        <w:t>M</w:t>
      </w:r>
      <w:r w:rsidRPr="00C12654">
        <w:t>ulticentr</w:t>
      </w:r>
      <w:r w:rsidR="00981161">
        <w:t>e</w:t>
      </w:r>
      <w:r w:rsidRPr="00C12654">
        <w:t xml:space="preserve"> prospective randomi</w:t>
      </w:r>
      <w:r>
        <w:t>s</w:t>
      </w:r>
      <w:r w:rsidRPr="00C12654">
        <w:t>ed clinical trials are needed to determine best strategies for reducing the rate of alloimmuni</w:t>
      </w:r>
      <w:r>
        <w:t>s</w:t>
      </w:r>
      <w:r w:rsidRPr="00C12654">
        <w:t>ation using serologic and genotypic matching</w:t>
      </w:r>
      <w:r>
        <w:t xml:space="preserve"> in the future.</w:t>
      </w:r>
    </w:p>
    <w:p w14:paraId="3A0D65EC" w14:textId="475B51FE" w:rsidR="00E018AC" w:rsidRPr="00192912" w:rsidRDefault="005A7942" w:rsidP="00192912">
      <w:pPr>
        <w:spacing w:before="120" w:after="0"/>
        <w:rPr>
          <w:rStyle w:val="Hyperlink"/>
        </w:rPr>
      </w:pPr>
      <w:hyperlink r:id="rId71" w:history="1">
        <w:r w:rsidR="00E018AC" w:rsidRPr="00192912">
          <w:rPr>
            <w:rStyle w:val="Hyperlink"/>
          </w:rPr>
          <w:t>Impact of magnetic resonance angiography parameters on stroke prevention therapy in p</w:t>
        </w:r>
        <w:r w:rsidR="00583DE5">
          <w:rPr>
            <w:rStyle w:val="Hyperlink"/>
          </w:rPr>
          <w:t>a</w:t>
        </w:r>
        <w:r w:rsidR="00E018AC" w:rsidRPr="00192912">
          <w:rPr>
            <w:rStyle w:val="Hyperlink"/>
          </w:rPr>
          <w:t>ediatric patients with sickle cell an</w:t>
        </w:r>
        <w:r w:rsidR="008548C5">
          <w:rPr>
            <w:rStyle w:val="Hyperlink"/>
          </w:rPr>
          <w:t>a</w:t>
        </w:r>
        <w:r w:rsidR="00E018AC" w:rsidRPr="00192912">
          <w:rPr>
            <w:rStyle w:val="Hyperlink"/>
          </w:rPr>
          <w:t>emia</w:t>
        </w:r>
      </w:hyperlink>
    </w:p>
    <w:p w14:paraId="6583A24F" w14:textId="48DEAEC9" w:rsidR="00AB4670" w:rsidRDefault="00E018AC" w:rsidP="00E018AC">
      <w:pPr>
        <w:jc w:val="both"/>
        <w:rPr>
          <w:rFonts w:eastAsia="Calibri Light" w:cstheme="minorHAnsi"/>
        </w:rPr>
      </w:pPr>
      <w:r w:rsidRPr="00E30D87">
        <w:rPr>
          <w:rFonts w:eastAsia="Calibri Light" w:cstheme="minorHAnsi"/>
        </w:rPr>
        <w:t xml:space="preserve">The primary objective of this study was to document </w:t>
      </w:r>
      <w:r>
        <w:rPr>
          <w:rFonts w:eastAsia="Calibri Light" w:cstheme="minorHAnsi"/>
        </w:rPr>
        <w:t xml:space="preserve">if implementing a standardised magnetic resonance angiography (MRA) scanning protocol would affect </w:t>
      </w:r>
      <w:r w:rsidRPr="00E30D87">
        <w:rPr>
          <w:rFonts w:eastAsia="Calibri Light" w:cstheme="minorHAnsi"/>
        </w:rPr>
        <w:t xml:space="preserve">stroke prevention </w:t>
      </w:r>
      <w:r>
        <w:rPr>
          <w:rFonts w:eastAsia="Calibri Light" w:cstheme="minorHAnsi"/>
        </w:rPr>
        <w:t xml:space="preserve">treatment plans </w:t>
      </w:r>
      <w:r w:rsidRPr="00E30D87">
        <w:rPr>
          <w:rFonts w:eastAsia="Calibri Light" w:cstheme="minorHAnsi"/>
        </w:rPr>
        <w:t xml:space="preserve">for patients with </w:t>
      </w:r>
      <w:r>
        <w:rPr>
          <w:rFonts w:eastAsia="Calibri Light" w:cstheme="minorHAnsi"/>
        </w:rPr>
        <w:t xml:space="preserve">sickle cell anaemia. In a group of 10 paediatric patients receiving chronic blood transfusion for stroke prevention, 6 had their degree of stenosis reduced, and 5 of those had their transfusions discontinued. The authors concluded that this scanning protocol improved the accurate interpretation of cerebrovascular disease, ensuring appropriate treatments plans were in place for patients. </w:t>
      </w:r>
    </w:p>
    <w:p w14:paraId="143115CA" w14:textId="77777777" w:rsidR="006A1E80" w:rsidRDefault="006A1E80">
      <w:pPr>
        <w:spacing w:before="0" w:after="160" w:line="259" w:lineRule="auto"/>
      </w:pPr>
      <w:r>
        <w:br w:type="page"/>
      </w:r>
    </w:p>
    <w:p w14:paraId="65956883" w14:textId="51A3CE60" w:rsidR="00AB4670" w:rsidRPr="00192912" w:rsidRDefault="005A7942" w:rsidP="00192912">
      <w:pPr>
        <w:spacing w:before="120" w:after="0"/>
        <w:rPr>
          <w:rStyle w:val="Hyperlink"/>
        </w:rPr>
      </w:pPr>
      <w:hyperlink r:id="rId72">
        <w:r w:rsidR="00AB4670" w:rsidRPr="00192912">
          <w:rPr>
            <w:rStyle w:val="Hyperlink"/>
          </w:rPr>
          <w:t>Hypoxic storage of donor red cells preserves deformability after exposure to plasma from adults with sickle cell disease</w:t>
        </w:r>
      </w:hyperlink>
    </w:p>
    <w:p w14:paraId="2FD76719" w14:textId="77777777" w:rsidR="00AB4670" w:rsidRDefault="00AB4670" w:rsidP="00AB4670">
      <w:pPr>
        <w:jc w:val="both"/>
        <w:rPr>
          <w:rFonts w:eastAsia="Calibri"/>
        </w:rPr>
      </w:pPr>
      <w:r w:rsidRPr="001635A3">
        <w:rPr>
          <w:shd w:val="clear" w:color="auto" w:fill="FFFFFF"/>
        </w:rPr>
        <w:t xml:space="preserve">Researchers investigated whether donor red blood cells (RBCs) exposed to the plasma of patients </w:t>
      </w:r>
      <w:r>
        <w:rPr>
          <w:shd w:val="clear" w:color="auto" w:fill="FFFFFF"/>
        </w:rPr>
        <w:t xml:space="preserve">with </w:t>
      </w:r>
      <w:r w:rsidRPr="001635A3">
        <w:rPr>
          <w:shd w:val="clear" w:color="auto" w:fill="FFFFFF"/>
        </w:rPr>
        <w:t xml:space="preserve">sickle cell disease during </w:t>
      </w:r>
      <w:proofErr w:type="spellStart"/>
      <w:r w:rsidRPr="001635A3">
        <w:rPr>
          <w:shd w:val="clear" w:color="auto" w:fill="FFFFFF"/>
        </w:rPr>
        <w:t>vaso</w:t>
      </w:r>
      <w:proofErr w:type="spellEnd"/>
      <w:r w:rsidRPr="001635A3">
        <w:rPr>
          <w:shd w:val="clear" w:color="auto" w:fill="FFFFFF"/>
        </w:rPr>
        <w:t xml:space="preserve">-occlusive crisis would have lower deformability and higher haemolysis than those exposed to non-crisis plasma. The aim of this research was to determine if </w:t>
      </w:r>
      <w:r>
        <w:rPr>
          <w:shd w:val="clear" w:color="auto" w:fill="FFFFFF"/>
        </w:rPr>
        <w:t>low oxygen (</w:t>
      </w:r>
      <w:r w:rsidRPr="001635A3">
        <w:rPr>
          <w:shd w:val="clear" w:color="auto" w:fill="FFFFFF"/>
        </w:rPr>
        <w:t>hypoxic</w:t>
      </w:r>
      <w:r>
        <w:rPr>
          <w:shd w:val="clear" w:color="auto" w:fill="FFFFFF"/>
        </w:rPr>
        <w:t>)</w:t>
      </w:r>
      <w:r w:rsidRPr="001635A3">
        <w:rPr>
          <w:shd w:val="clear" w:color="auto" w:fill="FFFFFF"/>
        </w:rPr>
        <w:t xml:space="preserve"> storage could preserve deformability and reduce haemolysis.</w:t>
      </w:r>
      <w:r w:rsidRPr="001635A3">
        <w:rPr>
          <w:rFonts w:ascii="Open Sans" w:hAnsi="Open Sans" w:cs="Open Sans"/>
          <w:color w:val="1C1D1E"/>
          <w:shd w:val="clear" w:color="auto" w:fill="FFFFFF"/>
        </w:rPr>
        <w:t xml:space="preserve"> </w:t>
      </w:r>
      <w:r w:rsidRPr="001635A3">
        <w:rPr>
          <w:shd w:val="clear" w:color="auto" w:fill="FFFFFF"/>
        </w:rPr>
        <w:t xml:space="preserve">Hypoxic storage significantly influenced red blood cell deformability, while patient condition significantly influenced haemolysis. </w:t>
      </w:r>
    </w:p>
    <w:p w14:paraId="690BC034" w14:textId="15762957" w:rsidR="00E961AC" w:rsidRPr="00192912" w:rsidRDefault="005A7942" w:rsidP="00192912">
      <w:pPr>
        <w:spacing w:before="120" w:after="0"/>
        <w:rPr>
          <w:rStyle w:val="Hyperlink"/>
        </w:rPr>
      </w:pPr>
      <w:hyperlink r:id="rId73">
        <w:r w:rsidR="00E961AC" w:rsidRPr="00192912">
          <w:rPr>
            <w:rStyle w:val="Hyperlink"/>
          </w:rPr>
          <w:t>A link between hypoxia and foetal haemoglobin provides hope for sickle cell disease: Scientists linked a well-known oxygen sensing pathway to foetal haemoglobin production</w:t>
        </w:r>
      </w:hyperlink>
    </w:p>
    <w:p w14:paraId="02D97811" w14:textId="5A68CF1B" w:rsidR="00E961AC" w:rsidRDefault="00E961AC" w:rsidP="00E961AC">
      <w:pPr>
        <w:jc w:val="both"/>
        <w:rPr>
          <w:rFonts w:eastAsia="Calibri"/>
        </w:rPr>
      </w:pPr>
      <w:r>
        <w:t>This study found fo</w:t>
      </w:r>
      <w:r w:rsidRPr="007D2D60">
        <w:t>etal h</w:t>
      </w:r>
      <w:r>
        <w:t>a</w:t>
      </w:r>
      <w:r w:rsidRPr="007D2D60">
        <w:t xml:space="preserve">emoglobin </w:t>
      </w:r>
      <w:r>
        <w:t>(</w:t>
      </w:r>
      <w:proofErr w:type="spellStart"/>
      <w:r w:rsidRPr="007D2D60">
        <w:t>HbF</w:t>
      </w:r>
      <w:proofErr w:type="spellEnd"/>
      <w:r>
        <w:t>)</w:t>
      </w:r>
      <w:r w:rsidRPr="007D2D60">
        <w:t xml:space="preserve"> expression after birth can alleviate the symptoms of sickle cell disease and beta-thalassemia</w:t>
      </w:r>
      <w:r>
        <w:t>. Scientists</w:t>
      </w:r>
      <w:r w:rsidRPr="007D2D60">
        <w:t xml:space="preserve"> </w:t>
      </w:r>
      <w:r>
        <w:t xml:space="preserve">discovered that </w:t>
      </w:r>
      <w:r w:rsidRPr="007D2D60">
        <w:t>a protein responsible for adapting to low oxygen conditions (hypoxia),</w:t>
      </w:r>
      <w:r>
        <w:t xml:space="preserve"> also</w:t>
      </w:r>
      <w:r w:rsidRPr="007D2D60">
        <w:t xml:space="preserve"> causes increased expression of f</w:t>
      </w:r>
      <w:r>
        <w:t>o</w:t>
      </w:r>
      <w:r w:rsidRPr="007D2D60">
        <w:t xml:space="preserve">etal </w:t>
      </w:r>
      <w:proofErr w:type="spellStart"/>
      <w:r w:rsidRPr="007D2D60">
        <w:t>HbF</w:t>
      </w:r>
      <w:proofErr w:type="spellEnd"/>
      <w:r w:rsidRPr="007D2D60">
        <w:t xml:space="preserve"> in adults. </w:t>
      </w:r>
      <w:r>
        <w:rPr>
          <w:shd w:val="clear" w:color="auto" w:fill="FFFFFF"/>
        </w:rPr>
        <w:t xml:space="preserve">The finding suggests a pathway to treating sickle cell disease and </w:t>
      </w:r>
      <w:r w:rsidRPr="007D2D60">
        <w:rPr>
          <w:shd w:val="clear" w:color="auto" w:fill="FFFFFF"/>
        </w:rPr>
        <w:t>beta-thalassemia</w:t>
      </w:r>
      <w:r>
        <w:rPr>
          <w:shd w:val="clear" w:color="auto" w:fill="FFFFFF"/>
        </w:rPr>
        <w:t xml:space="preserve"> through treatments with </w:t>
      </w:r>
      <w:r w:rsidRPr="007D2D60">
        <w:rPr>
          <w:shd w:val="clear" w:color="auto" w:fill="FFFFFF"/>
        </w:rPr>
        <w:t>proline hydroxylase inhibitor</w:t>
      </w:r>
      <w:r>
        <w:rPr>
          <w:shd w:val="clear" w:color="auto" w:fill="FFFFFF"/>
        </w:rPr>
        <w:t xml:space="preserve"> with cause </w:t>
      </w:r>
      <w:r w:rsidRPr="007D2D60">
        <w:rPr>
          <w:shd w:val="clear" w:color="auto" w:fill="FFFFFF"/>
        </w:rPr>
        <w:t>hypoxia inducible factor 1 (HIF1) </w:t>
      </w:r>
      <w:r>
        <w:rPr>
          <w:shd w:val="clear" w:color="auto" w:fill="FFFFFF"/>
        </w:rPr>
        <w:t>to accumulate.</w:t>
      </w:r>
    </w:p>
    <w:p w14:paraId="169D88A1" w14:textId="0208F30B" w:rsidR="000B66F5" w:rsidRDefault="005A7942" w:rsidP="002F5E52">
      <w:pPr>
        <w:spacing w:before="0"/>
        <w:rPr>
          <w:rStyle w:val="Hyperlink"/>
        </w:rPr>
      </w:pPr>
      <w:hyperlink r:id="rId74" w:history="1">
        <w:proofErr w:type="spellStart"/>
        <w:r w:rsidR="006F2407" w:rsidRPr="00E74574">
          <w:rPr>
            <w:rStyle w:val="Hyperlink"/>
          </w:rPr>
          <w:t>Ferriprox</w:t>
        </w:r>
        <w:proofErr w:type="spellEnd"/>
        <w:r w:rsidR="006F2407" w:rsidRPr="00E74574">
          <w:rPr>
            <w:rStyle w:val="Hyperlink"/>
          </w:rPr>
          <w:t xml:space="preserve"> </w:t>
        </w:r>
        <w:r w:rsidR="006F2407">
          <w:rPr>
            <w:rStyle w:val="Hyperlink"/>
          </w:rPr>
          <w:t>s</w:t>
        </w:r>
        <w:r w:rsidR="006F2407" w:rsidRPr="00E74574">
          <w:rPr>
            <w:rStyle w:val="Hyperlink"/>
          </w:rPr>
          <w:t xml:space="preserve">afely, </w:t>
        </w:r>
        <w:r w:rsidR="006F2407">
          <w:rPr>
            <w:rStyle w:val="Hyperlink"/>
          </w:rPr>
          <w:t>e</w:t>
        </w:r>
        <w:r w:rsidR="006F2407" w:rsidRPr="00E74574">
          <w:rPr>
            <w:rStyle w:val="Hyperlink"/>
          </w:rPr>
          <w:t xml:space="preserve">ffectively </w:t>
        </w:r>
        <w:r w:rsidR="006F2407">
          <w:rPr>
            <w:rStyle w:val="Hyperlink"/>
          </w:rPr>
          <w:t>l</w:t>
        </w:r>
        <w:r w:rsidR="006F2407" w:rsidRPr="00E74574">
          <w:rPr>
            <w:rStyle w:val="Hyperlink"/>
          </w:rPr>
          <w:t xml:space="preserve">owers </w:t>
        </w:r>
        <w:r w:rsidR="006F2407">
          <w:rPr>
            <w:rStyle w:val="Hyperlink"/>
          </w:rPr>
          <w:t>i</w:t>
        </w:r>
        <w:r w:rsidR="006F2407" w:rsidRPr="00E74574">
          <w:rPr>
            <w:rStyle w:val="Hyperlink"/>
          </w:rPr>
          <w:t xml:space="preserve">ron </w:t>
        </w:r>
        <w:r w:rsidR="006F2407">
          <w:rPr>
            <w:rStyle w:val="Hyperlink"/>
          </w:rPr>
          <w:t>l</w:t>
        </w:r>
        <w:r w:rsidR="006F2407" w:rsidRPr="00E74574">
          <w:rPr>
            <w:rStyle w:val="Hyperlink"/>
          </w:rPr>
          <w:t xml:space="preserve">oad in SCD </w:t>
        </w:r>
        <w:r w:rsidR="006F2407">
          <w:rPr>
            <w:rStyle w:val="Hyperlink"/>
          </w:rPr>
          <w:t>p</w:t>
        </w:r>
        <w:r w:rsidR="006F2407" w:rsidRPr="00E74574">
          <w:rPr>
            <w:rStyle w:val="Hyperlink"/>
          </w:rPr>
          <w:t>atients</w:t>
        </w:r>
      </w:hyperlink>
    </w:p>
    <w:p w14:paraId="1B0595E3" w14:textId="77777777" w:rsidR="006F2407" w:rsidRDefault="006F2407" w:rsidP="002F5E52">
      <w:pPr>
        <w:spacing w:before="0"/>
        <w:rPr>
          <w:rFonts w:eastAsia="Calibri"/>
        </w:rPr>
      </w:pPr>
      <w:r w:rsidRPr="002F5E52">
        <w:rPr>
          <w:rFonts w:eastAsia="Calibri"/>
          <w:color w:val="000000" w:themeColor="text1"/>
        </w:rPr>
        <w:t>Researchers have co</w:t>
      </w:r>
      <w:r>
        <w:rPr>
          <w:rFonts w:eastAsia="Calibri"/>
          <w:color w:val="000000" w:themeColor="text1"/>
        </w:rPr>
        <w:t>nfirmed that long term treatment with deferiprone (</w:t>
      </w:r>
      <w:proofErr w:type="spellStart"/>
      <w:r>
        <w:rPr>
          <w:rFonts w:eastAsia="Calibri"/>
          <w:color w:val="000000" w:themeColor="text1"/>
        </w:rPr>
        <w:t>Ferriprox</w:t>
      </w:r>
      <w:proofErr w:type="spellEnd"/>
      <w:r>
        <w:rPr>
          <w:rFonts w:eastAsia="Calibri"/>
          <w:color w:val="000000" w:themeColor="text1"/>
        </w:rPr>
        <w:t xml:space="preserve">) is safe and effectively reduced iron load in sickle cell disease (SCD) patients experiencing transfusion induced iron overload. </w:t>
      </w:r>
      <w:r>
        <w:rPr>
          <w:rStyle w:val="Hyperlink"/>
        </w:rPr>
        <w:t xml:space="preserve"> </w:t>
      </w:r>
    </w:p>
    <w:p w14:paraId="3896D2F4" w14:textId="42B50F36" w:rsidR="00544511" w:rsidRDefault="00544511" w:rsidP="009807FF">
      <w:pPr>
        <w:numPr>
          <w:ilvl w:val="1"/>
          <w:numId w:val="2"/>
        </w:numPr>
        <w:spacing w:before="120" w:after="0"/>
        <w:ind w:left="578" w:hanging="578"/>
        <w:jc w:val="both"/>
        <w:outlineLvl w:val="1"/>
        <w:rPr>
          <w:rFonts w:cs="Arial"/>
          <w:b/>
          <w:sz w:val="28"/>
          <w:szCs w:val="36"/>
        </w:rPr>
      </w:pPr>
      <w:bookmarkStart w:id="30" w:name="_Toc116476048"/>
      <w:bookmarkStart w:id="31" w:name="_Toc126935640"/>
      <w:bookmarkEnd w:id="30"/>
      <w:r>
        <w:rPr>
          <w:rFonts w:cs="Arial"/>
          <w:b/>
          <w:sz w:val="28"/>
          <w:szCs w:val="36"/>
        </w:rPr>
        <w:t>Pyruvate kinase (PK) deficiency</w:t>
      </w:r>
      <w:bookmarkEnd w:id="31"/>
    </w:p>
    <w:p w14:paraId="07447032" w14:textId="061F7D87" w:rsidR="000F793A" w:rsidRDefault="005A7942" w:rsidP="00192912">
      <w:pPr>
        <w:spacing w:before="120" w:after="0"/>
        <w:rPr>
          <w:rStyle w:val="Hyperlink"/>
        </w:rPr>
      </w:pPr>
      <w:hyperlink r:id="rId75" w:history="1">
        <w:r w:rsidR="000F793A" w:rsidRPr="00EC7F21">
          <w:rPr>
            <w:rStyle w:val="Hyperlink"/>
          </w:rPr>
          <w:t>PYRUKYND (</w:t>
        </w:r>
        <w:proofErr w:type="spellStart"/>
        <w:r w:rsidR="000F793A" w:rsidRPr="00EC7F21">
          <w:rPr>
            <w:rStyle w:val="Hyperlink"/>
          </w:rPr>
          <w:t>mitapivat</w:t>
        </w:r>
        <w:proofErr w:type="spellEnd"/>
        <w:r w:rsidR="000F793A" w:rsidRPr="00EC7F21">
          <w:rPr>
            <w:rStyle w:val="Hyperlink"/>
          </w:rPr>
          <w:t xml:space="preserve">) </w:t>
        </w:r>
        <w:r w:rsidR="000F793A">
          <w:rPr>
            <w:rStyle w:val="Hyperlink"/>
          </w:rPr>
          <w:t>a</w:t>
        </w:r>
        <w:r w:rsidR="000F793A" w:rsidRPr="00EC7F21">
          <w:rPr>
            <w:rStyle w:val="Hyperlink"/>
          </w:rPr>
          <w:t xml:space="preserve">pproved in the EU for the </w:t>
        </w:r>
        <w:r w:rsidR="000F793A">
          <w:rPr>
            <w:rStyle w:val="Hyperlink"/>
          </w:rPr>
          <w:t>t</w:t>
        </w:r>
        <w:r w:rsidR="000F793A" w:rsidRPr="00EC7F21">
          <w:rPr>
            <w:rStyle w:val="Hyperlink"/>
          </w:rPr>
          <w:t>reatment</w:t>
        </w:r>
      </w:hyperlink>
      <w:r w:rsidR="000F793A">
        <w:rPr>
          <w:rStyle w:val="Hyperlink"/>
        </w:rPr>
        <w:t xml:space="preserve"> of pyruvate kinase (PK) deficiency in adult patients</w:t>
      </w:r>
    </w:p>
    <w:p w14:paraId="6790DFB1" w14:textId="04C688E2" w:rsidR="00653DB8" w:rsidRDefault="000F793A" w:rsidP="000F793A">
      <w:r>
        <w:t>T</w:t>
      </w:r>
      <w:r w:rsidRPr="006A58AD">
        <w:t>he European Commission (EC) has granted marketing authori</w:t>
      </w:r>
      <w:r>
        <w:t>s</w:t>
      </w:r>
      <w:r w:rsidRPr="006A58AD">
        <w:t>ation for</w:t>
      </w:r>
      <w:r>
        <w:t xml:space="preserve"> </w:t>
      </w:r>
      <w:proofErr w:type="spellStart"/>
      <w:r>
        <w:t>mitapivat</w:t>
      </w:r>
      <w:proofErr w:type="spellEnd"/>
      <w:r>
        <w:t xml:space="preserve"> (</w:t>
      </w:r>
      <w:proofErr w:type="spellStart"/>
      <w:r>
        <w:t>Pyrukynd</w:t>
      </w:r>
      <w:proofErr w:type="spellEnd"/>
      <w:r>
        <w:t xml:space="preserve">) </w:t>
      </w:r>
      <w:r w:rsidRPr="006A58AD">
        <w:t>for the treatment of</w:t>
      </w:r>
      <w:r>
        <w:t xml:space="preserve"> pyruvate kinase (PK) </w:t>
      </w:r>
      <w:r w:rsidRPr="006A58AD">
        <w:t xml:space="preserve">deficiency in adult patients. </w:t>
      </w:r>
      <w:proofErr w:type="spellStart"/>
      <w:r>
        <w:t>Mitapivat</w:t>
      </w:r>
      <w:proofErr w:type="spellEnd"/>
      <w:r>
        <w:t xml:space="preserve"> is an</w:t>
      </w:r>
      <w:r w:rsidRPr="006A58AD">
        <w:t xml:space="preserve"> oral PK activator </w:t>
      </w:r>
      <w:r>
        <w:t xml:space="preserve">that treats </w:t>
      </w:r>
      <w:r w:rsidRPr="006A58AD">
        <w:t>h</w:t>
      </w:r>
      <w:r>
        <w:t>a</w:t>
      </w:r>
      <w:r w:rsidRPr="006A58AD">
        <w:t>emolytic an</w:t>
      </w:r>
      <w:r>
        <w:t>a</w:t>
      </w:r>
      <w:r w:rsidRPr="006A58AD">
        <w:t>emia</w:t>
      </w:r>
      <w:r>
        <w:t xml:space="preserve"> in adults with PK deficiency. It was approved for medical use by the US FDA in February 2022. </w:t>
      </w:r>
    </w:p>
    <w:p w14:paraId="615235A6" w14:textId="71DBC0D7" w:rsidR="00CF6A9F" w:rsidRPr="001E4143" w:rsidRDefault="6489E73E" w:rsidP="009807FF">
      <w:pPr>
        <w:numPr>
          <w:ilvl w:val="1"/>
          <w:numId w:val="2"/>
        </w:numPr>
        <w:spacing w:before="120" w:after="0"/>
        <w:ind w:left="578" w:hanging="578"/>
        <w:jc w:val="both"/>
        <w:outlineLvl w:val="1"/>
        <w:rPr>
          <w:rFonts w:cs="Arial"/>
          <w:b/>
          <w:sz w:val="28"/>
          <w:szCs w:val="36"/>
        </w:rPr>
      </w:pPr>
      <w:bookmarkStart w:id="32" w:name="_Toc116476053"/>
      <w:bookmarkStart w:id="33" w:name="_Toc126935641"/>
      <w:bookmarkEnd w:id="32"/>
      <w:r w:rsidRPr="001E4143">
        <w:rPr>
          <w:rFonts w:cs="Arial"/>
          <w:b/>
          <w:sz w:val="28"/>
          <w:szCs w:val="36"/>
        </w:rPr>
        <w:t>Cold agglutin disease</w:t>
      </w:r>
      <w:r w:rsidR="0089301B">
        <w:rPr>
          <w:rFonts w:cs="Arial"/>
          <w:b/>
          <w:sz w:val="28"/>
          <w:szCs w:val="36"/>
        </w:rPr>
        <w:t xml:space="preserve"> (CAD)</w:t>
      </w:r>
      <w:bookmarkEnd w:id="33"/>
    </w:p>
    <w:p w14:paraId="413F259A" w14:textId="32FE794F" w:rsidR="00374A23" w:rsidRPr="00192912" w:rsidRDefault="005A7942" w:rsidP="00192912">
      <w:pPr>
        <w:spacing w:before="120" w:after="0"/>
        <w:rPr>
          <w:rStyle w:val="Hyperlink"/>
        </w:rPr>
      </w:pPr>
      <w:hyperlink r:id="rId76" w:history="1">
        <w:proofErr w:type="spellStart"/>
        <w:r w:rsidR="00374A23" w:rsidRPr="00192912">
          <w:rPr>
            <w:rStyle w:val="Hyperlink"/>
          </w:rPr>
          <w:t>Enjaymo</w:t>
        </w:r>
        <w:proofErr w:type="spellEnd"/>
        <w:r w:rsidR="00374A23" w:rsidRPr="00192912">
          <w:rPr>
            <w:rStyle w:val="Hyperlink"/>
          </w:rPr>
          <w:t xml:space="preserve"> gets EC </w:t>
        </w:r>
        <w:r w:rsidR="00374A23" w:rsidRPr="00990B7A">
          <w:rPr>
            <w:rStyle w:val="Hyperlink"/>
          </w:rPr>
          <w:t>marketing</w:t>
        </w:r>
        <w:r w:rsidR="00374A23" w:rsidRPr="00192912">
          <w:rPr>
            <w:rStyle w:val="Hyperlink"/>
          </w:rPr>
          <w:t xml:space="preserve"> authorization for h</w:t>
        </w:r>
        <w:r w:rsidR="00FE70B7">
          <w:rPr>
            <w:rStyle w:val="Hyperlink"/>
          </w:rPr>
          <w:t>a</w:t>
        </w:r>
        <w:r w:rsidR="00374A23" w:rsidRPr="00192912">
          <w:rPr>
            <w:rStyle w:val="Hyperlink"/>
          </w:rPr>
          <w:t xml:space="preserve">emolytic </w:t>
        </w:r>
        <w:proofErr w:type="spellStart"/>
        <w:r w:rsidR="00374A23" w:rsidRPr="00192912">
          <w:rPr>
            <w:rStyle w:val="Hyperlink"/>
          </w:rPr>
          <w:t>anemia</w:t>
        </w:r>
        <w:proofErr w:type="spellEnd"/>
      </w:hyperlink>
    </w:p>
    <w:p w14:paraId="64C9E6DA" w14:textId="5F12F2F3" w:rsidR="00CF6A9F" w:rsidRDefault="00374A23" w:rsidP="00CE1156">
      <w:pPr>
        <w:jc w:val="both"/>
        <w:rPr>
          <w:rFonts w:eastAsia="Calibri Light" w:cstheme="minorHAnsi"/>
        </w:rPr>
      </w:pPr>
      <w:r>
        <w:rPr>
          <w:rFonts w:eastAsia="Calibri Light" w:cstheme="minorHAnsi"/>
        </w:rPr>
        <w:t>T</w:t>
      </w:r>
      <w:r w:rsidRPr="000E5C56">
        <w:rPr>
          <w:rFonts w:eastAsia="Calibri Light" w:cstheme="minorHAnsi"/>
        </w:rPr>
        <w:t xml:space="preserve">he </w:t>
      </w:r>
      <w:r w:rsidRPr="00990B7A">
        <w:rPr>
          <w:shd w:val="clear" w:color="auto" w:fill="FFFFFF"/>
        </w:rPr>
        <w:t>European</w:t>
      </w:r>
      <w:r w:rsidRPr="000E5C56">
        <w:rPr>
          <w:rFonts w:eastAsia="Calibri Light" w:cstheme="minorHAnsi"/>
        </w:rPr>
        <w:t xml:space="preserve"> Commission (EC) </w:t>
      </w:r>
      <w:r>
        <w:rPr>
          <w:rFonts w:eastAsia="Calibri Light" w:cstheme="minorHAnsi"/>
        </w:rPr>
        <w:t>granted</w:t>
      </w:r>
      <w:r w:rsidRPr="000E5C56">
        <w:rPr>
          <w:rFonts w:eastAsia="Calibri Light" w:cstheme="minorHAnsi"/>
        </w:rPr>
        <w:t xml:space="preserve"> marketing authori</w:t>
      </w:r>
      <w:r>
        <w:rPr>
          <w:rFonts w:eastAsia="Calibri Light" w:cstheme="minorHAnsi"/>
        </w:rPr>
        <w:t>s</w:t>
      </w:r>
      <w:r w:rsidRPr="000E5C56">
        <w:rPr>
          <w:rFonts w:eastAsia="Calibri Light" w:cstheme="minorHAnsi"/>
        </w:rPr>
        <w:t>ation</w:t>
      </w:r>
      <w:r>
        <w:rPr>
          <w:rFonts w:eastAsia="Calibri Light" w:cstheme="minorHAnsi"/>
        </w:rPr>
        <w:t xml:space="preserve"> for</w:t>
      </w:r>
      <w:r w:rsidRPr="000E5C56">
        <w:rPr>
          <w:rFonts w:eastAsia="Calibri Light" w:cstheme="minorHAnsi"/>
        </w:rPr>
        <w:t xml:space="preserve"> </w:t>
      </w:r>
      <w:r>
        <w:rPr>
          <w:rFonts w:eastAsia="Calibri Light" w:cstheme="minorHAnsi"/>
        </w:rPr>
        <w:t xml:space="preserve">the Sanofi product </w:t>
      </w:r>
      <w:proofErr w:type="spellStart"/>
      <w:r w:rsidRPr="000E5C56">
        <w:rPr>
          <w:rFonts w:eastAsia="Calibri Light" w:cstheme="minorHAnsi"/>
        </w:rPr>
        <w:t>Enjaymo</w:t>
      </w:r>
      <w:proofErr w:type="spellEnd"/>
      <w:r w:rsidRPr="000E5C56">
        <w:rPr>
          <w:rFonts w:eastAsia="Calibri Light" w:cstheme="minorHAnsi"/>
        </w:rPr>
        <w:t xml:space="preserve"> </w:t>
      </w:r>
      <w:r>
        <w:rPr>
          <w:rFonts w:eastAsia="Calibri Light" w:cstheme="minorHAnsi"/>
        </w:rPr>
        <w:t xml:space="preserve">in </w:t>
      </w:r>
      <w:r w:rsidRPr="00990B7A">
        <w:rPr>
          <w:shd w:val="clear" w:color="auto" w:fill="FFFFFF"/>
        </w:rPr>
        <w:t>September</w:t>
      </w:r>
      <w:r>
        <w:rPr>
          <w:rFonts w:eastAsia="Calibri Light" w:cstheme="minorHAnsi"/>
        </w:rPr>
        <w:t xml:space="preserve">. </w:t>
      </w:r>
      <w:proofErr w:type="spellStart"/>
      <w:r>
        <w:rPr>
          <w:rFonts w:eastAsia="Calibri Light" w:cstheme="minorHAnsi"/>
        </w:rPr>
        <w:t>Enjaymo</w:t>
      </w:r>
      <w:proofErr w:type="spellEnd"/>
      <w:r>
        <w:rPr>
          <w:rFonts w:eastAsia="Calibri Light" w:cstheme="minorHAnsi"/>
        </w:rPr>
        <w:t xml:space="preserve"> is the only drug approved </w:t>
      </w:r>
      <w:r w:rsidRPr="000E5C56">
        <w:rPr>
          <w:rFonts w:eastAsia="Calibri Light" w:cstheme="minorHAnsi"/>
        </w:rPr>
        <w:t>to treat h</w:t>
      </w:r>
      <w:r>
        <w:rPr>
          <w:rFonts w:eastAsia="Calibri Light" w:cstheme="minorHAnsi"/>
        </w:rPr>
        <w:t>a</w:t>
      </w:r>
      <w:r w:rsidRPr="000E5C56">
        <w:rPr>
          <w:rFonts w:eastAsia="Calibri Light" w:cstheme="minorHAnsi"/>
        </w:rPr>
        <w:t>emolytic an</w:t>
      </w:r>
      <w:r>
        <w:rPr>
          <w:rFonts w:eastAsia="Calibri Light" w:cstheme="minorHAnsi"/>
        </w:rPr>
        <w:t>a</w:t>
      </w:r>
      <w:r w:rsidRPr="000E5C56">
        <w:rPr>
          <w:rFonts w:eastAsia="Calibri Light" w:cstheme="minorHAnsi"/>
        </w:rPr>
        <w:t>emia in adult patients with cold agglutinin disease (CAD)</w:t>
      </w:r>
      <w:r>
        <w:rPr>
          <w:rFonts w:eastAsia="Calibri Light" w:cstheme="minorHAnsi"/>
        </w:rPr>
        <w:t xml:space="preserve">, </w:t>
      </w:r>
      <w:r w:rsidRPr="000E5C56">
        <w:rPr>
          <w:rFonts w:eastAsia="Calibri Light" w:cstheme="minorHAnsi"/>
        </w:rPr>
        <w:t>a rare autoimmune disorder where the body's immune system mistakenly attacks healthy red blood cells and destroys them</w:t>
      </w:r>
      <w:r>
        <w:rPr>
          <w:rFonts w:eastAsia="Calibri Light" w:cstheme="minorHAnsi"/>
        </w:rPr>
        <w:t xml:space="preserve">. </w:t>
      </w:r>
      <w:r w:rsidRPr="000E5C56">
        <w:rPr>
          <w:rFonts w:eastAsia="Calibri Light" w:cstheme="minorHAnsi"/>
        </w:rPr>
        <w:t xml:space="preserve"> </w:t>
      </w:r>
    </w:p>
    <w:p w14:paraId="4D27FC48" w14:textId="434129F6" w:rsidR="00E96A68" w:rsidRPr="001E4143" w:rsidRDefault="00E96A68" w:rsidP="009807FF">
      <w:pPr>
        <w:numPr>
          <w:ilvl w:val="1"/>
          <w:numId w:val="2"/>
        </w:numPr>
        <w:spacing w:before="120" w:after="0"/>
        <w:ind w:left="578" w:hanging="578"/>
        <w:jc w:val="both"/>
        <w:outlineLvl w:val="1"/>
        <w:rPr>
          <w:rFonts w:cs="Arial"/>
          <w:b/>
          <w:sz w:val="28"/>
          <w:szCs w:val="36"/>
        </w:rPr>
      </w:pPr>
      <w:bookmarkStart w:id="34" w:name="_Toc116476055"/>
      <w:bookmarkStart w:id="35" w:name="_Toc109979600"/>
      <w:bookmarkStart w:id="36" w:name="_Toc126935642"/>
      <w:bookmarkEnd w:id="34"/>
      <w:r w:rsidRPr="001E4143">
        <w:rPr>
          <w:rFonts w:cs="Arial"/>
          <w:b/>
          <w:sz w:val="28"/>
          <w:szCs w:val="36"/>
        </w:rPr>
        <w:t>Postpartum haemorrhage</w:t>
      </w:r>
      <w:bookmarkEnd w:id="35"/>
      <w:r w:rsidR="0089301B">
        <w:rPr>
          <w:rFonts w:cs="Arial"/>
          <w:b/>
          <w:sz w:val="28"/>
          <w:szCs w:val="36"/>
        </w:rPr>
        <w:t xml:space="preserve"> (PP</w:t>
      </w:r>
      <w:r w:rsidR="00DB2BC2">
        <w:rPr>
          <w:rFonts w:cs="Arial"/>
          <w:b/>
          <w:sz w:val="28"/>
          <w:szCs w:val="36"/>
        </w:rPr>
        <w:t>H</w:t>
      </w:r>
      <w:r w:rsidR="0089301B">
        <w:rPr>
          <w:rFonts w:cs="Arial"/>
          <w:b/>
          <w:sz w:val="28"/>
          <w:szCs w:val="36"/>
        </w:rPr>
        <w:t>)</w:t>
      </w:r>
      <w:bookmarkEnd w:id="36"/>
    </w:p>
    <w:p w14:paraId="5E986AA8" w14:textId="77777777" w:rsidR="00D778D0" w:rsidRPr="00192912" w:rsidRDefault="005A7942" w:rsidP="00192912">
      <w:pPr>
        <w:spacing w:before="120" w:after="0"/>
        <w:rPr>
          <w:rStyle w:val="Hyperlink"/>
        </w:rPr>
      </w:pPr>
      <w:hyperlink r:id="rId77" w:history="1">
        <w:r w:rsidR="00D778D0">
          <w:rPr>
            <w:rStyle w:val="Hyperlink"/>
          </w:rPr>
          <w:t>Risk factors and recurrence of cause-specific postpartum haemorrhage: A population-based study</w:t>
        </w:r>
      </w:hyperlink>
    </w:p>
    <w:p w14:paraId="18408906" w14:textId="77777777" w:rsidR="00D778D0" w:rsidRPr="00F7105C" w:rsidRDefault="00D778D0" w:rsidP="00D778D0">
      <w:pPr>
        <w:jc w:val="both"/>
      </w:pPr>
      <w:r w:rsidRPr="00676EDB">
        <w:t>Norwegian researchers performed a population-based cohort study, using records from 1967 -2017, to determine risk factors and recurrence of postpartum haemorrhage (PPH). They found that maternal, f</w:t>
      </w:r>
      <w:r>
        <w:t>o</w:t>
      </w:r>
      <w:r w:rsidRPr="00676EDB">
        <w:t>etal, and obstetric characteristics had differential effects on types of PPH, while recurrence differed considerably between PPH types. Retained placenta was a significant risk factor associated with severe PPH, as was sex of the delivered child, with boys associated with lower risk of PPH.</w:t>
      </w:r>
    </w:p>
    <w:p w14:paraId="5827BD11" w14:textId="77777777" w:rsidR="002A2C5E" w:rsidRDefault="005A7942" w:rsidP="00192912">
      <w:pPr>
        <w:spacing w:before="120" w:after="0"/>
        <w:rPr>
          <w:rStyle w:val="Hyperlink"/>
        </w:rPr>
      </w:pPr>
      <w:hyperlink r:id="rId78">
        <w:r w:rsidR="002A2C5E" w:rsidRPr="5BEEB2A1">
          <w:rPr>
            <w:rStyle w:val="Hyperlink"/>
          </w:rPr>
          <w:t>Association of maternal perfluoroalkyl substance exposure with postpartum haemorrhage in China</w:t>
        </w:r>
      </w:hyperlink>
    </w:p>
    <w:p w14:paraId="772F9DBB" w14:textId="3A1DAE51" w:rsidR="00A63B29" w:rsidRDefault="002A2C5E" w:rsidP="00A63B29">
      <w:pPr>
        <w:spacing w:before="0" w:after="160"/>
        <w:jc w:val="both"/>
        <w:rPr>
          <w:rFonts w:cstheme="minorHAnsi"/>
          <w:color w:val="2E2E2E"/>
        </w:rPr>
      </w:pPr>
      <w:r>
        <w:rPr>
          <w:rFonts w:cstheme="minorHAnsi"/>
          <w:color w:val="2E2E2E"/>
        </w:rPr>
        <w:t>Prenatal exposure t</w:t>
      </w:r>
      <w:r w:rsidRPr="00F73277">
        <w:rPr>
          <w:rFonts w:cstheme="minorHAnsi"/>
          <w:color w:val="2E2E2E"/>
        </w:rPr>
        <w:t>o perfluoroalkyl substances (PFASs) in women has been linked to pregnancy disorders and adverse birth outcome</w:t>
      </w:r>
      <w:r>
        <w:rPr>
          <w:rFonts w:cstheme="minorHAnsi"/>
          <w:color w:val="2E2E2E"/>
        </w:rPr>
        <w:t>s.</w:t>
      </w:r>
      <w:r w:rsidRPr="00F73277">
        <w:rPr>
          <w:rFonts w:cstheme="minorHAnsi"/>
          <w:color w:val="2E2E2E"/>
        </w:rPr>
        <w:t xml:space="preserve"> This study aimed to explore the associations of maternal PFAS exposure with the </w:t>
      </w:r>
      <w:r>
        <w:rPr>
          <w:rFonts w:cstheme="minorHAnsi"/>
          <w:color w:val="2E2E2E"/>
        </w:rPr>
        <w:t xml:space="preserve">risk of </w:t>
      </w:r>
      <w:r w:rsidRPr="00F73277">
        <w:rPr>
          <w:rFonts w:cstheme="minorHAnsi"/>
          <w:color w:val="2E2E2E"/>
        </w:rPr>
        <w:t xml:space="preserve">postpartum haemorrhage </w:t>
      </w:r>
      <w:r>
        <w:rPr>
          <w:rFonts w:cstheme="minorHAnsi"/>
          <w:color w:val="2E2E2E"/>
        </w:rPr>
        <w:t xml:space="preserve">and found that </w:t>
      </w:r>
      <w:r w:rsidRPr="00F73277">
        <w:rPr>
          <w:rFonts w:cstheme="minorHAnsi"/>
          <w:color w:val="2E2E2E"/>
        </w:rPr>
        <w:t>the risk increased with increas</w:t>
      </w:r>
      <w:r>
        <w:rPr>
          <w:rFonts w:cstheme="minorHAnsi"/>
          <w:color w:val="2E2E2E"/>
        </w:rPr>
        <w:t>ed</w:t>
      </w:r>
      <w:r w:rsidRPr="00F73277">
        <w:rPr>
          <w:rFonts w:cstheme="minorHAnsi"/>
          <w:color w:val="2E2E2E"/>
        </w:rPr>
        <w:t xml:space="preserve"> exposure to a PFAS mixture. </w:t>
      </w:r>
    </w:p>
    <w:p w14:paraId="1FB51B4A" w14:textId="566C1B0B" w:rsidR="006A1E80" w:rsidRDefault="006A1E80" w:rsidP="00A63B29">
      <w:pPr>
        <w:spacing w:before="0" w:after="160"/>
        <w:jc w:val="both"/>
        <w:rPr>
          <w:rFonts w:cstheme="minorHAnsi"/>
          <w:color w:val="2E2E2E"/>
        </w:rPr>
      </w:pPr>
    </w:p>
    <w:p w14:paraId="0C566624" w14:textId="77777777" w:rsidR="006A1E80" w:rsidRDefault="006A1E80" w:rsidP="00A63B29">
      <w:pPr>
        <w:spacing w:before="0" w:after="160"/>
        <w:jc w:val="both"/>
        <w:rPr>
          <w:rFonts w:cstheme="minorHAnsi"/>
          <w:color w:val="2E2E2E"/>
        </w:rPr>
      </w:pPr>
    </w:p>
    <w:p w14:paraId="104CBB91" w14:textId="7419EFB4" w:rsidR="003D69CA" w:rsidRPr="001E4143" w:rsidRDefault="003D69CA" w:rsidP="009807FF">
      <w:pPr>
        <w:numPr>
          <w:ilvl w:val="1"/>
          <w:numId w:val="2"/>
        </w:numPr>
        <w:spacing w:before="120" w:after="0"/>
        <w:ind w:left="578" w:hanging="578"/>
        <w:jc w:val="both"/>
        <w:outlineLvl w:val="1"/>
        <w:rPr>
          <w:rFonts w:cs="Arial"/>
          <w:b/>
          <w:sz w:val="28"/>
          <w:szCs w:val="36"/>
        </w:rPr>
      </w:pPr>
      <w:bookmarkStart w:id="37" w:name="_Toc126935643"/>
      <w:r w:rsidRPr="001E4143">
        <w:rPr>
          <w:rFonts w:cs="Arial"/>
          <w:b/>
          <w:sz w:val="28"/>
          <w:szCs w:val="36"/>
        </w:rPr>
        <w:lastRenderedPageBreak/>
        <w:t>Hereditary angioedema</w:t>
      </w:r>
      <w:bookmarkEnd w:id="37"/>
    </w:p>
    <w:p w14:paraId="76E13576" w14:textId="77777777" w:rsidR="001E0BDE" w:rsidRPr="00321A33" w:rsidRDefault="005A7942" w:rsidP="00192912">
      <w:pPr>
        <w:spacing w:before="120" w:after="0"/>
        <w:rPr>
          <w:rStyle w:val="Hyperlink"/>
        </w:rPr>
      </w:pPr>
      <w:hyperlink r:id="rId79">
        <w:r w:rsidR="001E0BDE" w:rsidRPr="00321A33">
          <w:rPr>
            <w:rStyle w:val="Hyperlink"/>
          </w:rPr>
          <w:t xml:space="preserve">HAE </w:t>
        </w:r>
        <w:r w:rsidR="001E0BDE">
          <w:rPr>
            <w:rStyle w:val="Hyperlink"/>
          </w:rPr>
          <w:t>p</w:t>
        </w:r>
        <w:r w:rsidR="001E0BDE" w:rsidRPr="00321A33">
          <w:rPr>
            <w:rStyle w:val="Hyperlink"/>
          </w:rPr>
          <w:t xml:space="preserve">atients </w:t>
        </w:r>
        <w:r w:rsidR="001E0BDE">
          <w:rPr>
            <w:rStyle w:val="Hyperlink"/>
          </w:rPr>
          <w:t>s</w:t>
        </w:r>
        <w:r w:rsidR="001E0BDE" w:rsidRPr="00321A33">
          <w:rPr>
            <w:rStyle w:val="Hyperlink"/>
          </w:rPr>
          <w:t xml:space="preserve">ee </w:t>
        </w:r>
        <w:r w:rsidR="001E0BDE">
          <w:rPr>
            <w:rStyle w:val="Hyperlink"/>
          </w:rPr>
          <w:t>b</w:t>
        </w:r>
        <w:r w:rsidR="001E0BDE" w:rsidRPr="00321A33">
          <w:rPr>
            <w:rStyle w:val="Hyperlink"/>
          </w:rPr>
          <w:t xml:space="preserve">enefits </w:t>
        </w:r>
        <w:r w:rsidR="001E0BDE">
          <w:rPr>
            <w:rStyle w:val="Hyperlink"/>
          </w:rPr>
          <w:t>f</w:t>
        </w:r>
        <w:r w:rsidR="001E0BDE" w:rsidRPr="00321A33">
          <w:rPr>
            <w:rStyle w:val="Hyperlink"/>
          </w:rPr>
          <w:t>ollowing 1-year</w:t>
        </w:r>
        <w:r w:rsidR="001E0BDE">
          <w:rPr>
            <w:rStyle w:val="Hyperlink"/>
          </w:rPr>
          <w:t xml:space="preserve"> of</w:t>
        </w:r>
        <w:r w:rsidR="001E0BDE" w:rsidRPr="00321A33">
          <w:rPr>
            <w:rStyle w:val="Hyperlink"/>
          </w:rPr>
          <w:t xml:space="preserve"> </w:t>
        </w:r>
        <w:r w:rsidR="001E0BDE">
          <w:rPr>
            <w:rStyle w:val="Hyperlink"/>
          </w:rPr>
          <w:t>t</w:t>
        </w:r>
        <w:r w:rsidR="001E0BDE" w:rsidRPr="00321A33">
          <w:rPr>
            <w:rStyle w:val="Hyperlink"/>
          </w:rPr>
          <w:t xml:space="preserve">reatment </w:t>
        </w:r>
        <w:r w:rsidR="001E0BDE">
          <w:rPr>
            <w:rStyle w:val="Hyperlink"/>
          </w:rPr>
          <w:t>w</w:t>
        </w:r>
        <w:r w:rsidR="001E0BDE" w:rsidRPr="00321A33">
          <w:rPr>
            <w:rStyle w:val="Hyperlink"/>
          </w:rPr>
          <w:t xml:space="preserve">ith </w:t>
        </w:r>
        <w:proofErr w:type="spellStart"/>
        <w:r w:rsidR="001E0BDE" w:rsidRPr="00321A33">
          <w:rPr>
            <w:rStyle w:val="Hyperlink"/>
          </w:rPr>
          <w:t>Takhzyro</w:t>
        </w:r>
        <w:proofErr w:type="spellEnd"/>
      </w:hyperlink>
    </w:p>
    <w:p w14:paraId="38CCF76A" w14:textId="77777777" w:rsidR="001E0BDE" w:rsidRPr="00515145" w:rsidRDefault="001E0BDE" w:rsidP="001E0BDE">
      <w:pPr>
        <w:rPr>
          <w:rFonts w:eastAsia="Calibri"/>
        </w:rPr>
      </w:pPr>
      <w:r w:rsidRPr="00321A33">
        <w:rPr>
          <w:rFonts w:eastAsia="Calibri"/>
        </w:rPr>
        <w:t>In this study researchers found that half of the participants with hereditary angioedema (HAE) treated with </w:t>
      </w:r>
      <w:proofErr w:type="spellStart"/>
      <w:r w:rsidRPr="00321A33">
        <w:rPr>
          <w:rFonts w:eastAsia="Calibri"/>
        </w:rPr>
        <w:t>lanadelumab</w:t>
      </w:r>
      <w:proofErr w:type="spellEnd"/>
      <w:r w:rsidRPr="00321A33">
        <w:rPr>
          <w:rFonts w:eastAsia="Calibri"/>
        </w:rPr>
        <w:t xml:space="preserve"> (</w:t>
      </w:r>
      <w:proofErr w:type="spellStart"/>
      <w:r w:rsidRPr="00321A33">
        <w:rPr>
          <w:rFonts w:eastAsia="Calibri"/>
        </w:rPr>
        <w:t>Takhzyro</w:t>
      </w:r>
      <w:proofErr w:type="spellEnd"/>
      <w:r w:rsidRPr="00321A33">
        <w:rPr>
          <w:rFonts w:eastAsia="Calibri"/>
        </w:rPr>
        <w:t>) for at least a year</w:t>
      </w:r>
      <w:r>
        <w:rPr>
          <w:rFonts w:eastAsia="Calibri"/>
        </w:rPr>
        <w:t>,</w:t>
      </w:r>
      <w:r w:rsidRPr="00321A33">
        <w:rPr>
          <w:rFonts w:eastAsia="Calibri"/>
        </w:rPr>
        <w:t xml:space="preserve"> prolonged their dosing interval and used significantly less on-demand treatments</w:t>
      </w:r>
      <w:r>
        <w:rPr>
          <w:rFonts w:eastAsia="Calibri"/>
        </w:rPr>
        <w:t>.</w:t>
      </w:r>
    </w:p>
    <w:p w14:paraId="2A3C679D" w14:textId="77777777" w:rsidR="001E0BDE" w:rsidRDefault="005A7942" w:rsidP="00192912">
      <w:pPr>
        <w:spacing w:before="120" w:after="0"/>
        <w:rPr>
          <w:rStyle w:val="Hyperlink"/>
        </w:rPr>
      </w:pPr>
      <w:hyperlink r:id="rId80">
        <w:r w:rsidR="001E0BDE" w:rsidRPr="5BEEB2A1">
          <w:rPr>
            <w:rStyle w:val="Hyperlink"/>
          </w:rPr>
          <w:t xml:space="preserve">HAE </w:t>
        </w:r>
        <w:r w:rsidR="001E0BDE">
          <w:rPr>
            <w:rStyle w:val="Hyperlink"/>
          </w:rPr>
          <w:t>a</w:t>
        </w:r>
        <w:r w:rsidR="001E0BDE" w:rsidRPr="5BEEB2A1">
          <w:rPr>
            <w:rStyle w:val="Hyperlink"/>
          </w:rPr>
          <w:t xml:space="preserve">ttacks </w:t>
        </w:r>
        <w:r w:rsidR="001E0BDE">
          <w:rPr>
            <w:rStyle w:val="Hyperlink"/>
          </w:rPr>
          <w:t>s</w:t>
        </w:r>
        <w:r w:rsidR="001E0BDE" w:rsidRPr="5BEEB2A1">
          <w:rPr>
            <w:rStyle w:val="Hyperlink"/>
          </w:rPr>
          <w:t xml:space="preserve">afely </w:t>
        </w:r>
        <w:r w:rsidR="001E0BDE">
          <w:rPr>
            <w:rStyle w:val="Hyperlink"/>
          </w:rPr>
          <w:t>p</w:t>
        </w:r>
        <w:r w:rsidR="001E0BDE" w:rsidRPr="5BEEB2A1">
          <w:rPr>
            <w:rStyle w:val="Hyperlink"/>
          </w:rPr>
          <w:t xml:space="preserve">revented by NTLA-2002 </w:t>
        </w:r>
        <w:r w:rsidR="001E0BDE">
          <w:rPr>
            <w:rStyle w:val="Hyperlink"/>
          </w:rPr>
          <w:t>g</w:t>
        </w:r>
        <w:r w:rsidR="001E0BDE" w:rsidRPr="5BEEB2A1">
          <w:rPr>
            <w:rStyle w:val="Hyperlink"/>
          </w:rPr>
          <w:t xml:space="preserve">ene </w:t>
        </w:r>
        <w:r w:rsidR="001E0BDE">
          <w:rPr>
            <w:rStyle w:val="Hyperlink"/>
          </w:rPr>
          <w:t>t</w:t>
        </w:r>
        <w:r w:rsidR="001E0BDE" w:rsidRPr="5BEEB2A1">
          <w:rPr>
            <w:rStyle w:val="Hyperlink"/>
          </w:rPr>
          <w:t>herapy</w:t>
        </w:r>
      </w:hyperlink>
    </w:p>
    <w:p w14:paraId="41DDE5A5" w14:textId="12F428A1" w:rsidR="007920F2" w:rsidRDefault="001E0BDE" w:rsidP="00762ABD">
      <w:pPr>
        <w:jc w:val="both"/>
        <w:rPr>
          <w:rFonts w:cs="Arial"/>
          <w:b/>
          <w:sz w:val="28"/>
          <w:szCs w:val="36"/>
        </w:rPr>
      </w:pPr>
      <w:r>
        <w:t xml:space="preserve">The </w:t>
      </w:r>
      <w:r w:rsidR="00FD1334">
        <w:t>p</w:t>
      </w:r>
      <w:r>
        <w:t xml:space="preserve">hase 1 trial of </w:t>
      </w:r>
      <w:proofErr w:type="spellStart"/>
      <w:r>
        <w:t>Intellia</w:t>
      </w:r>
      <w:proofErr w:type="spellEnd"/>
      <w:r>
        <w:t xml:space="preserve"> Therapeutics gene therapy for hereditary angioedema (HAE) ‘NTLA-2002’ has confirmed that the drug is </w:t>
      </w:r>
      <w:r w:rsidRPr="00515145">
        <w:t xml:space="preserve">well tolerated at two different doses and reduced the number of swelling attacks in </w:t>
      </w:r>
      <w:r w:rsidR="007D3CEF">
        <w:t>patients</w:t>
      </w:r>
      <w:r>
        <w:t>. Phase 2 is expected to begin in the first half of 2023.</w:t>
      </w:r>
      <w:bookmarkStart w:id="38" w:name="_Toc116476062"/>
      <w:bookmarkEnd w:id="38"/>
    </w:p>
    <w:p w14:paraId="7CBE77D5" w14:textId="1E9F6E89" w:rsidR="002A2C5E" w:rsidRDefault="002A2C5E" w:rsidP="009807FF">
      <w:pPr>
        <w:numPr>
          <w:ilvl w:val="1"/>
          <w:numId w:val="2"/>
        </w:numPr>
        <w:spacing w:before="120" w:after="0"/>
        <w:ind w:left="578" w:hanging="578"/>
        <w:jc w:val="both"/>
        <w:outlineLvl w:val="1"/>
        <w:rPr>
          <w:rFonts w:cs="Arial"/>
          <w:b/>
          <w:sz w:val="28"/>
          <w:szCs w:val="36"/>
        </w:rPr>
      </w:pPr>
      <w:bookmarkStart w:id="39" w:name="_Toc126935644"/>
      <w:r>
        <w:rPr>
          <w:rFonts w:cs="Arial"/>
          <w:b/>
          <w:sz w:val="28"/>
          <w:szCs w:val="36"/>
        </w:rPr>
        <w:t>Venous thromboembolism</w:t>
      </w:r>
      <w:bookmarkEnd w:id="39"/>
    </w:p>
    <w:p w14:paraId="1952A86E" w14:textId="0DD67EBA" w:rsidR="009D5ECD" w:rsidRDefault="005A7942" w:rsidP="00192912">
      <w:pPr>
        <w:spacing w:before="120" w:after="0"/>
        <w:rPr>
          <w:rStyle w:val="Hyperlink"/>
        </w:rPr>
      </w:pPr>
      <w:hyperlink r:id="rId81">
        <w:r w:rsidR="009D5ECD" w:rsidRPr="5BEEB2A1">
          <w:rPr>
            <w:rStyle w:val="Hyperlink"/>
          </w:rPr>
          <w:t xml:space="preserve">Achieving higher efficacy without compromising safety with Factor XI inhibitors versus low‐molecular‐weight heparin for the prevention of venous thromboembolism in major </w:t>
        </w:r>
        <w:r w:rsidR="004317CC" w:rsidRPr="5BEEB2A1">
          <w:rPr>
            <w:rStyle w:val="Hyperlink"/>
          </w:rPr>
          <w:t>orthopaedic</w:t>
        </w:r>
        <w:r w:rsidR="009D5ECD" w:rsidRPr="5BEEB2A1">
          <w:rPr>
            <w:rStyle w:val="Hyperlink"/>
          </w:rPr>
          <w:t xml:space="preserve"> surgery</w:t>
        </w:r>
      </w:hyperlink>
    </w:p>
    <w:p w14:paraId="79B461ED" w14:textId="6342EEE8" w:rsidR="00653DB8" w:rsidRDefault="009D5ECD" w:rsidP="0035410C">
      <w:pPr>
        <w:jc w:val="both"/>
        <w:rPr>
          <w:rFonts w:eastAsia="Calibri"/>
        </w:rPr>
      </w:pPr>
      <w:r>
        <w:rPr>
          <w:rFonts w:eastAsia="Calibri"/>
        </w:rPr>
        <w:t>Researchers</w:t>
      </w:r>
      <w:r w:rsidRPr="00A63995">
        <w:rPr>
          <w:rFonts w:eastAsia="Calibri"/>
        </w:rPr>
        <w:t xml:space="preserve"> </w:t>
      </w:r>
      <w:r>
        <w:rPr>
          <w:rFonts w:eastAsia="Calibri"/>
        </w:rPr>
        <w:t xml:space="preserve">reviewed the </w:t>
      </w:r>
      <w:r w:rsidRPr="00A63995">
        <w:rPr>
          <w:rFonts w:eastAsia="Calibri"/>
        </w:rPr>
        <w:t xml:space="preserve">current evidence </w:t>
      </w:r>
      <w:r>
        <w:rPr>
          <w:rFonts w:eastAsia="Calibri"/>
        </w:rPr>
        <w:t xml:space="preserve">for use of </w:t>
      </w:r>
      <w:r w:rsidRPr="00A63995">
        <w:rPr>
          <w:rFonts w:eastAsia="Calibri"/>
        </w:rPr>
        <w:t xml:space="preserve">factor XI inhibitors for thromboprophylaxis in major </w:t>
      </w:r>
      <w:r w:rsidR="004317CC" w:rsidRPr="00A63995">
        <w:rPr>
          <w:rFonts w:eastAsia="Calibri"/>
        </w:rPr>
        <w:t>orthopaedic</w:t>
      </w:r>
      <w:r w:rsidRPr="00A63995">
        <w:rPr>
          <w:rFonts w:eastAsia="Calibri"/>
        </w:rPr>
        <w:t xml:space="preserve"> surgery.</w:t>
      </w:r>
      <w:r>
        <w:rPr>
          <w:rFonts w:eastAsia="Calibri"/>
        </w:rPr>
        <w:t xml:space="preserve"> Evidence from four trials</w:t>
      </w:r>
      <w:r w:rsidRPr="00A63995">
        <w:rPr>
          <w:rFonts w:eastAsia="Calibri"/>
        </w:rPr>
        <w:t xml:space="preserve"> were included</w:t>
      </w:r>
      <w:r>
        <w:rPr>
          <w:rFonts w:eastAsia="Calibri"/>
        </w:rPr>
        <w:t xml:space="preserve"> in the study</w:t>
      </w:r>
      <w:r w:rsidRPr="00A63995">
        <w:rPr>
          <w:rFonts w:eastAsia="Calibri"/>
        </w:rPr>
        <w:t>, with a total of 2269 patients</w:t>
      </w:r>
      <w:r>
        <w:rPr>
          <w:rFonts w:eastAsia="Calibri"/>
        </w:rPr>
        <w:t>. F</w:t>
      </w:r>
      <w:r w:rsidRPr="00A63995">
        <w:rPr>
          <w:rFonts w:eastAsia="Calibri"/>
        </w:rPr>
        <w:t xml:space="preserve">actor XI inhibitors were associated with a significant reduction in the incidence of </w:t>
      </w:r>
      <w:r>
        <w:rPr>
          <w:rFonts w:eastAsia="Calibri"/>
        </w:rPr>
        <w:t>venous thromboembolism (</w:t>
      </w:r>
      <w:r w:rsidRPr="00A63995">
        <w:rPr>
          <w:rFonts w:eastAsia="Calibri"/>
        </w:rPr>
        <w:t>VTE</w:t>
      </w:r>
      <w:r>
        <w:rPr>
          <w:rFonts w:eastAsia="Calibri"/>
        </w:rPr>
        <w:t>)</w:t>
      </w:r>
      <w:r w:rsidRPr="00A63995">
        <w:rPr>
          <w:rFonts w:eastAsia="Calibri"/>
        </w:rPr>
        <w:t xml:space="preserve"> events</w:t>
      </w:r>
      <w:r>
        <w:rPr>
          <w:rFonts w:eastAsia="Calibri"/>
        </w:rPr>
        <w:t xml:space="preserve"> and</w:t>
      </w:r>
      <w:r w:rsidRPr="00A63995">
        <w:rPr>
          <w:rFonts w:eastAsia="Calibri"/>
        </w:rPr>
        <w:t xml:space="preserve"> reduced major or </w:t>
      </w:r>
      <w:r>
        <w:rPr>
          <w:rFonts w:eastAsia="Calibri"/>
        </w:rPr>
        <w:t>clinically non-major</w:t>
      </w:r>
      <w:r w:rsidRPr="00A63995">
        <w:rPr>
          <w:rFonts w:eastAsia="Calibri"/>
        </w:rPr>
        <w:t xml:space="preserve"> bleeding events</w:t>
      </w:r>
      <w:r>
        <w:rPr>
          <w:rFonts w:eastAsia="Calibri"/>
        </w:rPr>
        <w:t>.</w:t>
      </w:r>
    </w:p>
    <w:p w14:paraId="6CAF112B" w14:textId="3E52777B" w:rsidR="00430A43" w:rsidRPr="00923C02" w:rsidRDefault="00430A43" w:rsidP="00923C02">
      <w:pPr>
        <w:numPr>
          <w:ilvl w:val="1"/>
          <w:numId w:val="2"/>
        </w:numPr>
        <w:spacing w:before="120" w:after="0"/>
        <w:ind w:left="578" w:hanging="578"/>
        <w:jc w:val="both"/>
        <w:outlineLvl w:val="1"/>
        <w:rPr>
          <w:rFonts w:cs="Arial"/>
          <w:b/>
          <w:sz w:val="28"/>
          <w:szCs w:val="36"/>
        </w:rPr>
      </w:pPr>
      <w:bookmarkStart w:id="40" w:name="_Toc126935645"/>
      <w:r w:rsidRPr="00923C02">
        <w:rPr>
          <w:rFonts w:cs="Arial"/>
          <w:b/>
          <w:sz w:val="28"/>
          <w:szCs w:val="36"/>
        </w:rPr>
        <w:t>Immune system and immunotherapy</w:t>
      </w:r>
      <w:bookmarkEnd w:id="40"/>
    </w:p>
    <w:bookmarkStart w:id="41" w:name="_Hlk90410318"/>
    <w:p w14:paraId="47675CBA" w14:textId="77777777" w:rsidR="00562D01" w:rsidRPr="00192912" w:rsidRDefault="00562D01" w:rsidP="00192912">
      <w:pPr>
        <w:spacing w:before="120" w:after="0"/>
        <w:rPr>
          <w:rStyle w:val="Hyperlink"/>
        </w:rPr>
      </w:pPr>
      <w:r w:rsidRPr="00192912">
        <w:rPr>
          <w:rStyle w:val="Hyperlink"/>
        </w:rPr>
        <w:fldChar w:fldCharType="begin"/>
      </w:r>
      <w:r w:rsidRPr="00192912">
        <w:rPr>
          <w:rStyle w:val="Hyperlink"/>
        </w:rPr>
        <w:instrText xml:space="preserve"> HYPERLINK "https://www.bbc.com/news/health-63859184" </w:instrText>
      </w:r>
      <w:r w:rsidRPr="00192912">
        <w:rPr>
          <w:rStyle w:val="Hyperlink"/>
        </w:rPr>
        <w:fldChar w:fldCharType="separate"/>
      </w:r>
      <w:r w:rsidRPr="00192912">
        <w:rPr>
          <w:rStyle w:val="Hyperlink"/>
        </w:rPr>
        <w:t>Base editing: Revolutionary therapy clears girl's incurable cancer</w:t>
      </w:r>
      <w:r w:rsidRPr="00192912">
        <w:rPr>
          <w:rStyle w:val="Hyperlink"/>
        </w:rPr>
        <w:fldChar w:fldCharType="end"/>
      </w:r>
    </w:p>
    <w:p w14:paraId="635D245C" w14:textId="429E50DD" w:rsidR="00562D01" w:rsidRDefault="00562D01" w:rsidP="00562D01">
      <w:bookmarkStart w:id="42" w:name="_Hlk126923405"/>
      <w:r>
        <w:t>A team of doctors and scientists at Great Ormond Street Hospital in London used b</w:t>
      </w:r>
      <w:r w:rsidRPr="003C77E9">
        <w:t xml:space="preserve">ase editing </w:t>
      </w:r>
      <w:r>
        <w:t>technology to</w:t>
      </w:r>
      <w:r w:rsidRPr="002B07D6">
        <w:t xml:space="preserve"> engineer a new type of T-cell capable of hunting down and killing </w:t>
      </w:r>
      <w:r>
        <w:t xml:space="preserve">the cancerous cells in a </w:t>
      </w:r>
      <w:proofErr w:type="gramStart"/>
      <w:r>
        <w:t>13 year old</w:t>
      </w:r>
      <w:proofErr w:type="gramEnd"/>
      <w:r>
        <w:t xml:space="preserve"> girl. Scient</w:t>
      </w:r>
      <w:r w:rsidRPr="003C77E9">
        <w:t xml:space="preserve">ists </w:t>
      </w:r>
      <w:r>
        <w:t>were able</w:t>
      </w:r>
      <w:r w:rsidRPr="003C77E9">
        <w:t xml:space="preserve"> to zoom to a precise part of the genetic code and then alter the molecular structure </w:t>
      </w:r>
      <w:r>
        <w:t>to change its</w:t>
      </w:r>
      <w:r w:rsidRPr="003C77E9">
        <w:t xml:space="preserve"> genetic instructions</w:t>
      </w:r>
      <w:r>
        <w:t xml:space="preserve">.  The technology was successful after chemotherapy and a bone marrow transplant failed. The girls </w:t>
      </w:r>
      <w:r w:rsidRPr="00B814ED">
        <w:t>T-cell acute lymphoblastic leukemia</w:t>
      </w:r>
      <w:r>
        <w:t xml:space="preserve"> is now in remission.</w:t>
      </w:r>
    </w:p>
    <w:bookmarkEnd w:id="42"/>
    <w:p w14:paraId="1B26758B" w14:textId="77777777" w:rsidR="00CC4A28" w:rsidRPr="00192912" w:rsidRDefault="00872573" w:rsidP="00192912">
      <w:pPr>
        <w:spacing w:before="120" w:after="0"/>
        <w:rPr>
          <w:rStyle w:val="Hyperlink"/>
        </w:rPr>
      </w:pPr>
      <w:r>
        <w:fldChar w:fldCharType="begin"/>
      </w:r>
      <w:r>
        <w:instrText xml:space="preserve"> HYPERLINK "https://www.targetedonc.com/view/low-dose-lenalidomide-lowers-risk-of-transfusion-dependency-provides-other-benefits-in-myelodysplastic-syndrome" </w:instrText>
      </w:r>
      <w:r>
        <w:fldChar w:fldCharType="separate"/>
      </w:r>
      <w:r w:rsidR="00CC4A28" w:rsidRPr="00192912">
        <w:rPr>
          <w:rStyle w:val="Hyperlink"/>
        </w:rPr>
        <w:t>Low-Dose lenalidomide lowers risk of transfusion dependency, provides other benefits in myelodysplastic syndrome</w:t>
      </w:r>
      <w:r>
        <w:rPr>
          <w:rStyle w:val="Hyperlink"/>
        </w:rPr>
        <w:fldChar w:fldCharType="end"/>
      </w:r>
    </w:p>
    <w:p w14:paraId="2D780321" w14:textId="77777777" w:rsidR="00CC4A28" w:rsidRDefault="00CC4A28" w:rsidP="00CC4A28">
      <w:r>
        <w:t>This</w:t>
      </w:r>
      <w:r w:rsidRPr="000B44E6">
        <w:t xml:space="preserve"> phase 3, double-blind, randomi</w:t>
      </w:r>
      <w:r>
        <w:t>s</w:t>
      </w:r>
      <w:r w:rsidRPr="000B44E6">
        <w:t xml:space="preserve">ed SINTRA-REV trial evaluated lenalidomide (Revlimid) at low doses </w:t>
      </w:r>
      <w:r>
        <w:t xml:space="preserve">on 60 patients </w:t>
      </w:r>
      <w:r w:rsidRPr="000B44E6">
        <w:t>with low-risk myelodysplastic syndrome (MDS)</w:t>
      </w:r>
      <w:r>
        <w:t>. The results show significant clinical benefit</w:t>
      </w:r>
      <w:r w:rsidRPr="000B44E6">
        <w:t>. Th</w:t>
      </w:r>
      <w:r>
        <w:t>is</w:t>
      </w:r>
      <w:r w:rsidRPr="000B44E6">
        <w:t xml:space="preserve"> included prolonged time to, and decreased risk of, transfusion dependency (TD), high erythroid and cytogenic responses, an acceptable safety profile, and no progression or clonal evolution, even in patients with TP53 mutations.</w:t>
      </w:r>
    </w:p>
    <w:p w14:paraId="15B0D119" w14:textId="77777777" w:rsidR="00430A43" w:rsidRDefault="00430A43" w:rsidP="009807FF">
      <w:pPr>
        <w:keepNext/>
        <w:keepLines/>
        <w:numPr>
          <w:ilvl w:val="0"/>
          <w:numId w:val="2"/>
        </w:numPr>
        <w:spacing w:before="240" w:after="0"/>
        <w:ind w:left="431" w:hanging="431"/>
        <w:jc w:val="both"/>
        <w:outlineLvl w:val="0"/>
        <w:rPr>
          <w:rFonts w:eastAsiaTheme="majorEastAsia" w:cstheme="majorBidi"/>
          <w:b/>
          <w:sz w:val="36"/>
          <w:szCs w:val="32"/>
        </w:rPr>
      </w:pPr>
      <w:bookmarkStart w:id="43" w:name="_Toc116476064"/>
      <w:bookmarkStart w:id="44" w:name="_Toc116476065"/>
      <w:bookmarkStart w:id="45" w:name="_Toc126935646"/>
      <w:bookmarkEnd w:id="41"/>
      <w:bookmarkEnd w:id="43"/>
      <w:bookmarkEnd w:id="44"/>
      <w:r>
        <w:rPr>
          <w:rFonts w:eastAsiaTheme="majorEastAsia" w:cstheme="majorBidi"/>
          <w:b/>
          <w:sz w:val="36"/>
          <w:szCs w:val="32"/>
        </w:rPr>
        <w:t>Transfusion</w:t>
      </w:r>
      <w:bookmarkEnd w:id="45"/>
    </w:p>
    <w:p w14:paraId="0444AC9F" w14:textId="77777777" w:rsidR="007D3CEF" w:rsidRDefault="00430A43" w:rsidP="00CE1156">
      <w:pPr>
        <w:spacing w:before="0" w:after="0"/>
        <w:jc w:val="both"/>
      </w:pPr>
      <w:bookmarkStart w:id="46" w:name="_Hlk118104670"/>
      <w:r>
        <w:t>This section includes published research on transfusion procedures</w:t>
      </w:r>
      <w:r w:rsidR="0082732E">
        <w:t xml:space="preserve"> </w:t>
      </w:r>
      <w:r>
        <w:t>to improve patient outcomes.</w:t>
      </w:r>
    </w:p>
    <w:p w14:paraId="3B52682D" w14:textId="6010EC43" w:rsidR="00430A43" w:rsidRDefault="00430A43" w:rsidP="00CE1156">
      <w:pPr>
        <w:spacing w:before="0" w:after="0"/>
        <w:jc w:val="both"/>
      </w:pPr>
      <w:r>
        <w:t xml:space="preserve"> </w:t>
      </w:r>
    </w:p>
    <w:p w14:paraId="6584B89F" w14:textId="781921D6" w:rsidR="000916CA" w:rsidRDefault="007F1A9A" w:rsidP="00685E90">
      <w:pPr>
        <w:numPr>
          <w:ilvl w:val="1"/>
          <w:numId w:val="2"/>
        </w:numPr>
        <w:spacing w:before="0" w:after="0"/>
        <w:ind w:left="578" w:hanging="578"/>
        <w:jc w:val="both"/>
        <w:outlineLvl w:val="1"/>
      </w:pPr>
      <w:bookmarkStart w:id="47" w:name="_Toc126935647"/>
      <w:bookmarkEnd w:id="46"/>
      <w:r w:rsidRPr="0025742B">
        <w:rPr>
          <w:rFonts w:cs="Arial"/>
          <w:b/>
          <w:sz w:val="28"/>
          <w:szCs w:val="36"/>
        </w:rPr>
        <w:t>Paediatrics</w:t>
      </w:r>
      <w:bookmarkEnd w:id="47"/>
    </w:p>
    <w:p w14:paraId="6FCB16E0" w14:textId="77777777" w:rsidR="00371C68" w:rsidRPr="00192912" w:rsidRDefault="005A7942" w:rsidP="00192912">
      <w:pPr>
        <w:spacing w:before="120" w:after="0"/>
        <w:rPr>
          <w:rStyle w:val="Hyperlink"/>
        </w:rPr>
      </w:pPr>
      <w:hyperlink r:id="rId82">
        <w:r w:rsidR="00371C68" w:rsidRPr="00192912">
          <w:rPr>
            <w:rStyle w:val="Hyperlink"/>
          </w:rPr>
          <w:t>Blood component ratios in children with non‐traumatic life‐threatening bleeding</w:t>
        </w:r>
      </w:hyperlink>
    </w:p>
    <w:p w14:paraId="5D3985AF" w14:textId="066FD948" w:rsidR="00371C68" w:rsidRDefault="00371C68" w:rsidP="00371C68">
      <w:pPr>
        <w:spacing w:line="257" w:lineRule="auto"/>
      </w:pPr>
      <w:r w:rsidRPr="001B5CFE">
        <w:t xml:space="preserve">This study's objective was to evaluate whether high blood product ratios or low deficits </w:t>
      </w:r>
      <w:r>
        <w:t>of platelets and plasma had an impact on mortality</w:t>
      </w:r>
      <w:r w:rsidRPr="001B5CFE">
        <w:t xml:space="preserve"> in children with non-traumatic</w:t>
      </w:r>
      <w:r>
        <w:t>,</w:t>
      </w:r>
      <w:r w:rsidRPr="001B5CFE">
        <w:t xml:space="preserve"> life-threatening bleeding</w:t>
      </w:r>
      <w:r>
        <w:t>. It found that while m</w:t>
      </w:r>
      <w:r w:rsidRPr="00287F5B">
        <w:t>assive transfusions in children with non-traumatic bleeds are rare</w:t>
      </w:r>
      <w:r>
        <w:t>, they are often ass</w:t>
      </w:r>
      <w:r w:rsidRPr="00287F5B">
        <w:t>ociated with high mortality</w:t>
      </w:r>
      <w:r>
        <w:t xml:space="preserve">. The authors concluded that </w:t>
      </w:r>
      <w:r w:rsidRPr="00287F5B">
        <w:t xml:space="preserve">more </w:t>
      </w:r>
      <w:r>
        <w:t>research</w:t>
      </w:r>
      <w:r w:rsidRPr="00287F5B">
        <w:t xml:space="preserve"> </w:t>
      </w:r>
      <w:r>
        <w:t>is</w:t>
      </w:r>
      <w:r w:rsidRPr="00287F5B">
        <w:t xml:space="preserve"> needed to </w:t>
      </w:r>
      <w:r>
        <w:t>identify</w:t>
      </w:r>
      <w:r w:rsidRPr="00287F5B">
        <w:t xml:space="preserve"> the best blood product </w:t>
      </w:r>
      <w:r>
        <w:t>ratios to maximise survival rates in these children</w:t>
      </w:r>
      <w:r w:rsidRPr="00287F5B">
        <w:t>.</w:t>
      </w:r>
    </w:p>
    <w:p w14:paraId="4FA8692A" w14:textId="77777777" w:rsidR="006A1E80" w:rsidRDefault="006A1E80" w:rsidP="00192912">
      <w:pPr>
        <w:spacing w:before="120" w:after="0"/>
      </w:pPr>
    </w:p>
    <w:p w14:paraId="03B20B2F" w14:textId="77777777" w:rsidR="006A1E80" w:rsidRDefault="006A1E80" w:rsidP="00192912">
      <w:pPr>
        <w:spacing w:before="120" w:after="0"/>
      </w:pPr>
    </w:p>
    <w:p w14:paraId="764AADA4" w14:textId="0AD76107" w:rsidR="005A7648" w:rsidRPr="00192912" w:rsidRDefault="005A7942" w:rsidP="00192912">
      <w:pPr>
        <w:spacing w:before="120" w:after="0"/>
        <w:rPr>
          <w:rStyle w:val="Hyperlink"/>
        </w:rPr>
      </w:pPr>
      <w:hyperlink r:id="rId83">
        <w:r w:rsidR="005A7648" w:rsidRPr="00192912">
          <w:rPr>
            <w:rStyle w:val="Hyperlink"/>
          </w:rPr>
          <w:t xml:space="preserve">Transfusion‐associated </w:t>
        </w:r>
        <w:proofErr w:type="spellStart"/>
        <w:r w:rsidR="005A7648" w:rsidRPr="00192912">
          <w:rPr>
            <w:rStyle w:val="Hyperlink"/>
          </w:rPr>
          <w:t>hyperkalemia</w:t>
        </w:r>
        <w:proofErr w:type="spellEnd"/>
        <w:r w:rsidR="005A7648" w:rsidRPr="00192912">
          <w:rPr>
            <w:rStyle w:val="Hyperlink"/>
          </w:rPr>
          <w:t xml:space="preserve"> in p</w:t>
        </w:r>
        <w:r w:rsidR="004317CC">
          <w:rPr>
            <w:rStyle w:val="Hyperlink"/>
          </w:rPr>
          <w:t>a</w:t>
        </w:r>
        <w:r w:rsidR="005A7648" w:rsidRPr="00192912">
          <w:rPr>
            <w:rStyle w:val="Hyperlink"/>
          </w:rPr>
          <w:t>ediatric population: Analyses for risk factors and recommendations</w:t>
        </w:r>
      </w:hyperlink>
    </w:p>
    <w:p w14:paraId="29F47579" w14:textId="2CC94B06" w:rsidR="005A7648" w:rsidRDefault="005A7648" w:rsidP="005A7648">
      <w:pPr>
        <w:jc w:val="both"/>
        <w:rPr>
          <w:shd w:val="clear" w:color="auto" w:fill="FFFFFF"/>
        </w:rPr>
      </w:pPr>
      <w:r>
        <w:rPr>
          <w:shd w:val="clear" w:color="auto" w:fill="FFFFFF"/>
        </w:rPr>
        <w:t xml:space="preserve">Transfusion-associated </w:t>
      </w:r>
      <w:proofErr w:type="spellStart"/>
      <w:r>
        <w:rPr>
          <w:shd w:val="clear" w:color="auto" w:fill="FFFFFF"/>
        </w:rPr>
        <w:t>hyperkalemia</w:t>
      </w:r>
      <w:proofErr w:type="spellEnd"/>
      <w:r>
        <w:rPr>
          <w:shd w:val="clear" w:color="auto" w:fill="FFFFFF"/>
        </w:rPr>
        <w:t xml:space="preserve"> (TAH) is a potentially life-threatening complication of red blood cell (RBC) transfusion. In this study, researchers compared</w:t>
      </w:r>
      <w:r w:rsidRPr="006061D4">
        <w:rPr>
          <w:shd w:val="clear" w:color="auto" w:fill="FFFFFF"/>
        </w:rPr>
        <w:t xml:space="preserve"> RBC transfusions </w:t>
      </w:r>
      <w:r>
        <w:rPr>
          <w:shd w:val="clear" w:color="auto" w:fill="FFFFFF"/>
        </w:rPr>
        <w:t xml:space="preserve">of </w:t>
      </w:r>
      <w:r w:rsidRPr="006061D4">
        <w:rPr>
          <w:shd w:val="clear" w:color="auto" w:fill="FFFFFF"/>
        </w:rPr>
        <w:t>35 p</w:t>
      </w:r>
      <w:r>
        <w:rPr>
          <w:shd w:val="clear" w:color="auto" w:fill="FFFFFF"/>
        </w:rPr>
        <w:t>a</w:t>
      </w:r>
      <w:r w:rsidRPr="006061D4">
        <w:rPr>
          <w:shd w:val="clear" w:color="auto" w:fill="FFFFFF"/>
        </w:rPr>
        <w:t>ediatric patients</w:t>
      </w:r>
      <w:r>
        <w:rPr>
          <w:shd w:val="clear" w:color="auto" w:fill="FFFFFF"/>
        </w:rPr>
        <w:t xml:space="preserve"> w</w:t>
      </w:r>
      <w:r w:rsidRPr="006061D4">
        <w:rPr>
          <w:shd w:val="clear" w:color="auto" w:fill="FFFFFF"/>
        </w:rPr>
        <w:t xml:space="preserve">ho had </w:t>
      </w:r>
      <w:r>
        <w:rPr>
          <w:shd w:val="clear" w:color="auto" w:fill="FFFFFF"/>
        </w:rPr>
        <w:t>TAH with a control group to identify the factors associated with TAH occurrence.</w:t>
      </w:r>
      <w:r>
        <w:rPr>
          <w:rFonts w:ascii="Open Sans" w:hAnsi="Open Sans" w:cs="Open Sans"/>
          <w:color w:val="1C1D1E"/>
          <w:shd w:val="clear" w:color="auto" w:fill="FFFFFF"/>
        </w:rPr>
        <w:t xml:space="preserve"> </w:t>
      </w:r>
      <w:r>
        <w:rPr>
          <w:shd w:val="clear" w:color="auto" w:fill="FFFFFF"/>
        </w:rPr>
        <w:t xml:space="preserve">Researchers found that the </w:t>
      </w:r>
      <w:r w:rsidRPr="006061D4">
        <w:rPr>
          <w:shd w:val="clear" w:color="auto" w:fill="FFFFFF"/>
        </w:rPr>
        <w:t>total transfused volume within 12 h</w:t>
      </w:r>
      <w:r>
        <w:rPr>
          <w:shd w:val="clear" w:color="auto" w:fill="FFFFFF"/>
        </w:rPr>
        <w:t>ours per kg and per estimated total blood volume</w:t>
      </w:r>
      <w:r w:rsidRPr="006061D4">
        <w:rPr>
          <w:shd w:val="clear" w:color="auto" w:fill="FFFFFF"/>
        </w:rPr>
        <w:t xml:space="preserve">, age of RBC units, and kidney dysfunction </w:t>
      </w:r>
      <w:r>
        <w:rPr>
          <w:shd w:val="clear" w:color="auto" w:fill="FFFFFF"/>
        </w:rPr>
        <w:t>were</w:t>
      </w:r>
      <w:r w:rsidRPr="006061D4">
        <w:rPr>
          <w:shd w:val="clear" w:color="auto" w:fill="FFFFFF"/>
        </w:rPr>
        <w:t xml:space="preserve"> </w:t>
      </w:r>
      <w:r>
        <w:rPr>
          <w:shd w:val="clear" w:color="auto" w:fill="FFFFFF"/>
        </w:rPr>
        <w:t xml:space="preserve">the most </w:t>
      </w:r>
      <w:r w:rsidRPr="006061D4">
        <w:rPr>
          <w:shd w:val="clear" w:color="auto" w:fill="FFFFFF"/>
        </w:rPr>
        <w:t>important factors</w:t>
      </w:r>
      <w:r>
        <w:rPr>
          <w:shd w:val="clear" w:color="auto" w:fill="FFFFFF"/>
        </w:rPr>
        <w:t xml:space="preserve"> in the development of TAH.</w:t>
      </w:r>
    </w:p>
    <w:p w14:paraId="039137E5" w14:textId="399569CC" w:rsidR="00033D4A" w:rsidRDefault="005A7942" w:rsidP="006A1E80">
      <w:pPr>
        <w:spacing w:before="120" w:after="160" w:line="259" w:lineRule="auto"/>
        <w:rPr>
          <w:rStyle w:val="Hyperlink"/>
        </w:rPr>
      </w:pPr>
      <w:hyperlink r:id="rId84">
        <w:r w:rsidR="00033D4A" w:rsidRPr="5BEEB2A1">
          <w:rPr>
            <w:rStyle w:val="Hyperlink"/>
          </w:rPr>
          <w:t>Blood transfusion is associated with increased mortality for neonates with congenital diaphragmatic hernia on extracorporeal membrane oxygenation support</w:t>
        </w:r>
      </w:hyperlink>
    </w:p>
    <w:p w14:paraId="7519EECE" w14:textId="508E73C5" w:rsidR="00653DB8" w:rsidRDefault="002D7100" w:rsidP="00033D4A">
      <w:pPr>
        <w:spacing w:line="257" w:lineRule="auto"/>
      </w:pPr>
      <w:r>
        <w:t>A</w:t>
      </w:r>
      <w:r w:rsidR="00033D4A" w:rsidRPr="00840605">
        <w:t xml:space="preserve"> single centre </w:t>
      </w:r>
      <w:r>
        <w:t xml:space="preserve">retrospective chart </w:t>
      </w:r>
      <w:r w:rsidR="00033D4A" w:rsidRPr="00840605">
        <w:t>review of all neonates with</w:t>
      </w:r>
      <w:r w:rsidR="00033D4A" w:rsidRPr="00B60506">
        <w:t> congenital diaphragmatic hernia</w:t>
      </w:r>
      <w:r w:rsidR="00033D4A">
        <w:t xml:space="preserve"> (</w:t>
      </w:r>
      <w:r w:rsidR="00033D4A" w:rsidRPr="00840605">
        <w:t>CDH</w:t>
      </w:r>
      <w:r w:rsidR="00033D4A">
        <w:t>)</w:t>
      </w:r>
      <w:r w:rsidR="00033D4A" w:rsidRPr="00840605">
        <w:t xml:space="preserve"> undergoing surgical repair</w:t>
      </w:r>
      <w:r w:rsidR="00033D4A">
        <w:t xml:space="preserve"> with e</w:t>
      </w:r>
      <w:r w:rsidR="00033D4A" w:rsidRPr="00B60506">
        <w:t>xtracorporeal membrane oxygenation (ECMO)</w:t>
      </w:r>
      <w:r>
        <w:t xml:space="preserve"> was conducted,</w:t>
      </w:r>
      <w:r w:rsidR="00033D4A">
        <w:t xml:space="preserve"> to determine the impact of platelet transfusion on patient outcomes. Researchers found that m</w:t>
      </w:r>
      <w:r w:rsidR="00033D4A" w:rsidRPr="00B60506">
        <w:t>ajor bleeding and platelet transfusions in the post-operative period were associated with increased mortality for neonates on ECMO for CDH repair.</w:t>
      </w:r>
    </w:p>
    <w:p w14:paraId="449EEDB2" w14:textId="75653631" w:rsidR="000916CA" w:rsidRPr="007F1A9A" w:rsidRDefault="007F1A9A" w:rsidP="00AD36FC">
      <w:pPr>
        <w:numPr>
          <w:ilvl w:val="1"/>
          <w:numId w:val="2"/>
        </w:numPr>
        <w:spacing w:before="120" w:after="0"/>
        <w:ind w:left="578" w:hanging="578"/>
        <w:jc w:val="both"/>
        <w:outlineLvl w:val="1"/>
        <w:rPr>
          <w:rFonts w:cs="Arial"/>
          <w:b/>
          <w:sz w:val="28"/>
          <w:szCs w:val="36"/>
        </w:rPr>
      </w:pPr>
      <w:bookmarkStart w:id="48" w:name="_Toc126935648"/>
      <w:r w:rsidRPr="007F1A9A">
        <w:rPr>
          <w:rFonts w:cs="Arial"/>
          <w:b/>
          <w:sz w:val="28"/>
          <w:szCs w:val="36"/>
        </w:rPr>
        <w:t>Clinical Practice</w:t>
      </w:r>
      <w:bookmarkEnd w:id="48"/>
      <w:r w:rsidRPr="007F1A9A">
        <w:rPr>
          <w:rFonts w:cs="Arial"/>
          <w:b/>
          <w:sz w:val="28"/>
          <w:szCs w:val="36"/>
        </w:rPr>
        <w:t xml:space="preserve"> </w:t>
      </w:r>
    </w:p>
    <w:p w14:paraId="1779F976" w14:textId="6499349E" w:rsidR="00C815FB" w:rsidRPr="00192912" w:rsidRDefault="005A7942" w:rsidP="00192912">
      <w:pPr>
        <w:spacing w:before="120" w:after="0"/>
        <w:rPr>
          <w:rStyle w:val="Hyperlink"/>
        </w:rPr>
      </w:pPr>
      <w:hyperlink r:id="rId85" w:history="1">
        <w:r w:rsidR="00C815FB" w:rsidRPr="00192912">
          <w:rPr>
            <w:rStyle w:val="Hyperlink"/>
          </w:rPr>
          <w:t>Generating real-</w:t>
        </w:r>
        <w:bookmarkStart w:id="49" w:name="_Hlt121907325"/>
        <w:bookmarkStart w:id="50" w:name="_Hlt121907326"/>
        <w:r w:rsidR="00C815FB" w:rsidRPr="00192912">
          <w:rPr>
            <w:rStyle w:val="Hyperlink"/>
          </w:rPr>
          <w:t>w</w:t>
        </w:r>
        <w:bookmarkEnd w:id="49"/>
        <w:bookmarkEnd w:id="50"/>
        <w:r w:rsidR="00C815FB" w:rsidRPr="00192912">
          <w:rPr>
            <w:rStyle w:val="Hyperlink"/>
          </w:rPr>
          <w:t xml:space="preserve">orld evidence compatible with evidence from randomized controlled trials: a novel observational study design applicable to surgical transfusion research </w:t>
        </w:r>
      </w:hyperlink>
    </w:p>
    <w:p w14:paraId="3D63EE45" w14:textId="77777777" w:rsidR="00C815FB" w:rsidRDefault="00C815FB" w:rsidP="00C815FB">
      <w:r w:rsidRPr="00FA00E6">
        <w:t>Numerous observational studies have revealed an increased risk of death and complications with transfusion, but this observation has not been confirmed in randomi</w:t>
      </w:r>
      <w:r>
        <w:t>s</w:t>
      </w:r>
      <w:r w:rsidRPr="00FA00E6">
        <w:t xml:space="preserve">ed controlled trials (RCTs). </w:t>
      </w:r>
      <w:r>
        <w:t>This study</w:t>
      </w:r>
      <w:r w:rsidRPr="00FA00E6">
        <w:t xml:space="preserve"> propose</w:t>
      </w:r>
      <w:r>
        <w:t>s</w:t>
      </w:r>
      <w:r w:rsidRPr="00FA00E6">
        <w:t xml:space="preserve"> a new design to address this long-term existing issue, which if left unresolved, will be damaging to the healthy generation of evidence that supports optimi</w:t>
      </w:r>
      <w:r>
        <w:t>s</w:t>
      </w:r>
      <w:r w:rsidRPr="00FA00E6">
        <w:t>ed transfusion practice.</w:t>
      </w:r>
    </w:p>
    <w:p w14:paraId="6F9BD217" w14:textId="570E98B4" w:rsidR="00913C72" w:rsidRDefault="005A7942" w:rsidP="00192912">
      <w:pPr>
        <w:spacing w:before="120" w:after="0"/>
        <w:rPr>
          <w:rStyle w:val="Hyperlink"/>
        </w:rPr>
      </w:pPr>
      <w:hyperlink r:id="rId86">
        <w:r w:rsidR="00CD44B9" w:rsidRPr="6A556DB4">
          <w:rPr>
            <w:rStyle w:val="Hyperlink"/>
          </w:rPr>
          <w:t>B</w:t>
        </w:r>
        <w:r w:rsidR="00CD44B9">
          <w:rPr>
            <w:rStyle w:val="Hyperlink"/>
          </w:rPr>
          <w:t>l</w:t>
        </w:r>
        <w:r w:rsidR="00CD44B9" w:rsidRPr="6A556DB4">
          <w:rPr>
            <w:rStyle w:val="Hyperlink"/>
          </w:rPr>
          <w:t>ood</w:t>
        </w:r>
        <w:r w:rsidR="00913C72" w:rsidRPr="6A556DB4">
          <w:rPr>
            <w:rStyle w:val="Hyperlink"/>
          </w:rPr>
          <w:t xml:space="preserve"> utilization in liver transplantation (BUILT): A multidisciplinary survey of transfusion practices</w:t>
        </w:r>
      </w:hyperlink>
    </w:p>
    <w:p w14:paraId="47D7A2EF" w14:textId="32BE02D7" w:rsidR="00913C72" w:rsidRDefault="00913C72" w:rsidP="00913C72">
      <w:pPr>
        <w:jc w:val="both"/>
      </w:pPr>
      <w:r>
        <w:t>T</w:t>
      </w:r>
      <w:r w:rsidRPr="77D9C368">
        <w:t>his study survey</w:t>
      </w:r>
      <w:r>
        <w:t>ed</w:t>
      </w:r>
      <w:r w:rsidRPr="77D9C368">
        <w:t xml:space="preserve"> liver transplant centr</w:t>
      </w:r>
      <w:r>
        <w:t>e</w:t>
      </w:r>
      <w:r w:rsidRPr="77D9C368">
        <w:t>s in the United States to assess baseline practices in blood utili</w:t>
      </w:r>
      <w:r>
        <w:t>s</w:t>
      </w:r>
      <w:r w:rsidRPr="77D9C368">
        <w:t>ation and identify opportunities for standardi</w:t>
      </w:r>
      <w:r>
        <w:t>s</w:t>
      </w:r>
      <w:r w:rsidRPr="77D9C368">
        <w:t>ation to optimi</w:t>
      </w:r>
      <w:r>
        <w:t>s</w:t>
      </w:r>
      <w:r w:rsidRPr="77D9C368">
        <w:t>e blood use</w:t>
      </w:r>
      <w:r>
        <w:t>. Using responses from two surveys, sent to either transfusion physicians or an</w:t>
      </w:r>
      <w:r w:rsidR="00583DE5">
        <w:t>a</w:t>
      </w:r>
      <w:r>
        <w:t>esthesiologists, researchers found that m</w:t>
      </w:r>
      <w:r w:rsidRPr="009E6325">
        <w:t xml:space="preserve">ore blood products </w:t>
      </w:r>
      <w:r>
        <w:t xml:space="preserve">were </w:t>
      </w:r>
      <w:r w:rsidRPr="009E6325">
        <w:t xml:space="preserve">issued during surgery than </w:t>
      </w:r>
      <w:r>
        <w:t xml:space="preserve">were </w:t>
      </w:r>
      <w:r w:rsidRPr="009E6325">
        <w:t>transfused</w:t>
      </w:r>
      <w:r>
        <w:t>. They suggest that f</w:t>
      </w:r>
      <w:r w:rsidRPr="00794A0A">
        <w:t>uture studies should focus</w:t>
      </w:r>
      <w:r w:rsidRPr="009E6325">
        <w:t xml:space="preserve"> on </w:t>
      </w:r>
      <w:r w:rsidRPr="00794A0A">
        <w:t>how to better predict blood needs for patients to improve efficiency</w:t>
      </w:r>
      <w:r>
        <w:t xml:space="preserve"> and optimise blood usage</w:t>
      </w:r>
      <w:r w:rsidRPr="00794A0A">
        <w:t>.</w:t>
      </w:r>
      <w:r>
        <w:rPr>
          <w:rFonts w:ascii="Open Sans" w:hAnsi="Open Sans" w:cs="Open Sans"/>
          <w:color w:val="1C1D1E"/>
          <w:shd w:val="clear" w:color="auto" w:fill="FFFFFF"/>
        </w:rPr>
        <w:t> </w:t>
      </w:r>
    </w:p>
    <w:p w14:paraId="369277ED" w14:textId="77777777" w:rsidR="00913C72" w:rsidRPr="00192912" w:rsidRDefault="005A7942" w:rsidP="00192912">
      <w:pPr>
        <w:spacing w:before="120" w:after="0"/>
        <w:rPr>
          <w:rStyle w:val="Hyperlink"/>
        </w:rPr>
      </w:pPr>
      <w:hyperlink r:id="rId87" w:history="1">
        <w:r w:rsidR="00913C72" w:rsidRPr="00192912">
          <w:rPr>
            <w:rStyle w:val="Hyperlink"/>
          </w:rPr>
          <w:t>The complexities of transfusion reactions: Coexistence of a delayed haemolytic transfusion reaction and post‐</w:t>
        </w:r>
        <w:r w:rsidR="00913C72" w:rsidRPr="0041533F">
          <w:rPr>
            <w:rStyle w:val="Hyperlink"/>
          </w:rPr>
          <w:t>transfusion</w:t>
        </w:r>
        <w:r w:rsidR="00913C72" w:rsidRPr="00192912">
          <w:rPr>
            <w:rStyle w:val="Hyperlink"/>
          </w:rPr>
          <w:t xml:space="preserve"> purpura</w:t>
        </w:r>
      </w:hyperlink>
    </w:p>
    <w:p w14:paraId="2C0F956B" w14:textId="77777777" w:rsidR="00913C72" w:rsidRPr="0041533F" w:rsidRDefault="00913C72" w:rsidP="00913C72">
      <w:pPr>
        <w:jc w:val="both"/>
      </w:pPr>
      <w:r>
        <w:t>Researchers</w:t>
      </w:r>
      <w:r w:rsidRPr="00850235">
        <w:t xml:space="preserve"> present</w:t>
      </w:r>
      <w:r>
        <w:t>ed</w:t>
      </w:r>
      <w:r w:rsidRPr="00850235">
        <w:t xml:space="preserve"> a case of a previously transfused and recently post-partum female who developed both delayed haemolytic transfusion reaction (DHTR) and </w:t>
      </w:r>
      <w:r w:rsidRPr="001464F8">
        <w:t>post-transfusion purpura</w:t>
      </w:r>
      <w:r>
        <w:t xml:space="preserve"> (</w:t>
      </w:r>
      <w:r w:rsidRPr="00850235">
        <w:t>PTP</w:t>
      </w:r>
      <w:r>
        <w:t xml:space="preserve">). To the author’s knowledge, this is only the third reported instance of DHTR and PTP occurring in a single patient since 1980. The parallel development of these reactions suggests a hyperimmune response, assumed to occur in </w:t>
      </w:r>
      <w:r w:rsidRPr="00902088">
        <w:t xml:space="preserve">combination </w:t>
      </w:r>
      <w:r>
        <w:t>with an underlying autoimmune disease.</w:t>
      </w:r>
    </w:p>
    <w:p w14:paraId="7EA7E5D1" w14:textId="77777777" w:rsidR="00B66AFF" w:rsidRPr="00192912" w:rsidRDefault="005A7942" w:rsidP="00192912">
      <w:pPr>
        <w:spacing w:before="120" w:after="0"/>
        <w:rPr>
          <w:rStyle w:val="Hyperlink"/>
        </w:rPr>
      </w:pPr>
      <w:hyperlink r:id="rId88">
        <w:r w:rsidR="00B66AFF" w:rsidRPr="00192912">
          <w:rPr>
            <w:rStyle w:val="Hyperlink"/>
          </w:rPr>
          <w:t>Association of anaemia, co-</w:t>
        </w:r>
        <w:proofErr w:type="gramStart"/>
        <w:r w:rsidR="00B66AFF" w:rsidRPr="00192912">
          <w:rPr>
            <w:rStyle w:val="Hyperlink"/>
          </w:rPr>
          <w:t>morbidities</w:t>
        </w:r>
        <w:proofErr w:type="gramEnd"/>
        <w:r w:rsidR="00B66AFF" w:rsidRPr="00192912">
          <w:rPr>
            <w:rStyle w:val="Hyperlink"/>
          </w:rPr>
          <w:t xml:space="preserve"> and red blood cell transfusion according to age groups</w:t>
        </w:r>
      </w:hyperlink>
    </w:p>
    <w:p w14:paraId="0A2888C0" w14:textId="77777777" w:rsidR="00B66AFF" w:rsidRPr="009A27A0" w:rsidRDefault="00B66AFF" w:rsidP="00981161">
      <w:r w:rsidRPr="00981161">
        <w:t xml:space="preserve">This study examined the likelihood of transfusion based on health and age status to identify patient groups at risk when undergoing surgery. Over one million patients were included in this German population-based study. Researchers found that increasing age and co-morbidities </w:t>
      </w:r>
      <w:r>
        <w:t>were associated with an increased incidence</w:t>
      </w:r>
      <w:r w:rsidRPr="009A27A0">
        <w:t xml:space="preserve"> of preoperative anaemia. Complications, length of hospital</w:t>
      </w:r>
      <w:r>
        <w:t xml:space="preserve"> </w:t>
      </w:r>
      <w:r w:rsidRPr="009A27A0">
        <w:t>stay, and in-hospital mortality increased with age and w</w:t>
      </w:r>
      <w:r>
        <w:t>as</w:t>
      </w:r>
      <w:r w:rsidRPr="009A27A0">
        <w:t xml:space="preserve"> higher in patients with preoperative anaem</w:t>
      </w:r>
      <w:r>
        <w:t>ia, with these patients more likely to require red blood cell transfusion.</w:t>
      </w:r>
    </w:p>
    <w:p w14:paraId="48BD9954" w14:textId="77777777" w:rsidR="006A1E80" w:rsidRDefault="006A1E80" w:rsidP="00192912">
      <w:pPr>
        <w:spacing w:before="120" w:after="0"/>
      </w:pPr>
    </w:p>
    <w:p w14:paraId="7A3A09AA" w14:textId="77777777" w:rsidR="006A1E80" w:rsidRDefault="006A1E80" w:rsidP="00192912">
      <w:pPr>
        <w:spacing w:before="120" w:after="0"/>
      </w:pPr>
    </w:p>
    <w:p w14:paraId="337D6A87" w14:textId="77777777" w:rsidR="006A1E80" w:rsidRDefault="006A1E80" w:rsidP="00192912">
      <w:pPr>
        <w:spacing w:before="120" w:after="0"/>
      </w:pPr>
    </w:p>
    <w:p w14:paraId="7A5548BA" w14:textId="77777777" w:rsidR="006A1E80" w:rsidRDefault="006A1E80" w:rsidP="00192912">
      <w:pPr>
        <w:spacing w:before="120" w:after="0"/>
      </w:pPr>
    </w:p>
    <w:p w14:paraId="5012F11C" w14:textId="6D6C99CD" w:rsidR="00B66AFF" w:rsidRPr="00192912" w:rsidRDefault="005A7942" w:rsidP="00192912">
      <w:pPr>
        <w:spacing w:before="120" w:after="0"/>
        <w:rPr>
          <w:rStyle w:val="Hyperlink"/>
        </w:rPr>
      </w:pPr>
      <w:hyperlink r:id="rId89">
        <w:r w:rsidR="00B66AFF" w:rsidRPr="00192912">
          <w:rPr>
            <w:rStyle w:val="Hyperlink"/>
          </w:rPr>
          <w:t>The association of venous thromboembolism with blood transfusion in kidney transplant patients</w:t>
        </w:r>
      </w:hyperlink>
    </w:p>
    <w:p w14:paraId="01B8A454" w14:textId="77777777" w:rsidR="00B66AFF" w:rsidRDefault="00B66AFF" w:rsidP="00B66AFF">
      <w:pPr>
        <w:jc w:val="both"/>
        <w:rPr>
          <w:rFonts w:eastAsia="Calibri"/>
        </w:rPr>
      </w:pPr>
      <w:r>
        <w:rPr>
          <w:shd w:val="clear" w:color="auto" w:fill="FFFFFF"/>
        </w:rPr>
        <w:t xml:space="preserve">This Canadian study aimed to determine the risk factors for thrombotic events in adult kidney transplant recipients who received red blood cell transfusion (RBCT) after transplant. Researchers </w:t>
      </w:r>
      <w:r w:rsidRPr="00C40903">
        <w:rPr>
          <w:shd w:val="clear" w:color="auto" w:fill="FFFFFF"/>
        </w:rPr>
        <w:t>found</w:t>
      </w:r>
      <w:r>
        <w:rPr>
          <w:shd w:val="clear" w:color="auto" w:fill="FFFFFF"/>
        </w:rPr>
        <w:t xml:space="preserve"> that the </w:t>
      </w:r>
      <w:r w:rsidRPr="00C40903">
        <w:rPr>
          <w:shd w:val="clear" w:color="auto" w:fill="FFFFFF"/>
        </w:rPr>
        <w:t xml:space="preserve">risk </w:t>
      </w:r>
      <w:r>
        <w:rPr>
          <w:shd w:val="clear" w:color="auto" w:fill="FFFFFF"/>
        </w:rPr>
        <w:t>of</w:t>
      </w:r>
      <w:r w:rsidRPr="00C40903">
        <w:rPr>
          <w:shd w:val="clear" w:color="auto" w:fill="FFFFFF"/>
        </w:rPr>
        <w:t xml:space="preserve"> developing </w:t>
      </w:r>
      <w:r>
        <w:rPr>
          <w:shd w:val="clear" w:color="auto" w:fill="FFFFFF"/>
        </w:rPr>
        <w:t>venous thromboembolism, deep vein thrombosis or pulmonary embolism was</w:t>
      </w:r>
      <w:r w:rsidRPr="00C40903">
        <w:rPr>
          <w:shd w:val="clear" w:color="auto" w:fill="FFFFFF"/>
        </w:rPr>
        <w:t xml:space="preserve"> significantly increased in kidney transplant patients receiving RBCT after transplant</w:t>
      </w:r>
      <w:r>
        <w:rPr>
          <w:shd w:val="clear" w:color="auto" w:fill="FFFFFF"/>
        </w:rPr>
        <w:t xml:space="preserve"> and therefore recipients of red blood cells should be </w:t>
      </w:r>
      <w:r w:rsidRPr="00C40903">
        <w:rPr>
          <w:shd w:val="clear" w:color="auto" w:fill="FFFFFF"/>
        </w:rPr>
        <w:t>monitor</w:t>
      </w:r>
      <w:r>
        <w:rPr>
          <w:shd w:val="clear" w:color="auto" w:fill="FFFFFF"/>
        </w:rPr>
        <w:t xml:space="preserve">ed </w:t>
      </w:r>
      <w:r w:rsidRPr="00C40903">
        <w:rPr>
          <w:shd w:val="clear" w:color="auto" w:fill="FFFFFF"/>
        </w:rPr>
        <w:t>for thrombosis.</w:t>
      </w:r>
    </w:p>
    <w:p w14:paraId="2384E63C" w14:textId="568283E1" w:rsidR="00B66AFF" w:rsidRPr="00192912" w:rsidRDefault="005A7942" w:rsidP="00192912">
      <w:pPr>
        <w:spacing w:before="120" w:after="0"/>
        <w:rPr>
          <w:rStyle w:val="Hyperlink"/>
        </w:rPr>
      </w:pPr>
      <w:hyperlink r:id="rId90">
        <w:r w:rsidR="00B66AFF" w:rsidRPr="00192912">
          <w:rPr>
            <w:rStyle w:val="Hyperlink"/>
          </w:rPr>
          <w:t>Platelet transfusion practice pattern before and after implementation of a local restrictive transfusion protocol in a neonatal intensive care unit</w:t>
        </w:r>
      </w:hyperlink>
    </w:p>
    <w:p w14:paraId="3C815CB9" w14:textId="77777777" w:rsidR="00B66AFF" w:rsidRPr="007030A0" w:rsidRDefault="00B66AFF" w:rsidP="00B66AFF">
      <w:pPr>
        <w:jc w:val="both"/>
      </w:pPr>
      <w:r w:rsidRPr="007030A0">
        <w:t>This study aimed to determine the impact of a local restrictive transfusion protocol on the number of platelet transfusions</w:t>
      </w:r>
      <w:r>
        <w:t xml:space="preserve"> given to newborns at</w:t>
      </w:r>
      <w:r w:rsidRPr="002A56AA">
        <w:t xml:space="preserve"> the Sainte-Justine Hospital, Canada</w:t>
      </w:r>
      <w:r>
        <w:t xml:space="preserve">. The study </w:t>
      </w:r>
      <w:r w:rsidRPr="007030A0">
        <w:t>compare</w:t>
      </w:r>
      <w:r>
        <w:t>d</w:t>
      </w:r>
      <w:r w:rsidRPr="007030A0">
        <w:t xml:space="preserve"> </w:t>
      </w:r>
      <w:r>
        <w:t xml:space="preserve">the decision-making strategies for </w:t>
      </w:r>
      <w:r w:rsidRPr="007030A0">
        <w:t>platelet</w:t>
      </w:r>
      <w:r>
        <w:t xml:space="preserve"> </w:t>
      </w:r>
      <w:r w:rsidRPr="007030A0">
        <w:t>transfusion</w:t>
      </w:r>
      <w:r>
        <w:t xml:space="preserve"> before and after implementation of the protocol, by comparing operation in 2013 with 2019</w:t>
      </w:r>
      <w:r w:rsidRPr="007030A0">
        <w:t>.</w:t>
      </w:r>
      <w:r>
        <w:t xml:space="preserve"> In the two years used for comparison, </w:t>
      </w:r>
      <w:r w:rsidRPr="007030A0">
        <w:t>platelet</w:t>
      </w:r>
      <w:r>
        <w:t xml:space="preserve"> </w:t>
      </w:r>
      <w:r w:rsidRPr="007030A0">
        <w:t>transfus</w:t>
      </w:r>
      <w:r>
        <w:t>ions decreased from 9.2% to 5% of cases and a</w:t>
      </w:r>
      <w:r w:rsidRPr="007030A0">
        <w:t>dherence to protocol thresholds was 70%. Platelet transfusion justifications and determinants remained similar</w:t>
      </w:r>
      <w:r>
        <w:t>; however, the new protocols</w:t>
      </w:r>
      <w:r w:rsidRPr="007030A0">
        <w:t xml:space="preserve"> </w:t>
      </w:r>
      <w:r>
        <w:t>reduced</w:t>
      </w:r>
      <w:r w:rsidRPr="007030A0">
        <w:t xml:space="preserve"> the proportion of platelet</w:t>
      </w:r>
      <w:r>
        <w:t xml:space="preserve"> </w:t>
      </w:r>
      <w:r w:rsidRPr="007030A0">
        <w:t>transfused ne</w:t>
      </w:r>
      <w:r>
        <w:t>wborns by almost half</w:t>
      </w:r>
      <w:r w:rsidRPr="007030A0">
        <w:t>.</w:t>
      </w:r>
    </w:p>
    <w:p w14:paraId="6738FD47" w14:textId="3B01E540" w:rsidR="003248B4" w:rsidRPr="00192912" w:rsidRDefault="005A7942" w:rsidP="00192912">
      <w:pPr>
        <w:spacing w:before="120" w:after="0"/>
        <w:rPr>
          <w:rStyle w:val="Hyperlink"/>
        </w:rPr>
      </w:pPr>
      <w:hyperlink r:id="rId91">
        <w:r w:rsidR="003248B4" w:rsidRPr="00192912">
          <w:rPr>
            <w:rStyle w:val="Hyperlink"/>
          </w:rPr>
          <w:t>Evaluation of the association of platelet count, mean platelet volume, and platelet transfusion with intraventricular haemorrhage and death among preterm infants</w:t>
        </w:r>
      </w:hyperlink>
    </w:p>
    <w:p w14:paraId="10598727" w14:textId="77777777" w:rsidR="003248B4" w:rsidRPr="00D6520C" w:rsidRDefault="003248B4" w:rsidP="003248B4">
      <w:pPr>
        <w:jc w:val="both"/>
        <w:rPr>
          <w:lang w:eastAsia="en-AU"/>
        </w:rPr>
      </w:pPr>
      <w:r w:rsidRPr="000008FE">
        <w:rPr>
          <w:lang w:eastAsia="en-AU"/>
        </w:rPr>
        <w:t>Researcher</w:t>
      </w:r>
      <w:r>
        <w:rPr>
          <w:lang w:eastAsia="en-AU"/>
        </w:rPr>
        <w:t>s</w:t>
      </w:r>
      <w:r w:rsidRPr="000008FE">
        <w:rPr>
          <w:lang w:eastAsia="en-AU"/>
        </w:rPr>
        <w:t xml:space="preserve"> investigated the association between platelet transfusion count (PC) and volume (MPV) and the chance of intraventricular haemorrhage (IVH) and mortality in preterm infants. </w:t>
      </w:r>
      <w:r>
        <w:rPr>
          <w:lang w:eastAsia="en-AU"/>
        </w:rPr>
        <w:t>They</w:t>
      </w:r>
      <w:r w:rsidRPr="000008FE">
        <w:rPr>
          <w:lang w:eastAsia="en-AU"/>
        </w:rPr>
        <w:t xml:space="preserve"> found that platelet transfusion was associated with an increased risk of mortality, while decreased PC was associated with increased risks of IVH and mortality. </w:t>
      </w:r>
    </w:p>
    <w:p w14:paraId="55A2AE65" w14:textId="6554E8A6" w:rsidR="003248B4" w:rsidRDefault="005A7942" w:rsidP="00192912">
      <w:pPr>
        <w:spacing w:before="120" w:after="0"/>
        <w:rPr>
          <w:rStyle w:val="Hyperlink"/>
        </w:rPr>
      </w:pPr>
      <w:hyperlink r:id="rId92" w:history="1">
        <w:r w:rsidR="003248B4">
          <w:rPr>
            <w:rStyle w:val="Hyperlink"/>
          </w:rPr>
          <w:t>International Society for Blood Transfusion guidelines for validation of automated systems in blood establishments</w:t>
        </w:r>
      </w:hyperlink>
    </w:p>
    <w:p w14:paraId="5D09409E" w14:textId="77777777" w:rsidR="003248B4" w:rsidRPr="00D2533D" w:rsidRDefault="003248B4" w:rsidP="003248B4">
      <w:pPr>
        <w:jc w:val="both"/>
        <w:rPr>
          <w:lang w:eastAsia="en-AU"/>
        </w:rPr>
      </w:pPr>
      <w:r>
        <w:rPr>
          <w:lang w:eastAsia="en-AU"/>
        </w:rPr>
        <w:t>The I</w:t>
      </w:r>
      <w:r w:rsidRPr="00897D85">
        <w:rPr>
          <w:lang w:eastAsia="en-AU"/>
        </w:rPr>
        <w:t xml:space="preserve">nternational Society for Blood Transfusion </w:t>
      </w:r>
      <w:r>
        <w:rPr>
          <w:lang w:eastAsia="en-AU"/>
        </w:rPr>
        <w:t xml:space="preserve">guidelines for validation of automated systems in blood establishments </w:t>
      </w:r>
      <w:r w:rsidRPr="00D2533D">
        <w:rPr>
          <w:lang w:eastAsia="en-AU"/>
        </w:rPr>
        <w:t>have been updated</w:t>
      </w:r>
      <w:r>
        <w:rPr>
          <w:lang w:eastAsia="en-AU"/>
        </w:rPr>
        <w:t xml:space="preserve"> to expand on qualifications, data recovery and review processes. </w:t>
      </w:r>
      <w:r w:rsidRPr="00D2533D">
        <w:rPr>
          <w:lang w:eastAsia="en-AU"/>
        </w:rPr>
        <w:t xml:space="preserve"> The aim of these guidelines is to provide guidance on the validation of automated systems in blood establishments which may affect the safety and quality of blood components and services</w:t>
      </w:r>
      <w:r>
        <w:rPr>
          <w:lang w:eastAsia="en-AU"/>
        </w:rPr>
        <w:t>.</w:t>
      </w:r>
    </w:p>
    <w:p w14:paraId="4700C4C4" w14:textId="77777777" w:rsidR="003248B4" w:rsidRDefault="005A7942" w:rsidP="00192912">
      <w:pPr>
        <w:spacing w:before="120" w:after="0"/>
        <w:rPr>
          <w:rStyle w:val="Hyperlink"/>
        </w:rPr>
      </w:pPr>
      <w:hyperlink r:id="rId93" w:history="1">
        <w:r w:rsidR="003248B4">
          <w:rPr>
            <w:rStyle w:val="Hyperlink"/>
          </w:rPr>
          <w:t>Aged versus fresh autologous platelet transfusion in a two‐hit healthy volunteer model of transfusion‐related acute lung injury</w:t>
        </w:r>
      </w:hyperlink>
    </w:p>
    <w:p w14:paraId="0389651B" w14:textId="77777777" w:rsidR="003248B4" w:rsidRDefault="003248B4" w:rsidP="003248B4">
      <w:pPr>
        <w:jc w:val="both"/>
        <w:rPr>
          <w:rFonts w:eastAsia="Calibri"/>
        </w:rPr>
      </w:pPr>
      <w:r w:rsidRPr="00FC5663">
        <w:rPr>
          <w:shd w:val="clear" w:color="auto" w:fill="FFFFFF"/>
        </w:rPr>
        <w:t>This study investigated whether longer platelet concentrate (PC) storage time increases the risk of transfusion related acute lung injury (TRALI). Eighteen volunteers received experimental endotoxemia (2 ng/kg lipopolysaccharide), followed by fresh (2-day old) or aged (7-day old) autologous PC, or physiological saline. After 6 h</w:t>
      </w:r>
      <w:r>
        <w:rPr>
          <w:shd w:val="clear" w:color="auto" w:fill="FFFFFF"/>
        </w:rPr>
        <w:t>ours</w:t>
      </w:r>
      <w:r w:rsidRPr="00FC5663">
        <w:rPr>
          <w:shd w:val="clear" w:color="auto" w:fill="FFFFFF"/>
        </w:rPr>
        <w:t>, changes in TRALI pathways were determined using spirometry, chest X-ray, and bronchoalveolar lavage (BAL).</w:t>
      </w:r>
      <w:r w:rsidRPr="00FC5663">
        <w:rPr>
          <w:rFonts w:ascii="Open Sans" w:hAnsi="Open Sans" w:cs="Open Sans"/>
          <w:color w:val="1C1D1E"/>
          <w:shd w:val="clear" w:color="auto" w:fill="FFFFFF"/>
        </w:rPr>
        <w:t xml:space="preserve"> </w:t>
      </w:r>
      <w:r w:rsidRPr="00C9102F">
        <w:rPr>
          <w:shd w:val="clear" w:color="auto" w:fill="FFFFFF"/>
        </w:rPr>
        <w:t>Researchers found that with an</w:t>
      </w:r>
      <w:r w:rsidRPr="00FC5663">
        <w:rPr>
          <w:shd w:val="clear" w:color="auto" w:fill="FFFFFF"/>
        </w:rPr>
        <w:t xml:space="preserve"> adequate hit</w:t>
      </w:r>
      <w:r>
        <w:rPr>
          <w:shd w:val="clear" w:color="auto" w:fill="FFFFFF"/>
        </w:rPr>
        <w:t xml:space="preserve"> of</w:t>
      </w:r>
      <w:r w:rsidRPr="00FC5663">
        <w:rPr>
          <w:shd w:val="clear" w:color="auto" w:fill="FFFFFF"/>
        </w:rPr>
        <w:t xml:space="preserve"> experimental endotoxemia and platelet storage lesion, transfusion of 7-day-old PC did not increase pulmonary inflammation compared with 2-day-old PC.</w:t>
      </w:r>
    </w:p>
    <w:p w14:paraId="559102A9" w14:textId="77777777" w:rsidR="00DA346F" w:rsidRPr="00192912" w:rsidRDefault="005A7942" w:rsidP="00192912">
      <w:pPr>
        <w:spacing w:before="120" w:after="0"/>
        <w:rPr>
          <w:rStyle w:val="Hyperlink"/>
        </w:rPr>
      </w:pPr>
      <w:hyperlink r:id="rId94">
        <w:r w:rsidR="00DA346F" w:rsidRPr="00192912">
          <w:rPr>
            <w:rStyle w:val="Hyperlink"/>
          </w:rPr>
          <w:t>Association between in-ICU red blood cells transfusion and 1-year mortality in ICU survivors</w:t>
        </w:r>
      </w:hyperlink>
    </w:p>
    <w:p w14:paraId="371FE955" w14:textId="77777777" w:rsidR="00DA346F" w:rsidRPr="00AB186F" w:rsidRDefault="00DA346F" w:rsidP="00DA346F">
      <w:pPr>
        <w:jc w:val="both"/>
        <w:rPr>
          <w:rFonts w:eastAsia="Calibri"/>
        </w:rPr>
      </w:pPr>
      <w:r w:rsidRPr="00AB186F">
        <w:rPr>
          <w:rFonts w:eastAsia="Calibri"/>
        </w:rPr>
        <w:t>Th</w:t>
      </w:r>
      <w:r>
        <w:rPr>
          <w:rFonts w:eastAsia="Calibri"/>
        </w:rPr>
        <w:t xml:space="preserve">is </w:t>
      </w:r>
      <w:r w:rsidRPr="00AB186F">
        <w:rPr>
          <w:rFonts w:eastAsia="Calibri"/>
        </w:rPr>
        <w:t>study assess</w:t>
      </w:r>
      <w:r>
        <w:rPr>
          <w:rFonts w:eastAsia="Calibri"/>
        </w:rPr>
        <w:t>ed t</w:t>
      </w:r>
      <w:r w:rsidRPr="00AB186F">
        <w:rPr>
          <w:rFonts w:eastAsia="Calibri"/>
        </w:rPr>
        <w:t>he association between in</w:t>
      </w:r>
      <w:r>
        <w:rPr>
          <w:rFonts w:eastAsia="Calibri"/>
        </w:rPr>
        <w:t xml:space="preserve"> </w:t>
      </w:r>
      <w:r w:rsidRPr="00AB186F">
        <w:rPr>
          <w:rFonts w:eastAsia="Calibri"/>
        </w:rPr>
        <w:t>ICU red blood cells transfusion and 1-year mortality</w:t>
      </w:r>
      <w:r>
        <w:rPr>
          <w:rFonts w:eastAsia="Calibri"/>
        </w:rPr>
        <w:t xml:space="preserve"> in a multicentre European cohort.  Researchers found that among </w:t>
      </w:r>
      <w:r w:rsidRPr="00AB186F">
        <w:rPr>
          <w:rFonts w:eastAsia="Calibri"/>
        </w:rPr>
        <w:t xml:space="preserve">1551 ICU-survivors, 42% received at least </w:t>
      </w:r>
      <w:r>
        <w:rPr>
          <w:rFonts w:eastAsia="Calibri"/>
        </w:rPr>
        <w:t>o</w:t>
      </w:r>
      <w:r w:rsidRPr="00AB186F">
        <w:rPr>
          <w:rFonts w:eastAsia="Calibri"/>
        </w:rPr>
        <w:t>ne unit of red blood cells while in intensive care unit</w:t>
      </w:r>
      <w:r>
        <w:rPr>
          <w:rFonts w:eastAsia="Calibri"/>
        </w:rPr>
        <w:t xml:space="preserve">, </w:t>
      </w:r>
      <w:r w:rsidRPr="00720452">
        <w:rPr>
          <w:rFonts w:eastAsia="Calibri"/>
        </w:rPr>
        <w:t>and that transfusion during the ICU stay was associated with a higher risk of death during the year following discharg</w:t>
      </w:r>
      <w:r>
        <w:rPr>
          <w:rFonts w:eastAsia="Calibri"/>
        </w:rPr>
        <w:t>e</w:t>
      </w:r>
      <w:r w:rsidRPr="00AB186F">
        <w:rPr>
          <w:rFonts w:eastAsia="Calibri"/>
        </w:rPr>
        <w:t>. </w:t>
      </w:r>
    </w:p>
    <w:p w14:paraId="4415D5DE" w14:textId="77777777" w:rsidR="006A1E80" w:rsidRDefault="006A1E80" w:rsidP="00192912">
      <w:pPr>
        <w:spacing w:before="120" w:after="0"/>
      </w:pPr>
    </w:p>
    <w:p w14:paraId="527487AD" w14:textId="77777777" w:rsidR="006A1E80" w:rsidRDefault="006A1E80" w:rsidP="00192912">
      <w:pPr>
        <w:spacing w:before="120" w:after="0"/>
      </w:pPr>
    </w:p>
    <w:p w14:paraId="37D2BE39" w14:textId="77777777" w:rsidR="006A1E80" w:rsidRDefault="006A1E80" w:rsidP="00192912">
      <w:pPr>
        <w:spacing w:before="120" w:after="0"/>
      </w:pPr>
    </w:p>
    <w:p w14:paraId="4990C4A5" w14:textId="77777777" w:rsidR="006A1E80" w:rsidRDefault="006A1E80" w:rsidP="00192912">
      <w:pPr>
        <w:spacing w:before="120" w:after="0"/>
      </w:pPr>
    </w:p>
    <w:p w14:paraId="6D0F1DA9" w14:textId="77777777" w:rsidR="006A1E80" w:rsidRDefault="006A1E80" w:rsidP="00192912">
      <w:pPr>
        <w:spacing w:before="120" w:after="0"/>
      </w:pPr>
    </w:p>
    <w:p w14:paraId="3B364261" w14:textId="51D4D57E" w:rsidR="00CC732D" w:rsidRPr="00192912" w:rsidRDefault="005A7942" w:rsidP="00192912">
      <w:pPr>
        <w:spacing w:before="120" w:after="0"/>
        <w:rPr>
          <w:rStyle w:val="Hyperlink"/>
        </w:rPr>
      </w:pPr>
      <w:hyperlink r:id="rId95">
        <w:r w:rsidR="00CC732D" w:rsidRPr="5BEEB2A1">
          <w:rPr>
            <w:rStyle w:val="Hyperlink"/>
          </w:rPr>
          <w:t>Laser incubation for the rapid detection of red cell alloantibodies in human blood samples</w:t>
        </w:r>
      </w:hyperlink>
      <w:r w:rsidR="00CC732D" w:rsidRPr="00192912">
        <w:rPr>
          <w:rStyle w:val="Hyperlink"/>
        </w:rPr>
        <w:t xml:space="preserve"> </w:t>
      </w:r>
    </w:p>
    <w:p w14:paraId="2B9D6938" w14:textId="77777777" w:rsidR="00CC732D" w:rsidRDefault="00CC732D" w:rsidP="00CC732D">
      <w:pPr>
        <w:jc w:val="both"/>
        <w:rPr>
          <w:lang w:eastAsia="en-AU"/>
        </w:rPr>
      </w:pPr>
      <w:r w:rsidRPr="004876B9">
        <w:rPr>
          <w:lang w:eastAsia="en-AU"/>
        </w:rPr>
        <w:t>Pre-transfusion antibody screening requires the detection and identification of immunoglobulin G (IgG) antibodies against red blood cells (RBCs). Researchers compared a laser incubation method to the more typical heating block technology when conducing an indirect antiglobulin test. Presence of an alloantibodies were detected after 1-min incubation for 96% of samples with no samples requiring longer than 3 min of laser incubation to detect the antibodies. No samples required longer than 5 min to achieve an equivalent result to that of the 5-min heating block incubation and the laser did not damage cells or antibodies.</w:t>
      </w:r>
    </w:p>
    <w:p w14:paraId="5F94A7F4" w14:textId="64C0A879" w:rsidR="0020330C" w:rsidRDefault="005A7942" w:rsidP="004876B9">
      <w:pPr>
        <w:spacing w:before="120" w:after="0" w:line="259" w:lineRule="auto"/>
        <w:rPr>
          <w:rStyle w:val="Hyperlink"/>
        </w:rPr>
      </w:pPr>
      <w:hyperlink r:id="rId96">
        <w:r w:rsidR="0020330C" w:rsidRPr="5BEEB2A1">
          <w:rPr>
            <w:rStyle w:val="Hyperlink"/>
          </w:rPr>
          <w:t>Modelling the outcomes of different red blood cell transfusion strategies for the treatment of traumatic haemorrhage in the prehospital setting in the United Kingdom</w:t>
        </w:r>
      </w:hyperlink>
    </w:p>
    <w:p w14:paraId="64FC25AA" w14:textId="77777777" w:rsidR="0020330C" w:rsidRDefault="0020330C" w:rsidP="00427319">
      <w:pPr>
        <w:spacing w:after="0"/>
        <w:jc w:val="both"/>
      </w:pPr>
      <w:r>
        <w:rPr>
          <w:shd w:val="clear" w:color="auto" w:fill="FFFFFF"/>
        </w:rPr>
        <w:t xml:space="preserve">Researchers analysed the potential benefits of prehospital transfusion (PHT) of trauma haemorrhage patients with </w:t>
      </w:r>
      <w:r w:rsidRPr="000811EB">
        <w:rPr>
          <w:shd w:val="clear" w:color="auto" w:fill="FFFFFF"/>
        </w:rPr>
        <w:t xml:space="preserve">O </w:t>
      </w:r>
      <w:proofErr w:type="spellStart"/>
      <w:r w:rsidRPr="000811EB">
        <w:rPr>
          <w:shd w:val="clear" w:color="auto" w:fill="FFFFFF"/>
        </w:rPr>
        <w:t>RhD</w:t>
      </w:r>
      <w:proofErr w:type="spellEnd"/>
      <w:r w:rsidRPr="000811EB">
        <w:rPr>
          <w:shd w:val="clear" w:color="auto" w:fill="FFFFFF"/>
        </w:rPr>
        <w:t>-positive red blood cells (RBCs)</w:t>
      </w:r>
      <w:r>
        <w:rPr>
          <w:shd w:val="clear" w:color="auto" w:fill="FFFFFF"/>
        </w:rPr>
        <w:t xml:space="preserve"> compared to no PHT to determine if these units could be a suitable replacement for the high demand </w:t>
      </w:r>
      <w:r w:rsidRPr="007E28FD">
        <w:rPr>
          <w:shd w:val="clear" w:color="auto" w:fill="FFFFFF"/>
        </w:rPr>
        <w:t xml:space="preserve">group O </w:t>
      </w:r>
      <w:proofErr w:type="spellStart"/>
      <w:r w:rsidRPr="007E28FD">
        <w:rPr>
          <w:shd w:val="clear" w:color="auto" w:fill="FFFFFF"/>
        </w:rPr>
        <w:t>RhD</w:t>
      </w:r>
      <w:proofErr w:type="spellEnd"/>
      <w:r w:rsidRPr="007E28FD">
        <w:rPr>
          <w:shd w:val="clear" w:color="auto" w:fill="FFFFFF"/>
        </w:rPr>
        <w:t>-negative</w:t>
      </w:r>
      <w:r>
        <w:rPr>
          <w:shd w:val="clear" w:color="auto" w:fill="FFFFFF"/>
        </w:rPr>
        <w:t>.</w:t>
      </w:r>
      <w:r w:rsidRPr="007E28FD">
        <w:rPr>
          <w:shd w:val="clear" w:color="auto" w:fill="FFFFFF"/>
        </w:rPr>
        <w:t xml:space="preserve"> </w:t>
      </w:r>
      <w:r>
        <w:rPr>
          <w:shd w:val="clear" w:color="auto" w:fill="FFFFFF"/>
        </w:rPr>
        <w:t>They found that while the</w:t>
      </w:r>
      <w:r w:rsidRPr="00F12549">
        <w:rPr>
          <w:shd w:val="clear" w:color="auto" w:fill="FFFFFF"/>
        </w:rPr>
        <w:t xml:space="preserve"> use of </w:t>
      </w:r>
      <w:proofErr w:type="spellStart"/>
      <w:r w:rsidRPr="00F12549">
        <w:rPr>
          <w:shd w:val="clear" w:color="auto" w:fill="FFFFFF"/>
        </w:rPr>
        <w:t>RhD</w:t>
      </w:r>
      <w:proofErr w:type="spellEnd"/>
      <w:r w:rsidRPr="00F12549">
        <w:rPr>
          <w:shd w:val="clear" w:color="auto" w:fill="FFFFFF"/>
        </w:rPr>
        <w:t xml:space="preserve">-positive RBCs carries risks, the benefits are higher than if no PHT </w:t>
      </w:r>
      <w:r>
        <w:rPr>
          <w:shd w:val="clear" w:color="auto" w:fill="FFFFFF"/>
        </w:rPr>
        <w:t xml:space="preserve">is </w:t>
      </w:r>
      <w:r w:rsidRPr="00F12549">
        <w:rPr>
          <w:shd w:val="clear" w:color="auto" w:fill="FFFFFF"/>
        </w:rPr>
        <w:t>administered</w:t>
      </w:r>
      <w:r>
        <w:rPr>
          <w:shd w:val="clear" w:color="auto" w:fill="FFFFFF"/>
        </w:rPr>
        <w:t>, even for women of childbearing age. Researchers concluded that the use of g</w:t>
      </w:r>
      <w:r w:rsidRPr="00F12549">
        <w:rPr>
          <w:shd w:val="clear" w:color="auto" w:fill="FFFFFF"/>
        </w:rPr>
        <w:t xml:space="preserve">roup O </w:t>
      </w:r>
      <w:proofErr w:type="spellStart"/>
      <w:r w:rsidRPr="00F12549">
        <w:rPr>
          <w:shd w:val="clear" w:color="auto" w:fill="FFFFFF"/>
        </w:rPr>
        <w:t>RhD</w:t>
      </w:r>
      <w:proofErr w:type="spellEnd"/>
      <w:r w:rsidRPr="00F12549">
        <w:rPr>
          <w:shd w:val="clear" w:color="auto" w:fill="FFFFFF"/>
        </w:rPr>
        <w:t>-positive RBCs</w:t>
      </w:r>
      <w:r>
        <w:rPr>
          <w:shd w:val="clear" w:color="auto" w:fill="FFFFFF"/>
        </w:rPr>
        <w:t xml:space="preserve"> could be</w:t>
      </w:r>
      <w:r w:rsidRPr="00F12549">
        <w:rPr>
          <w:shd w:val="clear" w:color="auto" w:fill="FFFFFF"/>
        </w:rPr>
        <w:t xml:space="preserve"> considered </w:t>
      </w:r>
      <w:r>
        <w:rPr>
          <w:shd w:val="clear" w:color="auto" w:fill="FFFFFF"/>
        </w:rPr>
        <w:t>in the case of a</w:t>
      </w:r>
      <w:r w:rsidRPr="00F12549">
        <w:rPr>
          <w:shd w:val="clear" w:color="auto" w:fill="FFFFFF"/>
        </w:rPr>
        <w:t xml:space="preserve"> national shortage of </w:t>
      </w:r>
      <w:proofErr w:type="spellStart"/>
      <w:r w:rsidRPr="00F12549">
        <w:rPr>
          <w:shd w:val="clear" w:color="auto" w:fill="FFFFFF"/>
        </w:rPr>
        <w:t>RhD</w:t>
      </w:r>
      <w:proofErr w:type="spellEnd"/>
      <w:r w:rsidRPr="00F12549">
        <w:rPr>
          <w:shd w:val="clear" w:color="auto" w:fill="FFFFFF"/>
        </w:rPr>
        <w:t>-negative RBCs.</w:t>
      </w:r>
    </w:p>
    <w:p w14:paraId="2E32B1B1" w14:textId="22598BE0" w:rsidR="00760684" w:rsidRDefault="005A7942" w:rsidP="004876B9">
      <w:pPr>
        <w:spacing w:before="120" w:after="0" w:line="259" w:lineRule="auto"/>
        <w:rPr>
          <w:rStyle w:val="Hyperlink"/>
        </w:rPr>
      </w:pPr>
      <w:hyperlink r:id="rId97">
        <w:r w:rsidR="00760684" w:rsidRPr="5BEEB2A1">
          <w:rPr>
            <w:rStyle w:val="Hyperlink"/>
          </w:rPr>
          <w:t>Whole blood transfusion and paroxysmal nocturnal haemoglobinuria meet again: Minor incompatibility, major trouble</w:t>
        </w:r>
      </w:hyperlink>
    </w:p>
    <w:p w14:paraId="69D79024" w14:textId="567C2CAE" w:rsidR="00760684" w:rsidRDefault="002F14D8" w:rsidP="00760684">
      <w:pPr>
        <w:spacing w:line="257" w:lineRule="auto"/>
        <w:jc w:val="both"/>
      </w:pPr>
      <w:r>
        <w:t xml:space="preserve">This </w:t>
      </w:r>
      <w:r w:rsidR="00760684">
        <w:t>report</w:t>
      </w:r>
      <w:r>
        <w:t xml:space="preserve"> presents</w:t>
      </w:r>
      <w:r w:rsidR="00760684">
        <w:t xml:space="preserve"> a case study of a </w:t>
      </w:r>
      <w:r w:rsidR="00760684" w:rsidRPr="00840605">
        <w:t xml:space="preserve">patient </w:t>
      </w:r>
      <w:r w:rsidR="00760684">
        <w:t xml:space="preserve">who </w:t>
      </w:r>
      <w:r w:rsidR="00760684" w:rsidRPr="00840605">
        <w:t>receiv</w:t>
      </w:r>
      <w:r w:rsidR="00760684">
        <w:t>ed</w:t>
      </w:r>
      <w:r w:rsidR="00760684" w:rsidRPr="00840605">
        <w:t xml:space="preserve"> a standard low-titre group O whole blood transfusion during pre-hospital transportation.</w:t>
      </w:r>
      <w:r w:rsidR="00760684">
        <w:t xml:space="preserve"> </w:t>
      </w:r>
      <w:r w:rsidR="00760684" w:rsidRPr="00840605">
        <w:t>Following the transfusion, the patient suffered a haemolytic transfusion reaction</w:t>
      </w:r>
      <w:r w:rsidR="00760684">
        <w:t xml:space="preserve"> with researchers suggesting that</w:t>
      </w:r>
      <w:r>
        <w:t xml:space="preserve"> the</w:t>
      </w:r>
      <w:r w:rsidR="00760684">
        <w:t xml:space="preserve"> </w:t>
      </w:r>
      <w:r w:rsidR="00760684" w:rsidRPr="00840605">
        <w:t xml:space="preserve">haemolysis was likely due to minor incompatibility between the plasma from the transfused whole blood and the patient's </w:t>
      </w:r>
      <w:r w:rsidR="00FF18FB" w:rsidRPr="00FF18FB">
        <w:t>Paroxysmal nocturnal hemoglobinuria</w:t>
      </w:r>
      <w:r w:rsidR="00FF18FB">
        <w:t xml:space="preserve"> (</w:t>
      </w:r>
      <w:r w:rsidR="00760684" w:rsidRPr="00840605">
        <w:t>PNH</w:t>
      </w:r>
      <w:r w:rsidR="00FF18FB">
        <w:t>)</w:t>
      </w:r>
      <w:r w:rsidR="00760684" w:rsidRPr="00840605">
        <w:t xml:space="preserve"> red cells. Recovery was unevent</w:t>
      </w:r>
      <w:r w:rsidR="00760684">
        <w:t>ful but highlights the issue of minor</w:t>
      </w:r>
      <w:r w:rsidR="00760684" w:rsidRPr="00840605">
        <w:t xml:space="preserve"> incompatibility</w:t>
      </w:r>
      <w:r w:rsidR="00760684">
        <w:t xml:space="preserve"> in the case of emergency transfusion.</w:t>
      </w:r>
    </w:p>
    <w:p w14:paraId="68F4DA77" w14:textId="3E7778B9" w:rsidR="007F1A9A" w:rsidRPr="007F1A9A" w:rsidRDefault="0082732E" w:rsidP="007F1A9A">
      <w:pPr>
        <w:keepNext/>
        <w:keepLines/>
        <w:numPr>
          <w:ilvl w:val="0"/>
          <w:numId w:val="2"/>
        </w:numPr>
        <w:spacing w:before="240" w:after="0"/>
        <w:ind w:left="431" w:hanging="431"/>
        <w:jc w:val="both"/>
        <w:outlineLvl w:val="0"/>
        <w:rPr>
          <w:rFonts w:eastAsiaTheme="majorEastAsia" w:cstheme="majorBidi"/>
          <w:b/>
          <w:sz w:val="36"/>
          <w:szCs w:val="32"/>
        </w:rPr>
      </w:pPr>
      <w:bookmarkStart w:id="51" w:name="_Toc126935649"/>
      <w:r w:rsidRPr="000916CA">
        <w:rPr>
          <w:rFonts w:eastAsiaTheme="majorEastAsia" w:cstheme="majorBidi"/>
          <w:b/>
          <w:sz w:val="36"/>
          <w:szCs w:val="32"/>
        </w:rPr>
        <w:t>Product m</w:t>
      </w:r>
      <w:r w:rsidR="00430A43" w:rsidRPr="000916CA">
        <w:rPr>
          <w:rFonts w:eastAsiaTheme="majorEastAsia" w:cstheme="majorBidi"/>
          <w:b/>
          <w:sz w:val="36"/>
          <w:szCs w:val="32"/>
        </w:rPr>
        <w:t>anagement</w:t>
      </w:r>
      <w:bookmarkEnd w:id="51"/>
    </w:p>
    <w:p w14:paraId="746FA56B" w14:textId="5EE0066F" w:rsidR="007F1A9A" w:rsidRDefault="007F1A9A" w:rsidP="00AD36FC">
      <w:pPr>
        <w:spacing w:before="0"/>
        <w:jc w:val="both"/>
      </w:pPr>
      <w:r>
        <w:t xml:space="preserve">This section includes published research on product management to improve patient outcomes and reduce wastage of blood products. </w:t>
      </w:r>
    </w:p>
    <w:p w14:paraId="5AA24198" w14:textId="221E8750" w:rsidR="007F1A9A" w:rsidRDefault="007F1A9A" w:rsidP="008E6DE4">
      <w:pPr>
        <w:numPr>
          <w:ilvl w:val="1"/>
          <w:numId w:val="2"/>
        </w:numPr>
        <w:spacing w:before="0" w:after="0"/>
        <w:ind w:left="578" w:hanging="578"/>
        <w:jc w:val="both"/>
        <w:outlineLvl w:val="1"/>
      </w:pPr>
      <w:bookmarkStart w:id="52" w:name="_Toc126935650"/>
      <w:r w:rsidRPr="00AD36FC">
        <w:rPr>
          <w:rFonts w:cs="Arial"/>
          <w:b/>
          <w:sz w:val="28"/>
          <w:szCs w:val="36"/>
        </w:rPr>
        <w:t>Storage</w:t>
      </w:r>
      <w:bookmarkEnd w:id="52"/>
    </w:p>
    <w:p w14:paraId="3C0EC714" w14:textId="77777777" w:rsidR="00B15C51" w:rsidRPr="00192912" w:rsidRDefault="005A7942" w:rsidP="00192912">
      <w:pPr>
        <w:spacing w:before="120" w:after="0"/>
        <w:rPr>
          <w:rStyle w:val="Hyperlink"/>
        </w:rPr>
      </w:pPr>
      <w:hyperlink r:id="rId98">
        <w:r w:rsidR="00B15C51" w:rsidRPr="00192912">
          <w:rPr>
            <w:rStyle w:val="Hyperlink"/>
          </w:rPr>
          <w:t>Frozen and freeze‐dried solvent/detergent treated plasma: Two different pharmaceutical formulations with comparable quality</w:t>
        </w:r>
      </w:hyperlink>
    </w:p>
    <w:p w14:paraId="1DF820CF" w14:textId="77777777" w:rsidR="00B15C51" w:rsidRDefault="00B15C51" w:rsidP="00B15C51">
      <w:pPr>
        <w:spacing w:line="257" w:lineRule="auto"/>
        <w:jc w:val="both"/>
      </w:pPr>
      <w:proofErr w:type="spellStart"/>
      <w:r>
        <w:rPr>
          <w:rFonts w:eastAsia="Calibri"/>
          <w:color w:val="000000" w:themeColor="text1"/>
        </w:rPr>
        <w:t>Octopharma</w:t>
      </w:r>
      <w:proofErr w:type="spellEnd"/>
      <w:r>
        <w:rPr>
          <w:rFonts w:eastAsia="Calibri"/>
          <w:color w:val="000000" w:themeColor="text1"/>
        </w:rPr>
        <w:t xml:space="preserve"> have released a </w:t>
      </w:r>
      <w:r w:rsidRPr="00767C78">
        <w:rPr>
          <w:rFonts w:eastAsia="Calibri"/>
          <w:color w:val="000000" w:themeColor="text1"/>
        </w:rPr>
        <w:t xml:space="preserve">new freeze-dried form of </w:t>
      </w:r>
      <w:r>
        <w:rPr>
          <w:rFonts w:eastAsia="Calibri"/>
          <w:color w:val="000000" w:themeColor="text1"/>
        </w:rPr>
        <w:t xml:space="preserve">its </w:t>
      </w:r>
      <w:r w:rsidRPr="00767C78">
        <w:rPr>
          <w:rFonts w:eastAsia="Calibri"/>
          <w:color w:val="000000" w:themeColor="text1"/>
        </w:rPr>
        <w:t xml:space="preserve">plasma product </w:t>
      </w:r>
      <w:proofErr w:type="spellStart"/>
      <w:r w:rsidRPr="00767C78">
        <w:rPr>
          <w:rFonts w:eastAsia="Calibri"/>
          <w:color w:val="000000" w:themeColor="text1"/>
        </w:rPr>
        <w:t>OctaplasLG</w:t>
      </w:r>
      <w:proofErr w:type="spellEnd"/>
      <w:r>
        <w:rPr>
          <w:rFonts w:eastAsia="Calibri"/>
          <w:color w:val="000000" w:themeColor="text1"/>
        </w:rPr>
        <w:t xml:space="preserve">. </w:t>
      </w:r>
      <w:proofErr w:type="spellStart"/>
      <w:r>
        <w:rPr>
          <w:rFonts w:eastAsia="Calibri"/>
          <w:color w:val="000000" w:themeColor="text1"/>
        </w:rPr>
        <w:t>OctaplasLG</w:t>
      </w:r>
      <w:proofErr w:type="spellEnd"/>
      <w:r>
        <w:rPr>
          <w:rFonts w:eastAsia="Calibri"/>
          <w:color w:val="000000" w:themeColor="text1"/>
        </w:rPr>
        <w:t xml:space="preserve"> and the new product </w:t>
      </w:r>
      <w:proofErr w:type="spellStart"/>
      <w:r>
        <w:rPr>
          <w:rFonts w:eastAsia="Calibri"/>
          <w:color w:val="000000" w:themeColor="text1"/>
        </w:rPr>
        <w:t>OctaplasLG</w:t>
      </w:r>
      <w:proofErr w:type="spellEnd"/>
      <w:r>
        <w:rPr>
          <w:rFonts w:eastAsia="Calibri"/>
          <w:color w:val="000000" w:themeColor="text1"/>
        </w:rPr>
        <w:t xml:space="preserve"> </w:t>
      </w:r>
      <w:proofErr w:type="spellStart"/>
      <w:r>
        <w:rPr>
          <w:rFonts w:eastAsia="Calibri"/>
          <w:color w:val="000000" w:themeColor="text1"/>
        </w:rPr>
        <w:t>Lyo</w:t>
      </w:r>
      <w:proofErr w:type="spellEnd"/>
      <w:r>
        <w:rPr>
          <w:rFonts w:eastAsia="Calibri"/>
          <w:color w:val="000000" w:themeColor="text1"/>
        </w:rPr>
        <w:t xml:space="preserve"> are </w:t>
      </w:r>
      <w:r w:rsidRPr="1F1482E1">
        <w:rPr>
          <w:rFonts w:eastAsia="Calibri"/>
          <w:color w:val="000000" w:themeColor="text1"/>
        </w:rPr>
        <w:t>used for treating complex coagulation factor deficiencies</w:t>
      </w:r>
      <w:r>
        <w:rPr>
          <w:rFonts w:eastAsia="Calibri"/>
          <w:color w:val="000000" w:themeColor="text1"/>
        </w:rPr>
        <w:t xml:space="preserve">. </w:t>
      </w:r>
      <w:proofErr w:type="spellStart"/>
      <w:r>
        <w:rPr>
          <w:rFonts w:eastAsia="Calibri"/>
          <w:color w:val="000000" w:themeColor="text1"/>
        </w:rPr>
        <w:t>Octopharma</w:t>
      </w:r>
      <w:proofErr w:type="spellEnd"/>
      <w:r>
        <w:rPr>
          <w:rFonts w:eastAsia="Calibri"/>
          <w:color w:val="000000" w:themeColor="text1"/>
        </w:rPr>
        <w:t xml:space="preserve"> have stated that the new product offers quicker </w:t>
      </w:r>
      <w:r w:rsidRPr="1F1482E1">
        <w:rPr>
          <w:rFonts w:eastAsia="Calibri"/>
          <w:color w:val="000000" w:themeColor="text1"/>
        </w:rPr>
        <w:t>reconstitution</w:t>
      </w:r>
      <w:r>
        <w:rPr>
          <w:rFonts w:eastAsia="Calibri"/>
          <w:color w:val="000000" w:themeColor="text1"/>
        </w:rPr>
        <w:t xml:space="preserve">, enabling </w:t>
      </w:r>
      <w:r w:rsidRPr="1F1482E1">
        <w:rPr>
          <w:rFonts w:eastAsia="Calibri"/>
          <w:color w:val="000000" w:themeColor="text1"/>
        </w:rPr>
        <w:t>more flexible storage conditions</w:t>
      </w:r>
      <w:r>
        <w:rPr>
          <w:rFonts w:eastAsia="Calibri"/>
          <w:color w:val="000000" w:themeColor="text1"/>
        </w:rPr>
        <w:t xml:space="preserve"> </w:t>
      </w:r>
      <w:r w:rsidRPr="1F1482E1">
        <w:rPr>
          <w:rFonts w:eastAsia="Calibri"/>
          <w:color w:val="000000" w:themeColor="text1"/>
        </w:rPr>
        <w:t>and utili</w:t>
      </w:r>
      <w:r>
        <w:rPr>
          <w:rFonts w:eastAsia="Calibri"/>
          <w:color w:val="000000" w:themeColor="text1"/>
        </w:rPr>
        <w:t>s</w:t>
      </w:r>
      <w:r w:rsidRPr="1F1482E1">
        <w:rPr>
          <w:rFonts w:eastAsia="Calibri"/>
          <w:color w:val="000000" w:themeColor="text1"/>
        </w:rPr>
        <w:t xml:space="preserve">ation. </w:t>
      </w:r>
    </w:p>
    <w:p w14:paraId="55968C7A" w14:textId="77777777" w:rsidR="00BD7CB7" w:rsidRPr="00192912" w:rsidRDefault="005A7942" w:rsidP="00192912">
      <w:pPr>
        <w:spacing w:before="120" w:after="0"/>
        <w:rPr>
          <w:rStyle w:val="Hyperlink"/>
        </w:rPr>
      </w:pPr>
      <w:hyperlink r:id="rId99">
        <w:r w:rsidR="00BD7CB7" w:rsidRPr="5BEEB2A1">
          <w:rPr>
            <w:rStyle w:val="Hyperlink"/>
          </w:rPr>
          <w:t>A data‐driven approach to determine daily platelet order quantities at hospitals</w:t>
        </w:r>
      </w:hyperlink>
    </w:p>
    <w:p w14:paraId="0B9815D7" w14:textId="5C6A13CE" w:rsidR="00BD7CB7" w:rsidRDefault="00BD7CB7" w:rsidP="00BD7CB7">
      <w:pPr>
        <w:spacing w:line="257" w:lineRule="auto"/>
        <w:jc w:val="both"/>
        <w:rPr>
          <w:rFonts w:eastAsia="Calibri"/>
          <w:color w:val="000000" w:themeColor="text1"/>
        </w:rPr>
      </w:pPr>
      <w:r>
        <w:rPr>
          <w:rFonts w:eastAsia="Calibri"/>
          <w:color w:val="000000" w:themeColor="text1"/>
        </w:rPr>
        <w:t xml:space="preserve">Researchers </w:t>
      </w:r>
      <w:r w:rsidRPr="5BEEB2A1">
        <w:rPr>
          <w:rFonts w:eastAsia="Calibri"/>
          <w:color w:val="000000" w:themeColor="text1"/>
        </w:rPr>
        <w:t>developed a prediction model to guide the daily ordering quantity of platelet units at a hospital that order</w:t>
      </w:r>
      <w:r>
        <w:rPr>
          <w:rFonts w:eastAsia="Calibri"/>
          <w:color w:val="000000" w:themeColor="text1"/>
        </w:rPr>
        <w:t>ed</w:t>
      </w:r>
      <w:r w:rsidRPr="5BEEB2A1">
        <w:rPr>
          <w:rFonts w:eastAsia="Calibri"/>
          <w:color w:val="000000" w:themeColor="text1"/>
        </w:rPr>
        <w:t xml:space="preserve"> units from a central supplier. The model </w:t>
      </w:r>
      <w:r w:rsidRPr="0051745E">
        <w:rPr>
          <w:rFonts w:eastAsia="Calibri"/>
          <w:color w:val="000000" w:themeColor="text1"/>
        </w:rPr>
        <w:t>place</w:t>
      </w:r>
      <w:r>
        <w:rPr>
          <w:rFonts w:eastAsia="Calibri"/>
          <w:color w:val="000000" w:themeColor="text1"/>
        </w:rPr>
        <w:t xml:space="preserve">s </w:t>
      </w:r>
      <w:r w:rsidRPr="0051745E">
        <w:rPr>
          <w:rFonts w:eastAsia="Calibri"/>
          <w:color w:val="000000" w:themeColor="text1"/>
        </w:rPr>
        <w:t>order</w:t>
      </w:r>
      <w:r>
        <w:rPr>
          <w:rFonts w:eastAsia="Calibri"/>
          <w:color w:val="000000" w:themeColor="text1"/>
        </w:rPr>
        <w:t>s</w:t>
      </w:r>
      <w:r w:rsidRPr="0051745E">
        <w:rPr>
          <w:rFonts w:eastAsia="Calibri"/>
          <w:color w:val="000000" w:themeColor="text1"/>
        </w:rPr>
        <w:t xml:space="preserve"> at the end of each day to bring the platelet inventory to the predicted demand</w:t>
      </w:r>
      <w:r>
        <w:rPr>
          <w:rFonts w:eastAsia="Calibri"/>
          <w:color w:val="000000" w:themeColor="text1"/>
        </w:rPr>
        <w:t xml:space="preserve"> for</w:t>
      </w:r>
      <w:r w:rsidRPr="0051745E">
        <w:rPr>
          <w:rFonts w:eastAsia="Calibri"/>
          <w:color w:val="000000" w:themeColor="text1"/>
        </w:rPr>
        <w:t xml:space="preserve"> the next day </w:t>
      </w:r>
      <w:r>
        <w:rPr>
          <w:rFonts w:eastAsia="Calibri"/>
          <w:color w:val="000000" w:themeColor="text1"/>
        </w:rPr>
        <w:t>while also factoring in</w:t>
      </w:r>
      <w:r w:rsidRPr="5BEEB2A1">
        <w:rPr>
          <w:rFonts w:eastAsia="Calibri"/>
          <w:color w:val="000000" w:themeColor="text1"/>
        </w:rPr>
        <w:t xml:space="preserve"> inventory costs of wastage and shortage.</w:t>
      </w:r>
    </w:p>
    <w:p w14:paraId="6C86ABD0" w14:textId="057A2C93" w:rsidR="004876B9" w:rsidRDefault="004876B9" w:rsidP="00BD7CB7">
      <w:pPr>
        <w:spacing w:line="257" w:lineRule="auto"/>
        <w:jc w:val="both"/>
        <w:rPr>
          <w:rFonts w:eastAsia="Calibri"/>
          <w:color w:val="000000" w:themeColor="text1"/>
        </w:rPr>
      </w:pPr>
    </w:p>
    <w:p w14:paraId="3B0CA6FE" w14:textId="788D2B14" w:rsidR="004876B9" w:rsidRDefault="004876B9" w:rsidP="00BD7CB7">
      <w:pPr>
        <w:spacing w:line="257" w:lineRule="auto"/>
        <w:jc w:val="both"/>
        <w:rPr>
          <w:rFonts w:eastAsia="Calibri"/>
          <w:color w:val="000000" w:themeColor="text1"/>
        </w:rPr>
      </w:pPr>
    </w:p>
    <w:p w14:paraId="5ABAA908" w14:textId="75904088" w:rsidR="004876B9" w:rsidRDefault="004876B9" w:rsidP="00BD7CB7">
      <w:pPr>
        <w:spacing w:line="257" w:lineRule="auto"/>
        <w:jc w:val="both"/>
        <w:rPr>
          <w:rFonts w:eastAsia="Calibri"/>
          <w:color w:val="000000" w:themeColor="text1"/>
        </w:rPr>
      </w:pPr>
    </w:p>
    <w:p w14:paraId="3A0895B2" w14:textId="2DC8738F" w:rsidR="004876B9" w:rsidRDefault="004876B9" w:rsidP="00BD7CB7">
      <w:pPr>
        <w:spacing w:line="257" w:lineRule="auto"/>
        <w:jc w:val="both"/>
        <w:rPr>
          <w:rFonts w:eastAsia="Calibri"/>
          <w:color w:val="000000" w:themeColor="text1"/>
        </w:rPr>
      </w:pPr>
    </w:p>
    <w:p w14:paraId="7E05FF20" w14:textId="77777777" w:rsidR="004876B9" w:rsidRDefault="004876B9" w:rsidP="00BD7CB7">
      <w:pPr>
        <w:spacing w:line="257" w:lineRule="auto"/>
        <w:jc w:val="both"/>
      </w:pPr>
    </w:p>
    <w:p w14:paraId="324BAEE3" w14:textId="0F98736F" w:rsidR="007F1A9A" w:rsidRDefault="007F1A9A" w:rsidP="00AD36FC">
      <w:pPr>
        <w:numPr>
          <w:ilvl w:val="1"/>
          <w:numId w:val="2"/>
        </w:numPr>
        <w:spacing w:before="120" w:after="0"/>
        <w:ind w:left="578" w:hanging="578"/>
        <w:jc w:val="both"/>
        <w:outlineLvl w:val="1"/>
        <w:rPr>
          <w:rFonts w:cs="Arial"/>
          <w:b/>
          <w:sz w:val="28"/>
          <w:szCs w:val="36"/>
        </w:rPr>
      </w:pPr>
      <w:bookmarkStart w:id="53" w:name="_Toc126935651"/>
      <w:r w:rsidRPr="00AD36FC">
        <w:rPr>
          <w:rFonts w:cs="Arial"/>
          <w:b/>
          <w:sz w:val="28"/>
          <w:szCs w:val="36"/>
        </w:rPr>
        <w:lastRenderedPageBreak/>
        <w:t>Treatment</w:t>
      </w:r>
      <w:bookmarkEnd w:id="53"/>
    </w:p>
    <w:p w14:paraId="1821A88D" w14:textId="77777777" w:rsidR="002A4D84" w:rsidRPr="00192912" w:rsidRDefault="005A7942" w:rsidP="00192912">
      <w:pPr>
        <w:spacing w:before="120" w:after="0"/>
        <w:rPr>
          <w:rStyle w:val="Hyperlink"/>
        </w:rPr>
      </w:pPr>
      <w:hyperlink r:id="rId100" w:history="1">
        <w:r w:rsidR="002A4D84">
          <w:rPr>
            <w:rStyle w:val="Hyperlink"/>
          </w:rPr>
          <w:t xml:space="preserve">Prothrombin </w:t>
        </w:r>
        <w:proofErr w:type="gramStart"/>
        <w:r w:rsidR="002A4D84">
          <w:rPr>
            <w:rStyle w:val="Hyperlink"/>
          </w:rPr>
          <w:t>complex</w:t>
        </w:r>
        <w:proofErr w:type="gramEnd"/>
        <w:r w:rsidR="002A4D84">
          <w:rPr>
            <w:rStyle w:val="Hyperlink"/>
          </w:rPr>
          <w:t xml:space="preserve"> concentrate in cardiac surgery for the treatment of coagulopathic bleeding</w:t>
        </w:r>
      </w:hyperlink>
    </w:p>
    <w:p w14:paraId="5E4BE085" w14:textId="77777777" w:rsidR="002A4D84" w:rsidRPr="009C11B7" w:rsidRDefault="002A4D84" w:rsidP="002A4D84">
      <w:pPr>
        <w:jc w:val="both"/>
      </w:pPr>
      <w:r w:rsidRPr="009C11B7">
        <w:t>This review assessed whether</w:t>
      </w:r>
      <w:r>
        <w:t xml:space="preserve"> use of</w:t>
      </w:r>
      <w:r w:rsidRPr="009C11B7">
        <w:t xml:space="preserve"> prothrombin complex concentrates </w:t>
      </w:r>
      <w:r>
        <w:t>(PCCs) could be an alternative treatment option to the use of fresh frozen plasma in reducing the risk of bleeding following cardiac surgery</w:t>
      </w:r>
      <w:r w:rsidRPr="009C11B7">
        <w:t xml:space="preserve">. Researchers found that </w:t>
      </w:r>
      <w:r>
        <w:t>PCC</w:t>
      </w:r>
      <w:r w:rsidRPr="009C11B7">
        <w:t xml:space="preserve"> treatment reduced red blood cell (RBC) transfusion overall </w:t>
      </w:r>
      <w:r>
        <w:t>and there was no</w:t>
      </w:r>
      <w:r w:rsidRPr="009C11B7">
        <w:t xml:space="preserve"> reported difference</w:t>
      </w:r>
      <w:r>
        <w:t xml:space="preserve"> to</w:t>
      </w:r>
      <w:r w:rsidRPr="009C11B7">
        <w:t xml:space="preserve"> blood clots, death, intensive care stay </w:t>
      </w:r>
      <w:r>
        <w:t>or</w:t>
      </w:r>
      <w:r w:rsidRPr="009C11B7">
        <w:t xml:space="preserve"> the requirement of dialysis. </w:t>
      </w:r>
      <w:r>
        <w:t xml:space="preserve">However, researchers did acknowledge that </w:t>
      </w:r>
      <w:r w:rsidRPr="00E1741C">
        <w:t xml:space="preserve">the </w:t>
      </w:r>
      <w:r>
        <w:t xml:space="preserve">small </w:t>
      </w:r>
      <w:r w:rsidRPr="00E1741C">
        <w:t>number of participants was likely insufficient to detect an outcome difference.</w:t>
      </w:r>
      <w:r>
        <w:rPr>
          <w:rFonts w:ascii="Source Sans Pro" w:hAnsi="Source Sans Pro"/>
          <w:color w:val="000000"/>
          <w:shd w:val="clear" w:color="auto" w:fill="FFFFFF"/>
        </w:rPr>
        <w:t> </w:t>
      </w:r>
    </w:p>
    <w:p w14:paraId="60D92ECE" w14:textId="661BF450" w:rsidR="007359D3" w:rsidRPr="00192912" w:rsidRDefault="005A7942" w:rsidP="00192912">
      <w:pPr>
        <w:spacing w:before="120" w:after="0"/>
        <w:rPr>
          <w:rStyle w:val="Hyperlink"/>
        </w:rPr>
      </w:pPr>
      <w:hyperlink r:id="rId101">
        <w:r w:rsidR="007359D3" w:rsidRPr="00192912">
          <w:rPr>
            <w:rStyle w:val="Hyperlink"/>
          </w:rPr>
          <w:t>Effects of recombinant erythropoietin on haemoglobin levels and blood transfusion needs in patients with preoperative anaemia undergoing cardiac surgery</w:t>
        </w:r>
      </w:hyperlink>
    </w:p>
    <w:p w14:paraId="06E57EDD" w14:textId="6511FAAB" w:rsidR="007359D3" w:rsidRDefault="007359D3" w:rsidP="007359D3">
      <w:pPr>
        <w:jc w:val="both"/>
        <w:rPr>
          <w:shd w:val="clear" w:color="auto" w:fill="FFFFFF"/>
        </w:rPr>
      </w:pPr>
      <w:r>
        <w:rPr>
          <w:shd w:val="clear" w:color="auto" w:fill="FFFFFF"/>
        </w:rPr>
        <w:t>In this study, the effects of recombinant erythropoietin on haemoglobin (Hb) levels and blood transfusion needs in patients with preoperative anaemia undergoing cardiac surgery</w:t>
      </w:r>
      <w:r w:rsidR="005B37E9">
        <w:rPr>
          <w:shd w:val="clear" w:color="auto" w:fill="FFFFFF"/>
        </w:rPr>
        <w:t xml:space="preserve"> were evaluated</w:t>
      </w:r>
      <w:r>
        <w:rPr>
          <w:shd w:val="clear" w:color="auto" w:fill="FFFFFF"/>
        </w:rPr>
        <w:t>.</w:t>
      </w:r>
      <w:r w:rsidRPr="0001022D">
        <w:rPr>
          <w:shd w:val="clear" w:color="auto" w:fill="FFFFFF"/>
        </w:rPr>
        <w:t xml:space="preserve"> </w:t>
      </w:r>
      <w:r>
        <w:rPr>
          <w:shd w:val="clear" w:color="auto" w:fill="FFFFFF"/>
        </w:rPr>
        <w:t>P</w:t>
      </w:r>
      <w:r w:rsidRPr="0001022D">
        <w:rPr>
          <w:shd w:val="clear" w:color="auto" w:fill="FFFFFF"/>
        </w:rPr>
        <w:t xml:space="preserve">atients were randomly divided into two groups </w:t>
      </w:r>
      <w:r>
        <w:rPr>
          <w:shd w:val="clear" w:color="auto" w:fill="FFFFFF"/>
        </w:rPr>
        <w:t xml:space="preserve">with only the intervention group receiving </w:t>
      </w:r>
      <w:r w:rsidRPr="0001022D">
        <w:rPr>
          <w:shd w:val="clear" w:color="auto" w:fill="FFFFFF"/>
        </w:rPr>
        <w:t xml:space="preserve">recombinant erythropoietin one to three days before surgery. Intra and postoperative Hb levels and the need for blood transfusion were recorded for 3 </w:t>
      </w:r>
      <w:r>
        <w:rPr>
          <w:shd w:val="clear" w:color="auto" w:fill="FFFFFF"/>
        </w:rPr>
        <w:t>days after surgery</w:t>
      </w:r>
      <w:r w:rsidRPr="0001022D">
        <w:rPr>
          <w:shd w:val="clear" w:color="auto" w:fill="FFFFFF"/>
        </w:rPr>
        <w:t xml:space="preserve">. </w:t>
      </w:r>
      <w:r>
        <w:rPr>
          <w:shd w:val="clear" w:color="auto" w:fill="FFFFFF"/>
        </w:rPr>
        <w:t>Researcher</w:t>
      </w:r>
      <w:r w:rsidR="005B37E9">
        <w:rPr>
          <w:shd w:val="clear" w:color="auto" w:fill="FFFFFF"/>
        </w:rPr>
        <w:t>s</w:t>
      </w:r>
      <w:r>
        <w:rPr>
          <w:shd w:val="clear" w:color="auto" w:fill="FFFFFF"/>
        </w:rPr>
        <w:t xml:space="preserve"> found that t</w:t>
      </w:r>
      <w:r w:rsidRPr="0001022D">
        <w:rPr>
          <w:shd w:val="clear" w:color="auto" w:fill="FFFFFF"/>
        </w:rPr>
        <w:t xml:space="preserve">he use of recombinant erythropoietin before cardiac surgery </w:t>
      </w:r>
      <w:r>
        <w:rPr>
          <w:shd w:val="clear" w:color="auto" w:fill="FFFFFF"/>
        </w:rPr>
        <w:t xml:space="preserve">limited the reduction of </w:t>
      </w:r>
      <w:r w:rsidRPr="0001022D">
        <w:rPr>
          <w:shd w:val="clear" w:color="auto" w:fill="FFFFFF"/>
        </w:rPr>
        <w:t>Hb and decreased blood transfusion needs.</w:t>
      </w:r>
    </w:p>
    <w:p w14:paraId="4C3FF58C" w14:textId="2E54407B" w:rsidR="00942716" w:rsidRPr="00192912" w:rsidRDefault="005A7942" w:rsidP="00942716">
      <w:pPr>
        <w:spacing w:before="120" w:after="0"/>
        <w:rPr>
          <w:rStyle w:val="Hyperlink"/>
        </w:rPr>
      </w:pPr>
      <w:hyperlink r:id="rId102">
        <w:r w:rsidR="00942716" w:rsidRPr="00192912">
          <w:rPr>
            <w:rStyle w:val="Hyperlink"/>
          </w:rPr>
          <w:t xml:space="preserve">Red cells manufactured from </w:t>
        </w:r>
        <w:proofErr w:type="spellStart"/>
        <w:r w:rsidR="00942716" w:rsidRPr="00192912">
          <w:rPr>
            <w:rStyle w:val="Hyperlink"/>
          </w:rPr>
          <w:t>lipaemic</w:t>
        </w:r>
        <w:proofErr w:type="spellEnd"/>
        <w:r w:rsidR="00942716" w:rsidRPr="00192912">
          <w:rPr>
            <w:rStyle w:val="Hyperlink"/>
          </w:rPr>
          <w:t xml:space="preserve"> whole blood donations: Do they have higher haemolysis?</w:t>
        </w:r>
      </w:hyperlink>
    </w:p>
    <w:p w14:paraId="4CBBD254" w14:textId="77777777" w:rsidR="00942716" w:rsidRDefault="00942716" w:rsidP="00942716">
      <w:pPr>
        <w:jc w:val="both"/>
        <w:rPr>
          <w:rFonts w:eastAsia="Calibri"/>
        </w:rPr>
      </w:pPr>
      <w:r>
        <w:rPr>
          <w:shd w:val="clear" w:color="auto" w:fill="FFFFFF"/>
        </w:rPr>
        <w:t xml:space="preserve">This study aimed to investigate associations between lipoproteins in plasma and haemolysis of red cells </w:t>
      </w:r>
      <w:r w:rsidRPr="00CE6981">
        <w:t xml:space="preserve">stored in saline–adenine–glucose–mannitol (SAGM). Lipaemia in blood donations is thought to influence haemolysis in stored red blood cell (RBC) components. </w:t>
      </w:r>
      <w:r>
        <w:t xml:space="preserve">They found </w:t>
      </w:r>
      <w:r w:rsidRPr="00130674">
        <w:rPr>
          <w:shd w:val="clear" w:color="auto" w:fill="FFFFFF"/>
        </w:rPr>
        <w:t xml:space="preserve">no significant difference in haemolysis in RBC manufactured from </w:t>
      </w:r>
      <w:proofErr w:type="spellStart"/>
      <w:r w:rsidRPr="00130674">
        <w:rPr>
          <w:shd w:val="clear" w:color="auto" w:fill="FFFFFF"/>
        </w:rPr>
        <w:t>lipaemic</w:t>
      </w:r>
      <w:proofErr w:type="spellEnd"/>
      <w:r w:rsidRPr="00130674">
        <w:rPr>
          <w:shd w:val="clear" w:color="auto" w:fill="FFFFFF"/>
        </w:rPr>
        <w:t xml:space="preserve"> and non-</w:t>
      </w:r>
      <w:proofErr w:type="spellStart"/>
      <w:r w:rsidRPr="00130674">
        <w:rPr>
          <w:shd w:val="clear" w:color="auto" w:fill="FFFFFF"/>
        </w:rPr>
        <w:t>lipaemic</w:t>
      </w:r>
      <w:proofErr w:type="spellEnd"/>
      <w:r w:rsidRPr="00130674">
        <w:rPr>
          <w:shd w:val="clear" w:color="auto" w:fill="FFFFFF"/>
        </w:rPr>
        <w:t xml:space="preserve"> whole blood donations when stored in SAGM; however, the proportion of RBC from </w:t>
      </w:r>
      <w:proofErr w:type="spellStart"/>
      <w:r w:rsidRPr="00130674">
        <w:rPr>
          <w:shd w:val="clear" w:color="auto" w:fill="FFFFFF"/>
        </w:rPr>
        <w:t>lipaemic</w:t>
      </w:r>
      <w:proofErr w:type="spellEnd"/>
      <w:r w:rsidRPr="00130674">
        <w:rPr>
          <w:shd w:val="clear" w:color="auto" w:fill="FFFFFF"/>
        </w:rPr>
        <w:t xml:space="preserve"> donations with higher haemolysis was greater than </w:t>
      </w:r>
      <w:r>
        <w:rPr>
          <w:shd w:val="clear" w:color="auto" w:fill="FFFFFF"/>
        </w:rPr>
        <w:t xml:space="preserve">the </w:t>
      </w:r>
      <w:r w:rsidRPr="00130674">
        <w:rPr>
          <w:shd w:val="clear" w:color="auto" w:fill="FFFFFF"/>
        </w:rPr>
        <w:t xml:space="preserve">controls. </w:t>
      </w:r>
    </w:p>
    <w:p w14:paraId="6B5E0641" w14:textId="5CC4F199" w:rsidR="00FA040D" w:rsidRDefault="00001382" w:rsidP="009807FF">
      <w:pPr>
        <w:keepNext/>
        <w:keepLines/>
        <w:numPr>
          <w:ilvl w:val="0"/>
          <w:numId w:val="2"/>
        </w:numPr>
        <w:spacing w:before="240" w:after="0"/>
        <w:ind w:left="426"/>
        <w:jc w:val="both"/>
        <w:outlineLvl w:val="0"/>
        <w:rPr>
          <w:rFonts w:eastAsiaTheme="majorEastAsia" w:cstheme="majorBidi"/>
          <w:b/>
          <w:sz w:val="36"/>
          <w:szCs w:val="32"/>
        </w:rPr>
      </w:pPr>
      <w:bookmarkStart w:id="54" w:name="_Toc116476071"/>
      <w:bookmarkStart w:id="55" w:name="_Toc116476072"/>
      <w:bookmarkStart w:id="56" w:name="_Toc126935652"/>
      <w:bookmarkEnd w:id="54"/>
      <w:bookmarkEnd w:id="55"/>
      <w:r>
        <w:rPr>
          <w:rFonts w:eastAsiaTheme="majorEastAsia" w:cstheme="majorBidi"/>
          <w:b/>
          <w:sz w:val="36"/>
          <w:szCs w:val="32"/>
        </w:rPr>
        <w:t>Immunoglobulin</w:t>
      </w:r>
      <w:bookmarkEnd w:id="56"/>
    </w:p>
    <w:p w14:paraId="40F84E4E" w14:textId="4CD9C2D8" w:rsidR="00376EB2" w:rsidRDefault="00376EB2" w:rsidP="00232601">
      <w:r>
        <w:t xml:space="preserve">This section includes published research and industry publications on </w:t>
      </w:r>
      <w:r w:rsidR="0025129E">
        <w:t>the use of immunoglobulin therapies</w:t>
      </w:r>
      <w:r>
        <w:t xml:space="preserve"> to improve patient outcomes</w:t>
      </w:r>
      <w:r w:rsidR="000348E1">
        <w:t>.</w:t>
      </w:r>
      <w:r>
        <w:t xml:space="preserve"> </w:t>
      </w:r>
    </w:p>
    <w:p w14:paraId="05357657" w14:textId="77777777" w:rsidR="004110C0" w:rsidRPr="00192912" w:rsidRDefault="005A7942" w:rsidP="00192912">
      <w:pPr>
        <w:spacing w:before="120" w:after="0"/>
        <w:rPr>
          <w:rStyle w:val="Hyperlink"/>
        </w:rPr>
      </w:pPr>
      <w:hyperlink r:id="rId103" w:history="1">
        <w:r w:rsidR="004110C0" w:rsidRPr="0001022D">
          <w:rPr>
            <w:rStyle w:val="Hyperlink"/>
          </w:rPr>
          <w:t>Outcomes of ICU patients treated with intravenous immunoglobulin for sepsis or autoimmune diseases</w:t>
        </w:r>
      </w:hyperlink>
    </w:p>
    <w:p w14:paraId="6F099516" w14:textId="697C7F98" w:rsidR="004110C0" w:rsidRDefault="004110C0" w:rsidP="004110C0">
      <w:pPr>
        <w:jc w:val="both"/>
      </w:pPr>
      <w:r>
        <w:t xml:space="preserve">Researchers </w:t>
      </w:r>
      <w:r w:rsidRPr="0001022D">
        <w:t>conducted a retrospective study</w:t>
      </w:r>
      <w:r>
        <w:t xml:space="preserve"> of</w:t>
      </w:r>
      <w:r w:rsidRPr="0001022D">
        <w:t xml:space="preserve"> adult patients with sepsis </w:t>
      </w:r>
      <w:r>
        <w:t>or</w:t>
      </w:r>
      <w:r w:rsidRPr="0001022D">
        <w:t xml:space="preserve"> autoimmune diseases who received</w:t>
      </w:r>
      <w:r>
        <w:t xml:space="preserve"> intravenous immunoglobulin</w:t>
      </w:r>
      <w:r w:rsidRPr="0001022D">
        <w:t xml:space="preserve"> </w:t>
      </w:r>
      <w:r>
        <w:t>(</w:t>
      </w:r>
      <w:r w:rsidRPr="0001022D">
        <w:t>IVI</w:t>
      </w:r>
      <w:r>
        <w:t>g). They found that s</w:t>
      </w:r>
      <w:r w:rsidRPr="00AB186F">
        <w:t>eptic patients had a shorter ICU stay, received IVI</w:t>
      </w:r>
      <w:r>
        <w:t xml:space="preserve">g </w:t>
      </w:r>
      <w:r w:rsidRPr="00AB186F">
        <w:t>early, and had reduced mortality if treated with high dose IVI</w:t>
      </w:r>
      <w:r>
        <w:t>g</w:t>
      </w:r>
      <w:r w:rsidRPr="00AB186F">
        <w:t>. Patients with autoimmune diseases did not have a favo</w:t>
      </w:r>
      <w:r w:rsidR="00AD16AA">
        <w:t>u</w:t>
      </w:r>
      <w:r w:rsidRPr="00AB186F">
        <w:t>rable outcome despite IVI</w:t>
      </w:r>
      <w:r>
        <w:t>g</w:t>
      </w:r>
      <w:r w:rsidRPr="00AB186F">
        <w:t xml:space="preserve"> treatment</w:t>
      </w:r>
      <w:r>
        <w:t>, however,</w:t>
      </w:r>
      <w:r w:rsidRPr="00AB186F">
        <w:t xml:space="preserve"> IVI</w:t>
      </w:r>
      <w:r>
        <w:t>g</w:t>
      </w:r>
      <w:r w:rsidRPr="00AB186F">
        <w:t xml:space="preserve"> was administered later than in the sepsis group.</w:t>
      </w:r>
    </w:p>
    <w:p w14:paraId="6EEE6E7F" w14:textId="77777777" w:rsidR="00DF4A72" w:rsidRPr="00923C02" w:rsidRDefault="005A7942" w:rsidP="00DF4A72">
      <w:pPr>
        <w:spacing w:before="120" w:after="0"/>
        <w:rPr>
          <w:rStyle w:val="Hyperlink"/>
        </w:rPr>
      </w:pPr>
      <w:hyperlink r:id="rId104">
        <w:r w:rsidR="00DF4A72" w:rsidRPr="5BEEB2A1">
          <w:rPr>
            <w:rStyle w:val="Hyperlink"/>
          </w:rPr>
          <w:t>Medical Research Future Fund (MRFF) grant recipients</w:t>
        </w:r>
      </w:hyperlink>
    </w:p>
    <w:p w14:paraId="4C11FF50" w14:textId="77F1C2E5" w:rsidR="00DF4A72" w:rsidRDefault="00DF4A72" w:rsidP="00DF4A72">
      <w:pPr>
        <w:spacing w:after="0"/>
        <w:jc w:val="both"/>
        <w:rPr>
          <w:rFonts w:eastAsia="Calibri"/>
        </w:rPr>
      </w:pPr>
      <w:r w:rsidRPr="008638BD">
        <w:rPr>
          <w:rFonts w:eastAsia="Calibri"/>
        </w:rPr>
        <w:t xml:space="preserve">Successful applicants under the Medical Research Future Fund (MRFF) </w:t>
      </w:r>
      <w:hyperlink r:id="rId105" w:history="1">
        <w:r w:rsidRPr="000348E1">
          <w:rPr>
            <w:rStyle w:val="Hyperlink"/>
            <w:i/>
            <w:iCs/>
          </w:rPr>
          <w:t>2021 Research and Data Infrastructure Grant Opportunity</w:t>
        </w:r>
      </w:hyperlink>
      <w:r w:rsidRPr="000348E1">
        <w:rPr>
          <w:rStyle w:val="Hyperlink"/>
          <w:i/>
          <w:iCs/>
        </w:rPr>
        <w:t xml:space="preserve"> and </w:t>
      </w:r>
      <w:hyperlink r:id="rId106" w:history="1">
        <w:r w:rsidRPr="000348E1">
          <w:rPr>
            <w:rStyle w:val="Hyperlink"/>
            <w:i/>
            <w:iCs/>
          </w:rPr>
          <w:t>2021 Optimising the Clinical Use of Immunoglobulins Grant Opportunity</w:t>
        </w:r>
      </w:hyperlink>
      <w:r w:rsidRPr="008638BD">
        <w:rPr>
          <w:rFonts w:eastAsia="Calibri"/>
        </w:rPr>
        <w:t xml:space="preserve"> were confirmed. This included $2.9 million in funding to the Monash University National Transfusion Dataset Team to expand the national transfusion dataset (NTD) from five to 20 hospitals nationally,</w:t>
      </w:r>
      <w:r w:rsidR="005B37E9">
        <w:rPr>
          <w:rFonts w:eastAsia="Calibri"/>
        </w:rPr>
        <w:t xml:space="preserve"> </w:t>
      </w:r>
      <w:r w:rsidRPr="008638BD">
        <w:rPr>
          <w:rFonts w:eastAsia="Calibri"/>
        </w:rPr>
        <w:t xml:space="preserve">and </w:t>
      </w:r>
      <w:r w:rsidR="005B37E9">
        <w:rPr>
          <w:rFonts w:eastAsia="Calibri"/>
        </w:rPr>
        <w:t xml:space="preserve">to </w:t>
      </w:r>
      <w:r w:rsidRPr="008638BD">
        <w:rPr>
          <w:rFonts w:eastAsia="Calibri"/>
        </w:rPr>
        <w:t>provide a more comprehensive view of transfusion practice and outcomes. It also includes just over $800,000 for a national registration process to track, collect and evaluate chronic inflammatory demyelinating polyneuropathy (CIDP) patient outcomes with real world data</w:t>
      </w:r>
      <w:r w:rsidR="005B37E9">
        <w:rPr>
          <w:rFonts w:eastAsia="Calibri"/>
        </w:rPr>
        <w:t>–</w:t>
      </w:r>
      <w:r w:rsidRPr="008638BD">
        <w:rPr>
          <w:rFonts w:eastAsia="Calibri"/>
        </w:rPr>
        <w:t xml:space="preserve"> optimising data collection and reporting through </w:t>
      </w:r>
      <w:proofErr w:type="spellStart"/>
      <w:r w:rsidRPr="008638BD">
        <w:rPr>
          <w:rFonts w:eastAsia="Calibri"/>
        </w:rPr>
        <w:t>BloodSTAR</w:t>
      </w:r>
      <w:proofErr w:type="spellEnd"/>
      <w:r w:rsidRPr="008638BD">
        <w:rPr>
          <w:rFonts w:eastAsia="Calibri"/>
        </w:rPr>
        <w:t xml:space="preserve"> to enable research and examination of Ig dosing in CIDP. The NBA is a supporting partner of both projects. </w:t>
      </w:r>
    </w:p>
    <w:p w14:paraId="10CEB79E" w14:textId="77777777" w:rsidR="006A1E80" w:rsidRPr="00964D4E" w:rsidRDefault="006A1E80" w:rsidP="00DF4A72">
      <w:pPr>
        <w:spacing w:after="0"/>
        <w:jc w:val="both"/>
        <w:rPr>
          <w:color w:val="0563C1" w:themeColor="hyperlink"/>
          <w:u w:val="single"/>
        </w:rPr>
      </w:pPr>
    </w:p>
    <w:p w14:paraId="4EA79AE1" w14:textId="7ED058EC" w:rsidR="00430A43" w:rsidRDefault="00430A43" w:rsidP="009807FF">
      <w:pPr>
        <w:keepNext/>
        <w:keepLines/>
        <w:numPr>
          <w:ilvl w:val="0"/>
          <w:numId w:val="2"/>
        </w:numPr>
        <w:spacing w:before="240" w:after="0"/>
        <w:ind w:left="431" w:hanging="431"/>
        <w:jc w:val="both"/>
        <w:outlineLvl w:val="0"/>
        <w:rPr>
          <w:rFonts w:eastAsiaTheme="majorEastAsia" w:cstheme="majorBidi"/>
          <w:b/>
          <w:sz w:val="36"/>
          <w:szCs w:val="32"/>
        </w:rPr>
      </w:pPr>
      <w:bookmarkStart w:id="57" w:name="_Toc126935653"/>
      <w:bookmarkStart w:id="58" w:name="_Hlk117244013"/>
      <w:r>
        <w:rPr>
          <w:rFonts w:eastAsiaTheme="majorEastAsia" w:cstheme="majorBidi"/>
          <w:b/>
          <w:sz w:val="36"/>
          <w:szCs w:val="32"/>
        </w:rPr>
        <w:lastRenderedPageBreak/>
        <w:t>Gene therapies</w:t>
      </w:r>
      <w:bookmarkEnd w:id="57"/>
    </w:p>
    <w:bookmarkEnd w:id="58"/>
    <w:p w14:paraId="0EED7EA3" w14:textId="77777777" w:rsidR="00430A43" w:rsidRDefault="00430A43" w:rsidP="00CE1156">
      <w:pPr>
        <w:spacing w:before="0" w:after="0"/>
        <w:jc w:val="both"/>
      </w:pPr>
      <w:r>
        <w:t xml:space="preserve">This section includes industry updates and research on the progress of gene therapies though regulatory bodies as well as gene therapy safety. </w:t>
      </w:r>
    </w:p>
    <w:p w14:paraId="481FDEF9" w14:textId="7403920E" w:rsidR="00430A43" w:rsidRDefault="00FC58C9" w:rsidP="009807FF">
      <w:pPr>
        <w:numPr>
          <w:ilvl w:val="1"/>
          <w:numId w:val="2"/>
        </w:numPr>
        <w:spacing w:before="120" w:after="0"/>
        <w:ind w:left="578" w:hanging="578"/>
        <w:jc w:val="both"/>
        <w:outlineLvl w:val="1"/>
        <w:rPr>
          <w:rFonts w:cs="Arial"/>
          <w:b/>
          <w:sz w:val="28"/>
          <w:szCs w:val="36"/>
        </w:rPr>
      </w:pPr>
      <w:bookmarkStart w:id="59" w:name="_Toc126935654"/>
      <w:r>
        <w:rPr>
          <w:rFonts w:cs="Arial"/>
          <w:b/>
          <w:sz w:val="28"/>
          <w:szCs w:val="36"/>
        </w:rPr>
        <w:t>G</w:t>
      </w:r>
      <w:r w:rsidR="00430A43">
        <w:rPr>
          <w:rFonts w:cs="Arial"/>
          <w:b/>
          <w:sz w:val="28"/>
          <w:szCs w:val="36"/>
        </w:rPr>
        <w:t>ene therapies</w:t>
      </w:r>
      <w:r>
        <w:rPr>
          <w:rFonts w:cs="Arial"/>
          <w:b/>
          <w:sz w:val="28"/>
          <w:szCs w:val="36"/>
        </w:rPr>
        <w:t>: blood and bleeding disorders</w:t>
      </w:r>
      <w:bookmarkEnd w:id="59"/>
    </w:p>
    <w:p w14:paraId="421AFD97" w14:textId="77777777" w:rsidR="00576224" w:rsidRDefault="005A7942" w:rsidP="00576224">
      <w:pPr>
        <w:spacing w:before="120" w:after="0"/>
        <w:rPr>
          <w:rStyle w:val="Hyperlink"/>
        </w:rPr>
      </w:pPr>
      <w:hyperlink r:id="rId107" w:history="1">
        <w:r w:rsidR="00576224">
          <w:rPr>
            <w:rStyle w:val="Hyperlink"/>
          </w:rPr>
          <w:t>FDA approves first gene therapy for haemophilia B</w:t>
        </w:r>
      </w:hyperlink>
    </w:p>
    <w:p w14:paraId="207F4FD7" w14:textId="77777777" w:rsidR="00576224" w:rsidRDefault="00576224" w:rsidP="00576224">
      <w:pPr>
        <w:jc w:val="both"/>
      </w:pPr>
      <w:r>
        <w:t xml:space="preserve">The US FDA has approved CSL’s gene therapy </w:t>
      </w:r>
      <w:proofErr w:type="spellStart"/>
      <w:r>
        <w:t>e</w:t>
      </w:r>
      <w:r w:rsidRPr="00C648AC">
        <w:t>tranacogene</w:t>
      </w:r>
      <w:proofErr w:type="spellEnd"/>
      <w:r w:rsidRPr="00C648AC">
        <w:t xml:space="preserve"> </w:t>
      </w:r>
      <w:proofErr w:type="spellStart"/>
      <w:r w:rsidRPr="00C648AC">
        <w:t>dezaparvovec</w:t>
      </w:r>
      <w:proofErr w:type="spellEnd"/>
      <w:r>
        <w:t xml:space="preserve"> (</w:t>
      </w:r>
      <w:proofErr w:type="spellStart"/>
      <w:r>
        <w:t>Hemgenix</w:t>
      </w:r>
      <w:proofErr w:type="spellEnd"/>
      <w:r>
        <w:t xml:space="preserve">) for the treatment of haemophilia B. </w:t>
      </w:r>
      <w:proofErr w:type="spellStart"/>
      <w:r>
        <w:t>Hemgenix</w:t>
      </w:r>
      <w:proofErr w:type="spellEnd"/>
      <w:r>
        <w:t xml:space="preserve"> is</w:t>
      </w:r>
      <w:r w:rsidRPr="00D71641">
        <w:t xml:space="preserve"> a</w:t>
      </w:r>
      <w:r>
        <w:t xml:space="preserve">n </w:t>
      </w:r>
      <w:r w:rsidRPr="00D71641">
        <w:t xml:space="preserve">adeno-associated virus vector-based gene therapy which consists of a viral vector carrying a gene for clotting </w:t>
      </w:r>
      <w:r>
        <w:t>f</w:t>
      </w:r>
      <w:r w:rsidRPr="00D71641">
        <w:t>actor IX</w:t>
      </w:r>
      <w:r>
        <w:t xml:space="preserve">. </w:t>
      </w:r>
      <w:r w:rsidRPr="00BA1392">
        <w:t xml:space="preserve">CSL, which licensed </w:t>
      </w:r>
      <w:proofErr w:type="spellStart"/>
      <w:r w:rsidRPr="00BA1392">
        <w:t>Hemgenix</w:t>
      </w:r>
      <w:proofErr w:type="spellEnd"/>
      <w:r w:rsidRPr="00BA1392">
        <w:t xml:space="preserve"> from </w:t>
      </w:r>
      <w:r>
        <w:t xml:space="preserve">Dutch biotechnology company </w:t>
      </w:r>
      <w:proofErr w:type="spellStart"/>
      <w:r w:rsidRPr="00BA1392">
        <w:t>UniQure</w:t>
      </w:r>
      <w:proofErr w:type="spellEnd"/>
      <w:r>
        <w:t>,</w:t>
      </w:r>
      <w:r w:rsidRPr="00BA1392">
        <w:t xml:space="preserve"> will market the </w:t>
      </w:r>
      <w:r>
        <w:t xml:space="preserve">one-time gene therapy at an expected </w:t>
      </w:r>
      <w:r w:rsidRPr="00BA1392">
        <w:t>$3.5 million</w:t>
      </w:r>
      <w:r>
        <w:t xml:space="preserve"> USD which will make it the most expensive medicine for a single-use treatment in the US.</w:t>
      </w:r>
    </w:p>
    <w:p w14:paraId="6886E648" w14:textId="49346DDC" w:rsidR="00576224" w:rsidRDefault="005A7942" w:rsidP="00427319">
      <w:pPr>
        <w:spacing w:before="0" w:after="0"/>
        <w:rPr>
          <w:rStyle w:val="Hyperlink"/>
        </w:rPr>
      </w:pPr>
      <w:hyperlink r:id="rId108" w:history="1">
        <w:r w:rsidR="00FF18FB" w:rsidRPr="005B37E9">
          <w:rPr>
            <w:rStyle w:val="Hyperlink"/>
          </w:rPr>
          <w:t>AHCDO Gene Therapy Roadmap - AHCDO - Australian Haemophilia Centre Directors' Organisation</w:t>
        </w:r>
      </w:hyperlink>
    </w:p>
    <w:p w14:paraId="7B6775FF" w14:textId="1E6708B2" w:rsidR="00FF18FB" w:rsidRDefault="00FF18FB" w:rsidP="00427319">
      <w:pPr>
        <w:spacing w:before="0" w:after="0"/>
      </w:pPr>
      <w:r w:rsidRPr="00FF18FB">
        <w:t>The Australian Haemophilia Centre Directors' Organisation (AHCDO) has developed the Gene Therapy Roadmap to provide a Clinical Implementation Plan that sets out AHCDO’s position on the preferred approach to implementation of gene therapy for haemophilia in Australia, with a focus on patient needs that is informed by clinical experience.</w:t>
      </w:r>
    </w:p>
    <w:p w14:paraId="10A2F997" w14:textId="6DFEA990" w:rsidR="009021AB" w:rsidRPr="00192912" w:rsidRDefault="005A7942" w:rsidP="009021AB">
      <w:pPr>
        <w:spacing w:before="120" w:after="0"/>
        <w:rPr>
          <w:rStyle w:val="Hyperlink"/>
        </w:rPr>
      </w:pPr>
      <w:hyperlink r:id="rId109">
        <w:r w:rsidR="009021AB" w:rsidRPr="00192912">
          <w:rPr>
            <w:rStyle w:val="Hyperlink"/>
          </w:rPr>
          <w:t>Mainstreaming cell and gene therapy – Realizing its potential</w:t>
        </w:r>
      </w:hyperlink>
    </w:p>
    <w:p w14:paraId="574DD338" w14:textId="77777777" w:rsidR="009021AB" w:rsidRDefault="009021AB" w:rsidP="009021AB">
      <w:pPr>
        <w:jc w:val="both"/>
        <w:rPr>
          <w:rFonts w:eastAsia="Calibri"/>
        </w:rPr>
      </w:pPr>
      <w:r w:rsidRPr="001922F5">
        <w:t>This</w:t>
      </w:r>
      <w:r>
        <w:rPr>
          <w:rFonts w:eastAsia="Calibri"/>
        </w:rPr>
        <w:t xml:space="preserve"> article looks at the cell and gene therapy landscape and comments on the challenges in this space such as the complexities around running clinical trials for these types of therapies.</w:t>
      </w:r>
    </w:p>
    <w:p w14:paraId="72DDE44F" w14:textId="77777777" w:rsidR="00D033E2" w:rsidRPr="00192912" w:rsidRDefault="005A7942" w:rsidP="00192912">
      <w:pPr>
        <w:spacing w:before="120" w:after="0"/>
        <w:rPr>
          <w:rStyle w:val="Hyperlink"/>
        </w:rPr>
      </w:pPr>
      <w:hyperlink r:id="rId110" w:history="1">
        <w:r w:rsidR="00D033E2" w:rsidRPr="00192912">
          <w:rPr>
            <w:rStyle w:val="Hyperlink"/>
          </w:rPr>
          <w:t>Gene therapy approvals bring validation as field closes year on high</w:t>
        </w:r>
      </w:hyperlink>
    </w:p>
    <w:p w14:paraId="458CA894" w14:textId="77777777" w:rsidR="00D033E2" w:rsidRPr="00147512" w:rsidRDefault="00D033E2" w:rsidP="00D033E2">
      <w:r>
        <w:t>Since August 2022</w:t>
      </w:r>
      <w:r w:rsidRPr="00F40126">
        <w:t>, the Food and Drug Administration</w:t>
      </w:r>
      <w:r>
        <w:t xml:space="preserve"> (FDA) has</w:t>
      </w:r>
      <w:r w:rsidRPr="00F40126">
        <w:t xml:space="preserve"> approved more gene therapies for inherited diseases than it had in the</w:t>
      </w:r>
      <w:r>
        <w:t xml:space="preserve"> </w:t>
      </w:r>
      <w:r w:rsidRPr="00F40126">
        <w:t>five years previo</w:t>
      </w:r>
      <w:r>
        <w:t>us. T</w:t>
      </w:r>
      <w:r w:rsidRPr="002E2E02">
        <w:t>he regulator</w:t>
      </w:r>
      <w:r>
        <w:t xml:space="preserve"> has</w:t>
      </w:r>
      <w:r w:rsidRPr="002E2E02">
        <w:t xml:space="preserve"> cleared treatments for a severe form of the beta thalassemia</w:t>
      </w:r>
      <w:r>
        <w:t xml:space="preserve">, </w:t>
      </w:r>
      <w:r w:rsidRPr="005242DF">
        <w:t>haemophilia B</w:t>
      </w:r>
      <w:r>
        <w:t xml:space="preserve"> and a childhood brain disease</w:t>
      </w:r>
      <w:r w:rsidRPr="005242DF">
        <w:t>.</w:t>
      </w:r>
      <w:r w:rsidRPr="00207EE6">
        <w:t xml:space="preserve"> </w:t>
      </w:r>
      <w:r>
        <w:t xml:space="preserve">Each of these </w:t>
      </w:r>
      <w:r w:rsidRPr="00207EE6">
        <w:t>gene therap</w:t>
      </w:r>
      <w:r>
        <w:t xml:space="preserve">ies </w:t>
      </w:r>
      <w:r w:rsidRPr="00207EE6">
        <w:t>cost</w:t>
      </w:r>
      <w:r>
        <w:t>s</w:t>
      </w:r>
      <w:r w:rsidRPr="00207EE6">
        <w:t xml:space="preserve"> several million dollars, </w:t>
      </w:r>
      <w:r>
        <w:t xml:space="preserve">posing </w:t>
      </w:r>
      <w:r w:rsidRPr="00207EE6">
        <w:t xml:space="preserve">barriers to patient access </w:t>
      </w:r>
      <w:r>
        <w:t>while</w:t>
      </w:r>
      <w:r w:rsidRPr="00207EE6">
        <w:t xml:space="preserve"> </w:t>
      </w:r>
      <w:r>
        <w:t>testing an</w:t>
      </w:r>
      <w:r w:rsidRPr="00207EE6">
        <w:t xml:space="preserve"> insurance system not set up </w:t>
      </w:r>
      <w:r>
        <w:t>to cover</w:t>
      </w:r>
      <w:r w:rsidRPr="00207EE6">
        <w:t xml:space="preserve"> one-time</w:t>
      </w:r>
      <w:r>
        <w:t xml:space="preserve"> curative</w:t>
      </w:r>
      <w:r w:rsidRPr="00207EE6">
        <w:t xml:space="preserve"> medicines</w:t>
      </w:r>
      <w:r>
        <w:t>.</w:t>
      </w:r>
    </w:p>
    <w:p w14:paraId="74657F0E" w14:textId="77777777" w:rsidR="00B4206C" w:rsidRPr="00192912" w:rsidRDefault="005A7942" w:rsidP="00192912">
      <w:pPr>
        <w:spacing w:before="120" w:after="0"/>
        <w:rPr>
          <w:rStyle w:val="Hyperlink"/>
        </w:rPr>
      </w:pPr>
      <w:hyperlink r:id="rId111">
        <w:r w:rsidR="00B4206C" w:rsidRPr="00192912">
          <w:rPr>
            <w:rStyle w:val="Hyperlink"/>
          </w:rPr>
          <w:t>Current strategies employed in the manipulation of gene expression for clinical purposes</w:t>
        </w:r>
      </w:hyperlink>
    </w:p>
    <w:p w14:paraId="74C82881" w14:textId="77777777" w:rsidR="00B4206C" w:rsidRPr="00EB69E3" w:rsidRDefault="00B4206C" w:rsidP="00B4206C">
      <w:pPr>
        <w:jc w:val="both"/>
      </w:pPr>
      <w:r>
        <w:t>This review</w:t>
      </w:r>
      <w:r w:rsidRPr="00EB69E3">
        <w:t xml:space="preserve"> describe</w:t>
      </w:r>
      <w:r>
        <w:t>s</w:t>
      </w:r>
      <w:r w:rsidRPr="00EB69E3">
        <w:t xml:space="preserve"> the different molecular tools that can be used to regulate gene expression and discuss their potential for clinical applications. These molecular tools are delivered into the host's cells in the form of DNA, RNA or protein using vectors that can be grouped into physical or biochemical categories. </w:t>
      </w:r>
      <w:r>
        <w:t>The</w:t>
      </w:r>
      <w:r w:rsidRPr="00EB69E3">
        <w:t xml:space="preserve"> review also discuss</w:t>
      </w:r>
      <w:r>
        <w:t>es</w:t>
      </w:r>
      <w:r w:rsidRPr="00EB69E3">
        <w:t xml:space="preserve"> </w:t>
      </w:r>
      <w:r>
        <w:t xml:space="preserve">the </w:t>
      </w:r>
      <w:r w:rsidRPr="00EB69E3">
        <w:t>recent developments in viral and non-viral vector technology</w:t>
      </w:r>
      <w:r>
        <w:t>.</w:t>
      </w:r>
    </w:p>
    <w:p w14:paraId="329F88C9" w14:textId="74954DAA" w:rsidR="00D211D2" w:rsidRPr="00192912" w:rsidRDefault="005A7942" w:rsidP="00192912">
      <w:pPr>
        <w:spacing w:before="120" w:after="0"/>
        <w:rPr>
          <w:rStyle w:val="Hyperlink"/>
        </w:rPr>
      </w:pPr>
      <w:hyperlink r:id="rId112">
        <w:r w:rsidR="00D211D2" w:rsidRPr="00192912">
          <w:rPr>
            <w:rStyle w:val="Hyperlink"/>
          </w:rPr>
          <w:t>Gene therapy for sickle cell disease, beta thalassemia enters regulatory reviews</w:t>
        </w:r>
      </w:hyperlink>
    </w:p>
    <w:p w14:paraId="2D4F547F" w14:textId="743FFD5D" w:rsidR="00D211D2" w:rsidRPr="00D211D2" w:rsidRDefault="00D211D2" w:rsidP="004F3665">
      <w:pPr>
        <w:rPr>
          <w:lang w:val="en-US"/>
        </w:rPr>
      </w:pPr>
      <w:r w:rsidRPr="00D211D2">
        <w:rPr>
          <w:lang w:val="en-US"/>
        </w:rPr>
        <w:t xml:space="preserve">Vertex Pharmaceuticals and CRISPR Therapeutics’ gene therapy for sickle cell disease and beta thalassemia, </w:t>
      </w:r>
      <w:proofErr w:type="spellStart"/>
      <w:r w:rsidRPr="00D211D2">
        <w:rPr>
          <w:lang w:val="en-US"/>
        </w:rPr>
        <w:t>exagamglogene</w:t>
      </w:r>
      <w:proofErr w:type="spellEnd"/>
      <w:r w:rsidRPr="00D211D2">
        <w:rPr>
          <w:lang w:val="en-US"/>
        </w:rPr>
        <w:t xml:space="preserve"> </w:t>
      </w:r>
      <w:proofErr w:type="spellStart"/>
      <w:r w:rsidRPr="00D211D2">
        <w:rPr>
          <w:lang w:val="en-US"/>
        </w:rPr>
        <w:t>autotemcel</w:t>
      </w:r>
      <w:proofErr w:type="spellEnd"/>
      <w:r w:rsidRPr="00D211D2">
        <w:rPr>
          <w:lang w:val="en-US"/>
        </w:rPr>
        <w:t xml:space="preserve"> treatment (exa-</w:t>
      </w:r>
      <w:proofErr w:type="spellStart"/>
      <w:r w:rsidRPr="00D211D2">
        <w:rPr>
          <w:lang w:val="en-US"/>
        </w:rPr>
        <w:t>cel</w:t>
      </w:r>
      <w:proofErr w:type="spellEnd"/>
      <w:r w:rsidRPr="00D211D2">
        <w:rPr>
          <w:lang w:val="en-US"/>
        </w:rPr>
        <w:t>), has been accepted for review by the US FDA, the European Medicines Agency, and the UK Medicines and Healthcare products Regulatory Agency.</w:t>
      </w:r>
    </w:p>
    <w:p w14:paraId="0803954F" w14:textId="77777777" w:rsidR="00D75944" w:rsidRDefault="005A7942" w:rsidP="00192912">
      <w:pPr>
        <w:spacing w:before="120" w:after="0"/>
        <w:rPr>
          <w:rStyle w:val="Hyperlink"/>
          <w:rFonts w:eastAsia="Calibri"/>
        </w:rPr>
      </w:pPr>
      <w:hyperlink r:id="rId113">
        <w:r w:rsidR="00D75944" w:rsidRPr="00192912">
          <w:rPr>
            <w:rStyle w:val="Hyperlink"/>
          </w:rPr>
          <w:t>BioMarin gets FDA decision date for haemophilia gene therapy, but questions on review remain</w:t>
        </w:r>
      </w:hyperlink>
    </w:p>
    <w:p w14:paraId="0C83B585" w14:textId="77777777" w:rsidR="00D75944" w:rsidRDefault="00D75944" w:rsidP="004F3665">
      <w:r w:rsidRPr="001A71A3">
        <w:t xml:space="preserve">The </w:t>
      </w:r>
      <w:r>
        <w:t xml:space="preserve">US FDA has </w:t>
      </w:r>
      <w:r w:rsidRPr="001A71A3">
        <w:t xml:space="preserve">accepted BioMarin Pharmaceutical’s </w:t>
      </w:r>
      <w:r>
        <w:t>approva</w:t>
      </w:r>
      <w:r w:rsidRPr="001A71A3">
        <w:t>l</w:t>
      </w:r>
      <w:r>
        <w:t xml:space="preserve"> </w:t>
      </w:r>
      <w:r w:rsidRPr="001A71A3">
        <w:t xml:space="preserve">application for </w:t>
      </w:r>
      <w:r>
        <w:t xml:space="preserve">the </w:t>
      </w:r>
      <w:r w:rsidRPr="001A71A3">
        <w:t>h</w:t>
      </w:r>
      <w:r>
        <w:t>a</w:t>
      </w:r>
      <w:r w:rsidRPr="001A71A3">
        <w:t>emophilia A gene therap</w:t>
      </w:r>
      <w:r>
        <w:t xml:space="preserve">y, </w:t>
      </w:r>
      <w:proofErr w:type="spellStart"/>
      <w:r>
        <w:t>valoctocogene</w:t>
      </w:r>
      <w:proofErr w:type="spellEnd"/>
      <w:r>
        <w:t xml:space="preserve"> </w:t>
      </w:r>
      <w:proofErr w:type="spellStart"/>
      <w:r>
        <w:t>roxaparvovec</w:t>
      </w:r>
      <w:proofErr w:type="spellEnd"/>
      <w:r>
        <w:t xml:space="preserve"> (</w:t>
      </w:r>
      <w:proofErr w:type="spellStart"/>
      <w:r>
        <w:t>Roctavian</w:t>
      </w:r>
      <w:proofErr w:type="spellEnd"/>
      <w:r>
        <w:t>)</w:t>
      </w:r>
      <w:r w:rsidRPr="001A71A3">
        <w:t xml:space="preserve"> and has set a target decision date of</w:t>
      </w:r>
      <w:r>
        <w:t xml:space="preserve"> 31</w:t>
      </w:r>
      <w:r w:rsidRPr="001A71A3">
        <w:t xml:space="preserve"> March</w:t>
      </w:r>
      <w:r>
        <w:t xml:space="preserve"> 2023</w:t>
      </w:r>
      <w:r w:rsidRPr="001A71A3">
        <w:t>.</w:t>
      </w:r>
      <w:r>
        <w:t xml:space="preserve"> T</w:t>
      </w:r>
      <w:r w:rsidRPr="001A71A3">
        <w:t xml:space="preserve">his is the company’s second attempt to win FDA clearance for its therapy, </w:t>
      </w:r>
      <w:r>
        <w:t xml:space="preserve">after the company was asked for </w:t>
      </w:r>
      <w:r w:rsidRPr="001A71A3">
        <w:t>longer-term data on treated patients</w:t>
      </w:r>
      <w:r>
        <w:t xml:space="preserve">. </w:t>
      </w:r>
      <w:r w:rsidRPr="001A71A3">
        <w:t xml:space="preserve">The company </w:t>
      </w:r>
      <w:r>
        <w:t>has provided updated data and has also o</w:t>
      </w:r>
      <w:r w:rsidRPr="001A71A3">
        <w:t>ffe</w:t>
      </w:r>
      <w:r>
        <w:t>red</w:t>
      </w:r>
      <w:r w:rsidRPr="001A71A3">
        <w:t xml:space="preserve"> to follow patients who participated in its research for 15 years</w:t>
      </w:r>
      <w:r>
        <w:t>.</w:t>
      </w:r>
    </w:p>
    <w:p w14:paraId="57A8B639" w14:textId="77777777" w:rsidR="00711384" w:rsidRPr="00192912" w:rsidRDefault="005A7942" w:rsidP="00192912">
      <w:pPr>
        <w:spacing w:before="120" w:after="0"/>
        <w:rPr>
          <w:rStyle w:val="Hyperlink"/>
        </w:rPr>
      </w:pPr>
      <w:hyperlink r:id="rId114">
        <w:r w:rsidR="00711384" w:rsidRPr="00192912">
          <w:rPr>
            <w:rStyle w:val="Hyperlink"/>
          </w:rPr>
          <w:t>FDA creates “Super Office” to manage growing cell and gene therapy workload</w:t>
        </w:r>
      </w:hyperlink>
    </w:p>
    <w:p w14:paraId="7E157425" w14:textId="77777777" w:rsidR="006A1E80" w:rsidRDefault="00711384" w:rsidP="006A1E80">
      <w:r>
        <w:rPr>
          <w:shd w:val="clear" w:color="auto" w:fill="FFFFFF"/>
        </w:rPr>
        <w:t xml:space="preserve">The US FDA has reorganised the Office of Tissues and Advanced Therapies (OTAT) into a “Super Office” within the </w:t>
      </w:r>
      <w:bookmarkStart w:id="60" w:name="_Hlk126223260"/>
      <w:proofErr w:type="spellStart"/>
      <w:r>
        <w:rPr>
          <w:shd w:val="clear" w:color="auto" w:fill="FFFFFF"/>
        </w:rPr>
        <w:t>Center</w:t>
      </w:r>
      <w:proofErr w:type="spellEnd"/>
      <w:r>
        <w:rPr>
          <w:shd w:val="clear" w:color="auto" w:fill="FFFFFF"/>
        </w:rPr>
        <w:t xml:space="preserve"> of Biologics Research and Evaluation </w:t>
      </w:r>
      <w:bookmarkEnd w:id="60"/>
      <w:r>
        <w:rPr>
          <w:shd w:val="clear" w:color="auto" w:fill="FFFFFF"/>
        </w:rPr>
        <w:t>(CBER) to meet a growing cell and gene therapy workload.</w:t>
      </w:r>
    </w:p>
    <w:p w14:paraId="0FA4A549" w14:textId="77777777" w:rsidR="006A1E80" w:rsidRDefault="006A1E80" w:rsidP="006A1E80"/>
    <w:p w14:paraId="66AFE532" w14:textId="77777777" w:rsidR="006A1E80" w:rsidRDefault="006A1E80" w:rsidP="006A1E80"/>
    <w:p w14:paraId="4E2297BB" w14:textId="77777777" w:rsidR="006A1E80" w:rsidRDefault="006A1E80" w:rsidP="006A1E80"/>
    <w:p w14:paraId="0E814916" w14:textId="04F88C14" w:rsidR="00E46943" w:rsidRPr="006A1E80" w:rsidRDefault="005A7942" w:rsidP="006A1E80">
      <w:pPr>
        <w:rPr>
          <w:rStyle w:val="Hyperlink"/>
          <w:color w:val="auto"/>
          <w:u w:val="none"/>
        </w:rPr>
      </w:pPr>
      <w:hyperlink r:id="rId115">
        <w:r w:rsidR="00E46943" w:rsidRPr="5BEEB2A1">
          <w:rPr>
            <w:rStyle w:val="Hyperlink"/>
          </w:rPr>
          <w:t xml:space="preserve">Pfizer, </w:t>
        </w:r>
        <w:proofErr w:type="spellStart"/>
        <w:r w:rsidR="00E46943" w:rsidRPr="5BEEB2A1">
          <w:rPr>
            <w:rStyle w:val="Hyperlink"/>
          </w:rPr>
          <w:t>Sangamo</w:t>
        </w:r>
        <w:proofErr w:type="spellEnd"/>
        <w:r w:rsidR="00E46943" w:rsidRPr="5BEEB2A1">
          <w:rPr>
            <w:rStyle w:val="Hyperlink"/>
          </w:rPr>
          <w:t xml:space="preserve"> set to resume gene therapy study after safety delay</w:t>
        </w:r>
      </w:hyperlink>
    </w:p>
    <w:p w14:paraId="10DD87B1" w14:textId="663D26B0" w:rsidR="00653DB8" w:rsidRDefault="00E46943" w:rsidP="004F3665">
      <w:r w:rsidRPr="00302D13">
        <w:t xml:space="preserve">Pfizer and </w:t>
      </w:r>
      <w:proofErr w:type="spellStart"/>
      <w:r w:rsidRPr="00302D13">
        <w:t>Sangamo</w:t>
      </w:r>
      <w:proofErr w:type="spellEnd"/>
      <w:r w:rsidRPr="00302D13">
        <w:t xml:space="preserve"> </w:t>
      </w:r>
      <w:r>
        <w:t>will restart the phase 3 trial of</w:t>
      </w:r>
      <w:r w:rsidRPr="00302D13">
        <w:t xml:space="preserve"> </w:t>
      </w:r>
      <w:r>
        <w:t xml:space="preserve">their </w:t>
      </w:r>
      <w:r w:rsidRPr="00302D13">
        <w:t xml:space="preserve">haemophilia A gene therapy </w:t>
      </w:r>
      <w:proofErr w:type="spellStart"/>
      <w:r w:rsidRPr="00302D13">
        <w:t>giroctocogene</w:t>
      </w:r>
      <w:proofErr w:type="spellEnd"/>
      <w:r w:rsidRPr="00302D13">
        <w:t xml:space="preserve"> </w:t>
      </w:r>
      <w:proofErr w:type="spellStart"/>
      <w:r w:rsidRPr="00302D13">
        <w:t>fitelparvovec</w:t>
      </w:r>
      <w:proofErr w:type="spellEnd"/>
      <w:r w:rsidRPr="00302D13">
        <w:t xml:space="preserve">, after the </w:t>
      </w:r>
      <w:r w:rsidRPr="00A871D0">
        <w:t xml:space="preserve">Food and Drug Administration </w:t>
      </w:r>
      <w:r>
        <w:t>(</w:t>
      </w:r>
      <w:r w:rsidRPr="00302D13">
        <w:t>FDA</w:t>
      </w:r>
      <w:r>
        <w:t>)</w:t>
      </w:r>
      <w:r w:rsidRPr="00302D13">
        <w:t xml:space="preserve"> lifted a clinical hold on the study.</w:t>
      </w:r>
      <w:r w:rsidRPr="003E2BA3">
        <w:t xml:space="preserve"> </w:t>
      </w:r>
      <w:r w:rsidRPr="00302D13">
        <w:t>The trial was paused voluntarily after patients treated with the therapy produced higher than expected levels of Factor VIII</w:t>
      </w:r>
      <w:r>
        <w:t>.</w:t>
      </w:r>
    </w:p>
    <w:p w14:paraId="4735C02C" w14:textId="77777777" w:rsidR="00430A43" w:rsidRDefault="00430A43" w:rsidP="004F3665">
      <w:pPr>
        <w:keepNext/>
        <w:keepLines/>
        <w:numPr>
          <w:ilvl w:val="0"/>
          <w:numId w:val="2"/>
        </w:numPr>
        <w:spacing w:before="240" w:after="0"/>
        <w:ind w:left="426"/>
        <w:jc w:val="both"/>
        <w:outlineLvl w:val="0"/>
        <w:rPr>
          <w:rFonts w:eastAsiaTheme="majorEastAsia" w:cstheme="majorBidi"/>
          <w:b/>
          <w:sz w:val="36"/>
          <w:szCs w:val="32"/>
        </w:rPr>
      </w:pPr>
      <w:bookmarkStart w:id="61" w:name="_Toc126935655"/>
      <w:r>
        <w:rPr>
          <w:rFonts w:eastAsiaTheme="majorEastAsia" w:cstheme="majorBidi"/>
          <w:b/>
          <w:sz w:val="36"/>
          <w:szCs w:val="32"/>
        </w:rPr>
        <w:t>COVID-19</w:t>
      </w:r>
      <w:bookmarkEnd w:id="61"/>
    </w:p>
    <w:p w14:paraId="660FA5EE" w14:textId="2023D12E" w:rsidR="00891DF9" w:rsidRDefault="00394480" w:rsidP="00891DF9">
      <w:r>
        <w:t>This section contains news articles, peer reviewed papers and industry publications on the coronavirus disease (COVID-19) pandemic and its effect on blood and blood related treatments and services.</w:t>
      </w:r>
    </w:p>
    <w:p w14:paraId="2C779782" w14:textId="58E50C24" w:rsidR="00430A43" w:rsidRPr="00891DF9" w:rsidRDefault="00430A43" w:rsidP="00891DF9">
      <w:pPr>
        <w:numPr>
          <w:ilvl w:val="1"/>
          <w:numId w:val="2"/>
        </w:numPr>
        <w:spacing w:before="120" w:after="0"/>
        <w:ind w:left="578" w:hanging="578"/>
        <w:jc w:val="both"/>
        <w:outlineLvl w:val="1"/>
        <w:rPr>
          <w:rFonts w:cs="Arial"/>
          <w:b/>
          <w:bCs/>
          <w:sz w:val="28"/>
          <w:szCs w:val="28"/>
        </w:rPr>
      </w:pPr>
      <w:bookmarkStart w:id="62" w:name="_Toc126935656"/>
      <w:r w:rsidRPr="00891DF9">
        <w:rPr>
          <w:rFonts w:cs="Arial"/>
          <w:b/>
          <w:bCs/>
          <w:sz w:val="28"/>
          <w:szCs w:val="28"/>
        </w:rPr>
        <w:t>COVID-19 effect on blood, blood diseases and related services</w:t>
      </w:r>
      <w:bookmarkEnd w:id="62"/>
    </w:p>
    <w:p w14:paraId="37A56FA5" w14:textId="1DF9D656" w:rsidR="004E0ACA" w:rsidRPr="00192912" w:rsidRDefault="005A7942" w:rsidP="00E63FD5">
      <w:pPr>
        <w:pStyle w:val="ListParagraph"/>
        <w:numPr>
          <w:ilvl w:val="0"/>
          <w:numId w:val="7"/>
        </w:numPr>
        <w:spacing w:before="120" w:after="0"/>
        <w:rPr>
          <w:rStyle w:val="Hyperlink"/>
        </w:rPr>
      </w:pPr>
      <w:hyperlink r:id="rId116" w:history="1">
        <w:r w:rsidR="004E0ACA" w:rsidRPr="00192912">
          <w:rPr>
            <w:rStyle w:val="Hyperlink"/>
          </w:rPr>
          <w:t>COVID-19 disruptions led to lowest number of public elective surgeries performed in over a decade</w:t>
        </w:r>
      </w:hyperlink>
    </w:p>
    <w:p w14:paraId="7064ED06" w14:textId="1E234EB8" w:rsidR="009021AB" w:rsidRPr="00266FF4" w:rsidRDefault="005A7942" w:rsidP="00427319">
      <w:pPr>
        <w:pStyle w:val="ListParagraph"/>
        <w:numPr>
          <w:ilvl w:val="0"/>
          <w:numId w:val="7"/>
        </w:numPr>
        <w:spacing w:before="120" w:after="0"/>
        <w:rPr>
          <w:rStyle w:val="Hyperlink"/>
        </w:rPr>
      </w:pPr>
      <w:hyperlink r:id="rId117" w:history="1">
        <w:r w:rsidR="000C2002" w:rsidRPr="00192912">
          <w:rPr>
            <w:rStyle w:val="Hyperlink"/>
          </w:rPr>
          <w:t>Court intervenes after baby’s parents refuse ‘vaccinated blood’ transfusion</w:t>
        </w:r>
      </w:hyperlink>
    </w:p>
    <w:p w14:paraId="4724822F" w14:textId="0ED73210" w:rsidR="00636802" w:rsidRDefault="00430A43" w:rsidP="00636802">
      <w:pPr>
        <w:numPr>
          <w:ilvl w:val="1"/>
          <w:numId w:val="2"/>
        </w:numPr>
        <w:spacing w:before="120" w:after="0"/>
        <w:ind w:left="578" w:hanging="578"/>
        <w:jc w:val="both"/>
        <w:outlineLvl w:val="1"/>
        <w:rPr>
          <w:rFonts w:cs="Arial"/>
          <w:b/>
          <w:bCs/>
          <w:sz w:val="28"/>
          <w:szCs w:val="28"/>
        </w:rPr>
      </w:pPr>
      <w:bookmarkStart w:id="63" w:name="_Toc126935657"/>
      <w:r w:rsidRPr="63A7E4A8">
        <w:rPr>
          <w:rFonts w:cs="Arial"/>
          <w:b/>
          <w:bCs/>
          <w:sz w:val="28"/>
          <w:szCs w:val="28"/>
        </w:rPr>
        <w:t xml:space="preserve">COVID-19 </w:t>
      </w:r>
      <w:r w:rsidR="005B58E4">
        <w:rPr>
          <w:rFonts w:cs="Arial"/>
          <w:b/>
          <w:bCs/>
          <w:sz w:val="28"/>
          <w:szCs w:val="28"/>
        </w:rPr>
        <w:t>r</w:t>
      </w:r>
      <w:r w:rsidRPr="63A7E4A8">
        <w:rPr>
          <w:rFonts w:cs="Arial"/>
          <w:b/>
          <w:bCs/>
          <w:sz w:val="28"/>
          <w:szCs w:val="28"/>
        </w:rPr>
        <w:t xml:space="preserve">esearch and </w:t>
      </w:r>
      <w:r w:rsidR="005B58E4">
        <w:rPr>
          <w:rFonts w:cs="Arial"/>
          <w:b/>
          <w:bCs/>
          <w:sz w:val="28"/>
          <w:szCs w:val="28"/>
        </w:rPr>
        <w:t>t</w:t>
      </w:r>
      <w:r w:rsidRPr="63A7E4A8">
        <w:rPr>
          <w:rFonts w:cs="Arial"/>
          <w:b/>
          <w:bCs/>
          <w:sz w:val="28"/>
          <w:szCs w:val="28"/>
        </w:rPr>
        <w:t>reatment</w:t>
      </w:r>
      <w:bookmarkEnd w:id="63"/>
    </w:p>
    <w:p w14:paraId="50AD7FAF" w14:textId="77777777" w:rsidR="003F2DEE" w:rsidRPr="00192912" w:rsidRDefault="005A7942" w:rsidP="00192912">
      <w:pPr>
        <w:spacing w:before="120" w:after="0"/>
        <w:rPr>
          <w:rStyle w:val="Hyperlink"/>
        </w:rPr>
      </w:pPr>
      <w:hyperlink r:id="rId118" w:history="1">
        <w:r w:rsidR="003F2DEE">
          <w:rPr>
            <w:rStyle w:val="Hyperlink"/>
          </w:rPr>
          <w:t>A systematic review of the safety and efficacy of convalescent plasma or immunoglobulin treatment for people with severe respiratory viral infections due to coronaviruses or influenza</w:t>
        </w:r>
      </w:hyperlink>
    </w:p>
    <w:p w14:paraId="5E60F125" w14:textId="347FAB12" w:rsidR="00707CD5" w:rsidRDefault="003F2DEE" w:rsidP="004F3665">
      <w:pPr>
        <w:spacing w:before="0" w:after="160" w:line="259" w:lineRule="auto"/>
      </w:pPr>
      <w:r>
        <w:t>Meta-analysis of 32 studies found little evidence to support the general effectiveness of convalescent plasma (CP) or hyperimmune immunoglobulin (</w:t>
      </w:r>
      <w:proofErr w:type="spellStart"/>
      <w:r>
        <w:t>hIVI</w:t>
      </w:r>
      <w:r w:rsidR="00981161">
        <w:t>g</w:t>
      </w:r>
      <w:proofErr w:type="spellEnd"/>
      <w:r>
        <w:t>) in treating patients with severe respiratory disease requiring hospitali</w:t>
      </w:r>
      <w:r w:rsidR="00891DF9">
        <w:t>s</w:t>
      </w:r>
      <w:r>
        <w:t xml:space="preserve">ation. The review notes that the lack of controlled studies and the different </w:t>
      </w:r>
      <w:proofErr w:type="gramStart"/>
      <w:r>
        <w:t>amount</w:t>
      </w:r>
      <w:proofErr w:type="gramEnd"/>
      <w:r>
        <w:t xml:space="preserve"> of neutralizing antibodies contained in the CP used between studies affected the outcome of their analysis. The authors suggest that patients who are immunocompromised or have </w:t>
      </w:r>
      <w:r w:rsidRPr="005E418C">
        <w:t>not produced antibodies</w:t>
      </w:r>
      <w:r w:rsidRPr="007541FD">
        <w:t xml:space="preserve"> </w:t>
      </w:r>
      <w:r>
        <w:t>prior to hospitalization w</w:t>
      </w:r>
      <w:r w:rsidRPr="005E418C">
        <w:t>ould benefit the most</w:t>
      </w:r>
      <w:r>
        <w:t xml:space="preserve"> from future studies and that a minimum titre for neutralizing antibodies should be established for studying the effectiveness of CP.</w:t>
      </w:r>
    </w:p>
    <w:p w14:paraId="5333EA25" w14:textId="77777777" w:rsidR="00CA3670" w:rsidRPr="00192912" w:rsidRDefault="005A7942" w:rsidP="00192912">
      <w:pPr>
        <w:spacing w:before="120" w:after="0"/>
        <w:rPr>
          <w:rStyle w:val="Hyperlink"/>
        </w:rPr>
      </w:pPr>
      <w:hyperlink r:id="rId119">
        <w:r w:rsidR="00CA3670" w:rsidRPr="00192912">
          <w:rPr>
            <w:rStyle w:val="Hyperlink"/>
          </w:rPr>
          <w:t>COVID‐19 associated coagulopathy in children: A multicentre observational cohort study</w:t>
        </w:r>
      </w:hyperlink>
    </w:p>
    <w:p w14:paraId="09AA6B2E" w14:textId="20D2AE74" w:rsidR="00CA3670" w:rsidRDefault="00CA3670" w:rsidP="004F3665">
      <w:pPr>
        <w:jc w:val="both"/>
      </w:pPr>
      <w:r w:rsidRPr="00A75597">
        <w:t xml:space="preserve">This study </w:t>
      </w:r>
      <w:r>
        <w:t>looked at</w:t>
      </w:r>
      <w:r w:rsidRPr="00A75597">
        <w:t xml:space="preserve"> thrombosis and bleeding in children</w:t>
      </w:r>
      <w:r>
        <w:t xml:space="preserve"> infected with COVID-19 to assess</w:t>
      </w:r>
      <w:r w:rsidRPr="00A75597">
        <w:t xml:space="preserve"> thromboprophylaxis use. Th</w:t>
      </w:r>
      <w:r>
        <w:t>e</w:t>
      </w:r>
      <w:r w:rsidRPr="00A75597">
        <w:t xml:space="preserve"> </w:t>
      </w:r>
      <w:r>
        <w:t xml:space="preserve">five-month </w:t>
      </w:r>
      <w:r w:rsidRPr="00A75597">
        <w:t xml:space="preserve">study included 79 patients aged up to 18 years </w:t>
      </w:r>
      <w:r>
        <w:t xml:space="preserve">who had been </w:t>
      </w:r>
      <w:r w:rsidRPr="00A75597">
        <w:t>admitted to paediatric hospitals in Canada with COVID-19 infection</w:t>
      </w:r>
      <w:r>
        <w:t>.</w:t>
      </w:r>
      <w:r w:rsidRPr="00A75597">
        <w:t xml:space="preserve"> Eleven patients</w:t>
      </w:r>
      <w:r>
        <w:t xml:space="preserve"> </w:t>
      </w:r>
      <w:r w:rsidRPr="00A75597">
        <w:t>received anticoagulant thromboprophylaxis</w:t>
      </w:r>
      <w:r>
        <w:t xml:space="preserve"> with o</w:t>
      </w:r>
      <w:r w:rsidRPr="00A75597">
        <w:t xml:space="preserve">ne thrombotic event </w:t>
      </w:r>
      <w:r>
        <w:t xml:space="preserve">recorded </w:t>
      </w:r>
      <w:r w:rsidRPr="00A75597">
        <w:t>and one major bleed</w:t>
      </w:r>
      <w:r>
        <w:t xml:space="preserve"> event</w:t>
      </w:r>
      <w:r w:rsidRPr="00A75597">
        <w:t xml:space="preserve"> observed</w:t>
      </w:r>
      <w:r>
        <w:t xml:space="preserve">. </w:t>
      </w:r>
    </w:p>
    <w:p w14:paraId="69DE801A" w14:textId="77777777" w:rsidR="00CA3670" w:rsidRPr="00192912" w:rsidRDefault="005A7942" w:rsidP="00192912">
      <w:pPr>
        <w:spacing w:before="120" w:after="0"/>
        <w:rPr>
          <w:rStyle w:val="Hyperlink"/>
        </w:rPr>
      </w:pPr>
      <w:hyperlink r:id="rId120">
        <w:r w:rsidR="00CA3670" w:rsidRPr="00192912">
          <w:rPr>
            <w:rStyle w:val="Hyperlink"/>
          </w:rPr>
          <w:t>Convalescent plasma treatment for COVID-19 infected high-risk patients</w:t>
        </w:r>
      </w:hyperlink>
    </w:p>
    <w:p w14:paraId="17E54EB9" w14:textId="0F69AE8E" w:rsidR="00CA3670" w:rsidRPr="00CA3670" w:rsidRDefault="00CA3670" w:rsidP="004F3665">
      <w:pPr>
        <w:jc w:val="both"/>
        <w:rPr>
          <w:shd w:val="clear" w:color="auto" w:fill="FFFFFF"/>
        </w:rPr>
      </w:pPr>
      <w:r w:rsidRPr="00CA3670">
        <w:rPr>
          <w:shd w:val="clear" w:color="auto" w:fill="FFFFFF"/>
        </w:rPr>
        <w:t>Researchers performed a retrospective analysis of 55 hospitalised COVID-19 patients at the University Hospital Duesseldorf who were treated with convalescent plasma due to high risk for disease progression. Researchers found that in COVID-19 patients with severe comorbidities</w:t>
      </w:r>
      <w:r w:rsidR="00891DF9">
        <w:rPr>
          <w:shd w:val="clear" w:color="auto" w:fill="FFFFFF"/>
        </w:rPr>
        <w:t>,</w:t>
      </w:r>
      <w:r w:rsidRPr="00CA3670">
        <w:rPr>
          <w:shd w:val="clear" w:color="auto" w:fill="FFFFFF"/>
        </w:rPr>
        <w:t xml:space="preserve"> convalescent plasma did not significantly reduce mortality at the critical phase</w:t>
      </w:r>
      <w:r w:rsidR="00891DF9">
        <w:rPr>
          <w:shd w:val="clear" w:color="auto" w:fill="FFFFFF"/>
        </w:rPr>
        <w:t>. H</w:t>
      </w:r>
      <w:r w:rsidRPr="00CA3670">
        <w:rPr>
          <w:shd w:val="clear" w:color="auto" w:fill="FFFFFF"/>
        </w:rPr>
        <w:t>owever, they found that reduction in mortality is achievable with early convalescent plasma administration.</w:t>
      </w:r>
    </w:p>
    <w:p w14:paraId="405A02DF" w14:textId="77777777" w:rsidR="0051281B" w:rsidRPr="00192912" w:rsidRDefault="005A7942" w:rsidP="00192912">
      <w:pPr>
        <w:spacing w:before="120" w:after="0"/>
        <w:rPr>
          <w:rStyle w:val="Hyperlink"/>
        </w:rPr>
      </w:pPr>
      <w:hyperlink r:id="rId121" w:history="1">
        <w:r w:rsidR="0051281B" w:rsidRPr="003008AB">
          <w:rPr>
            <w:rStyle w:val="Hyperlink"/>
          </w:rPr>
          <w:t>Heterologous SARS‐CoV‐2 IgA neutralising antibody responses in convalescent plasma</w:t>
        </w:r>
      </w:hyperlink>
    </w:p>
    <w:p w14:paraId="582D0DAF" w14:textId="181370EF" w:rsidR="0051281B" w:rsidRDefault="0051281B" w:rsidP="0051281B">
      <w:pPr>
        <w:jc w:val="both"/>
      </w:pPr>
      <w:r>
        <w:t>Researchers investigated and compared the impact of convalescent plasma IgA with IgG on virus neutralisation and antibody effector functions. They found that</w:t>
      </w:r>
      <w:r w:rsidRPr="00D37A40">
        <w:t xml:space="preserve"> plasma IgA response to</w:t>
      </w:r>
      <w:r>
        <w:t xml:space="preserve"> COVID-19 </w:t>
      </w:r>
      <w:r w:rsidRPr="00D37A40">
        <w:t>is relatively transient</w:t>
      </w:r>
      <w:r>
        <w:t xml:space="preserve">, </w:t>
      </w:r>
      <w:r w:rsidRPr="00D37A40">
        <w:t>peaking during acute infection and dominat</w:t>
      </w:r>
      <w:r>
        <w:t>ing</w:t>
      </w:r>
      <w:r w:rsidRPr="00D37A40">
        <w:t xml:space="preserve"> the acute plasma neutralising response</w:t>
      </w:r>
      <w:r>
        <w:t xml:space="preserve">. While convalescent plasma IgA contributed to the neutralising antibody response, this response was variable and </w:t>
      </w:r>
      <w:proofErr w:type="gramStart"/>
      <w:r>
        <w:t>overall</w:t>
      </w:r>
      <w:proofErr w:type="gramEnd"/>
      <w:r>
        <w:t xml:space="preserve"> less potent than convalescent plasma IgG.</w:t>
      </w:r>
    </w:p>
    <w:p w14:paraId="1DD53B3C" w14:textId="77777777" w:rsidR="00874CDF" w:rsidRPr="00192912" w:rsidRDefault="005A7942" w:rsidP="00192912">
      <w:pPr>
        <w:spacing w:before="120" w:after="0"/>
        <w:rPr>
          <w:rStyle w:val="Hyperlink"/>
        </w:rPr>
      </w:pPr>
      <w:hyperlink r:id="rId122">
        <w:r w:rsidR="00874CDF" w:rsidRPr="00192912">
          <w:rPr>
            <w:rStyle w:val="Hyperlink"/>
          </w:rPr>
          <w:t>Selective IgA deficiency may be an under-recognized risk factor for severe COVID-19</w:t>
        </w:r>
      </w:hyperlink>
    </w:p>
    <w:p w14:paraId="184E2AFD" w14:textId="191C88F0" w:rsidR="00874CDF" w:rsidRDefault="00874CDF" w:rsidP="00874CDF">
      <w:pPr>
        <w:jc w:val="both"/>
        <w:rPr>
          <w:rFonts w:eastAsia="Calibri"/>
        </w:rPr>
      </w:pPr>
      <w:r>
        <w:rPr>
          <w:rFonts w:eastAsia="Calibri"/>
        </w:rPr>
        <w:t xml:space="preserve">Researchers investigated if </w:t>
      </w:r>
      <w:r w:rsidRPr="00115128">
        <w:rPr>
          <w:rFonts w:eastAsia="Calibri"/>
        </w:rPr>
        <w:t>patients with s</w:t>
      </w:r>
      <w:r>
        <w:rPr>
          <w:rFonts w:eastAsia="Calibri"/>
        </w:rPr>
        <w:t xml:space="preserve">elective </w:t>
      </w:r>
      <w:r w:rsidRPr="00115128">
        <w:rPr>
          <w:rFonts w:eastAsia="Calibri"/>
        </w:rPr>
        <w:t>I</w:t>
      </w:r>
      <w:r>
        <w:rPr>
          <w:rFonts w:eastAsia="Calibri"/>
        </w:rPr>
        <w:t>mmunoglobulin A (IgA) deficiency</w:t>
      </w:r>
      <w:r w:rsidRPr="00115128">
        <w:rPr>
          <w:rFonts w:eastAsia="Calibri"/>
        </w:rPr>
        <w:t xml:space="preserve"> may be at high</w:t>
      </w:r>
      <w:r>
        <w:rPr>
          <w:rFonts w:eastAsia="Calibri"/>
        </w:rPr>
        <w:t>er</w:t>
      </w:r>
      <w:r w:rsidRPr="00115128">
        <w:rPr>
          <w:rFonts w:eastAsia="Calibri"/>
        </w:rPr>
        <w:t xml:space="preserve"> risk of severe COVID-19</w:t>
      </w:r>
      <w:r>
        <w:rPr>
          <w:rFonts w:eastAsia="Calibri"/>
        </w:rPr>
        <w:t xml:space="preserve"> as the virus </w:t>
      </w:r>
      <w:r w:rsidRPr="00115128">
        <w:rPr>
          <w:rFonts w:eastAsia="Calibri"/>
        </w:rPr>
        <w:t>gains entry primarily through the upper respiratory tract mucosa, where IgA plays a critical protective role.</w:t>
      </w:r>
      <w:r>
        <w:rPr>
          <w:rFonts w:eastAsia="Calibri"/>
        </w:rPr>
        <w:t xml:space="preserve"> </w:t>
      </w:r>
    </w:p>
    <w:p w14:paraId="76BE0DA4" w14:textId="77777777" w:rsidR="006A1E80" w:rsidRDefault="006A1E80" w:rsidP="00874CDF">
      <w:pPr>
        <w:jc w:val="both"/>
        <w:rPr>
          <w:rFonts w:eastAsia="Calibri"/>
        </w:rPr>
      </w:pPr>
    </w:p>
    <w:p w14:paraId="09D3FC9D" w14:textId="4B8F9C3F" w:rsidR="00874CDF" w:rsidRPr="00923C02" w:rsidRDefault="005A7942" w:rsidP="00923C02">
      <w:pPr>
        <w:spacing w:before="120" w:after="0"/>
        <w:rPr>
          <w:rStyle w:val="Hyperlink"/>
        </w:rPr>
      </w:pPr>
      <w:hyperlink r:id="rId123" w:history="1">
        <w:r w:rsidR="00874CDF">
          <w:rPr>
            <w:rStyle w:val="Hyperlink"/>
          </w:rPr>
          <w:t>Efficacy of therapeutic plasma exchange in severe COVID‐19 disease: A meta‐analysis</w:t>
        </w:r>
      </w:hyperlink>
    </w:p>
    <w:p w14:paraId="248EB834" w14:textId="77777777" w:rsidR="00874CDF" w:rsidRDefault="00874CDF" w:rsidP="00874CDF">
      <w:pPr>
        <w:jc w:val="both"/>
        <w:rPr>
          <w:rFonts w:eastAsia="Calibri"/>
        </w:rPr>
      </w:pPr>
      <w:r>
        <w:rPr>
          <w:rFonts w:eastAsia="Calibri"/>
        </w:rPr>
        <w:t>T</w:t>
      </w:r>
      <w:r w:rsidRPr="00396835">
        <w:rPr>
          <w:rFonts w:eastAsia="Calibri"/>
        </w:rPr>
        <w:t xml:space="preserve">his </w:t>
      </w:r>
      <w:r>
        <w:rPr>
          <w:rFonts w:eastAsia="Calibri"/>
        </w:rPr>
        <w:t>study</w:t>
      </w:r>
      <w:r w:rsidRPr="00396835">
        <w:rPr>
          <w:rFonts w:eastAsia="Calibri"/>
        </w:rPr>
        <w:t xml:space="preserve"> assess</w:t>
      </w:r>
      <w:r>
        <w:rPr>
          <w:rFonts w:eastAsia="Calibri"/>
        </w:rPr>
        <w:t>es</w:t>
      </w:r>
      <w:r w:rsidRPr="00396835">
        <w:rPr>
          <w:rFonts w:eastAsia="Calibri"/>
        </w:rPr>
        <w:t xml:space="preserve"> the effectiveness of </w:t>
      </w:r>
      <w:r>
        <w:rPr>
          <w:rFonts w:eastAsia="Calibri"/>
        </w:rPr>
        <w:t>t</w:t>
      </w:r>
      <w:r w:rsidRPr="00396835">
        <w:rPr>
          <w:rFonts w:eastAsia="Calibri"/>
        </w:rPr>
        <w:t>herapeutic plasma exchange (TPE) in reducing mortality in severe COVID-19 disease compared to standard treatment.</w:t>
      </w:r>
      <w:r>
        <w:rPr>
          <w:rFonts w:eastAsia="Calibri"/>
        </w:rPr>
        <w:t xml:space="preserve"> Researchers </w:t>
      </w:r>
      <w:r w:rsidRPr="00396835">
        <w:rPr>
          <w:rFonts w:eastAsia="Calibri"/>
        </w:rPr>
        <w:t>identified 382 participants from six studies, including one randomi</w:t>
      </w:r>
      <w:r>
        <w:rPr>
          <w:rFonts w:eastAsia="Calibri"/>
        </w:rPr>
        <w:t>s</w:t>
      </w:r>
      <w:r w:rsidRPr="00396835">
        <w:rPr>
          <w:rFonts w:eastAsia="Calibri"/>
        </w:rPr>
        <w:t>ed control tria</w:t>
      </w:r>
      <w:r>
        <w:rPr>
          <w:rFonts w:eastAsia="Calibri"/>
        </w:rPr>
        <w:t xml:space="preserve">l and found overall, the </w:t>
      </w:r>
      <w:r w:rsidRPr="00396835">
        <w:rPr>
          <w:rFonts w:eastAsia="Calibri"/>
        </w:rPr>
        <w:t xml:space="preserve">length of ICU stay </w:t>
      </w:r>
      <w:r>
        <w:rPr>
          <w:rFonts w:eastAsia="Calibri"/>
        </w:rPr>
        <w:t>did not differ between patients who received T</w:t>
      </w:r>
      <w:r w:rsidRPr="00396835">
        <w:rPr>
          <w:rFonts w:eastAsia="Calibri"/>
        </w:rPr>
        <w:t xml:space="preserve">PE </w:t>
      </w:r>
      <w:r>
        <w:rPr>
          <w:rFonts w:eastAsia="Calibri"/>
        </w:rPr>
        <w:t>versus</w:t>
      </w:r>
      <w:r w:rsidRPr="00396835">
        <w:rPr>
          <w:rFonts w:eastAsia="Calibri"/>
        </w:rPr>
        <w:t xml:space="preserve"> standard care. However</w:t>
      </w:r>
      <w:r>
        <w:rPr>
          <w:rFonts w:eastAsia="Calibri"/>
        </w:rPr>
        <w:t>, researchers did find</w:t>
      </w:r>
      <w:r w:rsidRPr="00396835">
        <w:rPr>
          <w:rFonts w:eastAsia="Calibri"/>
        </w:rPr>
        <w:t xml:space="preserve"> </w:t>
      </w:r>
      <w:r>
        <w:rPr>
          <w:rFonts w:eastAsia="Calibri"/>
        </w:rPr>
        <w:t xml:space="preserve">TPE </w:t>
      </w:r>
      <w:r w:rsidRPr="00396835">
        <w:rPr>
          <w:rFonts w:eastAsia="Calibri"/>
        </w:rPr>
        <w:t>significant</w:t>
      </w:r>
      <w:r>
        <w:rPr>
          <w:rFonts w:eastAsia="Calibri"/>
        </w:rPr>
        <w:t>ly</w:t>
      </w:r>
      <w:r w:rsidRPr="00396835">
        <w:rPr>
          <w:rFonts w:eastAsia="Calibri"/>
        </w:rPr>
        <w:t xml:space="preserve"> reduc</w:t>
      </w:r>
      <w:r>
        <w:rPr>
          <w:rFonts w:eastAsia="Calibri"/>
        </w:rPr>
        <w:t>ed</w:t>
      </w:r>
      <w:r w:rsidRPr="00396835">
        <w:rPr>
          <w:rFonts w:eastAsia="Calibri"/>
        </w:rPr>
        <w:t xml:space="preserve"> mortality in severe COVID-19 disease compared to standard treatment.</w:t>
      </w:r>
    </w:p>
    <w:p w14:paraId="123D59F7" w14:textId="77777777" w:rsidR="00874CDF" w:rsidRPr="00923C02" w:rsidRDefault="005A7942" w:rsidP="00923C02">
      <w:pPr>
        <w:spacing w:before="120" w:after="0"/>
        <w:rPr>
          <w:rStyle w:val="Hyperlink"/>
        </w:rPr>
      </w:pPr>
      <w:hyperlink r:id="rId124">
        <w:r w:rsidR="00874CDF" w:rsidRPr="00923C02">
          <w:rPr>
            <w:rStyle w:val="Hyperlink"/>
          </w:rPr>
          <w:t>Prior vaccination has changed the composition of the COVID‐19 convalescent plasma inventory</w:t>
        </w:r>
      </w:hyperlink>
    </w:p>
    <w:p w14:paraId="56B11F9D" w14:textId="68BBF348" w:rsidR="00874CDF" w:rsidRDefault="00874CDF" w:rsidP="00874CDF">
      <w:pPr>
        <w:jc w:val="both"/>
        <w:rPr>
          <w:rFonts w:eastAsia="Calibri"/>
        </w:rPr>
      </w:pPr>
      <w:r w:rsidRPr="0047215B">
        <w:rPr>
          <w:rFonts w:eastAsia="Calibri"/>
        </w:rPr>
        <w:t>In this paper researchers discuss convalescent plasma as an antibody therapy for COVID-19</w:t>
      </w:r>
      <w:r>
        <w:rPr>
          <w:rFonts w:eastAsia="Calibri"/>
        </w:rPr>
        <w:t xml:space="preserve">. </w:t>
      </w:r>
      <w:r w:rsidRPr="0047215B">
        <w:rPr>
          <w:rFonts w:eastAsia="Calibri"/>
        </w:rPr>
        <w:t xml:space="preserve"> </w:t>
      </w:r>
      <w:r>
        <w:rPr>
          <w:rFonts w:eastAsia="Calibri"/>
        </w:rPr>
        <w:t xml:space="preserve">They </w:t>
      </w:r>
      <w:r w:rsidRPr="0047215B">
        <w:rPr>
          <w:rFonts w:eastAsia="Calibri"/>
        </w:rPr>
        <w:t xml:space="preserve">suggest there are significant differences in antibodies </w:t>
      </w:r>
      <w:r>
        <w:rPr>
          <w:rFonts w:eastAsia="Calibri"/>
        </w:rPr>
        <w:t>collected from</w:t>
      </w:r>
      <w:r w:rsidRPr="0047215B">
        <w:rPr>
          <w:rFonts w:eastAsia="Calibri"/>
        </w:rPr>
        <w:t xml:space="preserve"> non-vaccinated individuals at the beginning of the COVID epidemic </w:t>
      </w:r>
      <w:r>
        <w:rPr>
          <w:rFonts w:eastAsia="Calibri"/>
        </w:rPr>
        <w:t>compared to</w:t>
      </w:r>
      <w:r w:rsidRPr="0047215B">
        <w:rPr>
          <w:rFonts w:eastAsia="Calibri"/>
        </w:rPr>
        <w:t xml:space="preserve"> convalescent plasma</w:t>
      </w:r>
      <w:r>
        <w:rPr>
          <w:rFonts w:eastAsia="Calibri"/>
        </w:rPr>
        <w:t xml:space="preserve"> currently</w:t>
      </w:r>
      <w:r w:rsidRPr="0047215B">
        <w:rPr>
          <w:rFonts w:eastAsia="Calibri"/>
        </w:rPr>
        <w:t xml:space="preserve"> being collected.</w:t>
      </w:r>
    </w:p>
    <w:p w14:paraId="4526D18A" w14:textId="75D7746B" w:rsidR="00707E0A" w:rsidRDefault="005A7942" w:rsidP="00923C02">
      <w:pPr>
        <w:spacing w:before="120" w:after="0"/>
        <w:rPr>
          <w:rStyle w:val="Hyperlink"/>
        </w:rPr>
      </w:pPr>
      <w:hyperlink r:id="rId125">
        <w:r w:rsidR="00707E0A" w:rsidRPr="73461004">
          <w:rPr>
            <w:rStyle w:val="Hyperlink"/>
          </w:rPr>
          <w:t>Acute-type acquired h</w:t>
        </w:r>
        <w:r w:rsidR="00707E0A">
          <w:rPr>
            <w:rStyle w:val="Hyperlink"/>
          </w:rPr>
          <w:t>a</w:t>
        </w:r>
        <w:r w:rsidR="00707E0A" w:rsidRPr="73461004">
          <w:rPr>
            <w:rStyle w:val="Hyperlink"/>
          </w:rPr>
          <w:t>emophilia A after COVID-19 mRNA vaccine administration: A new disease entity?</w:t>
        </w:r>
      </w:hyperlink>
    </w:p>
    <w:p w14:paraId="0D710C44" w14:textId="7D576D91" w:rsidR="00707E0A" w:rsidRPr="004F3665" w:rsidRDefault="00707E0A" w:rsidP="00874CDF">
      <w:pPr>
        <w:jc w:val="both"/>
      </w:pPr>
      <w:r>
        <w:t>Researchers r</w:t>
      </w:r>
      <w:r w:rsidRPr="00FC19CB">
        <w:t xml:space="preserve">eport a case in which </w:t>
      </w:r>
      <w:r>
        <w:t>a young patient developed acute acquired haemophilia A (AHA)</w:t>
      </w:r>
      <w:r w:rsidRPr="00FC19CB">
        <w:t xml:space="preserve"> after </w:t>
      </w:r>
      <w:r>
        <w:t>receiving</w:t>
      </w:r>
      <w:r w:rsidRPr="00FC19CB">
        <w:t xml:space="preserve"> an mRNA COVID-19 vaccine but improved rapidly.</w:t>
      </w:r>
      <w:r>
        <w:t xml:space="preserve"> Researchers compared this case with other reports of AHA </w:t>
      </w:r>
      <w:r w:rsidRPr="00FC19CB">
        <w:t>after COVID-19 vaccination</w:t>
      </w:r>
      <w:r>
        <w:t xml:space="preserve"> and suggest that </w:t>
      </w:r>
      <w:r w:rsidRPr="00FC19CB">
        <w:t>the levels of FVIII inhibitors</w:t>
      </w:r>
      <w:r>
        <w:t xml:space="preserve"> associated with acute AHA</w:t>
      </w:r>
      <w:r w:rsidRPr="00FC19CB">
        <w:t xml:space="preserve"> decrease more rapidly in such cases than in idiopathic AHA.</w:t>
      </w:r>
    </w:p>
    <w:p w14:paraId="78B5E53E" w14:textId="77777777" w:rsidR="00430A43" w:rsidRDefault="00430A43" w:rsidP="009807FF">
      <w:pPr>
        <w:keepNext/>
        <w:keepLines/>
        <w:numPr>
          <w:ilvl w:val="0"/>
          <w:numId w:val="2"/>
        </w:numPr>
        <w:spacing w:before="240" w:after="120"/>
        <w:ind w:left="431" w:hanging="431"/>
        <w:jc w:val="both"/>
        <w:outlineLvl w:val="0"/>
        <w:rPr>
          <w:rFonts w:eastAsiaTheme="majorEastAsia" w:cstheme="majorBidi"/>
          <w:b/>
          <w:sz w:val="36"/>
          <w:szCs w:val="32"/>
        </w:rPr>
      </w:pPr>
      <w:bookmarkStart w:id="64" w:name="_Toc126935658"/>
      <w:r>
        <w:rPr>
          <w:rFonts w:eastAsiaTheme="majorEastAsia" w:cstheme="majorBidi"/>
          <w:b/>
          <w:sz w:val="36"/>
          <w:szCs w:val="32"/>
        </w:rPr>
        <w:t>Other items of interest</w:t>
      </w:r>
      <w:bookmarkEnd w:id="64"/>
    </w:p>
    <w:p w14:paraId="752875E1" w14:textId="1C9ED359" w:rsidR="00430A43" w:rsidRDefault="00430A43" w:rsidP="00CE1156">
      <w:pPr>
        <w:spacing w:before="0" w:after="0"/>
        <w:jc w:val="both"/>
        <w:rPr>
          <w:color w:val="000000"/>
          <w:shd w:val="clear" w:color="auto" w:fill="FFFFFF"/>
          <w:lang w:val="en-US"/>
        </w:rPr>
      </w:pPr>
      <w:r w:rsidRPr="00C34013">
        <w:rPr>
          <w:color w:val="000000"/>
          <w:shd w:val="clear" w:color="auto" w:fill="FFFFFF"/>
          <w:lang w:val="en-US"/>
        </w:rPr>
        <w:t xml:space="preserve">This section contains general industry and regulator updates as well as developments in non-blood and non-COVID related diseases that may have flow on affects to the blood industry. </w:t>
      </w:r>
    </w:p>
    <w:p w14:paraId="77AB6FCB" w14:textId="77777777" w:rsidR="002136E0" w:rsidRPr="00192912" w:rsidRDefault="005A7942" w:rsidP="002136E0">
      <w:pPr>
        <w:spacing w:before="120" w:after="0"/>
        <w:rPr>
          <w:rStyle w:val="Hyperlink"/>
        </w:rPr>
      </w:pPr>
      <w:hyperlink r:id="rId126">
        <w:r w:rsidR="002136E0" w:rsidRPr="00192912">
          <w:rPr>
            <w:rStyle w:val="Hyperlink"/>
          </w:rPr>
          <w:t>Abstracts for the Australian and N</w:t>
        </w:r>
        <w:bookmarkStart w:id="65" w:name="_Hlt121907846"/>
        <w:r w:rsidR="002136E0" w:rsidRPr="00192912">
          <w:rPr>
            <w:rStyle w:val="Hyperlink"/>
          </w:rPr>
          <w:t>e</w:t>
        </w:r>
        <w:bookmarkEnd w:id="65"/>
        <w:r w:rsidR="002136E0" w:rsidRPr="00192912">
          <w:rPr>
            <w:rStyle w:val="Hyperlink"/>
          </w:rPr>
          <w:t>w Zealand Society of Blood Transfusion (ANZSBT) stream of the BLOOD 2022 Meeting 11th – 14th September 2022</w:t>
        </w:r>
      </w:hyperlink>
    </w:p>
    <w:p w14:paraId="06ECA7F3" w14:textId="4BE307BC" w:rsidR="002136E0" w:rsidRDefault="002136E0" w:rsidP="002136E0">
      <w:r>
        <w:t xml:space="preserve">Abstracts for the Australian and New Zealand Society of Blood Transfusion (ANZBT) stream from the Blood 2022 Meeting held in Sydney earlier this year </w:t>
      </w:r>
      <w:r w:rsidR="00363846">
        <w:t>was made available 29</w:t>
      </w:r>
      <w:r w:rsidR="0040401A">
        <w:rPr>
          <w:vertAlign w:val="superscript"/>
        </w:rPr>
        <w:t xml:space="preserve"> </w:t>
      </w:r>
      <w:r w:rsidR="00363846">
        <w:t>November 2022</w:t>
      </w:r>
      <w:r>
        <w:t xml:space="preserve">. </w:t>
      </w:r>
    </w:p>
    <w:p w14:paraId="141EABA4" w14:textId="77777777" w:rsidR="002136E0" w:rsidRPr="00C34013" w:rsidRDefault="002136E0" w:rsidP="00CE1156">
      <w:pPr>
        <w:spacing w:before="0" w:after="0"/>
        <w:jc w:val="both"/>
        <w:rPr>
          <w:color w:val="000000"/>
          <w:shd w:val="clear" w:color="auto" w:fill="FFFFFF"/>
          <w:lang w:val="en-US"/>
        </w:rPr>
      </w:pPr>
    </w:p>
    <w:p w14:paraId="0907E5AE" w14:textId="77777777" w:rsidR="00964D4E" w:rsidRDefault="00964D4E" w:rsidP="00964D4E">
      <w:pPr>
        <w:numPr>
          <w:ilvl w:val="1"/>
          <w:numId w:val="2"/>
        </w:numPr>
        <w:spacing w:before="120" w:after="0"/>
        <w:ind w:left="578" w:hanging="578"/>
        <w:jc w:val="both"/>
        <w:outlineLvl w:val="1"/>
        <w:rPr>
          <w:rFonts w:cs="Arial"/>
          <w:b/>
          <w:bCs/>
          <w:sz w:val="28"/>
          <w:szCs w:val="28"/>
        </w:rPr>
      </w:pPr>
      <w:bookmarkStart w:id="66" w:name="_Toc126935659"/>
      <w:bookmarkStart w:id="67" w:name="_Hlk86067777"/>
      <w:r w:rsidRPr="007E16AF">
        <w:rPr>
          <w:rFonts w:cs="Arial"/>
          <w:b/>
          <w:bCs/>
          <w:sz w:val="28"/>
          <w:szCs w:val="28"/>
        </w:rPr>
        <w:t>NBA - National Blood Sector Research and Development Program</w:t>
      </w:r>
      <w:bookmarkEnd w:id="66"/>
    </w:p>
    <w:p w14:paraId="0F02FCEF" w14:textId="77777777" w:rsidR="00964D4E" w:rsidRPr="00923C02" w:rsidRDefault="005A7942" w:rsidP="00964D4E">
      <w:pPr>
        <w:spacing w:before="120" w:after="0"/>
        <w:rPr>
          <w:rStyle w:val="Hyperlink"/>
        </w:rPr>
      </w:pPr>
      <w:hyperlink r:id="rId127" w:history="1">
        <w:r w:rsidR="00964D4E" w:rsidRPr="00923C02">
          <w:rPr>
            <w:rStyle w:val="Hyperlink"/>
          </w:rPr>
          <w:t>Completed Grants from the National Blood Sector Research and Development Program | National Blood Authority</w:t>
        </w:r>
      </w:hyperlink>
    </w:p>
    <w:p w14:paraId="00AE2390" w14:textId="77777777" w:rsidR="00964D4E" w:rsidRDefault="00964D4E" w:rsidP="00964D4E">
      <w:pPr>
        <w:spacing w:before="0" w:after="0" w:line="259" w:lineRule="auto"/>
      </w:pPr>
      <w:r>
        <w:t>This page has been updated to include all publications and outcomes from projects completed through the National Blood Sector Research and Development Program.</w:t>
      </w:r>
    </w:p>
    <w:p w14:paraId="3396EA69" w14:textId="205E9483" w:rsidR="00964D4E" w:rsidRDefault="00964D4E" w:rsidP="00964D4E">
      <w:pPr>
        <w:spacing w:after="0"/>
        <w:rPr>
          <w:u w:val="single"/>
        </w:rPr>
      </w:pPr>
      <w:r w:rsidRPr="00A871D0">
        <w:rPr>
          <w:u w:val="single"/>
        </w:rPr>
        <w:t xml:space="preserve">The effect of intravenous iron and blood transfusion on </w:t>
      </w:r>
      <w:proofErr w:type="gramStart"/>
      <w:r w:rsidRPr="00A871D0">
        <w:rPr>
          <w:u w:val="single"/>
        </w:rPr>
        <w:t>patients</w:t>
      </w:r>
      <w:proofErr w:type="gramEnd"/>
      <w:r w:rsidRPr="00A871D0">
        <w:rPr>
          <w:u w:val="single"/>
        </w:rPr>
        <w:t xml:space="preserve"> outcomes in women with low haemoglobin after birth</w:t>
      </w:r>
    </w:p>
    <w:p w14:paraId="29D6679D" w14:textId="68FE997B" w:rsidR="0040401A" w:rsidRDefault="00AF7993" w:rsidP="00964D4E">
      <w:pPr>
        <w:spacing w:after="0"/>
        <w:jc w:val="both"/>
        <w:rPr>
          <w:color w:val="000000"/>
        </w:rPr>
      </w:pPr>
      <w:r>
        <w:t xml:space="preserve">This Patient Blood Management (PBM) Project grant from </w:t>
      </w:r>
      <w:hyperlink r:id="rId128" w:history="1">
        <w:r>
          <w:rPr>
            <w:rStyle w:val="Hyperlink"/>
          </w:rPr>
          <w:t>Round 2</w:t>
        </w:r>
      </w:hyperlink>
      <w:r>
        <w:t xml:space="preserve"> of the </w:t>
      </w:r>
      <w:r>
        <w:rPr>
          <w:lang w:val="en-US"/>
        </w:rPr>
        <w:t xml:space="preserve">NBA’s grant program has recently completed. The project was led by A/Prof Seng Chai Chua at the Western Sydney Health District. </w:t>
      </w:r>
      <w:r w:rsidR="00964D4E" w:rsidRPr="00A871D0">
        <w:t>This study evaluate</w:t>
      </w:r>
      <w:r w:rsidR="00964D4E">
        <w:t>d</w:t>
      </w:r>
      <w:r w:rsidR="00964D4E" w:rsidRPr="00A871D0">
        <w:t xml:space="preserve"> levels of haemoglobin postpartum after i</w:t>
      </w:r>
      <w:r w:rsidR="00964D4E" w:rsidRPr="00A871D0">
        <w:rPr>
          <w:color w:val="000000"/>
        </w:rPr>
        <w:t xml:space="preserve">ntravenous (IV) iron versus red blood cell (RBC) transfusion. The </w:t>
      </w:r>
      <w:r w:rsidR="00964D4E" w:rsidRPr="00A871D0">
        <w:t>study of 120 women showed that IV iron infusion was as effective as RBC transfusion</w:t>
      </w:r>
      <w:r w:rsidR="00964D4E" w:rsidRPr="00A871D0">
        <w:rPr>
          <w:color w:val="000000"/>
        </w:rPr>
        <w:t xml:space="preserve">, and that </w:t>
      </w:r>
      <w:r w:rsidR="00964D4E" w:rsidRPr="00A871D0">
        <w:t>IV iron was tolerated well, with no increase in adverse events including infection</w:t>
      </w:r>
      <w:r w:rsidR="00964D4E" w:rsidRPr="00A871D0">
        <w:rPr>
          <w:rFonts w:ascii="Times New Roman" w:hAnsi="Times New Roman" w:cs="Times New Roman"/>
          <w:sz w:val="24"/>
          <w:szCs w:val="24"/>
        </w:rPr>
        <w:t>.</w:t>
      </w:r>
      <w:r w:rsidR="00964D4E" w:rsidRPr="00A871D0">
        <w:rPr>
          <w:color w:val="000000"/>
        </w:rPr>
        <w:t xml:space="preserve"> The study has possible impacts on known evidence gaps in the NBA Patient Blood Management Guidelines, Module 5. The project team note</w:t>
      </w:r>
      <w:r w:rsidR="00593EBC">
        <w:rPr>
          <w:color w:val="000000"/>
        </w:rPr>
        <w:t>d</w:t>
      </w:r>
      <w:r w:rsidR="00964D4E" w:rsidRPr="00A871D0">
        <w:rPr>
          <w:color w:val="000000"/>
        </w:rPr>
        <w:t xml:space="preserve"> that using IV iron over RBC transfusions is projected to generate $348.63 worth of savings per patient.</w:t>
      </w:r>
      <w:r>
        <w:rPr>
          <w:color w:val="000000"/>
        </w:rPr>
        <w:t xml:space="preserve"> Once</w:t>
      </w:r>
      <w:r w:rsidR="00593EBC">
        <w:rPr>
          <w:color w:val="000000"/>
        </w:rPr>
        <w:t xml:space="preserve"> published</w:t>
      </w:r>
      <w:r>
        <w:rPr>
          <w:color w:val="000000"/>
        </w:rPr>
        <w:t xml:space="preserve">, the </w:t>
      </w:r>
      <w:r w:rsidR="00593EBC">
        <w:rPr>
          <w:color w:val="000000"/>
        </w:rPr>
        <w:t>outcomes</w:t>
      </w:r>
      <w:r>
        <w:rPr>
          <w:color w:val="000000"/>
        </w:rPr>
        <w:t xml:space="preserve"> from this project will be </w:t>
      </w:r>
      <w:r w:rsidR="00593EBC">
        <w:rPr>
          <w:color w:val="000000"/>
        </w:rPr>
        <w:t xml:space="preserve">made available on the </w:t>
      </w:r>
      <w:hyperlink r:id="rId129" w:history="1">
        <w:r w:rsidR="00593EBC" w:rsidRPr="00593EBC">
          <w:rPr>
            <w:rStyle w:val="Hyperlink"/>
          </w:rPr>
          <w:t>NBA website</w:t>
        </w:r>
      </w:hyperlink>
      <w:r w:rsidR="00593EBC">
        <w:rPr>
          <w:color w:val="000000"/>
        </w:rPr>
        <w:t>.</w:t>
      </w:r>
    </w:p>
    <w:p w14:paraId="18ED38CB" w14:textId="77777777" w:rsidR="00964D4E" w:rsidRDefault="00964D4E" w:rsidP="00964D4E">
      <w:pPr>
        <w:numPr>
          <w:ilvl w:val="1"/>
          <w:numId w:val="2"/>
        </w:numPr>
        <w:spacing w:before="120" w:after="0"/>
        <w:ind w:left="578" w:hanging="578"/>
        <w:jc w:val="both"/>
        <w:outlineLvl w:val="1"/>
        <w:rPr>
          <w:rFonts w:cs="Arial"/>
          <w:b/>
          <w:bCs/>
          <w:sz w:val="28"/>
          <w:szCs w:val="28"/>
        </w:rPr>
      </w:pPr>
      <w:bookmarkStart w:id="68" w:name="_Toc126935660"/>
      <w:bookmarkStart w:id="69" w:name="_Toc107578349"/>
      <w:r>
        <w:rPr>
          <w:rFonts w:cs="Arial"/>
          <w:b/>
          <w:bCs/>
          <w:sz w:val="28"/>
          <w:szCs w:val="28"/>
        </w:rPr>
        <w:t>Lifeblood</w:t>
      </w:r>
      <w:bookmarkEnd w:id="68"/>
    </w:p>
    <w:p w14:paraId="5FA8817C" w14:textId="77777777" w:rsidR="00964D4E" w:rsidRPr="00923C02" w:rsidRDefault="005A7942" w:rsidP="00964D4E">
      <w:pPr>
        <w:spacing w:before="120" w:after="0"/>
        <w:rPr>
          <w:rStyle w:val="Hyperlink"/>
        </w:rPr>
      </w:pPr>
      <w:hyperlink r:id="rId130" w:history="1">
        <w:r w:rsidR="00964D4E">
          <w:rPr>
            <w:rStyle w:val="Hyperlink"/>
          </w:rPr>
          <w:t>Lifeblood: Things that make you go “hmm”</w:t>
        </w:r>
      </w:hyperlink>
    </w:p>
    <w:p w14:paraId="5C02CD32" w14:textId="4740FFC0" w:rsidR="001C50CD" w:rsidRDefault="00964D4E" w:rsidP="00D971C1">
      <w:pPr>
        <w:spacing w:after="0"/>
        <w:jc w:val="both"/>
      </w:pPr>
      <w:r>
        <w:t>Lifeblood have compiled some fun facts about blood and blood donation in Australia.</w:t>
      </w:r>
      <w:bookmarkEnd w:id="69"/>
    </w:p>
    <w:p w14:paraId="23A04B48" w14:textId="77777777" w:rsidR="006A1E80" w:rsidRDefault="006A1E80" w:rsidP="00D971C1">
      <w:pPr>
        <w:spacing w:after="0"/>
        <w:jc w:val="both"/>
        <w:rPr>
          <w:rFonts w:cs="Arial"/>
          <w:b/>
          <w:sz w:val="28"/>
          <w:szCs w:val="36"/>
        </w:rPr>
      </w:pPr>
    </w:p>
    <w:p w14:paraId="0172E0D7" w14:textId="66797B70" w:rsidR="00215020" w:rsidRDefault="00215020" w:rsidP="00215020">
      <w:pPr>
        <w:numPr>
          <w:ilvl w:val="1"/>
          <w:numId w:val="2"/>
        </w:numPr>
        <w:spacing w:before="120" w:after="0"/>
        <w:ind w:left="578" w:hanging="578"/>
        <w:jc w:val="both"/>
        <w:outlineLvl w:val="1"/>
        <w:rPr>
          <w:rFonts w:cs="Arial"/>
          <w:b/>
          <w:bCs/>
          <w:sz w:val="28"/>
          <w:szCs w:val="28"/>
        </w:rPr>
      </w:pPr>
      <w:bookmarkStart w:id="70" w:name="_Toc126935661"/>
      <w:r>
        <w:rPr>
          <w:rFonts w:cs="Arial"/>
          <w:b/>
          <w:bCs/>
          <w:sz w:val="28"/>
          <w:szCs w:val="28"/>
        </w:rPr>
        <w:lastRenderedPageBreak/>
        <w:t>Research and development news</w:t>
      </w:r>
      <w:bookmarkEnd w:id="70"/>
    </w:p>
    <w:p w14:paraId="62E70519" w14:textId="77777777" w:rsidR="00B53901" w:rsidRPr="00923C02" w:rsidRDefault="005A7942" w:rsidP="00923C02">
      <w:pPr>
        <w:spacing w:before="120" w:after="0"/>
        <w:rPr>
          <w:rStyle w:val="Hyperlink"/>
        </w:rPr>
      </w:pPr>
      <w:hyperlink r:id="rId131" w:history="1">
        <w:r w:rsidR="00B53901" w:rsidRPr="00923C02">
          <w:rPr>
            <w:rStyle w:val="Hyperlink"/>
          </w:rPr>
          <w:t>A new Vega enters the galaxy with bleeding disorder antibody set for 2023 trial</w:t>
        </w:r>
      </w:hyperlink>
    </w:p>
    <w:p w14:paraId="7BFD3235" w14:textId="77777777" w:rsidR="00363846" w:rsidRDefault="00B53901" w:rsidP="009021AB">
      <w:pPr>
        <w:spacing w:before="120" w:after="0"/>
      </w:pPr>
      <w:r w:rsidRPr="00020774">
        <w:t>Biotech incubator Star Therapeutics has launched another galaxy-themed drug developer,</w:t>
      </w:r>
      <w:r>
        <w:t xml:space="preserve"> Vega, </w:t>
      </w:r>
      <w:r w:rsidRPr="00020774">
        <w:t>which next year will test a new antibody</w:t>
      </w:r>
      <w:r>
        <w:t xml:space="preserve"> for von Willebrand disease (VWD), currently</w:t>
      </w:r>
      <w:r w:rsidRPr="00020774">
        <w:t xml:space="preserve"> treated by Takeda’s </w:t>
      </w:r>
      <w:proofErr w:type="spellStart"/>
      <w:r w:rsidRPr="00020774">
        <w:t>Vonvendi</w:t>
      </w:r>
      <w:proofErr w:type="spellEnd"/>
      <w:r w:rsidRPr="00020774">
        <w:t>.</w:t>
      </w:r>
    </w:p>
    <w:p w14:paraId="541A13CB" w14:textId="134C9502" w:rsidR="009021AB" w:rsidRPr="00923C02" w:rsidRDefault="005A7942" w:rsidP="009021AB">
      <w:pPr>
        <w:spacing w:before="120" w:after="0"/>
        <w:rPr>
          <w:rStyle w:val="Hyperlink"/>
        </w:rPr>
      </w:pPr>
      <w:hyperlink r:id="rId132">
        <w:r w:rsidR="009021AB" w:rsidRPr="00923C02">
          <w:rPr>
            <w:rStyle w:val="Hyperlink"/>
          </w:rPr>
          <w:t>International Society of Blood Transfusion Working Party on Red Cell Immunogenetics and Blood Group Terminology Report of Basel and three virtual business meetings: Update on blood group systems</w:t>
        </w:r>
      </w:hyperlink>
    </w:p>
    <w:p w14:paraId="07763A87" w14:textId="77777777" w:rsidR="009021AB" w:rsidRPr="004E5050" w:rsidRDefault="009021AB" w:rsidP="009021AB">
      <w:pPr>
        <w:jc w:val="both"/>
        <w:rPr>
          <w:rFonts w:eastAsia="Calibri"/>
        </w:rPr>
      </w:pPr>
      <w:r w:rsidRPr="004E5050">
        <w:rPr>
          <w:shd w:val="clear" w:color="auto" w:fill="FFFFFF"/>
        </w:rPr>
        <w:t xml:space="preserve">The International Society of Blood Transfusion has released an update on blood group systems, with 378 antigens now recognised, of which 345 are clustered within 43 blood group systems while 33 still have an unknown genetic basis. </w:t>
      </w:r>
    </w:p>
    <w:p w14:paraId="427AD96A" w14:textId="77777777" w:rsidR="00E526C3" w:rsidRPr="00923C02" w:rsidRDefault="005A7942" w:rsidP="00923C02">
      <w:pPr>
        <w:spacing w:before="120" w:after="0"/>
        <w:rPr>
          <w:rStyle w:val="Hyperlink"/>
        </w:rPr>
      </w:pPr>
      <w:hyperlink r:id="rId133">
        <w:r w:rsidR="00E526C3" w:rsidRPr="6F8EE296">
          <w:rPr>
            <w:rStyle w:val="Hyperlink"/>
          </w:rPr>
          <w:t>Mini ‘bone marrow in a dish’ could boost anti-cancer treatments</w:t>
        </w:r>
      </w:hyperlink>
    </w:p>
    <w:p w14:paraId="7DF384E8" w14:textId="77777777" w:rsidR="00E526C3" w:rsidRDefault="00E526C3" w:rsidP="004F3665">
      <w:pPr>
        <w:jc w:val="both"/>
      </w:pPr>
      <w:r>
        <w:t xml:space="preserve">Scientists in the UK have made the first bone marrow ‘organoids’, recreating the key features of human bone marrow. It will allow for the screening of multiple anti-cancer drugs at the same time, as well as testing personalised treatments for individual cancer patients.  The senior study author hopes that this new technique will speed up the development and trials of new blood cancer treatments, getting novel products to patients faster. </w:t>
      </w:r>
    </w:p>
    <w:p w14:paraId="1F87ADAF" w14:textId="6FB6ABE8" w:rsidR="00271D62" w:rsidRDefault="005A7942" w:rsidP="00964D4E">
      <w:pPr>
        <w:spacing w:before="120" w:after="0"/>
        <w:rPr>
          <w:rStyle w:val="Hyperlink"/>
        </w:rPr>
      </w:pPr>
      <w:hyperlink r:id="rId134">
        <w:r w:rsidR="00271D62" w:rsidRPr="00923C02">
          <w:rPr>
            <w:rStyle w:val="Hyperlink"/>
          </w:rPr>
          <w:t>Lab grown blood given to people in world first clinical trial</w:t>
        </w:r>
      </w:hyperlink>
    </w:p>
    <w:p w14:paraId="66662A1F" w14:textId="23F76F48" w:rsidR="00964D4E" w:rsidRPr="00964D4E" w:rsidRDefault="00964D4E" w:rsidP="00964D4E">
      <w:pPr>
        <w:jc w:val="both"/>
      </w:pPr>
      <w:bookmarkStart w:id="71" w:name="_Hlk126922486"/>
      <w:r w:rsidRPr="002F6E96">
        <w:t>Scientists have transfused ex-vivo grown blood cells for the first time. A clinical trial in the United Kingdom is studying the lifespan of the lab grown cells compared with infusions of standard red blood cells from the same donor.</w:t>
      </w:r>
      <w:r w:rsidRPr="00964D4E">
        <w:t xml:space="preserve"> </w:t>
      </w:r>
      <w:r w:rsidRPr="002F6E96">
        <w:t>Two people have been transfused with the lab grown red cells and are being closely monitored with no untoward side effects reported. Grown blood cells could improve treatment for sufferers of rare blood diseases while reducing demand on blood supplies</w:t>
      </w:r>
    </w:p>
    <w:bookmarkEnd w:id="71"/>
    <w:p w14:paraId="06B0093C" w14:textId="77777777" w:rsidR="003C06F8" w:rsidRPr="00923C02" w:rsidRDefault="00872573" w:rsidP="00923C02">
      <w:pPr>
        <w:spacing w:before="120" w:after="0"/>
        <w:rPr>
          <w:rStyle w:val="Hyperlink"/>
        </w:rPr>
      </w:pPr>
      <w:r>
        <w:fldChar w:fldCharType="begin"/>
      </w:r>
      <w:r>
        <w:instrText xml:space="preserve"> HYPERLINK "https://onlinelibrary.wiley.com/doi/10.1111/trf.17151?af=R" \h </w:instrText>
      </w:r>
      <w:r>
        <w:fldChar w:fldCharType="separate"/>
      </w:r>
      <w:r w:rsidR="003C06F8" w:rsidRPr="00DC437D">
        <w:rPr>
          <w:rStyle w:val="Hyperlink"/>
        </w:rPr>
        <w:t>A data‐informed system to manage scarce blood product allocation in a randomized controlled trial of convalescent plasma</w:t>
      </w:r>
      <w:r>
        <w:rPr>
          <w:rStyle w:val="Hyperlink"/>
        </w:rPr>
        <w:fldChar w:fldCharType="end"/>
      </w:r>
    </w:p>
    <w:p w14:paraId="2A5EE56A" w14:textId="77777777" w:rsidR="003C06F8" w:rsidRDefault="003C06F8" w:rsidP="003C06F8">
      <w:pPr>
        <w:jc w:val="both"/>
      </w:pPr>
      <w:r w:rsidRPr="00DC437D">
        <w:t>Researchers designed a custom-made, computeri</w:t>
      </w:r>
      <w:r>
        <w:t>s</w:t>
      </w:r>
      <w:r w:rsidRPr="00DC437D">
        <w:t>ed system to manage the inventory and allocation of COVID-19 convalescent plasma (CCP). A model with supply and demand forecasting was developed to guide the equitable allocation of CCP at hubs across Canada (excluding Québec).</w:t>
      </w:r>
    </w:p>
    <w:p w14:paraId="1593EA34" w14:textId="77777777" w:rsidR="003C06F8" w:rsidRDefault="005A7942" w:rsidP="00923C02">
      <w:pPr>
        <w:spacing w:before="120" w:after="0"/>
        <w:rPr>
          <w:rStyle w:val="Hyperlink"/>
        </w:rPr>
      </w:pPr>
      <w:hyperlink r:id="rId135" w:history="1">
        <w:r w:rsidR="003C06F8">
          <w:rPr>
            <w:rStyle w:val="Hyperlink"/>
          </w:rPr>
          <w:t>‘Smart’ red blood cells could address the antibiotic resistance crisis, scientists say</w:t>
        </w:r>
      </w:hyperlink>
    </w:p>
    <w:p w14:paraId="668C866F" w14:textId="77777777" w:rsidR="003C06F8" w:rsidRDefault="003C06F8" w:rsidP="003C06F8">
      <w:r>
        <w:t>Researchers have modified red blood cells and tested their potential as drug carriers. They found that the modified red blood cells safely carried potent antibiotics to selectively target and kill bacteria, without harming healthy cells. </w:t>
      </w:r>
    </w:p>
    <w:p w14:paraId="15BFD2A1" w14:textId="77777777" w:rsidR="00B87C8E" w:rsidRPr="00923C02" w:rsidRDefault="005A7942" w:rsidP="00923C02">
      <w:pPr>
        <w:spacing w:before="120" w:after="0"/>
        <w:rPr>
          <w:rStyle w:val="Hyperlink"/>
        </w:rPr>
      </w:pPr>
      <w:hyperlink r:id="rId136">
        <w:r w:rsidR="00B87C8E" w:rsidRPr="5BEEB2A1">
          <w:rPr>
            <w:rStyle w:val="Hyperlink"/>
          </w:rPr>
          <w:t>Citrullinated fibrinogen forms densely packed clots with decreased permeability</w:t>
        </w:r>
      </w:hyperlink>
    </w:p>
    <w:p w14:paraId="7B002740" w14:textId="77777777" w:rsidR="00B87C8E" w:rsidRDefault="00B87C8E" w:rsidP="00B87C8E">
      <w:pPr>
        <w:spacing w:line="257" w:lineRule="auto"/>
      </w:pPr>
      <w:r w:rsidRPr="00FC0778">
        <w:rPr>
          <w:rFonts w:eastAsia="Calibri"/>
        </w:rPr>
        <w:t>This study investigated the effect of fibrinogen citrullination on the structure of fibrin clots.</w:t>
      </w:r>
      <w:r w:rsidRPr="00FC0778">
        <w:rPr>
          <w:rFonts w:ascii="Open Sans" w:eastAsia="Open Sans" w:hAnsi="Open Sans" w:cs="Open Sans"/>
          <w:color w:val="1C1D1E"/>
        </w:rPr>
        <w:t xml:space="preserve"> </w:t>
      </w:r>
      <w:r w:rsidRPr="00FC0778">
        <w:rPr>
          <w:rFonts w:eastAsia="Calibri"/>
        </w:rPr>
        <w:t>Citrullinated fibrinogen has been detected in human plasma and it decreases the decomposition and mechanical resistance of fibrin clots.</w:t>
      </w:r>
    </w:p>
    <w:p w14:paraId="4FEECE5E" w14:textId="77777777" w:rsidR="00B87C8E" w:rsidRDefault="005A7942" w:rsidP="00923C02">
      <w:pPr>
        <w:spacing w:before="120" w:after="0"/>
        <w:rPr>
          <w:rStyle w:val="Hyperlink"/>
        </w:rPr>
      </w:pPr>
      <w:hyperlink r:id="rId137">
        <w:r w:rsidR="00B87C8E" w:rsidRPr="5BEEB2A1">
          <w:rPr>
            <w:rStyle w:val="Hyperlink"/>
          </w:rPr>
          <w:t>Genetically modified herpes combats advanced cancers</w:t>
        </w:r>
      </w:hyperlink>
    </w:p>
    <w:p w14:paraId="50229994" w14:textId="5AF0981C" w:rsidR="00964D4E" w:rsidRDefault="00B87C8E" w:rsidP="00B87C8E">
      <w:r>
        <w:t>Researchers have modified a version of the herpes simplex virus to treat a range of advanced cancers, with a quarter of treatment recipients experiencing tumour size reduction in early testing.</w:t>
      </w:r>
    </w:p>
    <w:p w14:paraId="2C3F2A68" w14:textId="350934DC" w:rsidR="00430A43" w:rsidRPr="007E16AF" w:rsidRDefault="00430A43" w:rsidP="009807FF">
      <w:pPr>
        <w:numPr>
          <w:ilvl w:val="1"/>
          <w:numId w:val="2"/>
        </w:numPr>
        <w:spacing w:before="120" w:after="0"/>
        <w:ind w:left="578" w:hanging="578"/>
        <w:jc w:val="both"/>
        <w:outlineLvl w:val="1"/>
        <w:rPr>
          <w:rFonts w:cs="Arial"/>
          <w:b/>
          <w:bCs/>
          <w:sz w:val="28"/>
          <w:szCs w:val="28"/>
        </w:rPr>
      </w:pPr>
      <w:bookmarkStart w:id="72" w:name="_Toc126935662"/>
      <w:r w:rsidRPr="007E16AF">
        <w:rPr>
          <w:rFonts w:cs="Arial"/>
          <w:b/>
          <w:bCs/>
          <w:sz w:val="28"/>
          <w:szCs w:val="28"/>
        </w:rPr>
        <w:t xml:space="preserve">Industry </w:t>
      </w:r>
      <w:r w:rsidR="000C2071" w:rsidRPr="007E16AF">
        <w:rPr>
          <w:rFonts w:cs="Arial"/>
          <w:b/>
          <w:bCs/>
          <w:sz w:val="28"/>
          <w:szCs w:val="28"/>
        </w:rPr>
        <w:t>news</w:t>
      </w:r>
      <w:bookmarkEnd w:id="72"/>
    </w:p>
    <w:p w14:paraId="2BF6208F" w14:textId="77777777" w:rsidR="00553777" w:rsidRPr="00923C02" w:rsidRDefault="005A7942" w:rsidP="00923C02">
      <w:pPr>
        <w:spacing w:before="120" w:after="0"/>
        <w:rPr>
          <w:rStyle w:val="Hyperlink"/>
        </w:rPr>
      </w:pPr>
      <w:hyperlink r:id="rId138" w:history="1">
        <w:r w:rsidR="00553777" w:rsidRPr="00923C02">
          <w:rPr>
            <w:rStyle w:val="Hyperlink"/>
          </w:rPr>
          <w:t xml:space="preserve">Bluebird sells regulatory fast pass to </w:t>
        </w:r>
        <w:proofErr w:type="spellStart"/>
        <w:r w:rsidR="00553777" w:rsidRPr="00923C02">
          <w:rPr>
            <w:rStyle w:val="Hyperlink"/>
          </w:rPr>
          <w:t>Argenx</w:t>
        </w:r>
        <w:proofErr w:type="spellEnd"/>
        <w:r w:rsidR="00553777" w:rsidRPr="00923C02">
          <w:rPr>
            <w:rStyle w:val="Hyperlink"/>
          </w:rPr>
          <w:t xml:space="preserve"> for $102M </w:t>
        </w:r>
      </w:hyperlink>
    </w:p>
    <w:p w14:paraId="1C4BC9BF" w14:textId="428D4083" w:rsidR="00553777" w:rsidRDefault="00553777" w:rsidP="00553777">
      <w:r w:rsidRPr="005C26A8">
        <w:t xml:space="preserve">Gene therapy developer Bluebird bio has sold a voucher that speeds up US drug reviews to Dutch biotechnology company </w:t>
      </w:r>
      <w:proofErr w:type="spellStart"/>
      <w:r w:rsidRPr="005C26A8">
        <w:t>Argenx</w:t>
      </w:r>
      <w:proofErr w:type="spellEnd"/>
      <w:r w:rsidRPr="005C26A8">
        <w:t>. The sale</w:t>
      </w:r>
      <w:r>
        <w:t xml:space="preserve"> </w:t>
      </w:r>
      <w:r w:rsidRPr="005C26A8">
        <w:t xml:space="preserve">comes after the </w:t>
      </w:r>
      <w:r w:rsidR="00CF6B98">
        <w:t>FDA</w:t>
      </w:r>
      <w:r w:rsidRPr="005C26A8">
        <w:t xml:space="preserve"> approved two of the company’s rare disease gene therapies, </w:t>
      </w:r>
      <w:hyperlink r:id="rId139" w:history="1">
        <w:r w:rsidRPr="005C26A8">
          <w:t>Zynteglo</w:t>
        </w:r>
      </w:hyperlink>
      <w:r w:rsidRPr="005C26A8">
        <w:t> and </w:t>
      </w:r>
      <w:proofErr w:type="spellStart"/>
      <w:r w:rsidR="00B70FD5">
        <w:fldChar w:fldCharType="begin"/>
      </w:r>
      <w:r w:rsidR="00B70FD5">
        <w:instrText xml:space="preserve"> HYPERLINK "https://www.biopharmadive.com/news/bluebird-bio-skysona-fda-accelerated-approval-cald-gene-therapy/631797/" </w:instrText>
      </w:r>
      <w:r w:rsidR="00B70FD5">
        <w:fldChar w:fldCharType="separate"/>
      </w:r>
      <w:r w:rsidRPr="005C26A8">
        <w:t>Skysona</w:t>
      </w:r>
      <w:proofErr w:type="spellEnd"/>
      <w:r w:rsidR="00B70FD5">
        <w:fldChar w:fldCharType="end"/>
      </w:r>
      <w:r w:rsidRPr="005C26A8">
        <w:t>, both of which came with so-called priority review vouchers that can be resold to other companies for use on their new drug applications</w:t>
      </w:r>
      <w:r>
        <w:t>.</w:t>
      </w:r>
    </w:p>
    <w:p w14:paraId="637224A4" w14:textId="77777777" w:rsidR="009021AB" w:rsidRPr="00923C02" w:rsidRDefault="005A7942" w:rsidP="009021AB">
      <w:pPr>
        <w:spacing w:before="120" w:after="0"/>
        <w:rPr>
          <w:rStyle w:val="Hyperlink"/>
        </w:rPr>
      </w:pPr>
      <w:hyperlink r:id="rId140" w:history="1">
        <w:r w:rsidR="009021AB" w:rsidRPr="001C3EC6">
          <w:rPr>
            <w:rStyle w:val="Hyperlink"/>
          </w:rPr>
          <w:t xml:space="preserve">Grifols </w:t>
        </w:r>
        <w:r w:rsidR="009021AB">
          <w:rPr>
            <w:rStyle w:val="Hyperlink"/>
          </w:rPr>
          <w:t>s</w:t>
        </w:r>
        <w:r w:rsidR="009021AB" w:rsidRPr="001C3EC6">
          <w:rPr>
            <w:rStyle w:val="Hyperlink"/>
          </w:rPr>
          <w:t xml:space="preserve">ays U.S. </w:t>
        </w:r>
        <w:r w:rsidR="009021AB">
          <w:rPr>
            <w:rStyle w:val="Hyperlink"/>
          </w:rPr>
          <w:t>b</w:t>
        </w:r>
        <w:r w:rsidR="009021AB" w:rsidRPr="001C3EC6">
          <w:rPr>
            <w:rStyle w:val="Hyperlink"/>
          </w:rPr>
          <w:t xml:space="preserve">lood </w:t>
        </w:r>
        <w:r w:rsidR="009021AB">
          <w:rPr>
            <w:rStyle w:val="Hyperlink"/>
          </w:rPr>
          <w:t>d</w:t>
        </w:r>
        <w:r w:rsidR="009021AB" w:rsidRPr="001C3EC6">
          <w:rPr>
            <w:rStyle w:val="Hyperlink"/>
          </w:rPr>
          <w:t xml:space="preserve">onors' </w:t>
        </w:r>
        <w:r w:rsidR="009021AB">
          <w:rPr>
            <w:rStyle w:val="Hyperlink"/>
          </w:rPr>
          <w:t>l</w:t>
        </w:r>
        <w:r w:rsidR="009021AB" w:rsidRPr="001C3EC6">
          <w:rPr>
            <w:rStyle w:val="Hyperlink"/>
          </w:rPr>
          <w:t xml:space="preserve">awsuit </w:t>
        </w:r>
        <w:r w:rsidR="009021AB">
          <w:rPr>
            <w:rStyle w:val="Hyperlink"/>
          </w:rPr>
          <w:t>w</w:t>
        </w:r>
        <w:r w:rsidR="009021AB" w:rsidRPr="001C3EC6">
          <w:rPr>
            <w:rStyle w:val="Hyperlink"/>
          </w:rPr>
          <w:t xml:space="preserve">on't </w:t>
        </w:r>
        <w:r w:rsidR="009021AB">
          <w:rPr>
            <w:rStyle w:val="Hyperlink"/>
          </w:rPr>
          <w:t>h</w:t>
        </w:r>
        <w:r w:rsidR="009021AB" w:rsidRPr="001C3EC6">
          <w:rPr>
            <w:rStyle w:val="Hyperlink"/>
          </w:rPr>
          <w:t xml:space="preserve">ave </w:t>
        </w:r>
        <w:r w:rsidR="009021AB">
          <w:rPr>
            <w:rStyle w:val="Hyperlink"/>
          </w:rPr>
          <w:t>m</w:t>
        </w:r>
        <w:r w:rsidR="009021AB" w:rsidRPr="001C3EC6">
          <w:rPr>
            <w:rStyle w:val="Hyperlink"/>
          </w:rPr>
          <w:t xml:space="preserve">aterial </w:t>
        </w:r>
        <w:r w:rsidR="009021AB">
          <w:rPr>
            <w:rStyle w:val="Hyperlink"/>
          </w:rPr>
          <w:t>i</w:t>
        </w:r>
        <w:r w:rsidR="009021AB" w:rsidRPr="001C3EC6">
          <w:rPr>
            <w:rStyle w:val="Hyperlink"/>
          </w:rPr>
          <w:t xml:space="preserve">mpact, </w:t>
        </w:r>
        <w:r w:rsidR="009021AB">
          <w:rPr>
            <w:rStyle w:val="Hyperlink"/>
          </w:rPr>
          <w:t>s</w:t>
        </w:r>
        <w:r w:rsidR="009021AB" w:rsidRPr="001C3EC6">
          <w:rPr>
            <w:rStyle w:val="Hyperlink"/>
          </w:rPr>
          <w:t xml:space="preserve">hares </w:t>
        </w:r>
        <w:r w:rsidR="009021AB">
          <w:rPr>
            <w:rStyle w:val="Hyperlink"/>
          </w:rPr>
          <w:t>d</w:t>
        </w:r>
        <w:r w:rsidR="009021AB" w:rsidRPr="001C3EC6">
          <w:rPr>
            <w:rStyle w:val="Hyperlink"/>
          </w:rPr>
          <w:t>own</w:t>
        </w:r>
      </w:hyperlink>
    </w:p>
    <w:p w14:paraId="2CF4A1F0" w14:textId="77777777" w:rsidR="009021AB" w:rsidRDefault="009021AB" w:rsidP="009021AB">
      <w:pPr>
        <w:jc w:val="both"/>
      </w:pPr>
      <w:r>
        <w:t>Grifols has confirmed that around</w:t>
      </w:r>
      <w:r w:rsidRPr="00157C41">
        <w:t xml:space="preserve"> 54,000 donors in Illinois ha</w:t>
      </w:r>
      <w:r>
        <w:t>ve</w:t>
      </w:r>
      <w:r w:rsidRPr="00157C41">
        <w:t xml:space="preserve"> filed a lawsuit claiming </w:t>
      </w:r>
      <w:r>
        <w:t>the company</w:t>
      </w:r>
      <w:r w:rsidRPr="00157C41">
        <w:t xml:space="preserve"> breached data protection regulations.</w:t>
      </w:r>
    </w:p>
    <w:p w14:paraId="6A78FD08" w14:textId="3FF53F6A" w:rsidR="00D37F59" w:rsidRPr="00923C02" w:rsidRDefault="005A7942" w:rsidP="00923C02">
      <w:pPr>
        <w:spacing w:before="120" w:after="0"/>
        <w:rPr>
          <w:rStyle w:val="Hyperlink"/>
        </w:rPr>
      </w:pPr>
      <w:hyperlink r:id="rId141">
        <w:r w:rsidR="00D37F59" w:rsidRPr="00923C02">
          <w:rPr>
            <w:rStyle w:val="Hyperlink"/>
          </w:rPr>
          <w:t xml:space="preserve">Blood </w:t>
        </w:r>
        <w:proofErr w:type="spellStart"/>
        <w:r w:rsidR="00D37F59" w:rsidRPr="00923C02">
          <w:rPr>
            <w:rStyle w:val="Hyperlink"/>
          </w:rPr>
          <w:t>BioTech</w:t>
        </w:r>
        <w:proofErr w:type="spellEnd"/>
        <w:r w:rsidR="00D37F59" w:rsidRPr="00923C02">
          <w:rPr>
            <w:rStyle w:val="Hyperlink"/>
          </w:rPr>
          <w:t xml:space="preserve"> </w:t>
        </w:r>
        <w:proofErr w:type="spellStart"/>
        <w:r w:rsidR="00D37F59" w:rsidRPr="00923C02">
          <w:rPr>
            <w:rStyle w:val="Hyperlink"/>
          </w:rPr>
          <w:t>Aegros</w:t>
        </w:r>
        <w:proofErr w:type="spellEnd"/>
        <w:r w:rsidR="00D37F59" w:rsidRPr="00923C02">
          <w:rPr>
            <w:rStyle w:val="Hyperlink"/>
          </w:rPr>
          <w:t xml:space="preserve"> to </w:t>
        </w:r>
        <w:r w:rsidR="00D37F59" w:rsidRPr="00A27D95">
          <w:rPr>
            <w:rStyle w:val="Hyperlink"/>
          </w:rPr>
          <w:t>build</w:t>
        </w:r>
        <w:r w:rsidR="00D37F59" w:rsidRPr="00923C02">
          <w:rPr>
            <w:rStyle w:val="Hyperlink"/>
          </w:rPr>
          <w:t xml:space="preserve"> $352m manufacturing hub in Qld </w:t>
        </w:r>
      </w:hyperlink>
    </w:p>
    <w:p w14:paraId="3E900ABA" w14:textId="77777777" w:rsidR="00D37F59" w:rsidRDefault="00D37F59" w:rsidP="00D37F59">
      <w:r w:rsidRPr="1F033698">
        <w:t xml:space="preserve">Local biopharmaceuticals company </w:t>
      </w:r>
      <w:proofErr w:type="spellStart"/>
      <w:r w:rsidRPr="1F033698">
        <w:t>Aegros</w:t>
      </w:r>
      <w:proofErr w:type="spellEnd"/>
      <w:r w:rsidRPr="1F033698">
        <w:t xml:space="preserve"> will establish a $352 million manufacturing facility in Queensland for therapeutic plasma products. The facility will be built at </w:t>
      </w:r>
      <w:proofErr w:type="spellStart"/>
      <w:r w:rsidRPr="1F033698">
        <w:t>BioPark</w:t>
      </w:r>
      <w:proofErr w:type="spellEnd"/>
      <w:r w:rsidRPr="1F033698">
        <w:t xml:space="preserve"> Australia in Greater Springfield, with the expectation to have a peak output capacity of one million litres of blood plasma products when operational.</w:t>
      </w:r>
    </w:p>
    <w:p w14:paraId="36F84DD9" w14:textId="77777777" w:rsidR="00D37F59" w:rsidRPr="00EF0D14" w:rsidRDefault="005A7942" w:rsidP="00923C02">
      <w:pPr>
        <w:spacing w:before="120" w:after="0"/>
      </w:pPr>
      <w:hyperlink r:id="rId142">
        <w:r w:rsidR="00D37F59" w:rsidRPr="5B2B5504">
          <w:rPr>
            <w:rStyle w:val="Hyperlink"/>
          </w:rPr>
          <w:t>Private investment firm snaps up Pfizer facility in Western Australia</w:t>
        </w:r>
      </w:hyperlink>
    </w:p>
    <w:p w14:paraId="6ECF5439" w14:textId="12529F49" w:rsidR="00D37F59" w:rsidRDefault="00D37F59" w:rsidP="00D37F59">
      <w:proofErr w:type="spellStart"/>
      <w:r>
        <w:t>Bridgewest</w:t>
      </w:r>
      <w:proofErr w:type="spellEnd"/>
      <w:r>
        <w:t xml:space="preserve"> Group, a private investment firm, has signed an agreement to purchase Pfizer’s sterile injectable facility in Perth.  Pfizer was planning to stop manufacturing </w:t>
      </w:r>
      <w:r w:rsidR="00B812AB">
        <w:t>in 2023</w:t>
      </w:r>
      <w:r>
        <w:t xml:space="preserve"> and close the site officially in 2024. The </w:t>
      </w:r>
      <w:proofErr w:type="spellStart"/>
      <w:r>
        <w:t>Bridgewest</w:t>
      </w:r>
      <w:proofErr w:type="spellEnd"/>
      <w:r>
        <w:t xml:space="preserve"> facility has approval to supply around 90 countries with drug products and will be acquiring several other drug products from Pfizer to make and </w:t>
      </w:r>
      <w:bookmarkStart w:id="73" w:name="_Int_Spaby7J4"/>
      <w:r>
        <w:t>sell</w:t>
      </w:r>
      <w:bookmarkEnd w:id="73"/>
      <w:r>
        <w:t xml:space="preserve">. </w:t>
      </w:r>
    </w:p>
    <w:p w14:paraId="287C7C76" w14:textId="77777777" w:rsidR="003D3DC9" w:rsidRDefault="005A7942" w:rsidP="00923C02">
      <w:pPr>
        <w:spacing w:before="120" w:after="0"/>
        <w:rPr>
          <w:rStyle w:val="Hyperlink"/>
        </w:rPr>
      </w:pPr>
      <w:hyperlink r:id="rId143" w:history="1">
        <w:r w:rsidR="003D3DC9">
          <w:rPr>
            <w:rStyle w:val="Hyperlink"/>
          </w:rPr>
          <w:t>Australia's CSL in mRNA vaccine licensing deal with U.S.-based Arcturus</w:t>
        </w:r>
      </w:hyperlink>
    </w:p>
    <w:p w14:paraId="4ABF7370" w14:textId="06B55FF5" w:rsidR="003D3DC9" w:rsidRPr="000A7459" w:rsidRDefault="003D3DC9" w:rsidP="003D3DC9">
      <w:r w:rsidRPr="000A7459">
        <w:t xml:space="preserve">CSL Ltd </w:t>
      </w:r>
      <w:r>
        <w:t>has signed a</w:t>
      </w:r>
      <w:r w:rsidRPr="000A7459">
        <w:t xml:space="preserve"> licensing deal with Arcturus Therapeutic</w:t>
      </w:r>
      <w:r>
        <w:t xml:space="preserve"> </w:t>
      </w:r>
      <w:r w:rsidRPr="000A7459">
        <w:t xml:space="preserve">that </w:t>
      </w:r>
      <w:r>
        <w:t>will provide</w:t>
      </w:r>
      <w:r w:rsidRPr="000A7459">
        <w:t xml:space="preserve"> access to the US drug developer's messenger RNA (mRNA) vaccine technology.</w:t>
      </w:r>
      <w:r>
        <w:t xml:space="preserve"> CSL</w:t>
      </w:r>
      <w:r w:rsidRPr="000A7459">
        <w:t xml:space="preserve"> </w:t>
      </w:r>
      <w:r>
        <w:t xml:space="preserve">have stated they will seek to </w:t>
      </w:r>
      <w:r w:rsidRPr="000A7459">
        <w:t>develop vaccines for influenza, COVID-19, and other respiratory viral diseases</w:t>
      </w:r>
      <w:r>
        <w:t xml:space="preserve"> with the mRNA technology.</w:t>
      </w:r>
    </w:p>
    <w:p w14:paraId="1EAF7BFB" w14:textId="77777777" w:rsidR="00300E8F" w:rsidRPr="00923C02" w:rsidRDefault="005A7942" w:rsidP="00923C02">
      <w:pPr>
        <w:spacing w:before="120" w:after="0"/>
        <w:rPr>
          <w:rStyle w:val="Hyperlink"/>
        </w:rPr>
      </w:pPr>
      <w:hyperlink r:id="rId144">
        <w:r w:rsidR="00300E8F" w:rsidRPr="00923C02">
          <w:rPr>
            <w:rStyle w:val="Hyperlink"/>
          </w:rPr>
          <w:t>Novo Nordisk announces the completion of the Forma</w:t>
        </w:r>
      </w:hyperlink>
    </w:p>
    <w:p w14:paraId="4D3403B4" w14:textId="77777777" w:rsidR="00300E8F" w:rsidRDefault="00300E8F" w:rsidP="00300E8F">
      <w:pPr>
        <w:jc w:val="both"/>
        <w:rPr>
          <w:rFonts w:eastAsia="Calibri"/>
        </w:rPr>
      </w:pPr>
      <w:r>
        <w:rPr>
          <w:shd w:val="clear" w:color="auto" w:fill="FFFFFF"/>
        </w:rPr>
        <w:t xml:space="preserve">Novo Nordisk has completed its acquisition of </w:t>
      </w:r>
      <w:r w:rsidRPr="00C70707">
        <w:rPr>
          <w:shd w:val="clear" w:color="auto" w:fill="FFFFFF"/>
        </w:rPr>
        <w:t>Forma Therapeutic</w:t>
      </w:r>
      <w:r>
        <w:rPr>
          <w:shd w:val="clear" w:color="auto" w:fill="FFFFFF"/>
        </w:rPr>
        <w:t xml:space="preserve">s, </w:t>
      </w:r>
      <w:r w:rsidRPr="00C70707">
        <w:rPr>
          <w:shd w:val="clear" w:color="auto" w:fill="FFFFFF"/>
        </w:rPr>
        <w:t>a clinical-stage biopharmaceutical company focused on</w:t>
      </w:r>
      <w:r>
        <w:rPr>
          <w:shd w:val="clear" w:color="auto" w:fill="FFFFFF"/>
        </w:rPr>
        <w:t xml:space="preserve"> treatments for people</w:t>
      </w:r>
      <w:r w:rsidRPr="00C70707">
        <w:rPr>
          <w:shd w:val="clear" w:color="auto" w:fill="FFFFFF"/>
        </w:rPr>
        <w:t xml:space="preserve"> with sickle cell disease (SCD) and</w:t>
      </w:r>
      <w:r>
        <w:rPr>
          <w:shd w:val="clear" w:color="auto" w:fill="FFFFFF"/>
        </w:rPr>
        <w:t xml:space="preserve"> other</w:t>
      </w:r>
      <w:r w:rsidRPr="00C70707">
        <w:rPr>
          <w:shd w:val="clear" w:color="auto" w:fill="FFFFFF"/>
        </w:rPr>
        <w:t xml:space="preserve"> rare blood disorders.</w:t>
      </w:r>
    </w:p>
    <w:p w14:paraId="5F7F0115" w14:textId="77777777" w:rsidR="00300E8F" w:rsidRPr="00923C02" w:rsidRDefault="005A7942" w:rsidP="00923C02">
      <w:pPr>
        <w:spacing w:before="120" w:after="0"/>
        <w:rPr>
          <w:rStyle w:val="Hyperlink"/>
        </w:rPr>
      </w:pPr>
      <w:hyperlink r:id="rId145">
        <w:r w:rsidR="00300E8F" w:rsidRPr="221C4129">
          <w:rPr>
            <w:rStyle w:val="Hyperlink"/>
          </w:rPr>
          <w:t>BioNTech to build an mRNA hub in Australia</w:t>
        </w:r>
      </w:hyperlink>
      <w:r w:rsidR="00300E8F" w:rsidRPr="00923C02">
        <w:rPr>
          <w:rStyle w:val="Hyperlink"/>
        </w:rPr>
        <w:t xml:space="preserve"> </w:t>
      </w:r>
    </w:p>
    <w:p w14:paraId="265963AA" w14:textId="77777777" w:rsidR="00300E8F" w:rsidRDefault="00300E8F" w:rsidP="00300E8F">
      <w:pPr>
        <w:jc w:val="both"/>
        <w:rPr>
          <w:rFonts w:eastAsia="Calibri"/>
        </w:rPr>
      </w:pPr>
      <w:r w:rsidRPr="00C70707">
        <w:rPr>
          <w:rFonts w:eastAsia="Calibri"/>
        </w:rPr>
        <w:t xml:space="preserve">BioNTech </w:t>
      </w:r>
      <w:r>
        <w:rPr>
          <w:rFonts w:eastAsia="Calibri"/>
        </w:rPr>
        <w:t>has announced</w:t>
      </w:r>
      <w:r w:rsidRPr="00C70707">
        <w:rPr>
          <w:rFonts w:eastAsia="Calibri"/>
        </w:rPr>
        <w:t> a partnership with the state of Victoria to establish a messenger RNA research and manufacturing hub in Melbourne. BioNTech will buil</w:t>
      </w:r>
      <w:r>
        <w:rPr>
          <w:rFonts w:eastAsia="Calibri"/>
        </w:rPr>
        <w:t>d</w:t>
      </w:r>
      <w:r w:rsidRPr="00C70707">
        <w:rPr>
          <w:rFonts w:eastAsia="Calibri"/>
        </w:rPr>
        <w:t xml:space="preserve"> a facility with the ability to produce mRNA vaccines</w:t>
      </w:r>
      <w:r>
        <w:rPr>
          <w:rFonts w:eastAsia="Calibri"/>
        </w:rPr>
        <w:t xml:space="preserve"> locally but will focus primarily</w:t>
      </w:r>
      <w:r w:rsidRPr="00C70707">
        <w:rPr>
          <w:rFonts w:eastAsia="Calibri"/>
        </w:rPr>
        <w:t xml:space="preserve"> on research and develop</w:t>
      </w:r>
      <w:r>
        <w:rPr>
          <w:rFonts w:eastAsia="Calibri"/>
        </w:rPr>
        <w:t>ment.</w:t>
      </w:r>
    </w:p>
    <w:p w14:paraId="4E512CDA" w14:textId="77777777" w:rsidR="00300E8F" w:rsidRPr="00923C02" w:rsidRDefault="005A7942" w:rsidP="00923C02">
      <w:pPr>
        <w:spacing w:before="120" w:after="0"/>
        <w:rPr>
          <w:rStyle w:val="Hyperlink"/>
        </w:rPr>
      </w:pPr>
      <w:hyperlink r:id="rId146" w:history="1">
        <w:r w:rsidR="00300E8F">
          <w:rPr>
            <w:rStyle w:val="Hyperlink"/>
          </w:rPr>
          <w:t>Australia's CSL raises annual profit forecast on Swiss acquisition</w:t>
        </w:r>
      </w:hyperlink>
    </w:p>
    <w:p w14:paraId="0D75E451" w14:textId="42BE1905" w:rsidR="005B130A" w:rsidRPr="004F3665" w:rsidRDefault="00300E8F" w:rsidP="004F3665">
      <w:pPr>
        <w:jc w:val="both"/>
        <w:rPr>
          <w:rFonts w:eastAsia="Calibri"/>
        </w:rPr>
      </w:pPr>
      <w:r w:rsidRPr="00F026D6">
        <w:rPr>
          <w:rFonts w:eastAsia="Calibri"/>
        </w:rPr>
        <w:t xml:space="preserve">Australian biopharmaceutical company CSL </w:t>
      </w:r>
      <w:r>
        <w:rPr>
          <w:rFonts w:eastAsia="Calibri"/>
        </w:rPr>
        <w:t xml:space="preserve">Ltd has </w:t>
      </w:r>
      <w:r w:rsidRPr="00F026D6">
        <w:rPr>
          <w:rFonts w:eastAsia="Calibri"/>
        </w:rPr>
        <w:t xml:space="preserve">raised its annual profit guidance by </w:t>
      </w:r>
      <w:r>
        <w:rPr>
          <w:rFonts w:eastAsia="Calibri"/>
        </w:rPr>
        <w:t>$2.4- 2.5 billion,</w:t>
      </w:r>
      <w:r w:rsidRPr="00F026D6">
        <w:rPr>
          <w:rFonts w:eastAsia="Calibri"/>
        </w:rPr>
        <w:t xml:space="preserve"> </w:t>
      </w:r>
      <w:proofErr w:type="gramStart"/>
      <w:r w:rsidRPr="00F026D6">
        <w:rPr>
          <w:rFonts w:eastAsia="Calibri"/>
        </w:rPr>
        <w:t>as a result of</w:t>
      </w:r>
      <w:proofErr w:type="gramEnd"/>
      <w:r w:rsidRPr="00F026D6">
        <w:rPr>
          <w:rFonts w:eastAsia="Calibri"/>
        </w:rPr>
        <w:t xml:space="preserve"> its purchase of Swiss drugmaker </w:t>
      </w:r>
      <w:proofErr w:type="spellStart"/>
      <w:r w:rsidRPr="00F026D6">
        <w:rPr>
          <w:rFonts w:eastAsia="Calibri"/>
        </w:rPr>
        <w:t>Vifor</w:t>
      </w:r>
      <w:proofErr w:type="spellEnd"/>
      <w:r w:rsidRPr="00F026D6">
        <w:rPr>
          <w:rFonts w:eastAsia="Calibri"/>
        </w:rPr>
        <w:t xml:space="preserve"> Pharma</w:t>
      </w:r>
      <w:r>
        <w:rPr>
          <w:rFonts w:eastAsia="Calibri"/>
        </w:rPr>
        <w:t>.</w:t>
      </w:r>
    </w:p>
    <w:p w14:paraId="2197BD72" w14:textId="5FA957DF" w:rsidR="004D3C12" w:rsidRPr="007E16AF" w:rsidRDefault="1811FE07" w:rsidP="009807FF">
      <w:pPr>
        <w:numPr>
          <w:ilvl w:val="1"/>
          <w:numId w:val="2"/>
        </w:numPr>
        <w:spacing w:before="120" w:after="0"/>
        <w:ind w:left="578" w:hanging="578"/>
        <w:jc w:val="both"/>
        <w:outlineLvl w:val="1"/>
        <w:rPr>
          <w:rFonts w:cs="Arial"/>
          <w:b/>
          <w:bCs/>
          <w:sz w:val="28"/>
          <w:szCs w:val="28"/>
        </w:rPr>
      </w:pPr>
      <w:bookmarkStart w:id="74" w:name="_Toc116476086"/>
      <w:bookmarkStart w:id="75" w:name="_Toc116476087"/>
      <w:bookmarkStart w:id="76" w:name="_Toc116476088"/>
      <w:bookmarkStart w:id="77" w:name="_Toc126935663"/>
      <w:bookmarkEnd w:id="74"/>
      <w:bookmarkEnd w:id="75"/>
      <w:bookmarkEnd w:id="76"/>
      <w:r w:rsidRPr="007E16AF">
        <w:rPr>
          <w:rFonts w:cs="Arial"/>
          <w:b/>
          <w:bCs/>
          <w:sz w:val="28"/>
          <w:szCs w:val="28"/>
        </w:rPr>
        <w:t>Government &amp; policy</w:t>
      </w:r>
      <w:bookmarkEnd w:id="77"/>
    </w:p>
    <w:p w14:paraId="4F67711A" w14:textId="05271D89" w:rsidR="0099701B" w:rsidRPr="00923C02" w:rsidRDefault="005A7942" w:rsidP="00923C02">
      <w:pPr>
        <w:spacing w:before="120" w:after="0"/>
        <w:rPr>
          <w:rStyle w:val="Hyperlink"/>
        </w:rPr>
      </w:pPr>
      <w:hyperlink r:id="rId147">
        <w:r w:rsidR="0099701B" w:rsidRPr="0282D0D5">
          <w:rPr>
            <w:rStyle w:val="Hyperlink"/>
          </w:rPr>
          <w:t xml:space="preserve">The </w:t>
        </w:r>
        <w:r w:rsidR="0099701B" w:rsidRPr="00923C02">
          <w:rPr>
            <w:rStyle w:val="Hyperlink"/>
          </w:rPr>
          <w:t>accelerated</w:t>
        </w:r>
        <w:r w:rsidR="0099701B" w:rsidRPr="0282D0D5">
          <w:rPr>
            <w:rStyle w:val="Hyperlink"/>
          </w:rPr>
          <w:t xml:space="preserve"> approval pathway is evolving in plain sight, with or without congressional help</w:t>
        </w:r>
      </w:hyperlink>
    </w:p>
    <w:p w14:paraId="4E6ADBCB" w14:textId="475372B0" w:rsidR="0099701B" w:rsidRPr="007D3B0E" w:rsidRDefault="0099701B" w:rsidP="0099701B">
      <w:pPr>
        <w:jc w:val="both"/>
      </w:pPr>
      <w:r>
        <w:t>The FDA is prioritising the reform of its accelerated approval pathway, with the agency signa</w:t>
      </w:r>
      <w:r w:rsidR="00E01521">
        <w:t>l</w:t>
      </w:r>
      <w:r>
        <w:t xml:space="preserve">ling it’s willing to act on the reforms without immediate movement from Congress.  </w:t>
      </w:r>
    </w:p>
    <w:p w14:paraId="0FE0591A" w14:textId="00BB2AD0" w:rsidR="00A84333" w:rsidRPr="00923C02" w:rsidRDefault="005A7942" w:rsidP="00923C02">
      <w:pPr>
        <w:spacing w:before="120" w:after="0"/>
        <w:rPr>
          <w:rStyle w:val="Hyperlink"/>
        </w:rPr>
      </w:pPr>
      <w:hyperlink r:id="rId148">
        <w:r w:rsidR="00A84333" w:rsidRPr="00923C02">
          <w:rPr>
            <w:rStyle w:val="Hyperlink"/>
          </w:rPr>
          <w:t>White paper on pandemic preparedness in the blood supply</w:t>
        </w:r>
      </w:hyperlink>
    </w:p>
    <w:p w14:paraId="03712D5A" w14:textId="315DD812" w:rsidR="004876B9" w:rsidRPr="004F3665" w:rsidRDefault="00A84333" w:rsidP="004F3665">
      <w:pPr>
        <w:jc w:val="both"/>
      </w:pPr>
      <w:r>
        <w:t>The WHO has released a recommendations paper covering s</w:t>
      </w:r>
      <w:r w:rsidRPr="003F0745">
        <w:t xml:space="preserve">even key </w:t>
      </w:r>
      <w:r>
        <w:t>issues requiring action to improve planning for future pandemics</w:t>
      </w:r>
      <w:r w:rsidRPr="003F0745">
        <w:t>.</w:t>
      </w:r>
      <w:r w:rsidRPr="00BE4EF8">
        <w:t xml:space="preserve"> The main themes included the value of preparedness, current risks to the blood supply, supply chain vulnerabilities, and the role of innovation in increasing resiliency and safety.</w:t>
      </w:r>
    </w:p>
    <w:p w14:paraId="40FA42DD" w14:textId="77777777" w:rsidR="00430A43" w:rsidRPr="007E16AF" w:rsidRDefault="00430A43" w:rsidP="009807FF">
      <w:pPr>
        <w:numPr>
          <w:ilvl w:val="1"/>
          <w:numId w:val="2"/>
        </w:numPr>
        <w:spacing w:before="120" w:after="0"/>
        <w:ind w:left="578" w:hanging="578"/>
        <w:jc w:val="both"/>
        <w:outlineLvl w:val="1"/>
        <w:rPr>
          <w:rFonts w:cs="Arial"/>
          <w:b/>
          <w:bCs/>
          <w:sz w:val="28"/>
          <w:szCs w:val="28"/>
        </w:rPr>
      </w:pPr>
      <w:bookmarkStart w:id="78" w:name="_Toc116476090"/>
      <w:bookmarkStart w:id="79" w:name="_Toc126935664"/>
      <w:bookmarkEnd w:id="67"/>
      <w:bookmarkEnd w:id="78"/>
      <w:r w:rsidRPr="007E16AF">
        <w:rPr>
          <w:rFonts w:cs="Arial"/>
          <w:b/>
          <w:bCs/>
          <w:sz w:val="28"/>
          <w:szCs w:val="28"/>
        </w:rPr>
        <w:t>Other diseases and developments</w:t>
      </w:r>
      <w:bookmarkEnd w:id="79"/>
    </w:p>
    <w:p w14:paraId="207AB75F" w14:textId="3D9DEA65" w:rsidR="00D63411" w:rsidRDefault="00FF4482" w:rsidP="00A60729">
      <w:pPr>
        <w:pStyle w:val="Heading3"/>
        <w:ind w:left="709"/>
        <w:rPr>
          <w:rFonts w:eastAsia="Times New Roman"/>
          <w:lang w:val="en-US"/>
        </w:rPr>
      </w:pPr>
      <w:bookmarkStart w:id="80" w:name="_Toc108791557"/>
      <w:bookmarkStart w:id="81" w:name="_Toc126935665"/>
      <w:bookmarkStart w:id="82" w:name="_Toc108791556"/>
      <w:r w:rsidRPr="00277ACB">
        <w:rPr>
          <w:rFonts w:eastAsia="Times New Roman"/>
          <w:lang w:val="en-US"/>
        </w:rPr>
        <w:t>Malaria</w:t>
      </w:r>
      <w:bookmarkEnd w:id="80"/>
      <w:bookmarkEnd w:id="81"/>
    </w:p>
    <w:p w14:paraId="2644D22B" w14:textId="77777777" w:rsidR="00BA39FF" w:rsidRPr="00923C02" w:rsidRDefault="005A7942" w:rsidP="00E63FD5">
      <w:pPr>
        <w:pStyle w:val="ListParagraph"/>
        <w:numPr>
          <w:ilvl w:val="0"/>
          <w:numId w:val="12"/>
        </w:numPr>
        <w:spacing w:before="120" w:after="0"/>
        <w:rPr>
          <w:rStyle w:val="Hyperlink"/>
        </w:rPr>
      </w:pPr>
      <w:hyperlink r:id="rId149" w:history="1">
        <w:r w:rsidR="00BA39FF" w:rsidRPr="00923C02">
          <w:rPr>
            <w:rStyle w:val="Hyperlink"/>
          </w:rPr>
          <w:t>Smartphone-connected device uses light to detect malaria – in 10 seconds</w:t>
        </w:r>
      </w:hyperlink>
    </w:p>
    <w:p w14:paraId="393F8EDE" w14:textId="77777777" w:rsidR="00BA39FF" w:rsidRPr="00923C02" w:rsidRDefault="005A7942" w:rsidP="00E63FD5">
      <w:pPr>
        <w:pStyle w:val="ListParagraph"/>
        <w:numPr>
          <w:ilvl w:val="0"/>
          <w:numId w:val="12"/>
        </w:numPr>
        <w:spacing w:before="120" w:after="0"/>
        <w:rPr>
          <w:rStyle w:val="Hyperlink"/>
        </w:rPr>
      </w:pPr>
      <w:hyperlink r:id="rId150" w:history="1">
        <w:r w:rsidR="00BA39FF" w:rsidRPr="00923C02">
          <w:rPr>
            <w:rStyle w:val="Hyperlink"/>
          </w:rPr>
          <w:t>World malaria report 2022</w:t>
        </w:r>
      </w:hyperlink>
    </w:p>
    <w:p w14:paraId="72BA204F" w14:textId="77777777" w:rsidR="00204AD6" w:rsidRPr="00923C02" w:rsidRDefault="005A7942" w:rsidP="00E63FD5">
      <w:pPr>
        <w:pStyle w:val="ListParagraph"/>
        <w:numPr>
          <w:ilvl w:val="0"/>
          <w:numId w:val="12"/>
        </w:numPr>
        <w:spacing w:before="120" w:after="0"/>
        <w:rPr>
          <w:rStyle w:val="Hyperlink"/>
        </w:rPr>
      </w:pPr>
      <w:hyperlink r:id="rId151" w:history="1">
        <w:r w:rsidR="00204AD6">
          <w:rPr>
            <w:rStyle w:val="Hyperlink"/>
          </w:rPr>
          <w:t>Invasive Asian mosquito ‘can survive anywhere,’ could alter malaria landscape in Africa</w:t>
        </w:r>
      </w:hyperlink>
    </w:p>
    <w:p w14:paraId="05767E41" w14:textId="77777777" w:rsidR="002302B2" w:rsidRPr="00923C02" w:rsidRDefault="005A7942" w:rsidP="00E63FD5">
      <w:pPr>
        <w:pStyle w:val="ListParagraph"/>
        <w:numPr>
          <w:ilvl w:val="0"/>
          <w:numId w:val="12"/>
        </w:numPr>
        <w:spacing w:before="120" w:after="0"/>
        <w:rPr>
          <w:rStyle w:val="Hyperlink"/>
        </w:rPr>
      </w:pPr>
      <w:hyperlink r:id="rId152" w:history="1">
        <w:r w:rsidR="002302B2" w:rsidRPr="00515ADC">
          <w:rPr>
            <w:rStyle w:val="Hyperlink"/>
          </w:rPr>
          <w:t xml:space="preserve">Placental malaria may slow glucose flow to the </w:t>
        </w:r>
        <w:proofErr w:type="spellStart"/>
        <w:r w:rsidR="002302B2" w:rsidRPr="00515ADC">
          <w:rPr>
            <w:rStyle w:val="Hyperlink"/>
          </w:rPr>
          <w:t>fetus</w:t>
        </w:r>
        <w:proofErr w:type="spellEnd"/>
        <w:r w:rsidR="002302B2" w:rsidRPr="00515ADC">
          <w:rPr>
            <w:rStyle w:val="Hyperlink"/>
          </w:rPr>
          <w:t>, NIH-funded study suggests</w:t>
        </w:r>
      </w:hyperlink>
    </w:p>
    <w:p w14:paraId="2DD64840" w14:textId="02A052B2" w:rsidR="002302B2" w:rsidRDefault="005A7942" w:rsidP="00E63FD5">
      <w:pPr>
        <w:pStyle w:val="ListParagraph"/>
        <w:numPr>
          <w:ilvl w:val="0"/>
          <w:numId w:val="12"/>
        </w:numPr>
        <w:spacing w:before="120" w:after="0"/>
        <w:rPr>
          <w:rStyle w:val="Hyperlink"/>
        </w:rPr>
      </w:pPr>
      <w:hyperlink r:id="rId153" w:history="1">
        <w:r w:rsidR="002302B2" w:rsidRPr="00515ADC">
          <w:rPr>
            <w:rStyle w:val="Hyperlink"/>
          </w:rPr>
          <w:t xml:space="preserve">Monoclonal </w:t>
        </w:r>
        <w:r w:rsidR="002302B2">
          <w:rPr>
            <w:rStyle w:val="Hyperlink"/>
          </w:rPr>
          <w:t>a</w:t>
        </w:r>
        <w:r w:rsidR="002302B2" w:rsidRPr="00515ADC">
          <w:rPr>
            <w:rStyle w:val="Hyperlink"/>
          </w:rPr>
          <w:t xml:space="preserve">ntibodies against </w:t>
        </w:r>
        <w:r w:rsidR="002302B2">
          <w:rPr>
            <w:rStyle w:val="Hyperlink"/>
          </w:rPr>
          <w:t>m</w:t>
        </w:r>
        <w:r w:rsidR="002302B2" w:rsidRPr="00515ADC">
          <w:rPr>
            <w:rStyle w:val="Hyperlink"/>
          </w:rPr>
          <w:t>alaria</w:t>
        </w:r>
      </w:hyperlink>
    </w:p>
    <w:p w14:paraId="5B912232" w14:textId="783703C7" w:rsidR="009021AB" w:rsidRDefault="009021AB" w:rsidP="009021AB">
      <w:pPr>
        <w:pStyle w:val="ListParagraph"/>
        <w:spacing w:before="120" w:after="0"/>
        <w:rPr>
          <w:rStyle w:val="Hyperlink"/>
        </w:rPr>
      </w:pPr>
    </w:p>
    <w:p w14:paraId="7198CFF1" w14:textId="77777777" w:rsidR="006A1E80" w:rsidRPr="00923C02" w:rsidRDefault="006A1E80" w:rsidP="009021AB">
      <w:pPr>
        <w:pStyle w:val="ListParagraph"/>
        <w:spacing w:before="120" w:after="0"/>
        <w:rPr>
          <w:rStyle w:val="Hyperlink"/>
        </w:rPr>
      </w:pPr>
    </w:p>
    <w:p w14:paraId="602F8590" w14:textId="046BA4FB" w:rsidR="00FF4482" w:rsidRDefault="00FF4482" w:rsidP="00084F4A">
      <w:pPr>
        <w:pStyle w:val="Heading3"/>
        <w:ind w:left="709"/>
        <w:rPr>
          <w:rFonts w:eastAsia="Times New Roman"/>
          <w:lang w:val="en-US"/>
        </w:rPr>
      </w:pPr>
      <w:bookmarkStart w:id="83" w:name="_Toc126935666"/>
      <w:r w:rsidRPr="0099333A">
        <w:rPr>
          <w:rFonts w:eastAsia="Times New Roman"/>
          <w:lang w:val="en-US"/>
        </w:rPr>
        <w:lastRenderedPageBreak/>
        <w:t>Dengue</w:t>
      </w:r>
      <w:bookmarkEnd w:id="82"/>
      <w:bookmarkEnd w:id="83"/>
    </w:p>
    <w:p w14:paraId="35506DBB" w14:textId="77777777" w:rsidR="00386CC5" w:rsidRPr="00923C02" w:rsidRDefault="005A7942" w:rsidP="00E63FD5">
      <w:pPr>
        <w:pStyle w:val="ListParagraph"/>
        <w:numPr>
          <w:ilvl w:val="0"/>
          <w:numId w:val="13"/>
        </w:numPr>
        <w:spacing w:before="120" w:after="0"/>
        <w:rPr>
          <w:rStyle w:val="Hyperlink"/>
        </w:rPr>
      </w:pPr>
      <w:hyperlink r:id="rId154" w:history="1">
        <w:r w:rsidR="00386CC5" w:rsidRPr="00923C02">
          <w:rPr>
            <w:rStyle w:val="Hyperlink"/>
          </w:rPr>
          <w:t>Climate change 'brings diseases such as dengue fever to Europe'</w:t>
        </w:r>
      </w:hyperlink>
    </w:p>
    <w:p w14:paraId="698E6789" w14:textId="7DCFB169" w:rsidR="00386CC5" w:rsidRPr="00923C02" w:rsidRDefault="005A7942" w:rsidP="00E63FD5">
      <w:pPr>
        <w:pStyle w:val="ListParagraph"/>
        <w:numPr>
          <w:ilvl w:val="0"/>
          <w:numId w:val="13"/>
        </w:numPr>
        <w:spacing w:before="120" w:after="0"/>
        <w:rPr>
          <w:rStyle w:val="Hyperlink"/>
        </w:rPr>
      </w:pPr>
      <w:hyperlink r:id="rId155" w:history="1">
        <w:r w:rsidR="00386CC5" w:rsidRPr="00923C02">
          <w:rPr>
            <w:rStyle w:val="Hyperlink"/>
          </w:rPr>
          <w:t>Takeda's dengue vaccine wins EU approval</w:t>
        </w:r>
      </w:hyperlink>
    </w:p>
    <w:p w14:paraId="4C8F29F5" w14:textId="77777777" w:rsidR="00785D79" w:rsidRPr="00923C02" w:rsidRDefault="005A7942" w:rsidP="00E63FD5">
      <w:pPr>
        <w:pStyle w:val="ListParagraph"/>
        <w:numPr>
          <w:ilvl w:val="0"/>
          <w:numId w:val="13"/>
        </w:numPr>
        <w:spacing w:before="120" w:after="0"/>
        <w:rPr>
          <w:rStyle w:val="Hyperlink"/>
        </w:rPr>
      </w:pPr>
      <w:hyperlink r:id="rId156">
        <w:r w:rsidR="00785D79" w:rsidRPr="0E31B3BA">
          <w:rPr>
            <w:rStyle w:val="Hyperlink"/>
          </w:rPr>
          <w:t>Why is dengue becoming such a serious public health threat?</w:t>
        </w:r>
      </w:hyperlink>
    </w:p>
    <w:p w14:paraId="024EFF9B" w14:textId="77777777" w:rsidR="007851DB" w:rsidRPr="00923C02" w:rsidRDefault="005A7942" w:rsidP="00E63FD5">
      <w:pPr>
        <w:pStyle w:val="ListParagraph"/>
        <w:numPr>
          <w:ilvl w:val="0"/>
          <w:numId w:val="13"/>
        </w:numPr>
        <w:spacing w:before="120" w:after="0"/>
        <w:rPr>
          <w:rStyle w:val="Hyperlink"/>
        </w:rPr>
      </w:pPr>
      <w:hyperlink r:id="rId157" w:history="1">
        <w:r w:rsidR="007851DB">
          <w:rPr>
            <w:rStyle w:val="Hyperlink"/>
          </w:rPr>
          <w:t>Mosquito study finds genetics at play when it comes to who gets bitten more frequently</w:t>
        </w:r>
      </w:hyperlink>
    </w:p>
    <w:p w14:paraId="2BB0986E" w14:textId="77777777" w:rsidR="007851DB" w:rsidRPr="00923C02" w:rsidRDefault="005A7942" w:rsidP="00E63FD5">
      <w:pPr>
        <w:pStyle w:val="ListParagraph"/>
        <w:numPr>
          <w:ilvl w:val="0"/>
          <w:numId w:val="13"/>
        </w:numPr>
        <w:spacing w:before="120" w:after="0"/>
        <w:rPr>
          <w:rStyle w:val="Hyperlink"/>
        </w:rPr>
      </w:pPr>
      <w:hyperlink r:id="rId158">
        <w:r w:rsidR="007851DB" w:rsidRPr="00923C02">
          <w:rPr>
            <w:rStyle w:val="Hyperlink"/>
          </w:rPr>
          <w:t>Soaring platelet demand after spike in dengue cases</w:t>
        </w:r>
      </w:hyperlink>
    </w:p>
    <w:p w14:paraId="5264F450" w14:textId="324B0F23" w:rsidR="5D1D799C" w:rsidRDefault="5D1D799C" w:rsidP="007E16AF">
      <w:pPr>
        <w:pStyle w:val="Heading3"/>
        <w:ind w:left="709"/>
        <w:rPr>
          <w:rFonts w:eastAsia="Times New Roman"/>
          <w:lang w:val="en-US"/>
        </w:rPr>
      </w:pPr>
      <w:bookmarkStart w:id="84" w:name="_Toc126935667"/>
      <w:r w:rsidRPr="007E16AF">
        <w:rPr>
          <w:rFonts w:eastAsia="Times New Roman"/>
          <w:lang w:val="en-US"/>
        </w:rPr>
        <w:t>J</w:t>
      </w:r>
      <w:r w:rsidR="00A3353A" w:rsidRPr="007E16AF">
        <w:rPr>
          <w:rFonts w:eastAsia="Times New Roman"/>
          <w:lang w:val="en-US"/>
        </w:rPr>
        <w:t>apanese Encephalitis</w:t>
      </w:r>
      <w:bookmarkEnd w:id="84"/>
    </w:p>
    <w:p w14:paraId="353B9B4E" w14:textId="5DD16503" w:rsidR="00CA2DCC" w:rsidRPr="00923C02" w:rsidRDefault="005A7942" w:rsidP="00E63FD5">
      <w:pPr>
        <w:pStyle w:val="ListParagraph"/>
        <w:numPr>
          <w:ilvl w:val="0"/>
          <w:numId w:val="14"/>
        </w:numPr>
        <w:spacing w:before="120" w:after="0"/>
        <w:rPr>
          <w:rStyle w:val="Hyperlink"/>
        </w:rPr>
      </w:pPr>
      <w:hyperlink r:id="rId159" w:history="1">
        <w:r w:rsidR="00CA2DCC" w:rsidRPr="00923C02">
          <w:rPr>
            <w:rStyle w:val="Hyperlink"/>
          </w:rPr>
          <w:t xml:space="preserve">Ozzie vs Mozzie </w:t>
        </w:r>
      </w:hyperlink>
    </w:p>
    <w:p w14:paraId="04E75DE5" w14:textId="77777777" w:rsidR="00EA14C9" w:rsidRPr="00923C02" w:rsidRDefault="005A7942" w:rsidP="00E63FD5">
      <w:pPr>
        <w:pStyle w:val="ListParagraph"/>
        <w:numPr>
          <w:ilvl w:val="0"/>
          <w:numId w:val="14"/>
        </w:numPr>
        <w:spacing w:before="120" w:after="0"/>
        <w:rPr>
          <w:rStyle w:val="Hyperlink"/>
        </w:rPr>
      </w:pPr>
      <w:hyperlink r:id="rId160" w:history="1">
        <w:r w:rsidR="00EA14C9" w:rsidRPr="00923C02">
          <w:rPr>
            <w:rStyle w:val="Hyperlink"/>
          </w:rPr>
          <w:t>Estimating the Distribution of Japanese Encephalitis Vectors in Australia Using Ecological Niche Modelling</w:t>
        </w:r>
      </w:hyperlink>
    </w:p>
    <w:p w14:paraId="0EC712E4" w14:textId="77777777" w:rsidR="00C068AA" w:rsidRPr="000D1163" w:rsidRDefault="005A7942" w:rsidP="00E63FD5">
      <w:pPr>
        <w:pStyle w:val="ListParagraph"/>
        <w:numPr>
          <w:ilvl w:val="0"/>
          <w:numId w:val="14"/>
        </w:numPr>
        <w:spacing w:before="120" w:after="0"/>
        <w:rPr>
          <w:rStyle w:val="Hyperlink"/>
        </w:rPr>
      </w:pPr>
      <w:hyperlink r:id="rId161" w:history="1">
        <w:r w:rsidR="00C068AA" w:rsidRPr="00FA225D">
          <w:rPr>
            <w:rStyle w:val="Hyperlink"/>
          </w:rPr>
          <w:t>Japanese encephalitis virus warning ahead of wet summer</w:t>
        </w:r>
      </w:hyperlink>
    </w:p>
    <w:p w14:paraId="7F258FEE" w14:textId="77777777" w:rsidR="0000084F" w:rsidRPr="00923C02" w:rsidRDefault="005A7942" w:rsidP="00E63FD5">
      <w:pPr>
        <w:pStyle w:val="ListParagraph"/>
        <w:numPr>
          <w:ilvl w:val="0"/>
          <w:numId w:val="14"/>
        </w:numPr>
        <w:spacing w:before="120" w:after="0"/>
        <w:rPr>
          <w:rStyle w:val="Hyperlink"/>
        </w:rPr>
      </w:pPr>
      <w:hyperlink r:id="rId162" w:history="1">
        <w:r w:rsidR="0000084F" w:rsidRPr="00923C02">
          <w:rPr>
            <w:rStyle w:val="Hyperlink"/>
          </w:rPr>
          <w:t>Aust scientists fear encephalitis outbreak</w:t>
        </w:r>
      </w:hyperlink>
    </w:p>
    <w:p w14:paraId="451D0220" w14:textId="0E8214CF" w:rsidR="00EA14C9" w:rsidRPr="00923C02" w:rsidRDefault="005A7942" w:rsidP="00E63FD5">
      <w:pPr>
        <w:pStyle w:val="ListParagraph"/>
        <w:numPr>
          <w:ilvl w:val="0"/>
          <w:numId w:val="14"/>
        </w:numPr>
        <w:spacing w:before="120" w:after="0"/>
        <w:rPr>
          <w:color w:val="0563C1" w:themeColor="hyperlink"/>
          <w:u w:val="single"/>
        </w:rPr>
      </w:pPr>
      <w:hyperlink r:id="rId163" w:history="1">
        <w:r w:rsidR="0000084F">
          <w:rPr>
            <w:rStyle w:val="Hyperlink"/>
          </w:rPr>
          <w:t>Australian Government Department of Health and Aged Care:</w:t>
        </w:r>
        <w:r w:rsidR="0000084F" w:rsidRPr="00923C02">
          <w:rPr>
            <w:rStyle w:val="Hyperlink"/>
          </w:rPr>
          <w:t xml:space="preserve"> </w:t>
        </w:r>
        <w:r w:rsidR="0000084F" w:rsidRPr="0047215B">
          <w:rPr>
            <w:rStyle w:val="Hyperlink"/>
          </w:rPr>
          <w:t>Japanese encephalitis virus</w:t>
        </w:r>
      </w:hyperlink>
    </w:p>
    <w:p w14:paraId="0CC6C2CB" w14:textId="77777777" w:rsidR="00374579" w:rsidRPr="007E16AF" w:rsidRDefault="00374579" w:rsidP="00232601">
      <w:pPr>
        <w:pStyle w:val="Heading3"/>
        <w:ind w:left="709"/>
        <w:rPr>
          <w:rFonts w:eastAsia="Times New Roman"/>
          <w:lang w:val="en-US"/>
        </w:rPr>
      </w:pPr>
      <w:bookmarkStart w:id="85" w:name="_Toc108791555"/>
      <w:bookmarkStart w:id="86" w:name="_Toc126935668"/>
      <w:r w:rsidRPr="007E16AF">
        <w:rPr>
          <w:rFonts w:eastAsia="Times New Roman"/>
          <w:lang w:val="en-US"/>
        </w:rPr>
        <w:t>Monkeypox</w:t>
      </w:r>
      <w:bookmarkEnd w:id="85"/>
      <w:bookmarkEnd w:id="86"/>
    </w:p>
    <w:p w14:paraId="6B523A4C" w14:textId="6A126609" w:rsidR="00246B40" w:rsidRPr="00923C02" w:rsidRDefault="005A7942" w:rsidP="00E63FD5">
      <w:pPr>
        <w:pStyle w:val="ListParagraph"/>
        <w:numPr>
          <w:ilvl w:val="0"/>
          <w:numId w:val="15"/>
        </w:numPr>
        <w:spacing w:before="120" w:after="0"/>
        <w:rPr>
          <w:rStyle w:val="Hyperlink"/>
        </w:rPr>
      </w:pPr>
      <w:hyperlink r:id="rId164">
        <w:r w:rsidR="00246B40" w:rsidRPr="11633CDC">
          <w:rPr>
            <w:rStyle w:val="Hyperlink"/>
          </w:rPr>
          <w:t>U.S. FDA authorizes Roche's monkeypox test</w:t>
        </w:r>
      </w:hyperlink>
    </w:p>
    <w:p w14:paraId="5A1F2BBA" w14:textId="77777777" w:rsidR="0087298B" w:rsidRPr="00923C02" w:rsidRDefault="005A7942" w:rsidP="00E63FD5">
      <w:pPr>
        <w:pStyle w:val="ListParagraph"/>
        <w:numPr>
          <w:ilvl w:val="0"/>
          <w:numId w:val="15"/>
        </w:numPr>
        <w:spacing w:before="120" w:after="0"/>
        <w:rPr>
          <w:rStyle w:val="Hyperlink"/>
        </w:rPr>
      </w:pPr>
      <w:hyperlink r:id="rId165" w:history="1">
        <w:r w:rsidR="0087298B" w:rsidRPr="00923C02">
          <w:rPr>
            <w:rStyle w:val="Hyperlink"/>
          </w:rPr>
          <w:t>Scientists warn dangerous monkeypox variant circulating in central Africa could fuel new outbreaks</w:t>
        </w:r>
      </w:hyperlink>
    </w:p>
    <w:p w14:paraId="61084088" w14:textId="77777777" w:rsidR="00F2021A" w:rsidRPr="00923C02" w:rsidRDefault="005A7942" w:rsidP="00E63FD5">
      <w:pPr>
        <w:pStyle w:val="ListParagraph"/>
        <w:numPr>
          <w:ilvl w:val="0"/>
          <w:numId w:val="15"/>
        </w:numPr>
        <w:spacing w:before="120" w:after="0"/>
        <w:rPr>
          <w:rStyle w:val="Hyperlink"/>
        </w:rPr>
      </w:pPr>
      <w:hyperlink r:id="rId166" w:history="1">
        <w:r w:rsidR="00F2021A">
          <w:rPr>
            <w:rStyle w:val="Hyperlink"/>
          </w:rPr>
          <w:t>Worldwide Monkeypox Cases Surpass 70,000, WHO Says</w:t>
        </w:r>
      </w:hyperlink>
    </w:p>
    <w:p w14:paraId="708A502C" w14:textId="77777777" w:rsidR="00F2021A" w:rsidRPr="00923C02" w:rsidRDefault="005A7942" w:rsidP="00E63FD5">
      <w:pPr>
        <w:pStyle w:val="ListParagraph"/>
        <w:numPr>
          <w:ilvl w:val="0"/>
          <w:numId w:val="15"/>
        </w:numPr>
        <w:spacing w:before="120" w:after="0"/>
        <w:rPr>
          <w:rStyle w:val="Hyperlink"/>
        </w:rPr>
      </w:pPr>
      <w:hyperlink r:id="rId167" w:history="1">
        <w:r w:rsidR="00F2021A">
          <w:rPr>
            <w:rStyle w:val="Hyperlink"/>
          </w:rPr>
          <w:t xml:space="preserve">Research collaboration to provide data needed to stop monkeypox in its </w:t>
        </w:r>
        <w:proofErr w:type="spellStart"/>
        <w:r w:rsidR="00F2021A">
          <w:rPr>
            <w:rStyle w:val="Hyperlink"/>
          </w:rPr>
          <w:t>TraX</w:t>
        </w:r>
        <w:proofErr w:type="spellEnd"/>
      </w:hyperlink>
    </w:p>
    <w:p w14:paraId="5EE150D8" w14:textId="2E8745DF" w:rsidR="0087298B" w:rsidRPr="00923C02" w:rsidRDefault="005A7942" w:rsidP="00E63FD5">
      <w:pPr>
        <w:pStyle w:val="ListParagraph"/>
        <w:numPr>
          <w:ilvl w:val="0"/>
          <w:numId w:val="15"/>
        </w:numPr>
        <w:spacing w:before="120" w:after="0"/>
        <w:rPr>
          <w:color w:val="0563C1" w:themeColor="hyperlink"/>
          <w:u w:val="single"/>
        </w:rPr>
      </w:pPr>
      <w:hyperlink r:id="rId168">
        <w:r w:rsidR="009550E6" w:rsidRPr="7CF60E3A">
          <w:rPr>
            <w:rStyle w:val="Hyperlink"/>
          </w:rPr>
          <w:t xml:space="preserve">Interim </w:t>
        </w:r>
        <w:r w:rsidR="009550E6">
          <w:rPr>
            <w:rStyle w:val="Hyperlink"/>
          </w:rPr>
          <w:t>g</w:t>
        </w:r>
        <w:r w:rsidR="009550E6" w:rsidRPr="7CF60E3A">
          <w:rPr>
            <w:rStyle w:val="Hyperlink"/>
          </w:rPr>
          <w:t xml:space="preserve">uidance for </w:t>
        </w:r>
        <w:r w:rsidR="009550E6">
          <w:rPr>
            <w:rStyle w:val="Hyperlink"/>
          </w:rPr>
          <w:t>m</w:t>
        </w:r>
        <w:r w:rsidR="009550E6" w:rsidRPr="7CF60E3A">
          <w:rPr>
            <w:rStyle w:val="Hyperlink"/>
          </w:rPr>
          <w:t xml:space="preserve">onkeypox </w:t>
        </w:r>
        <w:r w:rsidR="009550E6">
          <w:rPr>
            <w:rStyle w:val="Hyperlink"/>
          </w:rPr>
          <w:t>a</w:t>
        </w:r>
        <w:r w:rsidR="009550E6" w:rsidRPr="7CF60E3A">
          <w:rPr>
            <w:rStyle w:val="Hyperlink"/>
          </w:rPr>
          <w:t xml:space="preserve">mong </w:t>
        </w:r>
        <w:r w:rsidR="009550E6">
          <w:rPr>
            <w:rStyle w:val="Hyperlink"/>
          </w:rPr>
          <w:t>p</w:t>
        </w:r>
        <w:r w:rsidR="009550E6" w:rsidRPr="7CF60E3A">
          <w:rPr>
            <w:rStyle w:val="Hyperlink"/>
          </w:rPr>
          <w:t xml:space="preserve">atients </w:t>
        </w:r>
        <w:r w:rsidR="009550E6">
          <w:rPr>
            <w:rStyle w:val="Hyperlink"/>
          </w:rPr>
          <w:t>w</w:t>
        </w:r>
        <w:r w:rsidR="009550E6" w:rsidRPr="7CF60E3A">
          <w:rPr>
            <w:rStyle w:val="Hyperlink"/>
          </w:rPr>
          <w:t>ith HIV</w:t>
        </w:r>
      </w:hyperlink>
    </w:p>
    <w:p w14:paraId="3ED77938" w14:textId="0DF37F3C" w:rsidR="00246B40" w:rsidRPr="009B3B1A" w:rsidRDefault="00366597" w:rsidP="004F3665">
      <w:pPr>
        <w:pStyle w:val="Heading3"/>
        <w:ind w:left="709"/>
        <w:rPr>
          <w:rFonts w:eastAsia="Times New Roman"/>
          <w:lang w:val="en-US"/>
        </w:rPr>
      </w:pPr>
      <w:bookmarkStart w:id="87" w:name="_Toc126935669"/>
      <w:r w:rsidRPr="004F3665">
        <w:rPr>
          <w:rFonts w:eastAsia="Times New Roman"/>
          <w:lang w:val="en-US"/>
        </w:rPr>
        <w:t>Ebola</w:t>
      </w:r>
      <w:bookmarkEnd w:id="87"/>
    </w:p>
    <w:p w14:paraId="6CD9CE98" w14:textId="77777777" w:rsidR="00F0340D" w:rsidRPr="00923C02" w:rsidRDefault="005A7942" w:rsidP="00E63FD5">
      <w:pPr>
        <w:pStyle w:val="ListParagraph"/>
        <w:numPr>
          <w:ilvl w:val="0"/>
          <w:numId w:val="16"/>
        </w:numPr>
        <w:spacing w:before="120" w:after="0"/>
        <w:rPr>
          <w:rStyle w:val="Hyperlink"/>
        </w:rPr>
      </w:pPr>
      <w:hyperlink r:id="rId169" w:history="1">
        <w:r w:rsidR="00F0340D">
          <w:rPr>
            <w:rStyle w:val="Hyperlink"/>
          </w:rPr>
          <w:t>Ebola Screening Activated in the UK</w:t>
        </w:r>
      </w:hyperlink>
    </w:p>
    <w:p w14:paraId="4AC918B6" w14:textId="15BDF64C" w:rsidR="00F0340D" w:rsidRPr="00923C02" w:rsidRDefault="005A7942" w:rsidP="00E63FD5">
      <w:pPr>
        <w:pStyle w:val="ListParagraph"/>
        <w:numPr>
          <w:ilvl w:val="0"/>
          <w:numId w:val="16"/>
        </w:numPr>
        <w:spacing w:before="120" w:after="0"/>
        <w:rPr>
          <w:rStyle w:val="Hyperlink"/>
        </w:rPr>
      </w:pPr>
      <w:hyperlink r:id="rId170" w:history="1">
        <w:r w:rsidR="00F0340D">
          <w:rPr>
            <w:rStyle w:val="Hyperlink"/>
          </w:rPr>
          <w:t xml:space="preserve">Can mRNA vaccines transform the fight against </w:t>
        </w:r>
        <w:r w:rsidR="00E7380D">
          <w:rPr>
            <w:rStyle w:val="Hyperlink"/>
          </w:rPr>
          <w:t>E</w:t>
        </w:r>
        <w:r w:rsidR="00F0340D">
          <w:rPr>
            <w:rStyle w:val="Hyperlink"/>
          </w:rPr>
          <w:t>bola?</w:t>
        </w:r>
      </w:hyperlink>
    </w:p>
    <w:p w14:paraId="143ACB36" w14:textId="77777777" w:rsidR="008F1062" w:rsidRPr="00923C02" w:rsidRDefault="005A7942" w:rsidP="00E63FD5">
      <w:pPr>
        <w:pStyle w:val="ListParagraph"/>
        <w:numPr>
          <w:ilvl w:val="0"/>
          <w:numId w:val="16"/>
        </w:numPr>
        <w:spacing w:before="120" w:after="0"/>
        <w:rPr>
          <w:rStyle w:val="Hyperlink"/>
        </w:rPr>
      </w:pPr>
      <w:hyperlink r:id="rId171" w:history="1">
        <w:r w:rsidR="008F1062" w:rsidRPr="00EA2768">
          <w:rPr>
            <w:rStyle w:val="Hyperlink"/>
          </w:rPr>
          <w:t>What is Ebola and why is Uganda's outbreak so serious?</w:t>
        </w:r>
      </w:hyperlink>
    </w:p>
    <w:p w14:paraId="5914F654" w14:textId="1A1DB408" w:rsidR="008F1062" w:rsidRPr="00923C02" w:rsidRDefault="005A7942" w:rsidP="00E63FD5">
      <w:pPr>
        <w:pStyle w:val="ListParagraph"/>
        <w:numPr>
          <w:ilvl w:val="0"/>
          <w:numId w:val="16"/>
        </w:numPr>
        <w:spacing w:before="120" w:after="0"/>
        <w:rPr>
          <w:rStyle w:val="Hyperlink"/>
        </w:rPr>
      </w:pPr>
      <w:hyperlink r:id="rId172" w:history="1">
        <w:r w:rsidR="008F1062">
          <w:rPr>
            <w:rStyle w:val="Hyperlink"/>
          </w:rPr>
          <w:t>Ebola has moderate risk of spreading outside Uganda, WHO says</w:t>
        </w:r>
      </w:hyperlink>
    </w:p>
    <w:p w14:paraId="12105319" w14:textId="77777777" w:rsidR="006670F2" w:rsidRPr="00923C02" w:rsidRDefault="005A7942" w:rsidP="00E63FD5">
      <w:pPr>
        <w:pStyle w:val="ListParagraph"/>
        <w:numPr>
          <w:ilvl w:val="0"/>
          <w:numId w:val="16"/>
        </w:numPr>
        <w:spacing w:before="120" w:after="0"/>
        <w:rPr>
          <w:rStyle w:val="Hyperlink"/>
        </w:rPr>
      </w:pPr>
      <w:hyperlink r:id="rId173" w:history="1">
        <w:r w:rsidR="006670F2">
          <w:rPr>
            <w:rStyle w:val="Hyperlink"/>
          </w:rPr>
          <w:t>Ebola: Uganda introduces its first lockdown to tackle the virus while it waits for vaccines</w:t>
        </w:r>
      </w:hyperlink>
    </w:p>
    <w:p w14:paraId="5CC05041" w14:textId="77777777" w:rsidR="00A63A9A" w:rsidRPr="004F3665" w:rsidRDefault="00A63A9A" w:rsidP="00A63A9A">
      <w:pPr>
        <w:pStyle w:val="Heading3"/>
        <w:ind w:left="709"/>
        <w:rPr>
          <w:rFonts w:eastAsia="Times New Roman"/>
          <w:lang w:val="en-US"/>
        </w:rPr>
      </w:pPr>
      <w:bookmarkStart w:id="88" w:name="_Toc126935670"/>
      <w:r w:rsidRPr="004F3665">
        <w:rPr>
          <w:rFonts w:eastAsia="Times New Roman"/>
          <w:lang w:val="en-US"/>
        </w:rPr>
        <w:t>Ross River Virus</w:t>
      </w:r>
      <w:bookmarkEnd w:id="88"/>
    </w:p>
    <w:p w14:paraId="58D3B8E9" w14:textId="77777777" w:rsidR="00A63A9A" w:rsidRPr="00923C02" w:rsidRDefault="005A7942" w:rsidP="00A63A9A">
      <w:pPr>
        <w:pStyle w:val="ListParagraph"/>
        <w:numPr>
          <w:ilvl w:val="0"/>
          <w:numId w:val="14"/>
        </w:numPr>
        <w:spacing w:before="120" w:after="0"/>
        <w:rPr>
          <w:rStyle w:val="Hyperlink"/>
        </w:rPr>
      </w:pPr>
      <w:hyperlink r:id="rId174">
        <w:r w:rsidR="00A63A9A" w:rsidRPr="00923C02">
          <w:rPr>
            <w:rStyle w:val="Hyperlink"/>
          </w:rPr>
          <w:t>Ross River virus - Urgent Warning</w:t>
        </w:r>
      </w:hyperlink>
    </w:p>
    <w:p w14:paraId="0EC4F75C" w14:textId="323B4FCA" w:rsidR="00481464" w:rsidRPr="004F3665" w:rsidRDefault="000A6823" w:rsidP="00593EBC">
      <w:pPr>
        <w:pStyle w:val="Heading3"/>
        <w:ind w:left="709"/>
        <w:rPr>
          <w:rFonts w:eastAsia="Times New Roman"/>
          <w:lang w:val="en-US"/>
        </w:rPr>
      </w:pPr>
      <w:bookmarkStart w:id="89" w:name="_Toc126935671"/>
      <w:r w:rsidRPr="004F3665">
        <w:rPr>
          <w:rFonts w:eastAsia="Times New Roman"/>
          <w:lang w:val="en-US"/>
        </w:rPr>
        <w:t>Polio</w:t>
      </w:r>
      <w:bookmarkEnd w:id="89"/>
    </w:p>
    <w:p w14:paraId="1AF72683" w14:textId="77777777" w:rsidR="000A6823" w:rsidRPr="00923C02" w:rsidRDefault="005A7942" w:rsidP="00E63FD5">
      <w:pPr>
        <w:pStyle w:val="ListParagraph"/>
        <w:numPr>
          <w:ilvl w:val="0"/>
          <w:numId w:val="17"/>
        </w:numPr>
        <w:spacing w:before="120" w:after="0"/>
        <w:rPr>
          <w:rStyle w:val="Hyperlink"/>
        </w:rPr>
      </w:pPr>
      <w:hyperlink r:id="rId175">
        <w:r w:rsidR="000A6823" w:rsidRPr="5BEEB2A1">
          <w:rPr>
            <w:rStyle w:val="Hyperlink"/>
          </w:rPr>
          <w:t>NSW Health on high alert for polio cases in Australia</w:t>
        </w:r>
      </w:hyperlink>
    </w:p>
    <w:p w14:paraId="40D765B7" w14:textId="73496EC7" w:rsidR="000A6823" w:rsidRPr="009B4B33" w:rsidRDefault="005A7942" w:rsidP="00A63A9A">
      <w:pPr>
        <w:pStyle w:val="ListParagraph"/>
        <w:numPr>
          <w:ilvl w:val="0"/>
          <w:numId w:val="17"/>
        </w:numPr>
        <w:spacing w:before="120" w:after="0"/>
        <w:rPr>
          <w:rStyle w:val="Hyperlink"/>
        </w:rPr>
      </w:pPr>
      <w:hyperlink r:id="rId176">
        <w:r w:rsidR="000A6823" w:rsidRPr="5BEEB2A1">
          <w:rPr>
            <w:rStyle w:val="Hyperlink"/>
          </w:rPr>
          <w:t>Is polio back? Cases emerge overseas and Australia starts testing sewage</w:t>
        </w:r>
      </w:hyperlink>
    </w:p>
    <w:p w14:paraId="6312334F" w14:textId="567F26F0" w:rsidR="0035410C" w:rsidRPr="00A63A9A" w:rsidRDefault="0035410C" w:rsidP="00A63A9A">
      <w:pPr>
        <w:jc w:val="both"/>
        <w:rPr>
          <w:rStyle w:val="Hyperlink"/>
          <w:color w:val="auto"/>
          <w:u w:val="none"/>
        </w:rPr>
      </w:pPr>
    </w:p>
    <w:sectPr w:rsidR="0035410C" w:rsidRPr="00A63A9A" w:rsidSect="00363746">
      <w:headerReference w:type="even" r:id="rId177"/>
      <w:headerReference w:type="default" r:id="rId178"/>
      <w:footerReference w:type="default" r:id="rId179"/>
      <w:headerReference w:type="first" r:id="rId180"/>
      <w:pgSz w:w="11906" w:h="16838"/>
      <w:pgMar w:top="1560" w:right="1440" w:bottom="1276"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E982" w14:textId="77777777" w:rsidR="00B70FD5" w:rsidRDefault="00B70FD5" w:rsidP="00067A16">
      <w:pPr>
        <w:spacing w:before="0" w:after="0"/>
      </w:pPr>
      <w:r>
        <w:separator/>
      </w:r>
    </w:p>
  </w:endnote>
  <w:endnote w:type="continuationSeparator" w:id="0">
    <w:p w14:paraId="019CC656" w14:textId="77777777" w:rsidR="00B70FD5" w:rsidRDefault="00B70FD5" w:rsidP="00067A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886068"/>
      <w:docPartObj>
        <w:docPartGallery w:val="Page Numbers (Bottom of Page)"/>
        <w:docPartUnique/>
      </w:docPartObj>
    </w:sdtPr>
    <w:sdtEndPr>
      <w:rPr>
        <w:noProof/>
      </w:rPr>
    </w:sdtEndPr>
    <w:sdtContent>
      <w:p w14:paraId="0FEAC6C5" w14:textId="77777777" w:rsidR="00142228" w:rsidRDefault="001422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D82EE9" w14:textId="77777777" w:rsidR="00142228" w:rsidRDefault="0014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DA18" w14:textId="77777777" w:rsidR="00B70FD5" w:rsidRDefault="00B70FD5" w:rsidP="00067A16">
      <w:pPr>
        <w:spacing w:before="0" w:after="0"/>
      </w:pPr>
      <w:r>
        <w:separator/>
      </w:r>
    </w:p>
  </w:footnote>
  <w:footnote w:type="continuationSeparator" w:id="0">
    <w:p w14:paraId="68BEFD01" w14:textId="77777777" w:rsidR="00B70FD5" w:rsidRDefault="00B70FD5" w:rsidP="00067A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CF7B" w14:textId="77777777" w:rsidR="00067A16" w:rsidRDefault="00067A16">
    <w:pPr>
      <w:pStyle w:val="Header"/>
    </w:pPr>
    <w:r>
      <w:rPr>
        <w:noProof/>
      </w:rPr>
      <mc:AlternateContent>
        <mc:Choice Requires="wps">
          <w:drawing>
            <wp:anchor distT="0" distB="0" distL="0" distR="0" simplePos="0" relativeHeight="251659264" behindDoc="0" locked="0" layoutInCell="1" allowOverlap="1" wp14:anchorId="1DA8932F" wp14:editId="672324E0">
              <wp:simplePos x="635" y="635"/>
              <wp:positionH relativeFrom="column">
                <wp:align>center</wp:align>
              </wp:positionH>
              <wp:positionV relativeFrom="paragraph">
                <wp:posOffset>635</wp:posOffset>
              </wp:positionV>
              <wp:extent cx="443865" cy="443865"/>
              <wp:effectExtent l="0" t="0" r="635" b="1079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5E909C" w14:textId="77777777" w:rsidR="00067A16" w:rsidRPr="00067A16" w:rsidRDefault="00067A16">
                          <w:pPr>
                            <w:rPr>
                              <w:rFonts w:eastAsia="Calibri"/>
                              <w:color w:val="FF0000"/>
                              <w:sz w:val="24"/>
                              <w:szCs w:val="24"/>
                            </w:rPr>
                          </w:pPr>
                          <w:r w:rsidRPr="00067A16">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A8932F"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605E909C" w14:textId="77777777" w:rsidR="00067A16" w:rsidRPr="00067A16" w:rsidRDefault="00067A16">
                    <w:pPr>
                      <w:rPr>
                        <w:rFonts w:eastAsia="Calibri"/>
                        <w:color w:val="FF0000"/>
                        <w:sz w:val="24"/>
                        <w:szCs w:val="24"/>
                      </w:rPr>
                    </w:pPr>
                    <w:r w:rsidRPr="00067A16">
                      <w:rPr>
                        <w:rFonts w:eastAsia="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3D3D" w14:textId="77777777" w:rsidR="00067A16" w:rsidRDefault="00067A16">
    <w:pPr>
      <w:pStyle w:val="Header"/>
    </w:pPr>
    <w:r>
      <w:rPr>
        <w:noProof/>
      </w:rPr>
      <w:drawing>
        <wp:anchor distT="0" distB="0" distL="114300" distR="114300" simplePos="0" relativeHeight="251661312" behindDoc="1" locked="0" layoutInCell="1" allowOverlap="1" wp14:anchorId="4A4A850F" wp14:editId="7F91B252">
          <wp:simplePos x="0" y="0"/>
          <wp:positionH relativeFrom="column">
            <wp:posOffset>2860158</wp:posOffset>
          </wp:positionH>
          <wp:positionV relativeFrom="paragraph">
            <wp:posOffset>-205031</wp:posOffset>
          </wp:positionV>
          <wp:extent cx="3548380" cy="6584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80" cy="658495"/>
                  </a:xfrm>
                  <a:prstGeom prst="rect">
                    <a:avLst/>
                  </a:prstGeom>
                  <a:noFill/>
                </pic:spPr>
              </pic:pic>
            </a:graphicData>
          </a:graphic>
          <wp14:sizeRelV relativeFrom="margin">
            <wp14:pctHeight>0</wp14:pctHeight>
          </wp14:sizeRelV>
        </wp:anchor>
      </w:drawing>
    </w:r>
    <w:r>
      <w:rPr>
        <w:noProof/>
      </w:rPr>
      <mc:AlternateContent>
        <mc:Choice Requires="wps">
          <w:drawing>
            <wp:anchor distT="0" distB="0" distL="0" distR="0" simplePos="0" relativeHeight="251660288" behindDoc="0" locked="0" layoutInCell="1" allowOverlap="1" wp14:anchorId="40BB4D88" wp14:editId="6C9A1F7D">
              <wp:simplePos x="635" y="635"/>
              <wp:positionH relativeFrom="column">
                <wp:align>center</wp:align>
              </wp:positionH>
              <wp:positionV relativeFrom="paragraph">
                <wp:posOffset>635</wp:posOffset>
              </wp:positionV>
              <wp:extent cx="443865" cy="443865"/>
              <wp:effectExtent l="0" t="0" r="635" b="1079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3AEC57" w14:textId="77777777" w:rsidR="00067A16" w:rsidRPr="00067A16" w:rsidRDefault="00067A16">
                          <w:pPr>
                            <w:rPr>
                              <w:rFonts w:eastAsia="Calibri"/>
                              <w:color w:val="FF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BB4D88"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433AEC57" w14:textId="77777777" w:rsidR="00067A16" w:rsidRPr="00067A16" w:rsidRDefault="00067A16">
                    <w:pPr>
                      <w:rPr>
                        <w:rFonts w:eastAsia="Calibri"/>
                        <w:color w:val="FF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C208" w14:textId="77777777" w:rsidR="00067A16" w:rsidRDefault="00067A16">
    <w:pPr>
      <w:pStyle w:val="Header"/>
    </w:pPr>
    <w:r>
      <w:rPr>
        <w:noProof/>
      </w:rPr>
      <mc:AlternateContent>
        <mc:Choice Requires="wps">
          <w:drawing>
            <wp:anchor distT="0" distB="0" distL="0" distR="0" simplePos="0" relativeHeight="251658240" behindDoc="0" locked="0" layoutInCell="1" allowOverlap="1" wp14:anchorId="6FB6EA61" wp14:editId="574A81B3">
              <wp:simplePos x="635" y="635"/>
              <wp:positionH relativeFrom="column">
                <wp:align>center</wp:align>
              </wp:positionH>
              <wp:positionV relativeFrom="paragraph">
                <wp:posOffset>635</wp:posOffset>
              </wp:positionV>
              <wp:extent cx="443865" cy="443865"/>
              <wp:effectExtent l="0" t="0" r="635" b="1079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46E627" w14:textId="77777777" w:rsidR="00067A16" w:rsidRPr="00067A16" w:rsidRDefault="00067A16">
                          <w:pPr>
                            <w:rPr>
                              <w:rFonts w:eastAsia="Calibri"/>
                              <w:color w:val="FF0000"/>
                              <w:sz w:val="24"/>
                              <w:szCs w:val="24"/>
                            </w:rPr>
                          </w:pPr>
                          <w:r w:rsidRPr="00067A16">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B6EA61"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2646E627" w14:textId="77777777" w:rsidR="00067A16" w:rsidRPr="00067A16" w:rsidRDefault="00067A16">
                    <w:pPr>
                      <w:rPr>
                        <w:rFonts w:eastAsia="Calibri"/>
                        <w:color w:val="FF0000"/>
                        <w:sz w:val="24"/>
                        <w:szCs w:val="24"/>
                      </w:rPr>
                    </w:pPr>
                    <w:r w:rsidRPr="00067A16">
                      <w:rPr>
                        <w:rFonts w:eastAsia="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6AC"/>
    <w:multiLevelType w:val="multilevel"/>
    <w:tmpl w:val="DB528F34"/>
    <w:lvl w:ilvl="0">
      <w:start w:val="1"/>
      <w:numFmt w:val="decimal"/>
      <w:lvlText w:val="%1"/>
      <w:lvlJc w:val="left"/>
      <w:pPr>
        <w:ind w:left="2276" w:hanging="432"/>
      </w:pPr>
      <w:rPr>
        <w:rFonts w:hint="default"/>
        <w:b/>
      </w:rPr>
    </w:lvl>
    <w:lvl w:ilvl="1">
      <w:start w:val="1"/>
      <w:numFmt w:val="decimal"/>
      <w:pStyle w:val="Heading2"/>
      <w:lvlText w:val="%1.%2"/>
      <w:lvlJc w:val="left"/>
      <w:pPr>
        <w:ind w:left="576" w:hanging="576"/>
      </w:pPr>
      <w:rPr>
        <w:rFonts w:asciiTheme="minorHAnsi" w:hAnsiTheme="minorHAnsi" w:cstheme="minorHAnsi" w:hint="default"/>
        <w:b/>
        <w:bCs w:val="0"/>
        <w:sz w:val="28"/>
        <w:szCs w:val="28"/>
      </w:rPr>
    </w:lvl>
    <w:lvl w:ilvl="2">
      <w:start w:val="1"/>
      <w:numFmt w:val="decimal"/>
      <w:pStyle w:val="Heading3"/>
      <w:lvlText w:val="%1.%2.%3"/>
      <w:lvlJc w:val="left"/>
      <w:pPr>
        <w:ind w:left="2848" w:hanging="720"/>
      </w:pPr>
      <w:rPr>
        <w:rFonts w:asciiTheme="minorHAnsi" w:hAnsiTheme="minorHAnsi" w:cstheme="minorHAnsi" w:hint="default"/>
        <w:b/>
        <w:bCs w:val="0"/>
      </w:rPr>
    </w:lvl>
    <w:lvl w:ilvl="3">
      <w:start w:val="1"/>
      <w:numFmt w:val="decimal"/>
      <w:pStyle w:val="Heading4"/>
      <w:lvlText w:val="%1.%2.%3.%4"/>
      <w:lvlJc w:val="left"/>
      <w:pPr>
        <w:ind w:left="2708" w:hanging="864"/>
      </w:pPr>
      <w:rPr>
        <w:rFonts w:hint="default"/>
      </w:rPr>
    </w:lvl>
    <w:lvl w:ilvl="4">
      <w:start w:val="1"/>
      <w:numFmt w:val="decimal"/>
      <w:lvlText w:val="%1.%2.%3.%4.%5"/>
      <w:lvlJc w:val="left"/>
      <w:pPr>
        <w:ind w:left="2852" w:hanging="1008"/>
      </w:pPr>
      <w:rPr>
        <w:rFonts w:hint="default"/>
      </w:rPr>
    </w:lvl>
    <w:lvl w:ilvl="5">
      <w:start w:val="1"/>
      <w:numFmt w:val="decimal"/>
      <w:pStyle w:val="Heading6"/>
      <w:lvlText w:val="%1.%2.%3.%4.%5.%6"/>
      <w:lvlJc w:val="left"/>
      <w:pPr>
        <w:ind w:left="2996" w:hanging="1152"/>
      </w:pPr>
      <w:rPr>
        <w:rFonts w:hint="default"/>
      </w:rPr>
    </w:lvl>
    <w:lvl w:ilvl="6">
      <w:start w:val="1"/>
      <w:numFmt w:val="decimal"/>
      <w:pStyle w:val="Heading7"/>
      <w:lvlText w:val="%1.%2.%3.%4.%5.%6.%7"/>
      <w:lvlJc w:val="left"/>
      <w:pPr>
        <w:ind w:left="3140" w:hanging="1296"/>
      </w:pPr>
      <w:rPr>
        <w:rFonts w:hint="default"/>
      </w:rPr>
    </w:lvl>
    <w:lvl w:ilvl="7">
      <w:start w:val="1"/>
      <w:numFmt w:val="decimal"/>
      <w:pStyle w:val="Heading8"/>
      <w:lvlText w:val="%1.%2.%3.%4.%5.%6.%7.%8"/>
      <w:lvlJc w:val="left"/>
      <w:pPr>
        <w:ind w:left="3284" w:hanging="1440"/>
      </w:pPr>
      <w:rPr>
        <w:rFonts w:hint="default"/>
      </w:rPr>
    </w:lvl>
    <w:lvl w:ilvl="8">
      <w:start w:val="1"/>
      <w:numFmt w:val="decimal"/>
      <w:pStyle w:val="Heading9"/>
      <w:lvlText w:val="%1.%2.%3.%4.%5.%6.%7.%8.%9"/>
      <w:lvlJc w:val="left"/>
      <w:pPr>
        <w:ind w:left="3428" w:hanging="1584"/>
      </w:pPr>
      <w:rPr>
        <w:rFonts w:hint="default"/>
      </w:rPr>
    </w:lvl>
  </w:abstractNum>
  <w:abstractNum w:abstractNumId="1" w15:restartNumberingAfterBreak="0">
    <w:nsid w:val="067A2CD4"/>
    <w:multiLevelType w:val="hybridMultilevel"/>
    <w:tmpl w:val="72E2D80A"/>
    <w:lvl w:ilvl="0" w:tplc="6A3283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410EC"/>
    <w:multiLevelType w:val="hybridMultilevel"/>
    <w:tmpl w:val="DD4AFCAC"/>
    <w:lvl w:ilvl="0" w:tplc="6A3283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A3130B"/>
    <w:multiLevelType w:val="hybridMultilevel"/>
    <w:tmpl w:val="7A660C3C"/>
    <w:lvl w:ilvl="0" w:tplc="6A3283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D12B0"/>
    <w:multiLevelType w:val="hybridMultilevel"/>
    <w:tmpl w:val="41E094DE"/>
    <w:lvl w:ilvl="0" w:tplc="6A3283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6C0922"/>
    <w:multiLevelType w:val="hybridMultilevel"/>
    <w:tmpl w:val="04767DA4"/>
    <w:lvl w:ilvl="0" w:tplc="6A3283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B6560E"/>
    <w:multiLevelType w:val="hybridMultilevel"/>
    <w:tmpl w:val="5740B486"/>
    <w:lvl w:ilvl="0" w:tplc="6A3283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BC1093"/>
    <w:multiLevelType w:val="hybridMultilevel"/>
    <w:tmpl w:val="30BC2B6E"/>
    <w:lvl w:ilvl="0" w:tplc="6A3283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6451A2"/>
    <w:multiLevelType w:val="hybridMultilevel"/>
    <w:tmpl w:val="D5B04034"/>
    <w:lvl w:ilvl="0" w:tplc="6A3283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E8418D"/>
    <w:multiLevelType w:val="hybridMultilevel"/>
    <w:tmpl w:val="22685E10"/>
    <w:lvl w:ilvl="0" w:tplc="6A3283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079CA6"/>
    <w:multiLevelType w:val="hybridMultilevel"/>
    <w:tmpl w:val="69068A82"/>
    <w:lvl w:ilvl="0" w:tplc="21169116">
      <w:start w:val="1"/>
      <w:numFmt w:val="bullet"/>
      <w:pStyle w:val="Heading1"/>
      <w:lvlText w:val=""/>
      <w:lvlJc w:val="left"/>
      <w:pPr>
        <w:ind w:left="720" w:hanging="360"/>
      </w:pPr>
      <w:rPr>
        <w:rFonts w:ascii="Symbol" w:hAnsi="Symbol" w:hint="default"/>
        <w:color w:val="auto"/>
      </w:rPr>
    </w:lvl>
    <w:lvl w:ilvl="1" w:tplc="251E4D02">
      <w:start w:val="1"/>
      <w:numFmt w:val="bullet"/>
      <w:lvlText w:val="o"/>
      <w:lvlJc w:val="left"/>
      <w:pPr>
        <w:ind w:left="1440" w:hanging="360"/>
      </w:pPr>
      <w:rPr>
        <w:rFonts w:ascii="Courier New" w:hAnsi="Courier New" w:hint="default"/>
      </w:rPr>
    </w:lvl>
    <w:lvl w:ilvl="2" w:tplc="953E032A">
      <w:start w:val="1"/>
      <w:numFmt w:val="bullet"/>
      <w:lvlText w:val=""/>
      <w:lvlJc w:val="left"/>
      <w:pPr>
        <w:ind w:left="2160" w:hanging="360"/>
      </w:pPr>
      <w:rPr>
        <w:rFonts w:ascii="Wingdings" w:hAnsi="Wingdings" w:hint="default"/>
      </w:rPr>
    </w:lvl>
    <w:lvl w:ilvl="3" w:tplc="E584B184">
      <w:start w:val="1"/>
      <w:numFmt w:val="bullet"/>
      <w:lvlText w:val=""/>
      <w:lvlJc w:val="left"/>
      <w:pPr>
        <w:ind w:left="2880" w:hanging="360"/>
      </w:pPr>
      <w:rPr>
        <w:rFonts w:ascii="Symbol" w:hAnsi="Symbol" w:hint="default"/>
      </w:rPr>
    </w:lvl>
    <w:lvl w:ilvl="4" w:tplc="847606AC">
      <w:start w:val="1"/>
      <w:numFmt w:val="bullet"/>
      <w:lvlText w:val="o"/>
      <w:lvlJc w:val="left"/>
      <w:pPr>
        <w:ind w:left="3600" w:hanging="360"/>
      </w:pPr>
      <w:rPr>
        <w:rFonts w:ascii="Courier New" w:hAnsi="Courier New" w:hint="default"/>
      </w:rPr>
    </w:lvl>
    <w:lvl w:ilvl="5" w:tplc="4EBAAD0C">
      <w:start w:val="1"/>
      <w:numFmt w:val="bullet"/>
      <w:lvlText w:val=""/>
      <w:lvlJc w:val="left"/>
      <w:pPr>
        <w:ind w:left="4320" w:hanging="360"/>
      </w:pPr>
      <w:rPr>
        <w:rFonts w:ascii="Wingdings" w:hAnsi="Wingdings" w:hint="default"/>
      </w:rPr>
    </w:lvl>
    <w:lvl w:ilvl="6" w:tplc="2368BBB0">
      <w:start w:val="1"/>
      <w:numFmt w:val="bullet"/>
      <w:lvlText w:val=""/>
      <w:lvlJc w:val="left"/>
      <w:pPr>
        <w:ind w:left="5040" w:hanging="360"/>
      </w:pPr>
      <w:rPr>
        <w:rFonts w:ascii="Symbol" w:hAnsi="Symbol" w:hint="default"/>
      </w:rPr>
    </w:lvl>
    <w:lvl w:ilvl="7" w:tplc="032ACD2E">
      <w:start w:val="1"/>
      <w:numFmt w:val="bullet"/>
      <w:lvlText w:val="o"/>
      <w:lvlJc w:val="left"/>
      <w:pPr>
        <w:ind w:left="5760" w:hanging="360"/>
      </w:pPr>
      <w:rPr>
        <w:rFonts w:ascii="Courier New" w:hAnsi="Courier New" w:hint="default"/>
      </w:rPr>
    </w:lvl>
    <w:lvl w:ilvl="8" w:tplc="16B45AAE">
      <w:start w:val="1"/>
      <w:numFmt w:val="bullet"/>
      <w:lvlText w:val=""/>
      <w:lvlJc w:val="left"/>
      <w:pPr>
        <w:ind w:left="6480" w:hanging="360"/>
      </w:pPr>
      <w:rPr>
        <w:rFonts w:ascii="Wingdings" w:hAnsi="Wingdings" w:hint="default"/>
      </w:rPr>
    </w:lvl>
  </w:abstractNum>
  <w:abstractNum w:abstractNumId="11" w15:restartNumberingAfterBreak="0">
    <w:nsid w:val="400B1AD3"/>
    <w:multiLevelType w:val="hybridMultilevel"/>
    <w:tmpl w:val="AD065C5C"/>
    <w:lvl w:ilvl="0" w:tplc="6A3283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622563"/>
    <w:multiLevelType w:val="hybridMultilevel"/>
    <w:tmpl w:val="B628B604"/>
    <w:lvl w:ilvl="0" w:tplc="64A6CDE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770466F"/>
    <w:multiLevelType w:val="hybridMultilevel"/>
    <w:tmpl w:val="A9F8FD0E"/>
    <w:lvl w:ilvl="0" w:tplc="6A3283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AB09DB"/>
    <w:multiLevelType w:val="hybridMultilevel"/>
    <w:tmpl w:val="9196BFD2"/>
    <w:lvl w:ilvl="0" w:tplc="6A3283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B35EAB"/>
    <w:multiLevelType w:val="hybridMultilevel"/>
    <w:tmpl w:val="16EE165C"/>
    <w:lvl w:ilvl="0" w:tplc="6A3283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458FD"/>
    <w:multiLevelType w:val="hybridMultilevel"/>
    <w:tmpl w:val="42B6BF5C"/>
    <w:lvl w:ilvl="0" w:tplc="6A3283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A7717B"/>
    <w:multiLevelType w:val="hybridMultilevel"/>
    <w:tmpl w:val="AD145420"/>
    <w:lvl w:ilvl="0" w:tplc="6A3283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15"/>
  </w:num>
  <w:num w:numId="5">
    <w:abstractNumId w:val="17"/>
  </w:num>
  <w:num w:numId="6">
    <w:abstractNumId w:val="5"/>
  </w:num>
  <w:num w:numId="7">
    <w:abstractNumId w:val="14"/>
  </w:num>
  <w:num w:numId="8">
    <w:abstractNumId w:val="4"/>
  </w:num>
  <w:num w:numId="9">
    <w:abstractNumId w:val="13"/>
  </w:num>
  <w:num w:numId="10">
    <w:abstractNumId w:val="11"/>
  </w:num>
  <w:num w:numId="11">
    <w:abstractNumId w:val="1"/>
  </w:num>
  <w:num w:numId="12">
    <w:abstractNumId w:val="6"/>
  </w:num>
  <w:num w:numId="13">
    <w:abstractNumId w:val="3"/>
  </w:num>
  <w:num w:numId="14">
    <w:abstractNumId w:val="7"/>
  </w:num>
  <w:num w:numId="15">
    <w:abstractNumId w:val="8"/>
  </w:num>
  <w:num w:numId="16">
    <w:abstractNumId w:val="2"/>
  </w:num>
  <w:num w:numId="17">
    <w:abstractNumId w:val="16"/>
  </w:num>
  <w:num w:numId="18">
    <w:abstractNumId w:val="9"/>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6F"/>
    <w:rsid w:val="0000084F"/>
    <w:rsid w:val="00001382"/>
    <w:rsid w:val="000057DE"/>
    <w:rsid w:val="00005CF2"/>
    <w:rsid w:val="00012B7F"/>
    <w:rsid w:val="000214DB"/>
    <w:rsid w:val="00027ABA"/>
    <w:rsid w:val="00033D4A"/>
    <w:rsid w:val="000348E1"/>
    <w:rsid w:val="00036D3B"/>
    <w:rsid w:val="00037317"/>
    <w:rsid w:val="000445B6"/>
    <w:rsid w:val="00046EF3"/>
    <w:rsid w:val="000659A1"/>
    <w:rsid w:val="00067A16"/>
    <w:rsid w:val="00067BAB"/>
    <w:rsid w:val="00070218"/>
    <w:rsid w:val="000772A3"/>
    <w:rsid w:val="00084F4A"/>
    <w:rsid w:val="00090013"/>
    <w:rsid w:val="000916CA"/>
    <w:rsid w:val="00092E09"/>
    <w:rsid w:val="000934FE"/>
    <w:rsid w:val="000A6823"/>
    <w:rsid w:val="000B137F"/>
    <w:rsid w:val="000B23BD"/>
    <w:rsid w:val="000B66F5"/>
    <w:rsid w:val="000C2002"/>
    <w:rsid w:val="000C2071"/>
    <w:rsid w:val="000D3F17"/>
    <w:rsid w:val="000D59AA"/>
    <w:rsid w:val="000D6AAE"/>
    <w:rsid w:val="000E14E6"/>
    <w:rsid w:val="000E3BB7"/>
    <w:rsid w:val="000E4BD2"/>
    <w:rsid w:val="000E8329"/>
    <w:rsid w:val="000F1CDA"/>
    <w:rsid w:val="000F3DAA"/>
    <w:rsid w:val="000F793A"/>
    <w:rsid w:val="00103F58"/>
    <w:rsid w:val="00106EDE"/>
    <w:rsid w:val="00107BB6"/>
    <w:rsid w:val="00114172"/>
    <w:rsid w:val="00124C35"/>
    <w:rsid w:val="00124DBC"/>
    <w:rsid w:val="001308E0"/>
    <w:rsid w:val="0013290C"/>
    <w:rsid w:val="00132FF6"/>
    <w:rsid w:val="00135B49"/>
    <w:rsid w:val="00141740"/>
    <w:rsid w:val="00142228"/>
    <w:rsid w:val="0014495C"/>
    <w:rsid w:val="001451D4"/>
    <w:rsid w:val="00145629"/>
    <w:rsid w:val="00145672"/>
    <w:rsid w:val="00145C2D"/>
    <w:rsid w:val="00150AA4"/>
    <w:rsid w:val="001510CC"/>
    <w:rsid w:val="00155E58"/>
    <w:rsid w:val="001624F1"/>
    <w:rsid w:val="00170D6F"/>
    <w:rsid w:val="00185304"/>
    <w:rsid w:val="00192912"/>
    <w:rsid w:val="00197BFC"/>
    <w:rsid w:val="001A0D3E"/>
    <w:rsid w:val="001A44C8"/>
    <w:rsid w:val="001A6FCD"/>
    <w:rsid w:val="001B5306"/>
    <w:rsid w:val="001C15AA"/>
    <w:rsid w:val="001C50CD"/>
    <w:rsid w:val="001D0B3B"/>
    <w:rsid w:val="001D185A"/>
    <w:rsid w:val="001E0BDE"/>
    <w:rsid w:val="001E4143"/>
    <w:rsid w:val="001E423F"/>
    <w:rsid w:val="001E45BF"/>
    <w:rsid w:val="001E693D"/>
    <w:rsid w:val="001F0B50"/>
    <w:rsid w:val="001F5CA9"/>
    <w:rsid w:val="0020330C"/>
    <w:rsid w:val="00204AD6"/>
    <w:rsid w:val="00210B7B"/>
    <w:rsid w:val="00211E06"/>
    <w:rsid w:val="002136E0"/>
    <w:rsid w:val="00215020"/>
    <w:rsid w:val="00216EFC"/>
    <w:rsid w:val="002258D7"/>
    <w:rsid w:val="002302B2"/>
    <w:rsid w:val="00232601"/>
    <w:rsid w:val="00233492"/>
    <w:rsid w:val="00242A75"/>
    <w:rsid w:val="00246B40"/>
    <w:rsid w:val="00251267"/>
    <w:rsid w:val="0025129E"/>
    <w:rsid w:val="00254AC6"/>
    <w:rsid w:val="0025742B"/>
    <w:rsid w:val="00271D62"/>
    <w:rsid w:val="00277ACB"/>
    <w:rsid w:val="00291C44"/>
    <w:rsid w:val="00294BBE"/>
    <w:rsid w:val="002975FD"/>
    <w:rsid w:val="002A1659"/>
    <w:rsid w:val="002A2C5E"/>
    <w:rsid w:val="002A3A18"/>
    <w:rsid w:val="002A4D84"/>
    <w:rsid w:val="002A4F73"/>
    <w:rsid w:val="002B4886"/>
    <w:rsid w:val="002B7F9E"/>
    <w:rsid w:val="002C1F81"/>
    <w:rsid w:val="002C6241"/>
    <w:rsid w:val="002D4038"/>
    <w:rsid w:val="002D7100"/>
    <w:rsid w:val="002E3208"/>
    <w:rsid w:val="002E5346"/>
    <w:rsid w:val="002F14D8"/>
    <w:rsid w:val="002F53B9"/>
    <w:rsid w:val="002F5E52"/>
    <w:rsid w:val="00300E8F"/>
    <w:rsid w:val="00305064"/>
    <w:rsid w:val="00307FB8"/>
    <w:rsid w:val="003208BA"/>
    <w:rsid w:val="003248B4"/>
    <w:rsid w:val="00326FD8"/>
    <w:rsid w:val="00330EDE"/>
    <w:rsid w:val="00340BFB"/>
    <w:rsid w:val="0034102C"/>
    <w:rsid w:val="003417CB"/>
    <w:rsid w:val="003503C7"/>
    <w:rsid w:val="00351CC2"/>
    <w:rsid w:val="0035410C"/>
    <w:rsid w:val="0036049B"/>
    <w:rsid w:val="00362B73"/>
    <w:rsid w:val="0036370D"/>
    <w:rsid w:val="00363746"/>
    <w:rsid w:val="00363846"/>
    <w:rsid w:val="00366597"/>
    <w:rsid w:val="00366994"/>
    <w:rsid w:val="0037089F"/>
    <w:rsid w:val="00371C68"/>
    <w:rsid w:val="00374579"/>
    <w:rsid w:val="00374A23"/>
    <w:rsid w:val="0037555F"/>
    <w:rsid w:val="00376EB2"/>
    <w:rsid w:val="00380371"/>
    <w:rsid w:val="0038076A"/>
    <w:rsid w:val="00384BBA"/>
    <w:rsid w:val="00386CC5"/>
    <w:rsid w:val="00392DC8"/>
    <w:rsid w:val="00394480"/>
    <w:rsid w:val="003A5810"/>
    <w:rsid w:val="003B54E3"/>
    <w:rsid w:val="003B6BC6"/>
    <w:rsid w:val="003B782D"/>
    <w:rsid w:val="003C06F8"/>
    <w:rsid w:val="003C143B"/>
    <w:rsid w:val="003C2F40"/>
    <w:rsid w:val="003D3DC9"/>
    <w:rsid w:val="003D4298"/>
    <w:rsid w:val="003D49D6"/>
    <w:rsid w:val="003D69CA"/>
    <w:rsid w:val="003E1414"/>
    <w:rsid w:val="003E32F3"/>
    <w:rsid w:val="003F2DEE"/>
    <w:rsid w:val="003F3637"/>
    <w:rsid w:val="003F7CB2"/>
    <w:rsid w:val="004004B7"/>
    <w:rsid w:val="0040401A"/>
    <w:rsid w:val="004073F5"/>
    <w:rsid w:val="004110C0"/>
    <w:rsid w:val="00420A40"/>
    <w:rsid w:val="00427319"/>
    <w:rsid w:val="00430A43"/>
    <w:rsid w:val="004317CC"/>
    <w:rsid w:val="00432DA2"/>
    <w:rsid w:val="00436F49"/>
    <w:rsid w:val="004371BE"/>
    <w:rsid w:val="00440D5D"/>
    <w:rsid w:val="004412FE"/>
    <w:rsid w:val="004453DB"/>
    <w:rsid w:val="00457BBB"/>
    <w:rsid w:val="00460D82"/>
    <w:rsid w:val="00473533"/>
    <w:rsid w:val="00473A26"/>
    <w:rsid w:val="00481464"/>
    <w:rsid w:val="00482258"/>
    <w:rsid w:val="00482E81"/>
    <w:rsid w:val="004876B9"/>
    <w:rsid w:val="004A058D"/>
    <w:rsid w:val="004B0700"/>
    <w:rsid w:val="004B1CF5"/>
    <w:rsid w:val="004B751E"/>
    <w:rsid w:val="004C1524"/>
    <w:rsid w:val="004C42A0"/>
    <w:rsid w:val="004D3C12"/>
    <w:rsid w:val="004D4729"/>
    <w:rsid w:val="004D7475"/>
    <w:rsid w:val="004E0ACA"/>
    <w:rsid w:val="004E1844"/>
    <w:rsid w:val="004E5050"/>
    <w:rsid w:val="004F2C3F"/>
    <w:rsid w:val="004F3665"/>
    <w:rsid w:val="005012DF"/>
    <w:rsid w:val="00502D92"/>
    <w:rsid w:val="0051281B"/>
    <w:rsid w:val="00526B24"/>
    <w:rsid w:val="005273F5"/>
    <w:rsid w:val="00530CCA"/>
    <w:rsid w:val="0053679B"/>
    <w:rsid w:val="005417BE"/>
    <w:rsid w:val="00542FD1"/>
    <w:rsid w:val="0054388D"/>
    <w:rsid w:val="00543A0D"/>
    <w:rsid w:val="005440CB"/>
    <w:rsid w:val="00544511"/>
    <w:rsid w:val="005457E8"/>
    <w:rsid w:val="00553777"/>
    <w:rsid w:val="0056030F"/>
    <w:rsid w:val="00560C37"/>
    <w:rsid w:val="00562D01"/>
    <w:rsid w:val="00572A40"/>
    <w:rsid w:val="005744A9"/>
    <w:rsid w:val="00576224"/>
    <w:rsid w:val="005839D9"/>
    <w:rsid w:val="00583DE5"/>
    <w:rsid w:val="00584259"/>
    <w:rsid w:val="00586DE0"/>
    <w:rsid w:val="0059305E"/>
    <w:rsid w:val="00593EBC"/>
    <w:rsid w:val="00596099"/>
    <w:rsid w:val="005A2A21"/>
    <w:rsid w:val="005A5034"/>
    <w:rsid w:val="005A7648"/>
    <w:rsid w:val="005A7942"/>
    <w:rsid w:val="005B130A"/>
    <w:rsid w:val="005B37E9"/>
    <w:rsid w:val="005B4862"/>
    <w:rsid w:val="005B58E4"/>
    <w:rsid w:val="005D162A"/>
    <w:rsid w:val="005D378F"/>
    <w:rsid w:val="005F12DD"/>
    <w:rsid w:val="005F3F89"/>
    <w:rsid w:val="005F58F0"/>
    <w:rsid w:val="006015B2"/>
    <w:rsid w:val="00602533"/>
    <w:rsid w:val="00603CB9"/>
    <w:rsid w:val="0060525D"/>
    <w:rsid w:val="00606EDB"/>
    <w:rsid w:val="00606F4D"/>
    <w:rsid w:val="00607099"/>
    <w:rsid w:val="006078D7"/>
    <w:rsid w:val="00620E26"/>
    <w:rsid w:val="0063517C"/>
    <w:rsid w:val="006356D8"/>
    <w:rsid w:val="00636802"/>
    <w:rsid w:val="00636D8C"/>
    <w:rsid w:val="00644F00"/>
    <w:rsid w:val="00653DB8"/>
    <w:rsid w:val="00656421"/>
    <w:rsid w:val="00660631"/>
    <w:rsid w:val="006616AA"/>
    <w:rsid w:val="006617AF"/>
    <w:rsid w:val="00663F40"/>
    <w:rsid w:val="006670F2"/>
    <w:rsid w:val="00673FC1"/>
    <w:rsid w:val="00684B0B"/>
    <w:rsid w:val="00687FE4"/>
    <w:rsid w:val="00691568"/>
    <w:rsid w:val="00691BE3"/>
    <w:rsid w:val="00692FD1"/>
    <w:rsid w:val="00696CB2"/>
    <w:rsid w:val="006A01A0"/>
    <w:rsid w:val="006A1E80"/>
    <w:rsid w:val="006A1F83"/>
    <w:rsid w:val="006A23FF"/>
    <w:rsid w:val="006A2983"/>
    <w:rsid w:val="006A45C5"/>
    <w:rsid w:val="006B2102"/>
    <w:rsid w:val="006B53DA"/>
    <w:rsid w:val="006C181B"/>
    <w:rsid w:val="006D39AB"/>
    <w:rsid w:val="006D5F11"/>
    <w:rsid w:val="006E0195"/>
    <w:rsid w:val="006E06AB"/>
    <w:rsid w:val="006E0786"/>
    <w:rsid w:val="006E0821"/>
    <w:rsid w:val="006E6F04"/>
    <w:rsid w:val="006F1CBC"/>
    <w:rsid w:val="006F2407"/>
    <w:rsid w:val="006F42C4"/>
    <w:rsid w:val="006F5093"/>
    <w:rsid w:val="00706276"/>
    <w:rsid w:val="00707CD5"/>
    <w:rsid w:val="00707E0A"/>
    <w:rsid w:val="00710B41"/>
    <w:rsid w:val="00711384"/>
    <w:rsid w:val="00726626"/>
    <w:rsid w:val="00731A7B"/>
    <w:rsid w:val="00733DED"/>
    <w:rsid w:val="007359D3"/>
    <w:rsid w:val="0074398A"/>
    <w:rsid w:val="0074637D"/>
    <w:rsid w:val="00747767"/>
    <w:rsid w:val="00751C36"/>
    <w:rsid w:val="007540FF"/>
    <w:rsid w:val="00760684"/>
    <w:rsid w:val="007606E3"/>
    <w:rsid w:val="00762ABD"/>
    <w:rsid w:val="007634FD"/>
    <w:rsid w:val="00765055"/>
    <w:rsid w:val="00766AE6"/>
    <w:rsid w:val="00770ABD"/>
    <w:rsid w:val="0077399B"/>
    <w:rsid w:val="00774009"/>
    <w:rsid w:val="007851DB"/>
    <w:rsid w:val="00785D79"/>
    <w:rsid w:val="00786687"/>
    <w:rsid w:val="00791173"/>
    <w:rsid w:val="007920F2"/>
    <w:rsid w:val="00792769"/>
    <w:rsid w:val="00794EC0"/>
    <w:rsid w:val="00797B2D"/>
    <w:rsid w:val="00797FD3"/>
    <w:rsid w:val="007A00E6"/>
    <w:rsid w:val="007A6CDA"/>
    <w:rsid w:val="007B3B30"/>
    <w:rsid w:val="007B6BB0"/>
    <w:rsid w:val="007B7716"/>
    <w:rsid w:val="007C1BC0"/>
    <w:rsid w:val="007C74C2"/>
    <w:rsid w:val="007C7BA1"/>
    <w:rsid w:val="007D1E07"/>
    <w:rsid w:val="007D307D"/>
    <w:rsid w:val="007D3CEF"/>
    <w:rsid w:val="007D5569"/>
    <w:rsid w:val="007E1529"/>
    <w:rsid w:val="007E16AF"/>
    <w:rsid w:val="007F1A9A"/>
    <w:rsid w:val="007F62AB"/>
    <w:rsid w:val="0081019F"/>
    <w:rsid w:val="008124B1"/>
    <w:rsid w:val="00813CA1"/>
    <w:rsid w:val="008171B9"/>
    <w:rsid w:val="00823DF2"/>
    <w:rsid w:val="0082732E"/>
    <w:rsid w:val="0084207C"/>
    <w:rsid w:val="0084282E"/>
    <w:rsid w:val="00852B87"/>
    <w:rsid w:val="0085323B"/>
    <w:rsid w:val="008548C5"/>
    <w:rsid w:val="00860C7E"/>
    <w:rsid w:val="00865947"/>
    <w:rsid w:val="0087113E"/>
    <w:rsid w:val="00872573"/>
    <w:rsid w:val="0087298B"/>
    <w:rsid w:val="00874CDF"/>
    <w:rsid w:val="008815CE"/>
    <w:rsid w:val="008849C1"/>
    <w:rsid w:val="00891DF9"/>
    <w:rsid w:val="0089301B"/>
    <w:rsid w:val="00896A78"/>
    <w:rsid w:val="008B00D6"/>
    <w:rsid w:val="008C6E71"/>
    <w:rsid w:val="008D1B80"/>
    <w:rsid w:val="008D4DBA"/>
    <w:rsid w:val="008D602C"/>
    <w:rsid w:val="008E2BE1"/>
    <w:rsid w:val="008E4F88"/>
    <w:rsid w:val="008E696E"/>
    <w:rsid w:val="008E75FE"/>
    <w:rsid w:val="008F0A90"/>
    <w:rsid w:val="008F1062"/>
    <w:rsid w:val="008F6B36"/>
    <w:rsid w:val="009021AB"/>
    <w:rsid w:val="0090378F"/>
    <w:rsid w:val="00906F77"/>
    <w:rsid w:val="00910C24"/>
    <w:rsid w:val="00913C72"/>
    <w:rsid w:val="009159E3"/>
    <w:rsid w:val="00923C02"/>
    <w:rsid w:val="0093171B"/>
    <w:rsid w:val="009423AF"/>
    <w:rsid w:val="00942716"/>
    <w:rsid w:val="00943062"/>
    <w:rsid w:val="00945601"/>
    <w:rsid w:val="00950A3A"/>
    <w:rsid w:val="00950EA9"/>
    <w:rsid w:val="00952B3A"/>
    <w:rsid w:val="00954A51"/>
    <w:rsid w:val="00954C8D"/>
    <w:rsid w:val="009550E6"/>
    <w:rsid w:val="00956F60"/>
    <w:rsid w:val="00964D4E"/>
    <w:rsid w:val="00974F4E"/>
    <w:rsid w:val="00975C71"/>
    <w:rsid w:val="009775CF"/>
    <w:rsid w:val="009807FF"/>
    <w:rsid w:val="00981161"/>
    <w:rsid w:val="0099333A"/>
    <w:rsid w:val="00994A79"/>
    <w:rsid w:val="0099701B"/>
    <w:rsid w:val="009A2FAB"/>
    <w:rsid w:val="009B3201"/>
    <w:rsid w:val="009B3B1A"/>
    <w:rsid w:val="009D11A2"/>
    <w:rsid w:val="009D1605"/>
    <w:rsid w:val="009D5ECD"/>
    <w:rsid w:val="009D7870"/>
    <w:rsid w:val="009E2BD0"/>
    <w:rsid w:val="009E7120"/>
    <w:rsid w:val="009F75DB"/>
    <w:rsid w:val="00A017CA"/>
    <w:rsid w:val="00A1308A"/>
    <w:rsid w:val="00A13B18"/>
    <w:rsid w:val="00A14757"/>
    <w:rsid w:val="00A15F86"/>
    <w:rsid w:val="00A15FDF"/>
    <w:rsid w:val="00A22DAB"/>
    <w:rsid w:val="00A2301A"/>
    <w:rsid w:val="00A3353A"/>
    <w:rsid w:val="00A405BC"/>
    <w:rsid w:val="00A4170A"/>
    <w:rsid w:val="00A527B2"/>
    <w:rsid w:val="00A6093A"/>
    <w:rsid w:val="00A63A9A"/>
    <w:rsid w:val="00A63B29"/>
    <w:rsid w:val="00A67E6C"/>
    <w:rsid w:val="00A71721"/>
    <w:rsid w:val="00A72F38"/>
    <w:rsid w:val="00A748EC"/>
    <w:rsid w:val="00A7495C"/>
    <w:rsid w:val="00A75BA1"/>
    <w:rsid w:val="00A76BAA"/>
    <w:rsid w:val="00A84333"/>
    <w:rsid w:val="00A8779F"/>
    <w:rsid w:val="00A911A8"/>
    <w:rsid w:val="00A923B2"/>
    <w:rsid w:val="00A94802"/>
    <w:rsid w:val="00A9537D"/>
    <w:rsid w:val="00AB1DA4"/>
    <w:rsid w:val="00AB22B1"/>
    <w:rsid w:val="00AB2D53"/>
    <w:rsid w:val="00AB4670"/>
    <w:rsid w:val="00AC385D"/>
    <w:rsid w:val="00AD088E"/>
    <w:rsid w:val="00AD16AA"/>
    <w:rsid w:val="00AD1F06"/>
    <w:rsid w:val="00AD2E69"/>
    <w:rsid w:val="00AD36FC"/>
    <w:rsid w:val="00AE19ED"/>
    <w:rsid w:val="00AE2F65"/>
    <w:rsid w:val="00AF068A"/>
    <w:rsid w:val="00AF19FF"/>
    <w:rsid w:val="00AF3FE3"/>
    <w:rsid w:val="00AF4DB5"/>
    <w:rsid w:val="00AF7993"/>
    <w:rsid w:val="00B04534"/>
    <w:rsid w:val="00B04A04"/>
    <w:rsid w:val="00B04EE4"/>
    <w:rsid w:val="00B15C51"/>
    <w:rsid w:val="00B20540"/>
    <w:rsid w:val="00B207B2"/>
    <w:rsid w:val="00B2708F"/>
    <w:rsid w:val="00B331AD"/>
    <w:rsid w:val="00B4206C"/>
    <w:rsid w:val="00B47290"/>
    <w:rsid w:val="00B52CED"/>
    <w:rsid w:val="00B535B2"/>
    <w:rsid w:val="00B53901"/>
    <w:rsid w:val="00B54F2E"/>
    <w:rsid w:val="00B62311"/>
    <w:rsid w:val="00B66AFF"/>
    <w:rsid w:val="00B70FD5"/>
    <w:rsid w:val="00B71C2D"/>
    <w:rsid w:val="00B72F85"/>
    <w:rsid w:val="00B812AB"/>
    <w:rsid w:val="00B8438D"/>
    <w:rsid w:val="00B87C8E"/>
    <w:rsid w:val="00B9344A"/>
    <w:rsid w:val="00B9482F"/>
    <w:rsid w:val="00BA00B9"/>
    <w:rsid w:val="00BA229B"/>
    <w:rsid w:val="00BA2F6B"/>
    <w:rsid w:val="00BA39FF"/>
    <w:rsid w:val="00BB4E25"/>
    <w:rsid w:val="00BC2662"/>
    <w:rsid w:val="00BC5656"/>
    <w:rsid w:val="00BC59DF"/>
    <w:rsid w:val="00BD0DD9"/>
    <w:rsid w:val="00BD5C70"/>
    <w:rsid w:val="00BD6F0B"/>
    <w:rsid w:val="00BD7CB7"/>
    <w:rsid w:val="00BF26F2"/>
    <w:rsid w:val="00C00E55"/>
    <w:rsid w:val="00C01FBA"/>
    <w:rsid w:val="00C068AA"/>
    <w:rsid w:val="00C17AA0"/>
    <w:rsid w:val="00C24F5F"/>
    <w:rsid w:val="00C33B62"/>
    <w:rsid w:val="00C34013"/>
    <w:rsid w:val="00C41596"/>
    <w:rsid w:val="00C46288"/>
    <w:rsid w:val="00C5623B"/>
    <w:rsid w:val="00C56393"/>
    <w:rsid w:val="00C639AB"/>
    <w:rsid w:val="00C7178B"/>
    <w:rsid w:val="00C71C71"/>
    <w:rsid w:val="00C72CA3"/>
    <w:rsid w:val="00C815FB"/>
    <w:rsid w:val="00C8567C"/>
    <w:rsid w:val="00C87F96"/>
    <w:rsid w:val="00C92DE6"/>
    <w:rsid w:val="00C95C95"/>
    <w:rsid w:val="00CA2DCC"/>
    <w:rsid w:val="00CA3670"/>
    <w:rsid w:val="00CB262B"/>
    <w:rsid w:val="00CB3F47"/>
    <w:rsid w:val="00CC006E"/>
    <w:rsid w:val="00CC34F2"/>
    <w:rsid w:val="00CC4377"/>
    <w:rsid w:val="00CC4A28"/>
    <w:rsid w:val="00CC732D"/>
    <w:rsid w:val="00CD0D87"/>
    <w:rsid w:val="00CD44B9"/>
    <w:rsid w:val="00CD48E0"/>
    <w:rsid w:val="00CD74B3"/>
    <w:rsid w:val="00CE1156"/>
    <w:rsid w:val="00CE217D"/>
    <w:rsid w:val="00CE7460"/>
    <w:rsid w:val="00CF0323"/>
    <w:rsid w:val="00CF46D0"/>
    <w:rsid w:val="00CF49CD"/>
    <w:rsid w:val="00CF64D6"/>
    <w:rsid w:val="00CF6A9F"/>
    <w:rsid w:val="00CF6B98"/>
    <w:rsid w:val="00D020B2"/>
    <w:rsid w:val="00D033E2"/>
    <w:rsid w:val="00D14D4D"/>
    <w:rsid w:val="00D154D4"/>
    <w:rsid w:val="00D157B8"/>
    <w:rsid w:val="00D15DD8"/>
    <w:rsid w:val="00D16EFE"/>
    <w:rsid w:val="00D211D2"/>
    <w:rsid w:val="00D27D23"/>
    <w:rsid w:val="00D32C62"/>
    <w:rsid w:val="00D331A6"/>
    <w:rsid w:val="00D369D1"/>
    <w:rsid w:val="00D37F59"/>
    <w:rsid w:val="00D5028F"/>
    <w:rsid w:val="00D5470A"/>
    <w:rsid w:val="00D57504"/>
    <w:rsid w:val="00D5775A"/>
    <w:rsid w:val="00D63411"/>
    <w:rsid w:val="00D74B83"/>
    <w:rsid w:val="00D75944"/>
    <w:rsid w:val="00D778D0"/>
    <w:rsid w:val="00D81820"/>
    <w:rsid w:val="00D905E6"/>
    <w:rsid w:val="00D971C1"/>
    <w:rsid w:val="00DA346F"/>
    <w:rsid w:val="00DB2BC2"/>
    <w:rsid w:val="00DB3F66"/>
    <w:rsid w:val="00DB73D4"/>
    <w:rsid w:val="00DC04D2"/>
    <w:rsid w:val="00DC2868"/>
    <w:rsid w:val="00DD64F9"/>
    <w:rsid w:val="00DE14C9"/>
    <w:rsid w:val="00DE3FDD"/>
    <w:rsid w:val="00DE502C"/>
    <w:rsid w:val="00DF106F"/>
    <w:rsid w:val="00DF4A72"/>
    <w:rsid w:val="00DF7C0D"/>
    <w:rsid w:val="00E01521"/>
    <w:rsid w:val="00E018AC"/>
    <w:rsid w:val="00E06730"/>
    <w:rsid w:val="00E12A1B"/>
    <w:rsid w:val="00E15244"/>
    <w:rsid w:val="00E206FB"/>
    <w:rsid w:val="00E21864"/>
    <w:rsid w:val="00E22A8A"/>
    <w:rsid w:val="00E2406C"/>
    <w:rsid w:val="00E25C51"/>
    <w:rsid w:val="00E277E5"/>
    <w:rsid w:val="00E31748"/>
    <w:rsid w:val="00E4522F"/>
    <w:rsid w:val="00E46943"/>
    <w:rsid w:val="00E526C3"/>
    <w:rsid w:val="00E60BC4"/>
    <w:rsid w:val="00E63FD5"/>
    <w:rsid w:val="00E70F2B"/>
    <w:rsid w:val="00E7380D"/>
    <w:rsid w:val="00E76B6F"/>
    <w:rsid w:val="00E925DE"/>
    <w:rsid w:val="00E951AD"/>
    <w:rsid w:val="00E961AC"/>
    <w:rsid w:val="00E96A68"/>
    <w:rsid w:val="00EA05A3"/>
    <w:rsid w:val="00EA14C9"/>
    <w:rsid w:val="00EA33C2"/>
    <w:rsid w:val="00EB70E8"/>
    <w:rsid w:val="00EC75C0"/>
    <w:rsid w:val="00EC7DEC"/>
    <w:rsid w:val="00ED5D61"/>
    <w:rsid w:val="00ED6B80"/>
    <w:rsid w:val="00EE3795"/>
    <w:rsid w:val="00EE4DBA"/>
    <w:rsid w:val="00EF0C11"/>
    <w:rsid w:val="00EF37BC"/>
    <w:rsid w:val="00EF4FCA"/>
    <w:rsid w:val="00F01F2D"/>
    <w:rsid w:val="00F0340D"/>
    <w:rsid w:val="00F12FA1"/>
    <w:rsid w:val="00F2021A"/>
    <w:rsid w:val="00F230D3"/>
    <w:rsid w:val="00F24951"/>
    <w:rsid w:val="00F32778"/>
    <w:rsid w:val="00F33CE9"/>
    <w:rsid w:val="00F4030F"/>
    <w:rsid w:val="00F41FBB"/>
    <w:rsid w:val="00F4278C"/>
    <w:rsid w:val="00F44F38"/>
    <w:rsid w:val="00F47753"/>
    <w:rsid w:val="00F5701E"/>
    <w:rsid w:val="00F721A6"/>
    <w:rsid w:val="00F735D9"/>
    <w:rsid w:val="00F772B3"/>
    <w:rsid w:val="00F82E5C"/>
    <w:rsid w:val="00F9121B"/>
    <w:rsid w:val="00F95368"/>
    <w:rsid w:val="00F97DEF"/>
    <w:rsid w:val="00F97F55"/>
    <w:rsid w:val="00FA040D"/>
    <w:rsid w:val="00FA0889"/>
    <w:rsid w:val="00FA0CAC"/>
    <w:rsid w:val="00FA70B4"/>
    <w:rsid w:val="00FB1F24"/>
    <w:rsid w:val="00FB624D"/>
    <w:rsid w:val="00FC58C9"/>
    <w:rsid w:val="00FC7DF1"/>
    <w:rsid w:val="00FD0490"/>
    <w:rsid w:val="00FD1334"/>
    <w:rsid w:val="00FE11CB"/>
    <w:rsid w:val="00FE3A28"/>
    <w:rsid w:val="00FE70B7"/>
    <w:rsid w:val="00FE7257"/>
    <w:rsid w:val="00FF18FB"/>
    <w:rsid w:val="00FF2BF3"/>
    <w:rsid w:val="00FF4482"/>
    <w:rsid w:val="00FF7358"/>
    <w:rsid w:val="017F1397"/>
    <w:rsid w:val="0273F8A7"/>
    <w:rsid w:val="02B3401C"/>
    <w:rsid w:val="02F7F83A"/>
    <w:rsid w:val="034623EB"/>
    <w:rsid w:val="043572FF"/>
    <w:rsid w:val="09FACC6A"/>
    <w:rsid w:val="0B7FBC6C"/>
    <w:rsid w:val="0BD1109D"/>
    <w:rsid w:val="0CC1C63E"/>
    <w:rsid w:val="0D5685A4"/>
    <w:rsid w:val="0DF0545B"/>
    <w:rsid w:val="0E5D969F"/>
    <w:rsid w:val="0E7F38FE"/>
    <w:rsid w:val="100B1AEA"/>
    <w:rsid w:val="106D1156"/>
    <w:rsid w:val="14ECB615"/>
    <w:rsid w:val="1811FE07"/>
    <w:rsid w:val="1861BF96"/>
    <w:rsid w:val="1A45C563"/>
    <w:rsid w:val="1AD66CBE"/>
    <w:rsid w:val="1D3C52AA"/>
    <w:rsid w:val="1D7E9F89"/>
    <w:rsid w:val="1DA28723"/>
    <w:rsid w:val="1E9617AB"/>
    <w:rsid w:val="1F90017F"/>
    <w:rsid w:val="1FBDE7EC"/>
    <w:rsid w:val="2421C622"/>
    <w:rsid w:val="2423BD33"/>
    <w:rsid w:val="25551E8E"/>
    <w:rsid w:val="25E5020D"/>
    <w:rsid w:val="261807A0"/>
    <w:rsid w:val="2643044B"/>
    <w:rsid w:val="2A126498"/>
    <w:rsid w:val="2BC67062"/>
    <w:rsid w:val="2C943EF2"/>
    <w:rsid w:val="2DA76298"/>
    <w:rsid w:val="2F2CC665"/>
    <w:rsid w:val="301473BD"/>
    <w:rsid w:val="30D48E09"/>
    <w:rsid w:val="331E354C"/>
    <w:rsid w:val="337F41F8"/>
    <w:rsid w:val="33DA9DC2"/>
    <w:rsid w:val="36B6E2BA"/>
    <w:rsid w:val="36D7CF10"/>
    <w:rsid w:val="39675686"/>
    <w:rsid w:val="39A9BDC9"/>
    <w:rsid w:val="3B00CC83"/>
    <w:rsid w:val="3B7EA7B1"/>
    <w:rsid w:val="3C31C0FA"/>
    <w:rsid w:val="41DE74C6"/>
    <w:rsid w:val="4287DA21"/>
    <w:rsid w:val="448C32B8"/>
    <w:rsid w:val="44B8290D"/>
    <w:rsid w:val="45088614"/>
    <w:rsid w:val="45B402F9"/>
    <w:rsid w:val="462EA328"/>
    <w:rsid w:val="467F34BA"/>
    <w:rsid w:val="46CC6633"/>
    <w:rsid w:val="47774999"/>
    <w:rsid w:val="49690AE7"/>
    <w:rsid w:val="4A45ACBE"/>
    <w:rsid w:val="4D7335E6"/>
    <w:rsid w:val="4F2C111E"/>
    <w:rsid w:val="521F3832"/>
    <w:rsid w:val="53DF3BF3"/>
    <w:rsid w:val="563B1BF0"/>
    <w:rsid w:val="567C2258"/>
    <w:rsid w:val="583AA405"/>
    <w:rsid w:val="586029D4"/>
    <w:rsid w:val="591EF359"/>
    <w:rsid w:val="5B9CD2C3"/>
    <w:rsid w:val="5C06655D"/>
    <w:rsid w:val="5D1D799C"/>
    <w:rsid w:val="5E78B72A"/>
    <w:rsid w:val="6070B631"/>
    <w:rsid w:val="6240C8E3"/>
    <w:rsid w:val="6363C0DB"/>
    <w:rsid w:val="636A43C7"/>
    <w:rsid w:val="63A7E4A8"/>
    <w:rsid w:val="6489E73E"/>
    <w:rsid w:val="653911B7"/>
    <w:rsid w:val="68B749C9"/>
    <w:rsid w:val="6AD8D50A"/>
    <w:rsid w:val="6B55AA63"/>
    <w:rsid w:val="6BBAE413"/>
    <w:rsid w:val="6CC51F52"/>
    <w:rsid w:val="6D0B62DD"/>
    <w:rsid w:val="6D56B474"/>
    <w:rsid w:val="6E60EFB3"/>
    <w:rsid w:val="704DBDB9"/>
    <w:rsid w:val="707EF33D"/>
    <w:rsid w:val="711E21C5"/>
    <w:rsid w:val="72997971"/>
    <w:rsid w:val="72FCD2A7"/>
    <w:rsid w:val="7623AE6A"/>
    <w:rsid w:val="76EE7797"/>
    <w:rsid w:val="7764709F"/>
    <w:rsid w:val="77F7AB91"/>
    <w:rsid w:val="7B84F64A"/>
    <w:rsid w:val="7C8EC542"/>
    <w:rsid w:val="7CD0D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992D9"/>
  <w15:chartTrackingRefBased/>
  <w15:docId w15:val="{004D2717-778F-41CE-ACB4-56B306BA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A9A"/>
    <w:pPr>
      <w:spacing w:before="40" w:after="40" w:line="240" w:lineRule="auto"/>
    </w:pPr>
    <w:rPr>
      <w:rFonts w:ascii="Calibri" w:eastAsia="Dotum" w:hAnsi="Calibri" w:cs="Calibri"/>
    </w:rPr>
  </w:style>
  <w:style w:type="paragraph" w:styleId="Heading1">
    <w:name w:val="heading 1"/>
    <w:basedOn w:val="Normal"/>
    <w:next w:val="Normal"/>
    <w:link w:val="Heading1Char"/>
    <w:autoRedefine/>
    <w:uiPriority w:val="9"/>
    <w:qFormat/>
    <w:rsid w:val="00BC59DF"/>
    <w:pPr>
      <w:keepNext/>
      <w:keepLines/>
      <w:numPr>
        <w:numId w:val="1"/>
      </w:numPr>
      <w:spacing w:before="240" w:after="120"/>
      <w:outlineLvl w:val="0"/>
    </w:pPr>
    <w:rPr>
      <w:rFonts w:eastAsia="Calibri"/>
      <w:bCs/>
      <w:lang w:val="en-US"/>
    </w:rPr>
  </w:style>
  <w:style w:type="paragraph" w:styleId="Heading2">
    <w:name w:val="heading 2"/>
    <w:next w:val="Normal"/>
    <w:link w:val="Heading2Char"/>
    <w:autoRedefine/>
    <w:uiPriority w:val="9"/>
    <w:unhideWhenUsed/>
    <w:qFormat/>
    <w:rsid w:val="004F3665"/>
    <w:pPr>
      <w:numPr>
        <w:ilvl w:val="1"/>
        <w:numId w:val="2"/>
      </w:numPr>
      <w:spacing w:before="120" w:after="120" w:line="240" w:lineRule="auto"/>
      <w:outlineLvl w:val="1"/>
    </w:pPr>
    <w:rPr>
      <w:rFonts w:ascii="Calibri" w:eastAsia="Dotum" w:hAnsi="Calibri" w:cs="Arial"/>
      <w:b/>
      <w:sz w:val="28"/>
      <w:szCs w:val="36"/>
    </w:rPr>
  </w:style>
  <w:style w:type="paragraph" w:styleId="Heading3">
    <w:name w:val="heading 3"/>
    <w:basedOn w:val="Normal"/>
    <w:next w:val="Normal"/>
    <w:link w:val="Heading3Char"/>
    <w:uiPriority w:val="9"/>
    <w:unhideWhenUsed/>
    <w:qFormat/>
    <w:rsid w:val="00430A43"/>
    <w:pPr>
      <w:numPr>
        <w:ilvl w:val="2"/>
        <w:numId w:val="2"/>
      </w:numPr>
      <w:spacing w:before="120" w:after="120"/>
      <w:outlineLvl w:val="2"/>
    </w:pPr>
    <w:rPr>
      <w:rFonts w:cs="Arial"/>
      <w:b/>
      <w:sz w:val="24"/>
      <w:szCs w:val="28"/>
    </w:rPr>
  </w:style>
  <w:style w:type="paragraph" w:styleId="Heading4">
    <w:name w:val="heading 4"/>
    <w:basedOn w:val="Normal"/>
    <w:next w:val="Normal"/>
    <w:link w:val="Heading4Char"/>
    <w:uiPriority w:val="9"/>
    <w:unhideWhenUsed/>
    <w:qFormat/>
    <w:rsid w:val="00430A43"/>
    <w:pPr>
      <w:numPr>
        <w:ilvl w:val="3"/>
        <w:numId w:val="2"/>
      </w:numPr>
      <w:spacing w:after="0"/>
      <w:outlineLvl w:val="3"/>
    </w:pPr>
    <w:rPr>
      <w:rFonts w:ascii="Arial" w:hAnsi="Arial" w:cs="Arial"/>
      <w:b/>
    </w:rPr>
  </w:style>
  <w:style w:type="paragraph" w:styleId="Heading5">
    <w:name w:val="heading 5"/>
    <w:aliases w:val="Appendix"/>
    <w:basedOn w:val="Normal"/>
    <w:next w:val="Normal"/>
    <w:link w:val="Heading5Char"/>
    <w:autoRedefine/>
    <w:uiPriority w:val="9"/>
    <w:semiHidden/>
    <w:unhideWhenUsed/>
    <w:qFormat/>
    <w:rsid w:val="00430A43"/>
    <w:pPr>
      <w:keepNext/>
      <w:keepLines/>
      <w:spacing w:before="200" w:after="0"/>
      <w:ind w:left="1008" w:hanging="1008"/>
      <w:outlineLvl w:val="4"/>
    </w:pPr>
    <w:rPr>
      <w:rFonts w:eastAsiaTheme="majorEastAsia" w:cstheme="majorBidi"/>
      <w:color w:val="000000" w:themeColor="text1"/>
      <w:sz w:val="36"/>
    </w:rPr>
  </w:style>
  <w:style w:type="paragraph" w:styleId="Heading6">
    <w:name w:val="heading 6"/>
    <w:basedOn w:val="Normal"/>
    <w:next w:val="Normal"/>
    <w:link w:val="Heading6Char"/>
    <w:uiPriority w:val="9"/>
    <w:semiHidden/>
    <w:unhideWhenUsed/>
    <w:qFormat/>
    <w:rsid w:val="00430A43"/>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30A4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0A4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0A4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9DF"/>
    <w:rPr>
      <w:rFonts w:ascii="Calibri" w:eastAsia="Calibri" w:hAnsi="Calibri" w:cs="Calibri"/>
      <w:bCs/>
      <w:lang w:val="en-US"/>
    </w:rPr>
  </w:style>
  <w:style w:type="character" w:customStyle="1" w:styleId="Heading2Char">
    <w:name w:val="Heading 2 Char"/>
    <w:basedOn w:val="DefaultParagraphFont"/>
    <w:link w:val="Heading2"/>
    <w:uiPriority w:val="9"/>
    <w:rsid w:val="004F3665"/>
    <w:rPr>
      <w:rFonts w:ascii="Calibri" w:eastAsia="Dotum" w:hAnsi="Calibri" w:cs="Arial"/>
      <w:b/>
      <w:sz w:val="28"/>
      <w:szCs w:val="36"/>
    </w:rPr>
  </w:style>
  <w:style w:type="character" w:customStyle="1" w:styleId="Heading3Char">
    <w:name w:val="Heading 3 Char"/>
    <w:basedOn w:val="DefaultParagraphFont"/>
    <w:link w:val="Heading3"/>
    <w:uiPriority w:val="9"/>
    <w:rsid w:val="00430A43"/>
    <w:rPr>
      <w:rFonts w:ascii="Calibri" w:eastAsia="Dotum" w:hAnsi="Calibri" w:cs="Arial"/>
      <w:b/>
      <w:sz w:val="24"/>
      <w:szCs w:val="28"/>
    </w:rPr>
  </w:style>
  <w:style w:type="character" w:customStyle="1" w:styleId="Heading4Char">
    <w:name w:val="Heading 4 Char"/>
    <w:basedOn w:val="DefaultParagraphFont"/>
    <w:link w:val="Heading4"/>
    <w:uiPriority w:val="9"/>
    <w:rsid w:val="00430A43"/>
    <w:rPr>
      <w:rFonts w:ascii="Arial" w:eastAsia="Dotum" w:hAnsi="Arial" w:cs="Arial"/>
      <w:b/>
    </w:rPr>
  </w:style>
  <w:style w:type="character" w:customStyle="1" w:styleId="Heading5Char">
    <w:name w:val="Heading 5 Char"/>
    <w:aliases w:val="Appendix Char"/>
    <w:basedOn w:val="DefaultParagraphFont"/>
    <w:link w:val="Heading5"/>
    <w:uiPriority w:val="9"/>
    <w:semiHidden/>
    <w:rsid w:val="00430A43"/>
    <w:rPr>
      <w:rFonts w:ascii="Calibri" w:eastAsiaTheme="majorEastAsia" w:hAnsi="Calibri" w:cstheme="majorBidi"/>
      <w:color w:val="000000" w:themeColor="text1"/>
      <w:sz w:val="36"/>
    </w:rPr>
  </w:style>
  <w:style w:type="character" w:customStyle="1" w:styleId="Heading6Char">
    <w:name w:val="Heading 6 Char"/>
    <w:basedOn w:val="DefaultParagraphFont"/>
    <w:link w:val="Heading6"/>
    <w:uiPriority w:val="9"/>
    <w:semiHidden/>
    <w:rsid w:val="00430A4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30A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0A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0A4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430A43"/>
    <w:rPr>
      <w:color w:val="0563C1" w:themeColor="hyperlink"/>
      <w:u w:val="single"/>
    </w:rPr>
  </w:style>
  <w:style w:type="character" w:styleId="FollowedHyperlink">
    <w:name w:val="FollowedHyperlink"/>
    <w:basedOn w:val="DefaultParagraphFont"/>
    <w:uiPriority w:val="99"/>
    <w:semiHidden/>
    <w:unhideWhenUsed/>
    <w:rsid w:val="00430A43"/>
    <w:rPr>
      <w:color w:val="954F72" w:themeColor="followedHyperlink"/>
      <w:u w:val="single"/>
    </w:rPr>
  </w:style>
  <w:style w:type="character" w:customStyle="1" w:styleId="Heading5Char1">
    <w:name w:val="Heading 5 Char1"/>
    <w:aliases w:val="Appendix Char1"/>
    <w:basedOn w:val="DefaultParagraphFont"/>
    <w:uiPriority w:val="9"/>
    <w:semiHidden/>
    <w:rsid w:val="00430A43"/>
    <w:rPr>
      <w:rFonts w:asciiTheme="majorHAnsi" w:eastAsiaTheme="majorEastAsia" w:hAnsiTheme="majorHAnsi" w:cstheme="majorBidi"/>
      <w:color w:val="2F5496" w:themeColor="accent1" w:themeShade="BF"/>
      <w:sz w:val="22"/>
      <w:szCs w:val="22"/>
    </w:rPr>
  </w:style>
  <w:style w:type="paragraph" w:customStyle="1" w:styleId="msonormal0">
    <w:name w:val="msonormal"/>
    <w:basedOn w:val="Normal"/>
    <w:rsid w:val="00430A43"/>
    <w:pPr>
      <w:spacing w:before="100" w:beforeAutospacing="1" w:after="100" w:afterAutospacing="1"/>
    </w:pPr>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unhideWhenUsed/>
    <w:rsid w:val="00430A43"/>
    <w:pPr>
      <w:spacing w:after="100"/>
    </w:pPr>
  </w:style>
  <w:style w:type="paragraph" w:styleId="TOC2">
    <w:name w:val="toc 2"/>
    <w:basedOn w:val="Normal"/>
    <w:next w:val="Normal"/>
    <w:autoRedefine/>
    <w:uiPriority w:val="39"/>
    <w:unhideWhenUsed/>
    <w:rsid w:val="00430A43"/>
    <w:pPr>
      <w:spacing w:after="100"/>
      <w:ind w:left="220"/>
    </w:pPr>
  </w:style>
  <w:style w:type="paragraph" w:styleId="TOC3">
    <w:name w:val="toc 3"/>
    <w:basedOn w:val="Normal"/>
    <w:next w:val="Normal"/>
    <w:autoRedefine/>
    <w:uiPriority w:val="39"/>
    <w:unhideWhenUsed/>
    <w:rsid w:val="00430A43"/>
    <w:pPr>
      <w:spacing w:after="100"/>
      <w:ind w:left="440"/>
    </w:pPr>
  </w:style>
  <w:style w:type="paragraph" w:styleId="CommentText">
    <w:name w:val="annotation text"/>
    <w:basedOn w:val="Normal"/>
    <w:link w:val="CommentTextChar"/>
    <w:uiPriority w:val="99"/>
    <w:unhideWhenUsed/>
    <w:rsid w:val="00430A43"/>
    <w:pPr>
      <w:spacing w:before="0"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30A43"/>
    <w:rPr>
      <w:sz w:val="20"/>
      <w:szCs w:val="20"/>
    </w:rPr>
  </w:style>
  <w:style w:type="paragraph" w:styleId="Header">
    <w:name w:val="header"/>
    <w:basedOn w:val="Normal"/>
    <w:link w:val="HeaderChar"/>
    <w:uiPriority w:val="99"/>
    <w:unhideWhenUsed/>
    <w:rsid w:val="00430A43"/>
    <w:pPr>
      <w:tabs>
        <w:tab w:val="center" w:pos="4513"/>
        <w:tab w:val="right" w:pos="9026"/>
      </w:tabs>
      <w:spacing w:after="0"/>
    </w:pPr>
  </w:style>
  <w:style w:type="character" w:customStyle="1" w:styleId="HeaderChar">
    <w:name w:val="Header Char"/>
    <w:basedOn w:val="DefaultParagraphFont"/>
    <w:link w:val="Header"/>
    <w:uiPriority w:val="99"/>
    <w:rsid w:val="00430A43"/>
    <w:rPr>
      <w:rFonts w:ascii="Calibri" w:eastAsia="Dotum" w:hAnsi="Calibri" w:cs="Calibri"/>
    </w:rPr>
  </w:style>
  <w:style w:type="paragraph" w:styleId="Footer">
    <w:name w:val="footer"/>
    <w:basedOn w:val="Normal"/>
    <w:link w:val="FooterChar"/>
    <w:uiPriority w:val="99"/>
    <w:unhideWhenUsed/>
    <w:rsid w:val="00430A43"/>
    <w:pPr>
      <w:tabs>
        <w:tab w:val="center" w:pos="4513"/>
        <w:tab w:val="right" w:pos="9026"/>
      </w:tabs>
      <w:spacing w:after="0"/>
    </w:pPr>
    <w:rPr>
      <w:sz w:val="16"/>
    </w:rPr>
  </w:style>
  <w:style w:type="character" w:customStyle="1" w:styleId="FooterChar">
    <w:name w:val="Footer Char"/>
    <w:basedOn w:val="DefaultParagraphFont"/>
    <w:link w:val="Footer"/>
    <w:uiPriority w:val="99"/>
    <w:rsid w:val="00430A43"/>
    <w:rPr>
      <w:rFonts w:ascii="Calibri" w:eastAsia="Dotum" w:hAnsi="Calibri" w:cs="Calibri"/>
      <w:sz w:val="16"/>
    </w:rPr>
  </w:style>
  <w:style w:type="paragraph" w:styleId="Title">
    <w:name w:val="Title"/>
    <w:basedOn w:val="Normal"/>
    <w:next w:val="Normal"/>
    <w:link w:val="TitleChar"/>
    <w:uiPriority w:val="10"/>
    <w:qFormat/>
    <w:rsid w:val="00430A43"/>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430A43"/>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30A43"/>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30A43"/>
    <w:rPr>
      <w:rFonts w:asciiTheme="majorHAnsi" w:eastAsiaTheme="majorEastAsia" w:hAnsiTheme="majorHAnsi" w:cstheme="majorBidi"/>
      <w:i/>
      <w:iCs/>
      <w:color w:val="C60C30"/>
      <w:spacing w:val="15"/>
      <w:sz w:val="24"/>
      <w:szCs w:val="24"/>
    </w:rPr>
  </w:style>
  <w:style w:type="paragraph" w:styleId="CommentSubject">
    <w:name w:val="annotation subject"/>
    <w:basedOn w:val="CommentText"/>
    <w:next w:val="CommentText"/>
    <w:link w:val="CommentSubjectChar"/>
    <w:uiPriority w:val="99"/>
    <w:semiHidden/>
    <w:unhideWhenUsed/>
    <w:rsid w:val="00430A43"/>
    <w:rPr>
      <w:b/>
      <w:bCs/>
    </w:rPr>
  </w:style>
  <w:style w:type="character" w:customStyle="1" w:styleId="CommentSubjectChar">
    <w:name w:val="Comment Subject Char"/>
    <w:basedOn w:val="CommentTextChar"/>
    <w:link w:val="CommentSubject"/>
    <w:uiPriority w:val="99"/>
    <w:semiHidden/>
    <w:rsid w:val="00430A43"/>
    <w:rPr>
      <w:b/>
      <w:bCs/>
      <w:sz w:val="20"/>
      <w:szCs w:val="20"/>
    </w:rPr>
  </w:style>
  <w:style w:type="paragraph" w:styleId="BalloonText">
    <w:name w:val="Balloon Text"/>
    <w:basedOn w:val="Normal"/>
    <w:link w:val="BalloonTextChar"/>
    <w:uiPriority w:val="99"/>
    <w:semiHidden/>
    <w:unhideWhenUsed/>
    <w:rsid w:val="00430A4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43"/>
    <w:rPr>
      <w:rFonts w:ascii="Segoe UI" w:eastAsia="Dotum" w:hAnsi="Segoe UI" w:cs="Segoe UI"/>
      <w:sz w:val="18"/>
      <w:szCs w:val="18"/>
    </w:rPr>
  </w:style>
  <w:style w:type="paragraph" w:styleId="Revision">
    <w:name w:val="Revision"/>
    <w:uiPriority w:val="99"/>
    <w:semiHidden/>
    <w:rsid w:val="00430A43"/>
    <w:pPr>
      <w:spacing w:after="0" w:line="240" w:lineRule="auto"/>
    </w:pPr>
    <w:rPr>
      <w:rFonts w:ascii="Calibri" w:eastAsia="Dotum" w:hAnsi="Calibri" w:cs="Calibri"/>
    </w:rPr>
  </w:style>
  <w:style w:type="character" w:customStyle="1" w:styleId="ListParagraphChar">
    <w:name w:val="List Paragraph Char"/>
    <w:basedOn w:val="DefaultParagraphFont"/>
    <w:link w:val="ListParagraph"/>
    <w:uiPriority w:val="34"/>
    <w:locked/>
    <w:rsid w:val="00430A43"/>
    <w:rPr>
      <w:rFonts w:ascii="Calibri" w:eastAsia="Dotum" w:hAnsi="Calibri" w:cs="Calibri"/>
    </w:rPr>
  </w:style>
  <w:style w:type="paragraph" w:styleId="ListParagraph">
    <w:name w:val="List Paragraph"/>
    <w:basedOn w:val="Normal"/>
    <w:link w:val="ListParagraphChar"/>
    <w:uiPriority w:val="34"/>
    <w:qFormat/>
    <w:rsid w:val="00430A43"/>
    <w:pPr>
      <w:ind w:left="720"/>
      <w:contextualSpacing/>
    </w:pPr>
  </w:style>
  <w:style w:type="paragraph" w:styleId="TOCHeading">
    <w:name w:val="TOC Heading"/>
    <w:basedOn w:val="Heading1"/>
    <w:next w:val="Normal"/>
    <w:autoRedefine/>
    <w:uiPriority w:val="39"/>
    <w:semiHidden/>
    <w:unhideWhenUsed/>
    <w:qFormat/>
    <w:rsid w:val="00430A43"/>
    <w:pPr>
      <w:numPr>
        <w:numId w:val="0"/>
      </w:numPr>
      <w:spacing w:after="0" w:line="256" w:lineRule="auto"/>
      <w:outlineLvl w:val="9"/>
    </w:pPr>
    <w:rPr>
      <w:sz w:val="32"/>
    </w:rPr>
  </w:style>
  <w:style w:type="character" w:styleId="CommentReference">
    <w:name w:val="annotation reference"/>
    <w:basedOn w:val="DefaultParagraphFont"/>
    <w:uiPriority w:val="99"/>
    <w:semiHidden/>
    <w:unhideWhenUsed/>
    <w:rsid w:val="00430A43"/>
    <w:rPr>
      <w:sz w:val="16"/>
      <w:szCs w:val="16"/>
    </w:rPr>
  </w:style>
  <w:style w:type="table" w:styleId="TableGrid">
    <w:name w:val="Table Grid"/>
    <w:basedOn w:val="TableNormal"/>
    <w:uiPriority w:val="39"/>
    <w:rsid w:val="00430A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30A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0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7590">
      <w:bodyDiv w:val="1"/>
      <w:marLeft w:val="0"/>
      <w:marRight w:val="0"/>
      <w:marTop w:val="0"/>
      <w:marBottom w:val="0"/>
      <w:divBdr>
        <w:top w:val="none" w:sz="0" w:space="0" w:color="auto"/>
        <w:left w:val="none" w:sz="0" w:space="0" w:color="auto"/>
        <w:bottom w:val="none" w:sz="0" w:space="0" w:color="auto"/>
        <w:right w:val="none" w:sz="0" w:space="0" w:color="auto"/>
      </w:divBdr>
    </w:div>
    <w:div w:id="59137670">
      <w:bodyDiv w:val="1"/>
      <w:marLeft w:val="0"/>
      <w:marRight w:val="0"/>
      <w:marTop w:val="0"/>
      <w:marBottom w:val="0"/>
      <w:divBdr>
        <w:top w:val="none" w:sz="0" w:space="0" w:color="auto"/>
        <w:left w:val="none" w:sz="0" w:space="0" w:color="auto"/>
        <w:bottom w:val="none" w:sz="0" w:space="0" w:color="auto"/>
        <w:right w:val="none" w:sz="0" w:space="0" w:color="auto"/>
      </w:divBdr>
    </w:div>
    <w:div w:id="65417908">
      <w:bodyDiv w:val="1"/>
      <w:marLeft w:val="0"/>
      <w:marRight w:val="0"/>
      <w:marTop w:val="0"/>
      <w:marBottom w:val="0"/>
      <w:divBdr>
        <w:top w:val="none" w:sz="0" w:space="0" w:color="auto"/>
        <w:left w:val="none" w:sz="0" w:space="0" w:color="auto"/>
        <w:bottom w:val="none" w:sz="0" w:space="0" w:color="auto"/>
        <w:right w:val="none" w:sz="0" w:space="0" w:color="auto"/>
      </w:divBdr>
    </w:div>
    <w:div w:id="98064470">
      <w:bodyDiv w:val="1"/>
      <w:marLeft w:val="0"/>
      <w:marRight w:val="0"/>
      <w:marTop w:val="0"/>
      <w:marBottom w:val="0"/>
      <w:divBdr>
        <w:top w:val="none" w:sz="0" w:space="0" w:color="auto"/>
        <w:left w:val="none" w:sz="0" w:space="0" w:color="auto"/>
        <w:bottom w:val="none" w:sz="0" w:space="0" w:color="auto"/>
        <w:right w:val="none" w:sz="0" w:space="0" w:color="auto"/>
      </w:divBdr>
    </w:div>
    <w:div w:id="207225022">
      <w:bodyDiv w:val="1"/>
      <w:marLeft w:val="0"/>
      <w:marRight w:val="0"/>
      <w:marTop w:val="0"/>
      <w:marBottom w:val="0"/>
      <w:divBdr>
        <w:top w:val="none" w:sz="0" w:space="0" w:color="auto"/>
        <w:left w:val="none" w:sz="0" w:space="0" w:color="auto"/>
        <w:bottom w:val="none" w:sz="0" w:space="0" w:color="auto"/>
        <w:right w:val="none" w:sz="0" w:space="0" w:color="auto"/>
      </w:divBdr>
    </w:div>
    <w:div w:id="209616087">
      <w:bodyDiv w:val="1"/>
      <w:marLeft w:val="0"/>
      <w:marRight w:val="0"/>
      <w:marTop w:val="0"/>
      <w:marBottom w:val="0"/>
      <w:divBdr>
        <w:top w:val="none" w:sz="0" w:space="0" w:color="auto"/>
        <w:left w:val="none" w:sz="0" w:space="0" w:color="auto"/>
        <w:bottom w:val="none" w:sz="0" w:space="0" w:color="auto"/>
        <w:right w:val="none" w:sz="0" w:space="0" w:color="auto"/>
      </w:divBdr>
    </w:div>
    <w:div w:id="260724045">
      <w:bodyDiv w:val="1"/>
      <w:marLeft w:val="0"/>
      <w:marRight w:val="0"/>
      <w:marTop w:val="0"/>
      <w:marBottom w:val="0"/>
      <w:divBdr>
        <w:top w:val="none" w:sz="0" w:space="0" w:color="auto"/>
        <w:left w:val="none" w:sz="0" w:space="0" w:color="auto"/>
        <w:bottom w:val="none" w:sz="0" w:space="0" w:color="auto"/>
        <w:right w:val="none" w:sz="0" w:space="0" w:color="auto"/>
      </w:divBdr>
    </w:div>
    <w:div w:id="266429919">
      <w:bodyDiv w:val="1"/>
      <w:marLeft w:val="0"/>
      <w:marRight w:val="0"/>
      <w:marTop w:val="0"/>
      <w:marBottom w:val="0"/>
      <w:divBdr>
        <w:top w:val="none" w:sz="0" w:space="0" w:color="auto"/>
        <w:left w:val="none" w:sz="0" w:space="0" w:color="auto"/>
        <w:bottom w:val="none" w:sz="0" w:space="0" w:color="auto"/>
        <w:right w:val="none" w:sz="0" w:space="0" w:color="auto"/>
      </w:divBdr>
    </w:div>
    <w:div w:id="285428998">
      <w:bodyDiv w:val="1"/>
      <w:marLeft w:val="0"/>
      <w:marRight w:val="0"/>
      <w:marTop w:val="0"/>
      <w:marBottom w:val="0"/>
      <w:divBdr>
        <w:top w:val="none" w:sz="0" w:space="0" w:color="auto"/>
        <w:left w:val="none" w:sz="0" w:space="0" w:color="auto"/>
        <w:bottom w:val="none" w:sz="0" w:space="0" w:color="auto"/>
        <w:right w:val="none" w:sz="0" w:space="0" w:color="auto"/>
      </w:divBdr>
    </w:div>
    <w:div w:id="285628333">
      <w:bodyDiv w:val="1"/>
      <w:marLeft w:val="0"/>
      <w:marRight w:val="0"/>
      <w:marTop w:val="0"/>
      <w:marBottom w:val="0"/>
      <w:divBdr>
        <w:top w:val="none" w:sz="0" w:space="0" w:color="auto"/>
        <w:left w:val="none" w:sz="0" w:space="0" w:color="auto"/>
        <w:bottom w:val="none" w:sz="0" w:space="0" w:color="auto"/>
        <w:right w:val="none" w:sz="0" w:space="0" w:color="auto"/>
      </w:divBdr>
    </w:div>
    <w:div w:id="312486026">
      <w:bodyDiv w:val="1"/>
      <w:marLeft w:val="0"/>
      <w:marRight w:val="0"/>
      <w:marTop w:val="0"/>
      <w:marBottom w:val="0"/>
      <w:divBdr>
        <w:top w:val="none" w:sz="0" w:space="0" w:color="auto"/>
        <w:left w:val="none" w:sz="0" w:space="0" w:color="auto"/>
        <w:bottom w:val="none" w:sz="0" w:space="0" w:color="auto"/>
        <w:right w:val="none" w:sz="0" w:space="0" w:color="auto"/>
      </w:divBdr>
    </w:div>
    <w:div w:id="331108438">
      <w:bodyDiv w:val="1"/>
      <w:marLeft w:val="0"/>
      <w:marRight w:val="0"/>
      <w:marTop w:val="0"/>
      <w:marBottom w:val="0"/>
      <w:divBdr>
        <w:top w:val="none" w:sz="0" w:space="0" w:color="auto"/>
        <w:left w:val="none" w:sz="0" w:space="0" w:color="auto"/>
        <w:bottom w:val="none" w:sz="0" w:space="0" w:color="auto"/>
        <w:right w:val="none" w:sz="0" w:space="0" w:color="auto"/>
      </w:divBdr>
    </w:div>
    <w:div w:id="334455368">
      <w:bodyDiv w:val="1"/>
      <w:marLeft w:val="0"/>
      <w:marRight w:val="0"/>
      <w:marTop w:val="0"/>
      <w:marBottom w:val="0"/>
      <w:divBdr>
        <w:top w:val="none" w:sz="0" w:space="0" w:color="auto"/>
        <w:left w:val="none" w:sz="0" w:space="0" w:color="auto"/>
        <w:bottom w:val="none" w:sz="0" w:space="0" w:color="auto"/>
        <w:right w:val="none" w:sz="0" w:space="0" w:color="auto"/>
      </w:divBdr>
    </w:div>
    <w:div w:id="344136459">
      <w:bodyDiv w:val="1"/>
      <w:marLeft w:val="0"/>
      <w:marRight w:val="0"/>
      <w:marTop w:val="0"/>
      <w:marBottom w:val="0"/>
      <w:divBdr>
        <w:top w:val="none" w:sz="0" w:space="0" w:color="auto"/>
        <w:left w:val="none" w:sz="0" w:space="0" w:color="auto"/>
        <w:bottom w:val="none" w:sz="0" w:space="0" w:color="auto"/>
        <w:right w:val="none" w:sz="0" w:space="0" w:color="auto"/>
      </w:divBdr>
    </w:div>
    <w:div w:id="345451485">
      <w:bodyDiv w:val="1"/>
      <w:marLeft w:val="0"/>
      <w:marRight w:val="0"/>
      <w:marTop w:val="0"/>
      <w:marBottom w:val="0"/>
      <w:divBdr>
        <w:top w:val="none" w:sz="0" w:space="0" w:color="auto"/>
        <w:left w:val="none" w:sz="0" w:space="0" w:color="auto"/>
        <w:bottom w:val="none" w:sz="0" w:space="0" w:color="auto"/>
        <w:right w:val="none" w:sz="0" w:space="0" w:color="auto"/>
      </w:divBdr>
    </w:div>
    <w:div w:id="346754300">
      <w:bodyDiv w:val="1"/>
      <w:marLeft w:val="0"/>
      <w:marRight w:val="0"/>
      <w:marTop w:val="0"/>
      <w:marBottom w:val="0"/>
      <w:divBdr>
        <w:top w:val="none" w:sz="0" w:space="0" w:color="auto"/>
        <w:left w:val="none" w:sz="0" w:space="0" w:color="auto"/>
        <w:bottom w:val="none" w:sz="0" w:space="0" w:color="auto"/>
        <w:right w:val="none" w:sz="0" w:space="0" w:color="auto"/>
      </w:divBdr>
    </w:div>
    <w:div w:id="352387088">
      <w:bodyDiv w:val="1"/>
      <w:marLeft w:val="0"/>
      <w:marRight w:val="0"/>
      <w:marTop w:val="0"/>
      <w:marBottom w:val="0"/>
      <w:divBdr>
        <w:top w:val="none" w:sz="0" w:space="0" w:color="auto"/>
        <w:left w:val="none" w:sz="0" w:space="0" w:color="auto"/>
        <w:bottom w:val="none" w:sz="0" w:space="0" w:color="auto"/>
        <w:right w:val="none" w:sz="0" w:space="0" w:color="auto"/>
      </w:divBdr>
    </w:div>
    <w:div w:id="381248279">
      <w:bodyDiv w:val="1"/>
      <w:marLeft w:val="0"/>
      <w:marRight w:val="0"/>
      <w:marTop w:val="0"/>
      <w:marBottom w:val="0"/>
      <w:divBdr>
        <w:top w:val="none" w:sz="0" w:space="0" w:color="auto"/>
        <w:left w:val="none" w:sz="0" w:space="0" w:color="auto"/>
        <w:bottom w:val="none" w:sz="0" w:space="0" w:color="auto"/>
        <w:right w:val="none" w:sz="0" w:space="0" w:color="auto"/>
      </w:divBdr>
    </w:div>
    <w:div w:id="384305284">
      <w:bodyDiv w:val="1"/>
      <w:marLeft w:val="0"/>
      <w:marRight w:val="0"/>
      <w:marTop w:val="0"/>
      <w:marBottom w:val="0"/>
      <w:divBdr>
        <w:top w:val="none" w:sz="0" w:space="0" w:color="auto"/>
        <w:left w:val="none" w:sz="0" w:space="0" w:color="auto"/>
        <w:bottom w:val="none" w:sz="0" w:space="0" w:color="auto"/>
        <w:right w:val="none" w:sz="0" w:space="0" w:color="auto"/>
      </w:divBdr>
    </w:div>
    <w:div w:id="386223404">
      <w:bodyDiv w:val="1"/>
      <w:marLeft w:val="0"/>
      <w:marRight w:val="0"/>
      <w:marTop w:val="0"/>
      <w:marBottom w:val="0"/>
      <w:divBdr>
        <w:top w:val="none" w:sz="0" w:space="0" w:color="auto"/>
        <w:left w:val="none" w:sz="0" w:space="0" w:color="auto"/>
        <w:bottom w:val="none" w:sz="0" w:space="0" w:color="auto"/>
        <w:right w:val="none" w:sz="0" w:space="0" w:color="auto"/>
      </w:divBdr>
    </w:div>
    <w:div w:id="444811323">
      <w:bodyDiv w:val="1"/>
      <w:marLeft w:val="0"/>
      <w:marRight w:val="0"/>
      <w:marTop w:val="0"/>
      <w:marBottom w:val="0"/>
      <w:divBdr>
        <w:top w:val="none" w:sz="0" w:space="0" w:color="auto"/>
        <w:left w:val="none" w:sz="0" w:space="0" w:color="auto"/>
        <w:bottom w:val="none" w:sz="0" w:space="0" w:color="auto"/>
        <w:right w:val="none" w:sz="0" w:space="0" w:color="auto"/>
      </w:divBdr>
    </w:div>
    <w:div w:id="496502462">
      <w:bodyDiv w:val="1"/>
      <w:marLeft w:val="0"/>
      <w:marRight w:val="0"/>
      <w:marTop w:val="0"/>
      <w:marBottom w:val="0"/>
      <w:divBdr>
        <w:top w:val="none" w:sz="0" w:space="0" w:color="auto"/>
        <w:left w:val="none" w:sz="0" w:space="0" w:color="auto"/>
        <w:bottom w:val="none" w:sz="0" w:space="0" w:color="auto"/>
        <w:right w:val="none" w:sz="0" w:space="0" w:color="auto"/>
      </w:divBdr>
    </w:div>
    <w:div w:id="511796081">
      <w:bodyDiv w:val="1"/>
      <w:marLeft w:val="0"/>
      <w:marRight w:val="0"/>
      <w:marTop w:val="0"/>
      <w:marBottom w:val="0"/>
      <w:divBdr>
        <w:top w:val="none" w:sz="0" w:space="0" w:color="auto"/>
        <w:left w:val="none" w:sz="0" w:space="0" w:color="auto"/>
        <w:bottom w:val="none" w:sz="0" w:space="0" w:color="auto"/>
        <w:right w:val="none" w:sz="0" w:space="0" w:color="auto"/>
      </w:divBdr>
    </w:div>
    <w:div w:id="512694894">
      <w:bodyDiv w:val="1"/>
      <w:marLeft w:val="0"/>
      <w:marRight w:val="0"/>
      <w:marTop w:val="0"/>
      <w:marBottom w:val="0"/>
      <w:divBdr>
        <w:top w:val="none" w:sz="0" w:space="0" w:color="auto"/>
        <w:left w:val="none" w:sz="0" w:space="0" w:color="auto"/>
        <w:bottom w:val="none" w:sz="0" w:space="0" w:color="auto"/>
        <w:right w:val="none" w:sz="0" w:space="0" w:color="auto"/>
      </w:divBdr>
    </w:div>
    <w:div w:id="529418221">
      <w:bodyDiv w:val="1"/>
      <w:marLeft w:val="0"/>
      <w:marRight w:val="0"/>
      <w:marTop w:val="0"/>
      <w:marBottom w:val="0"/>
      <w:divBdr>
        <w:top w:val="none" w:sz="0" w:space="0" w:color="auto"/>
        <w:left w:val="none" w:sz="0" w:space="0" w:color="auto"/>
        <w:bottom w:val="none" w:sz="0" w:space="0" w:color="auto"/>
        <w:right w:val="none" w:sz="0" w:space="0" w:color="auto"/>
      </w:divBdr>
    </w:div>
    <w:div w:id="533348920">
      <w:bodyDiv w:val="1"/>
      <w:marLeft w:val="0"/>
      <w:marRight w:val="0"/>
      <w:marTop w:val="0"/>
      <w:marBottom w:val="0"/>
      <w:divBdr>
        <w:top w:val="none" w:sz="0" w:space="0" w:color="auto"/>
        <w:left w:val="none" w:sz="0" w:space="0" w:color="auto"/>
        <w:bottom w:val="none" w:sz="0" w:space="0" w:color="auto"/>
        <w:right w:val="none" w:sz="0" w:space="0" w:color="auto"/>
      </w:divBdr>
    </w:div>
    <w:div w:id="536889307">
      <w:bodyDiv w:val="1"/>
      <w:marLeft w:val="0"/>
      <w:marRight w:val="0"/>
      <w:marTop w:val="0"/>
      <w:marBottom w:val="0"/>
      <w:divBdr>
        <w:top w:val="none" w:sz="0" w:space="0" w:color="auto"/>
        <w:left w:val="none" w:sz="0" w:space="0" w:color="auto"/>
        <w:bottom w:val="none" w:sz="0" w:space="0" w:color="auto"/>
        <w:right w:val="none" w:sz="0" w:space="0" w:color="auto"/>
      </w:divBdr>
    </w:div>
    <w:div w:id="542836414">
      <w:bodyDiv w:val="1"/>
      <w:marLeft w:val="0"/>
      <w:marRight w:val="0"/>
      <w:marTop w:val="0"/>
      <w:marBottom w:val="0"/>
      <w:divBdr>
        <w:top w:val="none" w:sz="0" w:space="0" w:color="auto"/>
        <w:left w:val="none" w:sz="0" w:space="0" w:color="auto"/>
        <w:bottom w:val="none" w:sz="0" w:space="0" w:color="auto"/>
        <w:right w:val="none" w:sz="0" w:space="0" w:color="auto"/>
      </w:divBdr>
    </w:div>
    <w:div w:id="593248690">
      <w:bodyDiv w:val="1"/>
      <w:marLeft w:val="0"/>
      <w:marRight w:val="0"/>
      <w:marTop w:val="0"/>
      <w:marBottom w:val="0"/>
      <w:divBdr>
        <w:top w:val="none" w:sz="0" w:space="0" w:color="auto"/>
        <w:left w:val="none" w:sz="0" w:space="0" w:color="auto"/>
        <w:bottom w:val="none" w:sz="0" w:space="0" w:color="auto"/>
        <w:right w:val="none" w:sz="0" w:space="0" w:color="auto"/>
      </w:divBdr>
    </w:div>
    <w:div w:id="626393820">
      <w:bodyDiv w:val="1"/>
      <w:marLeft w:val="0"/>
      <w:marRight w:val="0"/>
      <w:marTop w:val="0"/>
      <w:marBottom w:val="0"/>
      <w:divBdr>
        <w:top w:val="none" w:sz="0" w:space="0" w:color="auto"/>
        <w:left w:val="none" w:sz="0" w:space="0" w:color="auto"/>
        <w:bottom w:val="none" w:sz="0" w:space="0" w:color="auto"/>
        <w:right w:val="none" w:sz="0" w:space="0" w:color="auto"/>
      </w:divBdr>
    </w:div>
    <w:div w:id="667565146">
      <w:bodyDiv w:val="1"/>
      <w:marLeft w:val="0"/>
      <w:marRight w:val="0"/>
      <w:marTop w:val="0"/>
      <w:marBottom w:val="0"/>
      <w:divBdr>
        <w:top w:val="none" w:sz="0" w:space="0" w:color="auto"/>
        <w:left w:val="none" w:sz="0" w:space="0" w:color="auto"/>
        <w:bottom w:val="none" w:sz="0" w:space="0" w:color="auto"/>
        <w:right w:val="none" w:sz="0" w:space="0" w:color="auto"/>
      </w:divBdr>
    </w:div>
    <w:div w:id="716322345">
      <w:bodyDiv w:val="1"/>
      <w:marLeft w:val="0"/>
      <w:marRight w:val="0"/>
      <w:marTop w:val="0"/>
      <w:marBottom w:val="0"/>
      <w:divBdr>
        <w:top w:val="none" w:sz="0" w:space="0" w:color="auto"/>
        <w:left w:val="none" w:sz="0" w:space="0" w:color="auto"/>
        <w:bottom w:val="none" w:sz="0" w:space="0" w:color="auto"/>
        <w:right w:val="none" w:sz="0" w:space="0" w:color="auto"/>
      </w:divBdr>
    </w:div>
    <w:div w:id="729812908">
      <w:bodyDiv w:val="1"/>
      <w:marLeft w:val="0"/>
      <w:marRight w:val="0"/>
      <w:marTop w:val="0"/>
      <w:marBottom w:val="0"/>
      <w:divBdr>
        <w:top w:val="none" w:sz="0" w:space="0" w:color="auto"/>
        <w:left w:val="none" w:sz="0" w:space="0" w:color="auto"/>
        <w:bottom w:val="none" w:sz="0" w:space="0" w:color="auto"/>
        <w:right w:val="none" w:sz="0" w:space="0" w:color="auto"/>
      </w:divBdr>
    </w:div>
    <w:div w:id="741834475">
      <w:bodyDiv w:val="1"/>
      <w:marLeft w:val="0"/>
      <w:marRight w:val="0"/>
      <w:marTop w:val="0"/>
      <w:marBottom w:val="0"/>
      <w:divBdr>
        <w:top w:val="none" w:sz="0" w:space="0" w:color="auto"/>
        <w:left w:val="none" w:sz="0" w:space="0" w:color="auto"/>
        <w:bottom w:val="none" w:sz="0" w:space="0" w:color="auto"/>
        <w:right w:val="none" w:sz="0" w:space="0" w:color="auto"/>
      </w:divBdr>
    </w:div>
    <w:div w:id="769012214">
      <w:bodyDiv w:val="1"/>
      <w:marLeft w:val="0"/>
      <w:marRight w:val="0"/>
      <w:marTop w:val="0"/>
      <w:marBottom w:val="0"/>
      <w:divBdr>
        <w:top w:val="none" w:sz="0" w:space="0" w:color="auto"/>
        <w:left w:val="none" w:sz="0" w:space="0" w:color="auto"/>
        <w:bottom w:val="none" w:sz="0" w:space="0" w:color="auto"/>
        <w:right w:val="none" w:sz="0" w:space="0" w:color="auto"/>
      </w:divBdr>
    </w:div>
    <w:div w:id="789586966">
      <w:bodyDiv w:val="1"/>
      <w:marLeft w:val="0"/>
      <w:marRight w:val="0"/>
      <w:marTop w:val="0"/>
      <w:marBottom w:val="0"/>
      <w:divBdr>
        <w:top w:val="none" w:sz="0" w:space="0" w:color="auto"/>
        <w:left w:val="none" w:sz="0" w:space="0" w:color="auto"/>
        <w:bottom w:val="none" w:sz="0" w:space="0" w:color="auto"/>
        <w:right w:val="none" w:sz="0" w:space="0" w:color="auto"/>
      </w:divBdr>
    </w:div>
    <w:div w:id="804201435">
      <w:bodyDiv w:val="1"/>
      <w:marLeft w:val="0"/>
      <w:marRight w:val="0"/>
      <w:marTop w:val="0"/>
      <w:marBottom w:val="0"/>
      <w:divBdr>
        <w:top w:val="none" w:sz="0" w:space="0" w:color="auto"/>
        <w:left w:val="none" w:sz="0" w:space="0" w:color="auto"/>
        <w:bottom w:val="none" w:sz="0" w:space="0" w:color="auto"/>
        <w:right w:val="none" w:sz="0" w:space="0" w:color="auto"/>
      </w:divBdr>
    </w:div>
    <w:div w:id="812336896">
      <w:bodyDiv w:val="1"/>
      <w:marLeft w:val="0"/>
      <w:marRight w:val="0"/>
      <w:marTop w:val="0"/>
      <w:marBottom w:val="0"/>
      <w:divBdr>
        <w:top w:val="none" w:sz="0" w:space="0" w:color="auto"/>
        <w:left w:val="none" w:sz="0" w:space="0" w:color="auto"/>
        <w:bottom w:val="none" w:sz="0" w:space="0" w:color="auto"/>
        <w:right w:val="none" w:sz="0" w:space="0" w:color="auto"/>
      </w:divBdr>
    </w:div>
    <w:div w:id="841773058">
      <w:bodyDiv w:val="1"/>
      <w:marLeft w:val="0"/>
      <w:marRight w:val="0"/>
      <w:marTop w:val="0"/>
      <w:marBottom w:val="0"/>
      <w:divBdr>
        <w:top w:val="none" w:sz="0" w:space="0" w:color="auto"/>
        <w:left w:val="none" w:sz="0" w:space="0" w:color="auto"/>
        <w:bottom w:val="none" w:sz="0" w:space="0" w:color="auto"/>
        <w:right w:val="none" w:sz="0" w:space="0" w:color="auto"/>
      </w:divBdr>
    </w:div>
    <w:div w:id="855189153">
      <w:bodyDiv w:val="1"/>
      <w:marLeft w:val="0"/>
      <w:marRight w:val="0"/>
      <w:marTop w:val="0"/>
      <w:marBottom w:val="0"/>
      <w:divBdr>
        <w:top w:val="none" w:sz="0" w:space="0" w:color="auto"/>
        <w:left w:val="none" w:sz="0" w:space="0" w:color="auto"/>
        <w:bottom w:val="none" w:sz="0" w:space="0" w:color="auto"/>
        <w:right w:val="none" w:sz="0" w:space="0" w:color="auto"/>
      </w:divBdr>
    </w:div>
    <w:div w:id="881403998">
      <w:bodyDiv w:val="1"/>
      <w:marLeft w:val="0"/>
      <w:marRight w:val="0"/>
      <w:marTop w:val="0"/>
      <w:marBottom w:val="0"/>
      <w:divBdr>
        <w:top w:val="none" w:sz="0" w:space="0" w:color="auto"/>
        <w:left w:val="none" w:sz="0" w:space="0" w:color="auto"/>
        <w:bottom w:val="none" w:sz="0" w:space="0" w:color="auto"/>
        <w:right w:val="none" w:sz="0" w:space="0" w:color="auto"/>
      </w:divBdr>
    </w:div>
    <w:div w:id="947542185">
      <w:bodyDiv w:val="1"/>
      <w:marLeft w:val="0"/>
      <w:marRight w:val="0"/>
      <w:marTop w:val="0"/>
      <w:marBottom w:val="0"/>
      <w:divBdr>
        <w:top w:val="none" w:sz="0" w:space="0" w:color="auto"/>
        <w:left w:val="none" w:sz="0" w:space="0" w:color="auto"/>
        <w:bottom w:val="none" w:sz="0" w:space="0" w:color="auto"/>
        <w:right w:val="none" w:sz="0" w:space="0" w:color="auto"/>
      </w:divBdr>
    </w:div>
    <w:div w:id="996415958">
      <w:bodyDiv w:val="1"/>
      <w:marLeft w:val="0"/>
      <w:marRight w:val="0"/>
      <w:marTop w:val="0"/>
      <w:marBottom w:val="0"/>
      <w:divBdr>
        <w:top w:val="none" w:sz="0" w:space="0" w:color="auto"/>
        <w:left w:val="none" w:sz="0" w:space="0" w:color="auto"/>
        <w:bottom w:val="none" w:sz="0" w:space="0" w:color="auto"/>
        <w:right w:val="none" w:sz="0" w:space="0" w:color="auto"/>
      </w:divBdr>
    </w:div>
    <w:div w:id="1013193413">
      <w:bodyDiv w:val="1"/>
      <w:marLeft w:val="0"/>
      <w:marRight w:val="0"/>
      <w:marTop w:val="0"/>
      <w:marBottom w:val="0"/>
      <w:divBdr>
        <w:top w:val="none" w:sz="0" w:space="0" w:color="auto"/>
        <w:left w:val="none" w:sz="0" w:space="0" w:color="auto"/>
        <w:bottom w:val="none" w:sz="0" w:space="0" w:color="auto"/>
        <w:right w:val="none" w:sz="0" w:space="0" w:color="auto"/>
      </w:divBdr>
    </w:div>
    <w:div w:id="1027833187">
      <w:bodyDiv w:val="1"/>
      <w:marLeft w:val="0"/>
      <w:marRight w:val="0"/>
      <w:marTop w:val="0"/>
      <w:marBottom w:val="0"/>
      <w:divBdr>
        <w:top w:val="none" w:sz="0" w:space="0" w:color="auto"/>
        <w:left w:val="none" w:sz="0" w:space="0" w:color="auto"/>
        <w:bottom w:val="none" w:sz="0" w:space="0" w:color="auto"/>
        <w:right w:val="none" w:sz="0" w:space="0" w:color="auto"/>
      </w:divBdr>
    </w:div>
    <w:div w:id="1029140954">
      <w:bodyDiv w:val="1"/>
      <w:marLeft w:val="0"/>
      <w:marRight w:val="0"/>
      <w:marTop w:val="0"/>
      <w:marBottom w:val="0"/>
      <w:divBdr>
        <w:top w:val="none" w:sz="0" w:space="0" w:color="auto"/>
        <w:left w:val="none" w:sz="0" w:space="0" w:color="auto"/>
        <w:bottom w:val="none" w:sz="0" w:space="0" w:color="auto"/>
        <w:right w:val="none" w:sz="0" w:space="0" w:color="auto"/>
      </w:divBdr>
    </w:div>
    <w:div w:id="1042557441">
      <w:bodyDiv w:val="1"/>
      <w:marLeft w:val="0"/>
      <w:marRight w:val="0"/>
      <w:marTop w:val="0"/>
      <w:marBottom w:val="0"/>
      <w:divBdr>
        <w:top w:val="none" w:sz="0" w:space="0" w:color="auto"/>
        <w:left w:val="none" w:sz="0" w:space="0" w:color="auto"/>
        <w:bottom w:val="none" w:sz="0" w:space="0" w:color="auto"/>
        <w:right w:val="none" w:sz="0" w:space="0" w:color="auto"/>
      </w:divBdr>
    </w:div>
    <w:div w:id="1070272175">
      <w:bodyDiv w:val="1"/>
      <w:marLeft w:val="0"/>
      <w:marRight w:val="0"/>
      <w:marTop w:val="0"/>
      <w:marBottom w:val="0"/>
      <w:divBdr>
        <w:top w:val="none" w:sz="0" w:space="0" w:color="auto"/>
        <w:left w:val="none" w:sz="0" w:space="0" w:color="auto"/>
        <w:bottom w:val="none" w:sz="0" w:space="0" w:color="auto"/>
        <w:right w:val="none" w:sz="0" w:space="0" w:color="auto"/>
      </w:divBdr>
    </w:div>
    <w:div w:id="1072703353">
      <w:bodyDiv w:val="1"/>
      <w:marLeft w:val="0"/>
      <w:marRight w:val="0"/>
      <w:marTop w:val="0"/>
      <w:marBottom w:val="0"/>
      <w:divBdr>
        <w:top w:val="none" w:sz="0" w:space="0" w:color="auto"/>
        <w:left w:val="none" w:sz="0" w:space="0" w:color="auto"/>
        <w:bottom w:val="none" w:sz="0" w:space="0" w:color="auto"/>
        <w:right w:val="none" w:sz="0" w:space="0" w:color="auto"/>
      </w:divBdr>
    </w:div>
    <w:div w:id="1085299210">
      <w:bodyDiv w:val="1"/>
      <w:marLeft w:val="0"/>
      <w:marRight w:val="0"/>
      <w:marTop w:val="0"/>
      <w:marBottom w:val="0"/>
      <w:divBdr>
        <w:top w:val="none" w:sz="0" w:space="0" w:color="auto"/>
        <w:left w:val="none" w:sz="0" w:space="0" w:color="auto"/>
        <w:bottom w:val="none" w:sz="0" w:space="0" w:color="auto"/>
        <w:right w:val="none" w:sz="0" w:space="0" w:color="auto"/>
      </w:divBdr>
    </w:div>
    <w:div w:id="1123426537">
      <w:bodyDiv w:val="1"/>
      <w:marLeft w:val="0"/>
      <w:marRight w:val="0"/>
      <w:marTop w:val="0"/>
      <w:marBottom w:val="0"/>
      <w:divBdr>
        <w:top w:val="none" w:sz="0" w:space="0" w:color="auto"/>
        <w:left w:val="none" w:sz="0" w:space="0" w:color="auto"/>
        <w:bottom w:val="none" w:sz="0" w:space="0" w:color="auto"/>
        <w:right w:val="none" w:sz="0" w:space="0" w:color="auto"/>
      </w:divBdr>
    </w:div>
    <w:div w:id="1129276867">
      <w:bodyDiv w:val="1"/>
      <w:marLeft w:val="0"/>
      <w:marRight w:val="0"/>
      <w:marTop w:val="0"/>
      <w:marBottom w:val="0"/>
      <w:divBdr>
        <w:top w:val="none" w:sz="0" w:space="0" w:color="auto"/>
        <w:left w:val="none" w:sz="0" w:space="0" w:color="auto"/>
        <w:bottom w:val="none" w:sz="0" w:space="0" w:color="auto"/>
        <w:right w:val="none" w:sz="0" w:space="0" w:color="auto"/>
      </w:divBdr>
    </w:div>
    <w:div w:id="1149906949">
      <w:bodyDiv w:val="1"/>
      <w:marLeft w:val="0"/>
      <w:marRight w:val="0"/>
      <w:marTop w:val="0"/>
      <w:marBottom w:val="0"/>
      <w:divBdr>
        <w:top w:val="none" w:sz="0" w:space="0" w:color="auto"/>
        <w:left w:val="none" w:sz="0" w:space="0" w:color="auto"/>
        <w:bottom w:val="none" w:sz="0" w:space="0" w:color="auto"/>
        <w:right w:val="none" w:sz="0" w:space="0" w:color="auto"/>
      </w:divBdr>
    </w:div>
    <w:div w:id="1154835017">
      <w:bodyDiv w:val="1"/>
      <w:marLeft w:val="0"/>
      <w:marRight w:val="0"/>
      <w:marTop w:val="0"/>
      <w:marBottom w:val="0"/>
      <w:divBdr>
        <w:top w:val="none" w:sz="0" w:space="0" w:color="auto"/>
        <w:left w:val="none" w:sz="0" w:space="0" w:color="auto"/>
        <w:bottom w:val="none" w:sz="0" w:space="0" w:color="auto"/>
        <w:right w:val="none" w:sz="0" w:space="0" w:color="auto"/>
      </w:divBdr>
    </w:div>
    <w:div w:id="1165438159">
      <w:bodyDiv w:val="1"/>
      <w:marLeft w:val="0"/>
      <w:marRight w:val="0"/>
      <w:marTop w:val="0"/>
      <w:marBottom w:val="0"/>
      <w:divBdr>
        <w:top w:val="none" w:sz="0" w:space="0" w:color="auto"/>
        <w:left w:val="none" w:sz="0" w:space="0" w:color="auto"/>
        <w:bottom w:val="none" w:sz="0" w:space="0" w:color="auto"/>
        <w:right w:val="none" w:sz="0" w:space="0" w:color="auto"/>
      </w:divBdr>
    </w:div>
    <w:div w:id="1209339272">
      <w:bodyDiv w:val="1"/>
      <w:marLeft w:val="0"/>
      <w:marRight w:val="0"/>
      <w:marTop w:val="0"/>
      <w:marBottom w:val="0"/>
      <w:divBdr>
        <w:top w:val="none" w:sz="0" w:space="0" w:color="auto"/>
        <w:left w:val="none" w:sz="0" w:space="0" w:color="auto"/>
        <w:bottom w:val="none" w:sz="0" w:space="0" w:color="auto"/>
        <w:right w:val="none" w:sz="0" w:space="0" w:color="auto"/>
      </w:divBdr>
    </w:div>
    <w:div w:id="1227184452">
      <w:bodyDiv w:val="1"/>
      <w:marLeft w:val="0"/>
      <w:marRight w:val="0"/>
      <w:marTop w:val="0"/>
      <w:marBottom w:val="0"/>
      <w:divBdr>
        <w:top w:val="none" w:sz="0" w:space="0" w:color="auto"/>
        <w:left w:val="none" w:sz="0" w:space="0" w:color="auto"/>
        <w:bottom w:val="none" w:sz="0" w:space="0" w:color="auto"/>
        <w:right w:val="none" w:sz="0" w:space="0" w:color="auto"/>
      </w:divBdr>
    </w:div>
    <w:div w:id="1245144887">
      <w:bodyDiv w:val="1"/>
      <w:marLeft w:val="0"/>
      <w:marRight w:val="0"/>
      <w:marTop w:val="0"/>
      <w:marBottom w:val="0"/>
      <w:divBdr>
        <w:top w:val="none" w:sz="0" w:space="0" w:color="auto"/>
        <w:left w:val="none" w:sz="0" w:space="0" w:color="auto"/>
        <w:bottom w:val="none" w:sz="0" w:space="0" w:color="auto"/>
        <w:right w:val="none" w:sz="0" w:space="0" w:color="auto"/>
      </w:divBdr>
    </w:div>
    <w:div w:id="1272199002">
      <w:bodyDiv w:val="1"/>
      <w:marLeft w:val="0"/>
      <w:marRight w:val="0"/>
      <w:marTop w:val="0"/>
      <w:marBottom w:val="0"/>
      <w:divBdr>
        <w:top w:val="none" w:sz="0" w:space="0" w:color="auto"/>
        <w:left w:val="none" w:sz="0" w:space="0" w:color="auto"/>
        <w:bottom w:val="none" w:sz="0" w:space="0" w:color="auto"/>
        <w:right w:val="none" w:sz="0" w:space="0" w:color="auto"/>
      </w:divBdr>
    </w:div>
    <w:div w:id="1326399507">
      <w:bodyDiv w:val="1"/>
      <w:marLeft w:val="0"/>
      <w:marRight w:val="0"/>
      <w:marTop w:val="0"/>
      <w:marBottom w:val="0"/>
      <w:divBdr>
        <w:top w:val="none" w:sz="0" w:space="0" w:color="auto"/>
        <w:left w:val="none" w:sz="0" w:space="0" w:color="auto"/>
        <w:bottom w:val="none" w:sz="0" w:space="0" w:color="auto"/>
        <w:right w:val="none" w:sz="0" w:space="0" w:color="auto"/>
      </w:divBdr>
    </w:div>
    <w:div w:id="1339891113">
      <w:bodyDiv w:val="1"/>
      <w:marLeft w:val="0"/>
      <w:marRight w:val="0"/>
      <w:marTop w:val="0"/>
      <w:marBottom w:val="0"/>
      <w:divBdr>
        <w:top w:val="none" w:sz="0" w:space="0" w:color="auto"/>
        <w:left w:val="none" w:sz="0" w:space="0" w:color="auto"/>
        <w:bottom w:val="none" w:sz="0" w:space="0" w:color="auto"/>
        <w:right w:val="none" w:sz="0" w:space="0" w:color="auto"/>
      </w:divBdr>
    </w:div>
    <w:div w:id="1353605114">
      <w:bodyDiv w:val="1"/>
      <w:marLeft w:val="0"/>
      <w:marRight w:val="0"/>
      <w:marTop w:val="0"/>
      <w:marBottom w:val="0"/>
      <w:divBdr>
        <w:top w:val="none" w:sz="0" w:space="0" w:color="auto"/>
        <w:left w:val="none" w:sz="0" w:space="0" w:color="auto"/>
        <w:bottom w:val="none" w:sz="0" w:space="0" w:color="auto"/>
        <w:right w:val="none" w:sz="0" w:space="0" w:color="auto"/>
      </w:divBdr>
    </w:div>
    <w:div w:id="1353728091">
      <w:bodyDiv w:val="1"/>
      <w:marLeft w:val="0"/>
      <w:marRight w:val="0"/>
      <w:marTop w:val="0"/>
      <w:marBottom w:val="0"/>
      <w:divBdr>
        <w:top w:val="none" w:sz="0" w:space="0" w:color="auto"/>
        <w:left w:val="none" w:sz="0" w:space="0" w:color="auto"/>
        <w:bottom w:val="none" w:sz="0" w:space="0" w:color="auto"/>
        <w:right w:val="none" w:sz="0" w:space="0" w:color="auto"/>
      </w:divBdr>
    </w:div>
    <w:div w:id="1372222448">
      <w:bodyDiv w:val="1"/>
      <w:marLeft w:val="0"/>
      <w:marRight w:val="0"/>
      <w:marTop w:val="0"/>
      <w:marBottom w:val="0"/>
      <w:divBdr>
        <w:top w:val="none" w:sz="0" w:space="0" w:color="auto"/>
        <w:left w:val="none" w:sz="0" w:space="0" w:color="auto"/>
        <w:bottom w:val="none" w:sz="0" w:space="0" w:color="auto"/>
        <w:right w:val="none" w:sz="0" w:space="0" w:color="auto"/>
      </w:divBdr>
    </w:div>
    <w:div w:id="1385177929">
      <w:bodyDiv w:val="1"/>
      <w:marLeft w:val="0"/>
      <w:marRight w:val="0"/>
      <w:marTop w:val="0"/>
      <w:marBottom w:val="0"/>
      <w:divBdr>
        <w:top w:val="none" w:sz="0" w:space="0" w:color="auto"/>
        <w:left w:val="none" w:sz="0" w:space="0" w:color="auto"/>
        <w:bottom w:val="none" w:sz="0" w:space="0" w:color="auto"/>
        <w:right w:val="none" w:sz="0" w:space="0" w:color="auto"/>
      </w:divBdr>
    </w:div>
    <w:div w:id="1392729575">
      <w:bodyDiv w:val="1"/>
      <w:marLeft w:val="0"/>
      <w:marRight w:val="0"/>
      <w:marTop w:val="0"/>
      <w:marBottom w:val="0"/>
      <w:divBdr>
        <w:top w:val="none" w:sz="0" w:space="0" w:color="auto"/>
        <w:left w:val="none" w:sz="0" w:space="0" w:color="auto"/>
        <w:bottom w:val="none" w:sz="0" w:space="0" w:color="auto"/>
        <w:right w:val="none" w:sz="0" w:space="0" w:color="auto"/>
      </w:divBdr>
    </w:div>
    <w:div w:id="1445072434">
      <w:bodyDiv w:val="1"/>
      <w:marLeft w:val="0"/>
      <w:marRight w:val="0"/>
      <w:marTop w:val="0"/>
      <w:marBottom w:val="0"/>
      <w:divBdr>
        <w:top w:val="none" w:sz="0" w:space="0" w:color="auto"/>
        <w:left w:val="none" w:sz="0" w:space="0" w:color="auto"/>
        <w:bottom w:val="none" w:sz="0" w:space="0" w:color="auto"/>
        <w:right w:val="none" w:sz="0" w:space="0" w:color="auto"/>
      </w:divBdr>
    </w:div>
    <w:div w:id="1457527046">
      <w:bodyDiv w:val="1"/>
      <w:marLeft w:val="0"/>
      <w:marRight w:val="0"/>
      <w:marTop w:val="0"/>
      <w:marBottom w:val="0"/>
      <w:divBdr>
        <w:top w:val="none" w:sz="0" w:space="0" w:color="auto"/>
        <w:left w:val="none" w:sz="0" w:space="0" w:color="auto"/>
        <w:bottom w:val="none" w:sz="0" w:space="0" w:color="auto"/>
        <w:right w:val="none" w:sz="0" w:space="0" w:color="auto"/>
      </w:divBdr>
    </w:div>
    <w:div w:id="1478304594">
      <w:bodyDiv w:val="1"/>
      <w:marLeft w:val="0"/>
      <w:marRight w:val="0"/>
      <w:marTop w:val="0"/>
      <w:marBottom w:val="0"/>
      <w:divBdr>
        <w:top w:val="none" w:sz="0" w:space="0" w:color="auto"/>
        <w:left w:val="none" w:sz="0" w:space="0" w:color="auto"/>
        <w:bottom w:val="none" w:sz="0" w:space="0" w:color="auto"/>
        <w:right w:val="none" w:sz="0" w:space="0" w:color="auto"/>
      </w:divBdr>
    </w:div>
    <w:div w:id="1533495403">
      <w:bodyDiv w:val="1"/>
      <w:marLeft w:val="0"/>
      <w:marRight w:val="0"/>
      <w:marTop w:val="0"/>
      <w:marBottom w:val="0"/>
      <w:divBdr>
        <w:top w:val="none" w:sz="0" w:space="0" w:color="auto"/>
        <w:left w:val="none" w:sz="0" w:space="0" w:color="auto"/>
        <w:bottom w:val="none" w:sz="0" w:space="0" w:color="auto"/>
        <w:right w:val="none" w:sz="0" w:space="0" w:color="auto"/>
      </w:divBdr>
    </w:div>
    <w:div w:id="1538548259">
      <w:bodyDiv w:val="1"/>
      <w:marLeft w:val="0"/>
      <w:marRight w:val="0"/>
      <w:marTop w:val="0"/>
      <w:marBottom w:val="0"/>
      <w:divBdr>
        <w:top w:val="none" w:sz="0" w:space="0" w:color="auto"/>
        <w:left w:val="none" w:sz="0" w:space="0" w:color="auto"/>
        <w:bottom w:val="none" w:sz="0" w:space="0" w:color="auto"/>
        <w:right w:val="none" w:sz="0" w:space="0" w:color="auto"/>
      </w:divBdr>
    </w:div>
    <w:div w:id="1541044936">
      <w:bodyDiv w:val="1"/>
      <w:marLeft w:val="0"/>
      <w:marRight w:val="0"/>
      <w:marTop w:val="0"/>
      <w:marBottom w:val="0"/>
      <w:divBdr>
        <w:top w:val="none" w:sz="0" w:space="0" w:color="auto"/>
        <w:left w:val="none" w:sz="0" w:space="0" w:color="auto"/>
        <w:bottom w:val="none" w:sz="0" w:space="0" w:color="auto"/>
        <w:right w:val="none" w:sz="0" w:space="0" w:color="auto"/>
      </w:divBdr>
    </w:div>
    <w:div w:id="1619292395">
      <w:bodyDiv w:val="1"/>
      <w:marLeft w:val="0"/>
      <w:marRight w:val="0"/>
      <w:marTop w:val="0"/>
      <w:marBottom w:val="0"/>
      <w:divBdr>
        <w:top w:val="none" w:sz="0" w:space="0" w:color="auto"/>
        <w:left w:val="none" w:sz="0" w:space="0" w:color="auto"/>
        <w:bottom w:val="none" w:sz="0" w:space="0" w:color="auto"/>
        <w:right w:val="none" w:sz="0" w:space="0" w:color="auto"/>
      </w:divBdr>
    </w:div>
    <w:div w:id="1636443032">
      <w:bodyDiv w:val="1"/>
      <w:marLeft w:val="0"/>
      <w:marRight w:val="0"/>
      <w:marTop w:val="0"/>
      <w:marBottom w:val="0"/>
      <w:divBdr>
        <w:top w:val="none" w:sz="0" w:space="0" w:color="auto"/>
        <w:left w:val="none" w:sz="0" w:space="0" w:color="auto"/>
        <w:bottom w:val="none" w:sz="0" w:space="0" w:color="auto"/>
        <w:right w:val="none" w:sz="0" w:space="0" w:color="auto"/>
      </w:divBdr>
    </w:div>
    <w:div w:id="1648125965">
      <w:bodyDiv w:val="1"/>
      <w:marLeft w:val="0"/>
      <w:marRight w:val="0"/>
      <w:marTop w:val="0"/>
      <w:marBottom w:val="0"/>
      <w:divBdr>
        <w:top w:val="none" w:sz="0" w:space="0" w:color="auto"/>
        <w:left w:val="none" w:sz="0" w:space="0" w:color="auto"/>
        <w:bottom w:val="none" w:sz="0" w:space="0" w:color="auto"/>
        <w:right w:val="none" w:sz="0" w:space="0" w:color="auto"/>
      </w:divBdr>
    </w:div>
    <w:div w:id="1666276780">
      <w:bodyDiv w:val="1"/>
      <w:marLeft w:val="0"/>
      <w:marRight w:val="0"/>
      <w:marTop w:val="0"/>
      <w:marBottom w:val="0"/>
      <w:divBdr>
        <w:top w:val="none" w:sz="0" w:space="0" w:color="auto"/>
        <w:left w:val="none" w:sz="0" w:space="0" w:color="auto"/>
        <w:bottom w:val="none" w:sz="0" w:space="0" w:color="auto"/>
        <w:right w:val="none" w:sz="0" w:space="0" w:color="auto"/>
      </w:divBdr>
    </w:div>
    <w:div w:id="1681354637">
      <w:bodyDiv w:val="1"/>
      <w:marLeft w:val="0"/>
      <w:marRight w:val="0"/>
      <w:marTop w:val="0"/>
      <w:marBottom w:val="0"/>
      <w:divBdr>
        <w:top w:val="none" w:sz="0" w:space="0" w:color="auto"/>
        <w:left w:val="none" w:sz="0" w:space="0" w:color="auto"/>
        <w:bottom w:val="none" w:sz="0" w:space="0" w:color="auto"/>
        <w:right w:val="none" w:sz="0" w:space="0" w:color="auto"/>
      </w:divBdr>
    </w:div>
    <w:div w:id="1711831901">
      <w:bodyDiv w:val="1"/>
      <w:marLeft w:val="0"/>
      <w:marRight w:val="0"/>
      <w:marTop w:val="0"/>
      <w:marBottom w:val="0"/>
      <w:divBdr>
        <w:top w:val="none" w:sz="0" w:space="0" w:color="auto"/>
        <w:left w:val="none" w:sz="0" w:space="0" w:color="auto"/>
        <w:bottom w:val="none" w:sz="0" w:space="0" w:color="auto"/>
        <w:right w:val="none" w:sz="0" w:space="0" w:color="auto"/>
      </w:divBdr>
    </w:div>
    <w:div w:id="1719820175">
      <w:bodyDiv w:val="1"/>
      <w:marLeft w:val="0"/>
      <w:marRight w:val="0"/>
      <w:marTop w:val="0"/>
      <w:marBottom w:val="0"/>
      <w:divBdr>
        <w:top w:val="none" w:sz="0" w:space="0" w:color="auto"/>
        <w:left w:val="none" w:sz="0" w:space="0" w:color="auto"/>
        <w:bottom w:val="none" w:sz="0" w:space="0" w:color="auto"/>
        <w:right w:val="none" w:sz="0" w:space="0" w:color="auto"/>
      </w:divBdr>
    </w:div>
    <w:div w:id="1720931615">
      <w:bodyDiv w:val="1"/>
      <w:marLeft w:val="0"/>
      <w:marRight w:val="0"/>
      <w:marTop w:val="0"/>
      <w:marBottom w:val="0"/>
      <w:divBdr>
        <w:top w:val="none" w:sz="0" w:space="0" w:color="auto"/>
        <w:left w:val="none" w:sz="0" w:space="0" w:color="auto"/>
        <w:bottom w:val="none" w:sz="0" w:space="0" w:color="auto"/>
        <w:right w:val="none" w:sz="0" w:space="0" w:color="auto"/>
      </w:divBdr>
    </w:div>
    <w:div w:id="1811315256">
      <w:bodyDiv w:val="1"/>
      <w:marLeft w:val="0"/>
      <w:marRight w:val="0"/>
      <w:marTop w:val="0"/>
      <w:marBottom w:val="0"/>
      <w:divBdr>
        <w:top w:val="none" w:sz="0" w:space="0" w:color="auto"/>
        <w:left w:val="none" w:sz="0" w:space="0" w:color="auto"/>
        <w:bottom w:val="none" w:sz="0" w:space="0" w:color="auto"/>
        <w:right w:val="none" w:sz="0" w:space="0" w:color="auto"/>
      </w:divBdr>
    </w:div>
    <w:div w:id="1868785986">
      <w:bodyDiv w:val="1"/>
      <w:marLeft w:val="0"/>
      <w:marRight w:val="0"/>
      <w:marTop w:val="0"/>
      <w:marBottom w:val="0"/>
      <w:divBdr>
        <w:top w:val="none" w:sz="0" w:space="0" w:color="auto"/>
        <w:left w:val="none" w:sz="0" w:space="0" w:color="auto"/>
        <w:bottom w:val="none" w:sz="0" w:space="0" w:color="auto"/>
        <w:right w:val="none" w:sz="0" w:space="0" w:color="auto"/>
      </w:divBdr>
    </w:div>
    <w:div w:id="1908999417">
      <w:bodyDiv w:val="1"/>
      <w:marLeft w:val="0"/>
      <w:marRight w:val="0"/>
      <w:marTop w:val="0"/>
      <w:marBottom w:val="0"/>
      <w:divBdr>
        <w:top w:val="none" w:sz="0" w:space="0" w:color="auto"/>
        <w:left w:val="none" w:sz="0" w:space="0" w:color="auto"/>
        <w:bottom w:val="none" w:sz="0" w:space="0" w:color="auto"/>
        <w:right w:val="none" w:sz="0" w:space="0" w:color="auto"/>
      </w:divBdr>
    </w:div>
    <w:div w:id="1915624737">
      <w:bodyDiv w:val="1"/>
      <w:marLeft w:val="0"/>
      <w:marRight w:val="0"/>
      <w:marTop w:val="0"/>
      <w:marBottom w:val="0"/>
      <w:divBdr>
        <w:top w:val="none" w:sz="0" w:space="0" w:color="auto"/>
        <w:left w:val="none" w:sz="0" w:space="0" w:color="auto"/>
        <w:bottom w:val="none" w:sz="0" w:space="0" w:color="auto"/>
        <w:right w:val="none" w:sz="0" w:space="0" w:color="auto"/>
      </w:divBdr>
    </w:div>
    <w:div w:id="1962375658">
      <w:bodyDiv w:val="1"/>
      <w:marLeft w:val="0"/>
      <w:marRight w:val="0"/>
      <w:marTop w:val="0"/>
      <w:marBottom w:val="0"/>
      <w:divBdr>
        <w:top w:val="none" w:sz="0" w:space="0" w:color="auto"/>
        <w:left w:val="none" w:sz="0" w:space="0" w:color="auto"/>
        <w:bottom w:val="none" w:sz="0" w:space="0" w:color="auto"/>
        <w:right w:val="none" w:sz="0" w:space="0" w:color="auto"/>
      </w:divBdr>
    </w:div>
    <w:div w:id="2020036762">
      <w:bodyDiv w:val="1"/>
      <w:marLeft w:val="0"/>
      <w:marRight w:val="0"/>
      <w:marTop w:val="0"/>
      <w:marBottom w:val="0"/>
      <w:divBdr>
        <w:top w:val="none" w:sz="0" w:space="0" w:color="auto"/>
        <w:left w:val="none" w:sz="0" w:space="0" w:color="auto"/>
        <w:bottom w:val="none" w:sz="0" w:space="0" w:color="auto"/>
        <w:right w:val="none" w:sz="0" w:space="0" w:color="auto"/>
      </w:divBdr>
    </w:div>
    <w:div w:id="2044935081">
      <w:bodyDiv w:val="1"/>
      <w:marLeft w:val="0"/>
      <w:marRight w:val="0"/>
      <w:marTop w:val="0"/>
      <w:marBottom w:val="0"/>
      <w:divBdr>
        <w:top w:val="none" w:sz="0" w:space="0" w:color="auto"/>
        <w:left w:val="none" w:sz="0" w:space="0" w:color="auto"/>
        <w:bottom w:val="none" w:sz="0" w:space="0" w:color="auto"/>
        <w:right w:val="none" w:sz="0" w:space="0" w:color="auto"/>
      </w:divBdr>
    </w:div>
    <w:div w:id="21352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lobalnews.ca/news/9331421/vaccinated-blood-baby-surgery-courts-new-zealand/" TargetMode="External"/><Relationship Id="rId21" Type="http://schemas.openxmlformats.org/officeDocument/2006/relationships/hyperlink" Target="https://www.stuff.co.nz/national/health/130483037/new-2m-blood-bank-at-waikato-hospital-a-vital-link-in-lifesaving-chain" TargetMode="External"/><Relationship Id="rId42" Type="http://schemas.openxmlformats.org/officeDocument/2006/relationships/hyperlink" Target="https://hemophilianewstoday.com/news/hemophilia-patients-treated-with-marstacimab-see-fewer-bleeds-study/" TargetMode="External"/><Relationship Id="rId63" Type="http://schemas.openxmlformats.org/officeDocument/2006/relationships/hyperlink" Target="https://jhoonline.biomedcentral.com/articles/10.1186/s13045-022-01390-5" TargetMode="External"/><Relationship Id="rId84" Type="http://schemas.openxmlformats.org/officeDocument/2006/relationships/hyperlink" Target="https://onlinelibrary.wiley.com/doi/10.1111/vox.13363?af=R" TargetMode="External"/><Relationship Id="rId138" Type="http://schemas.openxmlformats.org/officeDocument/2006/relationships/hyperlink" Target="https://www.biopharmadive.com/news/bluebird-argenx-priority-review-voucher-sale/637615/" TargetMode="External"/><Relationship Id="rId159" Type="http://schemas.openxmlformats.org/officeDocument/2006/relationships/hyperlink" Target="https://www.health.gov.au/news/ozzie-vs-mozzie?language=en" TargetMode="External"/><Relationship Id="rId170" Type="http://schemas.openxmlformats.org/officeDocument/2006/relationships/hyperlink" Target="https://www.nature.com/articles/d41586-022-03590-y" TargetMode="External"/><Relationship Id="rId107" Type="http://schemas.openxmlformats.org/officeDocument/2006/relationships/hyperlink" Target="https://www.biopharmadive.com/news/hemophilia-gene-therapy-fda-approval-hemgenix-csl-uniqure/636999/" TargetMode="External"/><Relationship Id="rId11" Type="http://schemas.openxmlformats.org/officeDocument/2006/relationships/hyperlink" Target="https://www.skynews.com.au/australia-news/liberal-mp-bridget-archer-has-spoken-out-against-discriminatory-blood-donation-policies-which-ban-most-gay-men/news-story/aa6d4fa3957b63a7f61011026e155b3b" TargetMode="External"/><Relationship Id="rId32" Type="http://schemas.openxmlformats.org/officeDocument/2006/relationships/hyperlink" Target="https://onlinelibrary.wiley.com/doi/10.1111/trf.17140?af=R" TargetMode="External"/><Relationship Id="rId53" Type="http://schemas.openxmlformats.org/officeDocument/2006/relationships/hyperlink" Target="https://www.tandfonline.com/doi/full/10.1080/03007995.2022.2116173" TargetMode="External"/><Relationship Id="rId74" Type="http://schemas.openxmlformats.org/officeDocument/2006/relationships/hyperlink" Target="https://sicklecellanemianews.com/news/ferriprox-safe-effective-over-long-term-at-lowering-patients-iron-load/" TargetMode="External"/><Relationship Id="rId128" Type="http://schemas.openxmlformats.org/officeDocument/2006/relationships/hyperlink" Target="https://aus01.safelinks.protection.outlook.com/?url=https%3A%2F%2Fwww.blood.gov.au%2Fresults-round-2-national-blood-sector-research-and-development-pilot&amp;data=05%7C01%7CAimee.Rumble%40blood.gov.au%7C6eb5928051464db15eb208daa66f795b%7C9c23305707384b4091b23798ceb38ebf%7C0%7C0%7C638005294961132541%7CUnknown%7CTWFpbGZsb3d8eyJWIjoiMC4wLjAwMDAiLCJQIjoiV2luMzIiLCJBTiI6Ik1haWwiLCJXVCI6Mn0%3D%7C3000%7C%7C%7C&amp;sdata=stjBZQxvWfoS%2BxnY14PMkaLTizNty%2FFkqXb4HGlwglY%3D&amp;reserved=0" TargetMode="External"/><Relationship Id="rId149" Type="http://schemas.openxmlformats.org/officeDocument/2006/relationships/hyperlink" Target="https://newatlas.com/medical/smartphone-spectrometer-detects-malaria-infrared-light/" TargetMode="External"/><Relationship Id="rId5" Type="http://schemas.openxmlformats.org/officeDocument/2006/relationships/numbering" Target="numbering.xml"/><Relationship Id="rId95" Type="http://schemas.openxmlformats.org/officeDocument/2006/relationships/hyperlink" Target="https://onlinelibrary.wiley.com/doi/10.1111/vox.13352?af=R" TargetMode="External"/><Relationship Id="rId160" Type="http://schemas.openxmlformats.org/officeDocument/2006/relationships/hyperlink" Target="https://www.mdpi.com/2414-6366/7/12/393" TargetMode="External"/><Relationship Id="rId181" Type="http://schemas.openxmlformats.org/officeDocument/2006/relationships/fontTable" Target="fontTable.xml"/><Relationship Id="rId22" Type="http://schemas.openxmlformats.org/officeDocument/2006/relationships/hyperlink" Target="https://www.rte.ie/news/health/2022/1115/1336231-blood-donors/" TargetMode="External"/><Relationship Id="rId43" Type="http://schemas.openxmlformats.org/officeDocument/2006/relationships/hyperlink" Target="https://onlinelibrary.wiley.com/doi/10.1111/hae.14675?af=R" TargetMode="External"/><Relationship Id="rId64" Type="http://schemas.openxmlformats.org/officeDocument/2006/relationships/hyperlink" Target="https://onlinelibrary.wiley.com/doi/10.1002/pbc.30138?af=R" TargetMode="External"/><Relationship Id="rId118" Type="http://schemas.openxmlformats.org/officeDocument/2006/relationships/hyperlink" Target="https://onlinelibrary.wiley.com/doi/10.1111/tme.12942" TargetMode="External"/><Relationship Id="rId139" Type="http://schemas.openxmlformats.org/officeDocument/2006/relationships/hyperlink" Target="https://www.biopharmadive.com/news/bluebird-bio-fda-approval-beti-cel-beta-thalassemia-zynteglo/629914/" TargetMode="External"/><Relationship Id="rId85" Type="http://schemas.openxmlformats.org/officeDocument/2006/relationships/hyperlink" Target="https://bmcmedresmethodol.biomedcentral.com/articles/10.1186/s12874-022-01787-3" TargetMode="External"/><Relationship Id="rId150" Type="http://schemas.openxmlformats.org/officeDocument/2006/relationships/hyperlink" Target="https://www.who.int/publications/i/item/9789240064898" TargetMode="External"/><Relationship Id="rId171" Type="http://schemas.openxmlformats.org/officeDocument/2006/relationships/hyperlink" Target="https://www.bbc.com/news/world-africa-63080543" TargetMode="External"/><Relationship Id="rId12" Type="http://schemas.openxmlformats.org/officeDocument/2006/relationships/hyperlink" Target="https://www.abc.net.au/news/2022-10-23/sams-lifesaving-blood-antibody-following-near-fatal-crash/101564234" TargetMode="External"/><Relationship Id="rId33" Type="http://schemas.openxmlformats.org/officeDocument/2006/relationships/hyperlink" Target="https://onlinelibrary.wiley.com/doi/10.1111/trf.17120?af=R" TargetMode="External"/><Relationship Id="rId108" Type="http://schemas.openxmlformats.org/officeDocument/2006/relationships/hyperlink" Target="https://www.ahcdo.org.au/guidelines/publications" TargetMode="External"/><Relationship Id="rId129" Type="http://schemas.openxmlformats.org/officeDocument/2006/relationships/hyperlink" Target="https://www.blood.gov.au/completed-grants-national-blood-sector-research-and-development-program" TargetMode="External"/><Relationship Id="rId54" Type="http://schemas.openxmlformats.org/officeDocument/2006/relationships/hyperlink" Target="https://onlinelibrary.wiley.com/doi/10.1111/jth.15889?af=R" TargetMode="External"/><Relationship Id="rId75" Type="http://schemas.openxmlformats.org/officeDocument/2006/relationships/hyperlink" Target="https://www.globenewswire.com/news-release/2022/11/10/2553730/31990/en/PYRUKYND-mitapivat-Approved-in-the-EU-for-the-Treatment-of-Pyruvate-Kinase-PK-Deficiency-in-Adult-Patients.html" TargetMode="External"/><Relationship Id="rId96" Type="http://schemas.openxmlformats.org/officeDocument/2006/relationships/hyperlink" Target="https://onlinelibrary.wiley.com/doi/10.1111/vox.13359?af=R" TargetMode="External"/><Relationship Id="rId140" Type="http://schemas.openxmlformats.org/officeDocument/2006/relationships/hyperlink" Target="https://money.usnews.com/investing/news/articles/2022-10-21/grifols-says-u-s-blood-donors-lawsuit-wont-have-material-impact-shares-down" TargetMode="External"/><Relationship Id="rId161" Type="http://schemas.openxmlformats.org/officeDocument/2006/relationships/hyperlink" Target="https://www.abc.net.au/news/2022-11-07/japanese-encephalitis-cases-queensland-health-warning/101624162" TargetMode="External"/><Relationship Id="rId182" Type="http://schemas.openxmlformats.org/officeDocument/2006/relationships/theme" Target="theme/theme1.xml"/><Relationship Id="rId6" Type="http://schemas.openxmlformats.org/officeDocument/2006/relationships/styles" Target="styles.xml"/><Relationship Id="rId23" Type="http://schemas.openxmlformats.org/officeDocument/2006/relationships/hyperlink" Target="https://www.bbc.com/news/uk-england-birmingham-63749504" TargetMode="External"/><Relationship Id="rId119" Type="http://schemas.openxmlformats.org/officeDocument/2006/relationships/hyperlink" Target="https://onlinelibrary.wiley.com/doi/10.1002/pbc.30079?af=R" TargetMode="External"/><Relationship Id="rId44" Type="http://schemas.openxmlformats.org/officeDocument/2006/relationships/hyperlink" Target="https://onlinelibrary.wiley.com/doi/10.1111/hae.14676?af=R" TargetMode="External"/><Relationship Id="rId60" Type="http://schemas.openxmlformats.org/officeDocument/2006/relationships/hyperlink" Target="https://www.dana-farber.org/newsroom/news-releases/2022/new-technique-can-detect-and-analyze-tumor-cells-of-multiple-myeloma-and-precursor-conditions-from-blood-sample/" TargetMode="External"/><Relationship Id="rId65" Type="http://schemas.openxmlformats.org/officeDocument/2006/relationships/hyperlink" Target="https://www.medpagetoday.com/hematologyoncology/leukemia/100606" TargetMode="External"/><Relationship Id="rId81" Type="http://schemas.openxmlformats.org/officeDocument/2006/relationships/hyperlink" Target="https://onlinelibrary.wiley.com/doi/10.1111/jth.15890?af=R" TargetMode="External"/><Relationship Id="rId86" Type="http://schemas.openxmlformats.org/officeDocument/2006/relationships/hyperlink" Target="https://onlinelibrary.wiley.com/doi/10.1111/trf.17180?af=R" TargetMode="External"/><Relationship Id="rId130" Type="http://schemas.openxmlformats.org/officeDocument/2006/relationships/hyperlink" Target="https://www.lifeblood.com.au/news-and-stories/vital-reads/things-that-make-you-go-hmm" TargetMode="External"/><Relationship Id="rId135" Type="http://schemas.openxmlformats.org/officeDocument/2006/relationships/hyperlink" Target="https://theswaddle.com/smart-red-blood-cells-could-address-the-antibiotic-resistance-crisis-scientists-say/" TargetMode="External"/><Relationship Id="rId151" Type="http://schemas.openxmlformats.org/officeDocument/2006/relationships/hyperlink" Target="https://www.healio.com/news/infectious-disease/20221108/invasive-asian-mosquito-can-survive-anywhere-could-alter-malaria-landscape-in-africa" TargetMode="External"/><Relationship Id="rId156" Type="http://schemas.openxmlformats.org/officeDocument/2006/relationships/hyperlink" Target="https://www.thedailystar.net/opinion/views/news/why-dengue-becoming-such-serious-public-health-threat-3162941" TargetMode="External"/><Relationship Id="rId177" Type="http://schemas.openxmlformats.org/officeDocument/2006/relationships/header" Target="header1.xml"/><Relationship Id="rId172" Type="http://schemas.openxmlformats.org/officeDocument/2006/relationships/hyperlink" Target="https://www.bloomberg.com/news/articles/2022-11-03/ebola-has-moderate-risk-of-spreading-outside-uganda-who-says" TargetMode="External"/><Relationship Id="rId13" Type="http://schemas.openxmlformats.org/officeDocument/2006/relationships/hyperlink" Target="https://www.kalminer.com.au/news/regional/kalgoorlie-mp-ali-kent-continues-to-push-for-the-return-of-blood-donation-service-c-8498997" TargetMode="External"/><Relationship Id="rId18" Type="http://schemas.openxmlformats.org/officeDocument/2006/relationships/hyperlink" Target="https://krdo.com/news/2022/11/21/blood-donations-needed-following-mass-shooting-at-colorado-springs-lgbtq-nightclub/" TargetMode="External"/><Relationship Id="rId39" Type="http://schemas.openxmlformats.org/officeDocument/2006/relationships/hyperlink" Target="https://onlinelibrary.wiley.com/doi/10.1111/hae.14703?af=R" TargetMode="External"/><Relationship Id="rId109" Type="http://schemas.openxmlformats.org/officeDocument/2006/relationships/hyperlink" Target="https://www.biopharmadive.com/spons/mainstreaming-cell-and-gene-therapy-realizing-its-potential/637011/" TargetMode="External"/><Relationship Id="rId34" Type="http://schemas.openxmlformats.org/officeDocument/2006/relationships/hyperlink" Target="https://onlinelibrary.wiley.com/doi/10.1111/trf.17094?af=R" TargetMode="External"/><Relationship Id="rId50" Type="http://schemas.openxmlformats.org/officeDocument/2006/relationships/hyperlink" Target="https://hemophilianewstoday.com/news/fda-clears-trial-ti-168-hemophilia-a-therapy-inhibitors/" TargetMode="External"/><Relationship Id="rId55" Type="http://schemas.openxmlformats.org/officeDocument/2006/relationships/hyperlink" Target="https://medlineplus.gov/genetics/gene/adamts13/" TargetMode="External"/><Relationship Id="rId76" Type="http://schemas.openxmlformats.org/officeDocument/2006/relationships/hyperlink" Target="https://www.labiotech.eu/trends-news/sanofi-enjaymo-for-anemia-given-marketing-authorization-by-ec/" TargetMode="External"/><Relationship Id="rId97" Type="http://schemas.openxmlformats.org/officeDocument/2006/relationships/hyperlink" Target="https://onlinelibrary.wiley.com/doi/10.1111/vox.13354?af=R" TargetMode="External"/><Relationship Id="rId104" Type="http://schemas.openxmlformats.org/officeDocument/2006/relationships/hyperlink" Target="https://aus01.safelinks.protection.outlook.com/?url=https%3A%2F%2Fwww.health.gov.au%2Fresources%2Fpublications%2Fmedical-research-future-fund-mrff-grant-recipients&amp;data=05%7C01%7CTiernan.Kelly%40blood.gov.au%7C513ad662f876476a3e7f08da9b9d010f%7C9c23305707384b4091b23798ceb38ebf%7C0%7C0%7C637993395883235093%7CUnknown%7CTWFpbGZsb3d8eyJWIjoiMC4wLjAwMDAiLCJQIjoiV2luMzIiLCJBTiI6Ik1haWwiLCJXVCI6Mn0%3D%7C3000%7C%7C%7C&amp;sdata=SARRcESr%2Fh250sahuMyuVq99dgLjNv%2F%2BAR0QyGY0EOA%3D&amp;reserved=0" TargetMode="External"/><Relationship Id="rId120" Type="http://schemas.openxmlformats.org/officeDocument/2006/relationships/hyperlink" Target="https://www.nature.com/articles/s41598-022-23200-1" TargetMode="External"/><Relationship Id="rId125" Type="http://schemas.openxmlformats.org/officeDocument/2006/relationships/hyperlink" Target="https://www.sciencedirect.com/science/article/pii/S0896841122001238" TargetMode="External"/><Relationship Id="rId141" Type="http://schemas.openxmlformats.org/officeDocument/2006/relationships/hyperlink" Target="https://www.innovationaus.com/blood-biotech-aegros-to-build-352m-manufacturing-hub-in-qld/?utm_medium=email&amp;utm_campaign=Newsletter%20984%20-%2028%20November%202022&amp;utm_content=Newsletter%20984%20-%2028%20November%202022+CID_4ab4bc2adbf54816200097692e0692f9&amp;utm_source=Email%20marketing%20software&amp;utm_term=Blood%20BioTech%20to%20build%20manufacturing%20hub%20in%20Qld&amp;utm_term=Blood%20BioTech%20to%20build%20manufacturing%20hub%20in%20Qld" TargetMode="External"/><Relationship Id="rId146" Type="http://schemas.openxmlformats.org/officeDocument/2006/relationships/hyperlink" Target="https://www.reuters.com/business/australias-csl-raises-annual-profit-forecast-swiss-acquisition-2022-10-17/" TargetMode="External"/><Relationship Id="rId167" Type="http://schemas.openxmlformats.org/officeDocument/2006/relationships/hyperlink" Target="https://newsroom.unsw.edu.au/news/health/research-collaboration-provide-data-needed-stop-monkeypox-its-trax" TargetMode="External"/><Relationship Id="rId7" Type="http://schemas.openxmlformats.org/officeDocument/2006/relationships/settings" Target="settings.xml"/><Relationship Id="rId71" Type="http://schemas.openxmlformats.org/officeDocument/2006/relationships/hyperlink" Target="https://onlinelibrary.wiley.com/doi/10.1002/pbc.30109?af=R" TargetMode="External"/><Relationship Id="rId92" Type="http://schemas.openxmlformats.org/officeDocument/2006/relationships/hyperlink" Target="https://onlinelibrary.wiley.com/doi/10.1111/vox.13332?af=R" TargetMode="External"/><Relationship Id="rId162" Type="http://schemas.openxmlformats.org/officeDocument/2006/relationships/hyperlink" Target="https://www.standard.net.au/story/7949497/aust-scientists-fear-encephalitis-outbreak/" TargetMode="External"/><Relationship Id="rId2" Type="http://schemas.openxmlformats.org/officeDocument/2006/relationships/customXml" Target="../customXml/item2.xml"/><Relationship Id="rId29" Type="http://schemas.openxmlformats.org/officeDocument/2006/relationships/hyperlink" Target="https://www.dovepress.com/prevalence-of-syphilis-infections-among-volunteer-blood-donors-in-jina-peer-reviewed-fulltext-article-IDR" TargetMode="External"/><Relationship Id="rId24" Type="http://schemas.openxmlformats.org/officeDocument/2006/relationships/hyperlink" Target="https://www.tehrantimes.com/news/478400/Over-1-3m-Iranians-donate-blood-in-7-months" TargetMode="External"/><Relationship Id="rId40" Type="http://schemas.openxmlformats.org/officeDocument/2006/relationships/hyperlink" Target="https://onlinelibrary.wiley.com/doi/10.1111/hae.14700?af=R" TargetMode="External"/><Relationship Id="rId45" Type="http://schemas.openxmlformats.org/officeDocument/2006/relationships/hyperlink" Target="https://onlinelibrary.wiley.com/doi/10.1111/hae.14680?af=R" TargetMode="External"/><Relationship Id="rId66" Type="http://schemas.openxmlformats.org/officeDocument/2006/relationships/hyperlink" Target="https://www.thelancet.com/journals/lanhae/article/PIIS2352-3026(22)00323-4/fulltext" TargetMode="External"/><Relationship Id="rId87" Type="http://schemas.openxmlformats.org/officeDocument/2006/relationships/hyperlink" Target="https://onlinelibrary.wiley.com/doi/full/10.1111/vox.13381" TargetMode="External"/><Relationship Id="rId110" Type="http://schemas.openxmlformats.org/officeDocument/2006/relationships/hyperlink" Target="https://www.biopharmadive.com/news/gene-therapy-approvals-bring-validation-as-field-closes-year-on-high/628575/" TargetMode="External"/><Relationship Id="rId115" Type="http://schemas.openxmlformats.org/officeDocument/2006/relationships/hyperlink" Target="https://www.biopharmadive.com/news/pfizer-sangamo-hemophilia-gene-therapy-fda-trial-resume/632529/" TargetMode="External"/><Relationship Id="rId131" Type="http://schemas.openxmlformats.org/officeDocument/2006/relationships/hyperlink" Target="https://endpts.com/a-new-vega-enters-the-galaxy-with-bleeding-disorder-antibody-set-for-2023-trial/" TargetMode="External"/><Relationship Id="rId136" Type="http://schemas.openxmlformats.org/officeDocument/2006/relationships/hyperlink" Target="https://onlinelibrary.wiley.com/doi/10.1111/jth.15875?af=R" TargetMode="External"/><Relationship Id="rId157" Type="http://schemas.openxmlformats.org/officeDocument/2006/relationships/hyperlink" Target="https://www.abc.net.au/news/2022-10-19/nt-mosquitoes-study/101548550" TargetMode="External"/><Relationship Id="rId178" Type="http://schemas.openxmlformats.org/officeDocument/2006/relationships/header" Target="header2.xml"/><Relationship Id="rId61" Type="http://schemas.openxmlformats.org/officeDocument/2006/relationships/hyperlink" Target="https://www.healio.com/news/hematology-oncology/20221104/elranatamab-receives-breakthrough-therapy-designation-for-advanced-multiple-myeloma" TargetMode="External"/><Relationship Id="rId82" Type="http://schemas.openxmlformats.org/officeDocument/2006/relationships/hyperlink" Target="https://onlinelibrary.wiley.com/doi/10.1111/vox.13382?af=R" TargetMode="External"/><Relationship Id="rId152" Type="http://schemas.openxmlformats.org/officeDocument/2006/relationships/hyperlink" Target="https://www.nichd.nih.gov/newsroom/news/102622-placental-malaria" TargetMode="External"/><Relationship Id="rId173" Type="http://schemas.openxmlformats.org/officeDocument/2006/relationships/hyperlink" Target="https://www.newscientist.com/article/2343254-uganda-introduces-its-first-ebola-lockdown-while-it-waits-for-vaccines/" TargetMode="External"/><Relationship Id="rId19" Type="http://schemas.openxmlformats.org/officeDocument/2006/relationships/hyperlink" Target="https://krcrtv.com/north-coast-news/eureka-local-news/northern-california-community-blood-bank-using-new-tech-to-address-donation-shortages" TargetMode="External"/><Relationship Id="rId14" Type="http://schemas.openxmlformats.org/officeDocument/2006/relationships/hyperlink" Target="https://www.lifeblood.com.au/news-and-stories/media-centre/media-releases/aussie-plasma-donors-needed-medical-miracle" TargetMode="External"/><Relationship Id="rId30" Type="http://schemas.openxmlformats.org/officeDocument/2006/relationships/hyperlink" Target="https://onlinelibrary.wiley.com/doi/10.1111/trf.17169?af=R" TargetMode="External"/><Relationship Id="rId35" Type="http://schemas.openxmlformats.org/officeDocument/2006/relationships/hyperlink" Target="https://journals.plos.org/plosntds/article?id=10.1371/journal.pntd.0010843" TargetMode="External"/><Relationship Id="rId56" Type="http://schemas.openxmlformats.org/officeDocument/2006/relationships/hyperlink" Target="https://medlineplus.gov/genetics/gene/adamts13/" TargetMode="External"/><Relationship Id="rId77" Type="http://schemas.openxmlformats.org/officeDocument/2006/relationships/hyperlink" Target="https://journals.plos.org/plosone/article?id=10.1371/journal.pone.0275879" TargetMode="External"/><Relationship Id="rId100" Type="http://schemas.openxmlformats.org/officeDocument/2006/relationships/hyperlink" Target="https://www.cochranelibrary.com/cdsr/doi/10.1002/14651858.CD013551.pub2/full" TargetMode="External"/><Relationship Id="rId105" Type="http://schemas.openxmlformats.org/officeDocument/2006/relationships/hyperlink" Target="https://aus01.safelinks.protection.outlook.com/?url=https%3A%2F%2Fwww.grants.gov.au%2FGo%2FShow%3FGoUuid%3Dddca6ab1-208b-495f-a0d4-857949472069&amp;data=05%7C01%7CTiernan.Kelly%40blood.gov.au%7C8338e726f26e4ea5818c08daa7321e6f%7C9c23305707384b4091b23798ceb38ebf%7C0%7C0%7C638006130960490897%7CUnknown%7CTWFpbGZsb3d8eyJWIjoiMC4wLjAwMDAiLCJQIjoiV2luMzIiLCJBTiI6Ik1haWwiLCJXVCI6Mn0%3D%7C3000%7C%7C%7C&amp;sdata=lKR6iYGNqjuISBHmXD2Lf5xQJpT1FbZXGI0PaT4%2Bj%2F0%3D&amp;reserved=0" TargetMode="External"/><Relationship Id="rId126" Type="http://schemas.openxmlformats.org/officeDocument/2006/relationships/hyperlink" Target="https://onlinelibrary.wiley.com/doi/full/10.1111/tme.12933?campaign=woletoc" TargetMode="External"/><Relationship Id="rId147" Type="http://schemas.openxmlformats.org/officeDocument/2006/relationships/hyperlink" Target="https://endpts.com/the-accelerated-approval-pathway-is-evolving-in-plain-sight-with-or-without-congressional-help/" TargetMode="External"/><Relationship Id="rId168" Type="http://schemas.openxmlformats.org/officeDocument/2006/relationships/hyperlink" Target="https://jamanetwork.com/journals/jama/fullarticle/2796672" TargetMode="External"/><Relationship Id="rId8" Type="http://schemas.openxmlformats.org/officeDocument/2006/relationships/webSettings" Target="webSettings.xml"/><Relationship Id="rId51" Type="http://schemas.openxmlformats.org/officeDocument/2006/relationships/hyperlink" Target="https://onlinelibrary.wiley.com/doi/10.1111/hae.14664?af=R" TargetMode="External"/><Relationship Id="rId72" Type="http://schemas.openxmlformats.org/officeDocument/2006/relationships/hyperlink" Target="https://onlinelibrary.wiley.com/doi/10.1111/trf.17163?af=R" TargetMode="External"/><Relationship Id="rId93" Type="http://schemas.openxmlformats.org/officeDocument/2006/relationships/hyperlink" Target="https://onlinelibrary.wiley.com/doi/10.1111/trf.17157?af=R" TargetMode="External"/><Relationship Id="rId98" Type="http://schemas.openxmlformats.org/officeDocument/2006/relationships/hyperlink" Target="https://onlinelibrary.wiley.com/doi/10.1111/trf.17139?af=R" TargetMode="External"/><Relationship Id="rId121" Type="http://schemas.openxmlformats.org/officeDocument/2006/relationships/hyperlink" Target="https://onlinelibrary.wiley.com/doi/10.1002/cti2.1424" TargetMode="External"/><Relationship Id="rId142" Type="http://schemas.openxmlformats.org/officeDocument/2006/relationships/hyperlink" Target="https://endpts.com/private-investment-firm-snaps-up-pfizer-facility-in-western-australia/" TargetMode="External"/><Relationship Id="rId163" Type="http://schemas.openxmlformats.org/officeDocument/2006/relationships/hyperlink" Target="https://www.health.gov.au/health-alerts/japanese-encephalitis-virus-jev/about" TargetMode="External"/><Relationship Id="rId3" Type="http://schemas.openxmlformats.org/officeDocument/2006/relationships/customXml" Target="../customXml/item3.xml"/><Relationship Id="rId25" Type="http://schemas.openxmlformats.org/officeDocument/2006/relationships/hyperlink" Target="https://www.bbc.com/news/health-63239924" TargetMode="External"/><Relationship Id="rId46" Type="http://schemas.openxmlformats.org/officeDocument/2006/relationships/hyperlink" Target="https://onlinelibrary.wiley.com/doi/10.1111/hae.14679?af=R" TargetMode="External"/><Relationship Id="rId67" Type="http://schemas.openxmlformats.org/officeDocument/2006/relationships/hyperlink" Target="https://www.targetedonc.com/view/luspatercept-improves-rbc-transfusion-independence-in-patients-with-mds" TargetMode="External"/><Relationship Id="rId116" Type="http://schemas.openxmlformats.org/officeDocument/2006/relationships/hyperlink" Target="https://www.aihw.gov.au/news-media/media-releases/2021/december/covid-19-disruptions-led-to-lowest-number-of-publi" TargetMode="External"/><Relationship Id="rId137" Type="http://schemas.openxmlformats.org/officeDocument/2006/relationships/hyperlink" Target="https://www.pharmatimes.com/news/genetically_modified_herpes_combats_advanced_cancers_1455736" TargetMode="External"/><Relationship Id="rId158" Type="http://schemas.openxmlformats.org/officeDocument/2006/relationships/hyperlink" Target="https://www.hindustantimes.com/cities/others/soaring-platelet-demand-after-spike-in-dengue-cases-101665689508659.html" TargetMode="External"/><Relationship Id="rId20" Type="http://schemas.openxmlformats.org/officeDocument/2006/relationships/hyperlink" Target="https://au.finance.yahoo.com/news/csl-plasma-expands-california-donation-163500578.html" TargetMode="External"/><Relationship Id="rId41" Type="http://schemas.openxmlformats.org/officeDocument/2006/relationships/hyperlink" Target="https://www.frontiersin.org/articles/10.3389/fimmu.2022.975680/full" TargetMode="External"/><Relationship Id="rId62" Type="http://schemas.openxmlformats.org/officeDocument/2006/relationships/hyperlink" Target="https://www.fda.gov/drugs/resources-information-approved-drugs/fda-approves-olutasidenib-relapsed-or-refractory-acute-myeloid-leukemia-susceptible-idh1-mutation?utm_medium=email&amp;utm_source=govdelivery" TargetMode="External"/><Relationship Id="rId83" Type="http://schemas.openxmlformats.org/officeDocument/2006/relationships/hyperlink" Target="https://onlinelibrary.wiley.com/doi/10.1111/trf.17135?af=R" TargetMode="External"/><Relationship Id="rId88" Type="http://schemas.openxmlformats.org/officeDocument/2006/relationships/hyperlink" Target="https://academic.oup.com/bjsopen/article/6/6/zrac128/6794769" TargetMode="External"/><Relationship Id="rId111" Type="http://schemas.openxmlformats.org/officeDocument/2006/relationships/hyperlink" Target="https://translational-medicine.biomedcentral.com/articles/10.1186/s12967-022-03747-3" TargetMode="External"/><Relationship Id="rId132" Type="http://schemas.openxmlformats.org/officeDocument/2006/relationships/hyperlink" Target="https://onlinelibrary.wiley.com/doi/10.1111/vox.13361" TargetMode="External"/><Relationship Id="rId153" Type="http://schemas.openxmlformats.org/officeDocument/2006/relationships/hyperlink" Target="https://www.nejm.org/doi/full/10.1056/NEJMe2213148" TargetMode="External"/><Relationship Id="rId174" Type="http://schemas.openxmlformats.org/officeDocument/2006/relationships/hyperlink" Target="https://www.news.com.au/lifestyle/health/health-problems/warning-about-ross-river-virus-as-mosquitoes-invade-backyards/news-story/4aeb88467fb65015cb1fbf225b8394af" TargetMode="External"/><Relationship Id="rId179" Type="http://schemas.openxmlformats.org/officeDocument/2006/relationships/footer" Target="footer1.xml"/><Relationship Id="rId15" Type="http://schemas.openxmlformats.org/officeDocument/2006/relationships/hyperlink" Target="https://www.lifeblood.com.au/news-and-stories/media-centre/media-releases/tattoo-artists-illustrate-tatts-are-no-barrier-blood-donation" TargetMode="External"/><Relationship Id="rId36" Type="http://schemas.openxmlformats.org/officeDocument/2006/relationships/hyperlink" Target="https://onlinelibrary.wiley.com/doi/10.1111/vox.13350?af=R" TargetMode="External"/><Relationship Id="rId57" Type="http://schemas.openxmlformats.org/officeDocument/2006/relationships/hyperlink" Target="https://onlinelibrary.wiley.com/doi/10.1111/hae.14671?af=R" TargetMode="External"/><Relationship Id="rId106" Type="http://schemas.openxmlformats.org/officeDocument/2006/relationships/hyperlink" Target="https://aus01.safelinks.protection.outlook.com/?url=https%3A%2F%2Fwww.grants.gov.au%2FGo%2FShow%3FGoUuid%3Dca16278b-eceb-444a-849a-a66921386bb4&amp;data=05%7C01%7CTiernan.Kelly%40blood.gov.au%7C8338e726f26e4ea5818c08daa7321e6f%7C9c23305707384b4091b23798ceb38ebf%7C0%7C0%7C638006130960490897%7CUnknown%7CTWFpbGZsb3d8eyJWIjoiMC4wLjAwMDAiLCJQIjoiV2luMzIiLCJBTiI6Ik1haWwiLCJXVCI6Mn0%3D%7C3000%7C%7C%7C&amp;sdata=fp6V%2BSF4qupvFJkLLz4GdBNEKGmBEwwagGGCEmPJQoQ%3D&amp;reserved=0" TargetMode="External"/><Relationship Id="rId127" Type="http://schemas.openxmlformats.org/officeDocument/2006/relationships/hyperlink" Target="https://www.blood.gov.au/completed-grants-national-blood-sector-research-and-development-program" TargetMode="External"/><Relationship Id="rId10" Type="http://schemas.openxmlformats.org/officeDocument/2006/relationships/endnotes" Target="endnotes.xml"/><Relationship Id="rId31" Type="http://schemas.openxmlformats.org/officeDocument/2006/relationships/hyperlink" Target="https://onlinelibrary.wiley.com/doi/10.1111/trf.17165?af=R" TargetMode="External"/><Relationship Id="rId52" Type="http://schemas.openxmlformats.org/officeDocument/2006/relationships/hyperlink" Target="https://onlinelibrary.wiley.com/doi/10.1111/hae.14665?af=R" TargetMode="External"/><Relationship Id="rId73" Type="http://schemas.openxmlformats.org/officeDocument/2006/relationships/hyperlink" Target="https://www.sciencedaily.com/releases/2022/10/221012132603.htm" TargetMode="External"/><Relationship Id="rId78" Type="http://schemas.openxmlformats.org/officeDocument/2006/relationships/hyperlink" Target="https://www.sciencedirect.com/science/article/pii/S0147651322009186" TargetMode="External"/><Relationship Id="rId94" Type="http://schemas.openxmlformats.org/officeDocument/2006/relationships/hyperlink" Target="https://ccforum.biomedcentral.com/articles/10.1186/s13054-022-04171-1" TargetMode="External"/><Relationship Id="rId99" Type="http://schemas.openxmlformats.org/officeDocument/2006/relationships/hyperlink" Target="https://onlinelibrary.wiley.com/doi/10.1111/trf.17080?af=R" TargetMode="External"/><Relationship Id="rId101" Type="http://schemas.openxmlformats.org/officeDocument/2006/relationships/hyperlink" Target="https://www.annals.in/article.asp?issn=0971-9784;year=2022;volume=25;issue=4;spage=466;epage=471;aulast=Totonchi" TargetMode="External"/><Relationship Id="rId122" Type="http://schemas.openxmlformats.org/officeDocument/2006/relationships/hyperlink" Target="https://www.sciencedirect.com/science/article/pii/S2213219822010431" TargetMode="External"/><Relationship Id="rId143" Type="http://schemas.openxmlformats.org/officeDocument/2006/relationships/hyperlink" Target="https://www.yahoo.com/news/australias-csl-mrna-vaccine-licensing-221744705.html" TargetMode="External"/><Relationship Id="rId148" Type="http://schemas.openxmlformats.org/officeDocument/2006/relationships/hyperlink" Target="https://onlinelibrary.wiley.com/doi/10.1111/vox.13378?af=R" TargetMode="External"/><Relationship Id="rId164" Type="http://schemas.openxmlformats.org/officeDocument/2006/relationships/hyperlink" Target="https://www.reuters.com/business/healthcare-pharmaceuticals/us-fda-authorizes-roches-monkeypox-test-2022-11-15/" TargetMode="External"/><Relationship Id="rId169" Type="http://schemas.openxmlformats.org/officeDocument/2006/relationships/hyperlink" Target="https://www.vaxbeforetravel.com/ebola-screening-activated-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3.xml"/><Relationship Id="rId26" Type="http://schemas.openxmlformats.org/officeDocument/2006/relationships/hyperlink" Target="https://onlinelibrary.wiley.com/doi/10.1111/vox.13375?af=R" TargetMode="External"/><Relationship Id="rId47" Type="http://schemas.openxmlformats.org/officeDocument/2006/relationships/hyperlink" Target="https://onlinelibrary.wiley.com/doi/10.1111/hae.14684?af=R" TargetMode="External"/><Relationship Id="rId68" Type="http://schemas.openxmlformats.org/officeDocument/2006/relationships/hyperlink" Target="https://www.biopharmadive.com/news/editas-sickle-cell-releases-first-trial-data/638198/" TargetMode="External"/><Relationship Id="rId89" Type="http://schemas.openxmlformats.org/officeDocument/2006/relationships/hyperlink" Target="https://onlinelibrary.wiley.com/doi/10.1111/trf.17154?af=R" TargetMode="External"/><Relationship Id="rId112" Type="http://schemas.openxmlformats.org/officeDocument/2006/relationships/hyperlink" Target="https://jamanetwork.com/journals/jama/fullarticle/2798189" TargetMode="External"/><Relationship Id="rId133" Type="http://schemas.openxmlformats.org/officeDocument/2006/relationships/hyperlink" Target="https://www.labiotech.eu/trends-news/mini-bone-marrow-could-boost-anti-cancer-treatments/" TargetMode="External"/><Relationship Id="rId154" Type="http://schemas.openxmlformats.org/officeDocument/2006/relationships/hyperlink" Target="https://www.irishexaminer.com/news/arid-41020580.html" TargetMode="External"/><Relationship Id="rId175" Type="http://schemas.openxmlformats.org/officeDocument/2006/relationships/hyperlink" Target="https://www.dailymail.co.uk/news/article-11249071/NSW-Health-high-alert-polio-cases-Australia.html" TargetMode="External"/><Relationship Id="rId16" Type="http://schemas.openxmlformats.org/officeDocument/2006/relationships/hyperlink" Target="https://www.mlive.com/news/flint/2022/11/blood-donations-sought-in-flint-to-diversify-donor-pool-combat-sickle-cell-disease.html" TargetMode="External"/><Relationship Id="rId37" Type="http://schemas.openxmlformats.org/officeDocument/2006/relationships/hyperlink" Target="https://thehill.com/changing-america/well-being/medical-advances/3673719-scientists-find-new-set-of-blood-types/" TargetMode="External"/><Relationship Id="rId58" Type="http://schemas.openxmlformats.org/officeDocument/2006/relationships/hyperlink" Target="https://www.pharmatimes.com/news/nice_recommends_sobis_doptelet_to_treat_thrombocytopenia_1481131" TargetMode="External"/><Relationship Id="rId79" Type="http://schemas.openxmlformats.org/officeDocument/2006/relationships/hyperlink" Target="https://angioedemanews.com/news/hae-patients-see-benefits-following-1-year-treatment-with-takhzyro/" TargetMode="External"/><Relationship Id="rId102" Type="http://schemas.openxmlformats.org/officeDocument/2006/relationships/hyperlink" Target="https://onlinelibrary.wiley.com/doi/10.1111/vox.13366?af=R" TargetMode="External"/><Relationship Id="rId123" Type="http://schemas.openxmlformats.org/officeDocument/2006/relationships/hyperlink" Target="https://onlinelibrary.wiley.com/doi/10.1111/vox.13367?af=R" TargetMode="External"/><Relationship Id="rId144" Type="http://schemas.openxmlformats.org/officeDocument/2006/relationships/hyperlink" Target="https://www.globenewswire.com/news-release/2022/10/14/2534660/0/en/Novo-Nordisk-announces-the-completion-of-the-Forma-Therapeutics-acquisition.html" TargetMode="External"/><Relationship Id="rId90" Type="http://schemas.openxmlformats.org/officeDocument/2006/relationships/hyperlink" Target="https://onlinelibrary.wiley.com/doi/10.1111/trf.17184?af=R" TargetMode="External"/><Relationship Id="rId165" Type="http://schemas.openxmlformats.org/officeDocument/2006/relationships/hyperlink" Target="https://www.forbes.com/sites/roberthart/2022/11/03/scientists-warn-dangerous-monkeypox-variant-circulating-in-central-africa-could-fuel-new-outbreaks/?sh=68b78c0a60c6" TargetMode="External"/><Relationship Id="rId27" Type="http://schemas.openxmlformats.org/officeDocument/2006/relationships/hyperlink" Target="https://onlinelibrary.wiley.com/doi/10.1111/trf.17215?af=R" TargetMode="External"/><Relationship Id="rId48" Type="http://schemas.openxmlformats.org/officeDocument/2006/relationships/hyperlink" Target="https://pubmed.ncbi.nlm.nih.gov/36285399/" TargetMode="External"/><Relationship Id="rId69" Type="http://schemas.openxmlformats.org/officeDocument/2006/relationships/hyperlink" Target="https://www.cureus.com/articles/124953-blood-transfusion-vs-hydroxyurea-for-stroke-prevention-in-children-with-sickle-cell-anemia-a-systematic-review-and-meta-analysis" TargetMode="External"/><Relationship Id="rId113" Type="http://schemas.openxmlformats.org/officeDocument/2006/relationships/hyperlink" Target="https://www.biopharmadive.com/news/biomarin-fda-hemophilia-gene-therapy-application-accepted-review/634054/" TargetMode="External"/><Relationship Id="rId134" Type="http://schemas.openxmlformats.org/officeDocument/2006/relationships/hyperlink" Target="https://www.bbc.com/news/health-63513330" TargetMode="External"/><Relationship Id="rId80" Type="http://schemas.openxmlformats.org/officeDocument/2006/relationships/hyperlink" Target="https://angioedemanews.com/news/hae-attacks-safely-prevented-ntla-2002-gene-therapy-trial-data/" TargetMode="External"/><Relationship Id="rId155" Type="http://schemas.openxmlformats.org/officeDocument/2006/relationships/hyperlink" Target="https://www.devdiscourse.com/article/law-order/2279714-urgent-takedas-dengue-vaccine-wins-eu-approval" TargetMode="External"/><Relationship Id="rId176" Type="http://schemas.openxmlformats.org/officeDocument/2006/relationships/hyperlink" Target="https://www.abc.net.au/news/2022-09-26/polio-outbreak-fears-as-cases-emerge-overseas/101448202" TargetMode="External"/><Relationship Id="rId17" Type="http://schemas.openxmlformats.org/officeDocument/2006/relationships/hyperlink" Target="https://www.ktiv.com/2022/11/29/lifeserve-blood-center-celebrates-75-years-saving-lives/" TargetMode="External"/><Relationship Id="rId38" Type="http://schemas.openxmlformats.org/officeDocument/2006/relationships/hyperlink" Target="https://onlinelibrary.wiley.com/doi/10.1111/hae.14692?af=R" TargetMode="External"/><Relationship Id="rId59" Type="http://schemas.openxmlformats.org/officeDocument/2006/relationships/hyperlink" Target="https://journals.sagepub.com/doi/full/10.1177/20406207221134404" TargetMode="External"/><Relationship Id="rId103" Type="http://schemas.openxmlformats.org/officeDocument/2006/relationships/hyperlink" Target="https://www.sciencedirect.com/science/article/abs/pii/S1568997222001756?via%3Dihub" TargetMode="External"/><Relationship Id="rId124" Type="http://schemas.openxmlformats.org/officeDocument/2006/relationships/hyperlink" Target="https://onlinelibrary.wiley.com/doi/10.1111/trf.17089?af=R" TargetMode="External"/><Relationship Id="rId70" Type="http://schemas.openxmlformats.org/officeDocument/2006/relationships/hyperlink" Target="https://onlinelibrary.wiley.com/doi/10.1002/pbc.29980?af=R" TargetMode="External"/><Relationship Id="rId91" Type="http://schemas.openxmlformats.org/officeDocument/2006/relationships/hyperlink" Target="https://jamanetwork.com/journals/jamanetworkopen/fullarticle/2797472" TargetMode="External"/><Relationship Id="rId145" Type="http://schemas.openxmlformats.org/officeDocument/2006/relationships/hyperlink" Target="https://www.biopharmadive.com/news/biontech-mrna-manufacturing-facility-australia/633565/" TargetMode="External"/><Relationship Id="rId166" Type="http://schemas.openxmlformats.org/officeDocument/2006/relationships/hyperlink" Target="https://www.voanews.com/a/worldwide-monkeypox-cases-surpass-70-000-who-says-/6787138.html" TargetMode="External"/><Relationship Id="rId1" Type="http://schemas.openxmlformats.org/officeDocument/2006/relationships/customXml" Target="../customXml/item1.xml"/><Relationship Id="rId28" Type="http://schemas.openxmlformats.org/officeDocument/2006/relationships/hyperlink" Target="https://onlinelibrary.wiley.com/doi/10.1111/trf.17160?af=R" TargetMode="External"/><Relationship Id="rId49" Type="http://schemas.openxmlformats.org/officeDocument/2006/relationships/hyperlink" Target="https://onlinelibrary.wiley.com/doi/10.1111/hae.14667?af=R" TargetMode="External"/><Relationship Id="rId114" Type="http://schemas.openxmlformats.org/officeDocument/2006/relationships/hyperlink" Target="https://www.scienceboard.net/index.aspx?sec=ser&amp;sub=def&amp;pag=dis&amp;ItemID=48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rnan.kelly\OneDrive%20-%20National%20Blood%20Authority\Desktop\Attachment%20A%20July%20-%20September%20Monitoring%20International%20Tr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740f0ee-9305-4c47-91c9-f75b4f2b01e7" xsi:nil="true"/>
    <lcf76f155ced4ddcb4097134ff3c332f xmlns="b60b4441-8c8a-413c-9864-b5894c25767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E3E055AA798B45886A5C0D9858BE92" ma:contentTypeVersion="16" ma:contentTypeDescription="Create a new document." ma:contentTypeScope="" ma:versionID="f247f3237729adfaede57daaf77b4f1b">
  <xsd:schema xmlns:xsd="http://www.w3.org/2001/XMLSchema" xmlns:xs="http://www.w3.org/2001/XMLSchema" xmlns:p="http://schemas.microsoft.com/office/2006/metadata/properties" xmlns:ns2="b60b4441-8c8a-413c-9864-b5894c257675" xmlns:ns3="9740f0ee-9305-4c47-91c9-f75b4f2b01e7" targetNamespace="http://schemas.microsoft.com/office/2006/metadata/properties" ma:root="true" ma:fieldsID="7cf7690202e9593787f235ba893222b9" ns2:_="" ns3:_="">
    <xsd:import namespace="b60b4441-8c8a-413c-9864-b5894c257675"/>
    <xsd:import namespace="9740f0ee-9305-4c47-91c9-f75b4f2b01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b4441-8c8a-413c-9864-b5894c25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7bad9a-45d8-4af9-8c19-56a0705915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40f0ee-9305-4c47-91c9-f75b4f2b01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657d9a-bf84-4ea9-a0de-ad531108c057}" ma:internalName="TaxCatchAll" ma:showField="CatchAllData" ma:web="9740f0ee-9305-4c47-91c9-f75b4f2b01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D8A95F-27CD-4641-850D-70B66A9A67DD}">
  <ds:schemaRefs>
    <ds:schemaRef ds:uri="http://schemas.microsoft.com/sharepoint/v3/contenttype/forms"/>
  </ds:schemaRefs>
</ds:datastoreItem>
</file>

<file path=customXml/itemProps2.xml><?xml version="1.0" encoding="utf-8"?>
<ds:datastoreItem xmlns:ds="http://schemas.openxmlformats.org/officeDocument/2006/customXml" ds:itemID="{2A01D170-A1E8-464E-86C7-5CD5474FE23F}">
  <ds:schemaRefs>
    <ds:schemaRef ds:uri="http://schemas.openxmlformats.org/officeDocument/2006/bibliography"/>
  </ds:schemaRefs>
</ds:datastoreItem>
</file>

<file path=customXml/itemProps3.xml><?xml version="1.0" encoding="utf-8"?>
<ds:datastoreItem xmlns:ds="http://schemas.openxmlformats.org/officeDocument/2006/customXml" ds:itemID="{C36338B4-DF33-4270-A8F7-D901C4D58BD8}">
  <ds:schemaRefs>
    <ds:schemaRef ds:uri="http://schemas.microsoft.com/office/2006/metadata/properties"/>
    <ds:schemaRef ds:uri="http://schemas.microsoft.com/office/infopath/2007/PartnerControls"/>
    <ds:schemaRef ds:uri="9740f0ee-9305-4c47-91c9-f75b4f2b01e7"/>
    <ds:schemaRef ds:uri="b60b4441-8c8a-413c-9864-b5894c257675"/>
  </ds:schemaRefs>
</ds:datastoreItem>
</file>

<file path=customXml/itemProps4.xml><?xml version="1.0" encoding="utf-8"?>
<ds:datastoreItem xmlns:ds="http://schemas.openxmlformats.org/officeDocument/2006/customXml" ds:itemID="{D95B82F5-E3E5-4E68-A582-DCCE3F47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b4441-8c8a-413c-9864-b5894c257675"/>
    <ds:schemaRef ds:uri="9740f0ee-9305-4c47-91c9-f75b4f2b0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Attachment A July - September Monitoring International Trends</Template>
  <TotalTime>1</TotalTime>
  <Pages>23</Pages>
  <Words>14339</Words>
  <Characters>81737</Characters>
  <Application>Microsoft Office Word</Application>
  <DocSecurity>4</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National Blood Authority</Company>
  <LinksUpToDate>false</LinksUpToDate>
  <CharactersWithSpaces>95885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Tiernan</dc:creator>
  <cp:keywords/>
  <dc:description/>
  <cp:lastModifiedBy>Wade, Alice</cp:lastModifiedBy>
  <cp:revision>2</cp:revision>
  <dcterms:created xsi:type="dcterms:W3CDTF">2023-02-22T00:41:00Z</dcterms:created>
  <dcterms:modified xsi:type="dcterms:W3CDTF">2023-02-22T00:41:00Z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7097b2f9-2462-49f5-9597-8ff3faa6ba1e</vt:lpwstr>
  </property>
  <property fmtid="{D5CDD505-2E9C-101B-9397-08002B2CF9AE}" pid="3" name="ContentTypeId">
    <vt:lpwstr>0x01010007E3E055AA798B45886A5C0D9858BE92</vt:lpwstr>
  </property>
  <property fmtid="{D5CDD505-2E9C-101B-9397-08002B2CF9AE}" pid="4" name="ClassificationContentMarkingHeaderShapeIds">
    <vt:lpwstr>1,2,3</vt:lpwstr>
  </property>
  <property fmtid="{D5CDD505-2E9C-101B-9397-08002B2CF9AE}" pid="5" name="ClassificationContentMarkingHeaderFontProps">
    <vt:lpwstr>#ff0000,12,Calibri</vt:lpwstr>
  </property>
  <property fmtid="{D5CDD505-2E9C-101B-9397-08002B2CF9AE}" pid="6" name="ClassificationContentMarkingHeaderText">
    <vt:lpwstr>OFFICIAL</vt:lpwstr>
  </property>
  <property fmtid="{D5CDD505-2E9C-101B-9397-08002B2CF9AE}" pid="7" name="MSIP_Label_11d3a1ea-a727-4720-a216-7dae13a61c56_Enabled">
    <vt:lpwstr>true</vt:lpwstr>
  </property>
  <property fmtid="{D5CDD505-2E9C-101B-9397-08002B2CF9AE}" pid="8" name="MSIP_Label_11d3a1ea-a727-4720-a216-7dae13a61c56_SetDate">
    <vt:lpwstr>2022-08-05T03:11:00Z</vt:lpwstr>
  </property>
  <property fmtid="{D5CDD505-2E9C-101B-9397-08002B2CF9AE}" pid="9" name="MSIP_Label_11d3a1ea-a727-4720-a216-7dae13a61c56_Method">
    <vt:lpwstr>Privileged</vt:lpwstr>
  </property>
  <property fmtid="{D5CDD505-2E9C-101B-9397-08002B2CF9AE}" pid="10" name="MSIP_Label_11d3a1ea-a727-4720-a216-7dae13a61c56_Name">
    <vt:lpwstr>OFFICIAL</vt:lpwstr>
  </property>
  <property fmtid="{D5CDD505-2E9C-101B-9397-08002B2CF9AE}" pid="11" name="MSIP_Label_11d3a1ea-a727-4720-a216-7dae13a61c56_SiteId">
    <vt:lpwstr>9c233057-0738-4b40-91b2-3798ceb38ebf</vt:lpwstr>
  </property>
  <property fmtid="{D5CDD505-2E9C-101B-9397-08002B2CF9AE}" pid="12" name="MSIP_Label_11d3a1ea-a727-4720-a216-7dae13a61c56_ActionId">
    <vt:lpwstr>191d0c30-e094-4eac-91cd-1e3a654ded67</vt:lpwstr>
  </property>
  <property fmtid="{D5CDD505-2E9C-101B-9397-08002B2CF9AE}" pid="13" name="MSIP_Label_11d3a1ea-a727-4720-a216-7dae13a61c56_ContentBits">
    <vt:lpwstr>1</vt:lpwstr>
  </property>
  <property fmtid="{D5CDD505-2E9C-101B-9397-08002B2CF9AE}" pid="14" name="MediaServiceImageTags">
    <vt:lpwstr/>
  </property>
</Properties>
</file>