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35" w:rsidRDefault="00391235" w:rsidP="006E22B9">
      <w:bookmarkStart w:id="0" w:name="_GoBack"/>
      <w:bookmarkEnd w:id="0"/>
    </w:p>
    <w:p w:rsidR="009D0EB3" w:rsidRDefault="009D0EB3" w:rsidP="006E22B9"/>
    <w:p w:rsidR="009D0EB3" w:rsidRDefault="00525DB6" w:rsidP="00525DB6">
      <w:pPr>
        <w:pStyle w:val="Heading2"/>
      </w:pPr>
      <w:r>
        <w:t>Management Model for Fibrinogen Concentrate supplied under the national blood arrangements for congenital fibrinogen deficiency</w:t>
      </w:r>
    </w:p>
    <w:p w:rsidR="00525DB6" w:rsidRPr="00525DB6" w:rsidRDefault="00525DB6" w:rsidP="00525DB6"/>
    <w:p w:rsidR="009D0EB3" w:rsidRPr="00525DB6" w:rsidRDefault="009D0EB3" w:rsidP="009D0EB3">
      <w:pPr>
        <w:rPr>
          <w:rFonts w:ascii="Calibri" w:hAnsi="Calibri" w:cs="Calibri"/>
          <w:b/>
          <w:sz w:val="22"/>
          <w:szCs w:val="22"/>
        </w:rPr>
      </w:pPr>
      <w:r w:rsidRPr="00525DB6">
        <w:rPr>
          <w:rFonts w:ascii="Calibri" w:hAnsi="Calibri" w:cs="Calibri"/>
          <w:b/>
          <w:sz w:val="22"/>
          <w:szCs w:val="22"/>
        </w:rPr>
        <w:t>Governance</w:t>
      </w:r>
    </w:p>
    <w:p w:rsidR="009D0EB3" w:rsidRPr="00525DB6" w:rsidRDefault="009D0EB3" w:rsidP="009D0EB3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525DB6">
        <w:rPr>
          <w:rFonts w:ascii="Calibri" w:hAnsi="Calibri" w:cs="Calibri"/>
          <w:sz w:val="22"/>
          <w:szCs w:val="22"/>
        </w:rPr>
        <w:t>In general, management and use of Fibrinogen Concentrate for congenital deficiency will be subject to oversight by a recognised Haemophilia Treatment Centre (HTC).</w:t>
      </w:r>
    </w:p>
    <w:p w:rsidR="009D0EB3" w:rsidRPr="00525DB6" w:rsidRDefault="009D0EB3" w:rsidP="009D0EB3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525DB6">
        <w:rPr>
          <w:rFonts w:ascii="Calibri" w:hAnsi="Calibri" w:cs="Calibri"/>
          <w:sz w:val="22"/>
          <w:szCs w:val="22"/>
        </w:rPr>
        <w:t>Any arrangements for supply, stocking or use of Fibrinogen Concentrate for congenital deficiency outside an HTC will be specifically approved on an exception basis by the relevant HTC director.</w:t>
      </w:r>
    </w:p>
    <w:p w:rsidR="00525DB6" w:rsidRPr="00525DB6" w:rsidRDefault="00205493" w:rsidP="00525DB6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Australian Haemophilia Centre Directors</w:t>
      </w:r>
      <w:r w:rsidR="008A7E0B"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 w:cs="Calibri"/>
          <w:sz w:val="22"/>
          <w:szCs w:val="22"/>
        </w:rPr>
        <w:t xml:space="preserve"> Organisation (</w:t>
      </w:r>
      <w:r w:rsidR="009D0EB3" w:rsidRPr="00525DB6">
        <w:rPr>
          <w:rFonts w:ascii="Calibri" w:hAnsi="Calibri" w:cs="Calibri"/>
          <w:sz w:val="22"/>
          <w:szCs w:val="22"/>
        </w:rPr>
        <w:t>AHCDO</w:t>
      </w:r>
      <w:r>
        <w:rPr>
          <w:rFonts w:ascii="Calibri" w:hAnsi="Calibri" w:cs="Calibri"/>
          <w:sz w:val="22"/>
          <w:szCs w:val="22"/>
        </w:rPr>
        <w:t>)</w:t>
      </w:r>
      <w:r w:rsidR="009D0EB3" w:rsidRPr="00525DB6">
        <w:rPr>
          <w:rFonts w:ascii="Calibri" w:hAnsi="Calibri" w:cs="Calibri"/>
          <w:sz w:val="22"/>
          <w:szCs w:val="22"/>
        </w:rPr>
        <w:t xml:space="preserve"> will establish a </w:t>
      </w:r>
      <w:r w:rsidR="00944AAD" w:rsidRPr="00525DB6">
        <w:rPr>
          <w:rFonts w:ascii="Calibri" w:hAnsi="Calibri" w:cs="Calibri"/>
          <w:sz w:val="22"/>
          <w:szCs w:val="22"/>
        </w:rPr>
        <w:t>committee to</w:t>
      </w:r>
      <w:r w:rsidR="009D0EB3" w:rsidRPr="00525DB6">
        <w:rPr>
          <w:rFonts w:ascii="Calibri" w:hAnsi="Calibri" w:cs="Calibri"/>
          <w:sz w:val="22"/>
          <w:szCs w:val="22"/>
        </w:rPr>
        <w:t xml:space="preserve"> review Australian Bleeding Disorder Registry (ABDR) data for all Fibrinogen Concentrate for congenital deficiency cases each 6 months.</w:t>
      </w:r>
    </w:p>
    <w:p w:rsidR="009D0EB3" w:rsidRPr="00525DB6" w:rsidRDefault="009D0EB3" w:rsidP="009D0EB3">
      <w:pPr>
        <w:rPr>
          <w:rFonts w:ascii="Calibri" w:hAnsi="Calibri" w:cs="Calibri"/>
          <w:b/>
          <w:sz w:val="22"/>
          <w:szCs w:val="22"/>
        </w:rPr>
      </w:pPr>
      <w:r w:rsidRPr="00525DB6">
        <w:rPr>
          <w:rFonts w:ascii="Calibri" w:hAnsi="Calibri" w:cs="Calibri"/>
          <w:b/>
          <w:sz w:val="22"/>
          <w:szCs w:val="22"/>
        </w:rPr>
        <w:t>Supply chain</w:t>
      </w:r>
    </w:p>
    <w:p w:rsidR="009D0EB3" w:rsidRPr="00525DB6" w:rsidRDefault="009D0EB3" w:rsidP="009D0EB3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525DB6">
        <w:rPr>
          <w:rFonts w:ascii="Calibri" w:hAnsi="Calibri" w:cs="Calibri"/>
          <w:sz w:val="22"/>
          <w:szCs w:val="22"/>
        </w:rPr>
        <w:t>In general, stock of Fibrinogen Concentrate for congenital deficiency will be held at HTCs, with HTC director authorisation required for access.</w:t>
      </w:r>
    </w:p>
    <w:p w:rsidR="009D0EB3" w:rsidRPr="00525DB6" w:rsidRDefault="009D0EB3" w:rsidP="009D0EB3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525DB6">
        <w:rPr>
          <w:rFonts w:ascii="Calibri" w:hAnsi="Calibri" w:cs="Calibri"/>
          <w:sz w:val="22"/>
          <w:szCs w:val="22"/>
        </w:rPr>
        <w:t>Ordering will be based on requirements for known patients, with minimal additional stock to be held for precautionary purposes.</w:t>
      </w:r>
    </w:p>
    <w:p w:rsidR="00086D47" w:rsidRDefault="009D0EB3" w:rsidP="009D0EB3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525DB6">
        <w:rPr>
          <w:rFonts w:ascii="Calibri" w:hAnsi="Calibri" w:cs="Calibri"/>
          <w:sz w:val="22"/>
          <w:szCs w:val="22"/>
        </w:rPr>
        <w:t>Product distribution will be direct from the product suppl</w:t>
      </w:r>
      <w:r w:rsidR="00086D47">
        <w:rPr>
          <w:rFonts w:ascii="Calibri" w:hAnsi="Calibri" w:cs="Calibri"/>
          <w:sz w:val="22"/>
          <w:szCs w:val="22"/>
        </w:rPr>
        <w:t>i</w:t>
      </w:r>
      <w:r w:rsidRPr="00525DB6">
        <w:rPr>
          <w:rFonts w:ascii="Calibri" w:hAnsi="Calibri" w:cs="Calibri"/>
          <w:sz w:val="22"/>
          <w:szCs w:val="22"/>
        </w:rPr>
        <w:t xml:space="preserve">er to HTCs. </w:t>
      </w:r>
      <w:r w:rsidR="00086D47">
        <w:rPr>
          <w:rFonts w:ascii="Calibri" w:hAnsi="Calibri" w:cs="Calibri"/>
          <w:sz w:val="22"/>
          <w:szCs w:val="22"/>
        </w:rPr>
        <w:t>Where appropriate HTCs may authorise home delivery for a patient under their direct supervision.</w:t>
      </w:r>
      <w:r w:rsidR="00DE2019">
        <w:rPr>
          <w:rFonts w:ascii="Calibri" w:hAnsi="Calibri" w:cs="Calibri"/>
          <w:sz w:val="22"/>
          <w:szCs w:val="22"/>
        </w:rPr>
        <w:t xml:space="preserve">  Orders and inventory of product for home delivery must be initiated by a HTC for a patient who is authorised to receive home deliveries.</w:t>
      </w:r>
    </w:p>
    <w:p w:rsidR="009D0EB3" w:rsidRPr="00525DB6" w:rsidRDefault="009D0EB3" w:rsidP="009D0EB3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525DB6">
        <w:rPr>
          <w:rFonts w:ascii="Calibri" w:hAnsi="Calibri" w:cs="Calibri"/>
          <w:sz w:val="22"/>
          <w:szCs w:val="22"/>
        </w:rPr>
        <w:t>There will be a requirement for a specific statement on the product order to ensure fibrinogen concentrate is being ordered for a congenital deficiency patient and in accordance with this management model.  The required statement is:</w:t>
      </w:r>
    </w:p>
    <w:p w:rsidR="009D0EB3" w:rsidRPr="00525DB6" w:rsidRDefault="009D0EB3" w:rsidP="009D0EB3">
      <w:pPr>
        <w:ind w:left="720"/>
        <w:rPr>
          <w:rFonts w:ascii="Calibri" w:hAnsi="Calibri" w:cs="Calibri"/>
          <w:i/>
          <w:sz w:val="22"/>
          <w:szCs w:val="22"/>
        </w:rPr>
      </w:pPr>
      <w:r w:rsidRPr="00525DB6">
        <w:rPr>
          <w:rFonts w:ascii="Calibri" w:hAnsi="Calibri" w:cs="Calibri"/>
          <w:i/>
          <w:sz w:val="22"/>
          <w:szCs w:val="22"/>
        </w:rPr>
        <w:t>This product order is for Fibrinogen Concentrate as supplied and funded under the National Blood Arrangements:</w:t>
      </w:r>
    </w:p>
    <w:p w:rsidR="009D0EB3" w:rsidRPr="00525DB6" w:rsidRDefault="009D0EB3" w:rsidP="009D0EB3">
      <w:pPr>
        <w:numPr>
          <w:ilvl w:val="0"/>
          <w:numId w:val="43"/>
        </w:numPr>
        <w:rPr>
          <w:rFonts w:ascii="Calibri" w:hAnsi="Calibri" w:cs="Calibri"/>
          <w:i/>
          <w:sz w:val="22"/>
          <w:szCs w:val="22"/>
        </w:rPr>
      </w:pPr>
      <w:r w:rsidRPr="00525DB6">
        <w:rPr>
          <w:rFonts w:ascii="Calibri" w:hAnsi="Calibri" w:cs="Calibri"/>
          <w:i/>
          <w:sz w:val="22"/>
          <w:szCs w:val="22"/>
        </w:rPr>
        <w:t xml:space="preserve">For treatment of acute bleeding (including prophylaxis for high risk patients) in patients with congenital fibrinogen deficiency (including </w:t>
      </w:r>
      <w:proofErr w:type="spellStart"/>
      <w:r w:rsidRPr="00525DB6">
        <w:rPr>
          <w:rFonts w:ascii="Calibri" w:hAnsi="Calibri" w:cs="Calibri"/>
          <w:i/>
          <w:sz w:val="22"/>
          <w:szCs w:val="22"/>
        </w:rPr>
        <w:t>afibrinogenaemia</w:t>
      </w:r>
      <w:proofErr w:type="spellEnd"/>
      <w:r w:rsidRPr="00525DB6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Pr="00525DB6">
        <w:rPr>
          <w:rFonts w:ascii="Calibri" w:hAnsi="Calibri" w:cs="Calibri"/>
          <w:i/>
          <w:sz w:val="22"/>
          <w:szCs w:val="22"/>
        </w:rPr>
        <w:t>hypofibrinogenaemia</w:t>
      </w:r>
      <w:proofErr w:type="spellEnd"/>
      <w:r w:rsidRPr="00525DB6">
        <w:rPr>
          <w:rFonts w:ascii="Calibri" w:hAnsi="Calibri" w:cs="Calibri"/>
          <w:i/>
          <w:sz w:val="22"/>
          <w:szCs w:val="22"/>
        </w:rPr>
        <w:t xml:space="preserve"> and dysfibrinogenaemia); and</w:t>
      </w:r>
    </w:p>
    <w:p w:rsidR="009D0EB3" w:rsidRPr="00525DB6" w:rsidRDefault="009D0EB3" w:rsidP="009D0EB3">
      <w:pPr>
        <w:numPr>
          <w:ilvl w:val="0"/>
          <w:numId w:val="43"/>
        </w:numPr>
        <w:rPr>
          <w:rFonts w:ascii="Calibri" w:hAnsi="Calibri" w:cs="Calibri"/>
          <w:i/>
          <w:sz w:val="22"/>
          <w:szCs w:val="22"/>
        </w:rPr>
      </w:pPr>
      <w:r w:rsidRPr="00525DB6">
        <w:rPr>
          <w:rFonts w:ascii="Calibri" w:hAnsi="Calibri" w:cs="Calibri"/>
          <w:i/>
          <w:sz w:val="22"/>
          <w:szCs w:val="22"/>
        </w:rPr>
        <w:t xml:space="preserve">In accordance with management arrangements </w:t>
      </w:r>
      <w:r w:rsidR="00525DB6" w:rsidRPr="00525DB6">
        <w:rPr>
          <w:rFonts w:ascii="Calibri" w:hAnsi="Calibri" w:cs="Calibri"/>
          <w:i/>
          <w:sz w:val="22"/>
          <w:szCs w:val="22"/>
        </w:rPr>
        <w:t>and oversight by a recognised Haemophilia Treatment Centre</w:t>
      </w:r>
    </w:p>
    <w:p w:rsidR="009D0EB3" w:rsidRPr="00525DB6" w:rsidRDefault="009D0EB3" w:rsidP="009D0EB3">
      <w:pPr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525DB6">
        <w:rPr>
          <w:rFonts w:ascii="Calibri" w:hAnsi="Calibri" w:cs="Calibri"/>
          <w:sz w:val="22"/>
          <w:szCs w:val="22"/>
        </w:rPr>
        <w:lastRenderedPageBreak/>
        <w:t xml:space="preserve">The 5 year shelf life (from date of manufacture) will largely address risk of wastage.  Nonetheless, </w:t>
      </w:r>
      <w:r w:rsidR="008A7E0B">
        <w:rPr>
          <w:rFonts w:ascii="Calibri" w:hAnsi="Calibri" w:cs="Calibri"/>
          <w:sz w:val="22"/>
          <w:szCs w:val="22"/>
        </w:rPr>
        <w:t>AHCDO</w:t>
      </w:r>
      <w:r w:rsidRPr="00525DB6">
        <w:rPr>
          <w:rFonts w:ascii="Calibri" w:hAnsi="Calibri" w:cs="Calibri"/>
          <w:sz w:val="22"/>
          <w:szCs w:val="22"/>
        </w:rPr>
        <w:t xml:space="preserve"> will coordinate a process to facilitate transfer of stock coming to 1 year remaining shelf life between HTCs to ensure that the product can be used </w:t>
      </w:r>
    </w:p>
    <w:p w:rsidR="009D0EB3" w:rsidRPr="00525DB6" w:rsidRDefault="009D0EB3" w:rsidP="009D0EB3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525DB6">
        <w:rPr>
          <w:rFonts w:ascii="Calibri" w:hAnsi="Calibri" w:cs="Calibri"/>
          <w:sz w:val="22"/>
          <w:szCs w:val="22"/>
        </w:rPr>
        <w:t>NBA will  not pay for orders where  the  relevant  statement  is  not given and will conduct sample  based supply chain audits  of supplier  order  records  with  verification from  HTC records.</w:t>
      </w:r>
    </w:p>
    <w:p w:rsidR="009D0EB3" w:rsidRPr="00525DB6" w:rsidRDefault="009D0EB3" w:rsidP="009D0EB3">
      <w:pPr>
        <w:rPr>
          <w:rFonts w:ascii="Calibri" w:hAnsi="Calibri" w:cs="Calibri"/>
          <w:b/>
          <w:sz w:val="22"/>
          <w:szCs w:val="22"/>
        </w:rPr>
      </w:pPr>
      <w:r w:rsidRPr="00525DB6">
        <w:rPr>
          <w:rFonts w:ascii="Calibri" w:hAnsi="Calibri" w:cs="Calibri"/>
          <w:b/>
          <w:sz w:val="22"/>
          <w:szCs w:val="22"/>
        </w:rPr>
        <w:t>Recording and reporting</w:t>
      </w:r>
    </w:p>
    <w:p w:rsidR="009D0EB3" w:rsidRPr="00525DB6" w:rsidRDefault="009D0EB3" w:rsidP="009D0EB3">
      <w:pPr>
        <w:numPr>
          <w:ilvl w:val="0"/>
          <w:numId w:val="41"/>
        </w:numPr>
        <w:rPr>
          <w:rFonts w:ascii="Calibri" w:hAnsi="Calibri" w:cs="Calibri"/>
          <w:sz w:val="22"/>
          <w:szCs w:val="22"/>
        </w:rPr>
      </w:pPr>
      <w:r w:rsidRPr="00525DB6">
        <w:rPr>
          <w:rFonts w:ascii="Calibri" w:hAnsi="Calibri" w:cs="Calibri"/>
          <w:sz w:val="22"/>
          <w:szCs w:val="22"/>
        </w:rPr>
        <w:t>All use of Fibrinogen Concentrate for congenital deficiency will be recorded in ABDR, including arrangements for supply, stocking or use outside an HTC.</w:t>
      </w:r>
    </w:p>
    <w:p w:rsidR="009D0EB3" w:rsidRPr="00525DB6" w:rsidRDefault="009D0EB3" w:rsidP="009D0EB3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525DB6">
        <w:rPr>
          <w:rFonts w:ascii="Calibri" w:hAnsi="Calibri" w:cs="Calibri"/>
          <w:sz w:val="22"/>
          <w:szCs w:val="22"/>
        </w:rPr>
        <w:t>The AHCDO committee will provide a regular summary report to the NBA.</w:t>
      </w:r>
    </w:p>
    <w:p w:rsidR="009D0EB3" w:rsidRPr="00525DB6" w:rsidRDefault="009D0EB3" w:rsidP="009D0EB3">
      <w:pPr>
        <w:numPr>
          <w:ilvl w:val="0"/>
          <w:numId w:val="42"/>
        </w:numPr>
        <w:rPr>
          <w:rFonts w:ascii="Calibri" w:hAnsi="Calibri" w:cs="Calibri"/>
          <w:sz w:val="22"/>
          <w:szCs w:val="22"/>
        </w:rPr>
      </w:pPr>
      <w:r w:rsidRPr="00525DB6">
        <w:rPr>
          <w:rFonts w:ascii="Calibri" w:hAnsi="Calibri" w:cs="Calibri"/>
          <w:sz w:val="22"/>
          <w:szCs w:val="22"/>
        </w:rPr>
        <w:t>The NBA will reconcile supply data, ABDR data and the AHCDO report to provide assurance to JBC.</w:t>
      </w:r>
    </w:p>
    <w:sectPr w:rsidR="009D0EB3" w:rsidRPr="00525DB6" w:rsidSect="00525DB6">
      <w:footerReference w:type="default" r:id="rId8"/>
      <w:headerReference w:type="first" r:id="rId9"/>
      <w:pgSz w:w="11906" w:h="16838"/>
      <w:pgMar w:top="1440" w:right="1133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B3" w:rsidRDefault="009D0EB3" w:rsidP="00856708">
      <w:r>
        <w:separator/>
      </w:r>
    </w:p>
  </w:endnote>
  <w:endnote w:type="continuationSeparator" w:id="0">
    <w:p w:rsidR="009D0EB3" w:rsidRDefault="009D0EB3" w:rsidP="0085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Gothic-Extra">
    <w:panose1 w:val="00000000000000000000"/>
    <w:charset w:val="81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</w:pPr>
    <w:r w:rsidRPr="00856708">
      <w:t>National Blood Authority</w:t>
    </w:r>
    <w:r w:rsidRPr="00856708">
      <w:tab/>
    </w:r>
    <w:r w:rsidRPr="00856708">
      <w:tab/>
      <w:t xml:space="preserve">pg. </w:t>
    </w:r>
    <w:r w:rsidRPr="00856708">
      <w:fldChar w:fldCharType="begin"/>
    </w:r>
    <w:r w:rsidRPr="00856708">
      <w:instrText xml:space="preserve"> PAGE    \* MERGEFORMAT </w:instrText>
    </w:r>
    <w:r w:rsidRPr="00856708">
      <w:fldChar w:fldCharType="separate"/>
    </w:r>
    <w:r w:rsidR="00064088">
      <w:rPr>
        <w:noProof/>
      </w:rPr>
      <w:t>2</w:t>
    </w:r>
    <w:r w:rsidRPr="0085670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B3" w:rsidRDefault="009D0EB3" w:rsidP="00856708">
      <w:r>
        <w:separator/>
      </w:r>
    </w:p>
  </w:footnote>
  <w:footnote w:type="continuationSeparator" w:id="0">
    <w:p w:rsidR="009D0EB3" w:rsidRDefault="009D0EB3" w:rsidP="00856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B" w:rsidRDefault="00E7294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AAACEC3" wp14:editId="65CAFD0F">
          <wp:simplePos x="0" y="0"/>
          <wp:positionH relativeFrom="column">
            <wp:posOffset>-923925</wp:posOffset>
          </wp:positionH>
          <wp:positionV relativeFrom="paragraph">
            <wp:posOffset>-478155</wp:posOffset>
          </wp:positionV>
          <wp:extent cx="7588342" cy="10725150"/>
          <wp:effectExtent l="0" t="0" r="0" b="0"/>
          <wp:wrapNone/>
          <wp:docPr id="1" name="Pictur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691" cy="1072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ECD"/>
    <w:multiLevelType w:val="hybridMultilevel"/>
    <w:tmpl w:val="9F9E0D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21FB"/>
    <w:multiLevelType w:val="hybridMultilevel"/>
    <w:tmpl w:val="C05E4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293"/>
    <w:multiLevelType w:val="multilevel"/>
    <w:tmpl w:val="E75C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87AA8"/>
    <w:multiLevelType w:val="hybridMultilevel"/>
    <w:tmpl w:val="9B3254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C2EE4"/>
    <w:multiLevelType w:val="hybridMultilevel"/>
    <w:tmpl w:val="23805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3BDA"/>
    <w:multiLevelType w:val="hybridMultilevel"/>
    <w:tmpl w:val="BD48F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7727"/>
    <w:multiLevelType w:val="hybridMultilevel"/>
    <w:tmpl w:val="B308D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3067"/>
    <w:multiLevelType w:val="multilevel"/>
    <w:tmpl w:val="2446D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100DDA"/>
    <w:multiLevelType w:val="multilevel"/>
    <w:tmpl w:val="2854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C1FCA"/>
    <w:multiLevelType w:val="multilevel"/>
    <w:tmpl w:val="658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F27882"/>
    <w:multiLevelType w:val="hybridMultilevel"/>
    <w:tmpl w:val="BBAAFD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35B5E"/>
    <w:multiLevelType w:val="multilevel"/>
    <w:tmpl w:val="CD3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6E4D91"/>
    <w:multiLevelType w:val="multilevel"/>
    <w:tmpl w:val="F0BE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91065A"/>
    <w:multiLevelType w:val="multilevel"/>
    <w:tmpl w:val="9086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031087"/>
    <w:multiLevelType w:val="multilevel"/>
    <w:tmpl w:val="9DB6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7C5B7C"/>
    <w:multiLevelType w:val="hybridMultilevel"/>
    <w:tmpl w:val="D0AE2D92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D0428"/>
    <w:multiLevelType w:val="multilevel"/>
    <w:tmpl w:val="2556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07BEF"/>
    <w:multiLevelType w:val="multilevel"/>
    <w:tmpl w:val="97B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CD0DCF"/>
    <w:multiLevelType w:val="hybridMultilevel"/>
    <w:tmpl w:val="DE88B4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8159E1"/>
    <w:multiLevelType w:val="multilevel"/>
    <w:tmpl w:val="CB2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51022"/>
    <w:multiLevelType w:val="hybridMultilevel"/>
    <w:tmpl w:val="35CA0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1279D"/>
    <w:multiLevelType w:val="multilevel"/>
    <w:tmpl w:val="B834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0164E5"/>
    <w:multiLevelType w:val="hybridMultilevel"/>
    <w:tmpl w:val="CCE4E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F7D9C"/>
    <w:multiLevelType w:val="multilevel"/>
    <w:tmpl w:val="2D4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5D94856"/>
    <w:multiLevelType w:val="hybridMultilevel"/>
    <w:tmpl w:val="A96AF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A3631"/>
    <w:multiLevelType w:val="hybridMultilevel"/>
    <w:tmpl w:val="7AC2C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3141C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6398A"/>
    <w:multiLevelType w:val="multilevel"/>
    <w:tmpl w:val="3E98A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3B22A7"/>
    <w:multiLevelType w:val="hybridMultilevel"/>
    <w:tmpl w:val="8D64C2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A6941"/>
    <w:multiLevelType w:val="hybridMultilevel"/>
    <w:tmpl w:val="791A681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ED3E7D"/>
    <w:multiLevelType w:val="multilevel"/>
    <w:tmpl w:val="E93C4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EA0AF5"/>
    <w:multiLevelType w:val="hybridMultilevel"/>
    <w:tmpl w:val="F2BCB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A48A4"/>
    <w:multiLevelType w:val="hybridMultilevel"/>
    <w:tmpl w:val="052E2BBA"/>
    <w:lvl w:ilvl="0" w:tplc="0C09000F">
      <w:start w:val="1"/>
      <w:numFmt w:val="decimal"/>
      <w:lvlText w:val="%1."/>
      <w:lvlJc w:val="left"/>
      <w:pPr>
        <w:ind w:left="60" w:hanging="360"/>
      </w:pPr>
    </w:lvl>
    <w:lvl w:ilvl="1" w:tplc="0C090019" w:tentative="1">
      <w:start w:val="1"/>
      <w:numFmt w:val="lowerLetter"/>
      <w:lvlText w:val="%2."/>
      <w:lvlJc w:val="left"/>
      <w:pPr>
        <w:ind w:left="780" w:hanging="360"/>
      </w:pPr>
    </w:lvl>
    <w:lvl w:ilvl="2" w:tplc="0C09001B" w:tentative="1">
      <w:start w:val="1"/>
      <w:numFmt w:val="lowerRoman"/>
      <w:lvlText w:val="%3."/>
      <w:lvlJc w:val="right"/>
      <w:pPr>
        <w:ind w:left="1500" w:hanging="180"/>
      </w:pPr>
    </w:lvl>
    <w:lvl w:ilvl="3" w:tplc="0C09000F" w:tentative="1">
      <w:start w:val="1"/>
      <w:numFmt w:val="decimal"/>
      <w:lvlText w:val="%4."/>
      <w:lvlJc w:val="left"/>
      <w:pPr>
        <w:ind w:left="2220" w:hanging="360"/>
      </w:pPr>
    </w:lvl>
    <w:lvl w:ilvl="4" w:tplc="0C090019" w:tentative="1">
      <w:start w:val="1"/>
      <w:numFmt w:val="lowerLetter"/>
      <w:lvlText w:val="%5."/>
      <w:lvlJc w:val="left"/>
      <w:pPr>
        <w:ind w:left="2940" w:hanging="360"/>
      </w:pPr>
    </w:lvl>
    <w:lvl w:ilvl="5" w:tplc="0C09001B" w:tentative="1">
      <w:start w:val="1"/>
      <w:numFmt w:val="lowerRoman"/>
      <w:lvlText w:val="%6."/>
      <w:lvlJc w:val="right"/>
      <w:pPr>
        <w:ind w:left="3660" w:hanging="180"/>
      </w:pPr>
    </w:lvl>
    <w:lvl w:ilvl="6" w:tplc="0C09000F" w:tentative="1">
      <w:start w:val="1"/>
      <w:numFmt w:val="decimal"/>
      <w:lvlText w:val="%7."/>
      <w:lvlJc w:val="left"/>
      <w:pPr>
        <w:ind w:left="4380" w:hanging="360"/>
      </w:pPr>
    </w:lvl>
    <w:lvl w:ilvl="7" w:tplc="0C090019" w:tentative="1">
      <w:start w:val="1"/>
      <w:numFmt w:val="lowerLetter"/>
      <w:lvlText w:val="%8."/>
      <w:lvlJc w:val="left"/>
      <w:pPr>
        <w:ind w:left="5100" w:hanging="360"/>
      </w:pPr>
    </w:lvl>
    <w:lvl w:ilvl="8" w:tplc="0C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36">
    <w:nsid w:val="6B2A7D0F"/>
    <w:multiLevelType w:val="multilevel"/>
    <w:tmpl w:val="E13C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D30C5"/>
    <w:multiLevelType w:val="hybridMultilevel"/>
    <w:tmpl w:val="45B6CC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40F3A"/>
    <w:multiLevelType w:val="hybridMultilevel"/>
    <w:tmpl w:val="D3223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748BA"/>
    <w:multiLevelType w:val="hybridMultilevel"/>
    <w:tmpl w:val="8F4E0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F1FEE"/>
    <w:multiLevelType w:val="hybridMultilevel"/>
    <w:tmpl w:val="A600CE1C"/>
    <w:lvl w:ilvl="0" w:tplc="291A391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2"/>
  </w:num>
  <w:num w:numId="4">
    <w:abstractNumId w:val="37"/>
  </w:num>
  <w:num w:numId="5">
    <w:abstractNumId w:val="18"/>
  </w:num>
  <w:num w:numId="6">
    <w:abstractNumId w:val="9"/>
  </w:num>
  <w:num w:numId="7">
    <w:abstractNumId w:val="26"/>
  </w:num>
  <w:num w:numId="8">
    <w:abstractNumId w:val="20"/>
  </w:num>
  <w:num w:numId="9">
    <w:abstractNumId w:val="7"/>
  </w:num>
  <w:num w:numId="10">
    <w:abstractNumId w:val="30"/>
  </w:num>
  <w:num w:numId="11">
    <w:abstractNumId w:val="12"/>
  </w:num>
  <w:num w:numId="12">
    <w:abstractNumId w:val="33"/>
  </w:num>
  <w:num w:numId="13">
    <w:abstractNumId w:val="13"/>
  </w:num>
  <w:num w:numId="14">
    <w:abstractNumId w:val="17"/>
  </w:num>
  <w:num w:numId="15">
    <w:abstractNumId w:val="2"/>
  </w:num>
  <w:num w:numId="16">
    <w:abstractNumId w:val="24"/>
  </w:num>
  <w:num w:numId="17">
    <w:abstractNumId w:val="16"/>
  </w:num>
  <w:num w:numId="18">
    <w:abstractNumId w:val="14"/>
  </w:num>
  <w:num w:numId="19">
    <w:abstractNumId w:val="36"/>
  </w:num>
  <w:num w:numId="20">
    <w:abstractNumId w:val="11"/>
  </w:num>
  <w:num w:numId="21">
    <w:abstractNumId w:val="8"/>
  </w:num>
  <w:num w:numId="22">
    <w:abstractNumId w:val="15"/>
  </w:num>
  <w:num w:numId="23">
    <w:abstractNumId w:val="31"/>
  </w:num>
  <w:num w:numId="24">
    <w:abstractNumId w:val="38"/>
  </w:num>
  <w:num w:numId="25">
    <w:abstractNumId w:val="23"/>
  </w:num>
  <w:num w:numId="26">
    <w:abstractNumId w:val="0"/>
  </w:num>
  <w:num w:numId="27">
    <w:abstractNumId w:val="6"/>
  </w:num>
  <w:num w:numId="28">
    <w:abstractNumId w:val="1"/>
  </w:num>
  <w:num w:numId="29">
    <w:abstractNumId w:val="27"/>
  </w:num>
  <w:num w:numId="30">
    <w:abstractNumId w:val="35"/>
  </w:num>
  <w:num w:numId="31">
    <w:abstractNumId w:val="4"/>
  </w:num>
  <w:num w:numId="32">
    <w:abstractNumId w:val="40"/>
  </w:num>
  <w:num w:numId="33">
    <w:abstractNumId w:val="25"/>
  </w:num>
  <w:num w:numId="34">
    <w:abstractNumId w:val="3"/>
  </w:num>
  <w:num w:numId="35">
    <w:abstractNumId w:val="5"/>
  </w:num>
  <w:num w:numId="36">
    <w:abstractNumId w:val="34"/>
  </w:num>
  <w:num w:numId="37">
    <w:abstractNumId w:val="28"/>
  </w:num>
  <w:num w:numId="38">
    <w:abstractNumId w:val="10"/>
  </w:num>
  <w:num w:numId="39">
    <w:abstractNumId w:val="39"/>
  </w:num>
  <w:num w:numId="40">
    <w:abstractNumId w:val="29"/>
  </w:num>
  <w:num w:numId="41">
    <w:abstractNumId w:val="19"/>
  </w:num>
  <w:num w:numId="42">
    <w:abstractNumId w:val="4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B3"/>
    <w:rsid w:val="00036EDC"/>
    <w:rsid w:val="00064088"/>
    <w:rsid w:val="00086D47"/>
    <w:rsid w:val="00205493"/>
    <w:rsid w:val="002537F2"/>
    <w:rsid w:val="002F079E"/>
    <w:rsid w:val="00391235"/>
    <w:rsid w:val="0039529F"/>
    <w:rsid w:val="004D4636"/>
    <w:rsid w:val="00525DB6"/>
    <w:rsid w:val="00603B83"/>
    <w:rsid w:val="006E22B9"/>
    <w:rsid w:val="00856708"/>
    <w:rsid w:val="00893E0A"/>
    <w:rsid w:val="008A7E0B"/>
    <w:rsid w:val="00944AAD"/>
    <w:rsid w:val="00951B85"/>
    <w:rsid w:val="009D0EB3"/>
    <w:rsid w:val="009E38CC"/>
    <w:rsid w:val="00AD02D0"/>
    <w:rsid w:val="00B3726E"/>
    <w:rsid w:val="00B743DF"/>
    <w:rsid w:val="00BD5CEA"/>
    <w:rsid w:val="00C15EDB"/>
    <w:rsid w:val="00C7337B"/>
    <w:rsid w:val="00DE2019"/>
    <w:rsid w:val="00E7294B"/>
    <w:rsid w:val="00FA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B3"/>
    <w:pPr>
      <w:spacing w:before="100" w:after="0" w:line="312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outlineLvl w:val="2"/>
    </w:pPr>
    <w:rPr>
      <w:rFonts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eastAsiaTheme="majorEastAsia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nhideWhenUsed/>
    <w:rsid w:val="00856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B3"/>
    <w:pPr>
      <w:spacing w:before="100" w:after="0" w:line="312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outlineLvl w:val="2"/>
    </w:pPr>
    <w:rPr>
      <w:rFonts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eastAsiaTheme="majorEastAsia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nhideWhenUsed/>
    <w:rsid w:val="00856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2359</Characters>
  <Application>Microsoft Office Word</Application>
  <DocSecurity>4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Nicholls, Donna</dc:creator>
  <cp:lastModifiedBy>Administrator</cp:lastModifiedBy>
  <cp:revision>2</cp:revision>
  <dcterms:created xsi:type="dcterms:W3CDTF">2017-12-19T01:59:00Z</dcterms:created>
  <dcterms:modified xsi:type="dcterms:W3CDTF">2017-12-19T01:59:00Z</dcterms:modified>
</cp:coreProperties>
</file>