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D3C" w:rsidRDefault="006E09F6" w:rsidP="007C1577">
      <w:pPr>
        <w:pStyle w:val="Title"/>
        <w:spacing w:before="6000"/>
        <w:ind w:left="-709" w:right="3805"/>
        <w:rPr>
          <w:b/>
          <w:noProof/>
          <w:color w:val="000000" w:themeColor="text1"/>
          <w:sz w:val="48"/>
          <w:szCs w:val="48"/>
          <w:lang w:eastAsia="en-AU"/>
        </w:rPr>
      </w:pPr>
      <w:bookmarkStart w:id="0" w:name="_GoBack"/>
      <w:bookmarkEnd w:id="0"/>
      <w:r w:rsidRPr="009D1D3C">
        <w:rPr>
          <w:b/>
          <w:noProof/>
          <w:color w:val="000000" w:themeColor="text1"/>
          <w:sz w:val="48"/>
          <w:szCs w:val="48"/>
          <w:lang w:eastAsia="en-AU"/>
        </w:rPr>
        <w:drawing>
          <wp:anchor distT="0" distB="0" distL="114300" distR="114300" simplePos="0" relativeHeight="251659264" behindDoc="1" locked="0" layoutInCell="1" allowOverlap="1" wp14:anchorId="615CE465" wp14:editId="3BBF4E03">
            <wp:simplePos x="0" y="0"/>
            <wp:positionH relativeFrom="column">
              <wp:posOffset>-904875</wp:posOffset>
            </wp:positionH>
            <wp:positionV relativeFrom="paragraph">
              <wp:posOffset>-914400</wp:posOffset>
            </wp:positionV>
            <wp:extent cx="7563379" cy="106899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red.jpg"/>
                    <pic:cNvPicPr/>
                  </pic:nvPicPr>
                  <pic:blipFill>
                    <a:blip r:embed="rId8">
                      <a:extLst>
                        <a:ext uri="{28A0092B-C50C-407E-A947-70E740481C1C}">
                          <a14:useLocalDpi xmlns:a14="http://schemas.microsoft.com/office/drawing/2010/main" val="0"/>
                        </a:ext>
                      </a:extLst>
                    </a:blip>
                    <a:stretch>
                      <a:fillRect/>
                    </a:stretch>
                  </pic:blipFill>
                  <pic:spPr>
                    <a:xfrm>
                      <a:off x="0" y="0"/>
                      <a:ext cx="7563379" cy="10689902"/>
                    </a:xfrm>
                    <a:prstGeom prst="rect">
                      <a:avLst/>
                    </a:prstGeom>
                  </pic:spPr>
                </pic:pic>
              </a:graphicData>
            </a:graphic>
            <wp14:sizeRelH relativeFrom="page">
              <wp14:pctWidth>0</wp14:pctWidth>
            </wp14:sizeRelH>
            <wp14:sizeRelV relativeFrom="page">
              <wp14:pctHeight>0</wp14:pctHeight>
            </wp14:sizeRelV>
          </wp:anchor>
        </w:drawing>
      </w:r>
      <w:r w:rsidR="009D1D3C" w:rsidRPr="009D1D3C">
        <w:rPr>
          <w:b/>
          <w:noProof/>
          <w:color w:val="000000" w:themeColor="text1"/>
          <w:sz w:val="48"/>
          <w:szCs w:val="48"/>
          <w:lang w:eastAsia="en-AU"/>
        </w:rPr>
        <w:t xml:space="preserve">HAEMOVIGILANCE ADVISORY </w:t>
      </w:r>
    </w:p>
    <w:p w:rsidR="007C1577" w:rsidRPr="009D1D3C" w:rsidRDefault="009D1D3C" w:rsidP="007C1577">
      <w:pPr>
        <w:pStyle w:val="Title"/>
        <w:spacing w:before="6000"/>
        <w:ind w:left="-709" w:right="3805"/>
        <w:rPr>
          <w:b/>
          <w:noProof/>
          <w:color w:val="000000" w:themeColor="text1"/>
          <w:sz w:val="48"/>
          <w:szCs w:val="48"/>
          <w:lang w:eastAsia="en-AU"/>
        </w:rPr>
      </w:pPr>
      <w:r w:rsidRPr="009D1D3C">
        <w:rPr>
          <w:b/>
          <w:noProof/>
          <w:color w:val="000000" w:themeColor="text1"/>
          <w:sz w:val="48"/>
          <w:szCs w:val="48"/>
          <w:lang w:eastAsia="en-AU"/>
        </w:rPr>
        <w:t>COMMITTEE</w:t>
      </w:r>
      <w:r w:rsidR="007C1577" w:rsidRPr="009D1D3C">
        <w:rPr>
          <w:b/>
          <w:noProof/>
          <w:color w:val="000000" w:themeColor="text1"/>
          <w:sz w:val="48"/>
          <w:szCs w:val="48"/>
          <w:lang w:eastAsia="en-AU"/>
        </w:rPr>
        <w:t xml:space="preserve"> </w:t>
      </w:r>
    </w:p>
    <w:p w:rsidR="003838DA" w:rsidRDefault="003838DA" w:rsidP="003838DA">
      <w:pPr>
        <w:spacing w:after="0"/>
        <w:rPr>
          <w:lang w:eastAsia="en-AU"/>
        </w:rPr>
      </w:pPr>
    </w:p>
    <w:p w:rsidR="006E09F6" w:rsidRDefault="006E09F6" w:rsidP="006E09F6">
      <w:pPr>
        <w:pStyle w:val="NoSpacing"/>
        <w:ind w:left="-709"/>
        <w:rPr>
          <w:sz w:val="28"/>
        </w:rPr>
      </w:pPr>
    </w:p>
    <w:p w:rsidR="006E09F6" w:rsidRDefault="006E09F6" w:rsidP="006E09F6">
      <w:pPr>
        <w:pStyle w:val="NoSpacing"/>
        <w:ind w:left="-709"/>
        <w:rPr>
          <w:sz w:val="28"/>
        </w:rPr>
      </w:pPr>
    </w:p>
    <w:p w:rsidR="006E09F6" w:rsidRDefault="006E09F6" w:rsidP="006E09F6">
      <w:pPr>
        <w:pStyle w:val="NoSpacing"/>
        <w:ind w:left="-709"/>
        <w:rPr>
          <w:sz w:val="28"/>
        </w:rPr>
      </w:pPr>
    </w:p>
    <w:p w:rsidR="006E09F6" w:rsidRDefault="006E09F6" w:rsidP="006E09F6">
      <w:pPr>
        <w:pStyle w:val="NoSpacing"/>
        <w:ind w:left="-709"/>
        <w:rPr>
          <w:sz w:val="28"/>
        </w:rPr>
      </w:pPr>
    </w:p>
    <w:p w:rsidR="007C1577" w:rsidRPr="007C1577" w:rsidRDefault="007C1577" w:rsidP="006E09F6">
      <w:pPr>
        <w:rPr>
          <w:b/>
          <w:sz w:val="44"/>
          <w:szCs w:val="44"/>
        </w:rPr>
      </w:pPr>
      <w:r w:rsidRPr="007C1577">
        <w:rPr>
          <w:b/>
          <w:sz w:val="44"/>
          <w:szCs w:val="44"/>
        </w:rPr>
        <w:t xml:space="preserve">Terms of Reference </w:t>
      </w:r>
    </w:p>
    <w:p w:rsidR="006E09F6" w:rsidRDefault="00706E01" w:rsidP="006E09F6">
      <w:r>
        <w:rPr>
          <w:b/>
          <w:sz w:val="44"/>
          <w:szCs w:val="44"/>
        </w:rPr>
        <w:t>July 2019</w:t>
      </w:r>
      <w:r w:rsidR="009D1D3C">
        <w:rPr>
          <w:b/>
          <w:sz w:val="44"/>
          <w:szCs w:val="44"/>
        </w:rPr>
        <w:t xml:space="preserve"> </w:t>
      </w:r>
      <w:r w:rsidR="007C1577">
        <w:t xml:space="preserve"> </w:t>
      </w:r>
      <w:r w:rsidR="006E09F6">
        <w:br w:type="page"/>
      </w:r>
    </w:p>
    <w:p w:rsidR="00815775" w:rsidRDefault="007C1577" w:rsidP="00AE4B29">
      <w:pPr>
        <w:pStyle w:val="Heading1"/>
      </w:pPr>
      <w:r>
        <w:lastRenderedPageBreak/>
        <w:t xml:space="preserve">Role </w:t>
      </w:r>
    </w:p>
    <w:p w:rsidR="008A7FCD" w:rsidRDefault="008A7FCD" w:rsidP="00995D97">
      <w:pPr>
        <w:pStyle w:val="Heading2"/>
      </w:pPr>
      <w:r w:rsidRPr="00995D97">
        <w:t>Purpose</w:t>
      </w:r>
    </w:p>
    <w:p w:rsidR="00671AF6" w:rsidRDefault="00671AF6" w:rsidP="00671AF6">
      <w:r w:rsidRPr="00371D5F">
        <w:t xml:space="preserve">The </w:t>
      </w:r>
      <w:r w:rsidR="009D1D3C">
        <w:rPr>
          <w:rFonts w:asciiTheme="minorHAnsi" w:hAnsiTheme="minorHAnsi" w:cstheme="minorHAnsi"/>
        </w:rPr>
        <w:t>Haemovigilance Advisory Committee (</w:t>
      </w:r>
      <w:r w:rsidR="009D1D3C" w:rsidRPr="00992443">
        <w:rPr>
          <w:rFonts w:asciiTheme="minorHAnsi" w:hAnsiTheme="minorHAnsi" w:cstheme="minorHAnsi"/>
        </w:rPr>
        <w:t>HAC</w:t>
      </w:r>
      <w:r w:rsidR="009D1D3C">
        <w:rPr>
          <w:rFonts w:asciiTheme="minorHAnsi" w:hAnsiTheme="minorHAnsi" w:cstheme="minorHAnsi"/>
        </w:rPr>
        <w:t>)</w:t>
      </w:r>
      <w:r>
        <w:t xml:space="preserve"> is</w:t>
      </w:r>
      <w:r w:rsidRPr="00371D5F">
        <w:t xml:space="preserve"> established </w:t>
      </w:r>
      <w:r w:rsidR="009D1D3C">
        <w:t xml:space="preserve">by the National Blood Authority (NBA) Chief Executive </w:t>
      </w:r>
      <w:r>
        <w:t xml:space="preserve">under section 38 of the </w:t>
      </w:r>
      <w:r w:rsidRPr="00836706">
        <w:rPr>
          <w:i/>
        </w:rPr>
        <w:t>National Blood Authority Act 2003</w:t>
      </w:r>
      <w:r>
        <w:rPr>
          <w:i/>
        </w:rPr>
        <w:t xml:space="preserve"> </w:t>
      </w:r>
      <w:r>
        <w:t xml:space="preserve">(the NBA Act) </w:t>
      </w:r>
      <w:r w:rsidRPr="00371D5F">
        <w:t>to</w:t>
      </w:r>
      <w:r>
        <w:t xml:space="preserve"> provide advice and guidance to</w:t>
      </w:r>
      <w:r w:rsidRPr="00601B20">
        <w:t xml:space="preserve"> </w:t>
      </w:r>
      <w:r>
        <w:t xml:space="preserve">the </w:t>
      </w:r>
      <w:r w:rsidR="009D1D3C">
        <w:t xml:space="preserve">National Blood Authority </w:t>
      </w:r>
      <w:r>
        <w:t>NBA</w:t>
      </w:r>
      <w:r w:rsidR="009D1D3C">
        <w:t xml:space="preserve"> </w:t>
      </w:r>
      <w:r>
        <w:t xml:space="preserve">in relation to the development and implementation of the </w:t>
      </w:r>
      <w:r w:rsidR="009D1D3C" w:rsidRPr="00E543E4">
        <w:rPr>
          <w:i/>
        </w:rPr>
        <w:t xml:space="preserve">Strategic Framework for National Haemovigilance </w:t>
      </w:r>
      <w:r w:rsidR="009D1D3C" w:rsidRPr="00E543E4">
        <w:t>(Strategic Framework)</w:t>
      </w:r>
      <w:r w:rsidR="009D1D3C">
        <w:t xml:space="preserve"> </w:t>
      </w:r>
      <w:r>
        <w:t>consistent with the NBA’s responsibilities specified in:</w:t>
      </w:r>
    </w:p>
    <w:p w:rsidR="00671AF6" w:rsidRDefault="00671AF6" w:rsidP="00671AF6">
      <w:pPr>
        <w:pStyle w:val="ListParagraph"/>
        <w:numPr>
          <w:ilvl w:val="0"/>
          <w:numId w:val="56"/>
        </w:numPr>
      </w:pPr>
      <w:r>
        <w:t>Part 2, section 8</w:t>
      </w:r>
      <w:r w:rsidR="00A664B6">
        <w:t>(1)</w:t>
      </w:r>
      <w:r>
        <w:t xml:space="preserve">(f) of the </w:t>
      </w:r>
      <w:r w:rsidRPr="002D6B63">
        <w:t>NBA Act</w:t>
      </w:r>
      <w:r>
        <w:t xml:space="preserve"> </w:t>
      </w:r>
      <w:r w:rsidRPr="005B7A0F">
        <w:t xml:space="preserve">to </w:t>
      </w:r>
      <w:r>
        <w:t>‘</w:t>
      </w:r>
      <w:r w:rsidRPr="005B7A0F">
        <w:t>carry out national blood arrangements relating to safety measures, quality measures, contingency measures and risk mitigation measures for the supply of blood products and services</w:t>
      </w:r>
      <w:r>
        <w:t xml:space="preserve">’; </w:t>
      </w:r>
    </w:p>
    <w:p w:rsidR="00671AF6" w:rsidRDefault="00671AF6" w:rsidP="00671AF6">
      <w:pPr>
        <w:pStyle w:val="ListParagraph"/>
        <w:numPr>
          <w:ilvl w:val="0"/>
          <w:numId w:val="56"/>
        </w:numPr>
      </w:pPr>
      <w:r>
        <w:t xml:space="preserve">Part 5, clause 35(c) of the </w:t>
      </w:r>
      <w:r w:rsidRPr="007025E5">
        <w:rPr>
          <w:i/>
        </w:rPr>
        <w:t>National Blood Agreement</w:t>
      </w:r>
      <w:r>
        <w:t xml:space="preserve">  to ‘facilitate coordination, integration, cooperation and information exchange between the NBA and other bodies with a safety and quality role in the Australian blood sector, and between those other bodies’; and </w:t>
      </w:r>
    </w:p>
    <w:p w:rsidR="00671AF6" w:rsidRPr="007025E5" w:rsidRDefault="00671AF6" w:rsidP="00671AF6">
      <w:pPr>
        <w:pStyle w:val="ListParagraph"/>
        <w:numPr>
          <w:ilvl w:val="0"/>
          <w:numId w:val="56"/>
        </w:numPr>
        <w:rPr>
          <w:rFonts w:asciiTheme="minorHAnsi" w:hAnsiTheme="minorHAnsi" w:cstheme="minorHAnsi"/>
        </w:rPr>
      </w:pPr>
      <w:r>
        <w:t xml:space="preserve">Part 5, clause 35(f) of the </w:t>
      </w:r>
      <w:r w:rsidRPr="007025E5">
        <w:rPr>
          <w:i/>
        </w:rPr>
        <w:t>National Blood Agreement</w:t>
      </w:r>
      <w:r>
        <w:rPr>
          <w:i/>
        </w:rPr>
        <w:t xml:space="preserve"> </w:t>
      </w:r>
      <w:r>
        <w:t>to ‘facilitate the development of national information systems for safety and quality issues in relation to the Australian blood sector’.</w:t>
      </w:r>
      <w:r w:rsidDel="00813347">
        <w:t xml:space="preserve"> </w:t>
      </w:r>
    </w:p>
    <w:p w:rsidR="008A7FCD" w:rsidRPr="00671AF6" w:rsidRDefault="00671AF6" w:rsidP="008A7FCD">
      <w:pPr>
        <w:rPr>
          <w:rFonts w:asciiTheme="minorHAnsi" w:hAnsiTheme="minorHAnsi" w:cstheme="minorHAnsi"/>
          <w:b/>
        </w:rPr>
      </w:pPr>
      <w:r>
        <w:rPr>
          <w:rFonts w:asciiTheme="minorHAnsi" w:hAnsiTheme="minorHAnsi" w:cstheme="minorHAnsi"/>
        </w:rPr>
        <w:t>The HAC may contribute to national haemovigilance activities including, but not limited to, data analysis, research, case studies and audits in order to identify opportunities for improvement and contribute to national reporting if required.</w:t>
      </w:r>
      <w:r w:rsidR="008A7FCD">
        <w:t xml:space="preserve"> </w:t>
      </w:r>
    </w:p>
    <w:p w:rsidR="007C1577" w:rsidRPr="00AE4B29" w:rsidRDefault="00671AF6" w:rsidP="007C1577">
      <w:pPr>
        <w:pStyle w:val="Heading2"/>
      </w:pPr>
      <w:r>
        <w:t xml:space="preserve">Background </w:t>
      </w:r>
    </w:p>
    <w:p w:rsidR="009D1D3C" w:rsidRPr="009D1D3C" w:rsidRDefault="009D1D3C" w:rsidP="00995D97">
      <w:pPr>
        <w:pStyle w:val="Heading3"/>
        <w:rPr>
          <w:b w:val="0"/>
        </w:rPr>
      </w:pPr>
      <w:r w:rsidRPr="009D1D3C">
        <w:t>Introduction</w:t>
      </w:r>
    </w:p>
    <w:p w:rsidR="009D1D3C" w:rsidRPr="00126919" w:rsidRDefault="009D1D3C" w:rsidP="009D1D3C">
      <w:pPr>
        <w:rPr>
          <w:rFonts w:asciiTheme="minorHAnsi" w:hAnsiTheme="minorHAnsi" w:cstheme="minorHAnsi"/>
        </w:rPr>
      </w:pPr>
      <w:r w:rsidRPr="00126919">
        <w:rPr>
          <w:rFonts w:asciiTheme="minorHAnsi" w:hAnsiTheme="minorHAnsi" w:cstheme="minorHAnsi"/>
        </w:rPr>
        <w:t xml:space="preserve">The transfusion of blood and blood products is a core part of healthcare service delivery to patients. While the use of blood and blood products can be lifesaving, there are also risks associated with the transfusion. Incidents can occur and some of these can have serious consequences to patients if not well managed. </w:t>
      </w:r>
    </w:p>
    <w:p w:rsidR="009D1D3C" w:rsidRDefault="009D1D3C" w:rsidP="009D1D3C">
      <w:r w:rsidRPr="00E543E4">
        <w:t xml:space="preserve">The </w:t>
      </w:r>
      <w:r w:rsidRPr="00E543E4">
        <w:rPr>
          <w:i/>
        </w:rPr>
        <w:t xml:space="preserve">National Safety and Quality Health Service </w:t>
      </w:r>
      <w:r>
        <w:rPr>
          <w:i/>
        </w:rPr>
        <w:t xml:space="preserve">Standards - </w:t>
      </w:r>
      <w:hyperlink r:id="rId9" w:history="1">
        <w:r w:rsidRPr="005F63D1">
          <w:t>Blood Management</w:t>
        </w:r>
        <w:r w:rsidRPr="003241EF">
          <w:t xml:space="preserve"> </w:t>
        </w:r>
        <w:r w:rsidRPr="005F63D1">
          <w:t>Standard (2</w:t>
        </w:r>
        <w:r w:rsidRPr="005F63D1">
          <w:rPr>
            <w:vertAlign w:val="superscript"/>
          </w:rPr>
          <w:t>nd</w:t>
        </w:r>
        <w:r w:rsidRPr="005F63D1">
          <w:t xml:space="preserve"> ed, 2017) </w:t>
        </w:r>
      </w:hyperlink>
      <w:r>
        <w:t xml:space="preserve">(the Standard) </w:t>
      </w:r>
      <w:r w:rsidRPr="00E543E4">
        <w:t>require</w:t>
      </w:r>
      <w:r>
        <w:t>s</w:t>
      </w:r>
      <w:r w:rsidRPr="00E543E4">
        <w:t xml:space="preserve"> health service organisations to report adverse events</w:t>
      </w:r>
      <w:r>
        <w:t xml:space="preserve"> as follows</w:t>
      </w:r>
      <w:r w:rsidRPr="00E543E4">
        <w:t>:</w:t>
      </w:r>
      <w:r w:rsidRPr="00A952D8">
        <w:t xml:space="preserve"> </w:t>
      </w:r>
    </w:p>
    <w:p w:rsidR="009D1D3C" w:rsidRDefault="009D1D3C" w:rsidP="009D1D3C">
      <w:pPr>
        <w:pStyle w:val="ListParagraph"/>
        <w:ind w:left="0"/>
      </w:pPr>
      <w:r>
        <w:t>Action 7.7</w:t>
      </w:r>
      <w:r>
        <w:tab/>
        <w:t>The health service organisation uses</w:t>
      </w:r>
      <w:r w:rsidRPr="0057026E">
        <w:t xml:space="preserve"> processes for reporting transfusion-related </w:t>
      </w:r>
      <w:r>
        <w:tab/>
      </w:r>
      <w:r>
        <w:tab/>
      </w:r>
      <w:r>
        <w:tab/>
      </w:r>
      <w:r w:rsidRPr="0057026E">
        <w:t>adverse events, in accordance with national guidelines and criteria</w:t>
      </w:r>
      <w:r w:rsidRPr="00A952D8">
        <w:t xml:space="preserve"> </w:t>
      </w:r>
    </w:p>
    <w:p w:rsidR="009D1D3C" w:rsidRDefault="009D1D3C" w:rsidP="009D1D3C">
      <w:pPr>
        <w:pStyle w:val="ListParagraph"/>
        <w:ind w:left="0"/>
      </w:pPr>
      <w:r>
        <w:t>Action 7.8</w:t>
      </w:r>
      <w:r>
        <w:tab/>
        <w:t xml:space="preserve">The </w:t>
      </w:r>
      <w:r w:rsidRPr="00922736">
        <w:t xml:space="preserve">health </w:t>
      </w:r>
      <w:r>
        <w:t>service organisation participates</w:t>
      </w:r>
      <w:r w:rsidRPr="00922736">
        <w:t xml:space="preserve"> in haemovigilance activities, in accordance </w:t>
      </w:r>
      <w:r>
        <w:tab/>
      </w:r>
      <w:r>
        <w:tab/>
      </w:r>
      <w:r w:rsidRPr="00922736">
        <w:t>with the national framework</w:t>
      </w:r>
      <w:r>
        <w:t>.</w:t>
      </w:r>
    </w:p>
    <w:p w:rsidR="009D1D3C" w:rsidRPr="0032783C" w:rsidRDefault="009D1D3C" w:rsidP="0032783C">
      <w:pPr>
        <w:pStyle w:val="Heading3"/>
      </w:pPr>
      <w:r w:rsidRPr="0032783C">
        <w:t xml:space="preserve">What is haemovigilance? </w:t>
      </w:r>
    </w:p>
    <w:p w:rsidR="009D1D3C" w:rsidRDefault="009D1D3C" w:rsidP="009D1D3C">
      <w:pPr>
        <w:pStyle w:val="ListParagraph"/>
        <w:ind w:left="0"/>
      </w:pPr>
      <w:r>
        <w:t>The Standard defines haemovigilance as:</w:t>
      </w:r>
    </w:p>
    <w:p w:rsidR="009D1D3C" w:rsidRPr="009D1D3C" w:rsidRDefault="009D1D3C" w:rsidP="009D1D3C">
      <w:pPr>
        <w:ind w:left="567"/>
        <w:rPr>
          <w:i/>
        </w:rPr>
      </w:pPr>
      <w:r w:rsidRPr="00302306">
        <w:rPr>
          <w:rFonts w:eastAsia="Times New Roman" w:cs="Times New Roman"/>
          <w:i/>
        </w:rPr>
        <w:t>a set of surveillance procedures covering the entire blood transfusion chain, from the donation and processing of blood and its components, to their provision and transfusion to patients, to their follow-up. It includes monitoring, reporting, investigating and analysing diverse events related to the donation, processing and transfusion of blood, as well as development and implementation of recommendations to prevent the occurrence or recurrence of adverse events’.</w:t>
      </w:r>
      <w:r>
        <w:rPr>
          <w:rFonts w:eastAsia="Times New Roman" w:cs="Times New Roman"/>
          <w:i/>
        </w:rPr>
        <w:t xml:space="preserve"> (NSQHS 2017)</w:t>
      </w:r>
    </w:p>
    <w:p w:rsidR="009D1D3C" w:rsidRDefault="009D1D3C" w:rsidP="009D1D3C">
      <w:pPr>
        <w:rPr>
          <w:rFonts w:asciiTheme="minorHAnsi" w:hAnsiTheme="minorHAnsi" w:cstheme="minorHAnsi"/>
          <w:b/>
        </w:rPr>
      </w:pPr>
    </w:p>
    <w:p w:rsidR="009D1D3C" w:rsidRDefault="009D1D3C" w:rsidP="009D1D3C">
      <w:pPr>
        <w:rPr>
          <w:rFonts w:asciiTheme="minorHAnsi" w:hAnsiTheme="minorHAnsi" w:cstheme="minorHAnsi"/>
          <w:b/>
        </w:rPr>
      </w:pPr>
    </w:p>
    <w:p w:rsidR="009D1D3C" w:rsidRPr="0032783C" w:rsidRDefault="009D1D3C" w:rsidP="0032783C">
      <w:pPr>
        <w:pStyle w:val="Heading3"/>
      </w:pPr>
      <w:r w:rsidRPr="0032783C">
        <w:t>Scope</w:t>
      </w:r>
    </w:p>
    <w:p w:rsidR="009D1D3C" w:rsidRPr="00992443" w:rsidRDefault="009D1D3C" w:rsidP="009D1D3C">
      <w:r w:rsidRPr="00992443">
        <w:rPr>
          <w:rFonts w:asciiTheme="minorHAnsi" w:hAnsiTheme="minorHAnsi" w:cstheme="minorHAnsi"/>
        </w:rPr>
        <w:t xml:space="preserve">The scope of haemovigilance </w:t>
      </w:r>
      <w:r>
        <w:rPr>
          <w:rFonts w:asciiTheme="minorHAnsi" w:hAnsiTheme="minorHAnsi" w:cstheme="minorHAnsi"/>
        </w:rPr>
        <w:t>in Australia and the HAC</w:t>
      </w:r>
      <w:r w:rsidRPr="00992443">
        <w:rPr>
          <w:rFonts w:asciiTheme="minorHAnsi" w:hAnsiTheme="minorHAnsi" w:cstheme="minorHAnsi"/>
        </w:rPr>
        <w:t xml:space="preserve"> includes all </w:t>
      </w:r>
      <w:r>
        <w:rPr>
          <w:rFonts w:asciiTheme="minorHAnsi" w:hAnsiTheme="minorHAnsi" w:cstheme="minorHAnsi"/>
        </w:rPr>
        <w:t xml:space="preserve">fresh </w:t>
      </w:r>
      <w:r w:rsidRPr="00992443">
        <w:rPr>
          <w:rFonts w:asciiTheme="minorHAnsi" w:hAnsiTheme="minorHAnsi" w:cstheme="minorHAnsi"/>
        </w:rPr>
        <w:t>blood products</w:t>
      </w:r>
      <w:r>
        <w:rPr>
          <w:rFonts w:asciiTheme="minorHAnsi" w:hAnsiTheme="minorHAnsi" w:cstheme="minorHAnsi"/>
        </w:rPr>
        <w:t>. Other blood products (e.g.</w:t>
      </w:r>
      <w:r w:rsidRPr="00992443">
        <w:rPr>
          <w:rFonts w:asciiTheme="minorHAnsi" w:hAnsiTheme="minorHAnsi" w:cstheme="minorHAnsi"/>
        </w:rPr>
        <w:t xml:space="preserve"> plasma derived and recombinant products that are supplied and distributed by the </w:t>
      </w:r>
      <w:r>
        <w:rPr>
          <w:rFonts w:asciiTheme="minorHAnsi" w:hAnsiTheme="minorHAnsi" w:cstheme="minorHAnsi"/>
        </w:rPr>
        <w:t xml:space="preserve">NBA </w:t>
      </w:r>
      <w:r w:rsidRPr="00992443">
        <w:rPr>
          <w:rFonts w:asciiTheme="minorHAnsi" w:hAnsiTheme="minorHAnsi" w:cstheme="minorHAnsi"/>
        </w:rPr>
        <w:t xml:space="preserve">under the </w:t>
      </w:r>
      <w:r w:rsidRPr="00126919">
        <w:rPr>
          <w:rFonts w:asciiTheme="minorHAnsi" w:hAnsiTheme="minorHAnsi" w:cstheme="minorHAnsi"/>
          <w:i/>
        </w:rPr>
        <w:t>National Blood Agreement</w:t>
      </w:r>
      <w:r>
        <w:rPr>
          <w:rFonts w:asciiTheme="minorHAnsi" w:hAnsiTheme="minorHAnsi" w:cstheme="minorHAnsi"/>
          <w:i/>
        </w:rPr>
        <w:t xml:space="preserve">) </w:t>
      </w:r>
      <w:r>
        <w:rPr>
          <w:rFonts w:asciiTheme="minorHAnsi" w:hAnsiTheme="minorHAnsi" w:cstheme="minorHAnsi"/>
        </w:rPr>
        <w:t>are managed under separate projects</w:t>
      </w:r>
      <w:r w:rsidRPr="00126919">
        <w:rPr>
          <w:rFonts w:asciiTheme="minorHAnsi" w:hAnsiTheme="minorHAnsi" w:cstheme="minorHAnsi"/>
          <w:i/>
        </w:rPr>
        <w:t>.</w:t>
      </w:r>
      <w:r w:rsidRPr="00992443">
        <w:rPr>
          <w:rFonts w:asciiTheme="minorHAnsi" w:hAnsiTheme="minorHAnsi" w:cstheme="minorHAnsi"/>
        </w:rPr>
        <w:t xml:space="preserve">  The scope of the HAC and haemovigilance can also extend to donor haemovigilance</w:t>
      </w:r>
      <w:r>
        <w:rPr>
          <w:rFonts w:asciiTheme="minorHAnsi" w:hAnsiTheme="minorHAnsi" w:cstheme="minorHAnsi"/>
        </w:rPr>
        <w:t xml:space="preserve"> (data reporting only)</w:t>
      </w:r>
      <w:r w:rsidRPr="00992443">
        <w:rPr>
          <w:rFonts w:asciiTheme="minorHAnsi" w:hAnsiTheme="minorHAnsi" w:cstheme="minorHAnsi"/>
        </w:rPr>
        <w:t xml:space="preserve">.  </w:t>
      </w:r>
    </w:p>
    <w:p w:rsidR="009D1D3C" w:rsidRDefault="009D1D3C" w:rsidP="009D1D3C">
      <w:r w:rsidRPr="00E543E4">
        <w:t xml:space="preserve">The </w:t>
      </w:r>
      <w:r>
        <w:t xml:space="preserve">Strategic Framework was </w:t>
      </w:r>
      <w:r w:rsidRPr="00E543E4">
        <w:t>endorsed by the J</w:t>
      </w:r>
      <w:r>
        <w:t>urisdictional Blood Committee</w:t>
      </w:r>
      <w:r w:rsidRPr="00E543E4">
        <w:t xml:space="preserve"> </w:t>
      </w:r>
      <w:r>
        <w:t>(</w:t>
      </w:r>
      <w:r w:rsidRPr="00E543E4">
        <w:t>in September 2014</w:t>
      </w:r>
      <w:r>
        <w:t xml:space="preserve"> and amended from time to time as per the NBA website). It</w:t>
      </w:r>
      <w:r w:rsidRPr="00E543E4">
        <w:t xml:space="preserve"> defines the scope of national haemovigilance arrangements to emphasise activities that contribute to national standardisation.</w:t>
      </w:r>
      <w:r>
        <w:t xml:space="preserve"> The HAC will provide guidance and advice to the NBA and in particular on the Strategic Framework and accompanying work plan for future haemovigilance activities.</w:t>
      </w:r>
    </w:p>
    <w:p w:rsidR="009D1D3C" w:rsidRDefault="009D1D3C" w:rsidP="007C1577">
      <w:pPr>
        <w:pStyle w:val="Heading2"/>
      </w:pPr>
    </w:p>
    <w:p w:rsidR="006E09F6" w:rsidRPr="00DF189D" w:rsidRDefault="007C1577" w:rsidP="00AE4B29">
      <w:pPr>
        <w:pStyle w:val="Heading1"/>
      </w:pPr>
      <w:r>
        <w:t>Operations of the Committee</w:t>
      </w:r>
    </w:p>
    <w:p w:rsidR="00B1099C" w:rsidRPr="00AE4B29" w:rsidRDefault="007C1577" w:rsidP="00AE4B29">
      <w:pPr>
        <w:pStyle w:val="Heading2"/>
      </w:pPr>
      <w:r>
        <w:t xml:space="preserve">Chair </w:t>
      </w:r>
    </w:p>
    <w:p w:rsidR="009D1D3C" w:rsidRDefault="009D1D3C" w:rsidP="009D1D3C">
      <w:r w:rsidRPr="00245BA2">
        <w:t xml:space="preserve">The Chair </w:t>
      </w:r>
      <w:r>
        <w:t xml:space="preserve">of HAC will </w:t>
      </w:r>
      <w:r w:rsidRPr="00245BA2">
        <w:t xml:space="preserve">be appointed </w:t>
      </w:r>
      <w:r>
        <w:t xml:space="preserve">at the discretion of </w:t>
      </w:r>
      <w:r w:rsidRPr="00245BA2">
        <w:t>the NBA</w:t>
      </w:r>
      <w:r>
        <w:t xml:space="preserve"> Chief Executive</w:t>
      </w:r>
      <w:r w:rsidRPr="00245BA2">
        <w:t xml:space="preserve">. The </w:t>
      </w:r>
      <w:r>
        <w:t>NBA Chief Executive</w:t>
      </w:r>
      <w:r w:rsidRPr="00245BA2">
        <w:t xml:space="preserve"> may nominate a</w:t>
      </w:r>
      <w:r>
        <w:t>n alternative person</w:t>
      </w:r>
      <w:r w:rsidRPr="00245BA2">
        <w:t xml:space="preserve"> to be a temporary Chair whe</w:t>
      </w:r>
      <w:r>
        <w:t>n</w:t>
      </w:r>
      <w:r w:rsidRPr="00245BA2">
        <w:t xml:space="preserve"> the Chair is unable to attend a meeting or is otherwise unable to perform the role of Chair. </w:t>
      </w:r>
    </w:p>
    <w:p w:rsidR="009D1D3C" w:rsidRPr="00245BA2" w:rsidRDefault="009D1D3C" w:rsidP="009D1D3C">
      <w:r w:rsidRPr="00A61CAE">
        <w:t xml:space="preserve">The position of Chair will </w:t>
      </w:r>
      <w:r>
        <w:t xml:space="preserve">usually </w:t>
      </w:r>
      <w:r w:rsidRPr="00A61CAE">
        <w:t xml:space="preserve">undergo a review process every </w:t>
      </w:r>
      <w:r>
        <w:t xml:space="preserve">three </w:t>
      </w:r>
      <w:r w:rsidRPr="00A61CAE">
        <w:t xml:space="preserve">years, or at the discretion of the NBA </w:t>
      </w:r>
      <w:r>
        <w:t>Chief Executive</w:t>
      </w:r>
      <w:r w:rsidRPr="00A61CAE">
        <w:t xml:space="preserve">. Where possible, the </w:t>
      </w:r>
      <w:r>
        <w:t xml:space="preserve">former </w:t>
      </w:r>
      <w:r w:rsidRPr="00A61CAE">
        <w:t>Chair will continue as a member o</w:t>
      </w:r>
      <w:r>
        <w:t>f</w:t>
      </w:r>
      <w:r w:rsidRPr="00A61CAE">
        <w:t xml:space="preserve"> </w:t>
      </w:r>
      <w:r>
        <w:t>HAC</w:t>
      </w:r>
      <w:r w:rsidRPr="00A61CAE">
        <w:t xml:space="preserve"> to maintain continuity.</w:t>
      </w:r>
    </w:p>
    <w:p w:rsidR="009D1D3C" w:rsidRPr="003903AD" w:rsidRDefault="009D1D3C" w:rsidP="009D1D3C">
      <w:pPr>
        <w:rPr>
          <w:rFonts w:asciiTheme="minorHAnsi" w:hAnsiTheme="minorHAnsi" w:cstheme="minorHAnsi"/>
        </w:rPr>
      </w:pPr>
      <w:r w:rsidRPr="003903AD">
        <w:rPr>
          <w:rFonts w:asciiTheme="minorHAnsi" w:hAnsiTheme="minorHAnsi" w:cstheme="minorHAnsi"/>
        </w:rPr>
        <w:t xml:space="preserve">The Chair’s main role is to provide leadership to the </w:t>
      </w:r>
      <w:r w:rsidRPr="003903AD">
        <w:t>HAC</w:t>
      </w:r>
      <w:r w:rsidRPr="003903AD">
        <w:rPr>
          <w:rFonts w:asciiTheme="minorHAnsi" w:hAnsiTheme="minorHAnsi" w:cstheme="minorHAnsi"/>
        </w:rPr>
        <w:t xml:space="preserve">. The Chair will </w:t>
      </w:r>
      <w:r>
        <w:rPr>
          <w:rFonts w:asciiTheme="minorHAnsi" w:hAnsiTheme="minorHAnsi" w:cstheme="minorHAnsi"/>
        </w:rPr>
        <w:t xml:space="preserve">promote and </w:t>
      </w:r>
      <w:r w:rsidRPr="003903AD">
        <w:rPr>
          <w:rFonts w:asciiTheme="minorHAnsi" w:hAnsiTheme="minorHAnsi" w:cstheme="minorHAnsi"/>
        </w:rPr>
        <w:t xml:space="preserve">advocate consistency in key messages and ensure the </w:t>
      </w:r>
      <w:r w:rsidRPr="003903AD">
        <w:t>HAC</w:t>
      </w:r>
      <w:r w:rsidRPr="003903AD">
        <w:rPr>
          <w:rFonts w:asciiTheme="minorHAnsi" w:hAnsiTheme="minorHAnsi" w:cstheme="minorHAnsi"/>
        </w:rPr>
        <w:t xml:space="preserve"> carries out its functions effectively and efficiently. The Chair will also provide advice and guidance direct to the NBA </w:t>
      </w:r>
      <w:r>
        <w:rPr>
          <w:rFonts w:asciiTheme="minorHAnsi" w:hAnsiTheme="minorHAnsi" w:cstheme="minorHAnsi"/>
        </w:rPr>
        <w:t>Chief Executive</w:t>
      </w:r>
      <w:r w:rsidRPr="003903AD">
        <w:rPr>
          <w:rFonts w:asciiTheme="minorHAnsi" w:hAnsiTheme="minorHAnsi" w:cstheme="minorHAnsi"/>
        </w:rPr>
        <w:t xml:space="preserve"> or their delegate on issues </w:t>
      </w:r>
      <w:r>
        <w:rPr>
          <w:rFonts w:asciiTheme="minorHAnsi" w:hAnsiTheme="minorHAnsi" w:cstheme="minorHAnsi"/>
        </w:rPr>
        <w:t xml:space="preserve">that might </w:t>
      </w:r>
      <w:r w:rsidRPr="003903AD">
        <w:rPr>
          <w:rFonts w:asciiTheme="minorHAnsi" w:hAnsiTheme="minorHAnsi" w:cstheme="minorHAnsi"/>
        </w:rPr>
        <w:t xml:space="preserve">arise outside the </w:t>
      </w:r>
      <w:r w:rsidRPr="003903AD">
        <w:t>HAC</w:t>
      </w:r>
      <w:r w:rsidRPr="003903AD">
        <w:rPr>
          <w:rFonts w:asciiTheme="minorHAnsi" w:hAnsiTheme="minorHAnsi" w:cstheme="minorHAnsi"/>
        </w:rPr>
        <w:t xml:space="preserve"> processes.</w:t>
      </w:r>
    </w:p>
    <w:p w:rsidR="002C0980" w:rsidRPr="009C2882" w:rsidRDefault="007C1577" w:rsidP="00AE4B29">
      <w:pPr>
        <w:pStyle w:val="Heading2"/>
      </w:pPr>
      <w:r>
        <w:t xml:space="preserve">Members </w:t>
      </w:r>
    </w:p>
    <w:p w:rsidR="009D1D3C" w:rsidRDefault="009D1D3C" w:rsidP="009D1D3C">
      <w:r>
        <w:t>HAC m</w:t>
      </w:r>
      <w:r w:rsidRPr="00283856">
        <w:t xml:space="preserve">embers are appointed by the NBA </w:t>
      </w:r>
      <w:r>
        <w:t>Chief Executive</w:t>
      </w:r>
      <w:r w:rsidRPr="00283856">
        <w:t xml:space="preserve">. The </w:t>
      </w:r>
      <w:r>
        <w:t>HAC</w:t>
      </w:r>
      <w:r w:rsidRPr="00283856">
        <w:t xml:space="preserve"> is a group comprising members with expertise and knowledge in the health sector, blood management</w:t>
      </w:r>
      <w:r>
        <w:t>,</w:t>
      </w:r>
      <w:r w:rsidRPr="00283856">
        <w:t xml:space="preserve"> quality and safety</w:t>
      </w:r>
      <w:r>
        <w:t xml:space="preserve"> and consumer issues</w:t>
      </w:r>
      <w:r w:rsidRPr="00283856">
        <w:t xml:space="preserve">. This group will enable a focussed approach to considering </w:t>
      </w:r>
      <w:r>
        <w:t>haemovigilance</w:t>
      </w:r>
      <w:r w:rsidRPr="00283856">
        <w:t xml:space="preserve"> activities. </w:t>
      </w:r>
    </w:p>
    <w:p w:rsidR="009D1D3C" w:rsidRPr="00D111E9" w:rsidRDefault="009D1D3C" w:rsidP="009D1D3C">
      <w:pPr>
        <w:rPr>
          <w:rFonts w:asciiTheme="minorHAnsi" w:hAnsiTheme="minorHAnsi" w:cstheme="minorHAnsi"/>
        </w:rPr>
      </w:pPr>
      <w:r w:rsidRPr="00D111E9">
        <w:t xml:space="preserve">The HAC will normally comprise up to 12 members including the Chair. Membership should consist of nominees from key stakeholders with balanced representation from different clinical </w:t>
      </w:r>
      <w:r w:rsidRPr="00D111E9">
        <w:rPr>
          <w:rFonts w:asciiTheme="minorHAnsi" w:hAnsiTheme="minorHAnsi"/>
        </w:rPr>
        <w:t>disciplines, organisations, and jurisdictions.</w:t>
      </w:r>
      <w:r w:rsidRPr="00D111E9">
        <w:t xml:space="preserve"> One person may represent the views of multiple stakeholders</w:t>
      </w:r>
      <w:r w:rsidR="00F20416" w:rsidRPr="00D111E9">
        <w:t xml:space="preserve"> due to their membership of more than one organisation (for example, the Blood Service </w:t>
      </w:r>
      <w:r w:rsidR="00F20416" w:rsidRPr="00D111E9">
        <w:rPr>
          <w:i/>
        </w:rPr>
        <w:t>and</w:t>
      </w:r>
      <w:r w:rsidR="00F20416" w:rsidRPr="00D111E9">
        <w:t xml:space="preserve"> a college/society)</w:t>
      </w:r>
      <w:r w:rsidRPr="00D111E9">
        <w:t xml:space="preserve">. A membership list is at </w:t>
      </w:r>
      <w:r w:rsidRPr="00D111E9">
        <w:rPr>
          <w:b/>
        </w:rPr>
        <w:t>Appendix A</w:t>
      </w:r>
      <w:r w:rsidRPr="00D111E9">
        <w:t>.</w:t>
      </w:r>
    </w:p>
    <w:p w:rsidR="00C81F9A" w:rsidRPr="00D111E9" w:rsidRDefault="009D1D3C" w:rsidP="00C81F9A">
      <w:pPr>
        <w:tabs>
          <w:tab w:val="left" w:pos="0"/>
        </w:tabs>
        <w:rPr>
          <w:rFonts w:asciiTheme="minorHAnsi" w:hAnsiTheme="minorHAnsi" w:cstheme="minorHAnsi"/>
        </w:rPr>
      </w:pPr>
      <w:r w:rsidRPr="00D111E9">
        <w:rPr>
          <w:rFonts w:asciiTheme="minorHAnsi" w:hAnsiTheme="minorHAnsi" w:cstheme="minorHAnsi"/>
        </w:rPr>
        <w:t xml:space="preserve">Membership will undergo a rolling review process with a ‘half-spill’ </w:t>
      </w:r>
      <w:r w:rsidR="0032783C" w:rsidRPr="00D111E9">
        <w:rPr>
          <w:rFonts w:asciiTheme="minorHAnsi" w:hAnsiTheme="minorHAnsi" w:cstheme="minorHAnsi"/>
        </w:rPr>
        <w:t xml:space="preserve">usually </w:t>
      </w:r>
      <w:r w:rsidRPr="00D111E9">
        <w:rPr>
          <w:rFonts w:asciiTheme="minorHAnsi" w:hAnsiTheme="minorHAnsi" w:cstheme="minorHAnsi"/>
        </w:rPr>
        <w:t xml:space="preserve">every three years or otherwise at the discretion of the NBA Chief Executive. There will be a maximum term of membership not exceeding eight years.  Members are responsible for obtaining all approvals necessary from their current employer or organisation as appropriate to accept appointment as a member and undertake the role of member. Members who are a nominated representative of an organisation must identify a proxy to attend meetings in their absence. </w:t>
      </w:r>
    </w:p>
    <w:p w:rsidR="00F90C24" w:rsidRPr="00D111E9" w:rsidRDefault="00F90C24" w:rsidP="00AE4B29">
      <w:pPr>
        <w:pStyle w:val="Heading2"/>
      </w:pPr>
      <w:r w:rsidRPr="00D111E9">
        <w:t xml:space="preserve">NBA Support </w:t>
      </w:r>
    </w:p>
    <w:p w:rsidR="00F20416" w:rsidRPr="00D111E9" w:rsidRDefault="00F20416" w:rsidP="00F20416">
      <w:pPr>
        <w:spacing w:after="120"/>
        <w:rPr>
          <w:rFonts w:asciiTheme="minorHAnsi" w:hAnsiTheme="minorHAnsi" w:cstheme="minorHAnsi"/>
        </w:rPr>
      </w:pPr>
      <w:r w:rsidRPr="00D111E9">
        <w:rPr>
          <w:rFonts w:asciiTheme="minorHAnsi" w:hAnsiTheme="minorHAnsi" w:cstheme="minorHAnsi"/>
        </w:rPr>
        <w:t xml:space="preserve">The NBA Deputy Chief Executive or other delegate will be responsible for the day-to-day dealings with the HAC. </w:t>
      </w:r>
    </w:p>
    <w:p w:rsidR="00F90C24" w:rsidRPr="00F90C24" w:rsidRDefault="00F90C24" w:rsidP="00F90C24">
      <w:pPr>
        <w:rPr>
          <w:rFonts w:asciiTheme="minorHAnsi" w:hAnsiTheme="minorHAnsi" w:cstheme="minorHAnsi"/>
        </w:rPr>
      </w:pPr>
      <w:r w:rsidRPr="00D111E9">
        <w:rPr>
          <w:rFonts w:asciiTheme="minorHAnsi" w:hAnsiTheme="minorHAnsi" w:cstheme="minorHAnsi"/>
        </w:rPr>
        <w:t xml:space="preserve">The NBA will provide funding, project management, secretariat services and administrative support for the HAC. The NBA will collate national data for analysis and subsequent reporting as appropriate and after consideration and advice by the HAC. Regular national reports will be made publicly available once data is sufficiently complete and subjected to appropriate quality assurance and advice. </w:t>
      </w:r>
      <w:r w:rsidR="00F20416" w:rsidRPr="00D111E9">
        <w:rPr>
          <w:rFonts w:asciiTheme="minorHAnsi" w:hAnsiTheme="minorHAnsi" w:cstheme="minorHAnsi"/>
        </w:rPr>
        <w:t>Subject to provision of data to the NBA, the NBA will endeavour to make the national reports available annually.</w:t>
      </w:r>
    </w:p>
    <w:p w:rsidR="00F20416" w:rsidRDefault="00F20416">
      <w:pPr>
        <w:spacing w:after="160" w:line="259" w:lineRule="auto"/>
        <w:rPr>
          <w:rFonts w:asciiTheme="minorHAnsi" w:hAnsiTheme="minorHAnsi" w:cs="Arial"/>
        </w:rPr>
      </w:pPr>
      <w:r>
        <w:rPr>
          <w:rFonts w:asciiTheme="minorHAnsi" w:hAnsiTheme="minorHAnsi" w:cs="Arial"/>
        </w:rPr>
        <w:br w:type="page"/>
      </w:r>
    </w:p>
    <w:p w:rsidR="00F45536" w:rsidRPr="00E543E4" w:rsidRDefault="00F45536" w:rsidP="00F45536">
      <w:pPr>
        <w:rPr>
          <w:rFonts w:asciiTheme="minorHAnsi" w:hAnsiTheme="minorHAnsi" w:cs="Arial"/>
        </w:rPr>
      </w:pPr>
      <w:r>
        <w:rPr>
          <w:rFonts w:asciiTheme="minorHAnsi" w:hAnsiTheme="minorHAnsi" w:cs="Arial"/>
        </w:rPr>
        <w:t>The s</w:t>
      </w:r>
      <w:r w:rsidRPr="00E543E4">
        <w:rPr>
          <w:rFonts w:asciiTheme="minorHAnsi" w:hAnsiTheme="minorHAnsi" w:cs="Arial"/>
        </w:rPr>
        <w:t xml:space="preserve">ecretariat </w:t>
      </w:r>
      <w:r>
        <w:rPr>
          <w:rFonts w:asciiTheme="minorHAnsi" w:hAnsiTheme="minorHAnsi" w:cs="Arial"/>
        </w:rPr>
        <w:t xml:space="preserve">will service and support the HAC and in particular, will: </w:t>
      </w:r>
    </w:p>
    <w:p w:rsidR="00F45536" w:rsidRPr="00E543E4" w:rsidRDefault="00F45536" w:rsidP="00F45536">
      <w:pPr>
        <w:pStyle w:val="ListParagraph"/>
        <w:numPr>
          <w:ilvl w:val="0"/>
          <w:numId w:val="57"/>
        </w:numPr>
        <w:spacing w:after="0"/>
        <w:ind w:left="714" w:hanging="357"/>
        <w:rPr>
          <w:rFonts w:asciiTheme="minorHAnsi" w:hAnsiTheme="minorHAnsi" w:cs="Arial"/>
        </w:rPr>
      </w:pPr>
      <w:r w:rsidRPr="00E543E4">
        <w:rPr>
          <w:rFonts w:asciiTheme="minorHAnsi" w:hAnsiTheme="minorHAnsi" w:cs="Arial"/>
        </w:rPr>
        <w:t>Support the Chair;</w:t>
      </w:r>
    </w:p>
    <w:p w:rsidR="00F45536" w:rsidRPr="00E543E4" w:rsidRDefault="00F45536" w:rsidP="00F45536">
      <w:pPr>
        <w:pStyle w:val="ListParagraph"/>
        <w:numPr>
          <w:ilvl w:val="0"/>
          <w:numId w:val="57"/>
        </w:numPr>
        <w:spacing w:after="0"/>
        <w:ind w:left="714" w:hanging="357"/>
        <w:rPr>
          <w:rFonts w:asciiTheme="minorHAnsi" w:hAnsiTheme="minorHAnsi" w:cs="Arial"/>
        </w:rPr>
      </w:pPr>
      <w:r w:rsidRPr="00E543E4">
        <w:rPr>
          <w:rFonts w:asciiTheme="minorHAnsi" w:hAnsiTheme="minorHAnsi" w:cs="Arial"/>
        </w:rPr>
        <w:t>Schedule meetings;</w:t>
      </w:r>
    </w:p>
    <w:p w:rsidR="00F45536" w:rsidRPr="00E543E4" w:rsidRDefault="00F45536" w:rsidP="00F45536">
      <w:pPr>
        <w:pStyle w:val="ListParagraph"/>
        <w:numPr>
          <w:ilvl w:val="0"/>
          <w:numId w:val="57"/>
        </w:numPr>
        <w:spacing w:after="0"/>
        <w:ind w:left="714" w:hanging="357"/>
        <w:rPr>
          <w:rFonts w:asciiTheme="minorHAnsi" w:hAnsiTheme="minorHAnsi" w:cs="Arial"/>
        </w:rPr>
      </w:pPr>
      <w:r w:rsidRPr="00E543E4">
        <w:rPr>
          <w:rFonts w:asciiTheme="minorHAnsi" w:hAnsiTheme="minorHAnsi" w:cs="Arial"/>
        </w:rPr>
        <w:t>Coordinate papers for meetings;</w:t>
      </w:r>
    </w:p>
    <w:p w:rsidR="00F45536" w:rsidRPr="00E543E4" w:rsidRDefault="00F45536" w:rsidP="00F45536">
      <w:pPr>
        <w:pStyle w:val="ListParagraph"/>
        <w:numPr>
          <w:ilvl w:val="0"/>
          <w:numId w:val="57"/>
        </w:numPr>
        <w:spacing w:after="0"/>
        <w:ind w:left="714" w:hanging="357"/>
        <w:rPr>
          <w:rFonts w:asciiTheme="minorHAnsi" w:hAnsiTheme="minorHAnsi" w:cs="Arial"/>
        </w:rPr>
      </w:pPr>
      <w:r w:rsidRPr="00E543E4">
        <w:rPr>
          <w:rFonts w:asciiTheme="minorHAnsi" w:hAnsiTheme="minorHAnsi" w:cs="Arial"/>
        </w:rPr>
        <w:t xml:space="preserve">Draft </w:t>
      </w:r>
      <w:r>
        <w:rPr>
          <w:rFonts w:asciiTheme="minorHAnsi" w:hAnsiTheme="minorHAnsi" w:cs="Arial"/>
        </w:rPr>
        <w:t>meeting</w:t>
      </w:r>
      <w:r w:rsidRPr="00E543E4">
        <w:rPr>
          <w:rFonts w:asciiTheme="minorHAnsi" w:hAnsiTheme="minorHAnsi" w:cs="Arial"/>
        </w:rPr>
        <w:t xml:space="preserve"> minutes and action items;</w:t>
      </w:r>
    </w:p>
    <w:p w:rsidR="00F45536" w:rsidRPr="00E543E4" w:rsidRDefault="00F45536" w:rsidP="00F45536">
      <w:pPr>
        <w:pStyle w:val="ListParagraph"/>
        <w:numPr>
          <w:ilvl w:val="0"/>
          <w:numId w:val="57"/>
        </w:numPr>
        <w:spacing w:after="0"/>
        <w:ind w:left="714" w:hanging="357"/>
        <w:rPr>
          <w:rFonts w:asciiTheme="minorHAnsi" w:hAnsiTheme="minorHAnsi" w:cs="Arial"/>
        </w:rPr>
      </w:pPr>
      <w:r w:rsidRPr="00E543E4">
        <w:rPr>
          <w:rFonts w:asciiTheme="minorHAnsi" w:hAnsiTheme="minorHAnsi" w:cs="Arial"/>
        </w:rPr>
        <w:t>Monitor and report on actions from meetings; and</w:t>
      </w:r>
    </w:p>
    <w:p w:rsidR="00F45536" w:rsidRPr="00E543E4" w:rsidRDefault="00F45536" w:rsidP="00F45536">
      <w:pPr>
        <w:pStyle w:val="ListParagraph"/>
        <w:numPr>
          <w:ilvl w:val="0"/>
          <w:numId w:val="57"/>
        </w:numPr>
        <w:spacing w:after="120"/>
        <w:ind w:left="714" w:hanging="357"/>
        <w:rPr>
          <w:rFonts w:asciiTheme="minorHAnsi" w:hAnsiTheme="minorHAnsi" w:cs="Arial"/>
        </w:rPr>
      </w:pPr>
      <w:r w:rsidRPr="00E543E4">
        <w:rPr>
          <w:rFonts w:asciiTheme="minorHAnsi" w:hAnsiTheme="minorHAnsi" w:cs="Arial"/>
        </w:rPr>
        <w:t>Prepare formal correspondence on behalf of the Committee.</w:t>
      </w:r>
    </w:p>
    <w:p w:rsidR="008263A9" w:rsidRDefault="008263A9" w:rsidP="008263A9">
      <w:pPr>
        <w:pStyle w:val="Heading2"/>
      </w:pPr>
      <w:r>
        <w:t xml:space="preserve">Meetings </w:t>
      </w:r>
    </w:p>
    <w:p w:rsidR="00C42D3B" w:rsidRPr="00D111E9" w:rsidRDefault="008263A9" w:rsidP="00C42D3B">
      <w:pPr>
        <w:rPr>
          <w:rFonts w:asciiTheme="minorHAnsi" w:hAnsiTheme="minorHAnsi" w:cstheme="minorHAnsi"/>
        </w:rPr>
      </w:pPr>
      <w:r w:rsidRPr="00245BA2">
        <w:rPr>
          <w:rFonts w:asciiTheme="minorHAnsi" w:hAnsiTheme="minorHAnsi" w:cstheme="minorHAnsi"/>
        </w:rPr>
        <w:t xml:space="preserve">The timing, agenda and mode of meetings will be determined by the NBA and the Chair, after any necessary consultation with members. Meetings of no more than two hours will </w:t>
      </w:r>
      <w:r>
        <w:rPr>
          <w:rFonts w:asciiTheme="minorHAnsi" w:hAnsiTheme="minorHAnsi" w:cstheme="minorHAnsi"/>
        </w:rPr>
        <w:t xml:space="preserve">usually </w:t>
      </w:r>
      <w:r w:rsidRPr="00245BA2">
        <w:rPr>
          <w:rFonts w:asciiTheme="minorHAnsi" w:hAnsiTheme="minorHAnsi" w:cstheme="minorHAnsi"/>
        </w:rPr>
        <w:t xml:space="preserve">be held </w:t>
      </w:r>
      <w:r>
        <w:rPr>
          <w:rFonts w:asciiTheme="minorHAnsi" w:hAnsiTheme="minorHAnsi" w:cstheme="minorHAnsi"/>
        </w:rPr>
        <w:t xml:space="preserve">via </w:t>
      </w:r>
      <w:r w:rsidRPr="00D111E9">
        <w:rPr>
          <w:rFonts w:asciiTheme="minorHAnsi" w:hAnsiTheme="minorHAnsi" w:cstheme="minorHAnsi"/>
        </w:rPr>
        <w:t xml:space="preserve">teleconference, dependent on the agenda. It is intended that the HAC will hold a </w:t>
      </w:r>
      <w:r w:rsidR="00F20416" w:rsidRPr="00D111E9">
        <w:rPr>
          <w:rFonts w:asciiTheme="minorHAnsi" w:hAnsiTheme="minorHAnsi" w:cstheme="minorHAnsi"/>
        </w:rPr>
        <w:t xml:space="preserve">minimum of two meetings annually with at least one being </w:t>
      </w:r>
      <w:r w:rsidRPr="00D111E9">
        <w:rPr>
          <w:rFonts w:asciiTheme="minorHAnsi" w:hAnsiTheme="minorHAnsi" w:cstheme="minorHAnsi"/>
        </w:rPr>
        <w:t xml:space="preserve">face-to-face. </w:t>
      </w:r>
    </w:p>
    <w:p w:rsidR="00C42D3B" w:rsidRPr="00245BA2" w:rsidRDefault="00C42D3B" w:rsidP="00C42D3B">
      <w:pPr>
        <w:rPr>
          <w:rFonts w:asciiTheme="minorHAnsi" w:hAnsiTheme="minorHAnsi" w:cstheme="minorHAnsi"/>
        </w:rPr>
      </w:pPr>
      <w:r w:rsidRPr="00D111E9">
        <w:rPr>
          <w:rFonts w:asciiTheme="minorHAnsi" w:hAnsiTheme="minorHAnsi" w:cstheme="minorHAnsi"/>
        </w:rPr>
        <w:t>At least five members must be present for meetings of the HAC b</w:t>
      </w:r>
      <w:r w:rsidRPr="00245BA2">
        <w:rPr>
          <w:rFonts w:asciiTheme="minorHAnsi" w:hAnsiTheme="minorHAnsi" w:cstheme="minorHAnsi"/>
        </w:rPr>
        <w:t xml:space="preserve">efore the </w:t>
      </w:r>
      <w:r>
        <w:rPr>
          <w:rFonts w:asciiTheme="minorHAnsi" w:hAnsiTheme="minorHAnsi" w:cstheme="minorHAnsi"/>
        </w:rPr>
        <w:t>HAC</w:t>
      </w:r>
      <w:r w:rsidRPr="00245BA2">
        <w:rPr>
          <w:rFonts w:asciiTheme="minorHAnsi" w:hAnsiTheme="minorHAnsi" w:cstheme="minorHAnsi"/>
        </w:rPr>
        <w:t xml:space="preserve"> can conduct valid business.</w:t>
      </w:r>
    </w:p>
    <w:p w:rsidR="008263A9" w:rsidRDefault="00C42D3B" w:rsidP="008263A9">
      <w:pPr>
        <w:rPr>
          <w:rFonts w:asciiTheme="minorHAnsi" w:hAnsiTheme="minorHAnsi" w:cstheme="minorHAnsi"/>
        </w:rPr>
      </w:pPr>
      <w:r>
        <w:rPr>
          <w:rFonts w:asciiTheme="minorHAnsi" w:hAnsiTheme="minorHAnsi" w:cstheme="minorHAnsi"/>
        </w:rPr>
        <w:t>Additional observers may be invited to attend HAC meetings from time to time</w:t>
      </w:r>
      <w:r w:rsidR="00C81F9A">
        <w:rPr>
          <w:rFonts w:asciiTheme="minorHAnsi" w:hAnsiTheme="minorHAnsi" w:cstheme="minorHAnsi"/>
        </w:rPr>
        <w:t>.</w:t>
      </w:r>
    </w:p>
    <w:p w:rsidR="006E09F6" w:rsidRPr="009C2882" w:rsidRDefault="007C1577" w:rsidP="00AE4B29">
      <w:pPr>
        <w:pStyle w:val="Heading2"/>
      </w:pPr>
      <w:r>
        <w:t>Expert advisers and working groups</w:t>
      </w:r>
    </w:p>
    <w:p w:rsidR="009D1D3C" w:rsidRDefault="009D1D3C" w:rsidP="009D1D3C">
      <w:pPr>
        <w:rPr>
          <w:rFonts w:asciiTheme="minorHAnsi" w:hAnsiTheme="minorHAnsi" w:cstheme="minorHAnsi"/>
        </w:rPr>
      </w:pPr>
      <w:bookmarkStart w:id="1" w:name="_Toc342894263"/>
      <w:r>
        <w:rPr>
          <w:rFonts w:asciiTheme="minorHAnsi" w:hAnsiTheme="minorHAnsi" w:cstheme="minorHAnsi"/>
        </w:rPr>
        <w:t>A</w:t>
      </w:r>
      <w:r w:rsidRPr="00245BA2">
        <w:rPr>
          <w:rFonts w:asciiTheme="minorHAnsi" w:hAnsiTheme="minorHAnsi" w:cstheme="minorHAnsi"/>
        </w:rPr>
        <w:t>dditional expert advice will be sought on an ad hoc basis from experts on specific issues as required</w:t>
      </w:r>
      <w:r>
        <w:rPr>
          <w:rFonts w:asciiTheme="minorHAnsi" w:hAnsiTheme="minorHAnsi" w:cstheme="minorHAnsi"/>
        </w:rPr>
        <w:t xml:space="preserve"> and cleared by the Chair</w:t>
      </w:r>
      <w:r w:rsidRPr="00245BA2">
        <w:rPr>
          <w:rFonts w:asciiTheme="minorHAnsi" w:hAnsiTheme="minorHAnsi" w:cstheme="minorHAnsi"/>
        </w:rPr>
        <w:t>.</w:t>
      </w:r>
      <w:r>
        <w:rPr>
          <w:rFonts w:asciiTheme="minorHAnsi" w:hAnsiTheme="minorHAnsi" w:cstheme="minorHAnsi"/>
        </w:rPr>
        <w:t xml:space="preserve"> This could include, but is not limited to nominees from the Therapeutics Goods Administration, the Australian Commission on Safety and Quality in Health Care, and the Australian Institute of Health and Welfare.</w:t>
      </w:r>
    </w:p>
    <w:p w:rsidR="009D1D3C" w:rsidRDefault="009D1D3C" w:rsidP="009D1D3C">
      <w:pPr>
        <w:rPr>
          <w:rFonts w:asciiTheme="minorHAnsi" w:hAnsiTheme="minorHAnsi" w:cstheme="minorHAnsi"/>
        </w:rPr>
      </w:pPr>
      <w:r>
        <w:rPr>
          <w:rFonts w:asciiTheme="minorHAnsi" w:hAnsiTheme="minorHAnsi" w:cstheme="minorHAnsi"/>
        </w:rPr>
        <w:t>There may be times when small working groups are required to deliver specific programs to the HAC. These working groups can consist of HAC members and/or expert advisors. The working groups may contribute to national haemovigilance activities including, but not limited to, data analysis, research, case studies and audits. The working groups will provide advice to the HAC and NBA as required.</w:t>
      </w:r>
    </w:p>
    <w:p w:rsidR="007C1577" w:rsidRPr="007C1577" w:rsidRDefault="007C1577" w:rsidP="007C1577">
      <w:pPr>
        <w:pStyle w:val="Heading2"/>
      </w:pPr>
      <w:r w:rsidRPr="007C1577">
        <w:t xml:space="preserve">Remuneration and allowances </w:t>
      </w:r>
    </w:p>
    <w:p w:rsidR="009D1D3C" w:rsidRDefault="009D1D3C" w:rsidP="009D1D3C">
      <w:pPr>
        <w:rPr>
          <w:rFonts w:asciiTheme="minorHAnsi" w:hAnsiTheme="minorHAnsi" w:cstheme="minorHAnsi"/>
        </w:rPr>
      </w:pPr>
      <w:bookmarkStart w:id="2" w:name="_Toc451267509"/>
      <w:bookmarkStart w:id="3" w:name="_Toc468450593"/>
      <w:bookmarkEnd w:id="1"/>
      <w:r>
        <w:rPr>
          <w:rFonts w:asciiTheme="minorHAnsi" w:hAnsiTheme="minorHAnsi" w:cstheme="minorHAnsi"/>
        </w:rPr>
        <w:t xml:space="preserve">HAC members are to be paid the remuneration and allowances as determined by the Remuneration Tribunal in accordance with the NBA Act and the </w:t>
      </w:r>
      <w:r w:rsidRPr="006C3C0B">
        <w:rPr>
          <w:rFonts w:asciiTheme="minorHAnsi" w:hAnsiTheme="minorHAnsi" w:cstheme="minorHAnsi"/>
          <w:i/>
        </w:rPr>
        <w:t>Remuneration Tribunal Act 1973</w:t>
      </w:r>
      <w:r>
        <w:rPr>
          <w:rFonts w:asciiTheme="minorHAnsi" w:hAnsiTheme="minorHAnsi" w:cstheme="minorHAnsi"/>
        </w:rPr>
        <w:t>.</w:t>
      </w:r>
    </w:p>
    <w:p w:rsidR="007C1577" w:rsidRDefault="007C1577" w:rsidP="007C1577">
      <w:pPr>
        <w:pStyle w:val="Heading2"/>
      </w:pPr>
      <w:r>
        <w:t>Undertaking/Conflict of Interest</w:t>
      </w:r>
    </w:p>
    <w:p w:rsidR="009D1D3C" w:rsidRDefault="009D1D3C" w:rsidP="009D1D3C">
      <w:pPr>
        <w:rPr>
          <w:rFonts w:asciiTheme="minorHAnsi" w:hAnsiTheme="minorHAnsi" w:cstheme="minorHAnsi"/>
        </w:rPr>
      </w:pPr>
      <w:r>
        <w:rPr>
          <w:rFonts w:asciiTheme="minorHAnsi" w:hAnsiTheme="minorHAnsi" w:cstheme="minorHAnsi"/>
        </w:rPr>
        <w:t xml:space="preserve">HAC </w:t>
      </w:r>
      <w:r w:rsidRPr="00245BA2">
        <w:rPr>
          <w:rFonts w:asciiTheme="minorHAnsi" w:hAnsiTheme="minorHAnsi" w:cstheme="minorHAnsi"/>
        </w:rPr>
        <w:t xml:space="preserve">Members and observers </w:t>
      </w:r>
      <w:r w:rsidR="00890F25">
        <w:rPr>
          <w:rFonts w:asciiTheme="minorHAnsi" w:hAnsiTheme="minorHAnsi" w:cstheme="minorHAnsi"/>
        </w:rPr>
        <w:t>must</w:t>
      </w:r>
      <w:r w:rsidRPr="00245BA2">
        <w:rPr>
          <w:rFonts w:asciiTheme="minorHAnsi" w:hAnsiTheme="minorHAnsi" w:cstheme="minorHAnsi"/>
        </w:rPr>
        <w:t xml:space="preserve"> declare any actual or potential, real or perceived </w:t>
      </w:r>
      <w:r>
        <w:rPr>
          <w:rFonts w:asciiTheme="minorHAnsi" w:hAnsiTheme="minorHAnsi" w:cstheme="minorHAnsi"/>
        </w:rPr>
        <w:t>c</w:t>
      </w:r>
      <w:r w:rsidRPr="00245BA2">
        <w:rPr>
          <w:rFonts w:asciiTheme="minorHAnsi" w:hAnsiTheme="minorHAnsi" w:cstheme="minorHAnsi"/>
        </w:rPr>
        <w:t xml:space="preserve">onflicts of </w:t>
      </w:r>
      <w:r>
        <w:rPr>
          <w:rFonts w:asciiTheme="minorHAnsi" w:hAnsiTheme="minorHAnsi" w:cstheme="minorHAnsi"/>
        </w:rPr>
        <w:t>i</w:t>
      </w:r>
      <w:r w:rsidRPr="00245BA2">
        <w:rPr>
          <w:rFonts w:asciiTheme="minorHAnsi" w:hAnsiTheme="minorHAnsi" w:cstheme="minorHAnsi"/>
        </w:rPr>
        <w:t>nterest</w:t>
      </w:r>
      <w:r w:rsidR="00890F25">
        <w:rPr>
          <w:rFonts w:asciiTheme="minorHAnsi" w:hAnsiTheme="minorHAnsi" w:cstheme="minorHAnsi"/>
        </w:rPr>
        <w:t xml:space="preserve"> to the NBA Chief Executive</w:t>
      </w:r>
      <w:r w:rsidRPr="00245BA2">
        <w:rPr>
          <w:rFonts w:asciiTheme="minorHAnsi" w:hAnsiTheme="minorHAnsi" w:cstheme="minorHAnsi"/>
        </w:rPr>
        <w:t>.</w:t>
      </w:r>
      <w:r>
        <w:rPr>
          <w:rFonts w:asciiTheme="minorHAnsi" w:hAnsiTheme="minorHAnsi" w:cstheme="minorHAnsi"/>
        </w:rPr>
        <w:t xml:space="preserve"> </w:t>
      </w:r>
      <w:r>
        <w:t>HAC</w:t>
      </w:r>
      <w:r w:rsidRPr="00245BA2">
        <w:rPr>
          <w:rFonts w:asciiTheme="minorHAnsi" w:hAnsiTheme="minorHAnsi" w:cstheme="minorHAnsi"/>
        </w:rPr>
        <w:t xml:space="preserve"> members and observers </w:t>
      </w:r>
      <w:r w:rsidR="00890F25">
        <w:rPr>
          <w:rFonts w:asciiTheme="minorHAnsi" w:hAnsiTheme="minorHAnsi" w:cstheme="minorHAnsi"/>
        </w:rPr>
        <w:t>may</w:t>
      </w:r>
      <w:r w:rsidR="00890F25" w:rsidRPr="00245BA2">
        <w:rPr>
          <w:rFonts w:asciiTheme="minorHAnsi" w:hAnsiTheme="minorHAnsi" w:cstheme="minorHAnsi"/>
        </w:rPr>
        <w:t xml:space="preserve"> </w:t>
      </w:r>
      <w:r w:rsidRPr="00245BA2">
        <w:rPr>
          <w:rFonts w:asciiTheme="minorHAnsi" w:hAnsiTheme="minorHAnsi" w:cstheme="minorHAnsi"/>
        </w:rPr>
        <w:t xml:space="preserve">be required to complete undertakings and comply with the terms of those undertakings in relation to </w:t>
      </w:r>
      <w:r>
        <w:rPr>
          <w:rFonts w:asciiTheme="minorHAnsi" w:hAnsiTheme="minorHAnsi" w:cstheme="minorHAnsi"/>
        </w:rPr>
        <w:t xml:space="preserve">any </w:t>
      </w:r>
      <w:r w:rsidRPr="00245BA2">
        <w:rPr>
          <w:rFonts w:asciiTheme="minorHAnsi" w:hAnsiTheme="minorHAnsi" w:cstheme="minorHAnsi"/>
        </w:rPr>
        <w:t xml:space="preserve">conflicts of interest, confidentiality, document control and intellectual property. </w:t>
      </w:r>
    </w:p>
    <w:p w:rsidR="00890F25" w:rsidRDefault="00890F25" w:rsidP="00890F25">
      <w:r>
        <w:t xml:space="preserve">HAC members must declare any conflicts of interest at the start of each meeting or before discussion of the relevant agenda item or topic. Details of any conflicts should be appropriately minuted. </w:t>
      </w:r>
    </w:p>
    <w:p w:rsidR="00890F25" w:rsidRDefault="00890F25" w:rsidP="00890F25">
      <w:r>
        <w:t xml:space="preserve">Members will use a form of declaration notified by the NBA. </w:t>
      </w:r>
    </w:p>
    <w:p w:rsidR="00890F25" w:rsidRPr="00245BA2" w:rsidRDefault="00890F25" w:rsidP="009D1D3C">
      <w:pPr>
        <w:rPr>
          <w:rFonts w:asciiTheme="minorHAnsi" w:hAnsiTheme="minorHAnsi" w:cstheme="minorHAnsi"/>
          <w:color w:val="008080"/>
        </w:rPr>
      </w:pPr>
    </w:p>
    <w:p w:rsidR="00F20416" w:rsidRDefault="00F20416">
      <w:pPr>
        <w:spacing w:after="160" w:line="259" w:lineRule="auto"/>
        <w:rPr>
          <w:rFonts w:ascii="Arial" w:hAnsi="Arial"/>
          <w:b/>
          <w:color w:val="FF0000"/>
          <w:sz w:val="28"/>
        </w:rPr>
      </w:pPr>
      <w:r>
        <w:br w:type="page"/>
      </w:r>
    </w:p>
    <w:p w:rsidR="00C81F9A" w:rsidRDefault="00C81F9A" w:rsidP="00C81F9A">
      <w:pPr>
        <w:pStyle w:val="Heading2"/>
      </w:pPr>
      <w:r>
        <w:t xml:space="preserve">Conduct </w:t>
      </w:r>
    </w:p>
    <w:p w:rsidR="00C81F9A" w:rsidRDefault="00C81F9A" w:rsidP="00C81F9A">
      <w:r>
        <w:t xml:space="preserve">Members of </w:t>
      </w:r>
      <w:r w:rsidR="00890F25">
        <w:t>HAC</w:t>
      </w:r>
      <w:r>
        <w:t xml:space="preserve"> hold a public office and accordingly are expected to carry out their role as members in accordance with the highest ethical standards. A </w:t>
      </w:r>
      <w:r w:rsidR="002318C4">
        <w:t>HAC</w:t>
      </w:r>
      <w:r>
        <w:t xml:space="preserve"> member should:</w:t>
      </w:r>
    </w:p>
    <w:p w:rsidR="00C81F9A" w:rsidRDefault="00C81F9A" w:rsidP="00C81F9A">
      <w:pPr>
        <w:pStyle w:val="ListParagraph"/>
        <w:numPr>
          <w:ilvl w:val="0"/>
          <w:numId w:val="58"/>
        </w:numPr>
      </w:pPr>
      <w:r>
        <w:t>act honestly and in good faith;</w:t>
      </w:r>
    </w:p>
    <w:p w:rsidR="00C81F9A" w:rsidRDefault="00C81F9A" w:rsidP="00C81F9A">
      <w:pPr>
        <w:pStyle w:val="ListParagraph"/>
        <w:numPr>
          <w:ilvl w:val="0"/>
          <w:numId w:val="58"/>
        </w:numPr>
      </w:pPr>
      <w:r>
        <w:t>use due care and diligence;</w:t>
      </w:r>
    </w:p>
    <w:p w:rsidR="00C81F9A" w:rsidRDefault="00C81F9A" w:rsidP="00C81F9A">
      <w:pPr>
        <w:pStyle w:val="ListParagraph"/>
        <w:numPr>
          <w:ilvl w:val="0"/>
          <w:numId w:val="58"/>
        </w:numPr>
      </w:pPr>
      <w:r>
        <w:t>only use their office for a roper purpose;</w:t>
      </w:r>
    </w:p>
    <w:p w:rsidR="00C81F9A" w:rsidRDefault="00C81F9A" w:rsidP="00C81F9A">
      <w:pPr>
        <w:pStyle w:val="ListParagraph"/>
        <w:numPr>
          <w:ilvl w:val="0"/>
          <w:numId w:val="58"/>
        </w:numPr>
      </w:pPr>
      <w:r>
        <w:t xml:space="preserve">not make improper use of information acquired as a </w:t>
      </w:r>
      <w:r w:rsidR="002318C4">
        <w:t>HAC</w:t>
      </w:r>
      <w:r>
        <w:t xml:space="preserve"> member, both during and after the term of appointment; </w:t>
      </w:r>
    </w:p>
    <w:p w:rsidR="00C81F9A" w:rsidRDefault="00C81F9A" w:rsidP="00C81F9A">
      <w:pPr>
        <w:pStyle w:val="ListParagraph"/>
        <w:numPr>
          <w:ilvl w:val="0"/>
          <w:numId w:val="58"/>
        </w:numPr>
      </w:pPr>
      <w:r>
        <w:t xml:space="preserve">be fair, honest and courteous in interactions with other members, NBA and stakeholders; </w:t>
      </w:r>
    </w:p>
    <w:p w:rsidR="00C81F9A" w:rsidRDefault="00C81F9A" w:rsidP="00C81F9A">
      <w:pPr>
        <w:pStyle w:val="ListParagraph"/>
        <w:numPr>
          <w:ilvl w:val="0"/>
          <w:numId w:val="58"/>
        </w:numPr>
      </w:pPr>
      <w:r>
        <w:t>contribute to NBA activities in a co-operative, impartial and productive way; and</w:t>
      </w:r>
    </w:p>
    <w:p w:rsidR="00C81F9A" w:rsidRDefault="00C81F9A" w:rsidP="00C81F9A">
      <w:pPr>
        <w:pStyle w:val="ListParagraph"/>
        <w:numPr>
          <w:ilvl w:val="0"/>
          <w:numId w:val="58"/>
        </w:numPr>
      </w:pPr>
      <w:r>
        <w:t xml:space="preserve">not engage in conduct likely to bring discredit upon the NBA or the Program.  </w:t>
      </w:r>
    </w:p>
    <w:p w:rsidR="00C81F9A" w:rsidRPr="00C81F9A" w:rsidRDefault="00C81F9A" w:rsidP="00B27304">
      <w:pPr>
        <w:tabs>
          <w:tab w:val="left" w:pos="0"/>
        </w:tabs>
      </w:pPr>
      <w:r w:rsidRPr="00B27304">
        <w:t xml:space="preserve">A member must not express any opinion, make any commitment, or otherwise purport to represent or act on behalf of the NBA, unless specifically requested by the Chair or the NBA Chief Executive to do so. </w:t>
      </w:r>
    </w:p>
    <w:bookmarkEnd w:id="2"/>
    <w:bookmarkEnd w:id="3"/>
    <w:sectPr w:rsidR="00C81F9A" w:rsidRPr="00C81F9A" w:rsidSect="006E09F6">
      <w:headerReference w:type="even" r:id="rId10"/>
      <w:headerReference w:type="default" r:id="rId11"/>
      <w:footerReference w:type="even" r:id="rId12"/>
      <w:footerReference w:type="default" r:id="rId13"/>
      <w:headerReference w:type="first" r:id="rId14"/>
      <w:footerReference w:type="first" r:id="rId15"/>
      <w:pgSz w:w="11906" w:h="16838"/>
      <w:pgMar w:top="1440" w:right="1134" w:bottom="127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55A" w:rsidRDefault="0061355A" w:rsidP="006E09F6">
      <w:pPr>
        <w:spacing w:after="0"/>
      </w:pPr>
      <w:r>
        <w:separator/>
      </w:r>
    </w:p>
  </w:endnote>
  <w:endnote w:type="continuationSeparator" w:id="0">
    <w:p w:rsidR="0061355A" w:rsidRDefault="0061355A" w:rsidP="006E09F6">
      <w:pPr>
        <w:spacing w:after="0"/>
      </w:pPr>
      <w:r>
        <w:continuationSeparator/>
      </w:r>
    </w:p>
  </w:endnote>
  <w:endnote w:type="continuationNotice" w:id="1">
    <w:p w:rsidR="0061355A" w:rsidRDefault="006135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otum">
    <w:altName w:val="돋움"/>
    <w:panose1 w:val="020B0600000101010101"/>
    <w:charset w:val="81"/>
    <w:family w:val="swiss"/>
    <w:pitch w:val="variable"/>
    <w:sig w:usb0="00000287" w:usb1="09060000" w:usb2="00000010" w:usb3="00000000" w:csb0="0008009F" w:csb1="00000000"/>
  </w:font>
  <w:font w:name="HYGothic-Extra">
    <w:panose1 w:val="00000000000000000000"/>
    <w:charset w:val="81"/>
    <w:family w:val="roman"/>
    <w:notTrueType/>
    <w:pitch w:val="default"/>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21002A87" w:usb1="00000000" w:usb2="00000000"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97F" w:rsidRDefault="00835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97F" w:rsidRPr="00361726" w:rsidRDefault="0083597F" w:rsidP="006E09F6">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D111E9">
      <w:rPr>
        <w:noProof/>
        <w:sz w:val="20"/>
        <w:szCs w:val="20"/>
      </w:rPr>
      <w:t>5</w:t>
    </w:r>
    <w:r w:rsidRPr="00856708">
      <w:rPr>
        <w:sz w:val="20"/>
        <w:szCs w:val="20"/>
      </w:rPr>
      <w:fldChar w:fldCharType="end"/>
    </w:r>
    <w:r w:rsidRPr="00F246AD">
      <w:rPr>
        <w:rFonts w:ascii="Arial" w:hAnsi="Arial"/>
        <w:noProof/>
        <w:sz w:val="15"/>
        <w:szCs w:val="15"/>
        <w:lang w:eastAsia="en-AU"/>
      </w:rPr>
      <mc:AlternateContent>
        <mc:Choice Requires="wps">
          <w:drawing>
            <wp:anchor distT="0" distB="0" distL="114300" distR="114300" simplePos="0" relativeHeight="251730944" behindDoc="0" locked="0" layoutInCell="1" allowOverlap="1" wp14:anchorId="54321CD0" wp14:editId="21882856">
              <wp:simplePos x="0" y="0"/>
              <wp:positionH relativeFrom="page">
                <wp:posOffset>900430</wp:posOffset>
              </wp:positionH>
              <wp:positionV relativeFrom="page">
                <wp:posOffset>10258425</wp:posOffset>
              </wp:positionV>
              <wp:extent cx="6400800" cy="344170"/>
              <wp:effectExtent l="0" t="0" r="0" b="0"/>
              <wp:wrapNone/>
              <wp:docPr id="50" name="Disclaime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97F" w:rsidRDefault="0083597F">
                          <w:pPr>
                            <w:pStyle w:val="Legalstatement"/>
                            <w:rPr>
                              <w:spacing w:val="-2"/>
                            </w:rPr>
                          </w:pPr>
                          <w:r>
                            <w:rPr>
                              <w:spacing w:val="-2"/>
                            </w:rPr>
                            <w:t xml:space="preserve">This is a draft document. </w:t>
                          </w:r>
                          <w:r w:rsidRPr="00DD3C5B">
                            <w:rPr>
                              <w:spacing w:val="-2"/>
                            </w:rPr>
                            <w:t xml:space="preserve">As it is a work in progress it may be incomplete, contain preliminary conclusions and may change. You must not </w:t>
                          </w:r>
                        </w:p>
                        <w:p w:rsidR="0083597F" w:rsidRPr="00DD3C5B" w:rsidRDefault="0083597F">
                          <w:pPr>
                            <w:pStyle w:val="Legalstatement"/>
                            <w:rPr>
                              <w:spacing w:val="-2"/>
                            </w:rPr>
                          </w:pPr>
                          <w:r w:rsidRPr="00DD3C5B">
                            <w:rPr>
                              <w:spacing w:val="-2"/>
                            </w:rPr>
                            <w:t>rely on, disclose or refer to it in any document. We accept no duty of care or liability to you or any third party for any loss suffered in connection with the use of this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21CD0" id="_x0000_t202" coordsize="21600,21600" o:spt="202" path="m,l,21600r21600,l21600,xe">
              <v:stroke joinstyle="miter"/>
              <v:path gradientshapeok="t" o:connecttype="rect"/>
            </v:shapetype>
            <v:shape id="Disclaimer" o:spid="_x0000_s1026" type="#_x0000_t202" style="position:absolute;margin-left:70.9pt;margin-top:807.75pt;width:7in;height:27.1pt;z-index:2517309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" filled="f" stroked="f">
              <v:textbox inset="0,0,0,0">
                <w:txbxContent>
                  <w:p w:rsidR="0083597F" w:rsidRDefault="0083597F">
                    <w:pPr>
                      <w:pStyle w:val="Legalstatement"/>
                      <w:rPr>
                        <w:spacing w:val="-2"/>
                      </w:rPr>
                    </w:pPr>
                    <w:r>
                      <w:rPr>
                        <w:spacing w:val="-2"/>
                      </w:rPr>
                      <w:t xml:space="preserve">This is a draft document. </w:t>
                    </w:r>
                    <w:r w:rsidRPr="00DD3C5B">
                      <w:rPr>
                        <w:spacing w:val="-2"/>
                      </w:rPr>
                      <w:t xml:space="preserve">As it is a work in progress it may be incomplete, contain preliminary conclusions and may change. You must not </w:t>
                    </w:r>
                  </w:p>
                  <w:p w:rsidR="0083597F" w:rsidRPr="00DD3C5B" w:rsidRDefault="0083597F">
                    <w:pPr>
                      <w:pStyle w:val="Legalstatement"/>
                      <w:rPr>
                        <w:spacing w:val="-2"/>
                      </w:rPr>
                    </w:pPr>
                    <w:r w:rsidRPr="00DD3C5B">
                      <w:rPr>
                        <w:spacing w:val="-2"/>
                      </w:rPr>
                      <w:t>rely on, disclose or refer to it in any document. We accept no duty of care or liability to you or any third party for any loss suffered in connection with the use of this document.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97F" w:rsidRDefault="0083597F">
    <w:pPr>
      <w:pStyle w:val="Footer"/>
    </w:pPr>
    <w:r>
      <w:rPr>
        <w:rFonts w:ascii="Arial" w:hAnsi="Arial"/>
        <w:noProof/>
        <w:sz w:val="15"/>
        <w:szCs w:val="15"/>
        <w:lang w:eastAsia="en-AU"/>
      </w:rPr>
      <mc:AlternateContent>
        <mc:Choice Requires="wps">
          <w:drawing>
            <wp:anchor distT="0" distB="0" distL="114300" distR="114300" simplePos="0" relativeHeight="251737088" behindDoc="0" locked="0" layoutInCell="1" allowOverlap="1" wp14:anchorId="7F803DBC" wp14:editId="75CD54F9">
              <wp:simplePos x="0" y="0"/>
              <wp:positionH relativeFrom="page">
                <wp:posOffset>900430</wp:posOffset>
              </wp:positionH>
              <wp:positionV relativeFrom="page">
                <wp:posOffset>10258425</wp:posOffset>
              </wp:positionV>
              <wp:extent cx="6400800" cy="344170"/>
              <wp:effectExtent l="0" t="0" r="0" b="0"/>
              <wp:wrapNone/>
              <wp:docPr id="399" name="Disclaime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597F" w:rsidRDefault="0083597F">
                          <w:pPr>
                            <w:pStyle w:val="Legalstatement"/>
                            <w:rPr>
                              <w:spacing w:val="-2"/>
                            </w:rPr>
                          </w:pPr>
                          <w:r>
                            <w:rPr>
                              <w:spacing w:val="-2"/>
                            </w:rPr>
                            <w:t xml:space="preserve">This is a draft document. </w:t>
                          </w:r>
                          <w:r w:rsidRPr="00DD3C5B">
                            <w:rPr>
                              <w:spacing w:val="-2"/>
                            </w:rPr>
                            <w:t xml:space="preserve">As it is a work in progress it may be incomplete, contain preliminary conclusions and may change. You must not </w:t>
                          </w:r>
                        </w:p>
                        <w:p w:rsidR="0083597F" w:rsidRPr="00DD3C5B" w:rsidRDefault="0083597F">
                          <w:pPr>
                            <w:pStyle w:val="Legalstatement"/>
                            <w:rPr>
                              <w:spacing w:val="-2"/>
                            </w:rPr>
                          </w:pPr>
                          <w:r w:rsidRPr="00DD3C5B">
                            <w:rPr>
                              <w:spacing w:val="-2"/>
                            </w:rPr>
                            <w:t>rely on, disclose or refer to it in any document. We accept no duty of care or liability to you or any third party for any loss suffered in connection with the use of this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03DBC" id="_x0000_t202" coordsize="21600,21600" o:spt="202" path="m,l,21600r21600,l21600,xe">
              <v:stroke joinstyle="miter"/>
              <v:path gradientshapeok="t" o:connecttype="rect"/>
            </v:shapetype>
            <v:shape id="_x0000_s1027" type="#_x0000_t202" style="position:absolute;margin-left:70.9pt;margin-top:807.75pt;width:7in;height:27.1pt;z-index:2517370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" filled="f" stroked="f">
              <v:textbox inset="0,0,0,0">
                <w:txbxContent>
                  <w:p w:rsidR="0083597F" w:rsidRDefault="0083597F">
                    <w:pPr>
                      <w:pStyle w:val="Legalstatement"/>
                      <w:rPr>
                        <w:spacing w:val="-2"/>
                      </w:rPr>
                    </w:pPr>
                    <w:r>
                      <w:rPr>
                        <w:spacing w:val="-2"/>
                      </w:rPr>
                      <w:t xml:space="preserve">This is a draft document. </w:t>
                    </w:r>
                    <w:r w:rsidRPr="00DD3C5B">
                      <w:rPr>
                        <w:spacing w:val="-2"/>
                      </w:rPr>
                      <w:t xml:space="preserve">As it is a work in progress it may be incomplete, contain preliminary conclusions and may change. You must not </w:t>
                    </w:r>
                  </w:p>
                  <w:p w:rsidR="0083597F" w:rsidRPr="00DD3C5B" w:rsidRDefault="0083597F">
                    <w:pPr>
                      <w:pStyle w:val="Legalstatement"/>
                      <w:rPr>
                        <w:spacing w:val="-2"/>
                      </w:rPr>
                    </w:pPr>
                    <w:r w:rsidRPr="00DD3C5B">
                      <w:rPr>
                        <w:spacing w:val="-2"/>
                      </w:rPr>
                      <w:t>rely on, disclose or refer to it in any document. We accept no duty of care or liability to you or any third party for any loss suffered in connection with the use of this document.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55A" w:rsidRDefault="0061355A" w:rsidP="006E09F6">
      <w:pPr>
        <w:spacing w:after="0"/>
      </w:pPr>
      <w:r>
        <w:separator/>
      </w:r>
    </w:p>
  </w:footnote>
  <w:footnote w:type="continuationSeparator" w:id="0">
    <w:p w:rsidR="0061355A" w:rsidRDefault="0061355A" w:rsidP="006E09F6">
      <w:pPr>
        <w:spacing w:after="0"/>
      </w:pPr>
      <w:r>
        <w:continuationSeparator/>
      </w:r>
    </w:p>
  </w:footnote>
  <w:footnote w:type="continuationNotice" w:id="1">
    <w:p w:rsidR="0061355A" w:rsidRDefault="0061355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97F" w:rsidRDefault="008359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97F" w:rsidRDefault="008359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97F" w:rsidRDefault="008359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117D"/>
    <w:multiLevelType w:val="hybridMultilevel"/>
    <w:tmpl w:val="C03A1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AD6666"/>
    <w:multiLevelType w:val="hybridMultilevel"/>
    <w:tmpl w:val="3B5C96CE"/>
    <w:lvl w:ilvl="0" w:tplc="8126017A">
      <w:start w:val="1"/>
      <w:numFmt w:val="bullet"/>
      <w:pStyle w:val="ListBullet"/>
      <w:lvlText w:val=""/>
      <w:lvlJc w:val="left"/>
      <w:pPr>
        <w:tabs>
          <w:tab w:val="num" w:pos="340"/>
        </w:tabs>
        <w:ind w:left="340" w:hanging="340"/>
      </w:pPr>
      <w:rPr>
        <w:rFonts w:ascii="Wingdings" w:hAnsi="Wingdings" w:hint="default"/>
        <w:color w:val="auto"/>
        <w:sz w:val="18"/>
      </w:rPr>
    </w:lvl>
    <w:lvl w:ilvl="1" w:tplc="D298A492">
      <w:start w:val="1"/>
      <w:numFmt w:val="bullet"/>
      <w:lvlText w:val="n"/>
      <w:lvlJc w:val="left"/>
      <w:pPr>
        <w:tabs>
          <w:tab w:val="num" w:pos="340"/>
        </w:tabs>
        <w:ind w:left="340" w:hanging="340"/>
      </w:pPr>
      <w:rPr>
        <w:rFonts w:ascii="Wingdings" w:hAnsi="Wingdings" w:hint="default"/>
        <w:color w:val="auto"/>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229CE"/>
    <w:multiLevelType w:val="hybridMultilevel"/>
    <w:tmpl w:val="FEF0C3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79D3559"/>
    <w:multiLevelType w:val="hybridMultilevel"/>
    <w:tmpl w:val="996A1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646434"/>
    <w:multiLevelType w:val="hybridMultilevel"/>
    <w:tmpl w:val="E58E05E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AB1B4C"/>
    <w:multiLevelType w:val="hybridMultilevel"/>
    <w:tmpl w:val="1A24524A"/>
    <w:lvl w:ilvl="0" w:tplc="EEF83A9E">
      <w:start w:val="1"/>
      <w:numFmt w:val="bullet"/>
      <w:lvlText w:val=""/>
      <w:lvlJc w:val="left"/>
      <w:pPr>
        <w:tabs>
          <w:tab w:val="num" w:pos="284"/>
        </w:tabs>
        <w:ind w:left="57" w:firstLine="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9D5254"/>
    <w:multiLevelType w:val="hybridMultilevel"/>
    <w:tmpl w:val="4DF08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2006AB"/>
    <w:multiLevelType w:val="hybridMultilevel"/>
    <w:tmpl w:val="09125404"/>
    <w:lvl w:ilvl="0" w:tplc="EEF83A9E">
      <w:start w:val="1"/>
      <w:numFmt w:val="bullet"/>
      <w:lvlText w:val=""/>
      <w:lvlJc w:val="left"/>
      <w:pPr>
        <w:tabs>
          <w:tab w:val="num" w:pos="284"/>
        </w:tabs>
        <w:ind w:left="57" w:firstLine="0"/>
      </w:pPr>
      <w:rPr>
        <w:rFonts w:ascii="Symbol" w:hAnsi="Symbol" w:hint="default"/>
      </w:rPr>
    </w:lvl>
    <w:lvl w:ilvl="1" w:tplc="C426918A">
      <w:start w:val="1"/>
      <w:numFmt w:val="bullet"/>
      <w:lvlText w:val="­"/>
      <w:lvlJc w:val="left"/>
      <w:pPr>
        <w:tabs>
          <w:tab w:val="num" w:pos="1440"/>
        </w:tabs>
        <w:ind w:left="1440" w:hanging="360"/>
      </w:pPr>
      <w:rPr>
        <w:rFonts w:ascii="Arial" w:hAnsi="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294D51"/>
    <w:multiLevelType w:val="hybridMultilevel"/>
    <w:tmpl w:val="BCF0C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F704A3"/>
    <w:multiLevelType w:val="hybridMultilevel"/>
    <w:tmpl w:val="062661AC"/>
    <w:lvl w:ilvl="0" w:tplc="EEF83A9E">
      <w:start w:val="1"/>
      <w:numFmt w:val="bullet"/>
      <w:lvlText w:val=""/>
      <w:lvlJc w:val="left"/>
      <w:pPr>
        <w:tabs>
          <w:tab w:val="num" w:pos="284"/>
        </w:tabs>
        <w:ind w:left="57" w:firstLine="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E17D61"/>
    <w:multiLevelType w:val="hybridMultilevel"/>
    <w:tmpl w:val="89145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0025B8"/>
    <w:multiLevelType w:val="hybridMultilevel"/>
    <w:tmpl w:val="62FE1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3F958D5"/>
    <w:multiLevelType w:val="hybridMultilevel"/>
    <w:tmpl w:val="324CE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802BA7"/>
    <w:multiLevelType w:val="hybridMultilevel"/>
    <w:tmpl w:val="D1F895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504E4C"/>
    <w:multiLevelType w:val="hybridMultilevel"/>
    <w:tmpl w:val="5254D6A2"/>
    <w:lvl w:ilvl="0" w:tplc="B2783B1A">
      <w:start w:val="1"/>
      <w:numFmt w:val="bullet"/>
      <w:lvlText w:val=""/>
      <w:lvlJc w:val="left"/>
      <w:pPr>
        <w:tabs>
          <w:tab w:val="num" w:pos="530"/>
        </w:tabs>
        <w:ind w:left="530" w:hanging="17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AD5440"/>
    <w:multiLevelType w:val="hybridMultilevel"/>
    <w:tmpl w:val="B310F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B60607"/>
    <w:multiLevelType w:val="hybridMultilevel"/>
    <w:tmpl w:val="BE58C0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19120986"/>
    <w:multiLevelType w:val="hybridMultilevel"/>
    <w:tmpl w:val="09520A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B217AD2"/>
    <w:multiLevelType w:val="hybridMultilevel"/>
    <w:tmpl w:val="50B460CE"/>
    <w:lvl w:ilvl="0" w:tplc="1350433E">
      <w:start w:val="1"/>
      <w:numFmt w:val="bullet"/>
      <w:pStyle w:val="Bullets"/>
      <w:lvlText w:val="&gt;"/>
      <w:lvlJc w:val="left"/>
      <w:pPr>
        <w:ind w:left="360" w:hanging="360"/>
      </w:pPr>
      <w:rPr>
        <w:rFonts w:ascii="Calibri" w:hAnsi="Calibri" w:hint="default"/>
        <w:b/>
        <w:i w:val="0"/>
        <w:color w:val="000000" w:themeColor="tex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B537202"/>
    <w:multiLevelType w:val="hybridMultilevel"/>
    <w:tmpl w:val="15E2D7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485936"/>
    <w:multiLevelType w:val="hybridMultilevel"/>
    <w:tmpl w:val="253C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E4E51EB"/>
    <w:multiLevelType w:val="hybridMultilevel"/>
    <w:tmpl w:val="4E6866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302BC0"/>
    <w:multiLevelType w:val="hybridMultilevel"/>
    <w:tmpl w:val="29BC9F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0B625EE"/>
    <w:multiLevelType w:val="hybridMultilevel"/>
    <w:tmpl w:val="9A54150E"/>
    <w:lvl w:ilvl="0" w:tplc="EEF83A9E">
      <w:start w:val="1"/>
      <w:numFmt w:val="bullet"/>
      <w:lvlText w:val=""/>
      <w:lvlJc w:val="left"/>
      <w:pPr>
        <w:tabs>
          <w:tab w:val="num" w:pos="284"/>
        </w:tabs>
        <w:ind w:left="57"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6AF35C8"/>
    <w:multiLevelType w:val="hybridMultilevel"/>
    <w:tmpl w:val="0BCE4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6C105A9"/>
    <w:multiLevelType w:val="hybridMultilevel"/>
    <w:tmpl w:val="A6D81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9E8535F"/>
    <w:multiLevelType w:val="multilevel"/>
    <w:tmpl w:val="6A56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B6B5830"/>
    <w:multiLevelType w:val="hybridMultilevel"/>
    <w:tmpl w:val="C3180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BF22C06"/>
    <w:multiLevelType w:val="hybridMultilevel"/>
    <w:tmpl w:val="2B64F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911DFC"/>
    <w:multiLevelType w:val="hybridMultilevel"/>
    <w:tmpl w:val="00ECD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F614701"/>
    <w:multiLevelType w:val="multilevel"/>
    <w:tmpl w:val="71565B7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300F6557"/>
    <w:multiLevelType w:val="hybridMultilevel"/>
    <w:tmpl w:val="2E78326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2" w15:restartNumberingAfterBreak="0">
    <w:nsid w:val="310718B2"/>
    <w:multiLevelType w:val="hybridMultilevel"/>
    <w:tmpl w:val="30DCC2A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15:restartNumberingAfterBreak="0">
    <w:nsid w:val="340D0C61"/>
    <w:multiLevelType w:val="hybridMultilevel"/>
    <w:tmpl w:val="F49EFED8"/>
    <w:lvl w:ilvl="0" w:tplc="4B348FB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6911C21"/>
    <w:multiLevelType w:val="hybridMultilevel"/>
    <w:tmpl w:val="F00480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36B90BA2"/>
    <w:multiLevelType w:val="hybridMultilevel"/>
    <w:tmpl w:val="FB245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8C512AB"/>
    <w:multiLevelType w:val="hybridMultilevel"/>
    <w:tmpl w:val="A62EC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DE13224"/>
    <w:multiLevelType w:val="hybridMultilevel"/>
    <w:tmpl w:val="5AD882F4"/>
    <w:lvl w:ilvl="0" w:tplc="8088814A">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1080916"/>
    <w:multiLevelType w:val="hybridMultilevel"/>
    <w:tmpl w:val="726656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A780FB8"/>
    <w:multiLevelType w:val="hybridMultilevel"/>
    <w:tmpl w:val="82BCF842"/>
    <w:lvl w:ilvl="0" w:tplc="D49AB12C">
      <w:start w:val="1"/>
      <w:numFmt w:val="bullet"/>
      <w:lvlText w:val="&gt;"/>
      <w:lvlJc w:val="left"/>
      <w:pPr>
        <w:tabs>
          <w:tab w:val="num" w:pos="284"/>
        </w:tabs>
        <w:ind w:left="57" w:firstLine="0"/>
      </w:pPr>
      <w:rPr>
        <w:rFonts w:ascii="Calibri" w:hAnsi="Calibri" w:hint="default"/>
        <w:b/>
        <w:i w:val="0"/>
        <w:color w:val="000000" w:themeColor="text1"/>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B525684"/>
    <w:multiLevelType w:val="hybridMultilevel"/>
    <w:tmpl w:val="AE0C9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CAF1BFE"/>
    <w:multiLevelType w:val="hybridMultilevel"/>
    <w:tmpl w:val="1EC49B2A"/>
    <w:lvl w:ilvl="0" w:tplc="EEF83A9E">
      <w:start w:val="1"/>
      <w:numFmt w:val="bullet"/>
      <w:lvlText w:val=""/>
      <w:lvlJc w:val="left"/>
      <w:pPr>
        <w:tabs>
          <w:tab w:val="num" w:pos="284"/>
        </w:tabs>
        <w:ind w:left="57"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7AB78D9"/>
    <w:multiLevelType w:val="hybridMultilevel"/>
    <w:tmpl w:val="23F869D0"/>
    <w:lvl w:ilvl="0" w:tplc="B8C846D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7E66E19"/>
    <w:multiLevelType w:val="singleLevel"/>
    <w:tmpl w:val="0C090001"/>
    <w:lvl w:ilvl="0">
      <w:numFmt w:val="bullet"/>
      <w:pStyle w:val="TableBullet"/>
      <w:lvlText w:val=""/>
      <w:lvlJc w:val="left"/>
      <w:pPr>
        <w:tabs>
          <w:tab w:val="num" w:pos="360"/>
        </w:tabs>
        <w:ind w:left="360" w:hanging="360"/>
      </w:pPr>
      <w:rPr>
        <w:rFonts w:ascii="Symbol" w:hAnsi="Symbol" w:hint="default"/>
      </w:rPr>
    </w:lvl>
  </w:abstractNum>
  <w:abstractNum w:abstractNumId="45" w15:restartNumberingAfterBreak="0">
    <w:nsid w:val="58E627AC"/>
    <w:multiLevelType w:val="hybridMultilevel"/>
    <w:tmpl w:val="42EA6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5C44594B"/>
    <w:multiLevelType w:val="hybridMultilevel"/>
    <w:tmpl w:val="BEEC0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D6E033C"/>
    <w:multiLevelType w:val="hybridMultilevel"/>
    <w:tmpl w:val="A50433E8"/>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0B13FB4"/>
    <w:multiLevelType w:val="hybridMultilevel"/>
    <w:tmpl w:val="3B7A2166"/>
    <w:lvl w:ilvl="0" w:tplc="17D8207A">
      <w:start w:val="1"/>
      <w:numFmt w:val="bullet"/>
      <w:lvlText w:val=""/>
      <w:lvlJc w:val="left"/>
      <w:pPr>
        <w:tabs>
          <w:tab w:val="num" w:pos="360"/>
        </w:tabs>
        <w:ind w:left="360" w:hanging="360"/>
      </w:pPr>
      <w:rPr>
        <w:rFonts w:ascii="Symbol" w:hAnsi="Symbol" w:hint="default"/>
        <w:color w:val="auto"/>
      </w:rPr>
    </w:lvl>
    <w:lvl w:ilvl="1" w:tplc="0C090003">
      <w:numFmt w:val="decimal"/>
      <w:lvlText w:val=""/>
      <w:lvlJc w:val="left"/>
    </w:lvl>
    <w:lvl w:ilvl="2" w:tplc="0C090005">
      <w:numFmt w:val="decimal"/>
      <w:lvlText w:val=""/>
      <w:lvlJc w:val="left"/>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49" w15:restartNumberingAfterBreak="0">
    <w:nsid w:val="639B6EBB"/>
    <w:multiLevelType w:val="hybridMultilevel"/>
    <w:tmpl w:val="A5482C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50B2E57"/>
    <w:multiLevelType w:val="hybridMultilevel"/>
    <w:tmpl w:val="12F6C53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1" w15:restartNumberingAfterBreak="0">
    <w:nsid w:val="67BD1273"/>
    <w:multiLevelType w:val="hybridMultilevel"/>
    <w:tmpl w:val="13E45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AE650AD"/>
    <w:multiLevelType w:val="hybridMultilevel"/>
    <w:tmpl w:val="814CC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CD4440B"/>
    <w:multiLevelType w:val="hybridMultilevel"/>
    <w:tmpl w:val="40F8CC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F723514"/>
    <w:multiLevelType w:val="hybridMultilevel"/>
    <w:tmpl w:val="FBD48568"/>
    <w:lvl w:ilvl="0" w:tplc="EEF83A9E">
      <w:start w:val="1"/>
      <w:numFmt w:val="bullet"/>
      <w:lvlText w:val=""/>
      <w:lvlJc w:val="left"/>
      <w:pPr>
        <w:tabs>
          <w:tab w:val="num" w:pos="284"/>
        </w:tabs>
        <w:ind w:left="57"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24E7892"/>
    <w:multiLevelType w:val="hybridMultilevel"/>
    <w:tmpl w:val="E50EE3DA"/>
    <w:lvl w:ilvl="0" w:tplc="0409000B">
      <w:start w:val="1"/>
      <w:numFmt w:val="bullet"/>
      <w:lvlText w:val=""/>
      <w:lvlJc w:val="left"/>
      <w:pPr>
        <w:tabs>
          <w:tab w:val="num" w:pos="1304"/>
        </w:tabs>
        <w:ind w:left="1304" w:hanging="224"/>
      </w:pPr>
      <w:rPr>
        <w:rFonts w:ascii="Symbol" w:hAnsi="Symbol" w:hint="default"/>
        <w:color w:val="auto"/>
      </w:rPr>
    </w:lvl>
    <w:lvl w:ilvl="1" w:tplc="D298A49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4070269"/>
    <w:multiLevelType w:val="hybridMultilevel"/>
    <w:tmpl w:val="5D16902C"/>
    <w:lvl w:ilvl="0" w:tplc="D49AB12C">
      <w:start w:val="1"/>
      <w:numFmt w:val="bullet"/>
      <w:lvlText w:val="&gt;"/>
      <w:lvlJc w:val="left"/>
      <w:pPr>
        <w:tabs>
          <w:tab w:val="num" w:pos="284"/>
        </w:tabs>
        <w:ind w:left="57" w:firstLine="0"/>
      </w:pPr>
      <w:rPr>
        <w:rFonts w:ascii="Calibri" w:hAnsi="Calibri" w:hint="default"/>
        <w:b/>
        <w:i w:val="0"/>
        <w:color w:val="000000" w:themeColor="text1"/>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7AB232D"/>
    <w:multiLevelType w:val="hybridMultilevel"/>
    <w:tmpl w:val="CF2EB5FE"/>
    <w:lvl w:ilvl="0" w:tplc="EEF83A9E">
      <w:start w:val="1"/>
      <w:numFmt w:val="bullet"/>
      <w:lvlText w:val=""/>
      <w:lvlJc w:val="left"/>
      <w:pPr>
        <w:tabs>
          <w:tab w:val="num" w:pos="284"/>
        </w:tabs>
        <w:ind w:left="57"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E9617FD"/>
    <w:multiLevelType w:val="hybridMultilevel"/>
    <w:tmpl w:val="13E8F8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4"/>
  </w:num>
  <w:num w:numId="3">
    <w:abstractNumId w:val="2"/>
  </w:num>
  <w:num w:numId="4">
    <w:abstractNumId w:val="5"/>
  </w:num>
  <w:num w:numId="5">
    <w:abstractNumId w:val="54"/>
  </w:num>
  <w:num w:numId="6">
    <w:abstractNumId w:val="57"/>
  </w:num>
  <w:num w:numId="7">
    <w:abstractNumId w:val="39"/>
  </w:num>
  <w:num w:numId="8">
    <w:abstractNumId w:val="49"/>
  </w:num>
  <w:num w:numId="9">
    <w:abstractNumId w:val="13"/>
  </w:num>
  <w:num w:numId="10">
    <w:abstractNumId w:val="14"/>
  </w:num>
  <w:num w:numId="11">
    <w:abstractNumId w:val="50"/>
  </w:num>
  <w:num w:numId="12">
    <w:abstractNumId w:val="19"/>
  </w:num>
  <w:num w:numId="13">
    <w:abstractNumId w:val="53"/>
  </w:num>
  <w:num w:numId="14">
    <w:abstractNumId w:val="32"/>
  </w:num>
  <w:num w:numId="15">
    <w:abstractNumId w:val="9"/>
  </w:num>
  <w:num w:numId="16">
    <w:abstractNumId w:val="42"/>
  </w:num>
  <w:num w:numId="17">
    <w:abstractNumId w:val="23"/>
  </w:num>
  <w:num w:numId="18">
    <w:abstractNumId w:val="58"/>
  </w:num>
  <w:num w:numId="19">
    <w:abstractNumId w:val="30"/>
  </w:num>
  <w:num w:numId="20">
    <w:abstractNumId w:val="17"/>
  </w:num>
  <w:num w:numId="21">
    <w:abstractNumId w:val="3"/>
  </w:num>
  <w:num w:numId="22">
    <w:abstractNumId w:val="15"/>
  </w:num>
  <w:num w:numId="23">
    <w:abstractNumId w:val="25"/>
  </w:num>
  <w:num w:numId="24">
    <w:abstractNumId w:val="27"/>
  </w:num>
  <w:num w:numId="25">
    <w:abstractNumId w:val="0"/>
  </w:num>
  <w:num w:numId="26">
    <w:abstractNumId w:val="52"/>
  </w:num>
  <w:num w:numId="27">
    <w:abstractNumId w:val="6"/>
  </w:num>
  <w:num w:numId="28">
    <w:abstractNumId w:val="22"/>
  </w:num>
  <w:num w:numId="29">
    <w:abstractNumId w:val="41"/>
  </w:num>
  <w:num w:numId="30">
    <w:abstractNumId w:val="45"/>
  </w:num>
  <w:num w:numId="31">
    <w:abstractNumId w:val="11"/>
  </w:num>
  <w:num w:numId="32">
    <w:abstractNumId w:val="51"/>
  </w:num>
  <w:num w:numId="33">
    <w:abstractNumId w:val="24"/>
  </w:num>
  <w:num w:numId="34">
    <w:abstractNumId w:val="10"/>
  </w:num>
  <w:num w:numId="35">
    <w:abstractNumId w:val="38"/>
  </w:num>
  <w:num w:numId="36">
    <w:abstractNumId w:val="40"/>
  </w:num>
  <w:num w:numId="37">
    <w:abstractNumId w:val="56"/>
  </w:num>
  <w:num w:numId="38">
    <w:abstractNumId w:val="7"/>
  </w:num>
  <w:num w:numId="39">
    <w:abstractNumId w:val="47"/>
  </w:num>
  <w:num w:numId="40">
    <w:abstractNumId w:val="18"/>
  </w:num>
  <w:num w:numId="41">
    <w:abstractNumId w:val="16"/>
  </w:num>
  <w:num w:numId="42">
    <w:abstractNumId w:val="37"/>
  </w:num>
  <w:num w:numId="43">
    <w:abstractNumId w:val="43"/>
  </w:num>
  <w:num w:numId="44">
    <w:abstractNumId w:val="12"/>
  </w:num>
  <w:num w:numId="45">
    <w:abstractNumId w:val="8"/>
  </w:num>
  <w:num w:numId="46">
    <w:abstractNumId w:val="31"/>
  </w:num>
  <w:num w:numId="47">
    <w:abstractNumId w:val="29"/>
  </w:num>
  <w:num w:numId="48">
    <w:abstractNumId w:val="34"/>
  </w:num>
  <w:num w:numId="49">
    <w:abstractNumId w:val="48"/>
  </w:num>
  <w:num w:numId="50">
    <w:abstractNumId w:val="36"/>
  </w:num>
  <w:num w:numId="51">
    <w:abstractNumId w:val="1"/>
  </w:num>
  <w:num w:numId="52">
    <w:abstractNumId w:val="46"/>
  </w:num>
  <w:num w:numId="53">
    <w:abstractNumId w:val="20"/>
  </w:num>
  <w:num w:numId="54">
    <w:abstractNumId w:val="26"/>
  </w:num>
  <w:num w:numId="55">
    <w:abstractNumId w:val="55"/>
  </w:num>
  <w:num w:numId="56">
    <w:abstractNumId w:val="21"/>
  </w:num>
  <w:num w:numId="57">
    <w:abstractNumId w:val="28"/>
  </w:num>
  <w:num w:numId="58">
    <w:abstractNumId w:val="4"/>
  </w:num>
  <w:num w:numId="59">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9F6"/>
    <w:rsid w:val="00015D47"/>
    <w:rsid w:val="00031764"/>
    <w:rsid w:val="00041C69"/>
    <w:rsid w:val="0005677D"/>
    <w:rsid w:val="00064652"/>
    <w:rsid w:val="00076590"/>
    <w:rsid w:val="00076E22"/>
    <w:rsid w:val="00096BE4"/>
    <w:rsid w:val="00097A9E"/>
    <w:rsid w:val="000B4F81"/>
    <w:rsid w:val="000B725C"/>
    <w:rsid w:val="00110B32"/>
    <w:rsid w:val="00116D22"/>
    <w:rsid w:val="00122D96"/>
    <w:rsid w:val="00123254"/>
    <w:rsid w:val="00131093"/>
    <w:rsid w:val="00142BAE"/>
    <w:rsid w:val="00153742"/>
    <w:rsid w:val="001537DD"/>
    <w:rsid w:val="00177CBC"/>
    <w:rsid w:val="00183C7C"/>
    <w:rsid w:val="0018514C"/>
    <w:rsid w:val="001B3EAD"/>
    <w:rsid w:val="001B4B81"/>
    <w:rsid w:val="001B6BB4"/>
    <w:rsid w:val="001C30CC"/>
    <w:rsid w:val="001D3977"/>
    <w:rsid w:val="001E48D6"/>
    <w:rsid w:val="001E6225"/>
    <w:rsid w:val="00220567"/>
    <w:rsid w:val="002318C4"/>
    <w:rsid w:val="00232906"/>
    <w:rsid w:val="00240850"/>
    <w:rsid w:val="00243B22"/>
    <w:rsid w:val="00252E03"/>
    <w:rsid w:val="00260300"/>
    <w:rsid w:val="00263F33"/>
    <w:rsid w:val="002909C6"/>
    <w:rsid w:val="002C0980"/>
    <w:rsid w:val="002D2673"/>
    <w:rsid w:val="002D3421"/>
    <w:rsid w:val="002D39DD"/>
    <w:rsid w:val="0032783C"/>
    <w:rsid w:val="003512B5"/>
    <w:rsid w:val="003547E3"/>
    <w:rsid w:val="00357C7B"/>
    <w:rsid w:val="00372898"/>
    <w:rsid w:val="00375CCC"/>
    <w:rsid w:val="003838DA"/>
    <w:rsid w:val="003877E9"/>
    <w:rsid w:val="00394E56"/>
    <w:rsid w:val="003A7A15"/>
    <w:rsid w:val="003C3F10"/>
    <w:rsid w:val="003C4492"/>
    <w:rsid w:val="003C53DF"/>
    <w:rsid w:val="003D30F9"/>
    <w:rsid w:val="003F2A9F"/>
    <w:rsid w:val="00405007"/>
    <w:rsid w:val="00436C3D"/>
    <w:rsid w:val="00441EBE"/>
    <w:rsid w:val="00450902"/>
    <w:rsid w:val="0045149F"/>
    <w:rsid w:val="00456B02"/>
    <w:rsid w:val="004760E1"/>
    <w:rsid w:val="0048025F"/>
    <w:rsid w:val="00485143"/>
    <w:rsid w:val="004970CB"/>
    <w:rsid w:val="004978AB"/>
    <w:rsid w:val="004A2C00"/>
    <w:rsid w:val="004B1F2D"/>
    <w:rsid w:val="004C7A91"/>
    <w:rsid w:val="004E1249"/>
    <w:rsid w:val="00523B63"/>
    <w:rsid w:val="00531D65"/>
    <w:rsid w:val="00536E1B"/>
    <w:rsid w:val="00541CCE"/>
    <w:rsid w:val="00541DAD"/>
    <w:rsid w:val="0054548D"/>
    <w:rsid w:val="005541F5"/>
    <w:rsid w:val="005827B2"/>
    <w:rsid w:val="005835D4"/>
    <w:rsid w:val="00583634"/>
    <w:rsid w:val="00585F09"/>
    <w:rsid w:val="00586247"/>
    <w:rsid w:val="00590E68"/>
    <w:rsid w:val="005A3BD2"/>
    <w:rsid w:val="005B17D7"/>
    <w:rsid w:val="005B4E70"/>
    <w:rsid w:val="005B619E"/>
    <w:rsid w:val="005C12E8"/>
    <w:rsid w:val="005F12CD"/>
    <w:rsid w:val="005F20B3"/>
    <w:rsid w:val="005F2270"/>
    <w:rsid w:val="00603C36"/>
    <w:rsid w:val="0061306E"/>
    <w:rsid w:val="0061355A"/>
    <w:rsid w:val="006143E5"/>
    <w:rsid w:val="00614C07"/>
    <w:rsid w:val="006200F9"/>
    <w:rsid w:val="00630501"/>
    <w:rsid w:val="006518D8"/>
    <w:rsid w:val="00656441"/>
    <w:rsid w:val="00657AC1"/>
    <w:rsid w:val="00660A36"/>
    <w:rsid w:val="00662159"/>
    <w:rsid w:val="00671AF6"/>
    <w:rsid w:val="0067503B"/>
    <w:rsid w:val="006E09F6"/>
    <w:rsid w:val="006E14AE"/>
    <w:rsid w:val="006E2C0B"/>
    <w:rsid w:val="00706E01"/>
    <w:rsid w:val="00713F1D"/>
    <w:rsid w:val="00720E18"/>
    <w:rsid w:val="007234A1"/>
    <w:rsid w:val="00731BDB"/>
    <w:rsid w:val="007324D4"/>
    <w:rsid w:val="007405C8"/>
    <w:rsid w:val="00754F1B"/>
    <w:rsid w:val="0075676F"/>
    <w:rsid w:val="00784F7E"/>
    <w:rsid w:val="00796DE0"/>
    <w:rsid w:val="007A53BE"/>
    <w:rsid w:val="007A56FE"/>
    <w:rsid w:val="007A74B1"/>
    <w:rsid w:val="007B0ACE"/>
    <w:rsid w:val="007C1577"/>
    <w:rsid w:val="007C6420"/>
    <w:rsid w:val="007D4784"/>
    <w:rsid w:val="007D4AC9"/>
    <w:rsid w:val="007E6ED2"/>
    <w:rsid w:val="008025A9"/>
    <w:rsid w:val="00804A39"/>
    <w:rsid w:val="00812097"/>
    <w:rsid w:val="00815775"/>
    <w:rsid w:val="008263A9"/>
    <w:rsid w:val="0083597F"/>
    <w:rsid w:val="00835E35"/>
    <w:rsid w:val="00851772"/>
    <w:rsid w:val="00867506"/>
    <w:rsid w:val="00890F25"/>
    <w:rsid w:val="008A7FCD"/>
    <w:rsid w:val="008B0AAA"/>
    <w:rsid w:val="008B4655"/>
    <w:rsid w:val="008E0C11"/>
    <w:rsid w:val="008F00BD"/>
    <w:rsid w:val="009047BE"/>
    <w:rsid w:val="00942DF8"/>
    <w:rsid w:val="0096389D"/>
    <w:rsid w:val="00973BD3"/>
    <w:rsid w:val="00976F19"/>
    <w:rsid w:val="00983886"/>
    <w:rsid w:val="00986AC3"/>
    <w:rsid w:val="00995D97"/>
    <w:rsid w:val="009C2882"/>
    <w:rsid w:val="009D1D3C"/>
    <w:rsid w:val="00A01723"/>
    <w:rsid w:val="00A0172B"/>
    <w:rsid w:val="00A10763"/>
    <w:rsid w:val="00A13BB2"/>
    <w:rsid w:val="00A20F72"/>
    <w:rsid w:val="00A2213C"/>
    <w:rsid w:val="00A2237E"/>
    <w:rsid w:val="00A31D27"/>
    <w:rsid w:val="00A32617"/>
    <w:rsid w:val="00A40899"/>
    <w:rsid w:val="00A55288"/>
    <w:rsid w:val="00A553DC"/>
    <w:rsid w:val="00A64F3B"/>
    <w:rsid w:val="00A664B6"/>
    <w:rsid w:val="00A72C6B"/>
    <w:rsid w:val="00AC5A67"/>
    <w:rsid w:val="00AE4B29"/>
    <w:rsid w:val="00AF347E"/>
    <w:rsid w:val="00B06193"/>
    <w:rsid w:val="00B1099C"/>
    <w:rsid w:val="00B1557F"/>
    <w:rsid w:val="00B24EB1"/>
    <w:rsid w:val="00B27304"/>
    <w:rsid w:val="00B277C0"/>
    <w:rsid w:val="00B30840"/>
    <w:rsid w:val="00B642E4"/>
    <w:rsid w:val="00B653CE"/>
    <w:rsid w:val="00B70063"/>
    <w:rsid w:val="00B86F58"/>
    <w:rsid w:val="00B9025F"/>
    <w:rsid w:val="00B93A52"/>
    <w:rsid w:val="00B9795C"/>
    <w:rsid w:val="00BA169A"/>
    <w:rsid w:val="00BB1144"/>
    <w:rsid w:val="00BB3A82"/>
    <w:rsid w:val="00BB47C5"/>
    <w:rsid w:val="00BB786A"/>
    <w:rsid w:val="00BC2DD5"/>
    <w:rsid w:val="00BC48DD"/>
    <w:rsid w:val="00BE5C9C"/>
    <w:rsid w:val="00BF200B"/>
    <w:rsid w:val="00BF4B24"/>
    <w:rsid w:val="00BF5C76"/>
    <w:rsid w:val="00BF618A"/>
    <w:rsid w:val="00C00147"/>
    <w:rsid w:val="00C0018D"/>
    <w:rsid w:val="00C273E3"/>
    <w:rsid w:val="00C366D2"/>
    <w:rsid w:val="00C42D3B"/>
    <w:rsid w:val="00C442FF"/>
    <w:rsid w:val="00C450DC"/>
    <w:rsid w:val="00C56204"/>
    <w:rsid w:val="00C56E64"/>
    <w:rsid w:val="00C6269A"/>
    <w:rsid w:val="00C62D16"/>
    <w:rsid w:val="00C80BFC"/>
    <w:rsid w:val="00C81F9A"/>
    <w:rsid w:val="00C84964"/>
    <w:rsid w:val="00CA2B05"/>
    <w:rsid w:val="00CC26EE"/>
    <w:rsid w:val="00CE2977"/>
    <w:rsid w:val="00CF3D49"/>
    <w:rsid w:val="00D111E9"/>
    <w:rsid w:val="00D40D10"/>
    <w:rsid w:val="00D51882"/>
    <w:rsid w:val="00D76E2A"/>
    <w:rsid w:val="00D83860"/>
    <w:rsid w:val="00D8580B"/>
    <w:rsid w:val="00DA40FF"/>
    <w:rsid w:val="00DB72EB"/>
    <w:rsid w:val="00E069E9"/>
    <w:rsid w:val="00E1339A"/>
    <w:rsid w:val="00E14620"/>
    <w:rsid w:val="00E17B4F"/>
    <w:rsid w:val="00E46D27"/>
    <w:rsid w:val="00E52635"/>
    <w:rsid w:val="00E53D24"/>
    <w:rsid w:val="00E561DE"/>
    <w:rsid w:val="00E8272C"/>
    <w:rsid w:val="00EA5AE7"/>
    <w:rsid w:val="00EB2DA4"/>
    <w:rsid w:val="00F07F5D"/>
    <w:rsid w:val="00F1340F"/>
    <w:rsid w:val="00F1668D"/>
    <w:rsid w:val="00F20416"/>
    <w:rsid w:val="00F246AD"/>
    <w:rsid w:val="00F44ADB"/>
    <w:rsid w:val="00F45536"/>
    <w:rsid w:val="00F7008E"/>
    <w:rsid w:val="00F844BB"/>
    <w:rsid w:val="00F8587C"/>
    <w:rsid w:val="00F90C24"/>
    <w:rsid w:val="00FB0EE7"/>
    <w:rsid w:val="00FC0E19"/>
    <w:rsid w:val="00FC23B5"/>
    <w:rsid w:val="00FC56D2"/>
    <w:rsid w:val="00FD6958"/>
    <w:rsid w:val="00FD6CD3"/>
    <w:rsid w:val="00FE547B"/>
    <w:rsid w:val="00FF63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D2CC19E-619F-4316-A881-1DB18556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09F6"/>
    <w:pPr>
      <w:spacing w:after="200" w:line="240" w:lineRule="auto"/>
    </w:pPr>
    <w:rPr>
      <w:rFonts w:ascii="Calibri" w:eastAsia="Dotum" w:hAnsi="Calibri" w:cs="Calibri"/>
    </w:rPr>
  </w:style>
  <w:style w:type="paragraph" w:styleId="Heading1">
    <w:name w:val="heading 1"/>
    <w:basedOn w:val="ChapterHeading"/>
    <w:next w:val="Normal"/>
    <w:link w:val="Heading1Char"/>
    <w:uiPriority w:val="9"/>
    <w:qFormat/>
    <w:rsid w:val="00AE4B29"/>
    <w:pPr>
      <w:outlineLvl w:val="0"/>
    </w:pPr>
  </w:style>
  <w:style w:type="paragraph" w:styleId="Heading2">
    <w:name w:val="heading 2"/>
    <w:basedOn w:val="Normal"/>
    <w:next w:val="Normal"/>
    <w:link w:val="Heading2Char"/>
    <w:uiPriority w:val="9"/>
    <w:unhideWhenUsed/>
    <w:qFormat/>
    <w:rsid w:val="00995D97"/>
    <w:pPr>
      <w:outlineLvl w:val="1"/>
    </w:pPr>
    <w:rPr>
      <w:rFonts w:ascii="Arial" w:hAnsi="Arial"/>
      <w:b/>
      <w:color w:val="FF0000"/>
      <w:sz w:val="28"/>
    </w:rPr>
  </w:style>
  <w:style w:type="paragraph" w:styleId="Heading3">
    <w:name w:val="heading 3"/>
    <w:basedOn w:val="Normal"/>
    <w:next w:val="Normal"/>
    <w:link w:val="Heading3Char"/>
    <w:uiPriority w:val="9"/>
    <w:unhideWhenUsed/>
    <w:qFormat/>
    <w:rsid w:val="00995D97"/>
    <w:pPr>
      <w:spacing w:before="120" w:after="120"/>
      <w:outlineLvl w:val="2"/>
    </w:pPr>
    <w:rPr>
      <w:rFonts w:ascii="Arial" w:hAnsi="Arial" w:cs="Arial"/>
      <w:b/>
      <w:color w:val="000000" w:themeColor="text1"/>
      <w:sz w:val="24"/>
      <w:szCs w:val="28"/>
    </w:rPr>
  </w:style>
  <w:style w:type="paragraph" w:styleId="Heading4">
    <w:name w:val="heading 4"/>
    <w:basedOn w:val="Normal"/>
    <w:next w:val="Normal"/>
    <w:link w:val="Heading4Char"/>
    <w:unhideWhenUsed/>
    <w:qFormat/>
    <w:rsid w:val="006E09F6"/>
    <w:pPr>
      <w:spacing w:after="0"/>
      <w:outlineLvl w:val="3"/>
    </w:pPr>
    <w:rPr>
      <w:rFonts w:ascii="Arial" w:hAnsi="Arial" w:cs="Arial"/>
      <w:b/>
    </w:rPr>
  </w:style>
  <w:style w:type="paragraph" w:styleId="Heading5">
    <w:name w:val="heading 5"/>
    <w:basedOn w:val="Normal"/>
    <w:next w:val="Normal"/>
    <w:link w:val="Heading5Char"/>
    <w:uiPriority w:val="9"/>
    <w:unhideWhenUsed/>
    <w:rsid w:val="006E09F6"/>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rsid w:val="006E09F6"/>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E09F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09F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E09F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B29"/>
    <w:rPr>
      <w:rFonts w:ascii="Calibri" w:eastAsia="HYGothic-Extra" w:hAnsi="Calibri" w:cs="Calibri"/>
      <w:b/>
      <w:bCs/>
      <w:color w:val="FFFFFF" w:themeColor="background1"/>
      <w:spacing w:val="-20"/>
      <w:sz w:val="56"/>
      <w:szCs w:val="72"/>
      <w:shd w:val="clear" w:color="auto" w:fill="C00000"/>
    </w:rPr>
  </w:style>
  <w:style w:type="character" w:customStyle="1" w:styleId="Heading2Char">
    <w:name w:val="Heading 2 Char"/>
    <w:basedOn w:val="DefaultParagraphFont"/>
    <w:link w:val="Heading2"/>
    <w:uiPriority w:val="9"/>
    <w:rsid w:val="00995D97"/>
    <w:rPr>
      <w:rFonts w:ascii="Arial" w:eastAsia="Dotum" w:hAnsi="Arial" w:cs="Calibri"/>
      <w:b/>
      <w:color w:val="FF0000"/>
      <w:sz w:val="28"/>
    </w:rPr>
  </w:style>
  <w:style w:type="character" w:customStyle="1" w:styleId="Heading3Char">
    <w:name w:val="Heading 3 Char"/>
    <w:basedOn w:val="DefaultParagraphFont"/>
    <w:link w:val="Heading3"/>
    <w:uiPriority w:val="9"/>
    <w:rsid w:val="00995D97"/>
    <w:rPr>
      <w:rFonts w:ascii="Arial" w:eastAsia="Dotum" w:hAnsi="Arial" w:cs="Arial"/>
      <w:b/>
      <w:color w:val="000000" w:themeColor="text1"/>
      <w:sz w:val="24"/>
      <w:szCs w:val="28"/>
    </w:rPr>
  </w:style>
  <w:style w:type="character" w:customStyle="1" w:styleId="Heading4Char">
    <w:name w:val="Heading 4 Char"/>
    <w:basedOn w:val="DefaultParagraphFont"/>
    <w:link w:val="Heading4"/>
    <w:rsid w:val="006E09F6"/>
    <w:rPr>
      <w:rFonts w:ascii="Arial" w:eastAsia="Dotum" w:hAnsi="Arial" w:cs="Arial"/>
      <w:b/>
    </w:rPr>
  </w:style>
  <w:style w:type="character" w:customStyle="1" w:styleId="Heading5Char">
    <w:name w:val="Heading 5 Char"/>
    <w:basedOn w:val="DefaultParagraphFont"/>
    <w:link w:val="Heading5"/>
    <w:uiPriority w:val="9"/>
    <w:rsid w:val="006E09F6"/>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6E09F6"/>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6E09F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E09F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E09F6"/>
    <w:rPr>
      <w:rFonts w:asciiTheme="majorHAnsi" w:eastAsiaTheme="majorEastAsia" w:hAnsiTheme="majorHAnsi" w:cstheme="majorBidi"/>
      <w:i/>
      <w:iCs/>
      <w:color w:val="404040" w:themeColor="text1" w:themeTint="BF"/>
      <w:sz w:val="20"/>
      <w:szCs w:val="20"/>
    </w:rPr>
  </w:style>
  <w:style w:type="paragraph" w:customStyle="1" w:styleId="Test">
    <w:name w:val="Test"/>
    <w:next w:val="Normal"/>
    <w:rsid w:val="006E09F6"/>
    <w:pPr>
      <w:spacing w:after="200" w:line="276" w:lineRule="auto"/>
      <w:ind w:left="1276" w:right="416"/>
    </w:pPr>
    <w:rPr>
      <w:rFonts w:ascii="Arial" w:hAnsi="Arial" w:cs="Arial"/>
      <w:color w:val="FFFFFF" w:themeColor="background1"/>
      <w:sz w:val="72"/>
      <w:szCs w:val="72"/>
    </w:rPr>
  </w:style>
  <w:style w:type="paragraph" w:styleId="ListParagraph">
    <w:name w:val="List Paragraph"/>
    <w:basedOn w:val="Normal"/>
    <w:link w:val="ListParagraphChar"/>
    <w:uiPriority w:val="34"/>
    <w:qFormat/>
    <w:rsid w:val="006E09F6"/>
    <w:pPr>
      <w:ind w:left="720"/>
      <w:contextualSpacing/>
    </w:pPr>
  </w:style>
  <w:style w:type="table" w:styleId="TableGrid">
    <w:name w:val="Table Grid"/>
    <w:basedOn w:val="TableNormal"/>
    <w:rsid w:val="006E0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Row">
      <w:rPr>
        <w:b/>
      </w:rPr>
      <w:tblPr>
        <w:tblCellMar>
          <w:top w:w="28" w:type="dxa"/>
          <w:left w:w="108" w:type="dxa"/>
          <w:bottom w:w="28" w:type="dxa"/>
          <w:right w:w="108" w:type="dxa"/>
        </w:tblCellMar>
      </w:tblPr>
      <w:tcPr>
        <w:shd w:val="clear" w:color="auto" w:fill="FFD5A3"/>
      </w:tcPr>
    </w:tblStylePr>
    <w:tblStylePr w:type="firstCol">
      <w:rPr>
        <w:b/>
      </w:rPr>
    </w:tblStylePr>
  </w:style>
  <w:style w:type="paragraph" w:styleId="Title">
    <w:name w:val="Title"/>
    <w:basedOn w:val="Normal"/>
    <w:next w:val="Normal"/>
    <w:link w:val="TitleChar"/>
    <w:uiPriority w:val="10"/>
    <w:qFormat/>
    <w:rsid w:val="006E09F6"/>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6E09F6"/>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6E09F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6E09F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6E09F6"/>
    <w:pPr>
      <w:tabs>
        <w:tab w:val="center" w:pos="4513"/>
        <w:tab w:val="right" w:pos="9026"/>
      </w:tabs>
      <w:spacing w:after="0"/>
    </w:pPr>
  </w:style>
  <w:style w:type="character" w:customStyle="1" w:styleId="HeaderChar">
    <w:name w:val="Header Char"/>
    <w:basedOn w:val="DefaultParagraphFont"/>
    <w:link w:val="Header"/>
    <w:rsid w:val="006E09F6"/>
    <w:rPr>
      <w:rFonts w:ascii="Calibri" w:eastAsia="Dotum" w:hAnsi="Calibri" w:cs="Calibri"/>
    </w:rPr>
  </w:style>
  <w:style w:type="paragraph" w:styleId="Footer">
    <w:name w:val="footer"/>
    <w:basedOn w:val="Normal"/>
    <w:link w:val="FooterChar"/>
    <w:uiPriority w:val="99"/>
    <w:unhideWhenUsed/>
    <w:rsid w:val="006E09F6"/>
    <w:pPr>
      <w:tabs>
        <w:tab w:val="center" w:pos="4513"/>
        <w:tab w:val="right" w:pos="9026"/>
      </w:tabs>
      <w:spacing w:after="0"/>
    </w:pPr>
  </w:style>
  <w:style w:type="character" w:customStyle="1" w:styleId="FooterChar">
    <w:name w:val="Footer Char"/>
    <w:basedOn w:val="DefaultParagraphFont"/>
    <w:link w:val="Footer"/>
    <w:uiPriority w:val="99"/>
    <w:rsid w:val="006E09F6"/>
    <w:rPr>
      <w:rFonts w:ascii="Calibri" w:eastAsia="Dotum" w:hAnsi="Calibri" w:cs="Calibri"/>
    </w:rPr>
  </w:style>
  <w:style w:type="paragraph" w:styleId="BalloonText">
    <w:name w:val="Balloon Text"/>
    <w:basedOn w:val="Normal"/>
    <w:link w:val="BalloonTextChar"/>
    <w:semiHidden/>
    <w:unhideWhenUsed/>
    <w:rsid w:val="006E09F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6E09F6"/>
    <w:rPr>
      <w:rFonts w:ascii="Tahoma" w:eastAsia="Dotum" w:hAnsi="Tahoma" w:cs="Tahoma"/>
      <w:sz w:val="16"/>
      <w:szCs w:val="16"/>
    </w:rPr>
  </w:style>
  <w:style w:type="paragraph" w:styleId="NoSpacing">
    <w:name w:val="No Spacing"/>
    <w:link w:val="NoSpacingChar"/>
    <w:uiPriority w:val="1"/>
    <w:qFormat/>
    <w:rsid w:val="006E09F6"/>
    <w:pPr>
      <w:spacing w:after="0" w:line="240" w:lineRule="auto"/>
    </w:pPr>
    <w:rPr>
      <w:rFonts w:ascii="Calibri" w:eastAsia="Dotum" w:hAnsi="Calibri" w:cs="Calibri"/>
    </w:rPr>
  </w:style>
  <w:style w:type="character" w:customStyle="1" w:styleId="NoSpacingChar">
    <w:name w:val="No Spacing Char"/>
    <w:link w:val="NoSpacing"/>
    <w:uiPriority w:val="1"/>
    <w:rsid w:val="006E09F6"/>
    <w:rPr>
      <w:rFonts w:ascii="Calibri" w:eastAsia="Dotum" w:hAnsi="Calibri" w:cs="Calibri"/>
    </w:rPr>
  </w:style>
  <w:style w:type="paragraph" w:styleId="Caption">
    <w:name w:val="caption"/>
    <w:basedOn w:val="Normal"/>
    <w:next w:val="Normal"/>
    <w:uiPriority w:val="35"/>
    <w:unhideWhenUsed/>
    <w:qFormat/>
    <w:rsid w:val="006E09F6"/>
    <w:rPr>
      <w:b/>
      <w:bCs/>
      <w:color w:val="404040" w:themeColor="text1" w:themeTint="BF"/>
      <w:sz w:val="20"/>
      <w:szCs w:val="18"/>
    </w:rPr>
  </w:style>
  <w:style w:type="character" w:styleId="Hyperlink">
    <w:name w:val="Hyperlink"/>
    <w:basedOn w:val="DefaultParagraphFont"/>
    <w:uiPriority w:val="99"/>
    <w:unhideWhenUsed/>
    <w:rsid w:val="006E09F6"/>
    <w:rPr>
      <w:color w:val="0563C1" w:themeColor="hyperlink"/>
      <w:u w:val="single"/>
    </w:rPr>
  </w:style>
  <w:style w:type="paragraph" w:styleId="TOCHeading">
    <w:name w:val="TOC Heading"/>
    <w:basedOn w:val="Heading1"/>
    <w:next w:val="Normal"/>
    <w:uiPriority w:val="39"/>
    <w:unhideWhenUsed/>
    <w:qFormat/>
    <w:rsid w:val="006E09F6"/>
    <w:pPr>
      <w:keepNext/>
      <w:keepLines/>
      <w:spacing w:before="480" w:after="0"/>
      <w:outlineLvl w:val="9"/>
    </w:pPr>
    <w:rPr>
      <w:rFonts w:asciiTheme="majorHAnsi" w:eastAsiaTheme="majorEastAsia" w:hAnsiTheme="majorHAnsi" w:cstheme="majorBidi"/>
      <w:b w:val="0"/>
      <w:color w:val="2E74B5" w:themeColor="accent1" w:themeShade="BF"/>
      <w:spacing w:val="0"/>
      <w:sz w:val="28"/>
      <w:szCs w:val="28"/>
      <w:lang w:val="en-US" w:eastAsia="ja-JP"/>
    </w:rPr>
  </w:style>
  <w:style w:type="paragraph" w:styleId="TOC1">
    <w:name w:val="toc 1"/>
    <w:basedOn w:val="Normal"/>
    <w:next w:val="Normal"/>
    <w:autoRedefine/>
    <w:uiPriority w:val="39"/>
    <w:unhideWhenUsed/>
    <w:rsid w:val="00C442FF"/>
    <w:pPr>
      <w:tabs>
        <w:tab w:val="right" w:leader="dot" w:pos="9639"/>
      </w:tabs>
      <w:spacing w:before="24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6E09F6"/>
    <w:pPr>
      <w:tabs>
        <w:tab w:val="right" w:leader="dot" w:pos="9627"/>
      </w:tabs>
      <w:spacing w:before="120" w:after="0"/>
      <w:ind w:left="220"/>
    </w:pPr>
    <w:rPr>
      <w:rFonts w:asciiTheme="minorHAnsi" w:hAnsiTheme="minorHAnsi" w:cstheme="minorHAnsi"/>
      <w:b/>
      <w:iCs/>
      <w:sz w:val="20"/>
      <w:szCs w:val="20"/>
    </w:rPr>
  </w:style>
  <w:style w:type="paragraph" w:styleId="BodyText">
    <w:name w:val="Body Text"/>
    <w:basedOn w:val="Normal"/>
    <w:link w:val="BodyTextChar"/>
    <w:qFormat/>
    <w:rsid w:val="006E09F6"/>
    <w:pPr>
      <w:spacing w:after="0"/>
    </w:pPr>
    <w:rPr>
      <w:rFonts w:ascii="Trebuchet MS" w:eastAsia="Times New Roman" w:hAnsi="Trebuchet MS" w:cs="Times New Roman"/>
      <w:szCs w:val="20"/>
      <w:lang w:eastAsia="en-AU"/>
    </w:rPr>
  </w:style>
  <w:style w:type="character" w:customStyle="1" w:styleId="BodyTextChar">
    <w:name w:val="Body Text Char"/>
    <w:basedOn w:val="DefaultParagraphFont"/>
    <w:link w:val="BodyText"/>
    <w:rsid w:val="006E09F6"/>
    <w:rPr>
      <w:rFonts w:ascii="Trebuchet MS" w:eastAsia="Times New Roman" w:hAnsi="Trebuchet MS" w:cs="Times New Roman"/>
      <w:szCs w:val="20"/>
      <w:lang w:eastAsia="en-AU"/>
    </w:rPr>
  </w:style>
  <w:style w:type="character" w:styleId="PageNumber">
    <w:name w:val="page number"/>
    <w:basedOn w:val="DefaultParagraphFont"/>
    <w:rsid w:val="006E09F6"/>
  </w:style>
  <w:style w:type="paragraph" w:styleId="FootnoteText">
    <w:name w:val="footnote text"/>
    <w:basedOn w:val="Normal"/>
    <w:link w:val="FootnoteTextChar"/>
    <w:uiPriority w:val="99"/>
    <w:rsid w:val="00C84964"/>
    <w:pPr>
      <w:spacing w:after="0"/>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6E09F6"/>
    <w:rPr>
      <w:rFonts w:ascii="Times New Roman" w:eastAsia="Times New Roman" w:hAnsi="Times New Roman" w:cs="Times New Roman"/>
      <w:sz w:val="20"/>
      <w:szCs w:val="20"/>
      <w:lang w:val="en-US"/>
    </w:rPr>
  </w:style>
  <w:style w:type="character" w:styleId="FootnoteReference">
    <w:name w:val="footnote reference"/>
    <w:uiPriority w:val="99"/>
    <w:rsid w:val="00C84964"/>
    <w:rPr>
      <w:vertAlign w:val="superscript"/>
    </w:rPr>
  </w:style>
  <w:style w:type="character" w:customStyle="1" w:styleId="CommentTextChar">
    <w:name w:val="Comment Text Char"/>
    <w:basedOn w:val="DefaultParagraphFont"/>
    <w:link w:val="CommentText"/>
    <w:rsid w:val="006E09F6"/>
    <w:rPr>
      <w:rFonts w:ascii="Times New Roman" w:eastAsia="Times New Roman" w:hAnsi="Times New Roman" w:cs="Times New Roman"/>
      <w:sz w:val="20"/>
      <w:szCs w:val="20"/>
      <w:lang w:val="en-US"/>
    </w:rPr>
  </w:style>
  <w:style w:type="paragraph" w:styleId="CommentText">
    <w:name w:val="annotation text"/>
    <w:basedOn w:val="Normal"/>
    <w:link w:val="CommentTextChar"/>
    <w:rsid w:val="006E09F6"/>
    <w:pPr>
      <w:spacing w:after="0"/>
    </w:pPr>
    <w:rPr>
      <w:rFonts w:ascii="Times New Roman" w:eastAsia="Times New Roman" w:hAnsi="Times New Roman" w:cs="Times New Roman"/>
      <w:sz w:val="20"/>
      <w:szCs w:val="20"/>
      <w:lang w:val="en-US"/>
    </w:rPr>
  </w:style>
  <w:style w:type="character" w:customStyle="1" w:styleId="CommentTextChar1">
    <w:name w:val="Comment Text Char1"/>
    <w:basedOn w:val="DefaultParagraphFont"/>
    <w:uiPriority w:val="99"/>
    <w:semiHidden/>
    <w:rsid w:val="006E09F6"/>
    <w:rPr>
      <w:rFonts w:ascii="Calibri" w:eastAsia="Dotum" w:hAnsi="Calibri" w:cs="Calibri"/>
      <w:sz w:val="20"/>
      <w:szCs w:val="20"/>
    </w:rPr>
  </w:style>
  <w:style w:type="character" w:styleId="Strong">
    <w:name w:val="Strong"/>
    <w:qFormat/>
    <w:rsid w:val="006E09F6"/>
    <w:rPr>
      <w:b/>
      <w:bCs/>
    </w:rPr>
  </w:style>
  <w:style w:type="paragraph" w:customStyle="1" w:styleId="TableHeading">
    <w:name w:val="Table Heading"/>
    <w:basedOn w:val="Normal"/>
    <w:next w:val="Normal"/>
    <w:link w:val="TableHeadingCharChar"/>
    <w:rsid w:val="006E09F6"/>
    <w:pPr>
      <w:spacing w:before="80" w:after="80"/>
    </w:pPr>
    <w:rPr>
      <w:rFonts w:ascii="Arial" w:eastAsia="Times New Roman" w:hAnsi="Arial" w:cs="Arial"/>
      <w:b/>
      <w:bCs/>
      <w:sz w:val="18"/>
      <w:szCs w:val="18"/>
      <w:lang w:eastAsia="en-AU"/>
    </w:rPr>
  </w:style>
  <w:style w:type="character" w:customStyle="1" w:styleId="TableHeadingCharChar">
    <w:name w:val="Table Heading Char Char"/>
    <w:link w:val="TableHeading"/>
    <w:locked/>
    <w:rsid w:val="006E09F6"/>
    <w:rPr>
      <w:rFonts w:ascii="Arial" w:eastAsia="Times New Roman" w:hAnsi="Arial" w:cs="Arial"/>
      <w:b/>
      <w:bCs/>
      <w:sz w:val="18"/>
      <w:szCs w:val="18"/>
      <w:lang w:eastAsia="en-AU"/>
    </w:rPr>
  </w:style>
  <w:style w:type="paragraph" w:customStyle="1" w:styleId="TableText">
    <w:name w:val="Table Text"/>
    <w:basedOn w:val="Normal"/>
    <w:link w:val="TableTextChar"/>
    <w:uiPriority w:val="99"/>
    <w:rsid w:val="006E09F6"/>
    <w:pPr>
      <w:spacing w:before="60" w:after="60"/>
    </w:pPr>
    <w:rPr>
      <w:rFonts w:ascii="Arial" w:eastAsia="Times New Roman" w:hAnsi="Arial" w:cs="Arial"/>
      <w:sz w:val="18"/>
      <w:szCs w:val="18"/>
      <w:lang w:eastAsia="en-AU"/>
    </w:rPr>
  </w:style>
  <w:style w:type="character" w:customStyle="1" w:styleId="TableTextChar">
    <w:name w:val="Table Text Char"/>
    <w:basedOn w:val="TableHeadingCharChar"/>
    <w:link w:val="TableText"/>
    <w:uiPriority w:val="99"/>
    <w:locked/>
    <w:rsid w:val="006E09F6"/>
    <w:rPr>
      <w:rFonts w:ascii="Arial" w:eastAsia="Times New Roman" w:hAnsi="Arial" w:cs="Arial"/>
      <w:b w:val="0"/>
      <w:bCs w:val="0"/>
      <w:sz w:val="18"/>
      <w:szCs w:val="18"/>
      <w:lang w:eastAsia="en-AU"/>
    </w:rPr>
  </w:style>
  <w:style w:type="paragraph" w:customStyle="1" w:styleId="TableBullet">
    <w:name w:val="Table Bullet"/>
    <w:basedOn w:val="TableText"/>
    <w:rsid w:val="006E09F6"/>
    <w:pPr>
      <w:numPr>
        <w:numId w:val="2"/>
      </w:numPr>
      <w:tabs>
        <w:tab w:val="clear" w:pos="360"/>
        <w:tab w:val="left" w:pos="284"/>
        <w:tab w:val="num" w:pos="530"/>
      </w:tabs>
      <w:ind w:left="284" w:hanging="284"/>
    </w:pPr>
  </w:style>
  <w:style w:type="paragraph" w:styleId="TOC3">
    <w:name w:val="toc 3"/>
    <w:basedOn w:val="Normal"/>
    <w:next w:val="Normal"/>
    <w:autoRedefine/>
    <w:uiPriority w:val="39"/>
    <w:rsid w:val="006E09F6"/>
    <w:pPr>
      <w:spacing w:after="0"/>
      <w:ind w:left="440"/>
    </w:pPr>
    <w:rPr>
      <w:rFonts w:asciiTheme="minorHAnsi" w:hAnsiTheme="minorHAnsi" w:cstheme="minorHAnsi"/>
      <w:sz w:val="20"/>
      <w:szCs w:val="20"/>
    </w:rPr>
  </w:style>
  <w:style w:type="character" w:customStyle="1" w:styleId="CommentSubjectChar">
    <w:name w:val="Comment Subject Char"/>
    <w:basedOn w:val="CommentTextChar"/>
    <w:link w:val="CommentSubject"/>
    <w:semiHidden/>
    <w:rsid w:val="006E09F6"/>
    <w:rPr>
      <w:rFonts w:ascii="Times New Roman" w:eastAsia="Times New Roman" w:hAnsi="Times New Roman" w:cs="Times New Roman"/>
      <w:b/>
      <w:bCs/>
      <w:sz w:val="20"/>
      <w:szCs w:val="20"/>
      <w:lang w:val="en-US" w:eastAsia="en-AU"/>
    </w:rPr>
  </w:style>
  <w:style w:type="paragraph" w:styleId="CommentSubject">
    <w:name w:val="annotation subject"/>
    <w:basedOn w:val="CommentText"/>
    <w:next w:val="CommentText"/>
    <w:link w:val="CommentSubjectChar"/>
    <w:semiHidden/>
    <w:rsid w:val="006E09F6"/>
    <w:rPr>
      <w:b/>
      <w:bCs/>
      <w:lang w:eastAsia="en-AU"/>
    </w:rPr>
  </w:style>
  <w:style w:type="character" w:customStyle="1" w:styleId="CommentSubjectChar1">
    <w:name w:val="Comment Subject Char1"/>
    <w:basedOn w:val="CommentTextChar1"/>
    <w:uiPriority w:val="99"/>
    <w:semiHidden/>
    <w:rsid w:val="006E09F6"/>
    <w:rPr>
      <w:rFonts w:ascii="Calibri" w:eastAsia="Dotum" w:hAnsi="Calibri" w:cs="Calibri"/>
      <w:b/>
      <w:bCs/>
      <w:sz w:val="20"/>
      <w:szCs w:val="20"/>
    </w:rPr>
  </w:style>
  <w:style w:type="paragraph" w:styleId="TOC4">
    <w:name w:val="toc 4"/>
    <w:basedOn w:val="Normal"/>
    <w:next w:val="Normal"/>
    <w:autoRedefine/>
    <w:uiPriority w:val="39"/>
    <w:unhideWhenUsed/>
    <w:rsid w:val="006E09F6"/>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6E09F6"/>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6E09F6"/>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6E09F6"/>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6E09F6"/>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6E09F6"/>
    <w:pPr>
      <w:spacing w:after="0"/>
      <w:ind w:left="1760"/>
    </w:pPr>
    <w:rPr>
      <w:rFonts w:asciiTheme="minorHAnsi" w:hAnsiTheme="minorHAnsi" w:cstheme="minorHAnsi"/>
      <w:sz w:val="20"/>
      <w:szCs w:val="20"/>
    </w:rPr>
  </w:style>
  <w:style w:type="paragraph" w:customStyle="1" w:styleId="Default">
    <w:name w:val="Default"/>
    <w:rsid w:val="006E09F6"/>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customStyle="1" w:styleId="ChapterHeading">
    <w:name w:val="Chapter Heading"/>
    <w:link w:val="ChapterHeadingChar"/>
    <w:qFormat/>
    <w:rsid w:val="006E09F6"/>
    <w:pPr>
      <w:pageBreakBefore/>
      <w:pBdr>
        <w:top w:val="single" w:sz="36" w:space="1" w:color="C00000"/>
        <w:left w:val="single" w:sz="36" w:space="4" w:color="C00000"/>
        <w:bottom w:val="single" w:sz="36" w:space="1" w:color="C00000"/>
        <w:right w:val="single" w:sz="36" w:space="4" w:color="C00000"/>
      </w:pBdr>
      <w:shd w:val="clear" w:color="auto" w:fill="C00000"/>
      <w:spacing w:after="200" w:line="276" w:lineRule="auto"/>
    </w:pPr>
    <w:rPr>
      <w:rFonts w:ascii="Calibri" w:eastAsia="HYGothic-Extra" w:hAnsi="Calibri" w:cs="Calibri"/>
      <w:b/>
      <w:bCs/>
      <w:color w:val="FFFFFF" w:themeColor="background1"/>
      <w:spacing w:val="-20"/>
      <w:sz w:val="56"/>
      <w:szCs w:val="72"/>
    </w:rPr>
  </w:style>
  <w:style w:type="character" w:customStyle="1" w:styleId="ChapterHeadingChar">
    <w:name w:val="Chapter Heading Char"/>
    <w:basedOn w:val="Heading1Char"/>
    <w:link w:val="ChapterHeading"/>
    <w:rsid w:val="006E09F6"/>
    <w:rPr>
      <w:rFonts w:ascii="Calibri" w:eastAsia="HYGothic-Extra" w:hAnsi="Calibri" w:cs="Calibri"/>
      <w:b w:val="0"/>
      <w:bCs/>
      <w:color w:val="FFFFFF" w:themeColor="background1"/>
      <w:spacing w:val="-20"/>
      <w:sz w:val="56"/>
      <w:szCs w:val="72"/>
      <w:shd w:val="clear" w:color="auto" w:fill="C00000"/>
    </w:rPr>
  </w:style>
  <w:style w:type="paragraph" w:customStyle="1" w:styleId="Bullets">
    <w:name w:val="Bullets"/>
    <w:basedOn w:val="Normal"/>
    <w:link w:val="BulletsChar"/>
    <w:qFormat/>
    <w:rsid w:val="006E09F6"/>
    <w:pPr>
      <w:numPr>
        <w:numId w:val="40"/>
      </w:numPr>
      <w:spacing w:after="0"/>
    </w:pPr>
  </w:style>
  <w:style w:type="character" w:customStyle="1" w:styleId="BulletsChar">
    <w:name w:val="Bullets Char"/>
    <w:basedOn w:val="DefaultParagraphFont"/>
    <w:link w:val="Bullets"/>
    <w:rsid w:val="006E09F6"/>
    <w:rPr>
      <w:rFonts w:ascii="Calibri" w:eastAsia="Dotum" w:hAnsi="Calibri" w:cs="Calibri"/>
    </w:rPr>
  </w:style>
  <w:style w:type="paragraph" w:customStyle="1" w:styleId="Bullet-lastbullet">
    <w:name w:val="Bullet - last bullet"/>
    <w:basedOn w:val="Bullets"/>
    <w:link w:val="Bullet-lastbulletChar"/>
    <w:qFormat/>
    <w:rsid w:val="006E09F6"/>
    <w:pPr>
      <w:spacing w:after="240"/>
    </w:pPr>
  </w:style>
  <w:style w:type="character" w:customStyle="1" w:styleId="Bullet-lastbulletChar">
    <w:name w:val="Bullet - last bullet Char"/>
    <w:basedOn w:val="BulletsChar"/>
    <w:link w:val="Bullet-lastbullet"/>
    <w:rsid w:val="006E09F6"/>
    <w:rPr>
      <w:rFonts w:ascii="Calibri" w:eastAsia="Dotum" w:hAnsi="Calibri" w:cs="Calibri"/>
    </w:rPr>
  </w:style>
  <w:style w:type="paragraph" w:customStyle="1" w:styleId="Maintext">
    <w:name w:val="Main text"/>
    <w:basedOn w:val="Normal"/>
    <w:link w:val="MaintextCharChar"/>
    <w:rsid w:val="00815775"/>
    <w:pPr>
      <w:spacing w:after="0"/>
    </w:pPr>
    <w:rPr>
      <w:rFonts w:ascii="Arial" w:eastAsia="Times New Roman" w:hAnsi="Arial" w:cs="Times New Roman"/>
      <w:szCs w:val="24"/>
      <w:lang w:eastAsia="en-AU"/>
    </w:rPr>
  </w:style>
  <w:style w:type="character" w:customStyle="1" w:styleId="MaintextCharChar">
    <w:name w:val="Main text Char Char"/>
    <w:link w:val="Maintext"/>
    <w:rsid w:val="00815775"/>
    <w:rPr>
      <w:rFonts w:ascii="Arial" w:eastAsia="Times New Roman" w:hAnsi="Arial" w:cs="Times New Roman"/>
      <w:szCs w:val="24"/>
      <w:lang w:eastAsia="en-AU"/>
    </w:rPr>
  </w:style>
  <w:style w:type="character" w:styleId="CommentReference">
    <w:name w:val="annotation reference"/>
    <w:basedOn w:val="DefaultParagraphFont"/>
    <w:unhideWhenUsed/>
    <w:rsid w:val="00E8272C"/>
    <w:rPr>
      <w:sz w:val="16"/>
      <w:szCs w:val="16"/>
    </w:rPr>
  </w:style>
  <w:style w:type="character" w:customStyle="1" w:styleId="ListParagraphChar">
    <w:name w:val="List Paragraph Char"/>
    <w:basedOn w:val="DefaultParagraphFont"/>
    <w:link w:val="ListParagraph"/>
    <w:uiPriority w:val="34"/>
    <w:rsid w:val="007B0ACE"/>
    <w:rPr>
      <w:rFonts w:ascii="Calibri" w:eastAsia="Dotum" w:hAnsi="Calibri" w:cs="Calibri"/>
    </w:rPr>
  </w:style>
  <w:style w:type="character" w:styleId="Emphasis">
    <w:name w:val="Emphasis"/>
    <w:qFormat/>
    <w:rsid w:val="00942DF8"/>
    <w:rPr>
      <w:i/>
      <w:iCs/>
    </w:rPr>
  </w:style>
  <w:style w:type="paragraph" w:customStyle="1" w:styleId="Legalstatement">
    <w:name w:val="Legal statement"/>
    <w:basedOn w:val="Footer"/>
    <w:rsid w:val="00F246AD"/>
    <w:pPr>
      <w:tabs>
        <w:tab w:val="clear" w:pos="4513"/>
        <w:tab w:val="clear" w:pos="9026"/>
        <w:tab w:val="center" w:pos="4153"/>
        <w:tab w:val="right" w:pos="8306"/>
      </w:tabs>
    </w:pPr>
    <w:rPr>
      <w:rFonts w:ascii="Times New Roman" w:eastAsia="Times New Roman" w:hAnsi="Times New Roman" w:cs="Arial"/>
      <w:color w:val="000000"/>
      <w:sz w:val="16"/>
      <w:szCs w:val="16"/>
    </w:rPr>
  </w:style>
  <w:style w:type="paragraph" w:styleId="Revision">
    <w:name w:val="Revision"/>
    <w:hidden/>
    <w:uiPriority w:val="99"/>
    <w:semiHidden/>
    <w:rsid w:val="00BF200B"/>
    <w:pPr>
      <w:spacing w:after="0" w:line="240" w:lineRule="auto"/>
    </w:pPr>
    <w:rPr>
      <w:rFonts w:ascii="Calibri" w:eastAsia="Dotum" w:hAnsi="Calibri" w:cs="Calibri"/>
    </w:rPr>
  </w:style>
  <w:style w:type="paragraph" w:styleId="NormalWeb">
    <w:name w:val="Normal (Web)"/>
    <w:basedOn w:val="Normal"/>
    <w:uiPriority w:val="99"/>
    <w:unhideWhenUsed/>
    <w:rsid w:val="00C84964"/>
    <w:pPr>
      <w:spacing w:before="100" w:beforeAutospacing="1" w:after="100" w:afterAutospacing="1"/>
    </w:pPr>
    <w:rPr>
      <w:rFonts w:ascii="Times New Roman" w:eastAsiaTheme="minorEastAsia" w:hAnsi="Times New Roman" w:cs="Times New Roman"/>
      <w:sz w:val="24"/>
      <w:szCs w:val="24"/>
      <w:lang w:eastAsia="en-AU"/>
    </w:rPr>
  </w:style>
  <w:style w:type="paragraph" w:styleId="ListBullet">
    <w:name w:val="List Bullet"/>
    <w:basedOn w:val="BodyText"/>
    <w:rsid w:val="00F1668D"/>
    <w:pPr>
      <w:numPr>
        <w:numId w:val="51"/>
      </w:numPr>
      <w:spacing w:after="120" w:line="260" w:lineRule="atLeast"/>
      <w:jc w:val="both"/>
    </w:pPr>
    <w:rPr>
      <w:rFonts w:ascii="Times New Roman" w:hAnsi="Times New Roman"/>
      <w:lang w:eastAsia="en-US"/>
    </w:rPr>
  </w:style>
  <w:style w:type="character" w:customStyle="1" w:styleId="BodyText-Italics">
    <w:name w:val="Body Text - Italics"/>
    <w:basedOn w:val="DefaultParagraphFont"/>
    <w:uiPriority w:val="99"/>
    <w:rsid w:val="00754F1B"/>
    <w:rPr>
      <w:rFonts w:cs="Times New Roman"/>
      <w:i/>
    </w:rPr>
  </w:style>
  <w:style w:type="paragraph" w:customStyle="1" w:styleId="subsection">
    <w:name w:val="subsection"/>
    <w:basedOn w:val="Normal"/>
    <w:rsid w:val="00986AC3"/>
    <w:pPr>
      <w:spacing w:before="100" w:beforeAutospacing="1" w:after="100" w:afterAutospacing="1"/>
    </w:pPr>
    <w:rPr>
      <w:rFonts w:ascii="Times New Roman" w:eastAsia="Times New Roman" w:hAnsi="Times New Roman" w:cs="Times New Roman"/>
      <w:sz w:val="24"/>
      <w:szCs w:val="24"/>
      <w:lang w:eastAsia="en-AU"/>
    </w:rPr>
  </w:style>
  <w:style w:type="table" w:styleId="LightShading">
    <w:name w:val="Light Shading"/>
    <w:basedOn w:val="TableNormal"/>
    <w:uiPriority w:val="60"/>
    <w:rsid w:val="00FC23B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FC23B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List-Accent3">
    <w:name w:val="Light List Accent 3"/>
    <w:basedOn w:val="TableNormal"/>
    <w:uiPriority w:val="61"/>
    <w:rsid w:val="00FC23B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List1-Accent3">
    <w:name w:val="Medium List 1 Accent 3"/>
    <w:basedOn w:val="TableNormal"/>
    <w:uiPriority w:val="65"/>
    <w:rsid w:val="00B642E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lood.gov.au/national-standar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8BC2B-7E32-4365-B06A-30F74F1C9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Stokoe, Lauren (AU - Canberra)</dc:creator>
  <cp:lastModifiedBy>Wade, Alice</cp:lastModifiedBy>
  <cp:revision>2</cp:revision>
  <cp:lastPrinted>2019-06-19T06:40:00Z</cp:lastPrinted>
  <dcterms:created xsi:type="dcterms:W3CDTF">2022-04-21T02:28:00Z</dcterms:created>
  <dcterms:modified xsi:type="dcterms:W3CDTF">2022-04-21T02:28:00Z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22375ece-d960-43a7-bc47-888966d3f9be</vt:lpwstr>
  </property>
</Properties>
</file>