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D03" w:rsidRDefault="00D54D03" w:rsidP="00C029C4">
      <w:pPr>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3.25pt" fillcolor="window">
            <v:imagedata r:id="rId8" o:title=""/>
          </v:shape>
        </w:pict>
      </w:r>
    </w:p>
    <w:p w:rsidR="00D54D03" w:rsidRPr="00CB35AC" w:rsidRDefault="00D54D03" w:rsidP="00C029C4">
      <w:pPr>
        <w:jc w:val="center"/>
        <w:rPr>
          <w:rFonts w:ascii="Arial" w:hAnsi="Arial" w:cs="Arial"/>
          <w:b/>
          <w:smallCaps/>
          <w:sz w:val="20"/>
        </w:rPr>
      </w:pPr>
    </w:p>
    <w:p w:rsidR="00E6681E" w:rsidRPr="00212650" w:rsidRDefault="00D54D03" w:rsidP="00C029C4">
      <w:pPr>
        <w:jc w:val="center"/>
        <w:rPr>
          <w:rFonts w:ascii="Arial" w:hAnsi="Arial" w:cs="Arial"/>
          <w:b/>
          <w:sz w:val="28"/>
          <w:szCs w:val="28"/>
        </w:rPr>
      </w:pPr>
      <w:r w:rsidRPr="00212650">
        <w:rPr>
          <w:rFonts w:ascii="Arial" w:hAnsi="Arial" w:cs="Arial"/>
          <w:b/>
          <w:sz w:val="28"/>
          <w:szCs w:val="28"/>
        </w:rPr>
        <w:t xml:space="preserve">Australian Health Ministers’ Conference </w:t>
      </w:r>
      <w:r w:rsidR="00C029C4" w:rsidRPr="00212650">
        <w:rPr>
          <w:rFonts w:ascii="Arial" w:hAnsi="Arial" w:cs="Arial"/>
          <w:b/>
          <w:sz w:val="28"/>
          <w:szCs w:val="28"/>
        </w:rPr>
        <w:t xml:space="preserve">Statement </w:t>
      </w:r>
      <w:r w:rsidR="00212650">
        <w:rPr>
          <w:rFonts w:ascii="Arial" w:hAnsi="Arial" w:cs="Arial"/>
          <w:b/>
          <w:sz w:val="28"/>
          <w:szCs w:val="28"/>
        </w:rPr>
        <w:t>o</w:t>
      </w:r>
      <w:r w:rsidR="00212650" w:rsidRPr="00212650">
        <w:rPr>
          <w:rFonts w:ascii="Arial" w:hAnsi="Arial" w:cs="Arial"/>
          <w:b/>
          <w:sz w:val="28"/>
          <w:szCs w:val="28"/>
        </w:rPr>
        <w:t xml:space="preserve">n </w:t>
      </w:r>
      <w:r w:rsidRPr="00212650">
        <w:rPr>
          <w:rFonts w:ascii="Arial" w:hAnsi="Arial" w:cs="Arial"/>
          <w:b/>
          <w:sz w:val="28"/>
          <w:szCs w:val="28"/>
        </w:rPr>
        <w:t>National </w:t>
      </w:r>
      <w:r w:rsidR="00C029C4" w:rsidRPr="00212650">
        <w:rPr>
          <w:rFonts w:ascii="Arial" w:hAnsi="Arial" w:cs="Arial"/>
          <w:b/>
          <w:sz w:val="28"/>
          <w:szCs w:val="28"/>
        </w:rPr>
        <w:t xml:space="preserve">Stewardship Expectations </w:t>
      </w:r>
      <w:r w:rsidR="00212650">
        <w:rPr>
          <w:rFonts w:ascii="Arial" w:hAnsi="Arial" w:cs="Arial"/>
          <w:b/>
          <w:sz w:val="28"/>
          <w:szCs w:val="28"/>
        </w:rPr>
        <w:t>f</w:t>
      </w:r>
      <w:r w:rsidR="00212650" w:rsidRPr="00212650">
        <w:rPr>
          <w:rFonts w:ascii="Arial" w:hAnsi="Arial" w:cs="Arial"/>
          <w:b/>
          <w:sz w:val="28"/>
          <w:szCs w:val="28"/>
        </w:rPr>
        <w:t xml:space="preserve">or </w:t>
      </w:r>
      <w:r w:rsidR="00212650">
        <w:rPr>
          <w:rFonts w:ascii="Arial" w:hAnsi="Arial" w:cs="Arial"/>
          <w:b/>
          <w:sz w:val="28"/>
          <w:szCs w:val="28"/>
        </w:rPr>
        <w:t>t</w:t>
      </w:r>
      <w:r w:rsidR="00212650" w:rsidRPr="00212650">
        <w:rPr>
          <w:rFonts w:ascii="Arial" w:hAnsi="Arial" w:cs="Arial"/>
          <w:b/>
          <w:sz w:val="28"/>
          <w:szCs w:val="28"/>
        </w:rPr>
        <w:t xml:space="preserve">he </w:t>
      </w:r>
      <w:r w:rsidR="00C029C4" w:rsidRPr="00212650">
        <w:rPr>
          <w:rFonts w:ascii="Arial" w:hAnsi="Arial" w:cs="Arial"/>
          <w:b/>
          <w:sz w:val="28"/>
          <w:szCs w:val="28"/>
        </w:rPr>
        <w:t xml:space="preserve">Supply </w:t>
      </w:r>
      <w:r w:rsidR="00212650">
        <w:rPr>
          <w:rFonts w:ascii="Arial" w:hAnsi="Arial" w:cs="Arial"/>
          <w:b/>
          <w:sz w:val="28"/>
          <w:szCs w:val="28"/>
        </w:rPr>
        <w:t>o</w:t>
      </w:r>
      <w:r w:rsidR="00212650" w:rsidRPr="00212650">
        <w:rPr>
          <w:rFonts w:ascii="Arial" w:hAnsi="Arial" w:cs="Arial"/>
          <w:b/>
          <w:sz w:val="28"/>
          <w:szCs w:val="28"/>
        </w:rPr>
        <w:t xml:space="preserve">f </w:t>
      </w:r>
      <w:r w:rsidR="00C029C4" w:rsidRPr="00212650">
        <w:rPr>
          <w:rFonts w:ascii="Arial" w:hAnsi="Arial" w:cs="Arial"/>
          <w:b/>
          <w:sz w:val="28"/>
          <w:szCs w:val="28"/>
        </w:rPr>
        <w:t xml:space="preserve">Blood </w:t>
      </w:r>
      <w:r w:rsidR="00212650">
        <w:rPr>
          <w:rFonts w:ascii="Arial" w:hAnsi="Arial" w:cs="Arial"/>
          <w:b/>
          <w:sz w:val="28"/>
          <w:szCs w:val="28"/>
        </w:rPr>
        <w:t>a</w:t>
      </w:r>
      <w:r w:rsidR="00212650" w:rsidRPr="00212650">
        <w:rPr>
          <w:rFonts w:ascii="Arial" w:hAnsi="Arial" w:cs="Arial"/>
          <w:b/>
          <w:sz w:val="28"/>
          <w:szCs w:val="28"/>
        </w:rPr>
        <w:t xml:space="preserve">nd </w:t>
      </w:r>
      <w:r w:rsidR="00C029C4" w:rsidRPr="00212650">
        <w:rPr>
          <w:rFonts w:ascii="Arial" w:hAnsi="Arial" w:cs="Arial"/>
          <w:b/>
          <w:sz w:val="28"/>
          <w:szCs w:val="28"/>
        </w:rPr>
        <w:t>Blood</w:t>
      </w:r>
      <w:r w:rsidRPr="00212650">
        <w:rPr>
          <w:rFonts w:ascii="Arial" w:hAnsi="Arial" w:cs="Arial"/>
          <w:b/>
          <w:sz w:val="28"/>
          <w:szCs w:val="28"/>
        </w:rPr>
        <w:t> </w:t>
      </w:r>
      <w:r w:rsidR="00C029C4" w:rsidRPr="00212650">
        <w:rPr>
          <w:rFonts w:ascii="Arial" w:hAnsi="Arial" w:cs="Arial"/>
          <w:b/>
          <w:sz w:val="28"/>
          <w:szCs w:val="28"/>
        </w:rPr>
        <w:t>Products</w:t>
      </w:r>
    </w:p>
    <w:p w:rsidR="00E6681E" w:rsidRPr="006D0F09" w:rsidRDefault="00E6681E" w:rsidP="00E6681E">
      <w:pPr>
        <w:jc w:val="center"/>
        <w:rPr>
          <w:rFonts w:ascii="Arial" w:hAnsi="Arial" w:cs="Arial"/>
          <w:b/>
          <w:sz w:val="22"/>
          <w:szCs w:val="22"/>
        </w:rPr>
      </w:pPr>
    </w:p>
    <w:p w:rsidR="00E6681E" w:rsidRPr="003B061F" w:rsidRDefault="00E6681E" w:rsidP="005A38DC">
      <w:pPr>
        <w:ind w:right="-1"/>
        <w:jc w:val="both"/>
        <w:rPr>
          <w:rFonts w:ascii="Arial" w:hAnsi="Arial" w:cs="Arial"/>
          <w:sz w:val="22"/>
          <w:szCs w:val="22"/>
        </w:rPr>
      </w:pPr>
      <w:r w:rsidRPr="003B061F">
        <w:rPr>
          <w:rFonts w:ascii="Arial" w:hAnsi="Arial" w:cs="Arial"/>
          <w:sz w:val="22"/>
          <w:szCs w:val="22"/>
        </w:rPr>
        <w:t>The Australian Health Ministers’ Conference (AHMC) has determined that a clear statement is needed on governments’ stewardship expectations for the providers of blood and blood products within the health sector.  Stewardship, in this context, means responsible, sustainable and appropriate us</w:t>
      </w:r>
      <w:r w:rsidR="00B05AEA" w:rsidRPr="003B061F">
        <w:rPr>
          <w:rFonts w:ascii="Arial" w:hAnsi="Arial" w:cs="Arial"/>
          <w:sz w:val="22"/>
          <w:szCs w:val="22"/>
        </w:rPr>
        <w:t>e of blood and blood products.</w:t>
      </w:r>
    </w:p>
    <w:p w:rsidR="00E6681E" w:rsidRPr="003B061F" w:rsidRDefault="00E6681E" w:rsidP="005A38DC">
      <w:pPr>
        <w:ind w:right="-1"/>
        <w:jc w:val="both"/>
        <w:rPr>
          <w:rFonts w:ascii="Arial" w:hAnsi="Arial" w:cs="Arial"/>
          <w:sz w:val="22"/>
          <w:szCs w:val="22"/>
        </w:rPr>
      </w:pPr>
    </w:p>
    <w:p w:rsidR="00E6681E" w:rsidRPr="003B061F" w:rsidRDefault="00E6681E" w:rsidP="005A38DC">
      <w:pPr>
        <w:ind w:right="-1"/>
        <w:jc w:val="both"/>
        <w:rPr>
          <w:rFonts w:ascii="Arial" w:hAnsi="Arial" w:cs="Arial"/>
          <w:sz w:val="22"/>
          <w:szCs w:val="22"/>
        </w:rPr>
      </w:pPr>
      <w:r w:rsidRPr="003B061F">
        <w:rPr>
          <w:rFonts w:ascii="Arial" w:hAnsi="Arial" w:cs="Arial"/>
          <w:sz w:val="22"/>
          <w:szCs w:val="22"/>
        </w:rPr>
        <w:t xml:space="preserve">Blood and blood products are provided under the </w:t>
      </w:r>
      <w:r w:rsidRPr="003B061F">
        <w:rPr>
          <w:rFonts w:ascii="Arial" w:hAnsi="Arial" w:cs="Arial"/>
          <w:i/>
          <w:sz w:val="22"/>
          <w:szCs w:val="22"/>
        </w:rPr>
        <w:t>National Blood Agreement</w:t>
      </w:r>
      <w:r w:rsidRPr="003B061F">
        <w:rPr>
          <w:rFonts w:ascii="Arial" w:hAnsi="Arial" w:cs="Arial"/>
          <w:sz w:val="22"/>
          <w:szCs w:val="22"/>
        </w:rPr>
        <w:t xml:space="preserve"> 2003 to which all Commonwealth, State and Territory Governments are signatories.  Achieving a blood supply that can meet the growing needs of an ag</w:t>
      </w:r>
      <w:r w:rsidR="001D4593" w:rsidRPr="003B061F">
        <w:rPr>
          <w:rFonts w:ascii="Arial" w:hAnsi="Arial" w:cs="Arial"/>
          <w:sz w:val="22"/>
          <w:szCs w:val="22"/>
        </w:rPr>
        <w:t>e</w:t>
      </w:r>
      <w:r w:rsidRPr="003B061F">
        <w:rPr>
          <w:rFonts w:ascii="Arial" w:hAnsi="Arial" w:cs="Arial"/>
          <w:sz w:val="22"/>
          <w:szCs w:val="22"/>
        </w:rPr>
        <w:t xml:space="preserve">ing population at an affordable cost requires the commitment from blood donors to be matched by an equal commitment from other parties in the supply chain. </w:t>
      </w:r>
    </w:p>
    <w:p w:rsidR="00E6681E" w:rsidRPr="003B061F" w:rsidRDefault="00E6681E" w:rsidP="005A38DC">
      <w:pPr>
        <w:ind w:right="-1"/>
        <w:jc w:val="both"/>
        <w:rPr>
          <w:rFonts w:ascii="Arial" w:hAnsi="Arial" w:cs="Arial"/>
          <w:sz w:val="22"/>
          <w:szCs w:val="22"/>
        </w:rPr>
      </w:pPr>
    </w:p>
    <w:p w:rsidR="00E6681E" w:rsidRPr="003B061F" w:rsidRDefault="00E6681E" w:rsidP="005A38DC">
      <w:pPr>
        <w:spacing w:after="120"/>
        <w:ind w:right="-1"/>
        <w:jc w:val="both"/>
        <w:rPr>
          <w:rFonts w:ascii="Arial" w:hAnsi="Arial" w:cs="Arial"/>
          <w:sz w:val="22"/>
          <w:szCs w:val="22"/>
        </w:rPr>
      </w:pPr>
      <w:r w:rsidRPr="003B061F">
        <w:rPr>
          <w:rFonts w:ascii="Arial" w:hAnsi="Arial" w:cs="Arial"/>
          <w:sz w:val="22"/>
          <w:szCs w:val="22"/>
        </w:rPr>
        <w:t xml:space="preserve">All governments are committed to: </w:t>
      </w:r>
    </w:p>
    <w:p w:rsidR="00E6681E" w:rsidRPr="003B061F" w:rsidRDefault="00E6681E" w:rsidP="005A38DC">
      <w:pPr>
        <w:widowControl/>
        <w:numPr>
          <w:ilvl w:val="0"/>
          <w:numId w:val="12"/>
        </w:numPr>
        <w:ind w:right="-1"/>
        <w:jc w:val="both"/>
        <w:rPr>
          <w:rFonts w:ascii="Arial" w:hAnsi="Arial" w:cs="Arial"/>
          <w:sz w:val="22"/>
          <w:szCs w:val="22"/>
        </w:rPr>
      </w:pPr>
      <w:r w:rsidRPr="003B061F">
        <w:rPr>
          <w:rFonts w:ascii="Arial" w:hAnsi="Arial" w:cs="Arial"/>
          <w:sz w:val="22"/>
          <w:szCs w:val="22"/>
        </w:rPr>
        <w:t xml:space="preserve">Providing an adequate, safe, secure and affordable supply of blood products, blood related products and blood related services; and </w:t>
      </w:r>
    </w:p>
    <w:p w:rsidR="00E6681E" w:rsidRPr="003B061F" w:rsidRDefault="00E6681E" w:rsidP="005A38DC">
      <w:pPr>
        <w:widowControl/>
        <w:numPr>
          <w:ilvl w:val="0"/>
          <w:numId w:val="12"/>
        </w:numPr>
        <w:ind w:right="-1"/>
        <w:jc w:val="both"/>
        <w:rPr>
          <w:rFonts w:ascii="Arial" w:hAnsi="Arial" w:cs="Arial"/>
          <w:sz w:val="22"/>
          <w:szCs w:val="22"/>
        </w:rPr>
      </w:pPr>
      <w:r w:rsidRPr="003B061F">
        <w:rPr>
          <w:rFonts w:ascii="Arial" w:hAnsi="Arial" w:cs="Arial"/>
          <w:sz w:val="22"/>
          <w:szCs w:val="22"/>
        </w:rPr>
        <w:t xml:space="preserve">Promoting safe, high quality management and use of blood products, blood related products and blood related services in </w:t>
      </w:r>
      <w:smartTag w:uri="urn:schemas-microsoft-com:office:smarttags" w:element="country-region">
        <w:smartTag w:uri="urn:schemas-microsoft-com:office:smarttags" w:element="place">
          <w:r w:rsidRPr="003B061F">
            <w:rPr>
              <w:rFonts w:ascii="Arial" w:hAnsi="Arial" w:cs="Arial"/>
              <w:sz w:val="22"/>
              <w:szCs w:val="22"/>
            </w:rPr>
            <w:t>Australia</w:t>
          </w:r>
        </w:smartTag>
      </w:smartTag>
      <w:r w:rsidRPr="003B061F">
        <w:rPr>
          <w:rFonts w:ascii="Arial" w:hAnsi="Arial" w:cs="Arial"/>
          <w:sz w:val="22"/>
          <w:szCs w:val="22"/>
        </w:rPr>
        <w:t>.</w:t>
      </w:r>
    </w:p>
    <w:p w:rsidR="00E6681E" w:rsidRPr="003B061F" w:rsidRDefault="00E6681E" w:rsidP="005A38DC">
      <w:pPr>
        <w:ind w:right="-1"/>
        <w:jc w:val="both"/>
        <w:rPr>
          <w:rFonts w:ascii="Arial" w:hAnsi="Arial" w:cs="Arial"/>
          <w:sz w:val="22"/>
          <w:szCs w:val="22"/>
        </w:rPr>
      </w:pPr>
    </w:p>
    <w:p w:rsidR="00E6681E" w:rsidRPr="003B061F" w:rsidRDefault="00E6681E" w:rsidP="005A38DC">
      <w:pPr>
        <w:ind w:right="-1"/>
        <w:jc w:val="both"/>
        <w:rPr>
          <w:rFonts w:ascii="Arial" w:hAnsi="Arial" w:cs="Arial"/>
          <w:sz w:val="22"/>
          <w:szCs w:val="22"/>
        </w:rPr>
      </w:pPr>
      <w:r w:rsidRPr="003B061F">
        <w:rPr>
          <w:rFonts w:ascii="Arial" w:hAnsi="Arial" w:cs="Arial"/>
          <w:sz w:val="22"/>
          <w:szCs w:val="22"/>
        </w:rPr>
        <w:t xml:space="preserve">A key component of the blood sector and one which plays an invaluable part is that of the health providers of blood and blood products.  Hospitals, doctors, laboratories and other health providers serve a vital role in ensuring these key resources reach the patients in need. </w:t>
      </w:r>
    </w:p>
    <w:p w:rsidR="00E6681E" w:rsidRPr="003B061F" w:rsidRDefault="00E6681E" w:rsidP="005A38DC">
      <w:pPr>
        <w:ind w:right="-1"/>
        <w:jc w:val="both"/>
        <w:rPr>
          <w:rFonts w:ascii="Arial" w:hAnsi="Arial" w:cs="Arial"/>
          <w:sz w:val="22"/>
          <w:szCs w:val="22"/>
        </w:rPr>
      </w:pPr>
    </w:p>
    <w:p w:rsidR="00E6681E" w:rsidRPr="003B061F" w:rsidRDefault="00E6681E" w:rsidP="005A38DC">
      <w:pPr>
        <w:ind w:right="-1"/>
        <w:jc w:val="both"/>
        <w:rPr>
          <w:rFonts w:ascii="Arial" w:hAnsi="Arial" w:cs="Arial"/>
          <w:sz w:val="22"/>
          <w:szCs w:val="22"/>
        </w:rPr>
      </w:pPr>
      <w:r w:rsidRPr="003B061F">
        <w:rPr>
          <w:rFonts w:ascii="Arial" w:hAnsi="Arial" w:cs="Arial"/>
          <w:sz w:val="22"/>
          <w:szCs w:val="22"/>
        </w:rPr>
        <w:t xml:space="preserve">In fulfilling this role, Ministers expect that these health providers will contribute to </w:t>
      </w:r>
      <w:r w:rsidR="00E57967" w:rsidRPr="003B061F">
        <w:rPr>
          <w:rFonts w:ascii="Arial" w:hAnsi="Arial" w:cs="Arial"/>
          <w:sz w:val="22"/>
          <w:szCs w:val="22"/>
        </w:rPr>
        <w:t xml:space="preserve">the </w:t>
      </w:r>
      <w:r w:rsidRPr="003B061F">
        <w:rPr>
          <w:rFonts w:ascii="Arial" w:hAnsi="Arial" w:cs="Arial"/>
          <w:sz w:val="22"/>
          <w:szCs w:val="22"/>
        </w:rPr>
        <w:t>sustainability of the blood supply by adopting these stewardship measures for their own organisation and requiring their adoption by any other party to whom they supply blood.</w:t>
      </w:r>
    </w:p>
    <w:p w:rsidR="00E6681E" w:rsidRPr="003B061F" w:rsidRDefault="00E6681E" w:rsidP="005A38DC">
      <w:pPr>
        <w:ind w:right="-1"/>
        <w:jc w:val="both"/>
        <w:rPr>
          <w:rFonts w:ascii="Arial" w:hAnsi="Arial" w:cs="Arial"/>
          <w:sz w:val="22"/>
          <w:szCs w:val="22"/>
        </w:rPr>
      </w:pPr>
    </w:p>
    <w:p w:rsidR="00E6681E" w:rsidRPr="003B061F" w:rsidRDefault="00E6681E" w:rsidP="005A38DC">
      <w:pPr>
        <w:tabs>
          <w:tab w:val="num" w:pos="1080"/>
        </w:tabs>
        <w:ind w:right="-1"/>
        <w:jc w:val="both"/>
        <w:rPr>
          <w:rFonts w:ascii="Arial" w:hAnsi="Arial" w:cs="Arial"/>
          <w:b/>
          <w:sz w:val="22"/>
          <w:szCs w:val="22"/>
        </w:rPr>
      </w:pPr>
      <w:r w:rsidRPr="003B061F">
        <w:rPr>
          <w:rFonts w:ascii="Arial" w:hAnsi="Arial" w:cs="Arial"/>
          <w:b/>
          <w:sz w:val="22"/>
          <w:szCs w:val="22"/>
        </w:rPr>
        <w:t>Blood Stewardship Princip</w:t>
      </w:r>
      <w:r w:rsidR="001D4593" w:rsidRPr="003B061F">
        <w:rPr>
          <w:rFonts w:ascii="Arial" w:hAnsi="Arial" w:cs="Arial"/>
          <w:b/>
          <w:sz w:val="22"/>
          <w:szCs w:val="22"/>
        </w:rPr>
        <w:t>les</w:t>
      </w:r>
      <w:r w:rsidRPr="003B061F">
        <w:rPr>
          <w:rFonts w:ascii="Arial" w:hAnsi="Arial" w:cs="Arial"/>
          <w:b/>
          <w:sz w:val="22"/>
          <w:szCs w:val="22"/>
        </w:rPr>
        <w:t xml:space="preserve"> </w:t>
      </w:r>
    </w:p>
    <w:p w:rsidR="00E6681E" w:rsidRPr="003B061F" w:rsidRDefault="00E6681E" w:rsidP="005A38DC">
      <w:pPr>
        <w:tabs>
          <w:tab w:val="num" w:pos="1080"/>
        </w:tabs>
        <w:spacing w:before="120"/>
        <w:ind w:right="-1"/>
        <w:jc w:val="both"/>
        <w:rPr>
          <w:rFonts w:ascii="Arial" w:hAnsi="Arial" w:cs="Arial"/>
          <w:sz w:val="22"/>
          <w:szCs w:val="22"/>
        </w:rPr>
      </w:pPr>
      <w:r w:rsidRPr="003B061F">
        <w:rPr>
          <w:rFonts w:ascii="Arial" w:hAnsi="Arial" w:cs="Arial"/>
          <w:sz w:val="22"/>
          <w:szCs w:val="22"/>
        </w:rPr>
        <w:t xml:space="preserve">Blood should be managed in ways that ensure: </w:t>
      </w:r>
    </w:p>
    <w:p w:rsidR="00E6681E" w:rsidRPr="003B061F" w:rsidRDefault="00E6681E" w:rsidP="005A38DC">
      <w:pPr>
        <w:widowControl/>
        <w:numPr>
          <w:ilvl w:val="0"/>
          <w:numId w:val="14"/>
        </w:numPr>
        <w:spacing w:before="120"/>
        <w:ind w:right="-1"/>
        <w:jc w:val="both"/>
        <w:rPr>
          <w:rFonts w:ascii="Arial" w:hAnsi="Arial" w:cs="Arial"/>
          <w:sz w:val="22"/>
          <w:szCs w:val="22"/>
        </w:rPr>
      </w:pPr>
      <w:r w:rsidRPr="003B061F">
        <w:rPr>
          <w:rFonts w:ascii="Arial" w:hAnsi="Arial" w:cs="Arial"/>
          <w:sz w:val="22"/>
          <w:szCs w:val="22"/>
        </w:rPr>
        <w:t xml:space="preserve">All blood products are used in a clinically appropriate manner in accord with relevant professional guidelines and standards; </w:t>
      </w:r>
    </w:p>
    <w:p w:rsidR="00E6681E" w:rsidRPr="003B061F" w:rsidRDefault="00E6681E" w:rsidP="005A38DC">
      <w:pPr>
        <w:widowControl/>
        <w:numPr>
          <w:ilvl w:val="0"/>
          <w:numId w:val="13"/>
        </w:numPr>
        <w:spacing w:before="120"/>
        <w:ind w:right="-1"/>
        <w:rPr>
          <w:rFonts w:ascii="Arial" w:hAnsi="Arial" w:cs="Arial"/>
          <w:sz w:val="22"/>
          <w:szCs w:val="22"/>
        </w:rPr>
      </w:pPr>
      <w:r w:rsidRPr="003B061F">
        <w:rPr>
          <w:rFonts w:ascii="Arial" w:hAnsi="Arial" w:cs="Arial"/>
          <w:sz w:val="22"/>
          <w:szCs w:val="22"/>
        </w:rPr>
        <w:t xml:space="preserve">Informed patient consent procedures are implemented for all patients; </w:t>
      </w:r>
    </w:p>
    <w:p w:rsidR="00E6681E" w:rsidRPr="003B061F" w:rsidRDefault="00E6681E" w:rsidP="005A38DC">
      <w:pPr>
        <w:widowControl/>
        <w:numPr>
          <w:ilvl w:val="0"/>
          <w:numId w:val="13"/>
        </w:numPr>
        <w:spacing w:before="120"/>
        <w:ind w:right="-1"/>
        <w:rPr>
          <w:rFonts w:ascii="Arial" w:hAnsi="Arial" w:cs="Arial"/>
          <w:sz w:val="22"/>
          <w:szCs w:val="22"/>
        </w:rPr>
      </w:pPr>
      <w:r w:rsidRPr="003B061F">
        <w:rPr>
          <w:rFonts w:ascii="Arial" w:hAnsi="Arial" w:cs="Arial"/>
          <w:sz w:val="22"/>
          <w:szCs w:val="22"/>
        </w:rPr>
        <w:t>Processes, programs and facilities are in place to minimise the wastage of blood products;</w:t>
      </w:r>
    </w:p>
    <w:p w:rsidR="00E6681E" w:rsidRPr="003B061F" w:rsidRDefault="00E6681E" w:rsidP="005A38DC">
      <w:pPr>
        <w:widowControl/>
        <w:numPr>
          <w:ilvl w:val="0"/>
          <w:numId w:val="13"/>
        </w:numPr>
        <w:spacing w:before="120"/>
        <w:ind w:right="-1"/>
        <w:rPr>
          <w:rFonts w:ascii="Arial" w:hAnsi="Arial" w:cs="Arial"/>
          <w:sz w:val="22"/>
          <w:szCs w:val="22"/>
        </w:rPr>
      </w:pPr>
      <w:r w:rsidRPr="003B061F">
        <w:rPr>
          <w:rFonts w:ascii="Arial" w:hAnsi="Arial" w:cs="Arial"/>
          <w:sz w:val="22"/>
          <w:szCs w:val="22"/>
        </w:rPr>
        <w:t>Facilities are accredited with the appropriate bodies to meet all quality and safety obligations; and</w:t>
      </w:r>
    </w:p>
    <w:p w:rsidR="00E6681E" w:rsidRPr="003B061F" w:rsidRDefault="00E6681E" w:rsidP="005A38DC">
      <w:pPr>
        <w:widowControl/>
        <w:numPr>
          <w:ilvl w:val="0"/>
          <w:numId w:val="13"/>
        </w:numPr>
        <w:spacing w:before="120"/>
        <w:ind w:right="-1"/>
        <w:rPr>
          <w:rFonts w:ascii="Arial" w:hAnsi="Arial" w:cs="Arial"/>
          <w:sz w:val="22"/>
          <w:szCs w:val="22"/>
        </w:rPr>
      </w:pPr>
      <w:r w:rsidRPr="003B061F">
        <w:rPr>
          <w:rFonts w:ascii="Arial" w:hAnsi="Arial" w:cs="Arial"/>
          <w:sz w:val="22"/>
          <w:szCs w:val="22"/>
        </w:rPr>
        <w:t xml:space="preserve">Transfusion related adverse event information is collected and managed according to jurisdictional requirements. </w:t>
      </w:r>
    </w:p>
    <w:p w:rsidR="00E6681E" w:rsidRPr="003B061F" w:rsidRDefault="00E6681E" w:rsidP="005A38DC">
      <w:pPr>
        <w:spacing w:before="120"/>
        <w:ind w:right="-1"/>
        <w:rPr>
          <w:rFonts w:ascii="Arial" w:hAnsi="Arial" w:cs="Arial"/>
          <w:sz w:val="22"/>
          <w:szCs w:val="22"/>
        </w:rPr>
      </w:pPr>
      <w:r w:rsidRPr="003B061F">
        <w:rPr>
          <w:rFonts w:ascii="Arial" w:hAnsi="Arial" w:cs="Arial"/>
          <w:sz w:val="22"/>
          <w:szCs w:val="22"/>
        </w:rPr>
        <w:t>National blood product planning, management and governance are supported by:</w:t>
      </w:r>
    </w:p>
    <w:p w:rsidR="00E6681E" w:rsidRPr="003B061F" w:rsidRDefault="00E6681E" w:rsidP="005A38DC">
      <w:pPr>
        <w:widowControl/>
        <w:numPr>
          <w:ilvl w:val="0"/>
          <w:numId w:val="15"/>
        </w:numPr>
        <w:spacing w:before="120"/>
        <w:ind w:right="-1"/>
        <w:rPr>
          <w:rFonts w:ascii="Arial" w:hAnsi="Arial" w:cs="Arial"/>
          <w:sz w:val="22"/>
          <w:szCs w:val="22"/>
        </w:rPr>
      </w:pPr>
      <w:r w:rsidRPr="003B061F">
        <w:rPr>
          <w:rFonts w:ascii="Arial" w:hAnsi="Arial" w:cs="Arial"/>
          <w:sz w:val="22"/>
          <w:szCs w:val="22"/>
        </w:rPr>
        <w:t>Health providers having an ordering and receipt verification process in place which provides adequate financial accountability as required by governments; and</w:t>
      </w:r>
    </w:p>
    <w:p w:rsidR="00E6681E" w:rsidRPr="003B061F" w:rsidRDefault="00E6681E" w:rsidP="005A38DC">
      <w:pPr>
        <w:widowControl/>
        <w:numPr>
          <w:ilvl w:val="0"/>
          <w:numId w:val="15"/>
        </w:numPr>
        <w:spacing w:before="120"/>
        <w:ind w:right="-1"/>
        <w:rPr>
          <w:rFonts w:ascii="Arial" w:hAnsi="Arial" w:cs="Arial"/>
          <w:sz w:val="22"/>
          <w:szCs w:val="22"/>
        </w:rPr>
      </w:pPr>
      <w:r w:rsidRPr="003B061F">
        <w:rPr>
          <w:rFonts w:ascii="Arial" w:hAnsi="Arial" w:cs="Arial"/>
          <w:sz w:val="22"/>
          <w:szCs w:val="22"/>
        </w:rPr>
        <w:t>Inventory data is provided on a regular and timely basis to assist in supply and demand planning, especially in times of national shortages.</w:t>
      </w:r>
    </w:p>
    <w:p w:rsidR="00E6681E" w:rsidRPr="003B061F" w:rsidRDefault="00E6681E" w:rsidP="005A38DC">
      <w:pPr>
        <w:ind w:right="-1"/>
        <w:jc w:val="both"/>
        <w:rPr>
          <w:rFonts w:ascii="Arial" w:hAnsi="Arial" w:cs="Arial"/>
          <w:sz w:val="22"/>
          <w:szCs w:val="22"/>
        </w:rPr>
      </w:pPr>
    </w:p>
    <w:p w:rsidR="00E6681E" w:rsidRPr="003B061F" w:rsidRDefault="00E6681E" w:rsidP="005A38DC">
      <w:pPr>
        <w:ind w:right="-1"/>
        <w:jc w:val="both"/>
        <w:rPr>
          <w:rFonts w:ascii="Arial" w:hAnsi="Arial" w:cs="Arial"/>
          <w:sz w:val="22"/>
          <w:szCs w:val="22"/>
        </w:rPr>
      </w:pPr>
      <w:r w:rsidRPr="003B061F">
        <w:rPr>
          <w:rFonts w:ascii="Arial" w:hAnsi="Arial" w:cs="Arial"/>
          <w:sz w:val="22"/>
          <w:szCs w:val="22"/>
        </w:rPr>
        <w:t xml:space="preserve">Governments and the National Blood Authority will continue to manage the Australian blood supply to meet the needs of the community.  Health providers play a vital role in making sure that products are available to meet clinical need, when and where required. The contribution of these health providers to safe and appropriate use, including minimisation of cost and wastage in the supply, is equally important. Ministers look to health providers to increase their efforts in these areas to ensure that </w:t>
      </w:r>
      <w:smartTag w:uri="urn:schemas-microsoft-com:office:smarttags" w:element="country-region">
        <w:smartTag w:uri="urn:schemas-microsoft-com:office:smarttags" w:element="place">
          <w:r w:rsidRPr="003B061F">
            <w:rPr>
              <w:rFonts w:ascii="Arial" w:hAnsi="Arial" w:cs="Arial"/>
              <w:sz w:val="22"/>
              <w:szCs w:val="22"/>
            </w:rPr>
            <w:t>Australia</w:t>
          </w:r>
        </w:smartTag>
      </w:smartTag>
      <w:r w:rsidRPr="003B061F">
        <w:rPr>
          <w:rFonts w:ascii="Arial" w:hAnsi="Arial" w:cs="Arial"/>
          <w:sz w:val="22"/>
          <w:szCs w:val="22"/>
        </w:rPr>
        <w:t xml:space="preserve"> has a sustainable and affordable blood supply into the future.</w:t>
      </w:r>
    </w:p>
    <w:p w:rsidR="00EB1692" w:rsidRDefault="00EB1692" w:rsidP="005A38DC">
      <w:pPr>
        <w:ind w:right="-1"/>
        <w:jc w:val="both"/>
        <w:rPr>
          <w:rFonts w:ascii="Arial" w:hAnsi="Arial" w:cs="Arial"/>
          <w:sz w:val="22"/>
          <w:szCs w:val="22"/>
        </w:rPr>
      </w:pPr>
    </w:p>
    <w:p w:rsidR="00B669CC" w:rsidRPr="003B061F" w:rsidRDefault="00B669CC" w:rsidP="005A38DC">
      <w:pPr>
        <w:ind w:right="-1"/>
        <w:jc w:val="both"/>
        <w:rPr>
          <w:rFonts w:ascii="Arial" w:hAnsi="Arial" w:cs="Arial"/>
          <w:sz w:val="22"/>
          <w:szCs w:val="22"/>
        </w:rPr>
      </w:pPr>
    </w:p>
    <w:p w:rsidR="00EB1692" w:rsidRPr="003B061F" w:rsidRDefault="00227A96" w:rsidP="005A38DC">
      <w:pPr>
        <w:ind w:right="-1"/>
        <w:jc w:val="both"/>
        <w:rPr>
          <w:rFonts w:ascii="Arial" w:hAnsi="Arial" w:cs="Arial"/>
          <w:i/>
          <w:color w:val="000000"/>
          <w:sz w:val="20"/>
        </w:rPr>
      </w:pPr>
      <w:r w:rsidRPr="003B061F">
        <w:rPr>
          <w:rFonts w:ascii="Arial" w:hAnsi="Arial" w:cs="Arial"/>
          <w:i/>
          <w:color w:val="000000"/>
          <w:sz w:val="20"/>
        </w:rPr>
        <w:t xml:space="preserve">Statement Approved by </w:t>
      </w:r>
      <w:r w:rsidR="00556ABF" w:rsidRPr="003B061F">
        <w:rPr>
          <w:rFonts w:ascii="Arial" w:hAnsi="Arial" w:cs="Arial"/>
          <w:i/>
          <w:color w:val="000000"/>
          <w:sz w:val="20"/>
        </w:rPr>
        <w:t xml:space="preserve">the </w:t>
      </w:r>
      <w:r w:rsidRPr="003B061F">
        <w:rPr>
          <w:rFonts w:ascii="Arial" w:hAnsi="Arial" w:cs="Arial"/>
          <w:i/>
          <w:color w:val="000000"/>
          <w:sz w:val="20"/>
        </w:rPr>
        <w:t>Australian Health Ministers’ Conference</w:t>
      </w:r>
      <w:r w:rsidR="003B061F" w:rsidRPr="003B061F">
        <w:rPr>
          <w:rFonts w:ascii="Arial" w:hAnsi="Arial" w:cs="Arial"/>
          <w:i/>
          <w:color w:val="000000"/>
          <w:sz w:val="20"/>
        </w:rPr>
        <w:t>,</w:t>
      </w:r>
      <w:r w:rsidRPr="003B061F">
        <w:rPr>
          <w:rFonts w:ascii="Arial" w:hAnsi="Arial" w:cs="Arial"/>
          <w:i/>
          <w:color w:val="000000"/>
          <w:sz w:val="20"/>
        </w:rPr>
        <w:t xml:space="preserve"> 12 November 2010</w:t>
      </w:r>
      <w:r w:rsidR="003B061F" w:rsidRPr="003B061F">
        <w:rPr>
          <w:rFonts w:ascii="Arial" w:hAnsi="Arial" w:cs="Arial"/>
          <w:i/>
          <w:color w:val="000000"/>
          <w:sz w:val="20"/>
        </w:rPr>
        <w:t>.</w:t>
      </w:r>
    </w:p>
    <w:sectPr w:rsidR="00EB1692" w:rsidRPr="003B061F" w:rsidSect="00D54D03">
      <w:endnotePr>
        <w:numFmt w:val="decimal"/>
      </w:endnotePr>
      <w:pgSz w:w="11906" w:h="16838" w:code="9"/>
      <w:pgMar w:top="720" w:right="720" w:bottom="720" w:left="72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04A" w:rsidRDefault="0071404A">
      <w:r>
        <w:separator/>
      </w:r>
    </w:p>
  </w:endnote>
  <w:endnote w:type="continuationSeparator" w:id="0">
    <w:p w:rsidR="0071404A" w:rsidRDefault="0071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04A" w:rsidRDefault="0071404A">
      <w:r>
        <w:separator/>
      </w:r>
    </w:p>
  </w:footnote>
  <w:footnote w:type="continuationSeparator" w:id="0">
    <w:p w:rsidR="0071404A" w:rsidRDefault="00714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155"/>
    <w:multiLevelType w:val="hybridMultilevel"/>
    <w:tmpl w:val="AE7EB2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C79B9"/>
    <w:multiLevelType w:val="singleLevel"/>
    <w:tmpl w:val="BF4423F8"/>
    <w:lvl w:ilvl="0">
      <w:start w:val="1"/>
      <w:numFmt w:val="bullet"/>
      <w:lvlText w:val="·"/>
      <w:lvlJc w:val="left"/>
      <w:pPr>
        <w:tabs>
          <w:tab w:val="num" w:pos="360"/>
        </w:tabs>
        <w:ind w:left="360" w:hanging="360"/>
      </w:pPr>
      <w:rPr>
        <w:rFonts w:ascii="Lucida Console" w:hAnsi="Lucida Console" w:hint="default"/>
        <w:b w:val="0"/>
        <w:i w:val="0"/>
      </w:rPr>
    </w:lvl>
  </w:abstractNum>
  <w:abstractNum w:abstractNumId="2" w15:restartNumberingAfterBreak="0">
    <w:nsid w:val="0DD73541"/>
    <w:multiLevelType w:val="singleLevel"/>
    <w:tmpl w:val="A768ECEA"/>
    <w:lvl w:ilvl="0">
      <w:start w:val="1"/>
      <w:numFmt w:val="bullet"/>
      <w:lvlText w:val=""/>
      <w:lvlJc w:val="left"/>
      <w:pPr>
        <w:tabs>
          <w:tab w:val="num" w:pos="360"/>
        </w:tabs>
        <w:ind w:left="360" w:hanging="360"/>
      </w:pPr>
      <w:rPr>
        <w:rFonts w:ascii="Symbol" w:hAnsi="Symbol" w:hint="default"/>
        <w:color w:val="auto"/>
        <w:sz w:val="8"/>
      </w:rPr>
    </w:lvl>
  </w:abstractNum>
  <w:abstractNum w:abstractNumId="3" w15:restartNumberingAfterBreak="0">
    <w:nsid w:val="0DE2527A"/>
    <w:multiLevelType w:val="singleLevel"/>
    <w:tmpl w:val="A768ECEA"/>
    <w:lvl w:ilvl="0">
      <w:start w:val="1"/>
      <w:numFmt w:val="bullet"/>
      <w:lvlText w:val=""/>
      <w:lvlJc w:val="left"/>
      <w:pPr>
        <w:tabs>
          <w:tab w:val="num" w:pos="360"/>
        </w:tabs>
        <w:ind w:left="360" w:hanging="360"/>
      </w:pPr>
      <w:rPr>
        <w:rFonts w:ascii="Symbol" w:hAnsi="Symbol" w:hint="default"/>
        <w:color w:val="auto"/>
        <w:sz w:val="8"/>
      </w:rPr>
    </w:lvl>
  </w:abstractNum>
  <w:abstractNum w:abstractNumId="4" w15:restartNumberingAfterBreak="0">
    <w:nsid w:val="118F3C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D4BB9"/>
    <w:multiLevelType w:val="hybridMultilevel"/>
    <w:tmpl w:val="6E78600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5D5FC2"/>
    <w:multiLevelType w:val="singleLevel"/>
    <w:tmpl w:val="A1C6A364"/>
    <w:lvl w:ilvl="0">
      <w:start w:val="1"/>
      <w:numFmt w:val="bullet"/>
      <w:lvlText w:val=""/>
      <w:lvlJc w:val="left"/>
      <w:pPr>
        <w:tabs>
          <w:tab w:val="num" w:pos="360"/>
        </w:tabs>
        <w:ind w:left="360" w:hanging="360"/>
      </w:pPr>
      <w:rPr>
        <w:rFonts w:ascii="Symbol" w:hAnsi="Symbol" w:hint="default"/>
        <w:sz w:val="8"/>
      </w:rPr>
    </w:lvl>
  </w:abstractNum>
  <w:abstractNum w:abstractNumId="7" w15:restartNumberingAfterBreak="0">
    <w:nsid w:val="366F7338"/>
    <w:multiLevelType w:val="singleLevel"/>
    <w:tmpl w:val="A768ECEA"/>
    <w:lvl w:ilvl="0">
      <w:start w:val="1"/>
      <w:numFmt w:val="bullet"/>
      <w:lvlText w:val=""/>
      <w:lvlJc w:val="left"/>
      <w:pPr>
        <w:tabs>
          <w:tab w:val="num" w:pos="360"/>
        </w:tabs>
        <w:ind w:left="360" w:hanging="360"/>
      </w:pPr>
      <w:rPr>
        <w:rFonts w:ascii="Symbol" w:hAnsi="Symbol" w:hint="default"/>
        <w:color w:val="auto"/>
        <w:sz w:val="8"/>
      </w:rPr>
    </w:lvl>
  </w:abstractNum>
  <w:abstractNum w:abstractNumId="8" w15:restartNumberingAfterBreak="0">
    <w:nsid w:val="39467D5C"/>
    <w:multiLevelType w:val="hybridMultilevel"/>
    <w:tmpl w:val="032035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527FD"/>
    <w:multiLevelType w:val="hybridMultilevel"/>
    <w:tmpl w:val="BAE0CF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464A81"/>
    <w:multiLevelType w:val="singleLevel"/>
    <w:tmpl w:val="A768ECEA"/>
    <w:lvl w:ilvl="0">
      <w:start w:val="1"/>
      <w:numFmt w:val="bullet"/>
      <w:lvlText w:val=""/>
      <w:lvlJc w:val="left"/>
      <w:pPr>
        <w:tabs>
          <w:tab w:val="num" w:pos="360"/>
        </w:tabs>
        <w:ind w:left="360" w:hanging="360"/>
      </w:pPr>
      <w:rPr>
        <w:rFonts w:ascii="Symbol" w:hAnsi="Symbol" w:hint="default"/>
        <w:color w:val="auto"/>
        <w:sz w:val="8"/>
      </w:rPr>
    </w:lvl>
  </w:abstractNum>
  <w:abstractNum w:abstractNumId="11" w15:restartNumberingAfterBreak="0">
    <w:nsid w:val="49551330"/>
    <w:multiLevelType w:val="hybridMultilevel"/>
    <w:tmpl w:val="19BA33FE"/>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1232C0"/>
    <w:multiLevelType w:val="singleLevel"/>
    <w:tmpl w:val="A1C6A364"/>
    <w:lvl w:ilvl="0">
      <w:start w:val="1"/>
      <w:numFmt w:val="bullet"/>
      <w:lvlText w:val=""/>
      <w:lvlJc w:val="left"/>
      <w:pPr>
        <w:tabs>
          <w:tab w:val="num" w:pos="360"/>
        </w:tabs>
        <w:ind w:left="360" w:hanging="360"/>
      </w:pPr>
      <w:rPr>
        <w:rFonts w:ascii="Symbol" w:hAnsi="Symbol" w:hint="default"/>
        <w:sz w:val="8"/>
      </w:rPr>
    </w:lvl>
  </w:abstractNum>
  <w:abstractNum w:abstractNumId="13" w15:restartNumberingAfterBreak="0">
    <w:nsid w:val="55C76891"/>
    <w:multiLevelType w:val="singleLevel"/>
    <w:tmpl w:val="A768ECEA"/>
    <w:lvl w:ilvl="0">
      <w:start w:val="1"/>
      <w:numFmt w:val="bullet"/>
      <w:lvlText w:val=""/>
      <w:lvlJc w:val="left"/>
      <w:pPr>
        <w:tabs>
          <w:tab w:val="num" w:pos="360"/>
        </w:tabs>
        <w:ind w:left="360" w:hanging="360"/>
      </w:pPr>
      <w:rPr>
        <w:rFonts w:ascii="Symbol" w:hAnsi="Symbol" w:hint="default"/>
        <w:color w:val="auto"/>
        <w:sz w:val="8"/>
      </w:rPr>
    </w:lvl>
  </w:abstractNum>
  <w:abstractNum w:abstractNumId="14" w15:restartNumberingAfterBreak="0">
    <w:nsid w:val="57DA0943"/>
    <w:multiLevelType w:val="hybridMultilevel"/>
    <w:tmpl w:val="F4B2072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4D46E8E"/>
    <w:multiLevelType w:val="hybridMultilevel"/>
    <w:tmpl w:val="15B072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6"/>
  </w:num>
  <w:num w:numId="4">
    <w:abstractNumId w:val="10"/>
  </w:num>
  <w:num w:numId="5">
    <w:abstractNumId w:val="3"/>
  </w:num>
  <w:num w:numId="6">
    <w:abstractNumId w:val="13"/>
  </w:num>
  <w:num w:numId="7">
    <w:abstractNumId w:val="2"/>
  </w:num>
  <w:num w:numId="8">
    <w:abstractNumId w:val="7"/>
  </w:num>
  <w:num w:numId="9">
    <w:abstractNumId w:val="1"/>
  </w:num>
  <w:num w:numId="10">
    <w:abstractNumId w:val="11"/>
  </w:num>
  <w:num w:numId="11">
    <w:abstractNumId w:val="15"/>
  </w:num>
  <w:num w:numId="12">
    <w:abstractNumId w:val="9"/>
  </w:num>
  <w:num w:numId="13">
    <w:abstractNumId w:val="5"/>
  </w:num>
  <w:num w:numId="14">
    <w:abstractNumId w:val="1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719"/>
    <w:rsid w:val="00033492"/>
    <w:rsid w:val="00041915"/>
    <w:rsid w:val="0007606F"/>
    <w:rsid w:val="00077158"/>
    <w:rsid w:val="00080A6A"/>
    <w:rsid w:val="00091FB4"/>
    <w:rsid w:val="000A065C"/>
    <w:rsid w:val="000B2E81"/>
    <w:rsid w:val="000D1906"/>
    <w:rsid w:val="000F50C9"/>
    <w:rsid w:val="00112A8B"/>
    <w:rsid w:val="0013265A"/>
    <w:rsid w:val="00190D42"/>
    <w:rsid w:val="001A3DD0"/>
    <w:rsid w:val="001D4593"/>
    <w:rsid w:val="00212650"/>
    <w:rsid w:val="00227A96"/>
    <w:rsid w:val="00240322"/>
    <w:rsid w:val="00246C3B"/>
    <w:rsid w:val="00253B90"/>
    <w:rsid w:val="00261562"/>
    <w:rsid w:val="002B7531"/>
    <w:rsid w:val="002E514E"/>
    <w:rsid w:val="002F0719"/>
    <w:rsid w:val="00332210"/>
    <w:rsid w:val="00392731"/>
    <w:rsid w:val="003A33B7"/>
    <w:rsid w:val="003B061F"/>
    <w:rsid w:val="003F7E9D"/>
    <w:rsid w:val="00403C2A"/>
    <w:rsid w:val="00424013"/>
    <w:rsid w:val="0045675D"/>
    <w:rsid w:val="00460C4C"/>
    <w:rsid w:val="00464395"/>
    <w:rsid w:val="00470AD4"/>
    <w:rsid w:val="004935EB"/>
    <w:rsid w:val="00496144"/>
    <w:rsid w:val="004D4B46"/>
    <w:rsid w:val="004D72A8"/>
    <w:rsid w:val="004E31A1"/>
    <w:rsid w:val="004F7B67"/>
    <w:rsid w:val="005565C9"/>
    <w:rsid w:val="00556ABF"/>
    <w:rsid w:val="0057072B"/>
    <w:rsid w:val="00587863"/>
    <w:rsid w:val="00591238"/>
    <w:rsid w:val="005A3372"/>
    <w:rsid w:val="005A38DC"/>
    <w:rsid w:val="005B0C57"/>
    <w:rsid w:val="005B318E"/>
    <w:rsid w:val="005E6386"/>
    <w:rsid w:val="00616E8F"/>
    <w:rsid w:val="006326C3"/>
    <w:rsid w:val="0064269B"/>
    <w:rsid w:val="00652D02"/>
    <w:rsid w:val="0066492D"/>
    <w:rsid w:val="00695E87"/>
    <w:rsid w:val="0069670A"/>
    <w:rsid w:val="006D0F09"/>
    <w:rsid w:val="006F76F6"/>
    <w:rsid w:val="0071404A"/>
    <w:rsid w:val="007142F1"/>
    <w:rsid w:val="00731FF0"/>
    <w:rsid w:val="00734B98"/>
    <w:rsid w:val="007A5D32"/>
    <w:rsid w:val="007B73F1"/>
    <w:rsid w:val="00806765"/>
    <w:rsid w:val="00814388"/>
    <w:rsid w:val="008208B6"/>
    <w:rsid w:val="00820D65"/>
    <w:rsid w:val="00836683"/>
    <w:rsid w:val="00885333"/>
    <w:rsid w:val="00894B2C"/>
    <w:rsid w:val="008B3F9F"/>
    <w:rsid w:val="008D6E5A"/>
    <w:rsid w:val="009277EE"/>
    <w:rsid w:val="00933E9B"/>
    <w:rsid w:val="009738CA"/>
    <w:rsid w:val="009E3B13"/>
    <w:rsid w:val="00A045EA"/>
    <w:rsid w:val="00A352B0"/>
    <w:rsid w:val="00A75BDD"/>
    <w:rsid w:val="00A841A3"/>
    <w:rsid w:val="00A879F4"/>
    <w:rsid w:val="00AA2F05"/>
    <w:rsid w:val="00AB2A7F"/>
    <w:rsid w:val="00AD040A"/>
    <w:rsid w:val="00AD4E48"/>
    <w:rsid w:val="00AE6325"/>
    <w:rsid w:val="00B026FB"/>
    <w:rsid w:val="00B05AEA"/>
    <w:rsid w:val="00B32704"/>
    <w:rsid w:val="00B669CC"/>
    <w:rsid w:val="00BC516B"/>
    <w:rsid w:val="00C029C4"/>
    <w:rsid w:val="00C14DB8"/>
    <w:rsid w:val="00C23C14"/>
    <w:rsid w:val="00C55EB2"/>
    <w:rsid w:val="00C65AC6"/>
    <w:rsid w:val="00C701EE"/>
    <w:rsid w:val="00C85289"/>
    <w:rsid w:val="00CB35AC"/>
    <w:rsid w:val="00CD0D35"/>
    <w:rsid w:val="00CD5EA4"/>
    <w:rsid w:val="00D175B5"/>
    <w:rsid w:val="00D2040A"/>
    <w:rsid w:val="00D47E89"/>
    <w:rsid w:val="00D54D03"/>
    <w:rsid w:val="00D55FC3"/>
    <w:rsid w:val="00D65984"/>
    <w:rsid w:val="00D71091"/>
    <w:rsid w:val="00D71CDB"/>
    <w:rsid w:val="00D76EB5"/>
    <w:rsid w:val="00DC264B"/>
    <w:rsid w:val="00E155E1"/>
    <w:rsid w:val="00E4198E"/>
    <w:rsid w:val="00E57967"/>
    <w:rsid w:val="00E6681E"/>
    <w:rsid w:val="00E83279"/>
    <w:rsid w:val="00EB1692"/>
    <w:rsid w:val="00EB4C74"/>
    <w:rsid w:val="00EC0DFA"/>
    <w:rsid w:val="00ED2E88"/>
    <w:rsid w:val="00EE728C"/>
    <w:rsid w:val="00F5714B"/>
    <w:rsid w:val="00F83E2B"/>
    <w:rsid w:val="00F86745"/>
    <w:rsid w:val="00FA4789"/>
    <w:rsid w:val="00FB0A60"/>
    <w:rsid w:val="00FF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efaultImageDpi w14:val="0"/>
  <w15:chartTrackingRefBased/>
  <w15:docId w15:val="{B237A60D-D64B-468B-ABC6-41E00257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AU" w:eastAsia="en-US"/>
    </w:rPr>
  </w:style>
  <w:style w:type="paragraph" w:styleId="Heading1">
    <w:name w:val="heading 1"/>
    <w:basedOn w:val="Normal"/>
    <w:next w:val="Normal"/>
    <w:link w:val="Heading1Char"/>
    <w:uiPriority w:val="9"/>
    <w:qFormat/>
    <w:pPr>
      <w:keepNext/>
      <w:spacing w:before="240"/>
      <w:outlineLvl w:val="0"/>
    </w:pPr>
    <w:rPr>
      <w:rFonts w:ascii="Arial" w:hAnsi="Arial"/>
      <w:b/>
      <w:sz w:val="28"/>
    </w:rPr>
  </w:style>
  <w:style w:type="paragraph" w:styleId="Heading2">
    <w:name w:val="heading 2"/>
    <w:basedOn w:val="Normal"/>
    <w:next w:val="Normal"/>
    <w:link w:val="Heading2Char"/>
    <w:uiPriority w:val="9"/>
    <w:qFormat/>
    <w:pPr>
      <w:keepNext/>
      <w:tabs>
        <w:tab w:val="left" w:pos="-1440"/>
        <w:tab w:val="left" w:pos="567"/>
      </w:tabs>
      <w:spacing w:before="240" w:after="120"/>
      <w:ind w:left="567" w:hanging="567"/>
      <w:outlineLvl w:val="1"/>
    </w:pPr>
    <w:rPr>
      <w:rFonts w:ascii="Arial" w:hAnsi="Arial"/>
      <w:b/>
      <w:i/>
    </w:rPr>
  </w:style>
  <w:style w:type="paragraph" w:styleId="Heading3">
    <w:name w:val="heading 3"/>
    <w:basedOn w:val="Normal"/>
    <w:next w:val="Normal"/>
    <w:link w:val="Heading3Char"/>
    <w:uiPriority w:val="9"/>
    <w:qFormat/>
    <w:pPr>
      <w:keepNext/>
      <w:spacing w:before="240" w:after="120"/>
      <w:outlineLvl w:val="2"/>
    </w:pPr>
    <w:rPr>
      <w:rFonts w:ascii="Arial" w:hAnsi="Arial"/>
    </w:rPr>
  </w:style>
  <w:style w:type="paragraph" w:styleId="Heading4">
    <w:name w:val="heading 4"/>
    <w:basedOn w:val="Normal"/>
    <w:next w:val="Normal"/>
    <w:link w:val="Heading4Char"/>
    <w:uiPriority w:val="9"/>
    <w:qFormat/>
    <w:pPr>
      <w:keepNext/>
      <w:outlineLvl w:val="3"/>
    </w:pPr>
    <w:rPr>
      <w:b/>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eastAsia="en-US"/>
    </w:rPr>
  </w:style>
  <w:style w:type="character" w:styleId="FootnoteReference">
    <w:name w:val="footnote reference"/>
    <w:uiPriority w:val="99"/>
    <w:semiHidden/>
  </w:style>
  <w:style w:type="paragraph" w:styleId="Title">
    <w:name w:val="Title"/>
    <w:basedOn w:val="Normal"/>
    <w:link w:val="TitleChar"/>
    <w:uiPriority w:val="10"/>
    <w:qFormat/>
    <w:pPr>
      <w:spacing w:before="240" w:after="120"/>
      <w:jc w:val="center"/>
      <w:outlineLvl w:val="0"/>
    </w:pPr>
    <w:rPr>
      <w:rFonts w:ascii="Arial" w:hAnsi="Arial"/>
      <w:b/>
      <w:sz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link w:val="BodyTextIndent"/>
    <w:uiPriority w:val="99"/>
    <w:semiHidden/>
    <w:rPr>
      <w:sz w:val="24"/>
      <w:lang w:eastAsia="en-US"/>
    </w:rPr>
  </w:style>
  <w:style w:type="paragraph" w:styleId="BodyTextIndent2">
    <w:name w:val="Body Text Indent 2"/>
    <w:basedOn w:val="Normal"/>
    <w:link w:val="BodyTextIndent2Char"/>
    <w:uiPriority w:val="99"/>
    <w:pPr>
      <w:ind w:left="567" w:hanging="567"/>
    </w:pPr>
  </w:style>
  <w:style w:type="character" w:customStyle="1" w:styleId="BodyTextIndent2Char">
    <w:name w:val="Body Text Indent 2 Char"/>
    <w:link w:val="BodyTextIndent2"/>
    <w:uiPriority w:val="99"/>
    <w:semiHidden/>
    <w:rPr>
      <w:sz w:val="24"/>
      <w:lang w:eastAsia="en-US"/>
    </w:rPr>
  </w:style>
  <w:style w:type="paragraph" w:styleId="BodyTextIndent3">
    <w:name w:val="Body Text Indent 3"/>
    <w:basedOn w:val="Normal"/>
    <w:link w:val="BodyTextIndent3Char"/>
    <w:uiPriority w:val="99"/>
    <w:pPr>
      <w:ind w:left="426"/>
    </w:pPr>
  </w:style>
  <w:style w:type="character" w:customStyle="1" w:styleId="BodyTextIndent3Char">
    <w:name w:val="Body Text Indent 3 Char"/>
    <w:link w:val="BodyTextIndent3"/>
    <w:uiPriority w:val="99"/>
    <w:semiHidden/>
    <w:rPr>
      <w:sz w:val="16"/>
      <w:szCs w:val="1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sz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sz w:val="24"/>
      <w:lang w:eastAsia="en-US"/>
    </w:rPr>
  </w:style>
  <w:style w:type="character" w:styleId="PageNumber">
    <w:name w:val="page number"/>
    <w:uiPriority w:val="99"/>
    <w:rPr>
      <w:rFonts w:cs="Times New Roman"/>
    </w:rPr>
  </w:style>
  <w:style w:type="character" w:styleId="Emphasis">
    <w:name w:val="Emphasis"/>
    <w:uiPriority w:val="20"/>
    <w:qFormat/>
    <w:rsid w:val="005565C9"/>
    <w:rPr>
      <w:rFonts w:cs="Times New Roman"/>
      <w:i/>
      <w:iCs/>
    </w:rPr>
  </w:style>
  <w:style w:type="paragraph" w:styleId="BalloonText">
    <w:name w:val="Balloon Text"/>
    <w:basedOn w:val="Normal"/>
    <w:link w:val="BalloonTextChar"/>
    <w:uiPriority w:val="99"/>
    <w:semiHidden/>
    <w:rsid w:val="00112A8B"/>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rsid w:val="002B7531"/>
    <w:rPr>
      <w:rFonts w:cs="Times New Roman"/>
      <w:sz w:val="16"/>
      <w:szCs w:val="16"/>
    </w:rPr>
  </w:style>
  <w:style w:type="paragraph" w:styleId="CommentText">
    <w:name w:val="annotation text"/>
    <w:basedOn w:val="Normal"/>
    <w:link w:val="CommentTextChar"/>
    <w:uiPriority w:val="99"/>
    <w:semiHidden/>
    <w:rsid w:val="002B7531"/>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rsid w:val="002B7531"/>
    <w:rPr>
      <w:b/>
      <w:bCs/>
    </w:rPr>
  </w:style>
  <w:style w:type="character" w:customStyle="1" w:styleId="CommentSubjectChar">
    <w:name w:val="Comment Subject Char"/>
    <w:link w:val="CommentSubject"/>
    <w:uiPriority w:val="99"/>
    <w:semiHidden/>
    <w:rPr>
      <w:b/>
      <w:bCs/>
      <w:lang w:eastAsia="en-US"/>
    </w:rPr>
  </w:style>
  <w:style w:type="character" w:styleId="Hyperlink">
    <w:name w:val="Hyperlink"/>
    <w:uiPriority w:val="99"/>
    <w:rsid w:val="00AE63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C5DE-A85C-4DE6-A54F-EA0D9B7E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Community Services Ministers' Conference</vt:lpstr>
    </vt:vector>
  </TitlesOfParts>
  <Company>HFS</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Ministers' Conference</dc:title>
  <dc:subject/>
  <dc:creator>Younlu</dc:creator>
  <cp:keywords/>
  <cp:lastModifiedBy>cloudconvert_6</cp:lastModifiedBy>
  <cp:revision>2</cp:revision>
  <cp:lastPrinted>2011-05-04T07:42:00Z</cp:lastPrinted>
  <dcterms:created xsi:type="dcterms:W3CDTF">2024-03-28T08:52:00Z</dcterms:created>
  <dcterms:modified xsi:type="dcterms:W3CDTF">2024-03-28T08:52:00Z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