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01" w:rsidRPr="00004001" w:rsidRDefault="00004001" w:rsidP="00004001">
      <w:pPr>
        <w:spacing w:before="360" w:after="120"/>
        <w:outlineLvl w:val="1"/>
        <w:rPr>
          <w:rFonts w:ascii="TitilliumText25L" w:hAnsi="TitilliumText25L" w:cs="Arial" w:hint="eastAsia"/>
          <w:sz w:val="36"/>
          <w:szCs w:val="36"/>
        </w:rPr>
      </w:pPr>
      <w:bookmarkStart w:id="0" w:name="_Toc366850077"/>
      <w:bookmarkStart w:id="1" w:name="_GoBack"/>
      <w:bookmarkEnd w:id="1"/>
      <w:r w:rsidRPr="00004001">
        <w:rPr>
          <w:rFonts w:ascii="TitilliumText25L" w:hAnsi="TitilliumText25L" w:cs="Arial"/>
          <w:sz w:val="36"/>
          <w:szCs w:val="36"/>
        </w:rPr>
        <w:t xml:space="preserve">Appendix </w:t>
      </w:r>
      <w:proofErr w:type="spellStart"/>
      <w:r w:rsidRPr="00004001">
        <w:rPr>
          <w:rFonts w:ascii="TitilliumText25L" w:hAnsi="TitilliumText25L" w:cs="Arial"/>
          <w:sz w:val="36"/>
          <w:szCs w:val="36"/>
        </w:rPr>
        <w:t>IIb</w:t>
      </w:r>
      <w:bookmarkEnd w:id="0"/>
      <w:proofErr w:type="spellEnd"/>
    </w:p>
    <w:p w:rsidR="00004001" w:rsidRPr="00004001" w:rsidRDefault="00004001" w:rsidP="00004001">
      <w:pPr>
        <w:spacing w:line="276" w:lineRule="auto"/>
        <w:rPr>
          <w:rFonts w:ascii="TitilliumText25L" w:hAnsi="TitilliumText25L" w:hint="eastAsia"/>
          <w:color w:val="C60C30"/>
          <w:lang w:eastAsia="en-AU"/>
        </w:rPr>
      </w:pPr>
      <w:r w:rsidRPr="00004001">
        <w:rPr>
          <w:rFonts w:ascii="TitilliumText25L" w:hAnsi="TitilliumText25L" w:cs="Arial"/>
          <w:b/>
          <w:color w:val="C60C30"/>
          <w:sz w:val="28"/>
          <w:szCs w:val="28"/>
          <w:lang w:eastAsia="en-AU"/>
        </w:rPr>
        <w:t xml:space="preserve">Surgical Procedures – an Australian experience </w:t>
      </w:r>
    </w:p>
    <w:p w:rsidR="00004001" w:rsidRPr="00004001" w:rsidRDefault="00004001" w:rsidP="00004001">
      <w:pPr>
        <w:spacing w:line="276" w:lineRule="auto"/>
        <w:rPr>
          <w:rFonts w:ascii="TitilliumText25L" w:hAnsi="TitilliumText25L" w:hint="eastAsia"/>
          <w:lang w:eastAsia="en-AU"/>
        </w:rPr>
      </w:pPr>
      <w:r w:rsidRPr="00004001">
        <w:rPr>
          <w:rFonts w:ascii="TitilliumText25L" w:hAnsi="TitilliumText25L" w:cs="Arial"/>
          <w:b/>
          <w:lang w:eastAsia="en-AU"/>
        </w:rPr>
        <w:t>Prospective Audit of current use of Intraoperative Cell Salvage at the Royal Brisbane and Women’s Hospital (RBWH), Brisbane, Australia – May to October 2012</w:t>
      </w:r>
      <w:r w:rsidRPr="00004001">
        <w:rPr>
          <w:rFonts w:ascii="TitilliumText25L" w:hAnsi="TitilliumText25L"/>
          <w:lang w:eastAsia="en-AU"/>
        </w:rPr>
        <w:t xml:space="preserve">. </w:t>
      </w:r>
    </w:p>
    <w:p w:rsidR="00004001" w:rsidRPr="00004001" w:rsidRDefault="00004001" w:rsidP="00004001">
      <w:pPr>
        <w:numPr>
          <w:ilvl w:val="0"/>
          <w:numId w:val="6"/>
        </w:numPr>
        <w:spacing w:line="276" w:lineRule="auto"/>
        <w:contextualSpacing/>
        <w:rPr>
          <w:rFonts w:ascii="TitilliumText25L" w:hAnsi="TitilliumText25L" w:hint="eastAsia"/>
          <w:lang w:eastAsia="en-AU"/>
        </w:rPr>
      </w:pPr>
      <w:r w:rsidRPr="00004001">
        <w:rPr>
          <w:rFonts w:ascii="TitilliumText25L" w:hAnsi="TitilliumText25L"/>
          <w:lang w:eastAsia="en-AU"/>
        </w:rPr>
        <w:t>Procedures with most benefit from prospective observational study – RBWH: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79"/>
        <w:gridCol w:w="2806"/>
      </w:tblGrid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u w:val="single"/>
                <w:lang w:eastAsia="en-AU"/>
              </w:rPr>
            </w:pPr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>Surgical speciality</w:t>
            </w: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u w:val="single"/>
                <w:lang w:eastAsia="en-AU"/>
              </w:rPr>
            </w:pPr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>Type of Procedure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u w:val="single"/>
                <w:lang w:eastAsia="en-AU"/>
              </w:rPr>
            </w:pPr>
            <w:proofErr w:type="spellStart"/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>Autotransfused</w:t>
            </w:r>
            <w:proofErr w:type="spellEnd"/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 xml:space="preserve"> units per case on average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  <w:r w:rsidRPr="00004001">
              <w:rPr>
                <w:rFonts w:ascii="TitilliumText25L" w:hAnsi="TitilliumText25L"/>
                <w:b/>
                <w:lang w:eastAsia="en-AU"/>
              </w:rPr>
              <w:t>General Surgery</w:t>
            </w: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Laparotomy +Liver laceration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2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  <w:r w:rsidRPr="00004001">
              <w:rPr>
                <w:rFonts w:ascii="TitilliumText25L" w:hAnsi="TitilliumText25L"/>
                <w:b/>
                <w:lang w:eastAsia="en-AU"/>
              </w:rPr>
              <w:t>Gynaecology</w:t>
            </w: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Uterine Myomectomy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4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Total abdominal hysterectomy (TAH)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  <w:r w:rsidRPr="00004001">
              <w:rPr>
                <w:rFonts w:ascii="TitilliumText25L" w:hAnsi="TitilliumText25L"/>
                <w:b/>
                <w:lang w:eastAsia="en-AU"/>
              </w:rPr>
              <w:t>Obstetrics</w:t>
            </w: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 xml:space="preserve">Lower section caesarean section (LSCS) for placenta </w:t>
            </w:r>
            <w:proofErr w:type="spellStart"/>
            <w:r w:rsidRPr="00004001">
              <w:rPr>
                <w:rFonts w:ascii="TitilliumText25L" w:hAnsi="TitilliumText25L"/>
                <w:lang w:eastAsia="en-AU"/>
              </w:rPr>
              <w:t>percreta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3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 xml:space="preserve">LSCS for Placenta </w:t>
            </w:r>
            <w:proofErr w:type="spellStart"/>
            <w:r w:rsidRPr="00004001">
              <w:rPr>
                <w:rFonts w:ascii="TitilliumText25L" w:hAnsi="TitilliumText25L"/>
                <w:lang w:eastAsia="en-AU"/>
              </w:rPr>
              <w:t>accreta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  <w:r w:rsidRPr="00004001">
              <w:rPr>
                <w:rFonts w:ascii="TitilliumText25L" w:hAnsi="TitilliumText25L"/>
                <w:b/>
                <w:lang w:eastAsia="en-AU"/>
              </w:rPr>
              <w:t>Orthopaedics</w:t>
            </w: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Multilevel (&gt;3 level) posterior fusion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  <w:r w:rsidRPr="00004001">
              <w:rPr>
                <w:rFonts w:ascii="TitilliumText25L" w:hAnsi="TitilliumText25L"/>
                <w:b/>
                <w:lang w:eastAsia="en-AU"/>
              </w:rPr>
              <w:t>Urology</w:t>
            </w: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Radical Prostatectomy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1.85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lang w:eastAsia="en-AU"/>
              </w:rPr>
            </w:pPr>
            <w:r w:rsidRPr="00004001">
              <w:rPr>
                <w:rFonts w:ascii="TitilliumText25L" w:hAnsi="TitilliumText25L"/>
                <w:b/>
                <w:lang w:eastAsia="en-AU"/>
              </w:rPr>
              <w:t>Vascular</w:t>
            </w: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Abdominal aortic aneurism repair (AAA) elective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1.79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AAA ruptured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2</w:t>
            </w:r>
          </w:p>
        </w:tc>
      </w:tr>
      <w:tr w:rsidR="00004001" w:rsidRPr="00004001" w:rsidTr="00420E8E">
        <w:tc>
          <w:tcPr>
            <w:tcW w:w="2843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7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Re-implantation of renal artery</w:t>
            </w:r>
          </w:p>
        </w:tc>
        <w:tc>
          <w:tcPr>
            <w:tcW w:w="2806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4</w:t>
            </w:r>
          </w:p>
        </w:tc>
      </w:tr>
    </w:tbl>
    <w:p w:rsidR="00004001" w:rsidRPr="00004001" w:rsidRDefault="00004001" w:rsidP="00004001">
      <w:pPr>
        <w:spacing w:line="276" w:lineRule="auto"/>
        <w:rPr>
          <w:rFonts w:ascii="TitilliumText25L" w:hAnsi="TitilliumText25L" w:hint="eastAsia"/>
          <w:lang w:eastAsia="en-AU"/>
        </w:rPr>
      </w:pPr>
      <w:r w:rsidRPr="00004001">
        <w:rPr>
          <w:rFonts w:ascii="TitilliumText25L" w:hAnsi="TitilliumText25L"/>
          <w:lang w:eastAsia="en-AU"/>
        </w:rPr>
        <w:br w:type="page"/>
      </w:r>
    </w:p>
    <w:p w:rsidR="00004001" w:rsidRPr="00004001" w:rsidRDefault="00004001" w:rsidP="00004001">
      <w:pPr>
        <w:numPr>
          <w:ilvl w:val="0"/>
          <w:numId w:val="6"/>
        </w:numPr>
        <w:spacing w:line="276" w:lineRule="auto"/>
        <w:ind w:right="-613"/>
        <w:contextualSpacing/>
        <w:rPr>
          <w:rFonts w:ascii="TitilliumText25L" w:hAnsi="TitilliumText25L" w:hint="eastAsia"/>
          <w:lang w:eastAsia="en-AU"/>
        </w:rPr>
      </w:pPr>
      <w:r w:rsidRPr="00004001">
        <w:rPr>
          <w:rFonts w:ascii="TitilliumText25L" w:hAnsi="TitilliumText25L"/>
          <w:lang w:eastAsia="en-AU"/>
        </w:rPr>
        <w:lastRenderedPageBreak/>
        <w:t>Procedures with lower but still significant, potential benefit from prospective observational study – RBWH: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851"/>
        <w:gridCol w:w="2829"/>
      </w:tblGrid>
      <w:tr w:rsidR="00004001" w:rsidRPr="00004001" w:rsidTr="00420E8E">
        <w:tc>
          <w:tcPr>
            <w:tcW w:w="2848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u w:val="single"/>
                <w:lang w:eastAsia="en-AU"/>
              </w:rPr>
            </w:pPr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>Surgical speciality</w:t>
            </w:r>
          </w:p>
        </w:tc>
        <w:tc>
          <w:tcPr>
            <w:tcW w:w="2851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u w:val="single"/>
                <w:lang w:eastAsia="en-AU"/>
              </w:rPr>
            </w:pPr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>Type of Procedure</w:t>
            </w:r>
          </w:p>
        </w:tc>
        <w:tc>
          <w:tcPr>
            <w:tcW w:w="282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u w:val="single"/>
                <w:lang w:eastAsia="en-AU"/>
              </w:rPr>
            </w:pPr>
            <w:proofErr w:type="spellStart"/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>Autotransfused</w:t>
            </w:r>
            <w:proofErr w:type="spellEnd"/>
            <w:r w:rsidRPr="00004001">
              <w:rPr>
                <w:rFonts w:ascii="TitilliumText25L" w:hAnsi="TitilliumText25L"/>
                <w:b/>
                <w:u w:val="single"/>
                <w:lang w:eastAsia="en-AU"/>
              </w:rPr>
              <w:t xml:space="preserve"> units per case on average</w:t>
            </w:r>
          </w:p>
        </w:tc>
      </w:tr>
      <w:tr w:rsidR="00004001" w:rsidRPr="00004001" w:rsidTr="00420E8E">
        <w:tc>
          <w:tcPr>
            <w:tcW w:w="2848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Orthopaedic</w:t>
            </w:r>
          </w:p>
        </w:tc>
        <w:tc>
          <w:tcPr>
            <w:tcW w:w="2851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2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8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51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Total Hip replacement</w:t>
            </w:r>
          </w:p>
        </w:tc>
        <w:tc>
          <w:tcPr>
            <w:tcW w:w="282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0.33</w:t>
            </w:r>
          </w:p>
        </w:tc>
      </w:tr>
      <w:tr w:rsidR="00004001" w:rsidRPr="00004001" w:rsidTr="00420E8E">
        <w:tc>
          <w:tcPr>
            <w:tcW w:w="2848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51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Total knee replacement</w:t>
            </w:r>
          </w:p>
        </w:tc>
        <w:tc>
          <w:tcPr>
            <w:tcW w:w="282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0.25</w:t>
            </w:r>
          </w:p>
        </w:tc>
      </w:tr>
      <w:tr w:rsidR="00004001" w:rsidRPr="00004001" w:rsidTr="00420E8E">
        <w:tc>
          <w:tcPr>
            <w:tcW w:w="2848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 xml:space="preserve">Vascular </w:t>
            </w:r>
          </w:p>
        </w:tc>
        <w:tc>
          <w:tcPr>
            <w:tcW w:w="2851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2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  <w:tr w:rsidR="00004001" w:rsidRPr="00004001" w:rsidTr="00420E8E">
        <w:tc>
          <w:tcPr>
            <w:tcW w:w="2848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2851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proofErr w:type="spellStart"/>
            <w:r w:rsidRPr="00004001">
              <w:rPr>
                <w:rFonts w:ascii="TitilliumText25L" w:hAnsi="TitilliumText25L"/>
                <w:lang w:eastAsia="en-AU"/>
              </w:rPr>
              <w:t>Aorto-bifemoral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0.56</w:t>
            </w:r>
          </w:p>
        </w:tc>
      </w:tr>
    </w:tbl>
    <w:p w:rsidR="00004001" w:rsidRPr="00004001" w:rsidRDefault="00004001" w:rsidP="00004001">
      <w:pPr>
        <w:spacing w:line="276" w:lineRule="auto"/>
        <w:rPr>
          <w:rFonts w:ascii="TitilliumText25L" w:hAnsi="TitilliumText25L" w:hint="eastAsia"/>
          <w:lang w:eastAsia="en-AU"/>
        </w:rPr>
      </w:pPr>
    </w:p>
    <w:p w:rsidR="00004001" w:rsidRPr="00004001" w:rsidRDefault="00004001" w:rsidP="00004001">
      <w:pPr>
        <w:numPr>
          <w:ilvl w:val="0"/>
          <w:numId w:val="6"/>
        </w:numPr>
        <w:spacing w:line="276" w:lineRule="auto"/>
        <w:contextualSpacing/>
        <w:rPr>
          <w:rFonts w:ascii="TitilliumText25L" w:hAnsi="TitilliumText25L" w:hint="eastAsia"/>
          <w:lang w:eastAsia="en-AU"/>
        </w:rPr>
      </w:pPr>
      <w:r w:rsidRPr="00004001">
        <w:rPr>
          <w:rFonts w:ascii="TitilliumText25L" w:hAnsi="TitilliumText25L"/>
          <w:lang w:eastAsia="en-AU"/>
        </w:rPr>
        <w:t>Procedures that showed less cost-benefit  from prospective observational – RBWH:</w:t>
      </w:r>
    </w:p>
    <w:p w:rsidR="00004001" w:rsidRPr="00004001" w:rsidRDefault="00004001" w:rsidP="00004001">
      <w:pPr>
        <w:spacing w:line="276" w:lineRule="auto"/>
        <w:ind w:left="360"/>
        <w:rPr>
          <w:rFonts w:ascii="TitilliumText25L" w:hAnsi="TitilliumText25L" w:hint="eastAsia"/>
          <w:lang w:eastAsia="en-AU"/>
        </w:rPr>
      </w:pPr>
      <w:r w:rsidRPr="00004001">
        <w:rPr>
          <w:rFonts w:ascii="TitilliumText25L" w:hAnsi="TitilliumText25L"/>
          <w:lang w:eastAsia="en-AU"/>
        </w:rPr>
        <w:t>Generally significant blood loss could be expected from these procedures, however in the RBWH study it was found that these procedures did not present significant ICS cost- benefit.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50"/>
      </w:tblGrid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Sub-speciality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Procedure type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General Surgery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Trauma laparotomy Exploration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Courier New" w:hAnsi="Courier New" w:cs="Courier New"/>
                <w:lang w:eastAsia="en-AU"/>
              </w:rPr>
              <w:t> 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Splenectomy*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Gynaecology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 xml:space="preserve">Total abdominal hysterectomy and bilateral </w:t>
            </w:r>
            <w:proofErr w:type="spellStart"/>
            <w:r w:rsidRPr="00004001">
              <w:rPr>
                <w:rFonts w:ascii="TitilliumText25L" w:hAnsi="TitilliumText25L"/>
                <w:lang w:eastAsia="en-AU"/>
              </w:rPr>
              <w:t>salpingo</w:t>
            </w:r>
            <w:proofErr w:type="spellEnd"/>
            <w:r w:rsidRPr="00004001">
              <w:rPr>
                <w:rFonts w:ascii="TitilliumText25L" w:hAnsi="TitilliumText25L"/>
                <w:lang w:eastAsia="en-AU"/>
              </w:rPr>
              <w:t xml:space="preserve">-oophorectomy and </w:t>
            </w:r>
            <w:proofErr w:type="spellStart"/>
            <w:r w:rsidRPr="00004001">
              <w:rPr>
                <w:rFonts w:ascii="TitilliumText25L" w:hAnsi="TitilliumText25L"/>
                <w:lang w:eastAsia="en-AU"/>
              </w:rPr>
              <w:t>tumor</w:t>
            </w:r>
            <w:proofErr w:type="spellEnd"/>
            <w:r w:rsidRPr="00004001">
              <w:rPr>
                <w:rFonts w:ascii="TitilliumText25L" w:hAnsi="TitilliumText25L"/>
                <w:lang w:eastAsia="en-AU"/>
              </w:rPr>
              <w:t xml:space="preserve"> </w:t>
            </w:r>
            <w:proofErr w:type="spellStart"/>
            <w:r w:rsidRPr="00004001">
              <w:rPr>
                <w:rFonts w:ascii="TitilliumText25L" w:hAnsi="TitilliumText25L"/>
                <w:lang w:eastAsia="en-AU"/>
              </w:rPr>
              <w:t>debulking</w:t>
            </w:r>
            <w:proofErr w:type="spellEnd"/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Neurosurgery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Craniotomy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Courier New" w:hAnsi="Courier New" w:cs="Courier New"/>
                <w:lang w:eastAsia="en-AU"/>
              </w:rPr>
              <w:t> 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Craniotomy for pineal Tumour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Obstetric surgery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Uncomplicated Caesarean section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 xml:space="preserve">Caesarean section for placenta </w:t>
            </w:r>
            <w:proofErr w:type="spellStart"/>
            <w:r w:rsidRPr="00004001">
              <w:rPr>
                <w:rFonts w:ascii="TitilliumText25L" w:hAnsi="TitilliumText25L"/>
                <w:lang w:eastAsia="en-AU"/>
              </w:rPr>
              <w:t>previa</w:t>
            </w:r>
            <w:proofErr w:type="spellEnd"/>
            <w:r w:rsidRPr="00004001">
              <w:rPr>
                <w:rFonts w:ascii="TitilliumText25L" w:hAnsi="TitilliumText25L"/>
                <w:lang w:eastAsia="en-AU"/>
              </w:rPr>
              <w:t xml:space="preserve"> grade 2,3 or 4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Courier New" w:hAnsi="Courier New" w:cs="Courier New"/>
                <w:lang w:eastAsia="en-AU"/>
              </w:rPr>
              <w:t> 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Caesarean section for HELLP syndrome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Orthopaedic surgery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Multi-trauma: acetabulum, rib and clavicle fractures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 to 2 level anterior spinal fusion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 level spinal disc revision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 xml:space="preserve">1 or 2 level </w:t>
            </w:r>
            <w:proofErr w:type="spellStart"/>
            <w:r w:rsidRPr="00004001">
              <w:rPr>
                <w:rFonts w:ascii="TitilliumText25L" w:hAnsi="TitilliumText25L"/>
                <w:lang w:eastAsia="en-AU"/>
              </w:rPr>
              <w:t>Interbody</w:t>
            </w:r>
            <w:proofErr w:type="spellEnd"/>
            <w:r w:rsidRPr="00004001">
              <w:rPr>
                <w:rFonts w:ascii="TitilliumText25L" w:hAnsi="TitilliumText25L"/>
                <w:lang w:eastAsia="en-AU"/>
              </w:rPr>
              <w:t xml:space="preserve"> fusion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 to 3 level laminectomy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1 to 3 level lateral fusion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Open reduction internal fixation Acetabulum fracture</w:t>
            </w:r>
          </w:p>
        </w:tc>
      </w:tr>
      <w:tr w:rsidR="00004001" w:rsidRPr="00004001" w:rsidTr="00420E8E">
        <w:trPr>
          <w:trHeight w:val="300"/>
        </w:trPr>
        <w:tc>
          <w:tcPr>
            <w:tcW w:w="2122" w:type="dxa"/>
            <w:shd w:val="clear" w:color="auto" w:fill="auto"/>
            <w:noWrap/>
          </w:tcPr>
          <w:p w:rsidR="00004001" w:rsidRPr="00004001" w:rsidRDefault="00004001" w:rsidP="00004001">
            <w:pPr>
              <w:spacing w:after="0"/>
              <w:rPr>
                <w:rFonts w:ascii="TitilliumText25L" w:hAnsi="TitilliumText25L" w:hint="eastAsia"/>
                <w:b/>
                <w:bCs/>
                <w:lang w:eastAsia="en-AU"/>
              </w:rPr>
            </w:pPr>
            <w:r w:rsidRPr="00004001">
              <w:rPr>
                <w:rFonts w:ascii="TitilliumText25L" w:hAnsi="TitilliumText25L"/>
                <w:b/>
                <w:bCs/>
                <w:lang w:eastAsia="en-AU"/>
              </w:rPr>
              <w:t>Urology</w:t>
            </w:r>
          </w:p>
        </w:tc>
        <w:tc>
          <w:tcPr>
            <w:tcW w:w="6350" w:type="dxa"/>
            <w:shd w:val="clear" w:color="auto" w:fill="auto"/>
            <w:noWrap/>
          </w:tcPr>
          <w:p w:rsidR="00004001" w:rsidRPr="00004001" w:rsidRDefault="00004001" w:rsidP="00004001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tilliumText25L" w:hAnsi="TitilliumText25L" w:hint="eastAsia"/>
                <w:lang w:eastAsia="en-AU"/>
              </w:rPr>
            </w:pPr>
            <w:r w:rsidRPr="00004001">
              <w:rPr>
                <w:rFonts w:ascii="TitilliumText25L" w:hAnsi="TitilliumText25L"/>
                <w:lang w:eastAsia="en-AU"/>
              </w:rPr>
              <w:t>Nephrectomy</w:t>
            </w:r>
          </w:p>
        </w:tc>
      </w:tr>
    </w:tbl>
    <w:p w:rsidR="00004001" w:rsidRPr="00004001" w:rsidRDefault="00004001" w:rsidP="00004001">
      <w:pPr>
        <w:spacing w:after="0" w:line="276" w:lineRule="auto"/>
        <w:rPr>
          <w:rFonts w:ascii="TitilliumText25L" w:hAnsi="TitilliumText25L" w:hint="eastAsia"/>
          <w:sz w:val="18"/>
          <w:szCs w:val="18"/>
          <w:lang w:eastAsia="en-AU"/>
        </w:rPr>
      </w:pPr>
    </w:p>
    <w:p w:rsidR="00004001" w:rsidRPr="00004001" w:rsidRDefault="00004001" w:rsidP="00004001">
      <w:pPr>
        <w:spacing w:line="276" w:lineRule="auto"/>
        <w:ind w:left="142" w:hanging="142"/>
        <w:rPr>
          <w:rFonts w:ascii="TitilliumText25L" w:hAnsi="TitilliumText25L" w:hint="eastAsia"/>
          <w:sz w:val="18"/>
          <w:szCs w:val="18"/>
          <w:lang w:eastAsia="en-AU"/>
        </w:rPr>
      </w:pPr>
      <w:proofErr w:type="gramStart"/>
      <w:r w:rsidRPr="00004001">
        <w:rPr>
          <w:rFonts w:ascii="TitilliumText25L" w:hAnsi="TitilliumText25L"/>
          <w:sz w:val="18"/>
          <w:szCs w:val="18"/>
          <w:lang w:eastAsia="en-AU"/>
        </w:rPr>
        <w:t>*  Set</w:t>
      </w:r>
      <w:proofErr w:type="gramEnd"/>
      <w:r w:rsidRPr="00004001">
        <w:rPr>
          <w:rFonts w:ascii="TitilliumText25L" w:hAnsi="TitilliumText25L"/>
          <w:sz w:val="18"/>
          <w:szCs w:val="18"/>
          <w:lang w:eastAsia="en-AU"/>
        </w:rPr>
        <w:t xml:space="preserve"> up ICS device and wash salvaged blood when there is blood loss of greater than 20% of estimated blood volume.</w:t>
      </w:r>
    </w:p>
    <w:p w:rsidR="00B3726E" w:rsidRPr="009E38CC" w:rsidRDefault="00B3726E" w:rsidP="00004001"/>
    <w:sectPr w:rsidR="00B3726E" w:rsidRPr="009E38CC" w:rsidSect="00856708">
      <w:footerReference w:type="default" r:id="rId8"/>
      <w:footerReference w:type="first" r:id="rId9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01" w:rsidRDefault="00004001" w:rsidP="00856708">
      <w:pPr>
        <w:spacing w:after="0"/>
      </w:pPr>
      <w:r>
        <w:separator/>
      </w:r>
    </w:p>
  </w:endnote>
  <w:endnote w:type="continuationSeparator" w:id="0">
    <w:p w:rsidR="00004001" w:rsidRDefault="00004001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01" w:rsidRPr="00004001" w:rsidRDefault="00004001" w:rsidP="00004001">
    <w:pPr>
      <w:tabs>
        <w:tab w:val="right" w:pos="8306"/>
      </w:tabs>
      <w:spacing w:before="120" w:after="0" w:line="276" w:lineRule="auto"/>
      <w:jc w:val="right"/>
      <w:rPr>
        <w:rFonts w:ascii="TitilliumText25L" w:hAnsi="TitilliumText25L" w:hint="eastAsia"/>
        <w:sz w:val="18"/>
        <w:lang w:eastAsia="en-AU"/>
      </w:rPr>
    </w:pPr>
    <w:r w:rsidRPr="00004001">
      <w:rPr>
        <w:rFonts w:ascii="TitilliumText25L" w:hAnsi="TitilliumText25L"/>
        <w:sz w:val="18"/>
        <w:lang w:eastAsia="en-AU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1AC4C1C" wp14:editId="19F08E8A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Fk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bJpOZxO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"/>
          </w:pict>
        </mc:Fallback>
      </mc:AlternateContent>
    </w:r>
    <w:r w:rsidRPr="00004001">
      <w:rPr>
        <w:rFonts w:ascii="TitilliumText25L" w:hAnsi="TitilliumText25L"/>
        <w:sz w:val="18"/>
        <w:lang w:eastAsia="en-AU"/>
      </w:rPr>
      <w:t xml:space="preserve"> – Appendices AUS ICS Version No: 1 </w:t>
    </w:r>
  </w:p>
  <w:p w:rsidR="00004001" w:rsidRPr="00004001" w:rsidRDefault="00004001" w:rsidP="00004001">
    <w:pPr>
      <w:tabs>
        <w:tab w:val="right" w:pos="8306"/>
      </w:tabs>
      <w:spacing w:after="0" w:line="276" w:lineRule="auto"/>
      <w:jc w:val="right"/>
      <w:rPr>
        <w:rFonts w:ascii="TitilliumText25L" w:hAnsi="TitilliumText25L" w:hint="eastAsia"/>
        <w:sz w:val="18"/>
        <w:lang w:eastAsia="en-AU"/>
      </w:rPr>
    </w:pPr>
    <w:r w:rsidRPr="00004001">
      <w:rPr>
        <w:rFonts w:ascii="TitilliumText25L" w:hAnsi="TitilliumText25L"/>
        <w:sz w:val="18"/>
        <w:lang w:eastAsia="en-AU"/>
      </w:rPr>
      <w:t>March 2014</w:t>
    </w:r>
  </w:p>
  <w:p w:rsidR="00004001" w:rsidRPr="00004001" w:rsidRDefault="00004001" w:rsidP="00004001">
    <w:pPr>
      <w:tabs>
        <w:tab w:val="right" w:pos="8306"/>
      </w:tabs>
      <w:spacing w:after="0" w:line="276" w:lineRule="auto"/>
      <w:jc w:val="right"/>
      <w:rPr>
        <w:lang w:eastAsia="en-AU"/>
      </w:rPr>
    </w:pPr>
    <w:r w:rsidRPr="00004001">
      <w:rPr>
        <w:rFonts w:ascii="TitilliumText25L" w:hAnsi="TitilliumText25L"/>
        <w:sz w:val="18"/>
        <w:szCs w:val="18"/>
        <w:lang w:eastAsia="en-AU"/>
      </w:rPr>
      <w:t xml:space="preserve">Page </w:t>
    </w:r>
    <w:r>
      <w:rPr>
        <w:rFonts w:ascii="TitilliumText25L" w:hAnsi="TitilliumText25L"/>
        <w:sz w:val="18"/>
        <w:szCs w:val="18"/>
        <w:lang w:eastAsia="en-AU"/>
      </w:rPr>
      <w:t>2</w:t>
    </w:r>
  </w:p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01" w:rsidRPr="00004001" w:rsidRDefault="00004001" w:rsidP="00004001">
    <w:pPr>
      <w:tabs>
        <w:tab w:val="right" w:pos="8306"/>
      </w:tabs>
      <w:spacing w:before="120" w:after="0"/>
      <w:jc w:val="right"/>
      <w:rPr>
        <w:rFonts w:ascii="TitilliumText25L" w:hAnsi="TitilliumText25L" w:hint="eastAsia"/>
        <w:sz w:val="18"/>
        <w:lang w:eastAsia="en-AU"/>
      </w:rPr>
    </w:pPr>
    <w:r w:rsidRPr="00004001">
      <w:rPr>
        <w:rFonts w:ascii="TitilliumText25L" w:hAnsi="TitilliumText25L"/>
        <w:sz w:val="18"/>
        <w:lang w:eastAsia="en-AU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AB1E577" wp14:editId="45BD0529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c9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XOMFOmh&#10;RTtviWg7jyqtFAioLcqDToNxBYRXamtDpfSkduZF0+8OKV11RLU88n09GwDJQkbyJiVsnIHb9sNn&#10;zSCGHLyOop0a2wdIkAOdYm/O997wk0cUDmeTdDLLoY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"/>
          </w:pict>
        </mc:Fallback>
      </mc:AlternateContent>
    </w:r>
    <w:r w:rsidRPr="00004001">
      <w:rPr>
        <w:rFonts w:ascii="TitilliumText25L" w:hAnsi="TitilliumText25L"/>
        <w:sz w:val="18"/>
        <w:lang w:eastAsia="en-AU"/>
      </w:rPr>
      <w:t xml:space="preserve"> – Appendices AUS ICS Version No: 1 </w:t>
    </w:r>
  </w:p>
  <w:p w:rsidR="00004001" w:rsidRPr="00004001" w:rsidRDefault="00004001" w:rsidP="00004001">
    <w:pPr>
      <w:tabs>
        <w:tab w:val="right" w:pos="8306"/>
      </w:tabs>
      <w:spacing w:after="0" w:line="276" w:lineRule="auto"/>
      <w:jc w:val="right"/>
      <w:rPr>
        <w:rFonts w:ascii="TitilliumText25L" w:hAnsi="TitilliumText25L" w:hint="eastAsia"/>
        <w:sz w:val="18"/>
        <w:lang w:eastAsia="en-AU"/>
      </w:rPr>
    </w:pPr>
    <w:r w:rsidRPr="00004001">
      <w:rPr>
        <w:rFonts w:ascii="TitilliumText25L" w:hAnsi="TitilliumText25L"/>
        <w:sz w:val="18"/>
        <w:lang w:eastAsia="en-AU"/>
      </w:rPr>
      <w:t>March 2014</w:t>
    </w:r>
  </w:p>
  <w:p w:rsidR="00004001" w:rsidRPr="00004001" w:rsidRDefault="00004001" w:rsidP="00004001">
    <w:pPr>
      <w:tabs>
        <w:tab w:val="right" w:pos="8306"/>
      </w:tabs>
      <w:spacing w:after="0" w:line="276" w:lineRule="auto"/>
      <w:jc w:val="right"/>
      <w:rPr>
        <w:lang w:eastAsia="en-AU"/>
      </w:rPr>
    </w:pPr>
    <w:r w:rsidRPr="00004001">
      <w:rPr>
        <w:rFonts w:ascii="TitilliumText25L" w:hAnsi="TitilliumText25L"/>
        <w:sz w:val="18"/>
        <w:szCs w:val="18"/>
        <w:lang w:eastAsia="en-AU"/>
      </w:rPr>
      <w:t xml:space="preserve">Page </w:t>
    </w:r>
    <w:r>
      <w:rPr>
        <w:rFonts w:ascii="TitilliumText25L" w:hAnsi="TitilliumText25L"/>
        <w:sz w:val="18"/>
        <w:szCs w:val="18"/>
        <w:lang w:eastAsia="en-AU"/>
      </w:rPr>
      <w:t>1</w:t>
    </w:r>
  </w:p>
  <w:p w:rsidR="00004001" w:rsidRDefault="00004001">
    <w:pPr>
      <w:pStyle w:val="Footer"/>
    </w:pPr>
  </w:p>
  <w:p w:rsidR="00004001" w:rsidRDefault="00004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01" w:rsidRDefault="00004001" w:rsidP="00856708">
      <w:pPr>
        <w:spacing w:after="0"/>
      </w:pPr>
      <w:r>
        <w:separator/>
      </w:r>
    </w:p>
  </w:footnote>
  <w:footnote w:type="continuationSeparator" w:id="0">
    <w:p w:rsidR="00004001" w:rsidRDefault="00004001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875"/>
    <w:multiLevelType w:val="hybridMultilevel"/>
    <w:tmpl w:val="E1EA65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04D2D"/>
    <w:multiLevelType w:val="hybridMultilevel"/>
    <w:tmpl w:val="C1346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01"/>
    <w:rsid w:val="00004001"/>
    <w:rsid w:val="00036EDC"/>
    <w:rsid w:val="002537F2"/>
    <w:rsid w:val="00295CD3"/>
    <w:rsid w:val="003D27F1"/>
    <w:rsid w:val="004D4636"/>
    <w:rsid w:val="00540020"/>
    <w:rsid w:val="00856708"/>
    <w:rsid w:val="00893E0A"/>
    <w:rsid w:val="00951B85"/>
    <w:rsid w:val="009E38CC"/>
    <w:rsid w:val="00B3726E"/>
    <w:rsid w:val="00D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01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01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1851</Characters>
  <Application>Microsoft Office Word</Application>
  <DocSecurity>0</DocSecurity>
  <Lines>128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2015-04-24T01:30:00Z</dcterms:created>
  <dcterms:modified xsi:type="dcterms:W3CDTF">2015-04-24T01:30:00Z</dcterms:modified>
</cp:coreProperties>
</file>