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19" w:rsidRPr="00C40119" w:rsidRDefault="00C40119" w:rsidP="00C40119">
      <w:pPr>
        <w:spacing w:before="360" w:after="120"/>
        <w:outlineLvl w:val="1"/>
        <w:rPr>
          <w:rFonts w:ascii="TitilliumText25L" w:hAnsi="TitilliumText25L" w:cs="Arial" w:hint="eastAsia"/>
          <w:sz w:val="36"/>
          <w:szCs w:val="36"/>
        </w:rPr>
      </w:pPr>
      <w:bookmarkStart w:id="0" w:name="_Toc351386721"/>
      <w:bookmarkStart w:id="1" w:name="_Toc366850117"/>
      <w:bookmarkStart w:id="2" w:name="_GoBack"/>
      <w:bookmarkEnd w:id="2"/>
      <w:r w:rsidRPr="00C40119">
        <w:rPr>
          <w:rFonts w:ascii="TitilliumText25L" w:hAnsi="TitilliumText25L" w:cs="Arial"/>
          <w:sz w:val="36"/>
          <w:szCs w:val="36"/>
        </w:rPr>
        <w:t xml:space="preserve">Appendix </w:t>
      </w:r>
      <w:bookmarkEnd w:id="0"/>
      <w:r w:rsidRPr="00C40119">
        <w:rPr>
          <w:rFonts w:ascii="TitilliumText25L" w:hAnsi="TitilliumText25L" w:cs="Arial"/>
          <w:sz w:val="36"/>
          <w:szCs w:val="36"/>
        </w:rPr>
        <w:t>IX</w:t>
      </w:r>
      <w:bookmarkEnd w:id="1"/>
    </w:p>
    <w:p w:rsidR="00C40119" w:rsidRPr="00C40119" w:rsidRDefault="00C40119" w:rsidP="00C40119">
      <w:pPr>
        <w:spacing w:before="120" w:after="120" w:line="276" w:lineRule="auto"/>
        <w:outlineLvl w:val="2"/>
        <w:rPr>
          <w:rFonts w:ascii="TitilliumText25L" w:hAnsi="TitilliumText25L" w:cs="Arial" w:hint="eastAsia"/>
          <w:color w:val="C60C30"/>
          <w:sz w:val="28"/>
          <w:szCs w:val="28"/>
          <w:lang w:eastAsia="en-AU"/>
        </w:rPr>
      </w:pPr>
      <w:bookmarkStart w:id="3" w:name="_Toc351386722"/>
      <w:bookmarkStart w:id="4" w:name="_Toc366850118"/>
      <w:r w:rsidRPr="00C40119">
        <w:rPr>
          <w:rFonts w:ascii="TitilliumText25L" w:hAnsi="TitilliumText25L" w:cs="Arial"/>
          <w:color w:val="C60C30"/>
          <w:sz w:val="28"/>
          <w:szCs w:val="28"/>
          <w:lang w:eastAsia="en-AU"/>
        </w:rPr>
        <w:t>Autologous Transfusion Label</w:t>
      </w:r>
      <w:bookmarkEnd w:id="3"/>
      <w:bookmarkEnd w:id="4"/>
    </w:p>
    <w:p w:rsidR="00C40119" w:rsidRPr="00C40119" w:rsidRDefault="00C40119" w:rsidP="00C40119">
      <w:pPr>
        <w:spacing w:line="276" w:lineRule="auto"/>
        <w:rPr>
          <w:rFonts w:ascii="TitilliumText25L" w:hAnsi="TitilliumText25L" w:cs="Arial" w:hint="eastAsia"/>
          <w:lang w:eastAsia="en-AU"/>
        </w:rPr>
      </w:pPr>
      <w:r w:rsidRPr="00C40119">
        <w:rPr>
          <w:rFonts w:ascii="TitilliumText25L" w:hAnsi="TitilliumText25L" w:cs="Arial"/>
          <w:lang w:eastAsia="en-AU"/>
        </w:rPr>
        <w:t xml:space="preserve">An autologous transfusion label is available from some automated cell saver manufacturers. It should include the following information. </w:t>
      </w:r>
    </w:p>
    <w:p w:rsidR="00C40119" w:rsidRPr="00C40119" w:rsidRDefault="00C40119" w:rsidP="00C40119">
      <w:pPr>
        <w:spacing w:line="276" w:lineRule="auto"/>
        <w:rPr>
          <w:rFonts w:ascii="TitilliumText25L" w:hAnsi="TitilliumText25L" w:cs="Arial" w:hint="eastAsia"/>
          <w:lang w:eastAsia="en-AU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8"/>
      </w:tblGrid>
      <w:tr w:rsidR="00C40119" w:rsidRPr="00C40119" w:rsidTr="00420E8E">
        <w:tc>
          <w:tcPr>
            <w:tcW w:w="4341" w:type="dxa"/>
            <w:shd w:val="clear" w:color="auto" w:fill="auto"/>
          </w:tcPr>
          <w:p w:rsidR="00C40119" w:rsidRPr="00C40119" w:rsidRDefault="00C40119" w:rsidP="00C40119">
            <w:pPr>
              <w:spacing w:after="0"/>
              <w:jc w:val="center"/>
              <w:rPr>
                <w:rFonts w:ascii="TitilliumText25L" w:hAnsi="TitilliumText25L" w:hint="eastAsia"/>
                <w:b/>
                <w:sz w:val="32"/>
                <w:szCs w:val="32"/>
                <w:u w:val="single"/>
                <w:lang w:eastAsia="en-AU"/>
              </w:rPr>
            </w:pPr>
            <w:r w:rsidRPr="00C40119">
              <w:rPr>
                <w:rFonts w:ascii="TitilliumText25L" w:hAnsi="TitilliumText25L"/>
                <w:b/>
                <w:sz w:val="32"/>
                <w:szCs w:val="32"/>
                <w:u w:val="single"/>
                <w:lang w:eastAsia="en-AU"/>
              </w:rPr>
              <w:t>Intraoperative cell salvage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Patient ID/MRN number/Hospital Number_______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Last Name________________________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First Name__________________________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DOB__________________________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Operator/</w:t>
            </w:r>
            <w:proofErr w:type="spellStart"/>
            <w:r w:rsidRPr="00C40119">
              <w:rPr>
                <w:rFonts w:ascii="TitilliumText25L" w:hAnsi="TitilliumText25L"/>
                <w:lang w:eastAsia="en-AU"/>
              </w:rPr>
              <w:t>Autotransfusionist</w:t>
            </w:r>
            <w:proofErr w:type="spellEnd"/>
            <w:r w:rsidRPr="00C40119">
              <w:rPr>
                <w:rFonts w:ascii="TitilliumText25L" w:hAnsi="TitilliumText25L"/>
                <w:lang w:eastAsia="en-AU"/>
              </w:rPr>
              <w:t xml:space="preserve"> name__________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Anaesthetist___________________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Surgeon_________________________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Collection Site/Theatre_______________________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Infusion started________________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 xml:space="preserve">Expires/Reinfuse by: </w:t>
            </w:r>
            <w:proofErr w:type="spellStart"/>
            <w:r w:rsidRPr="00C40119">
              <w:rPr>
                <w:rFonts w:ascii="TitilliumText25L" w:hAnsi="TitilliumText25L"/>
                <w:lang w:eastAsia="en-AU"/>
              </w:rPr>
              <w:t>Date_______Time</w:t>
            </w:r>
            <w:proofErr w:type="spellEnd"/>
            <w:r w:rsidRPr="00C40119">
              <w:rPr>
                <w:rFonts w:ascii="TitilliumText25L" w:hAnsi="TitilliumText25L"/>
                <w:lang w:eastAsia="en-AU"/>
              </w:rPr>
              <w:t>_____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 xml:space="preserve">Intraoperative Cell Salvage 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 xml:space="preserve">               Washed </w:t>
            </w:r>
            <w:r w:rsidRPr="00C40119">
              <w:rPr>
                <w:rFonts w:ascii="TitilliumText25L" w:hAnsi="TitilliumText25L"/>
                <w:lang w:eastAsia="en-AU"/>
              </w:rPr>
              <w:sym w:font="Wingdings" w:char="F06F"/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 xml:space="preserve">               Unwashed </w:t>
            </w:r>
            <w:r w:rsidRPr="00C40119">
              <w:rPr>
                <w:rFonts w:ascii="TitilliumText25L" w:hAnsi="TitilliumText25L"/>
                <w:lang w:eastAsia="en-AU"/>
              </w:rPr>
              <w:sym w:font="Wingdings" w:char="F06F"/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 xml:space="preserve"> 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 xml:space="preserve">Total volume for reinfusion  _______ </w:t>
            </w:r>
            <w:proofErr w:type="spellStart"/>
            <w:r w:rsidRPr="00C40119">
              <w:rPr>
                <w:rFonts w:ascii="TitilliumText25L" w:hAnsi="TitilliumText25L"/>
                <w:lang w:eastAsia="en-AU"/>
              </w:rPr>
              <w:t>mls</w:t>
            </w:r>
            <w:proofErr w:type="spellEnd"/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  <w:r w:rsidRPr="00C40119">
              <w:rPr>
                <w:rFonts w:ascii="TitilliumText25L" w:hAnsi="TitilliumText25L"/>
                <w:lang w:eastAsia="en-AU"/>
              </w:rPr>
              <w:t>-----------------------------------------------------------</w:t>
            </w:r>
          </w:p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color w:val="FF0000"/>
                <w:lang w:eastAsia="en-AU"/>
              </w:rPr>
            </w:pPr>
            <w:r w:rsidRPr="00C40119">
              <w:rPr>
                <w:rFonts w:ascii="TitilliumText25L" w:hAnsi="TitilliumText25L"/>
                <w:color w:val="FF0000"/>
                <w:lang w:eastAsia="en-AU"/>
              </w:rPr>
              <w:t xml:space="preserve">(This section to be completed and affixed to patient’s clinical </w:t>
            </w:r>
            <w:proofErr w:type="gramStart"/>
            <w:r w:rsidRPr="00C40119">
              <w:rPr>
                <w:rFonts w:ascii="TitilliumText25L" w:hAnsi="TitilliumText25L"/>
                <w:color w:val="FF0000"/>
                <w:lang w:eastAsia="en-AU"/>
              </w:rPr>
              <w:t>record:</w:t>
            </w:r>
            <w:proofErr w:type="gramEnd"/>
            <w:r w:rsidRPr="00C40119">
              <w:rPr>
                <w:rFonts w:ascii="TitilliumText25L" w:hAnsi="TitilliumText25L"/>
                <w:color w:val="FF0000"/>
                <w:lang w:eastAsia="en-AU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</w:tblGrid>
            <w:tr w:rsidR="00C40119" w:rsidRPr="00C40119" w:rsidTr="00420E8E">
              <w:trPr>
                <w:trHeight w:val="3587"/>
              </w:trPr>
              <w:tc>
                <w:tcPr>
                  <w:tcW w:w="4792" w:type="dxa"/>
                  <w:shd w:val="clear" w:color="auto" w:fill="auto"/>
                </w:tcPr>
                <w:p w:rsidR="00C40119" w:rsidRPr="00C40119" w:rsidRDefault="00C40119" w:rsidP="00C40119">
                  <w:pPr>
                    <w:spacing w:after="0"/>
                    <w:jc w:val="center"/>
                    <w:rPr>
                      <w:rFonts w:ascii="TitilliumText25L" w:hAnsi="TitilliumText25L" w:hint="eastAsia"/>
                      <w:b/>
                      <w:u w:val="single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b/>
                      <w:u w:val="single"/>
                      <w:lang w:eastAsia="en-AU"/>
                    </w:rPr>
                    <w:t>Intraoperative Cell Salvage</w:t>
                  </w: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>Patient ID_______</w:t>
                  </w: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>Full Name________</w:t>
                  </w: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 xml:space="preserve">Intra-op cell salvage: </w:t>
                  </w: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 xml:space="preserve">               Washed </w:t>
                  </w:r>
                  <w:r w:rsidRPr="00C40119">
                    <w:rPr>
                      <w:rFonts w:ascii="TitilliumText25L" w:hAnsi="TitilliumText25L"/>
                      <w:lang w:eastAsia="en-AU"/>
                    </w:rPr>
                    <w:sym w:font="Wingdings" w:char="F06F"/>
                  </w: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 xml:space="preserve">               Unwashed </w:t>
                  </w:r>
                  <w:r w:rsidRPr="00C40119">
                    <w:rPr>
                      <w:rFonts w:ascii="TitilliumText25L" w:hAnsi="TitilliumText25L"/>
                      <w:lang w:eastAsia="en-AU"/>
                    </w:rPr>
                    <w:sym w:font="Wingdings" w:char="F06F"/>
                  </w: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>Total volume for reinfusion   _______</w:t>
                  </w:r>
                  <w:proofErr w:type="spellStart"/>
                  <w:r w:rsidRPr="00C40119">
                    <w:rPr>
                      <w:rFonts w:ascii="TitilliumText25L" w:hAnsi="TitilliumText25L"/>
                      <w:lang w:eastAsia="en-AU"/>
                    </w:rPr>
                    <w:t>mls</w:t>
                  </w:r>
                  <w:proofErr w:type="spellEnd"/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67"/>
                    <w:gridCol w:w="2499"/>
                  </w:tblGrid>
                  <w:tr w:rsidR="00C40119" w:rsidRPr="00C40119" w:rsidTr="00420E8E">
                    <w:tc>
                      <w:tcPr>
                        <w:tcW w:w="2280" w:type="dxa"/>
                        <w:shd w:val="clear" w:color="auto" w:fill="auto"/>
                      </w:tcPr>
                      <w:p w:rsidR="00C40119" w:rsidRPr="00C40119" w:rsidRDefault="00C40119" w:rsidP="00C40119">
                        <w:pPr>
                          <w:spacing w:after="0"/>
                          <w:rPr>
                            <w:rFonts w:ascii="TitilliumText25L" w:hAnsi="TitilliumText25L" w:hint="eastAsia"/>
                            <w:lang w:eastAsia="en-AU"/>
                          </w:rPr>
                        </w:pPr>
                        <w:r w:rsidRPr="00C40119">
                          <w:rPr>
                            <w:rFonts w:ascii="TitilliumText25L" w:hAnsi="TitilliumText25L"/>
                            <w:lang w:eastAsia="en-AU"/>
                          </w:rPr>
                          <w:t>Checked by:</w:t>
                        </w:r>
                      </w:p>
                    </w:tc>
                    <w:tc>
                      <w:tcPr>
                        <w:tcW w:w="2281" w:type="dxa"/>
                        <w:shd w:val="clear" w:color="auto" w:fill="auto"/>
                      </w:tcPr>
                      <w:p w:rsidR="00C40119" w:rsidRPr="00C40119" w:rsidRDefault="00C40119" w:rsidP="00C40119">
                        <w:pPr>
                          <w:spacing w:after="0"/>
                          <w:rPr>
                            <w:rFonts w:ascii="TitilliumText25L" w:hAnsi="TitilliumText25L" w:hint="eastAsia"/>
                            <w:lang w:eastAsia="en-AU"/>
                          </w:rPr>
                        </w:pPr>
                      </w:p>
                    </w:tc>
                  </w:tr>
                  <w:tr w:rsidR="00C40119" w:rsidRPr="00C40119" w:rsidTr="00420E8E">
                    <w:tc>
                      <w:tcPr>
                        <w:tcW w:w="2280" w:type="dxa"/>
                        <w:shd w:val="clear" w:color="auto" w:fill="auto"/>
                      </w:tcPr>
                      <w:p w:rsidR="00C40119" w:rsidRPr="00C40119" w:rsidRDefault="00C40119" w:rsidP="00C40119">
                        <w:pPr>
                          <w:spacing w:after="0"/>
                          <w:rPr>
                            <w:rFonts w:ascii="TitilliumText25L" w:hAnsi="TitilliumText25L" w:hint="eastAsia"/>
                            <w:lang w:eastAsia="en-AU"/>
                          </w:rPr>
                        </w:pPr>
                        <w:r w:rsidRPr="00C40119">
                          <w:rPr>
                            <w:rFonts w:ascii="TitilliumText25L" w:hAnsi="TitilliumText25L"/>
                            <w:lang w:eastAsia="en-AU"/>
                          </w:rPr>
                          <w:t>Administered by:</w:t>
                        </w:r>
                      </w:p>
                    </w:tc>
                    <w:tc>
                      <w:tcPr>
                        <w:tcW w:w="2281" w:type="dxa"/>
                        <w:shd w:val="clear" w:color="auto" w:fill="auto"/>
                      </w:tcPr>
                      <w:p w:rsidR="00C40119" w:rsidRPr="00C40119" w:rsidRDefault="00C40119" w:rsidP="00C40119">
                        <w:pPr>
                          <w:spacing w:after="0"/>
                          <w:rPr>
                            <w:rFonts w:ascii="TitilliumText25L" w:hAnsi="TitilliumText25L" w:hint="eastAsia"/>
                            <w:lang w:eastAsia="en-AU"/>
                          </w:rPr>
                        </w:pPr>
                      </w:p>
                    </w:tc>
                  </w:tr>
                  <w:tr w:rsidR="00C40119" w:rsidRPr="00C40119" w:rsidTr="00420E8E">
                    <w:tc>
                      <w:tcPr>
                        <w:tcW w:w="2280" w:type="dxa"/>
                        <w:shd w:val="clear" w:color="auto" w:fill="auto"/>
                      </w:tcPr>
                      <w:p w:rsidR="00C40119" w:rsidRPr="00C40119" w:rsidRDefault="00C40119" w:rsidP="00C40119">
                        <w:pPr>
                          <w:spacing w:after="0"/>
                          <w:rPr>
                            <w:rFonts w:ascii="TitilliumText25L" w:hAnsi="TitilliumText25L" w:hint="eastAsia"/>
                            <w:lang w:eastAsia="en-AU"/>
                          </w:rPr>
                        </w:pPr>
                        <w:r w:rsidRPr="00C40119">
                          <w:rPr>
                            <w:rFonts w:ascii="TitilliumText25L" w:hAnsi="TitilliumText25L"/>
                            <w:lang w:eastAsia="en-AU"/>
                          </w:rPr>
                          <w:t>Transfusion started:</w:t>
                        </w:r>
                      </w:p>
                    </w:tc>
                    <w:tc>
                      <w:tcPr>
                        <w:tcW w:w="2281" w:type="dxa"/>
                        <w:shd w:val="clear" w:color="auto" w:fill="auto"/>
                      </w:tcPr>
                      <w:p w:rsidR="00C40119" w:rsidRPr="00C40119" w:rsidRDefault="00C40119" w:rsidP="00C40119">
                        <w:pPr>
                          <w:spacing w:after="0"/>
                          <w:rPr>
                            <w:rFonts w:ascii="TitilliumText25L" w:hAnsi="TitilliumText25L" w:hint="eastAsia"/>
                            <w:lang w:eastAsia="en-AU"/>
                          </w:rPr>
                        </w:pPr>
                        <w:proofErr w:type="spellStart"/>
                        <w:r w:rsidRPr="00C40119">
                          <w:rPr>
                            <w:rFonts w:ascii="TitilliumText25L" w:hAnsi="TitilliumText25L"/>
                            <w:lang w:eastAsia="en-AU"/>
                          </w:rPr>
                          <w:t>Date_______Time</w:t>
                        </w:r>
                        <w:proofErr w:type="spellEnd"/>
                        <w:r w:rsidRPr="00C40119">
                          <w:rPr>
                            <w:rFonts w:ascii="TitilliumText25L" w:hAnsi="TitilliumText25L"/>
                            <w:lang w:eastAsia="en-AU"/>
                          </w:rPr>
                          <w:t>_____</w:t>
                        </w:r>
                      </w:p>
                    </w:tc>
                  </w:tr>
                </w:tbl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</w:p>
                <w:p w:rsidR="00C40119" w:rsidRPr="00C40119" w:rsidRDefault="00C40119" w:rsidP="00C40119">
                  <w:pPr>
                    <w:spacing w:after="0"/>
                    <w:rPr>
                      <w:rFonts w:ascii="TitilliumText25L" w:hAnsi="TitilliumText25L" w:hint="eastAsia"/>
                      <w:lang w:eastAsia="en-AU"/>
                    </w:rPr>
                  </w:pPr>
                  <w:r w:rsidRPr="00C40119">
                    <w:rPr>
                      <w:rFonts w:ascii="TitilliumText25L" w:hAnsi="TitilliumText25L"/>
                      <w:lang w:eastAsia="en-AU"/>
                    </w:rPr>
                    <w:t xml:space="preserve">       </w:t>
                  </w:r>
                </w:p>
              </w:tc>
            </w:tr>
          </w:tbl>
          <w:p w:rsidR="00C40119" w:rsidRPr="00C40119" w:rsidRDefault="00C40119" w:rsidP="00C40119">
            <w:pPr>
              <w:spacing w:after="0"/>
              <w:rPr>
                <w:rFonts w:ascii="TitilliumText25L" w:hAnsi="TitilliumText25L" w:hint="eastAsia"/>
                <w:lang w:eastAsia="en-AU"/>
              </w:rPr>
            </w:pPr>
          </w:p>
        </w:tc>
      </w:tr>
    </w:tbl>
    <w:p w:rsidR="00B3726E" w:rsidRPr="009E38CC" w:rsidRDefault="00B3726E" w:rsidP="00C40119"/>
    <w:sectPr w:rsidR="00B3726E" w:rsidRPr="009E38CC" w:rsidSect="00856708">
      <w:footerReference w:type="default" r:id="rId8"/>
      <w:footerReference w:type="firs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19" w:rsidRDefault="00C40119" w:rsidP="00856708">
      <w:pPr>
        <w:spacing w:after="0"/>
      </w:pPr>
      <w:r>
        <w:separator/>
      </w:r>
    </w:p>
  </w:endnote>
  <w:endnote w:type="continuationSeparator" w:id="0">
    <w:p w:rsidR="00C40119" w:rsidRDefault="00C40119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5L">
    <w:altName w:val="TitilliumText25L"/>
    <w:panose1 w:val="02000000000000000000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93" w:rsidRPr="00193EEB" w:rsidRDefault="00615793" w:rsidP="00615793">
    <w:pPr>
      <w:tabs>
        <w:tab w:val="right" w:pos="8306"/>
      </w:tabs>
      <w:spacing w:before="120"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Guidance for the provision of Intraoperative Cell Salvage</w:t>
    </w:r>
    <w:r>
      <w:rPr>
        <w:noProof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7D954DF" wp14:editId="37999B72">
              <wp:simplePos x="0" y="0"/>
              <wp:positionH relativeFrom="column">
                <wp:posOffset>-45720</wp:posOffset>
              </wp:positionH>
              <wp:positionV relativeFrom="paragraph">
                <wp:posOffset>6349</wp:posOffset>
              </wp:positionV>
              <wp:extent cx="5303520" cy="0"/>
              <wp:effectExtent l="0" t="0" r="11430" b="190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6pt,.5pt" to="41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WUHgIAADg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"/>
          </w:pict>
        </mc:Fallback>
      </mc:AlternateContent>
    </w:r>
    <w:r w:rsidRPr="00193EEB">
      <w:rPr>
        <w:rFonts w:ascii="TitilliumText25L" w:hAnsi="TitilliumText25L"/>
        <w:sz w:val="18"/>
      </w:rPr>
      <w:t xml:space="preserve"> – Appendices AUS ICS Version No: 1 </w:t>
    </w:r>
  </w:p>
  <w:p w:rsidR="00615793" w:rsidRPr="00193EEB" w:rsidRDefault="00615793" w:rsidP="00615793">
    <w:pPr>
      <w:tabs>
        <w:tab w:val="right" w:pos="8306"/>
      </w:tabs>
      <w:spacing w:after="0"/>
      <w:jc w:val="right"/>
      <w:rPr>
        <w:rFonts w:ascii="TitilliumText25L" w:hAnsi="TitilliumText25L" w:hint="eastAsia"/>
        <w:sz w:val="18"/>
      </w:rPr>
    </w:pPr>
    <w:r w:rsidRPr="00193EEB">
      <w:rPr>
        <w:rFonts w:ascii="TitilliumText25L" w:hAnsi="TitilliumText25L"/>
        <w:sz w:val="18"/>
      </w:rPr>
      <w:t>March 2014</w:t>
    </w:r>
  </w:p>
  <w:p w:rsidR="00615793" w:rsidRDefault="00615793" w:rsidP="00615793">
    <w:pPr>
      <w:tabs>
        <w:tab w:val="right" w:pos="8306"/>
      </w:tabs>
      <w:spacing w:after="0"/>
      <w:jc w:val="right"/>
    </w:pPr>
    <w:r w:rsidRPr="00193EEB">
      <w:rPr>
        <w:rFonts w:ascii="TitilliumText25L" w:hAnsi="TitilliumText25L"/>
        <w:sz w:val="18"/>
        <w:szCs w:val="18"/>
      </w:rPr>
      <w:t xml:space="preserve">Page </w:t>
    </w:r>
    <w:r>
      <w:rPr>
        <w:rFonts w:ascii="TitilliumText25L" w:hAnsi="TitilliumText25L"/>
        <w:sz w:val="18"/>
        <w:szCs w:val="18"/>
      </w:rPr>
      <w:t>1</w:t>
    </w:r>
  </w:p>
  <w:p w:rsidR="00615793" w:rsidRDefault="00615793">
    <w:pPr>
      <w:pStyle w:val="Footer"/>
    </w:pPr>
  </w:p>
  <w:p w:rsidR="00615793" w:rsidRDefault="0061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19" w:rsidRDefault="00C40119" w:rsidP="00856708">
      <w:pPr>
        <w:spacing w:after="0"/>
      </w:pPr>
      <w:r>
        <w:separator/>
      </w:r>
    </w:p>
  </w:footnote>
  <w:footnote w:type="continuationSeparator" w:id="0">
    <w:p w:rsidR="00C40119" w:rsidRDefault="00C40119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19"/>
    <w:rsid w:val="00036EDC"/>
    <w:rsid w:val="002537F2"/>
    <w:rsid w:val="00295CD3"/>
    <w:rsid w:val="003D27F1"/>
    <w:rsid w:val="004D4636"/>
    <w:rsid w:val="00540020"/>
    <w:rsid w:val="00615793"/>
    <w:rsid w:val="00856708"/>
    <w:rsid w:val="00893E0A"/>
    <w:rsid w:val="00951B85"/>
    <w:rsid w:val="009E38CC"/>
    <w:rsid w:val="00B3726E"/>
    <w:rsid w:val="00C40119"/>
    <w:rsid w:val="00E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93"/>
    <w:rPr>
      <w:rFonts w:ascii="Tahoma" w:eastAsia="Dotu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93"/>
    <w:rPr>
      <w:rFonts w:ascii="Tahoma" w:eastAsia="Dotu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922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Little, Rennay</cp:lastModifiedBy>
  <cp:revision>2</cp:revision>
  <dcterms:created xsi:type="dcterms:W3CDTF">2015-04-24T01:26:00Z</dcterms:created>
  <dcterms:modified xsi:type="dcterms:W3CDTF">2015-04-24T01:26:00Z</dcterms:modified>
</cp:coreProperties>
</file>