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34" w:rsidRPr="00180834" w:rsidRDefault="00180834" w:rsidP="00180834">
      <w:pPr>
        <w:spacing w:before="360" w:after="120"/>
        <w:jc w:val="both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51386725"/>
      <w:bookmarkStart w:id="1" w:name="_Toc366850121"/>
      <w:bookmarkStart w:id="2" w:name="_GoBack"/>
      <w:bookmarkEnd w:id="2"/>
      <w:r w:rsidRPr="00180834">
        <w:rPr>
          <w:rFonts w:ascii="TitilliumText25L" w:hAnsi="TitilliumText25L" w:cs="Arial"/>
          <w:sz w:val="36"/>
          <w:szCs w:val="36"/>
        </w:rPr>
        <w:t xml:space="preserve">Appendix </w:t>
      </w:r>
      <w:bookmarkEnd w:id="0"/>
      <w:r w:rsidRPr="00180834">
        <w:rPr>
          <w:rFonts w:ascii="TitilliumText25L" w:hAnsi="TitilliumText25L" w:cs="Arial"/>
          <w:sz w:val="36"/>
          <w:szCs w:val="36"/>
        </w:rPr>
        <w:t>XI</w:t>
      </w:r>
      <w:bookmarkEnd w:id="1"/>
    </w:p>
    <w:p w:rsidR="00180834" w:rsidRPr="00180834" w:rsidRDefault="00180834" w:rsidP="00180834">
      <w:pPr>
        <w:spacing w:line="276" w:lineRule="auto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3" w:name="_Toc351386726"/>
      <w:bookmarkStart w:id="4" w:name="_Toc366850122"/>
      <w:r w:rsidRPr="00180834">
        <w:rPr>
          <w:rFonts w:ascii="TitilliumText25L" w:hAnsi="TitilliumText25L" w:cs="Arial"/>
          <w:color w:val="C60C30"/>
          <w:sz w:val="28"/>
          <w:szCs w:val="28"/>
          <w:lang w:eastAsia="en-AU"/>
        </w:rPr>
        <w:t>Patient material “About Patient Blood Management</w:t>
      </w:r>
      <w:bookmarkEnd w:id="3"/>
      <w:r w:rsidRPr="00180834">
        <w:rPr>
          <w:rFonts w:ascii="TitilliumText25L" w:hAnsi="TitilliumText25L" w:cs="Arial"/>
          <w:color w:val="C60C30"/>
          <w:sz w:val="28"/>
          <w:szCs w:val="28"/>
          <w:lang w:eastAsia="en-AU"/>
        </w:rPr>
        <w:t>”</w:t>
      </w:r>
      <w:bookmarkEnd w:id="4"/>
    </w:p>
    <w:p w:rsidR="00180834" w:rsidRPr="00180834" w:rsidRDefault="00180834" w:rsidP="00180834">
      <w:pPr>
        <w:spacing w:line="276" w:lineRule="auto"/>
        <w:rPr>
          <w:rFonts w:ascii="TitilliumText25L" w:hAnsi="TitilliumText25L" w:hint="eastAsia"/>
          <w:lang w:eastAsia="en-AU"/>
        </w:rPr>
      </w:pPr>
      <w:r w:rsidRPr="00180834">
        <w:rPr>
          <w:rFonts w:ascii="TitilliumText25L" w:hAnsi="TitilliumText25L" w:cs="Arial"/>
          <w:color w:val="C60C30"/>
          <w:sz w:val="28"/>
          <w:szCs w:val="28"/>
          <w:lang w:eastAsia="en-AU"/>
        </w:rPr>
        <w:t xml:space="preserve"> </w:t>
      </w:r>
      <w:hyperlink r:id="rId8" w:history="1">
        <w:r w:rsidRPr="00180834">
          <w:rPr>
            <w:rFonts w:ascii="TitilliumText25L" w:hAnsi="TitilliumText25L"/>
            <w:color w:val="0000FF"/>
            <w:u w:val="single"/>
            <w:lang w:eastAsia="en-AU"/>
          </w:rPr>
          <w:t>http://www.health.wa.gov.au/bloodmanagement/docs/fact_sheet.pdf</w:t>
        </w:r>
      </w:hyperlink>
    </w:p>
    <w:p w:rsidR="00B3726E" w:rsidRPr="009E38CC" w:rsidRDefault="00B3726E" w:rsidP="00180834"/>
    <w:sectPr w:rsidR="00B3726E" w:rsidRPr="009E38CC" w:rsidSect="00856708">
      <w:footerReference w:type="default" r:id="rId9"/>
      <w:footerReference w:type="first" r:id="rId10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34" w:rsidRDefault="00180834" w:rsidP="00856708">
      <w:pPr>
        <w:spacing w:after="0"/>
      </w:pPr>
      <w:r>
        <w:separator/>
      </w:r>
    </w:p>
  </w:endnote>
  <w:endnote w:type="continuationSeparator" w:id="0">
    <w:p w:rsidR="00180834" w:rsidRDefault="00180834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A9" w:rsidRPr="00193EEB" w:rsidRDefault="000F74A9" w:rsidP="000F74A9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D26AD12" wp14:editId="1FCA3DE5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Fk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JpOZx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Ct89Fk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193EEB">
      <w:rPr>
        <w:rFonts w:ascii="TitilliumText25L" w:hAnsi="TitilliumText25L"/>
        <w:sz w:val="18"/>
      </w:rPr>
      <w:t xml:space="preserve"> – Appendices AUS ICS Version No: 1 </w:t>
    </w:r>
  </w:p>
  <w:p w:rsidR="000F74A9" w:rsidRPr="00193EEB" w:rsidRDefault="000F74A9" w:rsidP="000F74A9">
    <w:pPr>
      <w:tabs>
        <w:tab w:val="right" w:pos="8306"/>
      </w:tabs>
      <w:spacing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March 2014</w:t>
    </w:r>
  </w:p>
  <w:p w:rsidR="000F74A9" w:rsidRDefault="000F74A9" w:rsidP="000F74A9">
    <w:pPr>
      <w:tabs>
        <w:tab w:val="right" w:pos="8306"/>
      </w:tabs>
      <w:spacing w:after="0"/>
      <w:jc w:val="right"/>
    </w:pPr>
    <w:r w:rsidRPr="00193EEB">
      <w:rPr>
        <w:rFonts w:ascii="TitilliumText25L" w:hAnsi="TitilliumText25L"/>
        <w:sz w:val="18"/>
        <w:szCs w:val="18"/>
      </w:rPr>
      <w:t xml:space="preserve">Page </w:t>
    </w:r>
    <w:r>
      <w:rPr>
        <w:rFonts w:ascii="TitilliumText25L" w:hAnsi="TitilliumText25L"/>
        <w:sz w:val="18"/>
        <w:szCs w:val="18"/>
      </w:rPr>
      <w:t>1</w:t>
    </w:r>
  </w:p>
  <w:p w:rsidR="000F74A9" w:rsidRDefault="000F74A9">
    <w:pPr>
      <w:pStyle w:val="Footer"/>
    </w:pPr>
  </w:p>
  <w:p w:rsidR="000F74A9" w:rsidRDefault="000F7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34" w:rsidRDefault="00180834" w:rsidP="00856708">
      <w:pPr>
        <w:spacing w:after="0"/>
      </w:pPr>
      <w:r>
        <w:separator/>
      </w:r>
    </w:p>
  </w:footnote>
  <w:footnote w:type="continuationSeparator" w:id="0">
    <w:p w:rsidR="00180834" w:rsidRDefault="00180834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4"/>
    <w:rsid w:val="00036EDC"/>
    <w:rsid w:val="000F74A9"/>
    <w:rsid w:val="00180834"/>
    <w:rsid w:val="002537F2"/>
    <w:rsid w:val="00295CD3"/>
    <w:rsid w:val="003D27F1"/>
    <w:rsid w:val="004D4636"/>
    <w:rsid w:val="00540020"/>
    <w:rsid w:val="00856708"/>
    <w:rsid w:val="00893E0A"/>
    <w:rsid w:val="00951B85"/>
    <w:rsid w:val="009E38CC"/>
    <w:rsid w:val="00B3726E"/>
    <w:rsid w:val="00B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A9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A9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wa.gov.au/bloodmanagement/docs/fact_shee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117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2015-04-24T01:29:00Z</dcterms:created>
  <dcterms:modified xsi:type="dcterms:W3CDTF">2015-04-24T01:29:00Z</dcterms:modified>
</cp:coreProperties>
</file>