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78" w:rsidRPr="00406C78" w:rsidRDefault="00406C78" w:rsidP="00406C78">
      <w:pPr>
        <w:widowControl w:val="0"/>
        <w:spacing w:after="240" w:line="580" w:lineRule="exact"/>
        <w:ind w:right="6"/>
        <w:outlineLvl w:val="0"/>
        <w:rPr>
          <w:rFonts w:ascii="TitilliumText25L" w:eastAsia="HYGothic-Extra" w:hAnsi="TitilliumText25L"/>
          <w:bCs/>
          <w:color w:val="1E1E1E"/>
          <w:spacing w:val="-20"/>
          <w:sz w:val="56"/>
          <w:szCs w:val="72"/>
        </w:rPr>
      </w:pPr>
      <w:bookmarkStart w:id="0" w:name="_GoBack"/>
      <w:bookmarkEnd w:id="0"/>
      <w:r w:rsidRPr="00406C78">
        <w:rPr>
          <w:rFonts w:ascii="TitilliumText25L" w:eastAsia="HYGothic-Extra" w:hAnsi="TitilliumText25L"/>
          <w:bCs/>
          <w:color w:val="1E1E1E"/>
          <w:spacing w:val="-20"/>
          <w:sz w:val="56"/>
          <w:szCs w:val="72"/>
        </w:rPr>
        <w:t>Appendixes</w:t>
      </w:r>
    </w:p>
    <w:p w:rsidR="00406C78" w:rsidRPr="00406C78" w:rsidRDefault="00406C78" w:rsidP="00406C78">
      <w:pPr>
        <w:spacing w:line="276" w:lineRule="auto"/>
        <w:ind w:left="1440" w:hanging="1440"/>
        <w:rPr>
          <w:rFonts w:ascii="TitilliumText25L" w:hAnsi="TitilliumText25L" w:hint="eastAsia"/>
          <w:lang w:eastAsia="en-AU"/>
        </w:rPr>
      </w:pPr>
    </w:p>
    <w:p w:rsidR="00406C78" w:rsidRPr="00406C78" w:rsidRDefault="00C02F97" w:rsidP="00406C78">
      <w:pPr>
        <w:spacing w:line="276" w:lineRule="auto"/>
        <w:ind w:left="1440" w:hanging="1440"/>
        <w:rPr>
          <w:rFonts w:ascii="TitilliumText25L" w:hAnsi="TitilliumText25L" w:hint="eastAsia"/>
          <w:lang w:eastAsia="en-AU"/>
        </w:rPr>
      </w:pPr>
      <w:hyperlink w:anchor="_Appendix_I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I</w:t>
        </w:r>
      </w:hyperlink>
      <w:r w:rsidR="00406C78" w:rsidRPr="00406C78">
        <w:rPr>
          <w:rFonts w:ascii="TitilliumText25L" w:hAnsi="TitilliumText25L"/>
          <w:lang w:eastAsia="en-AU"/>
        </w:rPr>
        <w:tab/>
        <w:t>Business Case Guidance</w:t>
      </w:r>
    </w:p>
    <w:p w:rsidR="00406C78" w:rsidRPr="00406C78" w:rsidRDefault="00C02F97" w:rsidP="00406C78">
      <w:pPr>
        <w:spacing w:line="276" w:lineRule="auto"/>
        <w:ind w:left="1440" w:hanging="1440"/>
        <w:rPr>
          <w:rFonts w:ascii="TitilliumText25L" w:hAnsi="TitilliumText25L" w:hint="eastAsia"/>
          <w:lang w:eastAsia="en-AU"/>
        </w:rPr>
      </w:pPr>
      <w:hyperlink w:anchor="_Appendix_IIa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IIa</w:t>
        </w:r>
      </w:hyperlink>
      <w:r w:rsidR="00406C78" w:rsidRPr="00406C78">
        <w:rPr>
          <w:rFonts w:ascii="TitilliumText25L" w:hAnsi="TitilliumText25L"/>
          <w:lang w:eastAsia="en-AU"/>
        </w:rPr>
        <w:tab/>
        <w:t>Surgical Procedures where Intraoperative Cell Salvage presents significant benefit towards the management of perioperative blood loss.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hint="eastAsia"/>
          <w:lang w:eastAsia="en-AU"/>
        </w:rPr>
      </w:pPr>
      <w:hyperlink w:anchor="_Appendix_IIb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IIb</w:t>
        </w:r>
      </w:hyperlink>
      <w:r w:rsidR="00406C78" w:rsidRPr="00406C78">
        <w:rPr>
          <w:rFonts w:ascii="TitilliumText25L" w:hAnsi="TitilliumText25L"/>
          <w:lang w:eastAsia="en-AU"/>
        </w:rPr>
        <w:tab/>
        <w:t xml:space="preserve">Surgical Procedures – an Australian experience 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hint="eastAsia"/>
          <w:lang w:eastAsia="en-AU"/>
        </w:rPr>
      </w:pPr>
      <w:hyperlink w:anchor="_Appendix_III_1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III</w:t>
        </w:r>
      </w:hyperlink>
      <w:r w:rsidR="00406C78" w:rsidRPr="00406C78">
        <w:rPr>
          <w:rFonts w:ascii="TitilliumText25L" w:hAnsi="TitilliumText25L"/>
          <w:lang w:eastAsia="en-AU"/>
        </w:rPr>
        <w:tab/>
        <w:t>Audit Proforma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hint="eastAsia"/>
          <w:lang w:eastAsia="en-AU"/>
        </w:rPr>
      </w:pPr>
      <w:hyperlink w:anchor="_Appendix_IV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IV</w:t>
        </w:r>
      </w:hyperlink>
      <w:r w:rsidR="00406C78" w:rsidRPr="00406C78">
        <w:rPr>
          <w:rFonts w:ascii="TitilliumText25L" w:hAnsi="TitilliumText25L"/>
          <w:lang w:eastAsia="en-AU"/>
        </w:rPr>
        <w:tab/>
        <w:t>Intraoperative Cell Salvage Competency Assessment Workbook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hint="eastAsia"/>
          <w:lang w:eastAsia="en-AU"/>
        </w:rPr>
      </w:pPr>
      <w:hyperlink w:anchor="_Appendix_V_1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 xml:space="preserve">Appendix V </w:t>
        </w:r>
      </w:hyperlink>
      <w:r w:rsidR="00406C78" w:rsidRPr="00406C78">
        <w:rPr>
          <w:rFonts w:ascii="TitilliumText25L" w:hAnsi="TitilliumText25L"/>
          <w:lang w:eastAsia="en-AU"/>
        </w:rPr>
        <w:tab/>
        <w:t>Use of Intraoperative Cell Salvage in Obstetrics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hint="eastAsia"/>
          <w:lang w:eastAsia="en-AU"/>
        </w:rPr>
      </w:pPr>
      <w:hyperlink w:anchor="_Use_of_Intraoperative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VI</w:t>
        </w:r>
      </w:hyperlink>
      <w:r w:rsidR="00406C78" w:rsidRPr="00406C78">
        <w:rPr>
          <w:rFonts w:ascii="TitilliumText25L" w:hAnsi="TitilliumText25L"/>
          <w:lang w:eastAsia="en-AU"/>
        </w:rPr>
        <w:tab/>
        <w:t>Use of Intraoperative Cell Salvage in Malignant Disease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hint="eastAsia"/>
          <w:lang w:eastAsia="en-AU"/>
        </w:rPr>
      </w:pPr>
      <w:hyperlink w:anchor="_Appendix_VII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VII</w:t>
        </w:r>
      </w:hyperlink>
      <w:r w:rsidR="00406C78" w:rsidRPr="00406C78">
        <w:rPr>
          <w:rFonts w:ascii="TitilliumText25L" w:hAnsi="TitilliumText25L" w:cs="Times New Roman"/>
          <w:color w:val="404040"/>
          <w:sz w:val="20"/>
          <w:szCs w:val="20"/>
          <w:lang w:eastAsia="en-AU"/>
        </w:rPr>
        <w:t xml:space="preserve"> </w:t>
      </w:r>
      <w:r w:rsidR="00406C78" w:rsidRPr="00406C78">
        <w:rPr>
          <w:rFonts w:ascii="TitilliumText25L" w:hAnsi="TitilliumText25L" w:cs="Times New Roman"/>
          <w:color w:val="404040"/>
          <w:sz w:val="20"/>
          <w:szCs w:val="20"/>
          <w:lang w:eastAsia="en-AU"/>
        </w:rPr>
        <w:tab/>
      </w:r>
      <w:r w:rsidR="00406C78" w:rsidRPr="00406C78">
        <w:rPr>
          <w:rFonts w:ascii="TitilliumText25L" w:hAnsi="TitilliumText25L"/>
          <w:lang w:eastAsia="en-AU"/>
        </w:rPr>
        <w:t>Cell Salvage Patient Information Leaflet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hint="eastAsia"/>
          <w:lang w:eastAsia="en-AU"/>
        </w:rPr>
      </w:pPr>
      <w:hyperlink w:anchor="_Appendix_VIII_1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VIII</w:t>
        </w:r>
      </w:hyperlink>
      <w:r w:rsidR="00406C78" w:rsidRPr="00406C78">
        <w:rPr>
          <w:rFonts w:ascii="TitilliumText25L" w:hAnsi="TitilliumText25L"/>
          <w:lang w:eastAsia="en-AU"/>
        </w:rPr>
        <w:tab/>
        <w:t>Manufacturers’ Guidelines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hint="eastAsia"/>
          <w:lang w:eastAsia="en-AU"/>
        </w:rPr>
      </w:pPr>
      <w:hyperlink w:anchor="_Appendix_IX_1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IX</w:t>
        </w:r>
      </w:hyperlink>
      <w:r w:rsidR="00406C78" w:rsidRPr="00406C78">
        <w:rPr>
          <w:rFonts w:ascii="TitilliumText25L" w:hAnsi="TitilliumText25L"/>
          <w:lang w:eastAsia="en-AU"/>
        </w:rPr>
        <w:tab/>
        <w:t>Autologous Transfusion Label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hint="eastAsia"/>
          <w:lang w:eastAsia="en-AU"/>
        </w:rPr>
      </w:pPr>
      <w:hyperlink w:anchor="_Appendix_X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X</w:t>
        </w:r>
      </w:hyperlink>
      <w:r w:rsidR="00406C78" w:rsidRPr="00406C78">
        <w:rPr>
          <w:rFonts w:ascii="TitilliumText25L" w:hAnsi="TitilliumText25L"/>
          <w:lang w:eastAsia="en-AU"/>
        </w:rPr>
        <w:tab/>
        <w:t>Fault log</w:t>
      </w:r>
    </w:p>
    <w:p w:rsidR="00406C78" w:rsidRPr="00406C78" w:rsidRDefault="00C02F97" w:rsidP="00406C78">
      <w:pPr>
        <w:spacing w:line="276" w:lineRule="auto"/>
        <w:rPr>
          <w:rFonts w:ascii="TitilliumText25L" w:hAnsi="TitilliumText25L" w:cs="Times New Roman" w:hint="eastAsia"/>
          <w:color w:val="404040"/>
          <w:sz w:val="20"/>
          <w:szCs w:val="20"/>
          <w:lang w:eastAsia="en-AU"/>
        </w:rPr>
      </w:pPr>
      <w:hyperlink w:anchor="_Appendix_XI_1" w:history="1">
        <w:r w:rsidR="00406C78" w:rsidRPr="00406C78">
          <w:rPr>
            <w:rFonts w:ascii="TitilliumText25L" w:hAnsi="TitilliumText25L"/>
            <w:color w:val="0000FF"/>
            <w:u w:val="single"/>
            <w:lang w:eastAsia="en-AU"/>
          </w:rPr>
          <w:t>Appendix XI</w:t>
        </w:r>
      </w:hyperlink>
      <w:r w:rsidR="00406C78" w:rsidRPr="00406C78">
        <w:rPr>
          <w:rFonts w:ascii="TitilliumText25L" w:hAnsi="TitilliumText25L"/>
          <w:lang w:eastAsia="en-AU"/>
        </w:rPr>
        <w:tab/>
        <w:t>Patient material “About Patient Blood Management</w:t>
      </w:r>
    </w:p>
    <w:p w:rsidR="00B3726E" w:rsidRPr="009E38CC" w:rsidRDefault="00B3726E" w:rsidP="00406C78"/>
    <w:sectPr w:rsidR="00B3726E" w:rsidRPr="009E38CC" w:rsidSect="00856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78" w:rsidRDefault="00406C78" w:rsidP="00856708">
      <w:pPr>
        <w:spacing w:after="0"/>
      </w:pPr>
      <w:r>
        <w:separator/>
      </w:r>
    </w:p>
  </w:endnote>
  <w:endnote w:type="continuationSeparator" w:id="0">
    <w:p w:rsidR="00406C78" w:rsidRDefault="00406C78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5L">
    <w:altName w:val="TitilliumText25L"/>
    <w:panose1 w:val="02000000000000000000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D9" w:rsidRDefault="001C4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5670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78" w:rsidRPr="00406C78" w:rsidRDefault="00406C78" w:rsidP="00406C78">
    <w:pPr>
      <w:tabs>
        <w:tab w:val="right" w:pos="8306"/>
      </w:tabs>
      <w:spacing w:before="120" w:after="0"/>
      <w:jc w:val="right"/>
      <w:rPr>
        <w:rFonts w:ascii="TitilliumText25L" w:hAnsi="TitilliumText25L" w:hint="eastAsia"/>
        <w:sz w:val="18"/>
        <w:lang w:eastAsia="en-AU"/>
      </w:rPr>
    </w:pPr>
    <w:r w:rsidRPr="00406C78">
      <w:rPr>
        <w:rFonts w:ascii="TitilliumText25L" w:hAnsi="TitilliumText25L"/>
        <w:sz w:val="18"/>
        <w:lang w:eastAsia="en-AU"/>
      </w:rPr>
      <w:t>Guidance for the provision of Intraoperative Cell Salvage</w:t>
    </w: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3454750" wp14:editId="13CD8D60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c9HQIAADY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"/>
          </w:pict>
        </mc:Fallback>
      </mc:AlternateContent>
    </w:r>
    <w:r w:rsidRPr="00406C78">
      <w:rPr>
        <w:rFonts w:ascii="TitilliumText25L" w:hAnsi="TitilliumText25L"/>
        <w:sz w:val="18"/>
        <w:lang w:eastAsia="en-AU"/>
      </w:rPr>
      <w:t xml:space="preserve"> – Appendices AUS ICS Version No: 1 </w:t>
    </w:r>
  </w:p>
  <w:p w:rsidR="00406C78" w:rsidRPr="00406C78" w:rsidRDefault="00406C78" w:rsidP="00406C78">
    <w:pPr>
      <w:tabs>
        <w:tab w:val="right" w:pos="8306"/>
      </w:tabs>
      <w:spacing w:after="0" w:line="276" w:lineRule="auto"/>
      <w:jc w:val="right"/>
      <w:rPr>
        <w:rFonts w:ascii="TitilliumText25L" w:hAnsi="TitilliumText25L" w:hint="eastAsia"/>
        <w:sz w:val="18"/>
        <w:lang w:eastAsia="en-AU"/>
      </w:rPr>
    </w:pPr>
    <w:r w:rsidRPr="00406C78">
      <w:rPr>
        <w:rFonts w:ascii="TitilliumText25L" w:hAnsi="TitilliumText25L"/>
        <w:sz w:val="18"/>
        <w:lang w:eastAsia="en-AU"/>
      </w:rPr>
      <w:t>March 2014</w:t>
    </w:r>
  </w:p>
  <w:p w:rsidR="00406C78" w:rsidRPr="00406C78" w:rsidRDefault="00406C78" w:rsidP="00406C78">
    <w:pPr>
      <w:tabs>
        <w:tab w:val="right" w:pos="8306"/>
      </w:tabs>
      <w:spacing w:after="0" w:line="276" w:lineRule="auto"/>
      <w:jc w:val="right"/>
      <w:rPr>
        <w:lang w:eastAsia="en-AU"/>
      </w:rPr>
    </w:pPr>
    <w:r w:rsidRPr="00406C78">
      <w:rPr>
        <w:rFonts w:ascii="TitilliumText25L" w:hAnsi="TitilliumText25L"/>
        <w:sz w:val="18"/>
        <w:szCs w:val="18"/>
        <w:lang w:eastAsia="en-AU"/>
      </w:rPr>
      <w:t xml:space="preserve">Page </w:t>
    </w:r>
    <w:r w:rsidR="001C47D9">
      <w:rPr>
        <w:rFonts w:ascii="TitilliumText25L" w:hAnsi="TitilliumText25L"/>
        <w:sz w:val="18"/>
        <w:szCs w:val="18"/>
        <w:lang w:eastAsia="en-AU"/>
      </w:rPr>
      <w:t>2</w:t>
    </w:r>
  </w:p>
  <w:p w:rsidR="00406C78" w:rsidRDefault="00406C78">
    <w:pPr>
      <w:pStyle w:val="Footer"/>
    </w:pPr>
  </w:p>
  <w:p w:rsidR="00406C78" w:rsidRDefault="00406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78" w:rsidRDefault="00406C78" w:rsidP="00856708">
      <w:pPr>
        <w:spacing w:after="0"/>
      </w:pPr>
      <w:r>
        <w:separator/>
      </w:r>
    </w:p>
  </w:footnote>
  <w:footnote w:type="continuationSeparator" w:id="0">
    <w:p w:rsidR="00406C78" w:rsidRDefault="00406C78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D9" w:rsidRDefault="001C4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D9" w:rsidRDefault="001C47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D9" w:rsidRDefault="001C4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78"/>
    <w:rsid w:val="00036EDC"/>
    <w:rsid w:val="001C47D9"/>
    <w:rsid w:val="002537F2"/>
    <w:rsid w:val="00295CD3"/>
    <w:rsid w:val="003D27F1"/>
    <w:rsid w:val="00406C78"/>
    <w:rsid w:val="004D4636"/>
    <w:rsid w:val="00540020"/>
    <w:rsid w:val="00856708"/>
    <w:rsid w:val="00893E0A"/>
    <w:rsid w:val="00951B85"/>
    <w:rsid w:val="009E38CC"/>
    <w:rsid w:val="00B3726E"/>
    <w:rsid w:val="00C0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78"/>
    <w:rPr>
      <w:rFonts w:ascii="Tahoma" w:eastAsia="Dotum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78"/>
    <w:rPr>
      <w:rFonts w:ascii="Tahoma" w:eastAsia="Dotum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606</Characters>
  <Application>Microsoft Office Word</Application>
  <DocSecurity>0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Little, Rennay</cp:lastModifiedBy>
  <cp:revision>2</cp:revision>
  <dcterms:created xsi:type="dcterms:W3CDTF">2015-04-24T01:29:00Z</dcterms:created>
  <dcterms:modified xsi:type="dcterms:W3CDTF">2015-04-24T01:29:00Z</dcterms:modified>
</cp:coreProperties>
</file>