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DD" w:rsidRPr="003032D8" w:rsidRDefault="003032D8">
      <w:pPr>
        <w:rPr>
          <w:rFonts w:eastAsia="HYGothic-Extra"/>
          <w:bCs/>
          <w:color w:val="1E1E1E"/>
          <w:spacing w:val="-20"/>
          <w:sz w:val="56"/>
          <w:szCs w:val="72"/>
          <w:lang w:eastAsia="en-US"/>
        </w:rPr>
      </w:pPr>
      <w:bookmarkStart w:id="0" w:name="_Toc366850055"/>
      <w:bookmarkStart w:id="1" w:name="_Toc366850075"/>
      <w:r w:rsidRPr="003032D8">
        <w:rPr>
          <w:noProof/>
        </w:rPr>
        <w:pict>
          <v:shapetype id="_x0000_t202" coordsize="21600,21600" o:spt="202" path="m,l,21600r21600,l21600,xe">
            <v:stroke joinstyle="miter"/>
            <v:path gradientshapeok="t" o:connecttype="rect"/>
          </v:shapetype>
          <v:shape id="Text Box 18" o:spid="_x0000_s1041" type="#_x0000_t202" style="position:absolute;margin-left:-54.95pt;margin-top:494.3pt;width:131.95pt;height:46.9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" stroked="f" strokeweight=".5pt">
            <v:fill opacity="0"/>
            <v:textbox>
              <w:txbxContent>
                <w:p w:rsidR="00492A10" w:rsidRPr="00193EEB" w:rsidRDefault="00492A10" w:rsidP="003E5A08">
                  <w:pPr>
                    <w:spacing w:before="200"/>
                    <w:jc w:val="center"/>
                    <w:rPr>
                      <w:rFonts w:ascii="TitilliumText25L" w:hAnsi="TitilliumText25L"/>
                      <w:b/>
                      <w:color w:val="FFFFFF"/>
                      <w:sz w:val="36"/>
                      <w:szCs w:val="36"/>
                    </w:rPr>
                  </w:pPr>
                  <w:r w:rsidRPr="00193EEB">
                    <w:rPr>
                      <w:rFonts w:ascii="TitilliumText25L" w:hAnsi="TitilliumText25L"/>
                      <w:b/>
                      <w:color w:val="FFFFFF"/>
                      <w:sz w:val="36"/>
                      <w:szCs w:val="36"/>
                    </w:rPr>
                    <w:t>MARCH 2014</w:t>
                  </w:r>
                </w:p>
                <w:p w:rsidR="00492A10" w:rsidRDefault="00492A10"/>
              </w:txbxContent>
            </v:textbox>
          </v:shape>
        </w:pict>
      </w:r>
      <w:r w:rsidRPr="003032D8">
        <w:rPr>
          <w:noProof/>
        </w:rPr>
        <w:pict>
          <v:shape id="Text Box 14" o:spid="_x0000_s1040" type="#_x0000_t202" style="position:absolute;margin-left:-93.1pt;margin-top:410.5pt;width:382.9pt;height:49.1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" fillcolor="black" strokeweight=".5pt">
            <v:textbox>
              <w:txbxContent>
                <w:p w:rsidR="00492A10" w:rsidRPr="00193EEB" w:rsidRDefault="00492A10" w:rsidP="00EE4C6D">
                  <w:pPr>
                    <w:spacing w:before="200"/>
                    <w:rPr>
                      <w:rFonts w:ascii="TitilliumText25L" w:hAnsi="TitilliumText25L"/>
                      <w:color w:val="FFFFFF"/>
                      <w:sz w:val="36"/>
                      <w:szCs w:val="36"/>
                    </w:rPr>
                  </w:pPr>
                  <w:r w:rsidRPr="00193EEB">
                    <w:rPr>
                      <w:rFonts w:ascii="TitilliumText25L" w:hAnsi="TitilliumText25L"/>
                      <w:color w:val="FFFFFF"/>
                      <w:sz w:val="40"/>
                      <w:szCs w:val="40"/>
                    </w:rPr>
                    <w:t xml:space="preserve">       </w:t>
                  </w:r>
                  <w:r w:rsidRPr="00193EEB">
                    <w:rPr>
                      <w:rFonts w:ascii="TitilliumText25L" w:hAnsi="TitilliumText25L"/>
                      <w:color w:val="FFFFFF"/>
                      <w:sz w:val="36"/>
                      <w:szCs w:val="36"/>
                    </w:rPr>
                    <w:t>Guidance for Australian Health Providers</w:t>
                  </w:r>
                </w:p>
                <w:p w:rsidR="00492A10" w:rsidRDefault="00492A10"/>
              </w:txbxContent>
            </v:textbox>
          </v:shape>
        </w:pict>
      </w:r>
      <w:r w:rsidRPr="003032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9" type="#_x0000_t75" style="position:absolute;margin-left:-93.1pt;margin-top:-77.4pt;width:607.65pt;height:843.25pt;z-index:-251656192;visibility:visible">
            <v:imagedata r:id="rId9" o:title=""/>
          </v:shape>
        </w:pict>
      </w:r>
      <w:r w:rsidRPr="003032D8">
        <w:rPr>
          <w:noProof/>
        </w:rPr>
        <w:pict>
          <v:shape id="Text Box 12" o:spid="_x0000_s1038" type="#_x0000_t202" style="position:absolute;margin-left:-54.95pt;margin-top:193.1pt;width:270.55pt;height:209.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" stroked="f" strokeweight=".5pt">
            <v:fill opacity="0"/>
            <v:textbox>
              <w:txbxContent>
                <w:p w:rsidR="00492A10" w:rsidRPr="00A045A3" w:rsidRDefault="00492A10" w:rsidP="00EE4C6D">
                  <w:pPr>
                    <w:rPr>
                      <w:rFonts w:ascii="TitilliumText25L" w:hAnsi="TitilliumText25L"/>
                      <w:b/>
                      <w:sz w:val="56"/>
                      <w:szCs w:val="56"/>
                    </w:rPr>
                  </w:pPr>
                  <w:r w:rsidRPr="00A045A3">
                    <w:rPr>
                      <w:rFonts w:ascii="TitilliumText25L" w:hAnsi="TitilliumText25L"/>
                      <w:b/>
                      <w:sz w:val="56"/>
                      <w:szCs w:val="56"/>
                    </w:rPr>
                    <w:t>GUIDANCE FOR THE PROVISION OF INTRAOPERATIVE CELL SALVAGE</w:t>
                  </w:r>
                </w:p>
                <w:p w:rsidR="00492A10" w:rsidRPr="00EE4C6D" w:rsidRDefault="00492A10">
                  <w:pPr>
                    <w:rPr>
                      <w:rFonts w:ascii="TitilliumText25L" w:hAnsi="TitilliumText25L"/>
                      <w:b/>
                      <w:sz w:val="72"/>
                      <w:szCs w:val="72"/>
                    </w:rPr>
                  </w:pPr>
                  <w:r w:rsidRPr="00EE4C6D">
                    <w:rPr>
                      <w:rFonts w:ascii="TitilliumText25L" w:hAnsi="TitilliumText25L"/>
                      <w:b/>
                      <w:sz w:val="72"/>
                      <w:szCs w:val="72"/>
                    </w:rPr>
                    <w:t>APPENDIXES</w:t>
                  </w:r>
                </w:p>
              </w:txbxContent>
            </v:textbox>
          </v:shape>
        </w:pict>
      </w:r>
      <w:r w:rsidR="009D15DD" w:rsidRPr="003032D8">
        <w:br w:type="page"/>
      </w:r>
    </w:p>
    <w:p w:rsidR="009D15DD" w:rsidRPr="003032D8" w:rsidRDefault="009D15DD" w:rsidP="00AC547C">
      <w:pPr>
        <w:spacing w:after="2880"/>
        <w:rPr>
          <w:rFonts w:ascii="TitilliumText25L" w:hAnsi="TitilliumText25L"/>
          <w:lang w:eastAsia="en-US"/>
        </w:rPr>
      </w:pPr>
    </w:p>
    <w:p w:rsidR="003078D9" w:rsidRPr="003032D8" w:rsidRDefault="003078D9" w:rsidP="009D15DD">
      <w:pPr>
        <w:spacing w:after="0"/>
        <w:rPr>
          <w:rFonts w:ascii="TitilliumText25L" w:hAnsi="TitilliumText25L"/>
          <w:lang w:eastAsia="en-US"/>
        </w:rPr>
      </w:pPr>
    </w:p>
    <w:p w:rsidR="003078D9" w:rsidRPr="003032D8" w:rsidRDefault="003078D9" w:rsidP="009D15DD">
      <w:pPr>
        <w:spacing w:after="0"/>
        <w:rPr>
          <w:rFonts w:ascii="TitilliumText25L" w:hAnsi="TitilliumText25L"/>
          <w:lang w:eastAsia="en-US"/>
        </w:rPr>
      </w:pPr>
    </w:p>
    <w:p w:rsidR="003078D9" w:rsidRPr="003032D8" w:rsidRDefault="003078D9" w:rsidP="009D15DD">
      <w:pPr>
        <w:spacing w:after="0"/>
        <w:rPr>
          <w:rFonts w:ascii="TitilliumText25L" w:hAnsi="TitilliumText25L"/>
          <w:lang w:eastAsia="en-US"/>
        </w:rPr>
      </w:pPr>
    </w:p>
    <w:p w:rsidR="003078D9" w:rsidRPr="003032D8" w:rsidRDefault="003078D9" w:rsidP="009D15DD">
      <w:pPr>
        <w:spacing w:after="0"/>
        <w:rPr>
          <w:rFonts w:ascii="TitilliumText25L" w:hAnsi="TitilliumText25L"/>
          <w:lang w:eastAsia="en-US"/>
        </w:rPr>
      </w:pPr>
    </w:p>
    <w:p w:rsidR="003078D9" w:rsidRPr="003032D8" w:rsidRDefault="003078D9" w:rsidP="009D15DD">
      <w:pPr>
        <w:spacing w:after="0"/>
        <w:rPr>
          <w:rFonts w:ascii="TitilliumText25L" w:hAnsi="TitilliumText25L"/>
          <w:lang w:eastAsia="en-US"/>
        </w:rPr>
      </w:pPr>
    </w:p>
    <w:p w:rsidR="003078D9" w:rsidRPr="003032D8" w:rsidRDefault="003078D9" w:rsidP="009D15DD">
      <w:pPr>
        <w:spacing w:after="0"/>
        <w:rPr>
          <w:rFonts w:ascii="TitilliumText25L" w:hAnsi="TitilliumText25L"/>
          <w:lang w:eastAsia="en-US"/>
        </w:rPr>
      </w:pPr>
    </w:p>
    <w:p w:rsidR="003078D9" w:rsidRPr="003032D8" w:rsidRDefault="003078D9" w:rsidP="009D15DD">
      <w:pPr>
        <w:spacing w:after="0"/>
        <w:rPr>
          <w:rFonts w:ascii="TitilliumText25L" w:hAnsi="TitilliumText25L"/>
          <w:lang w:eastAsia="en-US"/>
        </w:rPr>
      </w:pPr>
    </w:p>
    <w:p w:rsidR="003078D9" w:rsidRPr="003032D8" w:rsidRDefault="003078D9" w:rsidP="009D15DD">
      <w:pPr>
        <w:spacing w:after="0"/>
        <w:rPr>
          <w:rFonts w:ascii="TitilliumText25L" w:hAnsi="TitilliumText25L"/>
          <w:lang w:eastAsia="en-US"/>
        </w:rPr>
      </w:pPr>
    </w:p>
    <w:p w:rsidR="009D15DD" w:rsidRPr="003032D8" w:rsidRDefault="003032D8" w:rsidP="009D15DD">
      <w:pPr>
        <w:autoSpaceDE w:val="0"/>
        <w:autoSpaceDN w:val="0"/>
        <w:adjustRightInd w:val="0"/>
        <w:spacing w:before="32" w:after="0" w:line="240" w:lineRule="auto"/>
        <w:ind w:right="-20"/>
        <w:rPr>
          <w:rFonts w:ascii="Times New Roman" w:eastAsia="Calibri" w:hAnsi="Times New Roman" w:cs="Times New Roman"/>
          <w:sz w:val="20"/>
          <w:szCs w:val="20"/>
          <w:lang w:eastAsia="en-US"/>
        </w:rPr>
      </w:pPr>
      <w:r w:rsidRPr="003032D8">
        <w:rPr>
          <w:rFonts w:ascii="Times New Roman" w:eastAsia="Calibri" w:hAnsi="Times New Roman" w:cs="Times New Roman"/>
          <w:noProof/>
          <w:sz w:val="24"/>
          <w:szCs w:val="24"/>
        </w:rPr>
        <w:pict>
          <v:shape id="Picture 13" o:spid="_x0000_i1025" type="#_x0000_t75" style="width:95.55pt;height:34.6pt;visibility:visible">
            <v:imagedata r:id="rId10" o:title=""/>
          </v:shape>
        </w:pict>
      </w:r>
    </w:p>
    <w:p w:rsidR="009D15DD" w:rsidRPr="003032D8" w:rsidRDefault="009D15DD" w:rsidP="009D15DD">
      <w:pPr>
        <w:spacing w:after="0"/>
        <w:rPr>
          <w:rFonts w:ascii="TitilliumText25L" w:hAnsi="TitilliumText25L"/>
          <w:lang w:eastAsia="en-US"/>
        </w:rPr>
      </w:pPr>
    </w:p>
    <w:p w:rsidR="009D15DD"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With the exception of any logos and registered trademarks, and where otherwise noted, all material presented in this document is provided under a Creative Commons Attribution 3.0 Australia (http://creativecommons.org/ licenses/by/3.0/au/) licence. </w:t>
      </w:r>
    </w:p>
    <w:p w:rsidR="009D15DD" w:rsidRPr="003032D8" w:rsidRDefault="009D15DD" w:rsidP="009D15DD">
      <w:pPr>
        <w:spacing w:after="0"/>
        <w:rPr>
          <w:rFonts w:ascii="TitilliumText25L" w:hAnsi="TitilliumText25L"/>
          <w:lang w:eastAsia="en-US"/>
        </w:rPr>
      </w:pPr>
    </w:p>
    <w:p w:rsidR="009D15DD"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The details of the relevant licence conditions are available on the Creative Commons website (accessible using the links provided) as is the full legal code for the CC BY 3.0 AU license (http://creativecommons.org/licenses/by/3.0/au/legalcode). </w:t>
      </w:r>
    </w:p>
    <w:p w:rsidR="009D15DD" w:rsidRPr="003032D8" w:rsidRDefault="009D15DD" w:rsidP="009D15DD">
      <w:pPr>
        <w:spacing w:after="0"/>
        <w:rPr>
          <w:rFonts w:ascii="TitilliumText25L" w:hAnsi="TitilliumText25L"/>
          <w:lang w:eastAsia="en-US"/>
        </w:rPr>
      </w:pPr>
    </w:p>
    <w:p w:rsidR="009D15DD"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The content obtained from this document or derivative of this work must be attributed as the Guidance for the provision of Intraoperative Cell Salvage – Appendices. </w:t>
      </w:r>
    </w:p>
    <w:p w:rsidR="00AC547C" w:rsidRPr="003032D8" w:rsidRDefault="00AC547C" w:rsidP="00AC547C">
      <w:pPr>
        <w:spacing w:after="0"/>
        <w:rPr>
          <w:rFonts w:ascii="TitilliumText25L" w:hAnsi="TitilliumText25L"/>
          <w:lang w:eastAsia="en-US"/>
        </w:rPr>
      </w:pPr>
      <w:r w:rsidRPr="003032D8">
        <w:rPr>
          <w:rFonts w:ascii="TitilliumText25L" w:hAnsi="TitilliumText25L"/>
          <w:lang w:eastAsia="en-US"/>
        </w:rPr>
        <w:t xml:space="preserve">© National Blood Authority, 2014. </w:t>
      </w:r>
    </w:p>
    <w:p w:rsidR="009D15DD"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This report is available online at: </w:t>
      </w:r>
      <w:hyperlink r:id="rId11" w:history="1">
        <w:r w:rsidRPr="003032D8">
          <w:rPr>
            <w:rFonts w:ascii="TitilliumText25L" w:hAnsi="TitilliumText25L"/>
            <w:color w:val="0000FF"/>
            <w:u w:val="single"/>
            <w:lang w:eastAsia="en-US"/>
          </w:rPr>
          <w:t>www.blood.gov.au</w:t>
        </w:r>
      </w:hyperlink>
      <w:r w:rsidRPr="003032D8">
        <w:rPr>
          <w:rFonts w:ascii="TitilliumText25L" w:hAnsi="TitilliumText25L"/>
          <w:lang w:eastAsia="en-US"/>
        </w:rPr>
        <w:t xml:space="preserve">  </w:t>
      </w:r>
    </w:p>
    <w:p w:rsidR="009D15DD" w:rsidRPr="003032D8" w:rsidRDefault="009D15DD" w:rsidP="009D15DD">
      <w:pPr>
        <w:spacing w:after="0"/>
        <w:rPr>
          <w:rFonts w:ascii="TitilliumText25L" w:hAnsi="TitilliumText25L"/>
          <w:lang w:eastAsia="en-US"/>
        </w:rPr>
      </w:pPr>
    </w:p>
    <w:p w:rsidR="009D15DD"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For more information: </w:t>
      </w:r>
    </w:p>
    <w:p w:rsidR="00AC547C"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Patient Blood Management </w:t>
      </w:r>
    </w:p>
    <w:p w:rsidR="00AC547C"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National Blood Authority </w:t>
      </w:r>
    </w:p>
    <w:p w:rsidR="00AC547C"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Locked Bag 8430 </w:t>
      </w:r>
    </w:p>
    <w:p w:rsidR="009D15DD"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Canberra ACT 2601 </w:t>
      </w:r>
    </w:p>
    <w:p w:rsidR="009D15DD"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Phone: 13000 BLOOD (13 000 25663) </w:t>
      </w:r>
    </w:p>
    <w:p w:rsidR="009D15DD" w:rsidRPr="003032D8" w:rsidRDefault="009D15DD" w:rsidP="009D15DD">
      <w:pPr>
        <w:spacing w:after="0"/>
        <w:rPr>
          <w:rFonts w:ascii="TitilliumText25L" w:hAnsi="TitilliumText25L"/>
          <w:lang w:eastAsia="en-US"/>
        </w:rPr>
      </w:pPr>
      <w:r w:rsidRPr="003032D8">
        <w:rPr>
          <w:rFonts w:ascii="TitilliumText25L" w:hAnsi="TitilliumText25L"/>
          <w:lang w:eastAsia="en-US"/>
        </w:rPr>
        <w:t xml:space="preserve">Email: </w:t>
      </w:r>
      <w:hyperlink r:id="rId12" w:history="1">
        <w:r w:rsidRPr="003032D8">
          <w:rPr>
            <w:rFonts w:ascii="TitilliumText25L" w:hAnsi="TitilliumText25L"/>
            <w:color w:val="0000FF"/>
            <w:u w:val="single"/>
            <w:lang w:eastAsia="en-US"/>
          </w:rPr>
          <w:t>patientbloodmanagement@blood.gov.au</w:t>
        </w:r>
      </w:hyperlink>
      <w:r w:rsidRPr="003032D8">
        <w:rPr>
          <w:rFonts w:ascii="TitilliumText25L" w:hAnsi="TitilliumText25L"/>
          <w:lang w:eastAsia="en-US"/>
        </w:rPr>
        <w:t xml:space="preserve">   </w:t>
      </w:r>
    </w:p>
    <w:p w:rsidR="009D15DD" w:rsidRPr="003032D8" w:rsidRDefault="003032D8" w:rsidP="009D15DD">
      <w:pPr>
        <w:spacing w:after="0"/>
        <w:rPr>
          <w:rFonts w:ascii="TitilliumText25L" w:hAnsi="TitilliumText25L"/>
          <w:lang w:eastAsia="en-US"/>
        </w:rPr>
      </w:pPr>
      <w:hyperlink r:id="rId13" w:history="1">
        <w:r w:rsidR="009D15DD" w:rsidRPr="003032D8">
          <w:rPr>
            <w:rFonts w:ascii="TitilliumText25L" w:hAnsi="TitilliumText25L"/>
            <w:color w:val="0000FF"/>
            <w:u w:val="single"/>
            <w:lang w:eastAsia="en-US"/>
          </w:rPr>
          <w:t>www.blood.gov.au</w:t>
        </w:r>
      </w:hyperlink>
    </w:p>
    <w:p w:rsidR="009D15DD" w:rsidRPr="003032D8" w:rsidRDefault="009D15DD">
      <w:pPr>
        <w:rPr>
          <w:rFonts w:eastAsia="HYGothic-Extra"/>
          <w:bCs/>
          <w:color w:val="1E1E1E"/>
          <w:spacing w:val="-20"/>
          <w:sz w:val="56"/>
          <w:szCs w:val="72"/>
          <w:lang w:eastAsia="en-US"/>
        </w:rPr>
      </w:pPr>
      <w:r w:rsidRPr="003032D8">
        <w:br w:type="page"/>
      </w:r>
    </w:p>
    <w:p w:rsidR="003C59AE" w:rsidRPr="003032D8" w:rsidRDefault="003C59AE" w:rsidP="003C59AE">
      <w:pPr>
        <w:pStyle w:val="Heading1"/>
        <w:rPr>
          <w:rFonts w:ascii="TitilliumText25L" w:hAnsi="TitilliumText25L"/>
        </w:rPr>
      </w:pPr>
      <w:r w:rsidRPr="003032D8">
        <w:rPr>
          <w:rFonts w:ascii="TitilliumText25L" w:hAnsi="TitilliumText25L"/>
        </w:rPr>
        <w:t>Appendixes</w:t>
      </w:r>
    </w:p>
    <w:p w:rsidR="003C59AE" w:rsidRPr="003032D8" w:rsidRDefault="003C59AE" w:rsidP="003C59AE">
      <w:pPr>
        <w:ind w:left="1440" w:hanging="1440"/>
        <w:rPr>
          <w:rFonts w:ascii="TitilliumText25L" w:hAnsi="TitilliumText25L"/>
        </w:rPr>
      </w:pPr>
    </w:p>
    <w:p w:rsidR="003C59AE" w:rsidRPr="003032D8" w:rsidRDefault="003032D8" w:rsidP="003C59AE">
      <w:pPr>
        <w:ind w:left="1440" w:hanging="1440"/>
        <w:rPr>
          <w:rFonts w:ascii="TitilliumText25L" w:hAnsi="TitilliumText25L"/>
        </w:rPr>
      </w:pPr>
      <w:hyperlink w:anchor="_Appendix_I" w:history="1">
        <w:r w:rsidR="003C59AE" w:rsidRPr="003032D8">
          <w:rPr>
            <w:rStyle w:val="Hyperlink"/>
            <w:rFonts w:ascii="TitilliumText25L" w:hAnsi="TitilliumText25L"/>
          </w:rPr>
          <w:t xml:space="preserve">Appendix </w:t>
        </w:r>
        <w:r w:rsidR="009C3FCC" w:rsidRPr="003032D8">
          <w:rPr>
            <w:rStyle w:val="Hyperlink"/>
            <w:rFonts w:ascii="TitilliumText25L" w:hAnsi="TitilliumText25L"/>
          </w:rPr>
          <w:t>I</w:t>
        </w:r>
      </w:hyperlink>
      <w:r w:rsidR="003C59AE" w:rsidRPr="003032D8">
        <w:rPr>
          <w:rFonts w:ascii="TitilliumText25L" w:hAnsi="TitilliumText25L"/>
        </w:rPr>
        <w:tab/>
        <w:t>Business Case Guidance</w:t>
      </w:r>
    </w:p>
    <w:p w:rsidR="003C59AE" w:rsidRPr="003032D8" w:rsidRDefault="003032D8" w:rsidP="003C59AE">
      <w:pPr>
        <w:ind w:left="1440" w:hanging="1440"/>
        <w:rPr>
          <w:rFonts w:ascii="TitilliumText25L" w:hAnsi="TitilliumText25L"/>
        </w:rPr>
      </w:pPr>
      <w:hyperlink w:anchor="_Appendix_IIa" w:history="1">
        <w:r w:rsidR="003C59AE" w:rsidRPr="003032D8">
          <w:rPr>
            <w:rStyle w:val="Hyperlink"/>
            <w:rFonts w:ascii="TitilliumText25L" w:hAnsi="TitilliumText25L"/>
          </w:rPr>
          <w:t>Appendix IIa</w:t>
        </w:r>
      </w:hyperlink>
      <w:r w:rsidR="003C59AE" w:rsidRPr="003032D8">
        <w:rPr>
          <w:rFonts w:ascii="TitilliumText25L" w:hAnsi="TitilliumText25L"/>
        </w:rPr>
        <w:tab/>
        <w:t>Surgical Procedures where Intraoperative Cell Salvage presents significant benefit towards the management of perioperative blood loss.</w:t>
      </w:r>
    </w:p>
    <w:p w:rsidR="003C59AE" w:rsidRPr="003032D8" w:rsidRDefault="003032D8" w:rsidP="003C59AE">
      <w:pPr>
        <w:rPr>
          <w:rFonts w:ascii="TitilliumText25L" w:hAnsi="TitilliumText25L"/>
        </w:rPr>
      </w:pPr>
      <w:hyperlink w:anchor="_Appendix_IIb" w:history="1">
        <w:r w:rsidR="003C59AE" w:rsidRPr="003032D8">
          <w:rPr>
            <w:rStyle w:val="Hyperlink"/>
            <w:rFonts w:ascii="TitilliumText25L" w:hAnsi="TitilliumText25L"/>
          </w:rPr>
          <w:t>Appendix IIb</w:t>
        </w:r>
      </w:hyperlink>
      <w:r w:rsidR="003C59AE" w:rsidRPr="003032D8">
        <w:rPr>
          <w:rFonts w:ascii="TitilliumText25L" w:hAnsi="TitilliumText25L"/>
        </w:rPr>
        <w:tab/>
        <w:t xml:space="preserve">Surgical Procedures – an Australian experience </w:t>
      </w:r>
    </w:p>
    <w:p w:rsidR="003C59AE" w:rsidRPr="003032D8" w:rsidRDefault="003032D8" w:rsidP="003C59AE">
      <w:pPr>
        <w:rPr>
          <w:rFonts w:ascii="TitilliumText25L" w:hAnsi="TitilliumText25L"/>
        </w:rPr>
      </w:pPr>
      <w:hyperlink w:anchor="_Appendix_III_1" w:history="1">
        <w:r w:rsidR="003C59AE" w:rsidRPr="003032D8">
          <w:rPr>
            <w:rStyle w:val="Hyperlink"/>
            <w:rFonts w:ascii="TitilliumText25L" w:hAnsi="TitilliumText25L"/>
          </w:rPr>
          <w:t>Appendix III</w:t>
        </w:r>
      </w:hyperlink>
      <w:r w:rsidR="003C59AE" w:rsidRPr="003032D8">
        <w:rPr>
          <w:rFonts w:ascii="TitilliumText25L" w:hAnsi="TitilliumText25L"/>
        </w:rPr>
        <w:tab/>
        <w:t>Audit Proforma</w:t>
      </w:r>
    </w:p>
    <w:p w:rsidR="003C59AE" w:rsidRPr="003032D8" w:rsidRDefault="003032D8" w:rsidP="003C59AE">
      <w:pPr>
        <w:rPr>
          <w:rFonts w:ascii="TitilliumText25L" w:hAnsi="TitilliumText25L"/>
        </w:rPr>
      </w:pPr>
      <w:hyperlink w:anchor="_Appendix_IV" w:history="1">
        <w:r w:rsidR="003C59AE" w:rsidRPr="003032D8">
          <w:rPr>
            <w:rStyle w:val="Hyperlink"/>
            <w:rFonts w:ascii="TitilliumText25L" w:hAnsi="TitilliumText25L"/>
          </w:rPr>
          <w:t>Appendix IV</w:t>
        </w:r>
      </w:hyperlink>
      <w:r w:rsidR="003C59AE" w:rsidRPr="003032D8">
        <w:rPr>
          <w:rFonts w:ascii="TitilliumText25L" w:hAnsi="TitilliumText25L"/>
        </w:rPr>
        <w:tab/>
        <w:t>Intraoperative Cell Salvage Competency Assessment Workbook</w:t>
      </w:r>
    </w:p>
    <w:p w:rsidR="003C59AE" w:rsidRPr="003032D8" w:rsidRDefault="003032D8" w:rsidP="003C59AE">
      <w:pPr>
        <w:rPr>
          <w:rFonts w:ascii="TitilliumText25L" w:hAnsi="TitilliumText25L"/>
        </w:rPr>
      </w:pPr>
      <w:hyperlink w:anchor="_Appendix_V_1" w:history="1">
        <w:r w:rsidR="003C59AE" w:rsidRPr="003032D8">
          <w:rPr>
            <w:rStyle w:val="Hyperlink"/>
            <w:rFonts w:ascii="TitilliumText25L" w:hAnsi="TitilliumText25L"/>
          </w:rPr>
          <w:t xml:space="preserve">Appendix V </w:t>
        </w:r>
      </w:hyperlink>
      <w:r w:rsidR="003C59AE" w:rsidRPr="003032D8">
        <w:rPr>
          <w:rFonts w:ascii="TitilliumText25L" w:hAnsi="TitilliumText25L"/>
        </w:rPr>
        <w:tab/>
        <w:t>Use of Intraoperative Cell Salvage in Obstetrics</w:t>
      </w:r>
    </w:p>
    <w:p w:rsidR="003C59AE" w:rsidRPr="003032D8" w:rsidRDefault="003032D8" w:rsidP="003C59AE">
      <w:pPr>
        <w:rPr>
          <w:rFonts w:ascii="TitilliumText25L" w:hAnsi="TitilliumText25L"/>
        </w:rPr>
      </w:pPr>
      <w:hyperlink w:anchor="_Use_of_Intraoperative" w:history="1">
        <w:r w:rsidR="003C59AE" w:rsidRPr="003032D8">
          <w:rPr>
            <w:rStyle w:val="Hyperlink"/>
            <w:rFonts w:ascii="TitilliumText25L" w:hAnsi="TitilliumText25L"/>
          </w:rPr>
          <w:t>Appendix VI</w:t>
        </w:r>
      </w:hyperlink>
      <w:r w:rsidR="003C59AE" w:rsidRPr="003032D8">
        <w:rPr>
          <w:rFonts w:ascii="TitilliumText25L" w:hAnsi="TitilliumText25L"/>
        </w:rPr>
        <w:tab/>
        <w:t>Use of Intraoperative Cell Salvage in Malignant Disease</w:t>
      </w:r>
    </w:p>
    <w:p w:rsidR="003C59AE" w:rsidRPr="003032D8" w:rsidRDefault="003032D8" w:rsidP="003C59AE">
      <w:pPr>
        <w:rPr>
          <w:rFonts w:ascii="TitilliumText25L" w:hAnsi="TitilliumText25L"/>
        </w:rPr>
      </w:pPr>
      <w:hyperlink w:anchor="_Appendix_VII" w:history="1">
        <w:r w:rsidR="003C59AE" w:rsidRPr="003032D8">
          <w:rPr>
            <w:rStyle w:val="Hyperlink"/>
            <w:rFonts w:ascii="TitilliumText25L" w:hAnsi="TitilliumText25L"/>
          </w:rPr>
          <w:t>Appendix VII</w:t>
        </w:r>
      </w:hyperlink>
      <w:r w:rsidR="003C59AE" w:rsidRPr="003032D8">
        <w:rPr>
          <w:rStyle w:val="Heading8Char"/>
          <w:rFonts w:ascii="TitilliumText25L" w:eastAsia="Dotum" w:hAnsi="TitilliumText25L"/>
        </w:rPr>
        <w:t xml:space="preserve"> </w:t>
      </w:r>
      <w:r w:rsidR="003C59AE" w:rsidRPr="003032D8">
        <w:rPr>
          <w:rStyle w:val="Heading8Char"/>
          <w:rFonts w:ascii="TitilliumText25L" w:eastAsia="Dotum" w:hAnsi="TitilliumText25L"/>
        </w:rPr>
        <w:tab/>
      </w:r>
      <w:r w:rsidR="003C59AE" w:rsidRPr="003032D8">
        <w:rPr>
          <w:rFonts w:ascii="TitilliumText25L" w:hAnsi="TitilliumText25L"/>
        </w:rPr>
        <w:t>Cell Salvage Patient Information Leaflet</w:t>
      </w:r>
    </w:p>
    <w:p w:rsidR="003C59AE" w:rsidRPr="003032D8" w:rsidRDefault="003032D8" w:rsidP="003C59AE">
      <w:pPr>
        <w:rPr>
          <w:rFonts w:ascii="TitilliumText25L" w:hAnsi="TitilliumText25L"/>
        </w:rPr>
      </w:pPr>
      <w:hyperlink w:anchor="_Appendix_VIII_1" w:history="1">
        <w:r w:rsidR="003C59AE" w:rsidRPr="003032D8">
          <w:rPr>
            <w:rStyle w:val="Hyperlink"/>
            <w:rFonts w:ascii="TitilliumText25L" w:hAnsi="TitilliumText25L"/>
          </w:rPr>
          <w:t>Appendix VIII</w:t>
        </w:r>
      </w:hyperlink>
      <w:r w:rsidR="003C59AE" w:rsidRPr="003032D8">
        <w:rPr>
          <w:rFonts w:ascii="TitilliumText25L" w:hAnsi="TitilliumText25L"/>
        </w:rPr>
        <w:tab/>
        <w:t>Manufacturers’ Guidelines</w:t>
      </w:r>
    </w:p>
    <w:p w:rsidR="003C59AE" w:rsidRPr="003032D8" w:rsidRDefault="003032D8" w:rsidP="003C59AE">
      <w:pPr>
        <w:rPr>
          <w:rFonts w:ascii="TitilliumText25L" w:hAnsi="TitilliumText25L"/>
        </w:rPr>
      </w:pPr>
      <w:hyperlink w:anchor="_Appendix_IX_1" w:history="1">
        <w:r w:rsidR="003C59AE" w:rsidRPr="003032D8">
          <w:rPr>
            <w:rStyle w:val="Hyperlink"/>
            <w:rFonts w:ascii="TitilliumText25L" w:hAnsi="TitilliumText25L"/>
          </w:rPr>
          <w:t>Appendix IX</w:t>
        </w:r>
      </w:hyperlink>
      <w:r w:rsidR="003C59AE" w:rsidRPr="003032D8">
        <w:rPr>
          <w:rFonts w:ascii="TitilliumText25L" w:hAnsi="TitilliumText25L"/>
        </w:rPr>
        <w:tab/>
        <w:t>Autologous Transfusion Label</w:t>
      </w:r>
    </w:p>
    <w:p w:rsidR="003C59AE" w:rsidRPr="003032D8" w:rsidRDefault="003032D8" w:rsidP="003C59AE">
      <w:pPr>
        <w:rPr>
          <w:rFonts w:ascii="TitilliumText25L" w:hAnsi="TitilliumText25L"/>
        </w:rPr>
      </w:pPr>
      <w:hyperlink w:anchor="_Appendix_X" w:history="1">
        <w:r w:rsidR="003C59AE" w:rsidRPr="003032D8">
          <w:rPr>
            <w:rStyle w:val="Hyperlink"/>
            <w:rFonts w:ascii="TitilliumText25L" w:hAnsi="TitilliumText25L"/>
          </w:rPr>
          <w:t>Appendix X</w:t>
        </w:r>
      </w:hyperlink>
      <w:r w:rsidR="003C59AE" w:rsidRPr="003032D8">
        <w:rPr>
          <w:rFonts w:ascii="TitilliumText25L" w:hAnsi="TitilliumText25L"/>
        </w:rPr>
        <w:tab/>
        <w:t>Fault log</w:t>
      </w:r>
    </w:p>
    <w:p w:rsidR="003C59AE" w:rsidRPr="003032D8" w:rsidRDefault="003032D8" w:rsidP="003C59AE">
      <w:pPr>
        <w:rPr>
          <w:rStyle w:val="Heading8Char"/>
          <w:rFonts w:ascii="TitilliumText25L" w:eastAsia="Dotum" w:hAnsi="TitilliumText25L"/>
        </w:rPr>
      </w:pPr>
      <w:hyperlink w:anchor="_Appendix_XI_1" w:history="1">
        <w:r w:rsidR="003C59AE" w:rsidRPr="003032D8">
          <w:rPr>
            <w:rStyle w:val="Hyperlink"/>
            <w:rFonts w:ascii="TitilliumText25L" w:hAnsi="TitilliumText25L"/>
          </w:rPr>
          <w:t>Appendix XI</w:t>
        </w:r>
      </w:hyperlink>
      <w:r w:rsidR="003C59AE" w:rsidRPr="003032D8">
        <w:rPr>
          <w:rFonts w:ascii="TitilliumText25L" w:hAnsi="TitilliumText25L"/>
        </w:rPr>
        <w:tab/>
        <w:t>Patie</w:t>
      </w:r>
      <w:bookmarkStart w:id="2" w:name="_GoBack"/>
      <w:bookmarkEnd w:id="2"/>
      <w:r w:rsidR="003C59AE" w:rsidRPr="003032D8">
        <w:rPr>
          <w:rFonts w:ascii="TitilliumText25L" w:hAnsi="TitilliumText25L"/>
        </w:rPr>
        <w:t>nt material “About Patient Blood Management</w:t>
      </w:r>
    </w:p>
    <w:p w:rsidR="003C59AE" w:rsidRPr="003032D8" w:rsidRDefault="003C59AE">
      <w:pPr>
        <w:rPr>
          <w:rFonts w:ascii="TitilliumText25L" w:hAnsi="TitilliumText25L" w:cs="Arial"/>
          <w:sz w:val="36"/>
          <w:szCs w:val="36"/>
          <w:lang w:eastAsia="en-US"/>
        </w:rPr>
      </w:pPr>
      <w:r w:rsidRPr="003032D8">
        <w:rPr>
          <w:rFonts w:ascii="TitilliumText25L" w:hAnsi="TitilliumText25L"/>
        </w:rPr>
        <w:br w:type="page"/>
      </w:r>
    </w:p>
    <w:p w:rsidR="00AC547C" w:rsidRPr="003032D8" w:rsidRDefault="00AC547C">
      <w:pPr>
        <w:rPr>
          <w:rFonts w:ascii="TitilliumText25L" w:hAnsi="TitilliumText25L" w:cs="Arial"/>
          <w:sz w:val="36"/>
          <w:szCs w:val="36"/>
          <w:lang w:eastAsia="en-US"/>
        </w:rPr>
      </w:pPr>
      <w:bookmarkStart w:id="3" w:name="_Appendix_I"/>
      <w:bookmarkEnd w:id="3"/>
      <w:r w:rsidRPr="003032D8">
        <w:rPr>
          <w:rFonts w:ascii="TitilliumText25L" w:hAnsi="TitilliumText25L"/>
        </w:rPr>
        <w:br w:type="page"/>
      </w:r>
    </w:p>
    <w:p w:rsidR="00D81D6F" w:rsidRPr="003032D8" w:rsidRDefault="00D81D6F" w:rsidP="00D81D6F">
      <w:pPr>
        <w:pStyle w:val="Heading2"/>
        <w:rPr>
          <w:rFonts w:ascii="TitilliumText25L" w:hAnsi="TitilliumText25L"/>
        </w:rPr>
      </w:pPr>
      <w:r w:rsidRPr="003032D8">
        <w:rPr>
          <w:rFonts w:ascii="TitilliumText25L" w:hAnsi="TitilliumText25L"/>
        </w:rPr>
        <w:t>Appendix I</w:t>
      </w:r>
      <w:bookmarkEnd w:id="0"/>
      <w:r w:rsidRPr="003032D8">
        <w:rPr>
          <w:rFonts w:ascii="TitilliumText25L" w:hAnsi="TitilliumText25L"/>
        </w:rPr>
        <w:t xml:space="preserve"> </w:t>
      </w:r>
    </w:p>
    <w:p w:rsidR="00D81D6F" w:rsidRPr="003032D8" w:rsidRDefault="00D81D6F" w:rsidP="00D81D6F">
      <w:pPr>
        <w:pStyle w:val="Heading3"/>
        <w:rPr>
          <w:rFonts w:ascii="TitilliumText25L" w:hAnsi="TitilliumText25L"/>
        </w:rPr>
      </w:pPr>
      <w:bookmarkStart w:id="4" w:name="_Business_Case_Guidance"/>
      <w:bookmarkStart w:id="5" w:name="_Toc366850056"/>
      <w:bookmarkEnd w:id="4"/>
      <w:r w:rsidRPr="003032D8">
        <w:rPr>
          <w:rFonts w:ascii="TitilliumText25L" w:hAnsi="TitilliumText25L"/>
        </w:rPr>
        <w:t>Business Case Guidance</w:t>
      </w:r>
      <w:bookmarkEnd w:id="5"/>
    </w:p>
    <w:p w:rsidR="00D81D6F" w:rsidRPr="003032D8" w:rsidRDefault="00D81D6F" w:rsidP="00D81D6F">
      <w:pPr>
        <w:spacing w:line="240" w:lineRule="auto"/>
        <w:rPr>
          <w:rFonts w:ascii="TitilliumText25L" w:hAnsi="TitilliumText25L"/>
          <w:b/>
          <w:sz w:val="28"/>
          <w:szCs w:val="28"/>
        </w:rPr>
      </w:pPr>
      <w:r w:rsidRPr="003032D8">
        <w:rPr>
          <w:rFonts w:ascii="TitilliumText25L" w:hAnsi="TitilliumText25L"/>
          <w:b/>
          <w:sz w:val="28"/>
          <w:szCs w:val="28"/>
        </w:rPr>
        <w:t xml:space="preserve">This business case is a generic framework intended to form the basis of a bid for funding by a large tertiary hospital, or smaller hospitals where the implementation could be justified, to introduce Intraoperative Cell Salvage. The text is unprotected and can be amended to suit local requirements. It is based on the </w:t>
      </w:r>
      <w:hyperlink r:id="rId14" w:history="1">
        <w:r w:rsidRPr="003032D8">
          <w:rPr>
            <w:rFonts w:ascii="TitilliumText25L" w:hAnsi="TitilliumText25L"/>
            <w:b/>
            <w:color w:val="0000FF"/>
            <w:sz w:val="28"/>
            <w:szCs w:val="28"/>
            <w:u w:val="single"/>
          </w:rPr>
          <w:t>UK Cell Salvage Action Group Business Case</w:t>
        </w:r>
      </w:hyperlink>
      <w:r w:rsidRPr="003032D8">
        <w:rPr>
          <w:rFonts w:ascii="TitilliumText25L" w:hAnsi="TitilliumText25L"/>
          <w:b/>
          <w:sz w:val="28"/>
          <w:szCs w:val="28"/>
        </w:rPr>
        <w:t xml:space="preserve"> developed in 2007.</w:t>
      </w:r>
    </w:p>
    <w:p w:rsidR="00D81D6F" w:rsidRPr="003032D8" w:rsidRDefault="00D81D6F" w:rsidP="00D81D6F">
      <w:pPr>
        <w:spacing w:line="240" w:lineRule="auto"/>
        <w:rPr>
          <w:rFonts w:ascii="TitilliumText25L" w:hAnsi="TitilliumText25L"/>
        </w:rPr>
      </w:pPr>
      <w:r w:rsidRPr="003032D8">
        <w:rPr>
          <w:rFonts w:ascii="TitilliumText25L" w:hAnsi="TitilliumText25L"/>
        </w:rPr>
        <w:t>This business case focuses on the contract and investment required for the:</w:t>
      </w:r>
    </w:p>
    <w:p w:rsidR="00D81D6F" w:rsidRPr="003032D8" w:rsidRDefault="00D81D6F" w:rsidP="00D81D6F">
      <w:pPr>
        <w:numPr>
          <w:ilvl w:val="0"/>
          <w:numId w:val="24"/>
        </w:numPr>
        <w:spacing w:line="240" w:lineRule="auto"/>
        <w:contextualSpacing/>
        <w:rPr>
          <w:rFonts w:ascii="TitilliumText25L" w:hAnsi="TitilliumText25L"/>
        </w:rPr>
      </w:pPr>
      <w:r w:rsidRPr="003032D8">
        <w:rPr>
          <w:rFonts w:ascii="TitilliumText25L" w:hAnsi="TitilliumText25L"/>
        </w:rPr>
        <w:t xml:space="preserve">acquisition of new Intraoperative Cell Salvage equipment </w:t>
      </w:r>
    </w:p>
    <w:p w:rsidR="00D81D6F" w:rsidRPr="003032D8" w:rsidRDefault="00D81D6F" w:rsidP="00D81D6F">
      <w:pPr>
        <w:numPr>
          <w:ilvl w:val="0"/>
          <w:numId w:val="24"/>
        </w:numPr>
        <w:spacing w:line="240" w:lineRule="auto"/>
        <w:contextualSpacing/>
        <w:rPr>
          <w:rFonts w:ascii="TitilliumText25L" w:hAnsi="TitilliumText25L"/>
        </w:rPr>
      </w:pPr>
      <w:r w:rsidRPr="003032D8">
        <w:rPr>
          <w:rFonts w:ascii="TitilliumText25L" w:hAnsi="TitilliumText25L"/>
        </w:rPr>
        <w:t>disposable equipment cost</w:t>
      </w:r>
    </w:p>
    <w:p w:rsidR="00D81D6F" w:rsidRPr="003032D8" w:rsidRDefault="00D81D6F" w:rsidP="00D81D6F">
      <w:pPr>
        <w:numPr>
          <w:ilvl w:val="0"/>
          <w:numId w:val="24"/>
        </w:numPr>
        <w:spacing w:line="240" w:lineRule="auto"/>
        <w:contextualSpacing/>
        <w:rPr>
          <w:rFonts w:ascii="TitilliumText25L" w:hAnsi="TitilliumText25L"/>
        </w:rPr>
      </w:pPr>
      <w:r w:rsidRPr="003032D8">
        <w:rPr>
          <w:rFonts w:ascii="TitilliumText25L" w:hAnsi="TitilliumText25L"/>
        </w:rPr>
        <w:t>implementation of a new Intraoperative Cell Salvage service</w:t>
      </w:r>
    </w:p>
    <w:p w:rsidR="00D81D6F" w:rsidRPr="003032D8" w:rsidRDefault="00D81D6F" w:rsidP="00D81D6F">
      <w:pPr>
        <w:numPr>
          <w:ilvl w:val="0"/>
          <w:numId w:val="24"/>
        </w:numPr>
        <w:spacing w:line="240" w:lineRule="auto"/>
        <w:contextualSpacing/>
        <w:rPr>
          <w:rFonts w:ascii="TitilliumText25L" w:hAnsi="TitilliumText25L"/>
        </w:rPr>
      </w:pPr>
      <w:r w:rsidRPr="003032D8">
        <w:rPr>
          <w:rFonts w:ascii="TitilliumText25L" w:hAnsi="TitilliumText25L"/>
        </w:rPr>
        <w:t xml:space="preserve">training and maintenance of competency </w:t>
      </w:r>
    </w:p>
    <w:p w:rsidR="00D81D6F" w:rsidRPr="003032D8" w:rsidRDefault="00D81D6F" w:rsidP="00D81D6F">
      <w:pPr>
        <w:numPr>
          <w:ilvl w:val="0"/>
          <w:numId w:val="24"/>
        </w:numPr>
        <w:spacing w:line="240" w:lineRule="auto"/>
        <w:contextualSpacing/>
        <w:rPr>
          <w:rFonts w:ascii="TitilliumText25L" w:hAnsi="TitilliumText25L"/>
        </w:rPr>
      </w:pPr>
      <w:r w:rsidRPr="003032D8">
        <w:rPr>
          <w:rFonts w:ascii="TitilliumText25L" w:hAnsi="TitilliumText25L"/>
        </w:rPr>
        <w:t xml:space="preserve">salaries and call out fees </w:t>
      </w:r>
    </w:p>
    <w:p w:rsidR="00D81D6F" w:rsidRPr="003032D8" w:rsidRDefault="00D81D6F" w:rsidP="00D81D6F">
      <w:pPr>
        <w:numPr>
          <w:ilvl w:val="0"/>
          <w:numId w:val="24"/>
        </w:numPr>
        <w:spacing w:line="240" w:lineRule="auto"/>
        <w:contextualSpacing/>
        <w:rPr>
          <w:rFonts w:ascii="TitilliumText25L" w:hAnsi="TitilliumText25L"/>
        </w:rPr>
      </w:pPr>
      <w:r w:rsidRPr="003032D8">
        <w:rPr>
          <w:rFonts w:ascii="TitilliumText25L" w:hAnsi="TitilliumText25L"/>
        </w:rPr>
        <w:t>documentation and audit processes.</w:t>
      </w:r>
    </w:p>
    <w:p w:rsidR="00D81D6F" w:rsidRPr="003032D8" w:rsidRDefault="00D81D6F" w:rsidP="00D81D6F">
      <w:pPr>
        <w:spacing w:line="240" w:lineRule="auto"/>
        <w:rPr>
          <w:rFonts w:ascii="TitilliumText25L" w:hAnsi="TitilliumText25L"/>
        </w:rPr>
      </w:pPr>
    </w:p>
    <w:p w:rsidR="00D81D6F" w:rsidRPr="003032D8" w:rsidRDefault="00D81D6F" w:rsidP="00D81D6F">
      <w:pPr>
        <w:spacing w:line="240" w:lineRule="auto"/>
        <w:rPr>
          <w:rFonts w:ascii="TitilliumText25L" w:hAnsi="TitilliumText25L"/>
        </w:rPr>
      </w:pPr>
      <w:r w:rsidRPr="003032D8">
        <w:rPr>
          <w:rFonts w:ascii="TitilliumText25L" w:hAnsi="TitilliumText25L"/>
        </w:rPr>
        <w:t>This is how the additional costs will be offset by the savings.</w:t>
      </w:r>
    </w:p>
    <w:p w:rsidR="00085E9D" w:rsidRPr="003032D8" w:rsidRDefault="00D81D6F" w:rsidP="00D81D6F">
      <w:pPr>
        <w:spacing w:line="240" w:lineRule="auto"/>
        <w:rPr>
          <w:rFonts w:ascii="TitilliumText25L" w:hAnsi="TitilliumText25L"/>
        </w:rPr>
      </w:pPr>
      <w:r w:rsidRPr="003032D8">
        <w:rPr>
          <w:rFonts w:ascii="TitilliumText25L" w:hAnsi="TitilliumText25L"/>
        </w:rPr>
        <w:t xml:space="preserve">Wider cost savings may be realisable from the financial impacts of a potential shorter patient length of hospital stay, reduced incidence of complications specifically associated with allogeneic blood transfusion such as reduced infection rates and reduction of immunomodulation. More information on the advantages of Intraoperative Cell Salvage is included in </w:t>
      </w:r>
      <w:hyperlink w:anchor="_Background" w:history="1">
        <w:r w:rsidRPr="003032D8">
          <w:rPr>
            <w:rStyle w:val="Hyperlink"/>
            <w:rFonts w:ascii="TitilliumText25L" w:hAnsi="TitilliumText25L"/>
          </w:rPr>
          <w:t>Section 3</w:t>
        </w:r>
      </w:hyperlink>
      <w:r w:rsidRPr="003032D8">
        <w:rPr>
          <w:rFonts w:ascii="TitilliumText25L" w:hAnsi="TitilliumText25L"/>
        </w:rPr>
        <w:t xml:space="preserve"> of the main document.</w:t>
      </w:r>
    </w:p>
    <w:p w:rsidR="00085E9D" w:rsidRPr="003032D8" w:rsidRDefault="00085E9D">
      <w:pPr>
        <w:rPr>
          <w:rFonts w:ascii="TitilliumText25L" w:hAnsi="TitilliumText25L"/>
        </w:rPr>
      </w:pPr>
      <w:r w:rsidRPr="003032D8">
        <w:rPr>
          <w:rFonts w:ascii="TitilliumText25L" w:hAnsi="TitilliumText25L"/>
        </w:rPr>
        <w:br w:type="page"/>
      </w:r>
    </w:p>
    <w:p w:rsidR="00D81D6F" w:rsidRPr="003032D8" w:rsidRDefault="00D81D6F" w:rsidP="00D81D6F">
      <w:pPr>
        <w:spacing w:line="240" w:lineRule="auto"/>
        <w:rPr>
          <w:rFonts w:ascii="TitilliumText25L" w:hAnsi="TitilliumText25L" w:cs="Arial"/>
        </w:rPr>
      </w:pPr>
    </w:p>
    <w:p w:rsidR="00D81D6F" w:rsidRPr="003032D8" w:rsidRDefault="00D81D6F" w:rsidP="00D81D6F">
      <w:pPr>
        <w:spacing w:line="240" w:lineRule="auto"/>
        <w:jc w:val="center"/>
        <w:rPr>
          <w:rFonts w:ascii="TitilliumText25L" w:hAnsi="TitilliumText25L"/>
        </w:rPr>
      </w:pPr>
    </w:p>
    <w:p w:rsidR="00085E9D" w:rsidRPr="003032D8" w:rsidRDefault="00085E9D" w:rsidP="00D81D6F">
      <w:pPr>
        <w:spacing w:line="240" w:lineRule="auto"/>
        <w:jc w:val="center"/>
        <w:rPr>
          <w:rFonts w:ascii="TitilliumText25L" w:hAnsi="TitilliumText25L"/>
        </w:rPr>
        <w:sectPr w:rsidR="00085E9D" w:rsidRPr="003032D8" w:rsidSect="009D15DD">
          <w:footerReference w:type="default" r:id="rId15"/>
          <w:footerReference w:type="first" r:id="rId16"/>
          <w:pgSz w:w="11906" w:h="16838" w:code="9"/>
          <w:pgMar w:top="1440" w:right="1797" w:bottom="1135" w:left="1797" w:header="720" w:footer="329" w:gutter="0"/>
          <w:pgNumType w:start="0"/>
          <w:cols w:space="720"/>
          <w:docGrid w:linePitch="299"/>
        </w:sectPr>
      </w:pPr>
    </w:p>
    <w:p w:rsidR="00D81D6F" w:rsidRPr="003032D8" w:rsidRDefault="00D81D6F" w:rsidP="00D81D6F">
      <w:pPr>
        <w:spacing w:before="360" w:after="120" w:line="240" w:lineRule="auto"/>
        <w:jc w:val="center"/>
        <w:outlineLvl w:val="1"/>
        <w:rPr>
          <w:rFonts w:ascii="TitilliumText25L" w:hAnsi="TitilliumText25L" w:cs="Arial"/>
          <w:b/>
          <w:color w:val="C60C30"/>
          <w:sz w:val="36"/>
          <w:szCs w:val="36"/>
          <w:u w:val="single"/>
        </w:rPr>
      </w:pPr>
    </w:p>
    <w:p w:rsidR="00D81D6F" w:rsidRPr="003032D8" w:rsidRDefault="00D81D6F" w:rsidP="00D81D6F">
      <w:pPr>
        <w:spacing w:before="360" w:after="120" w:line="240" w:lineRule="auto"/>
        <w:jc w:val="center"/>
        <w:outlineLvl w:val="1"/>
        <w:rPr>
          <w:rFonts w:ascii="TitilliumText25L" w:hAnsi="TitilliumText25L" w:cs="Arial"/>
          <w:b/>
          <w:color w:val="C60C30"/>
          <w:sz w:val="36"/>
          <w:szCs w:val="36"/>
          <w:u w:val="single"/>
        </w:rPr>
      </w:pPr>
    </w:p>
    <w:p w:rsidR="00D81D6F" w:rsidRPr="003032D8" w:rsidRDefault="00D81D6F" w:rsidP="00D81D6F">
      <w:pPr>
        <w:spacing w:before="360" w:after="120" w:line="240" w:lineRule="auto"/>
        <w:jc w:val="center"/>
        <w:outlineLvl w:val="1"/>
        <w:rPr>
          <w:rFonts w:ascii="TitilliumText25L" w:hAnsi="TitilliumText25L" w:cs="Arial"/>
          <w:b/>
          <w:color w:val="C60C30"/>
          <w:sz w:val="36"/>
          <w:szCs w:val="36"/>
          <w:u w:val="single"/>
        </w:rPr>
      </w:pPr>
    </w:p>
    <w:p w:rsidR="00D81D6F" w:rsidRPr="003032D8" w:rsidRDefault="00D81D6F" w:rsidP="00D81D6F">
      <w:pPr>
        <w:spacing w:before="360" w:after="120" w:line="240" w:lineRule="auto"/>
        <w:jc w:val="center"/>
        <w:outlineLvl w:val="1"/>
        <w:rPr>
          <w:rFonts w:ascii="TitilliumText25L" w:hAnsi="TitilliumText25L" w:cs="Arial"/>
          <w:b/>
          <w:color w:val="C60C30"/>
          <w:sz w:val="36"/>
          <w:szCs w:val="36"/>
          <w:u w:val="single"/>
        </w:rPr>
      </w:pPr>
    </w:p>
    <w:p w:rsidR="00D81D6F" w:rsidRPr="003032D8" w:rsidRDefault="00D81D6F" w:rsidP="00D81D6F">
      <w:pPr>
        <w:spacing w:before="360" w:after="120" w:line="240" w:lineRule="auto"/>
        <w:jc w:val="center"/>
        <w:outlineLvl w:val="1"/>
        <w:rPr>
          <w:rFonts w:ascii="TitilliumText25L" w:hAnsi="TitilliumText25L" w:cs="Arial"/>
          <w:b/>
          <w:color w:val="C60C30"/>
          <w:sz w:val="36"/>
          <w:szCs w:val="36"/>
          <w:u w:val="single"/>
        </w:rPr>
      </w:pPr>
    </w:p>
    <w:p w:rsidR="00D81D6F" w:rsidRPr="003032D8" w:rsidRDefault="00D81D6F" w:rsidP="00D81D6F">
      <w:pPr>
        <w:spacing w:before="360" w:after="120" w:line="240" w:lineRule="auto"/>
        <w:jc w:val="center"/>
        <w:outlineLvl w:val="1"/>
        <w:rPr>
          <w:rFonts w:ascii="TitilliumText25L" w:hAnsi="TitilliumText25L" w:cs="Arial"/>
          <w:b/>
          <w:color w:val="C60C30"/>
          <w:sz w:val="36"/>
          <w:szCs w:val="36"/>
          <w:u w:val="single"/>
        </w:rPr>
      </w:pPr>
    </w:p>
    <w:p w:rsidR="00D81D6F" w:rsidRPr="003032D8" w:rsidRDefault="00D81D6F" w:rsidP="00D81D6F">
      <w:pPr>
        <w:spacing w:before="360" w:after="120" w:line="240" w:lineRule="auto"/>
        <w:jc w:val="center"/>
        <w:outlineLvl w:val="1"/>
        <w:rPr>
          <w:rFonts w:ascii="TitilliumText25L" w:hAnsi="TitilliumText25L" w:cs="Arial"/>
          <w:b/>
          <w:color w:val="C60C30"/>
          <w:sz w:val="36"/>
          <w:szCs w:val="36"/>
          <w:u w:val="single"/>
        </w:rPr>
      </w:pPr>
      <w:bookmarkStart w:id="6" w:name="_Toc366850057"/>
      <w:r w:rsidRPr="003032D8">
        <w:rPr>
          <w:rFonts w:ascii="TitilliumText25L" w:hAnsi="TitilliumText25L" w:cs="Arial"/>
          <w:b/>
          <w:color w:val="C60C30"/>
          <w:sz w:val="36"/>
          <w:szCs w:val="36"/>
          <w:u w:val="single"/>
        </w:rPr>
        <w:t>The Provision of</w:t>
      </w:r>
      <w:bookmarkEnd w:id="6"/>
      <w:r w:rsidRPr="003032D8">
        <w:rPr>
          <w:rFonts w:ascii="TitilliumText25L" w:hAnsi="TitilliumText25L" w:cs="Arial"/>
          <w:b/>
          <w:color w:val="C60C30"/>
          <w:sz w:val="36"/>
          <w:szCs w:val="36"/>
          <w:u w:val="single"/>
        </w:rPr>
        <w:t xml:space="preserve"> </w:t>
      </w:r>
    </w:p>
    <w:p w:rsidR="00D81D6F" w:rsidRPr="003032D8" w:rsidRDefault="00D81D6F" w:rsidP="00D81D6F">
      <w:pPr>
        <w:spacing w:before="360" w:after="120" w:line="240" w:lineRule="auto"/>
        <w:jc w:val="center"/>
        <w:outlineLvl w:val="1"/>
        <w:rPr>
          <w:rFonts w:ascii="TitilliumText25L" w:hAnsi="TitilliumText25L" w:cs="Arial"/>
          <w:b/>
          <w:color w:val="C60C30"/>
          <w:sz w:val="36"/>
          <w:szCs w:val="36"/>
          <w:u w:val="single"/>
        </w:rPr>
      </w:pPr>
      <w:bookmarkStart w:id="7" w:name="_Toc366850058"/>
      <w:r w:rsidRPr="003032D8">
        <w:rPr>
          <w:rFonts w:ascii="TitilliumText25L" w:hAnsi="TitilliumText25L" w:cs="Arial"/>
          <w:b/>
          <w:color w:val="C60C30"/>
          <w:sz w:val="36"/>
          <w:szCs w:val="36"/>
          <w:u w:val="single"/>
        </w:rPr>
        <w:t>Intraoperative Cell Salvage</w:t>
      </w:r>
      <w:bookmarkEnd w:id="7"/>
    </w:p>
    <w:p w:rsidR="00D81D6F" w:rsidRPr="003032D8" w:rsidRDefault="00D81D6F" w:rsidP="00D81D6F">
      <w:pPr>
        <w:spacing w:before="360" w:after="100" w:afterAutospacing="1" w:line="240" w:lineRule="auto"/>
        <w:jc w:val="center"/>
        <w:outlineLvl w:val="1"/>
        <w:rPr>
          <w:rFonts w:ascii="TitilliumText25L" w:hAnsi="TitilliumText25L" w:cs="Arial"/>
          <w:b/>
          <w:color w:val="C60C30"/>
          <w:sz w:val="36"/>
          <w:szCs w:val="36"/>
          <w:u w:val="single"/>
        </w:rPr>
      </w:pPr>
      <w:bookmarkStart w:id="8" w:name="_Toc366850059"/>
      <w:r w:rsidRPr="003032D8">
        <w:rPr>
          <w:rFonts w:ascii="TitilliumText25L" w:hAnsi="TitilliumText25L" w:cs="Arial"/>
          <w:b/>
          <w:color w:val="C60C30"/>
          <w:sz w:val="36"/>
          <w:szCs w:val="36"/>
          <w:u w:val="single"/>
        </w:rPr>
        <w:t>Business Case</w:t>
      </w:r>
      <w:bookmarkEnd w:id="8"/>
    </w:p>
    <w:p w:rsidR="00D81D6F" w:rsidRPr="003032D8" w:rsidRDefault="00D81D6F" w:rsidP="00D81D6F">
      <w:pPr>
        <w:rPr>
          <w:rFonts w:ascii="TitilliumText25L" w:hAnsi="TitilliumText25L" w:cs="Arial"/>
          <w:sz w:val="36"/>
          <w:szCs w:val="36"/>
          <w:u w:val="single"/>
        </w:rPr>
      </w:pPr>
      <w:r w:rsidRPr="003032D8">
        <w:rPr>
          <w:rFonts w:ascii="TitilliumText25L" w:hAnsi="TitilliumText25L" w:cs="Arial"/>
          <w:sz w:val="36"/>
          <w:szCs w:val="36"/>
          <w:u w:val="single"/>
        </w:rPr>
        <w:br w:type="page"/>
      </w:r>
    </w:p>
    <w:p w:rsidR="00E7119A" w:rsidRPr="003032D8" w:rsidRDefault="00E7119A" w:rsidP="00D81D6F">
      <w:pPr>
        <w:spacing w:before="360" w:after="100" w:afterAutospacing="1" w:line="240" w:lineRule="auto"/>
        <w:jc w:val="center"/>
        <w:outlineLvl w:val="1"/>
        <w:rPr>
          <w:rFonts w:ascii="TitilliumText25L" w:hAnsi="TitilliumText25L" w:cs="Arial"/>
          <w:sz w:val="36"/>
          <w:szCs w:val="36"/>
          <w:u w:val="single"/>
        </w:rPr>
      </w:pPr>
    </w:p>
    <w:p w:rsidR="00E7119A" w:rsidRPr="003032D8" w:rsidRDefault="00E7119A">
      <w:pPr>
        <w:rPr>
          <w:rFonts w:ascii="TitilliumText25L" w:hAnsi="TitilliumText25L" w:cs="Arial"/>
          <w:sz w:val="36"/>
          <w:szCs w:val="36"/>
          <w:u w:val="single"/>
        </w:rPr>
      </w:pPr>
      <w:r w:rsidRPr="003032D8">
        <w:rPr>
          <w:rFonts w:ascii="TitilliumText25L" w:hAnsi="TitilliumText25L" w:cs="Arial"/>
          <w:sz w:val="36"/>
          <w:szCs w:val="36"/>
          <w:u w:val="single"/>
        </w:rPr>
        <w:br w:type="page"/>
      </w:r>
    </w:p>
    <w:p w:rsidR="00D81D6F" w:rsidRPr="003032D8" w:rsidRDefault="00D81D6F" w:rsidP="00D81D6F">
      <w:pPr>
        <w:spacing w:before="100" w:beforeAutospacing="1" w:after="100" w:afterAutospacing="1" w:line="240" w:lineRule="auto"/>
        <w:outlineLvl w:val="2"/>
        <w:rPr>
          <w:rFonts w:ascii="TitilliumText25L" w:hAnsi="TitilliumText25L" w:cs="Arial"/>
          <w:b/>
          <w:color w:val="C60C30"/>
          <w:sz w:val="28"/>
          <w:szCs w:val="28"/>
        </w:rPr>
      </w:pPr>
      <w:bookmarkStart w:id="9" w:name="_Toc366850060"/>
      <w:r w:rsidRPr="003032D8">
        <w:rPr>
          <w:rFonts w:ascii="TitilliumText25L" w:hAnsi="TitilliumText25L" w:cs="Arial"/>
          <w:b/>
          <w:color w:val="C60C30"/>
          <w:sz w:val="28"/>
          <w:szCs w:val="28"/>
        </w:rPr>
        <w:t>Executive Summary</w:t>
      </w:r>
      <w:bookmarkEnd w:id="9"/>
      <w:r w:rsidRPr="003032D8">
        <w:rPr>
          <w:rFonts w:ascii="TitilliumText25L" w:hAnsi="TitilliumText25L" w:cs="Arial"/>
          <w:b/>
          <w:color w:val="C60C30"/>
          <w:sz w:val="28"/>
          <w:szCs w:val="28"/>
        </w:rPr>
        <w:t xml:space="preserve"> </w:t>
      </w:r>
    </w:p>
    <w:p w:rsidR="00D81D6F" w:rsidRPr="003032D8" w:rsidRDefault="00D81D6F" w:rsidP="00D81D6F">
      <w:pPr>
        <w:pStyle w:val="ListParagraph"/>
        <w:numPr>
          <w:ilvl w:val="0"/>
          <w:numId w:val="32"/>
        </w:numPr>
        <w:rPr>
          <w:rFonts w:ascii="TitilliumText25L" w:hAnsi="TitilliumText25L"/>
        </w:rPr>
      </w:pPr>
      <w:r w:rsidRPr="003032D8">
        <w:rPr>
          <w:rFonts w:ascii="TitilliumText25L" w:hAnsi="TitilliumText25L"/>
        </w:rPr>
        <w:t>Intraoperative Cell Salvage is a recognised blood conservation technique that is suitable for use in the elective and emergency surgical setting in a wide variety of specialities.</w:t>
      </w:r>
    </w:p>
    <w:p w:rsidR="00D81D6F" w:rsidRPr="003032D8" w:rsidRDefault="00D81D6F" w:rsidP="00D81D6F">
      <w:pPr>
        <w:pStyle w:val="ListParagraph"/>
        <w:numPr>
          <w:ilvl w:val="0"/>
          <w:numId w:val="32"/>
        </w:numPr>
        <w:rPr>
          <w:rFonts w:ascii="TitilliumText25L" w:hAnsi="TitilliumText25L"/>
        </w:rPr>
      </w:pPr>
      <w:r w:rsidRPr="003032D8">
        <w:rPr>
          <w:rFonts w:ascii="TitilliumText25L" w:hAnsi="TitilliumText25L"/>
        </w:rPr>
        <w:t>Intraoperative Cell Salvage is a recommendation in the Patient Blood Management Guidelines: Module 2 – Perioperative</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"ISBN" : "9780977529810", "author" : [ { "dropping-particle" : "", "family" : "National Blood Authority", "given" : "", "non-dropping-particle" : "", "parse-names" : false, "suffix" : "" } ], "id" : "ITEM-1", "issued" : { "date-parts" : [ [ "2012" ] ] }, "title" : "Patient Blood Management Guidelines: Module 2 - Perioperative", "type" : "report" }, "uris" : [ "http://www.mendeley.com/documents/?uuid=37c778ff-00d8-4cdd-afd2-59a8f33a177e" ] } ], "mendeley" : { "previouslyFormattedCitation" : "&lt;sup&gt;1&lt;/sup&gt;"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1</w:t>
      </w:r>
      <w:r w:rsidRPr="003032D8">
        <w:rPr>
          <w:rFonts w:ascii="TitilliumText25L" w:hAnsi="TitilliumText25L"/>
        </w:rPr>
        <w:fldChar w:fldCharType="end"/>
      </w:r>
      <w:r w:rsidRPr="003032D8">
        <w:rPr>
          <w:rFonts w:ascii="TitilliumText25L" w:hAnsi="TitilliumText25L"/>
        </w:rPr>
        <w:t xml:space="preserve"> and Module 4 – Critical Care</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"ISBN" : "9780987251992", "author" : [ { "dropping-particle" : "", "family" : "National Blood Authority", "given" : "", "non-dropping-particle" : "", "parse-names" : false, "suffix" : "" } ], "id" : "ITEM-1", "issued" : { "date-parts" : [ [ "2012" ] ] }, "title" : "Patient Blood Management Guidelines: Module 4 - Critical Care", "type" : "report" }, "uris" : [ "http://www.mendeley.com/documents/?uuid=d83ab291-da20-4fb3-8a06-c998cfc5dc07" ] } ], "mendeley" : { "previouslyFormattedCitation" : "&lt;sup&gt;2&lt;/sup&gt;"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2</w:t>
      </w:r>
      <w:r w:rsidRPr="003032D8">
        <w:rPr>
          <w:rFonts w:ascii="TitilliumText25L" w:hAnsi="TitilliumText25L"/>
        </w:rPr>
        <w:fldChar w:fldCharType="end"/>
      </w:r>
      <w:r w:rsidRPr="003032D8">
        <w:rPr>
          <w:rFonts w:ascii="TitilliumText25L" w:hAnsi="TitilliumText25L"/>
        </w:rPr>
        <w:t>.</w:t>
      </w:r>
    </w:p>
    <w:p w:rsidR="00D81D6F" w:rsidRPr="003032D8" w:rsidRDefault="00D81D6F" w:rsidP="00D81D6F">
      <w:pPr>
        <w:pStyle w:val="ListParagraph"/>
        <w:numPr>
          <w:ilvl w:val="0"/>
          <w:numId w:val="32"/>
        </w:numPr>
        <w:rPr>
          <w:rFonts w:ascii="TitilliumText25L" w:hAnsi="TitilliumText25L"/>
        </w:rPr>
      </w:pPr>
      <w:r w:rsidRPr="003032D8">
        <w:rPr>
          <w:rFonts w:ascii="TitilliumText25L" w:hAnsi="TitilliumText25L"/>
        </w:rPr>
        <w:t>Intraoperative Cell Salvage has recognised benefits for patients, with minimal associated risks e.g. reductions in allogeneic blood transfusions, lower infection rates and shorter hospital stays when compared to patients who receive allogeneic blood.</w:t>
      </w:r>
      <w:r w:rsidRPr="003032D8">
        <w:rPr>
          <w:rFonts w:ascii="TitilliumText25L" w:hAnsi="TitilliumText25L"/>
          <w:vertAlign w:val="superscript"/>
        </w:rPr>
        <w:fldChar w:fldCharType="begin" w:fldLock="1"/>
      </w:r>
      <w:r w:rsidRPr="003032D8">
        <w:rPr>
          <w:rFonts w:ascii="TitilliumText25L" w:hAnsi="TitilliumText25L"/>
          <w:vertAlign w:val="superscript"/>
        </w:rPr>
        <w:instrText>ADDIN CSL_CITATION { "citationItems" : [ { "id" : "ITEM-1", "itemData" : { "DOI" : "10.1002/14651858.CD001888.pub4", "abstract" : "Concerns regarding the safety of transfused blood have prompted reconsideration of the use of allogeneic (from an unrelated donor) red blood cell (RBC) transfusion, and a range of techniques to minimise transfusion requirements.", "author" : [ { "dropping-particle" : "", "family" : "Carless", "given" : "Paul A", "non-dropping-particle" : "", "parse-names" : false, "suffix" : "" }, { "dropping-particle" : "", "family" : "Henry", "given" : "David A", "non-dropping-particle" : "", "parse-names" : false, "suffix" : "" }, { "dropping-particle" : "", "family" : "Moxey", "given" : "Annette J", "non-dropping-particle" : "", "parse-names" : false, "suffix" : "" }, { "dropping-particle" : "", "family" : "O'Connell", "given" : "Dianne", "non-dropping-particle" : "", "parse-names" : false, "suffix" : "" }, { "dropping-particle" : "", "family" : "Brown", "given" : "Tamara", "non-dropping-particle" : "", "parse-names" : false, "suffix" : "" }, { "dropping-particle" : "", "family" : "Fergusson", "given" : "Dean A", "non-dropping-particle" : "", "parse-names" : false, "suffix" : "" } ], "container-title" : "Cochrane database of systematic reviews (Online)", "id" : "ITEM-1", "issue" : "4", "issued" : { "date-parts" : [ [ "2010" ] ] }, "page" : "CD001888", "title" : "Cell salvage for minimising perioperative allogeneic blood transfusion.", "type" : "article-journal" }, "uris" : [ "http://www.mendeley.com/documents/?uuid=e90b95e7-2215-421f-9287-3326078bad20" ] } ], "mendeley" : { "previouslyFormattedCitation" : "&lt;sup&gt;3&lt;/sup&gt;" }, "properties" : { "noteIndex" : 0 }, "schema" : "https://github.com/citation-style-language/schema/raw/master/csl-citation.json" }</w:instrText>
      </w:r>
      <w:r w:rsidRPr="003032D8">
        <w:rPr>
          <w:rFonts w:ascii="TitilliumText25L" w:hAnsi="TitilliumText25L"/>
          <w:vertAlign w:val="superscript"/>
        </w:rPr>
        <w:fldChar w:fldCharType="separate"/>
      </w:r>
      <w:r w:rsidRPr="003032D8">
        <w:rPr>
          <w:rFonts w:ascii="TitilliumText25L" w:hAnsi="TitilliumText25L"/>
          <w:noProof/>
          <w:vertAlign w:val="superscript"/>
        </w:rPr>
        <w:t>3</w:t>
      </w:r>
      <w:r w:rsidRPr="003032D8">
        <w:rPr>
          <w:rFonts w:ascii="TitilliumText25L" w:hAnsi="TitilliumText25L"/>
          <w:vertAlign w:val="superscript"/>
        </w:rPr>
        <w:fldChar w:fldCharType="end"/>
      </w:r>
    </w:p>
    <w:p w:rsidR="00D81D6F" w:rsidRPr="003032D8" w:rsidRDefault="00D81D6F" w:rsidP="00D81D6F">
      <w:pPr>
        <w:pStyle w:val="ListParagraph"/>
        <w:numPr>
          <w:ilvl w:val="0"/>
          <w:numId w:val="32"/>
        </w:numPr>
        <w:rPr>
          <w:rFonts w:ascii="TitilliumText25L" w:hAnsi="TitilliumText25L"/>
        </w:rPr>
      </w:pPr>
      <w:r w:rsidRPr="003032D8">
        <w:rPr>
          <w:rFonts w:ascii="TitilliumText25L" w:hAnsi="TitilliumText25L"/>
        </w:rPr>
        <w:t>This business case provides the tools to assess the financial impact of the implementation of a new intra-operative cell salvage service at hospital level.</w:t>
      </w:r>
    </w:p>
    <w:p w:rsidR="00D81D6F" w:rsidRPr="003032D8" w:rsidRDefault="00D81D6F" w:rsidP="00D81D6F">
      <w:pPr>
        <w:pStyle w:val="ListParagraph"/>
        <w:numPr>
          <w:ilvl w:val="0"/>
          <w:numId w:val="32"/>
        </w:numPr>
        <w:rPr>
          <w:rFonts w:ascii="TitilliumText25L" w:hAnsi="TitilliumText25L"/>
        </w:rPr>
      </w:pPr>
      <w:r w:rsidRPr="003032D8">
        <w:rPr>
          <w:rFonts w:ascii="TitilliumText25L" w:hAnsi="TitilliumText25L"/>
        </w:rPr>
        <w:t>Intraoperative Cell Salvage, when used appropriately, can result in savings in blood budgets.</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"author" : [ { "dropping-particle" : "", "family" : "Roets", "given" : "M", "non-dropping-particle" : "", "parse-names" : false, "suffix" : "" } ], "id" : "ITEM-1", "issued" : { "date-parts" : [ [ "2012" ] ] }, "title" : "A prospective observational study on Intra-operative Cell Salvage. Identifying adverse outcomes and surgical procedures which present the greatest cost-benefit for the use of Intraoperative Cell Salvage in the Royal Brisbane and Women\u2019s Hospital.No Title", "type" : "article" }, "uris" : [ "http://www.mendeley.com/documents/?uuid=a1f4f833-9001-406e-9b86-6e9783dc134d" ] } ], "mendeley" : { "previouslyFormattedCitation" : "&lt;sup&gt;4&lt;/sup&gt;"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4</w:t>
      </w:r>
      <w:r w:rsidRPr="003032D8">
        <w:rPr>
          <w:rFonts w:ascii="TitilliumText25L" w:hAnsi="TitilliumText25L"/>
        </w:rPr>
        <w:fldChar w:fldCharType="end"/>
      </w:r>
    </w:p>
    <w:p w:rsidR="00D81D6F" w:rsidRPr="003032D8" w:rsidRDefault="00D81D6F" w:rsidP="00D81D6F">
      <w:pPr>
        <w:pStyle w:val="ListParagraph"/>
        <w:numPr>
          <w:ilvl w:val="0"/>
          <w:numId w:val="32"/>
        </w:numPr>
        <w:rPr>
          <w:rFonts w:ascii="TitilliumText25L" w:hAnsi="TitilliumText25L"/>
        </w:rPr>
      </w:pPr>
      <w:r w:rsidRPr="003032D8">
        <w:rPr>
          <w:rFonts w:ascii="TitilliumText25L" w:hAnsi="TitilliumText25L"/>
        </w:rPr>
        <w:t>It is important to identify the requirement and facilities for your specific hospital and adapt the purchase and implementation of cell salvage according to these needs.</w:t>
      </w:r>
    </w:p>
    <w:p w:rsidR="00D81D6F" w:rsidRPr="003032D8" w:rsidRDefault="00D81D6F" w:rsidP="00D81D6F">
      <w:pPr>
        <w:pStyle w:val="ListParagraph"/>
        <w:numPr>
          <w:ilvl w:val="0"/>
          <w:numId w:val="32"/>
        </w:numPr>
        <w:rPr>
          <w:rFonts w:ascii="TitilliumText25L" w:hAnsi="TitilliumText25L"/>
        </w:rPr>
      </w:pPr>
      <w:r w:rsidRPr="003032D8">
        <w:rPr>
          <w:rFonts w:ascii="TitilliumText25L" w:hAnsi="TitilliumText25L"/>
        </w:rPr>
        <w:t xml:space="preserve">The introduction of Intraoperative Cell Salvage into </w:t>
      </w:r>
      <w:r w:rsidRPr="003032D8">
        <w:rPr>
          <w:rFonts w:ascii="TitilliumText25L" w:hAnsi="TitilliumText25L"/>
          <w:highlight w:val="yellow"/>
        </w:rPr>
        <w:t>(insert organisation, department, or speciality details here)</w:t>
      </w:r>
      <w:r w:rsidRPr="003032D8">
        <w:rPr>
          <w:rFonts w:ascii="TitilliumText25L" w:hAnsi="TitilliumText25L"/>
        </w:rPr>
        <w:t xml:space="preserve">, could potentially generate annual savings of </w:t>
      </w:r>
      <w:r w:rsidRPr="003032D8">
        <w:rPr>
          <w:rFonts w:ascii="TitilliumText25L" w:hAnsi="TitilliumText25L"/>
          <w:highlight w:val="yellow"/>
        </w:rPr>
        <w:t>(enter figure here)</w:t>
      </w:r>
      <w:r w:rsidRPr="003032D8">
        <w:rPr>
          <w:rFonts w:ascii="TitilliumText25L" w:hAnsi="TitilliumText25L"/>
        </w:rPr>
        <w:t>.</w:t>
      </w:r>
    </w:p>
    <w:p w:rsidR="00D81D6F" w:rsidRPr="003032D8" w:rsidRDefault="00D81D6F" w:rsidP="00D81D6F">
      <w:pPr>
        <w:spacing w:before="100" w:beforeAutospacing="1" w:after="100" w:afterAutospacing="1" w:line="240" w:lineRule="auto"/>
        <w:outlineLvl w:val="1"/>
        <w:rPr>
          <w:rFonts w:ascii="TitilliumText25L" w:hAnsi="TitilliumText25L" w:cs="Arial"/>
          <w:sz w:val="36"/>
          <w:szCs w:val="36"/>
          <w:u w:val="single"/>
        </w:rPr>
      </w:pPr>
      <w:r w:rsidRPr="003032D8">
        <w:rPr>
          <w:rFonts w:ascii="TitilliumText25L" w:hAnsi="TitilliumText25L" w:cs="Arial"/>
          <w:sz w:val="20"/>
          <w:szCs w:val="20"/>
        </w:rPr>
        <w:br w:type="page"/>
      </w:r>
      <w:bookmarkStart w:id="10" w:name="_Toc366850061"/>
      <w:r w:rsidRPr="003032D8">
        <w:rPr>
          <w:rFonts w:ascii="TitilliumText25L" w:hAnsi="TitilliumText25L" w:cs="Arial"/>
          <w:sz w:val="36"/>
          <w:szCs w:val="36"/>
          <w:u w:val="single"/>
        </w:rPr>
        <w:lastRenderedPageBreak/>
        <w:t>Strategic Case</w:t>
      </w:r>
      <w:bookmarkEnd w:id="10"/>
    </w:p>
    <w:p w:rsidR="00D81D6F" w:rsidRPr="003032D8" w:rsidRDefault="00D81D6F" w:rsidP="00D81D6F">
      <w:pPr>
        <w:spacing w:before="100" w:beforeAutospacing="1" w:after="100" w:afterAutospacing="1" w:line="240" w:lineRule="auto"/>
        <w:outlineLvl w:val="2"/>
        <w:rPr>
          <w:rFonts w:ascii="TitilliumText25L" w:hAnsi="TitilliumText25L" w:cs="Arial"/>
          <w:b/>
          <w:color w:val="C60C30"/>
          <w:sz w:val="28"/>
          <w:szCs w:val="28"/>
        </w:rPr>
      </w:pPr>
      <w:bookmarkStart w:id="11" w:name="_Toc366850062"/>
      <w:r w:rsidRPr="003032D8">
        <w:rPr>
          <w:rFonts w:ascii="TitilliumText25L" w:hAnsi="TitilliumText25L" w:cs="Arial"/>
          <w:b/>
          <w:color w:val="C60C30"/>
          <w:sz w:val="28"/>
          <w:szCs w:val="28"/>
        </w:rPr>
        <w:t>Introduction</w:t>
      </w:r>
      <w:bookmarkEnd w:id="11"/>
    </w:p>
    <w:p w:rsidR="00D81D6F" w:rsidRPr="003032D8" w:rsidRDefault="00D81D6F" w:rsidP="00D81D6F">
      <w:pPr>
        <w:rPr>
          <w:rFonts w:ascii="TitilliumText25L" w:hAnsi="TitilliumText25L"/>
        </w:rPr>
      </w:pPr>
      <w:r w:rsidRPr="003032D8">
        <w:rPr>
          <w:rFonts w:ascii="TitilliumText25L" w:hAnsi="TitilliumText25L"/>
        </w:rPr>
        <w:t>The aim of this business case, with the support of (</w:t>
      </w:r>
      <w:r w:rsidRPr="003032D8">
        <w:rPr>
          <w:rFonts w:ascii="TitilliumText25L" w:hAnsi="TitilliumText25L"/>
          <w:highlight w:val="yellow"/>
        </w:rPr>
        <w:t>insert directorates here)</w:t>
      </w:r>
      <w:r w:rsidRPr="003032D8">
        <w:rPr>
          <w:rFonts w:ascii="TitilliumText25L" w:hAnsi="TitilliumText25L"/>
        </w:rPr>
        <w:t xml:space="preserve">, is to justify the allocation of funds for the introduction of Intraoperative Cell Salvage into </w:t>
      </w:r>
      <w:r w:rsidRPr="003032D8">
        <w:rPr>
          <w:rFonts w:ascii="TitilliumText25L" w:hAnsi="TitilliumText25L"/>
          <w:highlight w:val="yellow"/>
        </w:rPr>
        <w:t>(insert organisation, department, or speciality details here)</w:t>
      </w:r>
      <w:r w:rsidRPr="003032D8">
        <w:rPr>
          <w:rFonts w:ascii="TitilliumText25L" w:hAnsi="TitilliumText25L"/>
        </w:rPr>
        <w:t xml:space="preserve"> and to identify the cost benefit of such a service to </w:t>
      </w:r>
      <w:r w:rsidRPr="003032D8">
        <w:rPr>
          <w:rFonts w:ascii="TitilliumText25L" w:hAnsi="TitilliumText25L"/>
          <w:highlight w:val="yellow"/>
        </w:rPr>
        <w:t>(your hospital)</w:t>
      </w:r>
    </w:p>
    <w:p w:rsidR="00D81D6F" w:rsidRPr="003032D8" w:rsidRDefault="00D81D6F" w:rsidP="00D81D6F">
      <w:pPr>
        <w:rPr>
          <w:rFonts w:ascii="TitilliumText25L" w:hAnsi="TitilliumText25L"/>
        </w:rPr>
      </w:pPr>
      <w:r w:rsidRPr="003032D8">
        <w:rPr>
          <w:rFonts w:ascii="TitilliumText25L" w:hAnsi="TitilliumText25L"/>
        </w:rPr>
        <w:t>Whilst allogeneic (donated) blood is an essential adjunct to health care, it is a limited resource (subject to the threat of future shortages), increasingly expensive and can present a source of risk for patients, in particular the risk of “wrong blood” incidents as reported by the Serious Hazards of Transfusion (SHOT) steering group in the UK.</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"author" : [ { "dropping-particle" : "al", "family" : "Cohen", "given" : "H et", "non-dropping-particle" : "", "parse-names" : false, "suffix" : "" } ], "id" : "ITEM-1", "issued" : { "date-parts" : [ [ "2011" ] ] }, "title" : "Summary of 2011 Annual SHOT report.", "type" : "report" }, "uris" : [ "http://www.mendeley.com/documents/?uuid=ed5b2751-5567-4718-ae75-185cf293f86e" ] } ], "mendeley" : { "previouslyFormattedCitation" : "&lt;sup&gt;5&lt;/sup&gt;"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5</w:t>
      </w:r>
      <w:r w:rsidRPr="003032D8">
        <w:rPr>
          <w:rFonts w:ascii="TitilliumText25L" w:hAnsi="TitilliumText25L"/>
        </w:rPr>
        <w:fldChar w:fldCharType="end"/>
      </w:r>
      <w:r w:rsidRPr="003032D8">
        <w:rPr>
          <w:rFonts w:ascii="TitilliumText25L" w:hAnsi="TitilliumText25L"/>
        </w:rPr>
        <w:t xml:space="preserve"> </w:t>
      </w:r>
    </w:p>
    <w:p w:rsidR="00D81D6F" w:rsidRPr="003032D8" w:rsidRDefault="00D81D6F" w:rsidP="00D81D6F">
      <w:pPr>
        <w:rPr>
          <w:rFonts w:ascii="TitilliumText25L" w:hAnsi="TitilliumText25L"/>
        </w:rPr>
      </w:pPr>
      <w:r w:rsidRPr="003032D8">
        <w:rPr>
          <w:rFonts w:ascii="TitilliumText25L" w:hAnsi="TitilliumText25L"/>
        </w:rPr>
        <w:t>The recent systematic review conducted for the Perioperative Module of the Patient Blood Management Guidelines found five Level I studies and nine Level II studies of fair to good quality supporting the use of Intraoperative Cell Salvage</w:t>
      </w:r>
      <w:r w:rsidRPr="003032D8">
        <w:rPr>
          <w:rFonts w:ascii="TitilliumText25L" w:hAnsi="TitilliumText25L"/>
          <w:vertAlign w:val="superscript"/>
        </w:rPr>
        <w:t>1</w:t>
      </w:r>
      <w:r w:rsidRPr="003032D8">
        <w:rPr>
          <w:rFonts w:ascii="TitilliumText25L" w:hAnsi="TitilliumText25L"/>
        </w:rPr>
        <w:t>.  The studies were predominantly in adult orthopaedic and cardiac surgical populations. The meta-analyses found that, overall, the incidence and volume of allogeneic blood transfusion were significantly lower for the individuals who received Intraoperative Cell Salvage.</w:t>
      </w:r>
      <w:r w:rsidRPr="003032D8">
        <w:rPr>
          <w:rFonts w:ascii="TitilliumText25L" w:hAnsi="TitilliumText25L"/>
          <w:vertAlign w:val="superscript"/>
        </w:rPr>
        <w:t>2</w:t>
      </w:r>
      <w:r w:rsidRPr="003032D8">
        <w:rPr>
          <w:rFonts w:ascii="TitilliumText25L" w:hAnsi="TitilliumText25L"/>
        </w:rPr>
        <w:t xml:space="preserve">  Carless et al estimated a saving of 0.68 units of allogeneic red blood cells per patient.</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"DOI" : "10.1002/14651858.CD001888.pub4", "abstract" : "Concerns regarding the safety of transfused blood have prompted reconsideration of the use of allogeneic (from an unrelated donor) red blood cell (RBC) transfusion, and a range of techniques to minimise transfusion requirements.", "author" : [ { "dropping-particle" : "", "family" : "Carless", "given" : "Paul A", "non-dropping-particle" : "", "parse-names" : false, "suffix" : "" }, { "dropping-particle" : "", "family" : "Henry", "given" : "David A", "non-dropping-particle" : "", "parse-names" : false, "suffix" : "" }, { "dropping-particle" : "", "family" : "Moxey", "given" : "Annette J", "non-dropping-particle" : "", "parse-names" : false, "suffix" : "" }, { "dropping-particle" : "", "family" : "O'Connell", "given" : "Dianne", "non-dropping-particle" : "", "parse-names" : false, "suffix" : "" }, { "dropping-particle" : "", "family" : "Brown", "given" : "Tamara", "non-dropping-particle" : "", "parse-names" : false, "suffix" : "" }, { "dropping-particle" : "", "family" : "Fergusson", "given" : "Dean A", "non-dropping-particle" : "", "parse-names" : false, "suffix" : "" } ], "container-title" : "Cochrane database of systematic reviews (Online)", "id" : "ITEM-1", "issue" : "4", "issued" : { "date-parts" : [ [ "2010" ] ] }, "page" : "CD001888", "title" : "Cell salvage for minimising perioperative allogeneic blood transfusion.", "type" : "article-journal" }, "uris" : [ "http://www.mendeley.com/documents/?uuid=e90b95e7-2215-421f-9287-3326078bad20" ] } ], "mendeley" : { "previouslyFormattedCitation" : "&lt;sup&gt;3&lt;/sup&gt;"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3</w:t>
      </w:r>
      <w:r w:rsidRPr="003032D8">
        <w:rPr>
          <w:rFonts w:ascii="TitilliumText25L" w:hAnsi="TitilliumText25L"/>
        </w:rPr>
        <w:fldChar w:fldCharType="end"/>
      </w:r>
      <w:r w:rsidRPr="003032D8">
        <w:rPr>
          <w:rFonts w:ascii="TitilliumText25L" w:hAnsi="TitilliumText25L"/>
        </w:rPr>
        <w:t xml:space="preserve"> The systematic review also found a moderate reduction in the risk of infection and an increase in postoperative haemoglobin concentration and haematocrit in patients undergoing off-pump coronary artery surgery</w:t>
      </w:r>
      <w:r w:rsidRPr="003032D8">
        <w:rPr>
          <w:rFonts w:ascii="TitilliumText25L" w:hAnsi="TitilliumText25L"/>
          <w:vertAlign w:val="superscript"/>
        </w:rPr>
        <w:t>3</w:t>
      </w:r>
      <w:r w:rsidRPr="003032D8">
        <w:rPr>
          <w:rFonts w:ascii="TitilliumText25L" w:hAnsi="TitilliumText25L"/>
        </w:rPr>
        <w:t>.</w:t>
      </w:r>
    </w:p>
    <w:p w:rsidR="00D81D6F" w:rsidRPr="003032D8" w:rsidRDefault="00D81D6F" w:rsidP="00D81D6F">
      <w:pPr>
        <w:spacing w:before="100" w:beforeAutospacing="1" w:after="100" w:afterAutospacing="1" w:line="240" w:lineRule="auto"/>
        <w:outlineLvl w:val="2"/>
        <w:rPr>
          <w:rFonts w:ascii="TitilliumText25L" w:hAnsi="TitilliumText25L" w:cs="Arial"/>
          <w:b/>
          <w:color w:val="C60C30"/>
          <w:sz w:val="28"/>
          <w:szCs w:val="28"/>
        </w:rPr>
      </w:pPr>
      <w:bookmarkStart w:id="12" w:name="_Toc366850063"/>
      <w:r w:rsidRPr="003032D8">
        <w:rPr>
          <w:rFonts w:ascii="TitilliumText25L" w:hAnsi="TitilliumText25L" w:cs="Arial"/>
          <w:b/>
          <w:color w:val="C60C30"/>
          <w:sz w:val="28"/>
          <w:szCs w:val="28"/>
        </w:rPr>
        <w:t>Intraoperative Cell Salvage</w:t>
      </w:r>
      <w:bookmarkEnd w:id="12"/>
    </w:p>
    <w:p w:rsidR="00D81D6F" w:rsidRPr="003032D8" w:rsidRDefault="00D81D6F" w:rsidP="00D81D6F">
      <w:pPr>
        <w:rPr>
          <w:rFonts w:ascii="TitilliumText25L" w:hAnsi="TitilliumText25L"/>
        </w:rPr>
      </w:pPr>
      <w:r w:rsidRPr="003032D8">
        <w:rPr>
          <w:rFonts w:ascii="TitilliumText25L" w:hAnsi="TitilliumText25L"/>
        </w:rPr>
        <w:t xml:space="preserve">Intraoperative Cell Salvage can be used routinely in some areas of surgical practice. Using a modified aspiration line, blood lost from the surgical field is aspirated into a collection reservoir. Anticoagulant is used to prevent the collected blood from clotting. The modified aspiration line delivers the anticoagulant to the tip of the suction allowing the blood to mix with the anticoagulant as it is aspirated away from the surgical field. A filter in the collection reservoir removes large particulate debris. The salvaged blood is then centrifuged and washed to produce red blood cells suspended in saline which are sent to a reinfusion bag for reinfusion to the patient. The </w:t>
      </w:r>
      <w:r w:rsidR="001C798C" w:rsidRPr="003032D8">
        <w:rPr>
          <w:rFonts w:ascii="TitilliumText25L" w:hAnsi="TitilliumText25L"/>
        </w:rPr>
        <w:t>discarde</w:t>
      </w:r>
      <w:r w:rsidR="00FC4141" w:rsidRPr="003032D8">
        <w:rPr>
          <w:rFonts w:ascii="TitilliumText25L" w:hAnsi="TitilliumText25L"/>
        </w:rPr>
        <w:t>d</w:t>
      </w:r>
      <w:r w:rsidRPr="003032D8">
        <w:rPr>
          <w:rFonts w:ascii="TitilliumText25L" w:hAnsi="TitilliumText25L"/>
        </w:rPr>
        <w:t xml:space="preserve"> products (plasma, platelets, anticoagulant etc) are </w:t>
      </w:r>
      <w:r w:rsidR="00FC4141" w:rsidRPr="003032D8">
        <w:rPr>
          <w:rFonts w:ascii="TitilliumText25L" w:hAnsi="TitilliumText25L"/>
        </w:rPr>
        <w:t xml:space="preserve">mostly </w:t>
      </w:r>
      <w:r w:rsidRPr="003032D8">
        <w:rPr>
          <w:rFonts w:ascii="TitilliumText25L" w:hAnsi="TitilliumText25L"/>
        </w:rPr>
        <w:t>removed during processing. When used appropriately, by adequately trained staff, washed intraoperative cell salvage is a simple, safe and cost-effective method of reducing allogeneic transfusion.</w:t>
      </w:r>
    </w:p>
    <w:p w:rsidR="00D81D6F" w:rsidRPr="003032D8" w:rsidRDefault="00D81D6F" w:rsidP="00D81D6F">
      <w:pPr>
        <w:rPr>
          <w:rFonts w:ascii="TitilliumText25L" w:hAnsi="TitilliumText25L"/>
        </w:rPr>
      </w:pPr>
      <w:r w:rsidRPr="003032D8">
        <w:rPr>
          <w:rFonts w:ascii="TitilliumText25L" w:hAnsi="TitilliumText25L"/>
        </w:rPr>
        <w:br w:type="page"/>
      </w:r>
    </w:p>
    <w:p w:rsidR="00D81D6F" w:rsidRPr="003032D8" w:rsidRDefault="00D81D6F" w:rsidP="00D81D6F">
      <w:pPr>
        <w:spacing w:before="100" w:beforeAutospacing="1" w:after="100" w:afterAutospacing="1" w:line="240" w:lineRule="auto"/>
        <w:outlineLvl w:val="3"/>
        <w:rPr>
          <w:rFonts w:ascii="TitilliumText25L" w:hAnsi="TitilliumText25L" w:cs="Arial"/>
          <w:b/>
        </w:rPr>
      </w:pPr>
      <w:r w:rsidRPr="003032D8">
        <w:rPr>
          <w:rFonts w:ascii="TitilliumText25L" w:hAnsi="TitilliumText25L" w:cs="Arial"/>
          <w:b/>
        </w:rPr>
        <w:t>Advantages:</w:t>
      </w:r>
    </w:p>
    <w:p w:rsidR="00D81D6F" w:rsidRPr="003032D8" w:rsidRDefault="00D81D6F" w:rsidP="00D81D6F">
      <w:pPr>
        <w:rPr>
          <w:rFonts w:ascii="TitilliumText25L" w:hAnsi="TitilliumText25L"/>
        </w:rPr>
      </w:pPr>
      <w:r w:rsidRPr="003032D8">
        <w:rPr>
          <w:rFonts w:ascii="TitilliumText25L" w:hAnsi="TitilliumText25L"/>
        </w:rPr>
        <w:t>Recognised benefits for patients:</w:t>
      </w:r>
    </w:p>
    <w:p w:rsidR="00D81D6F" w:rsidRPr="003032D8" w:rsidRDefault="00B12CDB" w:rsidP="00D81D6F">
      <w:pPr>
        <w:pStyle w:val="ListParagraph"/>
        <w:numPr>
          <w:ilvl w:val="0"/>
          <w:numId w:val="27"/>
        </w:numPr>
        <w:rPr>
          <w:rFonts w:ascii="TitilliumText25L" w:hAnsi="TitilliumText25L"/>
        </w:rPr>
      </w:pPr>
      <w:r w:rsidRPr="003032D8">
        <w:rPr>
          <w:rFonts w:ascii="TitilliumText25L" w:hAnsi="TitilliumText25L"/>
        </w:rPr>
        <w:t>P</w:t>
      </w:r>
      <w:r w:rsidR="00D81D6F" w:rsidRPr="003032D8">
        <w:rPr>
          <w:rFonts w:ascii="TitilliumText25L" w:hAnsi="TitilliumText25L"/>
        </w:rPr>
        <w:t xml:space="preserve">reserves the patient’s own red blood cells. </w:t>
      </w:r>
    </w:p>
    <w:p w:rsidR="00D81D6F" w:rsidRPr="003032D8" w:rsidRDefault="00D81D6F" w:rsidP="00D81D6F">
      <w:pPr>
        <w:pStyle w:val="ListParagraph"/>
        <w:numPr>
          <w:ilvl w:val="0"/>
          <w:numId w:val="27"/>
        </w:numPr>
        <w:rPr>
          <w:rFonts w:ascii="TitilliumText25L" w:hAnsi="TitilliumText25L"/>
        </w:rPr>
      </w:pPr>
      <w:r w:rsidRPr="003032D8">
        <w:rPr>
          <w:rFonts w:ascii="TitilliumText25L" w:hAnsi="TitilliumText25L"/>
        </w:rPr>
        <w:t>Reduces exposure to allogeneic blood and therefore reduces exposure to the risks associated with allogeneic blood transfusions. These risks include but are not limited to: incorrect blood component transfused, handling and storage errors, acute transfusion reactions, haemolytic transfusion reactions, transfusion-transmitted infection and transfusion associated graft versus host disease.</w:t>
      </w:r>
      <w:r w:rsidRPr="003032D8">
        <w:rPr>
          <w:rFonts w:ascii="TitilliumText25L" w:hAnsi="TitilliumText25L"/>
          <w:vertAlign w:val="superscript"/>
        </w:rPr>
        <w:t>5</w:t>
      </w:r>
    </w:p>
    <w:p w:rsidR="00D81D6F" w:rsidRPr="003032D8" w:rsidRDefault="00D81D6F" w:rsidP="00D81D6F">
      <w:pPr>
        <w:pStyle w:val="ListParagraph"/>
        <w:numPr>
          <w:ilvl w:val="0"/>
          <w:numId w:val="27"/>
        </w:numPr>
        <w:rPr>
          <w:rFonts w:ascii="TitilliumText25L" w:hAnsi="TitilliumText25L"/>
        </w:rPr>
      </w:pPr>
      <w:r w:rsidRPr="003032D8">
        <w:rPr>
          <w:rFonts w:ascii="TitilliumText25L" w:hAnsi="TitilliumText25L"/>
        </w:rPr>
        <w:t>Lower post-operative infection rates and shorter hospital stays when compared to patients who receive allogeneic blood.</w:t>
      </w:r>
      <w:r w:rsidRPr="003032D8">
        <w:rPr>
          <w:rFonts w:ascii="TitilliumText25L" w:hAnsi="TitilliumText25L"/>
          <w:vertAlign w:val="superscript"/>
        </w:rPr>
        <w:fldChar w:fldCharType="begin" w:fldLock="1"/>
      </w:r>
      <w:r w:rsidRPr="003032D8">
        <w:rPr>
          <w:rFonts w:ascii="TitilliumText25L" w:hAnsi="TitilliumText25L"/>
          <w:vertAlign w:val="superscript"/>
        </w:rPr>
        <w:instrText>ADDIN CSL_CITATION { "citationItems" : [ { "id" : "ITEM-1", "itemData" : { "DOI" : "10.1002/14651858.CD001888.pub4", "abstract" : "Concerns regarding the safety of transfused blood have prompted reconsideration of the use of allogeneic (from an unrelated donor) red blood cell (RBC) transfusion, and a range of techniques to minimise transfusion requirements.", "author" : [ { "dropping-particle" : "", "family" : "Carless", "given" : "Paul A", "non-dropping-particle" : "", "parse-names" : false, "suffix" : "" }, { "dropping-particle" : "", "family" : "Henry", "given" : "David A", "non-dropping-particle" : "", "parse-names" : false, "suffix" : "" }, { "dropping-particle" : "", "family" : "Moxey", "given" : "Annette J", "non-dropping-particle" : "", "parse-names" : false, "suffix" : "" }, { "dropping-particle" : "", "family" : "O'Connell", "given" : "Dianne", "non-dropping-particle" : "", "parse-names" : false, "suffix" : "" }, { "dropping-particle" : "", "family" : "Brown", "given" : "Tamara", "non-dropping-particle" : "", "parse-names" : false, "suffix" : "" }, { "dropping-particle" : "", "family" : "Fergusson", "given" : "Dean A", "non-dropping-particle" : "", "parse-names" : false, "suffix" : "" } ], "container-title" : "Cochrane database of systematic reviews (Online)", "id" : "ITEM-1", "issue" : "4", "issued" : { "date-parts" : [ [ "2010" ] ] }, "page" : "CD001888", "title" : "Cell salvage for minimising perioperative allogeneic blood transfusion.", "type" : "article-journal" }, "uris" : [ "http://www.mendeley.com/documents/?uuid=e90b95e7-2215-421f-9287-3326078bad20" ] } ], "mendeley" : { "previouslyFormattedCitation" : "&lt;sup&gt;3&lt;/sup&gt;" }, "properties" : { "noteIndex" : 0 }, "schema" : "https://github.com/citation-style-language/schema/raw/master/csl-citation.json" }</w:instrText>
      </w:r>
      <w:r w:rsidRPr="003032D8">
        <w:rPr>
          <w:rFonts w:ascii="TitilliumText25L" w:hAnsi="TitilliumText25L"/>
          <w:vertAlign w:val="superscript"/>
        </w:rPr>
        <w:fldChar w:fldCharType="separate"/>
      </w:r>
      <w:r w:rsidRPr="003032D8">
        <w:rPr>
          <w:rFonts w:ascii="TitilliumText25L" w:hAnsi="TitilliumText25L"/>
          <w:noProof/>
          <w:vertAlign w:val="superscript"/>
        </w:rPr>
        <w:t>3</w:t>
      </w:r>
      <w:r w:rsidRPr="003032D8">
        <w:rPr>
          <w:rFonts w:ascii="TitilliumText25L" w:hAnsi="TitilliumText25L"/>
          <w:vertAlign w:val="superscript"/>
        </w:rPr>
        <w:fldChar w:fldCharType="end"/>
      </w:r>
    </w:p>
    <w:p w:rsidR="00D81D6F" w:rsidRPr="003032D8" w:rsidRDefault="00D81D6F" w:rsidP="00D81D6F">
      <w:pPr>
        <w:rPr>
          <w:rFonts w:ascii="TitilliumText25L" w:hAnsi="TitilliumText25L"/>
        </w:rPr>
      </w:pPr>
      <w:r w:rsidRPr="003032D8">
        <w:rPr>
          <w:rFonts w:ascii="TitilliumText25L" w:hAnsi="TitilliumText25L"/>
        </w:rPr>
        <w:t>Intraoperative Cell Salvage has minimal risks (providing the manufacturer’s guidelines are followed).</w:t>
      </w:r>
    </w:p>
    <w:p w:rsidR="00D81D6F" w:rsidRPr="003032D8" w:rsidRDefault="00D81D6F" w:rsidP="00D81D6F">
      <w:pPr>
        <w:pStyle w:val="ListParagraph"/>
        <w:numPr>
          <w:ilvl w:val="0"/>
          <w:numId w:val="28"/>
        </w:numPr>
        <w:rPr>
          <w:rFonts w:ascii="TitilliumText25L" w:hAnsi="TitilliumText25L"/>
        </w:rPr>
      </w:pPr>
      <w:r w:rsidRPr="003032D8">
        <w:rPr>
          <w:rFonts w:ascii="TitilliumText25L" w:hAnsi="TitilliumText25L"/>
        </w:rPr>
        <w:t xml:space="preserve">For volume dependent systems, providing the minimum volume of blood has been collected, processing is quick and blood can be reinfused within minutes of the start of processing. </w:t>
      </w:r>
    </w:p>
    <w:p w:rsidR="00D81D6F" w:rsidRPr="003032D8" w:rsidRDefault="00D81D6F" w:rsidP="00D81D6F">
      <w:pPr>
        <w:pStyle w:val="ListParagraph"/>
        <w:numPr>
          <w:ilvl w:val="0"/>
          <w:numId w:val="28"/>
        </w:numPr>
        <w:rPr>
          <w:rFonts w:ascii="TitilliumText25L" w:hAnsi="TitilliumText25L"/>
        </w:rPr>
      </w:pPr>
      <w:r w:rsidRPr="003032D8">
        <w:rPr>
          <w:rFonts w:ascii="TitilliumText25L" w:hAnsi="TitilliumText25L"/>
        </w:rPr>
        <w:t>Disposable kits cost less than a unit of allogeneic red blood cells and can process very large volumes of blood. Intraoperative cell salvage is therefore a cost effective alternative to allogeneic blood (especially for large blood loss cases).</w:t>
      </w:r>
    </w:p>
    <w:p w:rsidR="00D81D6F" w:rsidRPr="003032D8" w:rsidRDefault="00D81D6F" w:rsidP="00D81D6F">
      <w:pPr>
        <w:rPr>
          <w:rFonts w:ascii="TitilliumText25L" w:hAnsi="TitilliumText25L" w:cs="Arial"/>
          <w:b/>
        </w:rPr>
      </w:pPr>
      <w:r w:rsidRPr="003032D8">
        <w:rPr>
          <w:rFonts w:ascii="TitilliumText25L" w:hAnsi="TitilliumText25L" w:cs="Arial"/>
          <w:b/>
        </w:rPr>
        <w:t>Disadvantages:</w:t>
      </w:r>
    </w:p>
    <w:p w:rsidR="00D81D6F" w:rsidRPr="003032D8" w:rsidRDefault="00D81D6F" w:rsidP="00D81D6F">
      <w:pPr>
        <w:pStyle w:val="ListParagraph"/>
        <w:numPr>
          <w:ilvl w:val="0"/>
          <w:numId w:val="29"/>
        </w:numPr>
        <w:rPr>
          <w:rFonts w:ascii="TitilliumText25L" w:hAnsi="TitilliumText25L"/>
        </w:rPr>
      </w:pPr>
      <w:r w:rsidRPr="003032D8">
        <w:rPr>
          <w:rFonts w:ascii="TitilliumText25L" w:hAnsi="TitilliumText25L"/>
        </w:rPr>
        <w:t xml:space="preserve">May be contraindicated in certain clinical circumstances (see </w:t>
      </w:r>
      <w:hyperlink w:anchor="_Contraindications_and_Warnings" w:history="1">
        <w:r w:rsidRPr="003032D8">
          <w:rPr>
            <w:rStyle w:val="Hyperlink"/>
            <w:rFonts w:ascii="TitilliumText25L" w:hAnsi="TitilliumText25L"/>
          </w:rPr>
          <w:t>Section 9</w:t>
        </w:r>
      </w:hyperlink>
      <w:r w:rsidRPr="003032D8">
        <w:rPr>
          <w:rFonts w:ascii="TitilliumText25L" w:hAnsi="TitilliumText25L"/>
        </w:rPr>
        <w:t xml:space="preserve"> in the Guidance for the Provision of Intraoperative Cell Salvage).</w:t>
      </w:r>
    </w:p>
    <w:p w:rsidR="00D81D6F" w:rsidRPr="003032D8" w:rsidRDefault="004A6161" w:rsidP="004A6161">
      <w:pPr>
        <w:pStyle w:val="ListParagraph"/>
        <w:numPr>
          <w:ilvl w:val="0"/>
          <w:numId w:val="29"/>
        </w:numPr>
        <w:rPr>
          <w:rFonts w:ascii="TitilliumText25L" w:hAnsi="TitilliumText25L"/>
        </w:rPr>
      </w:pPr>
      <w:r w:rsidRPr="003032D8">
        <w:rPr>
          <w:rFonts w:ascii="TitilliumText25L" w:hAnsi="TitilliumText25L"/>
        </w:rPr>
        <w:t>Adverse events such as hypotension associated with Intraoperative cell salvage is rare.</w:t>
      </w:r>
    </w:p>
    <w:p w:rsidR="00D81D6F" w:rsidRPr="003032D8" w:rsidRDefault="00D81D6F" w:rsidP="00D81D6F">
      <w:pPr>
        <w:spacing w:before="100" w:beforeAutospacing="1" w:after="100" w:afterAutospacing="1" w:line="240" w:lineRule="auto"/>
        <w:outlineLvl w:val="3"/>
        <w:rPr>
          <w:rFonts w:ascii="TitilliumText25L" w:hAnsi="TitilliumText25L" w:cs="Arial"/>
          <w:b/>
        </w:rPr>
      </w:pPr>
      <w:r w:rsidRPr="003032D8">
        <w:rPr>
          <w:rFonts w:ascii="TitilliumText25L" w:hAnsi="TitilliumText25L" w:cs="Arial"/>
          <w:b/>
        </w:rPr>
        <w:t>Choice of Equipment</w:t>
      </w:r>
    </w:p>
    <w:p w:rsidR="00D81D6F" w:rsidRPr="003032D8" w:rsidRDefault="00D81D6F" w:rsidP="00D81D6F">
      <w:pPr>
        <w:rPr>
          <w:rFonts w:ascii="TitilliumText25L" w:hAnsi="TitilliumText25L"/>
        </w:rPr>
      </w:pPr>
      <w:r w:rsidRPr="003032D8">
        <w:rPr>
          <w:rFonts w:ascii="TitilliumText25L" w:hAnsi="TitilliumText25L"/>
        </w:rPr>
        <w:t xml:space="preserve">There are a number of cell salvage devices available on the market, the most suitable equipment for </w:t>
      </w:r>
      <w:r w:rsidRPr="003032D8">
        <w:rPr>
          <w:rFonts w:ascii="TitilliumText25L" w:hAnsi="TitilliumText25L"/>
          <w:highlight w:val="yellow"/>
        </w:rPr>
        <w:t>(insert Organisation, department or surgical speciality here)</w:t>
      </w:r>
      <w:r w:rsidRPr="003032D8">
        <w:rPr>
          <w:rFonts w:ascii="TitilliumText25L" w:hAnsi="TitilliumText25L"/>
        </w:rPr>
        <w:t xml:space="preserve">, was determined through a comparison based on the specific clinical requirements for </w:t>
      </w:r>
      <w:r w:rsidRPr="003032D8">
        <w:rPr>
          <w:rFonts w:ascii="TitilliumText25L" w:hAnsi="TitilliumText25L"/>
          <w:highlight w:val="yellow"/>
        </w:rPr>
        <w:t>(Inset your hospital name)</w:t>
      </w:r>
      <w:r w:rsidRPr="003032D8">
        <w:rPr>
          <w:rFonts w:ascii="TitilliumText25L" w:hAnsi="TitilliumText25L"/>
        </w:rPr>
        <w:t>.</w:t>
      </w:r>
    </w:p>
    <w:p w:rsidR="00D81D6F" w:rsidRPr="003032D8" w:rsidRDefault="00D81D6F" w:rsidP="00D81D6F">
      <w:pPr>
        <w:rPr>
          <w:rFonts w:ascii="TitilliumText25L" w:hAnsi="TitilliumText25L"/>
        </w:rPr>
      </w:pPr>
      <w:r w:rsidRPr="003032D8">
        <w:rPr>
          <w:rFonts w:ascii="TitilliumText25L" w:hAnsi="TitilliumText25L"/>
        </w:rPr>
        <w:t xml:space="preserve">The suitability of the manufacturer chosen will need to be assessed for each individual hospital. </w:t>
      </w:r>
    </w:p>
    <w:p w:rsidR="00D81D6F" w:rsidRPr="003032D8" w:rsidRDefault="00D81D6F" w:rsidP="00D81D6F">
      <w:pPr>
        <w:rPr>
          <w:rFonts w:ascii="TitilliumText25L" w:hAnsi="TitilliumText25L"/>
        </w:rPr>
      </w:pPr>
      <w:r w:rsidRPr="003032D8">
        <w:rPr>
          <w:rFonts w:ascii="TitilliumText25L" w:hAnsi="TitilliumText25L"/>
        </w:rPr>
        <w:t xml:space="preserve">For aspects to keep in mind when choosing a manufacturer see Table 1. </w:t>
      </w:r>
    </w:p>
    <w:p w:rsidR="00D81D6F" w:rsidRPr="003032D8" w:rsidRDefault="00D81D6F" w:rsidP="00D81D6F">
      <w:pPr>
        <w:rPr>
          <w:rFonts w:ascii="TitilliumText25L" w:hAnsi="TitilliumText25L"/>
        </w:rPr>
      </w:pPr>
      <w:r w:rsidRPr="003032D8">
        <w:rPr>
          <w:rFonts w:ascii="TitilliumText25L" w:hAnsi="TitilliumText25L"/>
        </w:rPr>
        <w:br w:type="page"/>
      </w:r>
    </w:p>
    <w:p w:rsidR="00D81D6F" w:rsidRPr="003032D8" w:rsidRDefault="00D81D6F" w:rsidP="00D81D6F">
      <w:pPr>
        <w:spacing w:line="240" w:lineRule="auto"/>
        <w:rPr>
          <w:rFonts w:ascii="TitilliumText25L" w:hAnsi="TitilliumText25L"/>
          <w:b/>
        </w:rPr>
      </w:pPr>
      <w:r w:rsidRPr="003032D8">
        <w:rPr>
          <w:rFonts w:ascii="TitilliumText25L" w:hAnsi="TitilliumText25L"/>
          <w:b/>
        </w:rPr>
        <w:t>Table 1: List of questions essential to the introduction of a new intraoperative cell salvage service</w:t>
      </w:r>
      <w:r w:rsidRPr="003032D8">
        <w:rPr>
          <w:rFonts w:ascii="TitilliumText25L" w:hAnsi="TitilliumText25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D81D6F" w:rsidRPr="003032D8" w:rsidTr="0038758B">
        <w:trPr>
          <w:trHeight w:val="5093"/>
        </w:trPr>
        <w:tc>
          <w:tcPr>
            <w:tcW w:w="9182" w:type="dxa"/>
            <w:shd w:val="clear" w:color="auto" w:fill="auto"/>
          </w:tcPr>
          <w:p w:rsidR="00D81D6F" w:rsidRPr="003032D8" w:rsidRDefault="00D81D6F" w:rsidP="0038758B">
            <w:pPr>
              <w:spacing w:before="120" w:after="120" w:line="240" w:lineRule="auto"/>
              <w:outlineLvl w:val="3"/>
              <w:rPr>
                <w:rFonts w:ascii="TitilliumText25L" w:hAnsi="TitilliumText25L"/>
                <w:b/>
                <w:sz w:val="24"/>
                <w:szCs w:val="24"/>
              </w:rPr>
            </w:pPr>
            <w:r w:rsidRPr="003032D8">
              <w:rPr>
                <w:rFonts w:ascii="TitilliumText25L" w:hAnsi="TitilliumText25L"/>
                <w:b/>
                <w:sz w:val="24"/>
                <w:szCs w:val="24"/>
              </w:rPr>
              <w:t xml:space="preserve">EVALUATION OF INTRA OPERATIVE CELL SALVAGE SYSTEMS  </w:t>
            </w:r>
          </w:p>
          <w:p w:rsidR="00D81D6F" w:rsidRPr="003032D8" w:rsidRDefault="00D81D6F" w:rsidP="0038758B">
            <w:pPr>
              <w:spacing w:after="120" w:line="240" w:lineRule="auto"/>
              <w:rPr>
                <w:rFonts w:ascii="TitilliumText25L" w:hAnsi="TitilliumText25L"/>
                <w:sz w:val="24"/>
                <w:szCs w:val="24"/>
              </w:rPr>
            </w:pPr>
            <w:r w:rsidRPr="003032D8">
              <w:rPr>
                <w:rFonts w:ascii="TitilliumText25L" w:hAnsi="TitilliumText25L"/>
                <w:b/>
                <w:sz w:val="24"/>
                <w:szCs w:val="24"/>
              </w:rPr>
              <w:t>Important questions</w:t>
            </w:r>
            <w:r w:rsidRPr="003032D8">
              <w:rPr>
                <w:rFonts w:ascii="TitilliumText25L" w:hAnsi="TitilliumText25L"/>
                <w:sz w:val="24"/>
                <w:szCs w:val="24"/>
              </w:rPr>
              <w:t xml:space="preserve"> to ask when purchasing an original intraoperative cell salvage product:</w:t>
            </w:r>
          </w:p>
          <w:p w:rsidR="00D81D6F" w:rsidRPr="003032D8" w:rsidRDefault="00D81D6F" w:rsidP="0038758B">
            <w:pPr>
              <w:spacing w:after="120" w:line="240" w:lineRule="auto"/>
              <w:rPr>
                <w:rFonts w:ascii="TitilliumText25L" w:hAnsi="TitilliumText25L"/>
                <w:sz w:val="24"/>
                <w:szCs w:val="24"/>
              </w:rPr>
            </w:pPr>
            <w:r w:rsidRPr="003032D8">
              <w:rPr>
                <w:rFonts w:ascii="TitilliumText25L" w:hAnsi="TitilliumText25L"/>
                <w:b/>
                <w:sz w:val="24"/>
                <w:szCs w:val="24"/>
              </w:rPr>
              <w:t>Most importantly</w:t>
            </w:r>
            <w:r w:rsidRPr="003032D8">
              <w:rPr>
                <w:rFonts w:ascii="TitilliumText25L" w:hAnsi="TitilliumText25L"/>
                <w:sz w:val="24"/>
                <w:szCs w:val="24"/>
              </w:rPr>
              <w:t>:</w:t>
            </w:r>
          </w:p>
          <w:p w:rsidR="00D81D6F" w:rsidRPr="003032D8" w:rsidRDefault="00D81D6F" w:rsidP="00D81D6F">
            <w:pPr>
              <w:numPr>
                <w:ilvl w:val="0"/>
                <w:numId w:val="13"/>
              </w:numPr>
              <w:spacing w:line="240" w:lineRule="auto"/>
              <w:contextualSpacing/>
              <w:rPr>
                <w:rFonts w:ascii="TitilliumText25L" w:hAnsi="TitilliumText25L"/>
                <w:sz w:val="24"/>
                <w:szCs w:val="24"/>
              </w:rPr>
            </w:pPr>
            <w:r w:rsidRPr="003032D8">
              <w:rPr>
                <w:rFonts w:ascii="TitilliumText25L" w:hAnsi="TitilliumText25L"/>
                <w:sz w:val="24"/>
                <w:szCs w:val="24"/>
              </w:rPr>
              <w:t xml:space="preserve">How many cases with significant blood loss are done annually? </w:t>
            </w:r>
          </w:p>
          <w:p w:rsidR="00D81D6F" w:rsidRPr="003032D8" w:rsidRDefault="00D81D6F" w:rsidP="00D81D6F">
            <w:pPr>
              <w:numPr>
                <w:ilvl w:val="0"/>
                <w:numId w:val="13"/>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Which types of procedures or sub-specialities are involved? </w:t>
            </w:r>
          </w:p>
          <w:p w:rsidR="00D81D6F" w:rsidRPr="003032D8" w:rsidRDefault="00D81D6F" w:rsidP="00D81D6F">
            <w:pPr>
              <w:numPr>
                <w:ilvl w:val="0"/>
                <w:numId w:val="13"/>
              </w:numPr>
              <w:spacing w:line="240" w:lineRule="auto"/>
              <w:contextualSpacing/>
              <w:rPr>
                <w:rFonts w:ascii="TitilliumText25L" w:hAnsi="TitilliumText25L"/>
                <w:sz w:val="24"/>
                <w:szCs w:val="24"/>
              </w:rPr>
            </w:pPr>
            <w:r w:rsidRPr="003032D8">
              <w:rPr>
                <w:rFonts w:ascii="TitilliumText25L" w:hAnsi="TitilliumText25L"/>
                <w:sz w:val="24"/>
                <w:szCs w:val="24"/>
              </w:rPr>
              <w:t>The availability and speed of availability of allogeneic blood in your unit.</w:t>
            </w:r>
          </w:p>
          <w:p w:rsidR="00D81D6F" w:rsidRPr="003032D8" w:rsidRDefault="00D81D6F" w:rsidP="00D81D6F">
            <w:pPr>
              <w:numPr>
                <w:ilvl w:val="0"/>
                <w:numId w:val="13"/>
              </w:numPr>
              <w:spacing w:line="240" w:lineRule="auto"/>
              <w:contextualSpacing/>
              <w:rPr>
                <w:rFonts w:ascii="TitilliumText25L" w:hAnsi="TitilliumText25L"/>
                <w:sz w:val="24"/>
                <w:szCs w:val="24"/>
              </w:rPr>
            </w:pPr>
            <w:r w:rsidRPr="003032D8">
              <w:rPr>
                <w:rFonts w:ascii="TitilliumText25L" w:hAnsi="TitilliumText25L"/>
                <w:sz w:val="24"/>
                <w:szCs w:val="24"/>
              </w:rPr>
              <w:t>The ability of a manufacturer to support the implementation, education, maintenance and service required for the specific institution.</w:t>
            </w:r>
          </w:p>
          <w:p w:rsidR="00D81D6F" w:rsidRPr="003032D8" w:rsidRDefault="00D81D6F" w:rsidP="00D81D6F">
            <w:pPr>
              <w:numPr>
                <w:ilvl w:val="0"/>
                <w:numId w:val="13"/>
              </w:numPr>
              <w:spacing w:after="120" w:line="240" w:lineRule="auto"/>
              <w:ind w:left="714" w:hanging="357"/>
              <w:contextualSpacing/>
              <w:rPr>
                <w:rFonts w:ascii="TitilliumText25L" w:hAnsi="TitilliumText25L"/>
                <w:sz w:val="24"/>
                <w:szCs w:val="24"/>
              </w:rPr>
            </w:pPr>
            <w:r w:rsidRPr="003032D8">
              <w:rPr>
                <w:rFonts w:ascii="TitilliumText25L" w:hAnsi="TitilliumText25L"/>
                <w:sz w:val="24"/>
                <w:szCs w:val="24"/>
              </w:rPr>
              <w:t xml:space="preserve">Does the requirement for intraoperative cell salvage in the specific unit mandate the availability of a dedicated </w:t>
            </w:r>
            <w:r w:rsidR="005511CB" w:rsidRPr="003032D8">
              <w:rPr>
                <w:rFonts w:ascii="TitilliumText25L" w:hAnsi="TitilliumText25L"/>
                <w:sz w:val="24"/>
                <w:szCs w:val="24"/>
              </w:rPr>
              <w:t>autotransfusionist</w:t>
            </w:r>
            <w:r w:rsidRPr="003032D8">
              <w:rPr>
                <w:rFonts w:ascii="TitilliumText25L" w:hAnsi="TitilliumText25L"/>
                <w:sz w:val="24"/>
                <w:szCs w:val="24"/>
              </w:rPr>
              <w:t xml:space="preserve"> for intraoperative cell salvage, as opposed to the management of the intraoperative cell salvage process by, for example, an anaesthetic nurse and an anaesthetist?</w:t>
            </w:r>
          </w:p>
          <w:p w:rsidR="00F60BA2" w:rsidRPr="003032D8" w:rsidRDefault="00F60BA2" w:rsidP="0038758B">
            <w:pPr>
              <w:spacing w:after="120" w:line="240" w:lineRule="auto"/>
              <w:rPr>
                <w:rFonts w:ascii="TitilliumText25L" w:hAnsi="TitilliumText25L"/>
                <w:b/>
                <w:sz w:val="24"/>
                <w:szCs w:val="24"/>
              </w:rPr>
            </w:pPr>
          </w:p>
          <w:p w:rsidR="00D81D6F" w:rsidRPr="003032D8" w:rsidRDefault="00D81D6F" w:rsidP="0038758B">
            <w:pPr>
              <w:spacing w:after="120" w:line="240" w:lineRule="auto"/>
              <w:rPr>
                <w:rFonts w:ascii="TitilliumText25L" w:hAnsi="TitilliumText25L"/>
                <w:sz w:val="24"/>
                <w:szCs w:val="24"/>
              </w:rPr>
            </w:pPr>
            <w:r w:rsidRPr="003032D8">
              <w:rPr>
                <w:rFonts w:ascii="TitilliumText25L" w:hAnsi="TitilliumText25L"/>
                <w:b/>
                <w:sz w:val="24"/>
                <w:szCs w:val="24"/>
              </w:rPr>
              <w:t>About the Manufacturer</w:t>
            </w:r>
            <w:r w:rsidRPr="003032D8">
              <w:rPr>
                <w:rFonts w:ascii="TitilliumText25L" w:hAnsi="TitilliumText25L"/>
                <w:sz w:val="24"/>
                <w:szCs w:val="24"/>
              </w:rPr>
              <w:t>:</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Who is the manufacturer?</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Where is the product manufactured? </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What number of sets are kept in stock? </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What quality systems are in place? </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What contingency plans are in place for availability of consumables if the current manufacturer is unable to supply?     </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Who provides the clinical “back-up” for this device in Australia? </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Who provides support to the customers? </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What support is provided? </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How is the initial contact for new customers made? </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How is training provided in hospitals and to whom? </w:t>
            </w:r>
          </w:p>
          <w:p w:rsidR="00D81D6F" w:rsidRPr="003032D8" w:rsidRDefault="00D81D6F" w:rsidP="00D81D6F">
            <w:pPr>
              <w:numPr>
                <w:ilvl w:val="0"/>
                <w:numId w:val="14"/>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What is the service quality of the backup service?  </w:t>
            </w:r>
          </w:p>
          <w:p w:rsidR="00D81D6F" w:rsidRPr="003032D8" w:rsidRDefault="00D81D6F" w:rsidP="00D81D6F">
            <w:pPr>
              <w:numPr>
                <w:ilvl w:val="0"/>
                <w:numId w:val="14"/>
              </w:numPr>
              <w:spacing w:after="120" w:line="240" w:lineRule="auto"/>
              <w:ind w:left="714" w:hanging="357"/>
              <w:contextualSpacing/>
              <w:rPr>
                <w:rFonts w:ascii="TitilliumText25L" w:hAnsi="TitilliumText25L"/>
                <w:sz w:val="24"/>
                <w:szCs w:val="24"/>
              </w:rPr>
            </w:pPr>
            <w:r w:rsidRPr="003032D8">
              <w:rPr>
                <w:rFonts w:ascii="TitilliumText25L" w:hAnsi="TitilliumText25L"/>
                <w:sz w:val="24"/>
                <w:szCs w:val="24"/>
              </w:rPr>
              <w:t xml:space="preserve">Response time by engineer? </w:t>
            </w:r>
          </w:p>
          <w:p w:rsidR="00F60BA2" w:rsidRPr="003032D8" w:rsidRDefault="00F60BA2" w:rsidP="0038758B">
            <w:pPr>
              <w:spacing w:after="120" w:line="240" w:lineRule="auto"/>
              <w:rPr>
                <w:rFonts w:ascii="TitilliumText25L" w:hAnsi="TitilliumText25L"/>
                <w:b/>
                <w:sz w:val="24"/>
                <w:szCs w:val="24"/>
              </w:rPr>
            </w:pPr>
          </w:p>
          <w:p w:rsidR="00D81D6F" w:rsidRPr="003032D8" w:rsidRDefault="00D81D6F" w:rsidP="0038758B">
            <w:pPr>
              <w:spacing w:after="120" w:line="240" w:lineRule="auto"/>
              <w:rPr>
                <w:rFonts w:ascii="TitilliumText25L" w:hAnsi="TitilliumText25L"/>
                <w:sz w:val="24"/>
                <w:szCs w:val="24"/>
              </w:rPr>
            </w:pPr>
            <w:r w:rsidRPr="003032D8">
              <w:rPr>
                <w:rFonts w:ascii="TitilliumText25L" w:hAnsi="TitilliumText25L"/>
                <w:b/>
                <w:sz w:val="24"/>
                <w:szCs w:val="24"/>
              </w:rPr>
              <w:t>About the equipment</w:t>
            </w:r>
            <w:r w:rsidRPr="003032D8">
              <w:rPr>
                <w:rFonts w:ascii="TitilliumText25L" w:hAnsi="TitilliumText25L"/>
                <w:sz w:val="24"/>
                <w:szCs w:val="24"/>
              </w:rPr>
              <w:t xml:space="preserve">: </w:t>
            </w:r>
          </w:p>
          <w:p w:rsidR="00D81D6F" w:rsidRPr="003032D8" w:rsidRDefault="00D81D6F" w:rsidP="00D81D6F">
            <w:pPr>
              <w:numPr>
                <w:ilvl w:val="0"/>
                <w:numId w:val="15"/>
              </w:numPr>
              <w:spacing w:line="240" w:lineRule="auto"/>
              <w:contextualSpacing/>
              <w:rPr>
                <w:rFonts w:ascii="TitilliumText25L" w:hAnsi="TitilliumText25L"/>
                <w:sz w:val="24"/>
                <w:szCs w:val="24"/>
              </w:rPr>
            </w:pPr>
            <w:r w:rsidRPr="003032D8">
              <w:rPr>
                <w:rFonts w:ascii="TitilliumText25L" w:hAnsi="TitilliumText25L"/>
                <w:sz w:val="24"/>
                <w:szCs w:val="24"/>
              </w:rPr>
              <w:lastRenderedPageBreak/>
              <w:t xml:space="preserve">Is the product latex free? </w:t>
            </w:r>
          </w:p>
          <w:p w:rsidR="00D81D6F" w:rsidRPr="003032D8" w:rsidRDefault="00D81D6F" w:rsidP="00D81D6F">
            <w:pPr>
              <w:numPr>
                <w:ilvl w:val="0"/>
                <w:numId w:val="15"/>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What is supplied in the pack? </w:t>
            </w:r>
          </w:p>
          <w:p w:rsidR="00D81D6F" w:rsidRPr="003032D8" w:rsidRDefault="00D81D6F" w:rsidP="00D81D6F">
            <w:pPr>
              <w:numPr>
                <w:ilvl w:val="0"/>
                <w:numId w:val="15"/>
              </w:numPr>
              <w:spacing w:line="240" w:lineRule="auto"/>
              <w:contextualSpacing/>
              <w:rPr>
                <w:rFonts w:ascii="TitilliumText25L" w:hAnsi="TitilliumText25L"/>
                <w:sz w:val="24"/>
                <w:szCs w:val="24"/>
              </w:rPr>
            </w:pPr>
            <w:r w:rsidRPr="003032D8">
              <w:rPr>
                <w:rFonts w:ascii="TitilliumText25L" w:hAnsi="TitilliumText25L"/>
                <w:sz w:val="24"/>
                <w:szCs w:val="24"/>
              </w:rPr>
              <w:t xml:space="preserve">What additional items may need to be purchased? </w:t>
            </w:r>
          </w:p>
          <w:p w:rsidR="00D81D6F" w:rsidRPr="003032D8" w:rsidRDefault="00D81D6F" w:rsidP="00D81D6F">
            <w:pPr>
              <w:numPr>
                <w:ilvl w:val="0"/>
                <w:numId w:val="15"/>
              </w:numPr>
              <w:spacing w:line="240" w:lineRule="auto"/>
              <w:contextualSpacing/>
              <w:rPr>
                <w:rFonts w:ascii="TitilliumText25L" w:hAnsi="TitilliumText25L"/>
                <w:sz w:val="24"/>
                <w:szCs w:val="24"/>
              </w:rPr>
            </w:pPr>
            <w:r w:rsidRPr="003032D8">
              <w:rPr>
                <w:rFonts w:ascii="TitilliumText25L" w:hAnsi="TitilliumText25L"/>
                <w:sz w:val="24"/>
                <w:szCs w:val="24"/>
              </w:rPr>
              <w:t xml:space="preserve">Does the system have universal fittings? </w:t>
            </w:r>
          </w:p>
          <w:p w:rsidR="00F60BA2" w:rsidRPr="003032D8" w:rsidRDefault="00F60BA2" w:rsidP="0038758B">
            <w:pPr>
              <w:spacing w:after="120" w:line="240" w:lineRule="auto"/>
              <w:rPr>
                <w:rFonts w:ascii="TitilliumText25L" w:hAnsi="TitilliumText25L"/>
                <w:b/>
                <w:sz w:val="24"/>
                <w:szCs w:val="24"/>
              </w:rPr>
            </w:pPr>
          </w:p>
          <w:p w:rsidR="00D81D6F" w:rsidRPr="003032D8" w:rsidRDefault="00D81D6F" w:rsidP="0038758B">
            <w:pPr>
              <w:spacing w:after="120" w:line="240" w:lineRule="auto"/>
              <w:rPr>
                <w:rFonts w:ascii="TitilliumText25L" w:hAnsi="TitilliumText25L"/>
                <w:sz w:val="24"/>
                <w:szCs w:val="24"/>
              </w:rPr>
            </w:pPr>
            <w:r w:rsidRPr="003032D8">
              <w:rPr>
                <w:rFonts w:ascii="TitilliumText25L" w:hAnsi="TitilliumText25L"/>
                <w:b/>
                <w:sz w:val="24"/>
                <w:szCs w:val="24"/>
              </w:rPr>
              <w:t>About Processing</w:t>
            </w:r>
            <w:r w:rsidRPr="003032D8">
              <w:rPr>
                <w:rFonts w:ascii="TitilliumText25L" w:hAnsi="TitilliumText25L"/>
                <w:sz w:val="24"/>
                <w:szCs w:val="24"/>
              </w:rPr>
              <w:t>:</w:t>
            </w:r>
          </w:p>
          <w:p w:rsidR="00D81D6F" w:rsidRPr="003032D8" w:rsidRDefault="00D81D6F" w:rsidP="00D81D6F">
            <w:pPr>
              <w:numPr>
                <w:ilvl w:val="0"/>
                <w:numId w:val="16"/>
              </w:numPr>
              <w:spacing w:line="240" w:lineRule="auto"/>
              <w:contextualSpacing/>
              <w:rPr>
                <w:rFonts w:ascii="TitilliumText25L" w:hAnsi="TitilliumText25L"/>
                <w:sz w:val="24"/>
                <w:szCs w:val="24"/>
              </w:rPr>
            </w:pPr>
            <w:r w:rsidRPr="003032D8">
              <w:rPr>
                <w:rFonts w:ascii="TitilliumText25L" w:hAnsi="TitilliumText25L"/>
                <w:sz w:val="24"/>
                <w:szCs w:val="24"/>
              </w:rPr>
              <w:t xml:space="preserve">Totally automated? </w:t>
            </w:r>
          </w:p>
          <w:p w:rsidR="00D81D6F" w:rsidRPr="003032D8" w:rsidRDefault="00D81D6F" w:rsidP="00D81D6F">
            <w:pPr>
              <w:numPr>
                <w:ilvl w:val="0"/>
                <w:numId w:val="16"/>
              </w:numPr>
              <w:spacing w:line="240" w:lineRule="auto"/>
              <w:contextualSpacing/>
              <w:rPr>
                <w:rFonts w:ascii="TitilliumText25L" w:hAnsi="TitilliumText25L"/>
                <w:sz w:val="24"/>
                <w:szCs w:val="24"/>
              </w:rPr>
            </w:pPr>
            <w:r w:rsidRPr="003032D8">
              <w:rPr>
                <w:rFonts w:ascii="TitilliumText25L" w:hAnsi="TitilliumText25L"/>
                <w:sz w:val="24"/>
                <w:szCs w:val="24"/>
              </w:rPr>
              <w:t xml:space="preserve">Can the system be used as semi-automated? </w:t>
            </w:r>
          </w:p>
          <w:p w:rsidR="00D81D6F" w:rsidRPr="003032D8" w:rsidRDefault="00D81D6F" w:rsidP="00D81D6F">
            <w:pPr>
              <w:numPr>
                <w:ilvl w:val="0"/>
                <w:numId w:val="16"/>
              </w:numPr>
              <w:spacing w:line="240" w:lineRule="auto"/>
              <w:contextualSpacing/>
              <w:rPr>
                <w:rFonts w:ascii="TitilliumText25L" w:hAnsi="TitilliumText25L"/>
                <w:sz w:val="24"/>
                <w:szCs w:val="24"/>
              </w:rPr>
            </w:pPr>
            <w:r w:rsidRPr="003032D8">
              <w:rPr>
                <w:rFonts w:ascii="TitilliumText25L" w:hAnsi="TitilliumText25L"/>
                <w:sz w:val="24"/>
                <w:szCs w:val="24"/>
              </w:rPr>
              <w:t xml:space="preserve">Speed variability?  </w:t>
            </w:r>
          </w:p>
          <w:p w:rsidR="00D81D6F" w:rsidRPr="003032D8" w:rsidRDefault="00D81D6F" w:rsidP="00D81D6F">
            <w:pPr>
              <w:numPr>
                <w:ilvl w:val="0"/>
                <w:numId w:val="16"/>
              </w:numPr>
              <w:spacing w:line="240" w:lineRule="auto"/>
              <w:contextualSpacing/>
              <w:rPr>
                <w:rFonts w:ascii="TitilliumText25L" w:hAnsi="TitilliumText25L"/>
                <w:sz w:val="24"/>
                <w:szCs w:val="24"/>
              </w:rPr>
            </w:pPr>
            <w:r w:rsidRPr="003032D8">
              <w:rPr>
                <w:rFonts w:ascii="TitilliumText25L" w:hAnsi="TitilliumText25L"/>
                <w:sz w:val="24"/>
                <w:szCs w:val="24"/>
              </w:rPr>
              <w:t xml:space="preserve">Can the volume of wash be adjusted? </w:t>
            </w:r>
          </w:p>
          <w:p w:rsidR="00D81D6F" w:rsidRPr="003032D8" w:rsidRDefault="00D81D6F" w:rsidP="00D81D6F">
            <w:pPr>
              <w:numPr>
                <w:ilvl w:val="0"/>
                <w:numId w:val="16"/>
              </w:numPr>
              <w:spacing w:line="240" w:lineRule="auto"/>
              <w:contextualSpacing/>
              <w:rPr>
                <w:rFonts w:ascii="TitilliumText25L" w:hAnsi="TitilliumText25L"/>
                <w:sz w:val="24"/>
                <w:szCs w:val="24"/>
              </w:rPr>
            </w:pPr>
            <w:r w:rsidRPr="003032D8">
              <w:rPr>
                <w:rFonts w:ascii="TitilliumText25L" w:hAnsi="TitilliumText25L"/>
                <w:sz w:val="24"/>
                <w:szCs w:val="24"/>
              </w:rPr>
              <w:t xml:space="preserve">Flexibility of equipment to suit different types of surgery where blood will be lost at different rates </w:t>
            </w:r>
          </w:p>
          <w:p w:rsidR="00D81D6F" w:rsidRPr="003032D8" w:rsidRDefault="00D81D6F" w:rsidP="00D81D6F">
            <w:pPr>
              <w:numPr>
                <w:ilvl w:val="0"/>
                <w:numId w:val="16"/>
              </w:numPr>
              <w:spacing w:line="240" w:lineRule="auto"/>
              <w:contextualSpacing/>
              <w:rPr>
                <w:rFonts w:ascii="TitilliumText25L" w:hAnsi="TitilliumText25L"/>
                <w:sz w:val="24"/>
                <w:szCs w:val="24"/>
              </w:rPr>
            </w:pPr>
            <w:r w:rsidRPr="003032D8">
              <w:rPr>
                <w:rFonts w:ascii="TitilliumText25L" w:hAnsi="TitilliumText25L"/>
                <w:sz w:val="24"/>
                <w:szCs w:val="24"/>
              </w:rPr>
              <w:t>Ability to separate collection and processing disposables</w:t>
            </w:r>
          </w:p>
          <w:p w:rsidR="00D81D6F" w:rsidRPr="003032D8" w:rsidRDefault="00D81D6F" w:rsidP="0038758B">
            <w:pPr>
              <w:spacing w:before="120" w:after="120" w:line="240" w:lineRule="auto"/>
              <w:rPr>
                <w:rFonts w:ascii="TitilliumText25L" w:hAnsi="TitilliumText25L"/>
                <w:sz w:val="24"/>
                <w:szCs w:val="24"/>
              </w:rPr>
            </w:pPr>
            <w:r w:rsidRPr="003032D8">
              <w:rPr>
                <w:rFonts w:ascii="TitilliumText25L" w:hAnsi="TitilliumText25L"/>
                <w:b/>
                <w:sz w:val="24"/>
                <w:szCs w:val="24"/>
              </w:rPr>
              <w:t>About safety, risk and waste management</w:t>
            </w:r>
            <w:r w:rsidRPr="003032D8">
              <w:rPr>
                <w:rFonts w:ascii="TitilliumText25L" w:hAnsi="TitilliumText25L"/>
                <w:sz w:val="24"/>
                <w:szCs w:val="24"/>
              </w:rPr>
              <w:t>:</w:t>
            </w:r>
          </w:p>
          <w:p w:rsidR="00D81D6F" w:rsidRPr="003032D8" w:rsidRDefault="00D81D6F" w:rsidP="00D81D6F">
            <w:pPr>
              <w:numPr>
                <w:ilvl w:val="0"/>
                <w:numId w:val="17"/>
              </w:numPr>
              <w:spacing w:line="240" w:lineRule="auto"/>
              <w:contextualSpacing/>
              <w:rPr>
                <w:rFonts w:ascii="TitilliumText25L" w:hAnsi="TitilliumText25L"/>
                <w:sz w:val="24"/>
                <w:szCs w:val="24"/>
              </w:rPr>
            </w:pPr>
            <w:r w:rsidRPr="003032D8">
              <w:rPr>
                <w:rFonts w:ascii="TitilliumText25L" w:hAnsi="TitilliumText25L"/>
                <w:sz w:val="24"/>
                <w:szCs w:val="24"/>
              </w:rPr>
              <w:t xml:space="preserve">How easy is the machine to clean?  </w:t>
            </w:r>
          </w:p>
          <w:p w:rsidR="00D81D6F" w:rsidRPr="003032D8" w:rsidRDefault="00D81D6F" w:rsidP="00D81D6F">
            <w:pPr>
              <w:numPr>
                <w:ilvl w:val="0"/>
                <w:numId w:val="17"/>
              </w:numPr>
              <w:spacing w:line="240" w:lineRule="auto"/>
              <w:contextualSpacing/>
              <w:rPr>
                <w:rFonts w:ascii="TitilliumText25L" w:hAnsi="TitilliumText25L"/>
                <w:sz w:val="24"/>
                <w:szCs w:val="24"/>
              </w:rPr>
            </w:pPr>
            <w:r w:rsidRPr="003032D8">
              <w:rPr>
                <w:rFonts w:ascii="TitilliumText25L" w:hAnsi="TitilliumText25L"/>
                <w:sz w:val="24"/>
                <w:szCs w:val="24"/>
              </w:rPr>
              <w:t xml:space="preserve">Contamination? </w:t>
            </w:r>
          </w:p>
          <w:p w:rsidR="00D81D6F" w:rsidRPr="003032D8" w:rsidRDefault="00D81D6F" w:rsidP="00D81D6F">
            <w:pPr>
              <w:numPr>
                <w:ilvl w:val="0"/>
                <w:numId w:val="17"/>
              </w:numPr>
              <w:spacing w:line="240" w:lineRule="auto"/>
              <w:contextualSpacing/>
              <w:rPr>
                <w:rFonts w:ascii="TitilliumText25L" w:hAnsi="TitilliumText25L"/>
                <w:sz w:val="24"/>
                <w:szCs w:val="24"/>
              </w:rPr>
            </w:pPr>
            <w:r w:rsidRPr="003032D8">
              <w:rPr>
                <w:rFonts w:ascii="TitilliumText25L" w:hAnsi="TitilliumText25L"/>
                <w:sz w:val="24"/>
                <w:szCs w:val="24"/>
              </w:rPr>
              <w:t xml:space="preserve">Changing waste bag? </w:t>
            </w:r>
          </w:p>
          <w:p w:rsidR="00D81D6F" w:rsidRPr="003032D8" w:rsidRDefault="00D81D6F" w:rsidP="00D81D6F">
            <w:pPr>
              <w:numPr>
                <w:ilvl w:val="0"/>
                <w:numId w:val="17"/>
              </w:numPr>
              <w:spacing w:line="240" w:lineRule="auto"/>
              <w:contextualSpacing/>
              <w:rPr>
                <w:rFonts w:ascii="TitilliumText25L" w:hAnsi="TitilliumText25L"/>
                <w:sz w:val="24"/>
                <w:szCs w:val="24"/>
              </w:rPr>
            </w:pPr>
            <w:r w:rsidRPr="003032D8">
              <w:rPr>
                <w:rFonts w:ascii="TitilliumText25L" w:hAnsi="TitilliumText25L"/>
                <w:sz w:val="24"/>
                <w:szCs w:val="24"/>
              </w:rPr>
              <w:t>Speed of the process?</w:t>
            </w:r>
          </w:p>
          <w:p w:rsidR="00D81D6F" w:rsidRPr="003032D8" w:rsidRDefault="00D81D6F" w:rsidP="00D81D6F">
            <w:pPr>
              <w:numPr>
                <w:ilvl w:val="0"/>
                <w:numId w:val="17"/>
              </w:numPr>
              <w:spacing w:line="240" w:lineRule="auto"/>
              <w:contextualSpacing/>
              <w:rPr>
                <w:rFonts w:ascii="TitilliumText25L" w:hAnsi="TitilliumText25L"/>
                <w:sz w:val="24"/>
                <w:szCs w:val="24"/>
              </w:rPr>
            </w:pPr>
            <w:r w:rsidRPr="003032D8">
              <w:rPr>
                <w:rFonts w:ascii="TitilliumText25L" w:hAnsi="TitilliumText25L"/>
                <w:sz w:val="24"/>
                <w:szCs w:val="24"/>
              </w:rPr>
              <w:t xml:space="preserve">Quality of process, Heparin assay, </w:t>
            </w:r>
            <w:proofErr w:type="spellStart"/>
            <w:r w:rsidRPr="003032D8">
              <w:rPr>
                <w:rFonts w:ascii="TitilliumText25L" w:hAnsi="TitilliumText25L"/>
                <w:sz w:val="24"/>
                <w:szCs w:val="24"/>
              </w:rPr>
              <w:t>HCT</w:t>
            </w:r>
            <w:proofErr w:type="spellEnd"/>
            <w:r w:rsidRPr="003032D8">
              <w:rPr>
                <w:rFonts w:ascii="TitilliumText25L" w:hAnsi="TitilliumText25L"/>
                <w:sz w:val="24"/>
                <w:szCs w:val="24"/>
              </w:rPr>
              <w:t>, Free Hb in supernatant?</w:t>
            </w:r>
          </w:p>
          <w:p w:rsidR="00F60BA2" w:rsidRPr="003032D8" w:rsidRDefault="00F60BA2" w:rsidP="0038758B">
            <w:pPr>
              <w:spacing w:after="120" w:line="240" w:lineRule="auto"/>
              <w:rPr>
                <w:rFonts w:ascii="TitilliumText25L" w:hAnsi="TitilliumText25L"/>
                <w:b/>
                <w:sz w:val="24"/>
                <w:szCs w:val="24"/>
              </w:rPr>
            </w:pPr>
          </w:p>
          <w:p w:rsidR="00D81D6F" w:rsidRPr="003032D8" w:rsidRDefault="00D81D6F" w:rsidP="0038758B">
            <w:pPr>
              <w:spacing w:after="120" w:line="240" w:lineRule="auto"/>
              <w:rPr>
                <w:rFonts w:ascii="TitilliumText25L" w:hAnsi="TitilliumText25L"/>
                <w:sz w:val="24"/>
                <w:szCs w:val="24"/>
              </w:rPr>
            </w:pPr>
            <w:r w:rsidRPr="003032D8">
              <w:rPr>
                <w:rFonts w:ascii="TitilliumText25L" w:hAnsi="TitilliumText25L"/>
                <w:b/>
                <w:sz w:val="24"/>
                <w:szCs w:val="24"/>
              </w:rPr>
              <w:t>Training by company</w:t>
            </w:r>
            <w:r w:rsidRPr="003032D8">
              <w:rPr>
                <w:rFonts w:ascii="TitilliumText25L" w:hAnsi="TitilliumText25L"/>
                <w:sz w:val="24"/>
                <w:szCs w:val="24"/>
              </w:rPr>
              <w:t>:</w:t>
            </w:r>
          </w:p>
          <w:p w:rsidR="00D81D6F" w:rsidRPr="003032D8" w:rsidRDefault="00D81D6F" w:rsidP="00D81D6F">
            <w:pPr>
              <w:numPr>
                <w:ilvl w:val="0"/>
                <w:numId w:val="18"/>
              </w:numPr>
              <w:spacing w:line="240" w:lineRule="auto"/>
              <w:contextualSpacing/>
              <w:rPr>
                <w:rFonts w:ascii="TitilliumText25L" w:hAnsi="TitilliumText25L"/>
                <w:sz w:val="24"/>
                <w:szCs w:val="24"/>
              </w:rPr>
            </w:pPr>
            <w:r w:rsidRPr="003032D8">
              <w:rPr>
                <w:rFonts w:ascii="TitilliumText25L" w:hAnsi="TitilliumText25L"/>
                <w:sz w:val="24"/>
                <w:szCs w:val="24"/>
              </w:rPr>
              <w:t>Is the training on site or off site?</w:t>
            </w:r>
          </w:p>
          <w:p w:rsidR="00D81D6F" w:rsidRPr="003032D8" w:rsidRDefault="00D81D6F" w:rsidP="00D81D6F">
            <w:pPr>
              <w:numPr>
                <w:ilvl w:val="0"/>
                <w:numId w:val="18"/>
              </w:numPr>
              <w:spacing w:line="240" w:lineRule="auto"/>
              <w:contextualSpacing/>
              <w:rPr>
                <w:rFonts w:ascii="TitilliumText25L" w:hAnsi="TitilliumText25L"/>
                <w:sz w:val="24"/>
                <w:szCs w:val="24"/>
              </w:rPr>
            </w:pPr>
            <w:r w:rsidRPr="003032D8">
              <w:rPr>
                <w:rFonts w:ascii="TitilliumText25L" w:hAnsi="TitilliumText25L"/>
                <w:sz w:val="24"/>
                <w:szCs w:val="24"/>
              </w:rPr>
              <w:t xml:space="preserve"> Is there a training manual for the specific equipment available?</w:t>
            </w:r>
          </w:p>
          <w:p w:rsidR="00D81D6F" w:rsidRPr="003032D8" w:rsidRDefault="00D81D6F" w:rsidP="00D81D6F">
            <w:pPr>
              <w:numPr>
                <w:ilvl w:val="0"/>
                <w:numId w:val="18"/>
              </w:numPr>
              <w:spacing w:line="240" w:lineRule="auto"/>
              <w:contextualSpacing/>
              <w:rPr>
                <w:rFonts w:ascii="TitilliumText25L" w:hAnsi="TitilliumText25L"/>
                <w:sz w:val="24"/>
                <w:szCs w:val="24"/>
              </w:rPr>
            </w:pPr>
            <w:r w:rsidRPr="003032D8">
              <w:rPr>
                <w:rFonts w:ascii="TitilliumText25L" w:hAnsi="TitilliumText25L"/>
                <w:sz w:val="24"/>
                <w:szCs w:val="24"/>
              </w:rPr>
              <w:t>How is ongoing competency assessed and maintained?</w:t>
            </w:r>
          </w:p>
          <w:p w:rsidR="00F60BA2" w:rsidRPr="003032D8" w:rsidRDefault="00F60BA2" w:rsidP="0038758B">
            <w:pPr>
              <w:spacing w:after="120" w:line="240" w:lineRule="auto"/>
              <w:rPr>
                <w:rFonts w:ascii="TitilliumText25L" w:hAnsi="TitilliumText25L"/>
                <w:b/>
                <w:sz w:val="24"/>
                <w:szCs w:val="24"/>
              </w:rPr>
            </w:pPr>
          </w:p>
          <w:p w:rsidR="00D81D6F" w:rsidRPr="003032D8" w:rsidRDefault="00D81D6F" w:rsidP="0038758B">
            <w:pPr>
              <w:spacing w:after="120" w:line="240" w:lineRule="auto"/>
              <w:rPr>
                <w:rFonts w:ascii="TitilliumText25L" w:hAnsi="TitilliumText25L"/>
                <w:sz w:val="24"/>
                <w:szCs w:val="24"/>
              </w:rPr>
            </w:pPr>
            <w:r w:rsidRPr="003032D8">
              <w:rPr>
                <w:rFonts w:ascii="TitilliumText25L" w:hAnsi="TitilliumText25L"/>
                <w:b/>
                <w:sz w:val="24"/>
                <w:szCs w:val="24"/>
              </w:rPr>
              <w:t>Other general issues</w:t>
            </w:r>
            <w:r w:rsidRPr="003032D8">
              <w:rPr>
                <w:rFonts w:ascii="TitilliumText25L" w:hAnsi="TitilliumText25L"/>
                <w:sz w:val="24"/>
                <w:szCs w:val="24"/>
              </w:rPr>
              <w:t>:</w:t>
            </w:r>
          </w:p>
          <w:p w:rsidR="00D81D6F" w:rsidRPr="003032D8" w:rsidRDefault="00D81D6F" w:rsidP="00D81D6F">
            <w:pPr>
              <w:numPr>
                <w:ilvl w:val="0"/>
                <w:numId w:val="19"/>
              </w:numPr>
              <w:spacing w:line="240" w:lineRule="auto"/>
              <w:contextualSpacing/>
              <w:rPr>
                <w:rFonts w:ascii="TitilliumText25L" w:hAnsi="TitilliumText25L"/>
                <w:sz w:val="24"/>
                <w:szCs w:val="24"/>
              </w:rPr>
            </w:pPr>
            <w:r w:rsidRPr="003032D8">
              <w:rPr>
                <w:rFonts w:ascii="TitilliumText25L" w:hAnsi="TitilliumText25L"/>
                <w:sz w:val="24"/>
                <w:szCs w:val="24"/>
              </w:rPr>
              <w:t xml:space="preserve">Is a patient information guide provided? </w:t>
            </w:r>
          </w:p>
          <w:p w:rsidR="00D81D6F" w:rsidRPr="003032D8" w:rsidRDefault="00D81D6F" w:rsidP="00D81D6F">
            <w:pPr>
              <w:numPr>
                <w:ilvl w:val="0"/>
                <w:numId w:val="19"/>
              </w:numPr>
              <w:spacing w:line="240" w:lineRule="auto"/>
              <w:contextualSpacing/>
              <w:rPr>
                <w:rFonts w:ascii="TitilliumText25L" w:hAnsi="TitilliumText25L"/>
                <w:sz w:val="24"/>
                <w:szCs w:val="24"/>
              </w:rPr>
            </w:pPr>
            <w:r w:rsidRPr="003032D8">
              <w:rPr>
                <w:rFonts w:ascii="TitilliumText25L" w:hAnsi="TitilliumText25L"/>
                <w:sz w:val="24"/>
                <w:szCs w:val="24"/>
              </w:rPr>
              <w:t xml:space="preserve">Bowl size: Children, Small adults, Full-size? </w:t>
            </w:r>
          </w:p>
          <w:p w:rsidR="00D81D6F" w:rsidRPr="003032D8" w:rsidRDefault="00D81D6F" w:rsidP="00D81D6F">
            <w:pPr>
              <w:numPr>
                <w:ilvl w:val="0"/>
                <w:numId w:val="19"/>
              </w:numPr>
              <w:spacing w:line="240" w:lineRule="auto"/>
              <w:contextualSpacing/>
              <w:rPr>
                <w:rFonts w:ascii="TitilliumText25L" w:hAnsi="TitilliumText25L"/>
                <w:sz w:val="24"/>
                <w:szCs w:val="24"/>
              </w:rPr>
            </w:pPr>
            <w:r w:rsidRPr="003032D8">
              <w:rPr>
                <w:rFonts w:ascii="TitilliumText25L" w:hAnsi="TitilliumText25L"/>
                <w:sz w:val="24"/>
                <w:szCs w:val="24"/>
              </w:rPr>
              <w:t xml:space="preserve">Is the vacuum on board or separate? </w:t>
            </w:r>
          </w:p>
          <w:p w:rsidR="00D81D6F" w:rsidRPr="003032D8" w:rsidRDefault="00D81D6F" w:rsidP="00D81D6F">
            <w:pPr>
              <w:numPr>
                <w:ilvl w:val="0"/>
                <w:numId w:val="19"/>
              </w:numPr>
              <w:spacing w:line="240" w:lineRule="auto"/>
              <w:contextualSpacing/>
              <w:rPr>
                <w:rFonts w:ascii="TitilliumText25L" w:hAnsi="TitilliumText25L"/>
                <w:sz w:val="24"/>
                <w:szCs w:val="24"/>
              </w:rPr>
            </w:pPr>
            <w:r w:rsidRPr="003032D8">
              <w:rPr>
                <w:rFonts w:ascii="TitilliumText25L" w:hAnsi="TitilliumText25L"/>
                <w:sz w:val="24"/>
                <w:szCs w:val="24"/>
              </w:rPr>
              <w:t xml:space="preserve">Acceptability by users, </w:t>
            </w:r>
            <w:r w:rsidR="005511CB" w:rsidRPr="003032D8">
              <w:rPr>
                <w:rFonts w:ascii="TitilliumText25L" w:hAnsi="TitilliumText25L"/>
                <w:sz w:val="24"/>
                <w:szCs w:val="24"/>
              </w:rPr>
              <w:t>autotransfusionist</w:t>
            </w:r>
            <w:r w:rsidRPr="003032D8">
              <w:rPr>
                <w:rFonts w:ascii="TitilliumText25L" w:hAnsi="TitilliumText25L"/>
                <w:sz w:val="24"/>
                <w:szCs w:val="24"/>
              </w:rPr>
              <w:t xml:space="preserve">s, surgeons and anaesthetic staff? </w:t>
            </w:r>
          </w:p>
          <w:p w:rsidR="00D81D6F" w:rsidRPr="003032D8" w:rsidRDefault="00D81D6F" w:rsidP="00D81D6F">
            <w:pPr>
              <w:numPr>
                <w:ilvl w:val="0"/>
                <w:numId w:val="19"/>
              </w:numPr>
              <w:spacing w:line="240" w:lineRule="auto"/>
              <w:contextualSpacing/>
              <w:rPr>
                <w:rFonts w:ascii="TitilliumText25L" w:hAnsi="TitilliumText25L"/>
                <w:sz w:val="24"/>
                <w:szCs w:val="24"/>
              </w:rPr>
            </w:pPr>
            <w:r w:rsidRPr="003032D8">
              <w:rPr>
                <w:rFonts w:ascii="TitilliumText25L" w:hAnsi="TitilliumText25L"/>
                <w:sz w:val="24"/>
                <w:szCs w:val="24"/>
              </w:rPr>
              <w:lastRenderedPageBreak/>
              <w:t xml:space="preserve">Cost of machine (original purchase and maintenance)?  </w:t>
            </w:r>
          </w:p>
          <w:p w:rsidR="00D81D6F" w:rsidRPr="003032D8" w:rsidRDefault="00D81D6F" w:rsidP="00D81D6F">
            <w:pPr>
              <w:numPr>
                <w:ilvl w:val="0"/>
                <w:numId w:val="19"/>
              </w:numPr>
              <w:spacing w:line="240" w:lineRule="auto"/>
              <w:contextualSpacing/>
              <w:rPr>
                <w:rFonts w:ascii="TitilliumText25L" w:hAnsi="TitilliumText25L"/>
                <w:sz w:val="24"/>
                <w:szCs w:val="24"/>
              </w:rPr>
            </w:pPr>
            <w:r w:rsidRPr="003032D8">
              <w:rPr>
                <w:rFonts w:ascii="TitilliumText25L" w:hAnsi="TitilliumText25L"/>
                <w:sz w:val="24"/>
                <w:szCs w:val="24"/>
              </w:rPr>
              <w:t>Cost of disposables?</w:t>
            </w:r>
          </w:p>
        </w:tc>
      </w:tr>
    </w:tbl>
    <w:p w:rsidR="00D81D6F" w:rsidRPr="003032D8" w:rsidRDefault="00D81D6F" w:rsidP="00D81D6F">
      <w:pPr>
        <w:spacing w:line="240" w:lineRule="auto"/>
        <w:jc w:val="both"/>
        <w:rPr>
          <w:rFonts w:ascii="TitilliumText25L" w:hAnsi="TitilliumText25L" w:cs="Arial"/>
        </w:rPr>
      </w:pPr>
    </w:p>
    <w:p w:rsidR="00D81D6F" w:rsidRPr="003032D8" w:rsidRDefault="00D81D6F" w:rsidP="00D81D6F">
      <w:pPr>
        <w:rPr>
          <w:rFonts w:ascii="TitilliumText25L" w:hAnsi="TitilliumText25L"/>
        </w:rPr>
      </w:pPr>
      <w:r w:rsidRPr="003032D8">
        <w:rPr>
          <w:rFonts w:ascii="TitilliumText25L" w:hAnsi="TitilliumText25L"/>
        </w:rPr>
        <w:t>It is important to use this information to identify the most suitable manufacturer and equipment for your particular institution.</w:t>
      </w:r>
    </w:p>
    <w:p w:rsidR="00D81D6F" w:rsidRPr="003032D8" w:rsidRDefault="00D81D6F" w:rsidP="00D81D6F">
      <w:pPr>
        <w:rPr>
          <w:rFonts w:ascii="TitilliumText25L" w:hAnsi="TitilliumText25L"/>
        </w:rPr>
      </w:pPr>
      <w:r w:rsidRPr="003032D8">
        <w:rPr>
          <w:rFonts w:ascii="TitilliumText25L" w:hAnsi="TitilliumText25L"/>
        </w:rPr>
        <w:t>The (</w:t>
      </w:r>
      <w:r w:rsidRPr="003032D8">
        <w:rPr>
          <w:rFonts w:ascii="TitilliumText25L" w:hAnsi="TitilliumText25L"/>
          <w:b/>
          <w:highlight w:val="yellow"/>
        </w:rPr>
        <w:t>Enter machine chosen )</w:t>
      </w:r>
      <w:r w:rsidRPr="003032D8">
        <w:rPr>
          <w:rFonts w:ascii="TitilliumText25L" w:hAnsi="TitilliumText25L"/>
          <w:b/>
        </w:rPr>
        <w:t xml:space="preserve"> </w:t>
      </w:r>
      <w:r w:rsidRPr="003032D8">
        <w:rPr>
          <w:rFonts w:ascii="TitilliumText25L" w:hAnsi="TitilliumText25L"/>
        </w:rPr>
        <w:t>identified through this critical comparison process, as most suitable, had advantages over other commercially available equipment in the following areas:</w:t>
      </w:r>
    </w:p>
    <w:p w:rsidR="00D81D6F" w:rsidRPr="003032D8" w:rsidRDefault="00D81D6F" w:rsidP="00D81D6F">
      <w:pPr>
        <w:rPr>
          <w:rFonts w:ascii="TitilliumText25L" w:hAnsi="TitilliumText25L"/>
          <w:b/>
          <w:highlight w:val="yellow"/>
        </w:rPr>
      </w:pPr>
      <w:r w:rsidRPr="003032D8">
        <w:rPr>
          <w:rFonts w:ascii="TitilliumText25L" w:hAnsi="TitilliumText25L"/>
          <w:highlight w:val="yellow"/>
        </w:rPr>
        <w:t>(</w:t>
      </w:r>
      <w:r w:rsidRPr="003032D8">
        <w:rPr>
          <w:rFonts w:ascii="TitilliumText25L" w:hAnsi="TitilliumText25L"/>
          <w:b/>
          <w:highlight w:val="yellow"/>
        </w:rPr>
        <w:t>Enter criteria from critical comparison process under which decision was made e.g. ease of set up, speed, Quality Control of final product etc)</w:t>
      </w:r>
    </w:p>
    <w:p w:rsidR="00D81D6F" w:rsidRPr="003032D8" w:rsidRDefault="00D81D6F" w:rsidP="00D81D6F">
      <w:pPr>
        <w:spacing w:line="240" w:lineRule="auto"/>
        <w:rPr>
          <w:rFonts w:ascii="TitilliumText25L" w:hAnsi="TitilliumText25L"/>
          <w:highlight w:val="yellow"/>
        </w:rPr>
      </w:pPr>
    </w:p>
    <w:p w:rsidR="00D81D6F" w:rsidRPr="003032D8" w:rsidRDefault="00D81D6F" w:rsidP="00D81D6F">
      <w:pPr>
        <w:spacing w:line="240" w:lineRule="auto"/>
        <w:outlineLvl w:val="1"/>
        <w:rPr>
          <w:rFonts w:ascii="TitilliumText25L" w:hAnsi="TitilliumText25L" w:cs="Arial"/>
          <w:b/>
          <w:sz w:val="20"/>
          <w:szCs w:val="20"/>
          <w:u w:val="single"/>
        </w:rPr>
      </w:pPr>
      <w:r w:rsidRPr="003032D8">
        <w:rPr>
          <w:rFonts w:ascii="TitilliumText25L" w:hAnsi="TitilliumText25L" w:cs="Arial"/>
          <w:color w:val="FF0000"/>
        </w:rPr>
        <w:br w:type="page"/>
      </w:r>
      <w:bookmarkStart w:id="13" w:name="_Toc366850064"/>
      <w:r w:rsidRPr="003032D8">
        <w:rPr>
          <w:rFonts w:ascii="TitilliumText25L" w:hAnsi="TitilliumText25L" w:cs="Arial"/>
          <w:sz w:val="36"/>
          <w:szCs w:val="36"/>
          <w:u w:val="single"/>
        </w:rPr>
        <w:lastRenderedPageBreak/>
        <w:t>Economic Case</w:t>
      </w:r>
      <w:bookmarkEnd w:id="13"/>
    </w:p>
    <w:p w:rsidR="00D81D6F" w:rsidRPr="003032D8" w:rsidRDefault="00D81D6F" w:rsidP="00D81D6F">
      <w:pPr>
        <w:spacing w:before="100" w:beforeAutospacing="1" w:after="100" w:afterAutospacing="1" w:line="240" w:lineRule="auto"/>
        <w:outlineLvl w:val="2"/>
        <w:rPr>
          <w:rFonts w:ascii="TitilliumText25L" w:hAnsi="TitilliumText25L" w:cs="Arial"/>
          <w:b/>
          <w:color w:val="C60C30"/>
          <w:sz w:val="28"/>
          <w:szCs w:val="28"/>
        </w:rPr>
      </w:pPr>
      <w:bookmarkStart w:id="14" w:name="_Toc366850065"/>
      <w:r w:rsidRPr="003032D8">
        <w:rPr>
          <w:rFonts w:ascii="TitilliumText25L" w:hAnsi="TitilliumText25L" w:cs="Arial"/>
          <w:b/>
          <w:color w:val="C60C30"/>
          <w:sz w:val="28"/>
          <w:szCs w:val="28"/>
        </w:rPr>
        <w:t>Options for Procuring Equipment</w:t>
      </w:r>
      <w:bookmarkEnd w:id="14"/>
    </w:p>
    <w:p w:rsidR="00D81D6F" w:rsidRPr="003032D8" w:rsidRDefault="00D81D6F" w:rsidP="00D81D6F">
      <w:pPr>
        <w:spacing w:after="120"/>
        <w:rPr>
          <w:rFonts w:ascii="TitilliumText25L" w:hAnsi="TitilliumText25L"/>
        </w:rPr>
      </w:pPr>
      <w:r w:rsidRPr="003032D8">
        <w:rPr>
          <w:rFonts w:ascii="TitilliumText25L" w:hAnsi="TitilliumText25L"/>
        </w:rPr>
        <w:t xml:space="preserve">There are a number of options available for the introduction of Intraoperative Cell Salvage into </w:t>
      </w:r>
      <w:r w:rsidRPr="003032D8">
        <w:rPr>
          <w:rFonts w:ascii="TitilliumText25L" w:hAnsi="TitilliumText25L"/>
          <w:highlight w:val="yellow"/>
        </w:rPr>
        <w:t>(insert Organisation, department or surgical speciality here)</w:t>
      </w:r>
      <w:r w:rsidRPr="003032D8">
        <w:rPr>
          <w:rFonts w:ascii="TitilliumText25L" w:hAnsi="TitilliumText25L"/>
        </w:rPr>
        <w:t>. These include:</w:t>
      </w:r>
    </w:p>
    <w:p w:rsidR="00D81D6F" w:rsidRPr="003032D8" w:rsidRDefault="00D81D6F" w:rsidP="00D81D6F">
      <w:pPr>
        <w:pStyle w:val="ListParagraph"/>
        <w:numPr>
          <w:ilvl w:val="0"/>
          <w:numId w:val="30"/>
        </w:numPr>
        <w:rPr>
          <w:rFonts w:ascii="TitilliumText25L" w:hAnsi="TitilliumText25L"/>
        </w:rPr>
      </w:pPr>
      <w:r w:rsidRPr="003032D8">
        <w:rPr>
          <w:rFonts w:ascii="TitilliumText25L" w:hAnsi="TitilliumText25L"/>
        </w:rPr>
        <w:t>Outright purchase of the equipment of choice</w:t>
      </w:r>
    </w:p>
    <w:p w:rsidR="00D81D6F" w:rsidRPr="003032D8" w:rsidRDefault="00D81D6F" w:rsidP="00D81D6F">
      <w:pPr>
        <w:pStyle w:val="ListParagraph"/>
        <w:numPr>
          <w:ilvl w:val="0"/>
          <w:numId w:val="30"/>
        </w:numPr>
        <w:rPr>
          <w:rFonts w:ascii="TitilliumText25L" w:hAnsi="TitilliumText25L"/>
        </w:rPr>
      </w:pPr>
      <w:r w:rsidRPr="003032D8">
        <w:rPr>
          <w:rFonts w:ascii="TitilliumText25L" w:hAnsi="TitilliumText25L"/>
        </w:rPr>
        <w:t>Outright purchase of alternative equipment of choice as financial constraints dictate</w:t>
      </w:r>
    </w:p>
    <w:p w:rsidR="00D81D6F" w:rsidRPr="003032D8" w:rsidRDefault="00D81D6F" w:rsidP="00D81D6F">
      <w:pPr>
        <w:pStyle w:val="ListParagraph"/>
        <w:numPr>
          <w:ilvl w:val="0"/>
          <w:numId w:val="30"/>
        </w:numPr>
        <w:rPr>
          <w:rFonts w:ascii="TitilliumText25L" w:hAnsi="TitilliumText25L"/>
        </w:rPr>
      </w:pPr>
      <w:r w:rsidRPr="003032D8">
        <w:rPr>
          <w:rFonts w:ascii="TitilliumText25L" w:hAnsi="TitilliumText25L"/>
        </w:rPr>
        <w:t>Lease of equipment of choice via consumable charges</w:t>
      </w:r>
    </w:p>
    <w:p w:rsidR="00D81D6F" w:rsidRPr="003032D8" w:rsidRDefault="00D81D6F" w:rsidP="00D81D6F">
      <w:pPr>
        <w:pStyle w:val="ListParagraph"/>
        <w:numPr>
          <w:ilvl w:val="0"/>
          <w:numId w:val="30"/>
        </w:numPr>
        <w:rPr>
          <w:rFonts w:ascii="TitilliumText25L" w:hAnsi="TitilliumText25L"/>
        </w:rPr>
      </w:pPr>
      <w:r w:rsidRPr="003032D8">
        <w:rPr>
          <w:rFonts w:ascii="TitilliumText25L" w:hAnsi="TitilliumText25L"/>
        </w:rPr>
        <w:t>Private Intraoperative Cell Salvage service hire for occasional elective cases or for 24 hour on call service.</w:t>
      </w:r>
    </w:p>
    <w:p w:rsidR="00D81D6F" w:rsidRPr="003032D8" w:rsidRDefault="00D81D6F" w:rsidP="00D81D6F">
      <w:pPr>
        <w:rPr>
          <w:rFonts w:ascii="TitilliumText25L" w:hAnsi="TitilliumText25L"/>
        </w:rPr>
      </w:pPr>
      <w:r w:rsidRPr="003032D8">
        <w:rPr>
          <w:rFonts w:ascii="TitilliumText25L" w:hAnsi="TitilliumText25L"/>
        </w:rPr>
        <w:t xml:space="preserve">Prior to comparing costs, the most suitable option determined through a comparison based on the specific clinical requirements for this hospital is the </w:t>
      </w:r>
      <w:r w:rsidRPr="003032D8">
        <w:rPr>
          <w:rFonts w:ascii="TitilliumText25L" w:hAnsi="TitilliumText25L"/>
          <w:highlight w:val="yellow"/>
        </w:rPr>
        <w:t>(enter option here)</w:t>
      </w:r>
      <w:r w:rsidRPr="003032D8">
        <w:rPr>
          <w:rFonts w:ascii="TitilliumText25L" w:hAnsi="TitilliumText25L"/>
        </w:rPr>
        <w:t xml:space="preserve"> option. This option was identified as most suitable based on the following criteria:</w:t>
      </w:r>
    </w:p>
    <w:p w:rsidR="00D81D6F" w:rsidRPr="003032D8" w:rsidRDefault="00D81D6F" w:rsidP="00D81D6F">
      <w:pPr>
        <w:rPr>
          <w:rFonts w:ascii="TitilliumText25L" w:hAnsi="TitilliumText25L"/>
        </w:rPr>
      </w:pPr>
      <w:r w:rsidRPr="003032D8">
        <w:rPr>
          <w:rFonts w:ascii="TitilliumText25L" w:hAnsi="TitilliumText25L"/>
          <w:highlight w:val="yellow"/>
        </w:rPr>
        <w:t>(Enter criteria from critical comparison process under which decision was made e.g. quality, risk, patient benefit, availability etc)</w:t>
      </w:r>
      <w:r w:rsidRPr="003032D8">
        <w:rPr>
          <w:rFonts w:ascii="TitilliumText25L" w:hAnsi="TitilliumText25L"/>
        </w:rPr>
        <w:t xml:space="preserve"> </w:t>
      </w:r>
    </w:p>
    <w:p w:rsidR="00D81D6F" w:rsidRPr="003032D8" w:rsidRDefault="00D81D6F" w:rsidP="00D81D6F">
      <w:pPr>
        <w:spacing w:line="240" w:lineRule="auto"/>
        <w:outlineLvl w:val="1"/>
        <w:rPr>
          <w:rFonts w:ascii="TitilliumText25L" w:hAnsi="TitilliumText25L" w:cs="Arial"/>
          <w:sz w:val="36"/>
          <w:szCs w:val="36"/>
          <w:u w:val="single"/>
        </w:rPr>
      </w:pPr>
      <w:bookmarkStart w:id="15" w:name="_Toc366850066"/>
      <w:r w:rsidRPr="003032D8">
        <w:rPr>
          <w:rFonts w:ascii="TitilliumText25L" w:hAnsi="TitilliumText25L" w:cs="Arial"/>
          <w:sz w:val="36"/>
          <w:szCs w:val="36"/>
          <w:u w:val="single"/>
        </w:rPr>
        <w:t>Financial Case</w:t>
      </w:r>
      <w:bookmarkEnd w:id="15"/>
    </w:p>
    <w:p w:rsidR="00D81D6F" w:rsidRPr="003032D8" w:rsidRDefault="00D81D6F" w:rsidP="00D81D6F">
      <w:pPr>
        <w:rPr>
          <w:rFonts w:ascii="TitilliumText25L" w:hAnsi="TitilliumText25L"/>
        </w:rPr>
      </w:pPr>
      <w:r w:rsidRPr="003032D8">
        <w:rPr>
          <w:rFonts w:ascii="TitilliumText25L" w:hAnsi="TitilliumText25L"/>
        </w:rPr>
        <w:t xml:space="preserve">The financial impact of outright purchase versus lease has been assessed by </w:t>
      </w:r>
      <w:r w:rsidRPr="003032D8">
        <w:rPr>
          <w:rFonts w:ascii="TitilliumText25L" w:hAnsi="TitilliumText25L"/>
          <w:highlight w:val="yellow"/>
        </w:rPr>
        <w:t>(enter details here e.g. Departmental Management Accountant)</w:t>
      </w:r>
      <w:r w:rsidRPr="003032D8">
        <w:rPr>
          <w:rFonts w:ascii="TitilliumText25L" w:hAnsi="TitilliumText25L"/>
        </w:rPr>
        <w:t xml:space="preserve">. </w:t>
      </w:r>
    </w:p>
    <w:p w:rsidR="00D81D6F" w:rsidRPr="003032D8" w:rsidRDefault="00D81D6F" w:rsidP="00D81D6F">
      <w:pPr>
        <w:spacing w:after="0"/>
        <w:rPr>
          <w:rFonts w:ascii="TitilliumText25L" w:hAnsi="TitilliumText25L"/>
        </w:rPr>
      </w:pPr>
      <w:r w:rsidRPr="003032D8">
        <w:rPr>
          <w:rFonts w:ascii="TitilliumText25L" w:hAnsi="TitilliumText25L"/>
        </w:rPr>
        <w:t>Table 2 compares the direct costs generated by purchase/leasing a cell salvage machine against the cost of the allogeneic blood avoided. In addition, although hard to estimate, savings may also be generated through reduced length of stay for patients having received intraoperative cell salvage when compared to patients receiving allogeneic blood transfusions.</w:t>
      </w:r>
    </w:p>
    <w:p w:rsidR="004F62F0" w:rsidRPr="003032D8" w:rsidRDefault="004F62F0">
      <w:pPr>
        <w:rPr>
          <w:rFonts w:ascii="TitilliumText25L" w:hAnsi="TitilliumText25L" w:cs="Arial"/>
          <w:b/>
          <w:u w:val="single"/>
        </w:rPr>
      </w:pPr>
      <w:r w:rsidRPr="003032D8">
        <w:rPr>
          <w:rFonts w:ascii="TitilliumText25L" w:hAnsi="TitilliumText25L" w:cs="Arial"/>
          <w:b/>
          <w:u w:val="single"/>
        </w:rPr>
        <w:br w:type="page"/>
      </w:r>
    </w:p>
    <w:p w:rsidR="00D81D6F" w:rsidRPr="003032D8" w:rsidRDefault="00D81D6F" w:rsidP="00D81D6F">
      <w:pPr>
        <w:spacing w:before="100" w:beforeAutospacing="1" w:after="100" w:afterAutospacing="1" w:line="240" w:lineRule="auto"/>
        <w:outlineLvl w:val="3"/>
        <w:rPr>
          <w:rFonts w:ascii="TitilliumText25L" w:hAnsi="TitilliumText25L" w:cs="Arial"/>
          <w:b/>
          <w:u w:val="single"/>
        </w:rPr>
      </w:pPr>
      <w:r w:rsidRPr="003032D8">
        <w:rPr>
          <w:rFonts w:ascii="TitilliumText25L" w:hAnsi="TitilliumText25L" w:cs="Arial"/>
          <w:b/>
          <w:u w:val="single"/>
        </w:rPr>
        <w:t xml:space="preserve">Table 2 Summary of Potential savings at Hospital Level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701"/>
        <w:gridCol w:w="1843"/>
      </w:tblGrid>
      <w:tr w:rsidR="00D81D6F" w:rsidRPr="003032D8" w:rsidTr="0038758B">
        <w:tc>
          <w:tcPr>
            <w:tcW w:w="5495" w:type="dxa"/>
          </w:tcPr>
          <w:p w:rsidR="00D81D6F" w:rsidRPr="003032D8" w:rsidRDefault="00D81D6F" w:rsidP="0038758B">
            <w:pPr>
              <w:spacing w:line="240" w:lineRule="auto"/>
              <w:rPr>
                <w:rFonts w:ascii="TitilliumText25L" w:hAnsi="TitilliumText25L"/>
              </w:rPr>
            </w:pPr>
          </w:p>
        </w:tc>
        <w:tc>
          <w:tcPr>
            <w:tcW w:w="1701" w:type="dxa"/>
          </w:tcPr>
          <w:p w:rsidR="00D81D6F" w:rsidRPr="003032D8" w:rsidRDefault="00D81D6F" w:rsidP="0038758B">
            <w:pPr>
              <w:spacing w:line="240" w:lineRule="auto"/>
              <w:rPr>
                <w:rFonts w:ascii="TitilliumText25L" w:hAnsi="TitilliumText25L"/>
                <w:b/>
              </w:rPr>
            </w:pPr>
            <w:r w:rsidRPr="003032D8">
              <w:rPr>
                <w:rFonts w:ascii="TitilliumText25L" w:hAnsi="TitilliumText25L"/>
                <w:b/>
              </w:rPr>
              <w:t>Outright Purchase</w:t>
            </w:r>
          </w:p>
        </w:tc>
        <w:tc>
          <w:tcPr>
            <w:tcW w:w="1843" w:type="dxa"/>
          </w:tcPr>
          <w:p w:rsidR="00D81D6F" w:rsidRPr="003032D8" w:rsidRDefault="00D81D6F" w:rsidP="0038758B">
            <w:pPr>
              <w:spacing w:line="240" w:lineRule="auto"/>
              <w:rPr>
                <w:rFonts w:ascii="TitilliumText25L" w:hAnsi="TitilliumText25L"/>
                <w:b/>
              </w:rPr>
            </w:pPr>
            <w:r w:rsidRPr="003032D8">
              <w:rPr>
                <w:rFonts w:ascii="TitilliumText25L" w:hAnsi="TitilliumText25L"/>
                <w:b/>
              </w:rPr>
              <w:t>Lease</w:t>
            </w:r>
          </w:p>
        </w:tc>
      </w:tr>
      <w:tr w:rsidR="00D81D6F" w:rsidRPr="003032D8" w:rsidTr="0038758B">
        <w:tc>
          <w:tcPr>
            <w:tcW w:w="5495" w:type="dxa"/>
          </w:tcPr>
          <w:p w:rsidR="00D81D6F" w:rsidRPr="003032D8" w:rsidRDefault="00D81D6F" w:rsidP="0038758B">
            <w:pPr>
              <w:spacing w:line="240" w:lineRule="auto"/>
              <w:rPr>
                <w:rFonts w:ascii="TitilliumText25L" w:hAnsi="TitilliumText25L"/>
              </w:rPr>
            </w:pPr>
            <w:r w:rsidRPr="003032D8">
              <w:rPr>
                <w:rFonts w:ascii="TitilliumText25L" w:hAnsi="TitilliumText25L"/>
              </w:rPr>
              <w:t>Allogeneic Blood Savings</w:t>
            </w:r>
          </w:p>
        </w:tc>
        <w:tc>
          <w:tcPr>
            <w:tcW w:w="1701" w:type="dxa"/>
          </w:tcPr>
          <w:p w:rsidR="00D81D6F" w:rsidRPr="003032D8" w:rsidRDefault="00D81D6F" w:rsidP="0038758B">
            <w:pPr>
              <w:spacing w:line="240" w:lineRule="auto"/>
              <w:rPr>
                <w:rFonts w:ascii="TitilliumText25L" w:hAnsi="TitilliumText25L"/>
              </w:rPr>
            </w:pPr>
            <w:r w:rsidRPr="003032D8">
              <w:rPr>
                <w:rFonts w:ascii="TitilliumText25L" w:hAnsi="TitilliumText25L"/>
              </w:rPr>
              <w:t>$___________</w:t>
            </w:r>
          </w:p>
        </w:tc>
        <w:tc>
          <w:tcPr>
            <w:tcW w:w="1843" w:type="dxa"/>
          </w:tcPr>
          <w:p w:rsidR="00D81D6F" w:rsidRPr="003032D8" w:rsidRDefault="00D81D6F" w:rsidP="0038758B">
            <w:pPr>
              <w:spacing w:line="240" w:lineRule="auto"/>
              <w:rPr>
                <w:rFonts w:ascii="TitilliumText25L" w:hAnsi="TitilliumText25L"/>
              </w:rPr>
            </w:pPr>
            <w:r w:rsidRPr="003032D8">
              <w:rPr>
                <w:rFonts w:ascii="TitilliumText25L" w:hAnsi="TitilliumText25L"/>
              </w:rPr>
              <w:t>$_____________</w:t>
            </w:r>
          </w:p>
        </w:tc>
      </w:tr>
      <w:tr w:rsidR="00D81D6F" w:rsidRPr="003032D8" w:rsidTr="0038758B">
        <w:tc>
          <w:tcPr>
            <w:tcW w:w="5495" w:type="dxa"/>
          </w:tcPr>
          <w:p w:rsidR="00D81D6F" w:rsidRPr="003032D8" w:rsidRDefault="00D81D6F" w:rsidP="0038758B">
            <w:pPr>
              <w:spacing w:line="240" w:lineRule="auto"/>
              <w:rPr>
                <w:rFonts w:ascii="TitilliumText25L" w:hAnsi="TitilliumText25L"/>
              </w:rPr>
            </w:pPr>
            <w:r w:rsidRPr="003032D8">
              <w:rPr>
                <w:rFonts w:ascii="TitilliumText25L" w:hAnsi="TitilliumText25L"/>
              </w:rPr>
              <w:t>Costs generated by intraoperative cell salvage (year 1). Includes purchase of equipment and training of personnel etc.</w:t>
            </w:r>
          </w:p>
        </w:tc>
        <w:tc>
          <w:tcPr>
            <w:tcW w:w="1701" w:type="dxa"/>
          </w:tcPr>
          <w:p w:rsidR="00D81D6F" w:rsidRPr="003032D8" w:rsidRDefault="00D81D6F" w:rsidP="0038758B">
            <w:pPr>
              <w:spacing w:line="240" w:lineRule="auto"/>
              <w:rPr>
                <w:rFonts w:ascii="TitilliumText25L" w:hAnsi="TitilliumText25L"/>
              </w:rPr>
            </w:pPr>
          </w:p>
          <w:p w:rsidR="00D81D6F" w:rsidRPr="003032D8" w:rsidRDefault="004F62F0" w:rsidP="0038758B">
            <w:pPr>
              <w:spacing w:line="240" w:lineRule="auto"/>
              <w:rPr>
                <w:rFonts w:ascii="TitilliumText25L" w:hAnsi="TitilliumText25L"/>
              </w:rPr>
            </w:pPr>
            <w:r w:rsidRPr="003032D8">
              <w:rPr>
                <w:rFonts w:ascii="TitilliumText25L" w:hAnsi="TitilliumText25L"/>
              </w:rPr>
              <w:t>$___________</w:t>
            </w:r>
          </w:p>
        </w:tc>
        <w:tc>
          <w:tcPr>
            <w:tcW w:w="1843" w:type="dxa"/>
          </w:tcPr>
          <w:p w:rsidR="00D81D6F" w:rsidRPr="003032D8" w:rsidRDefault="00D81D6F" w:rsidP="0038758B">
            <w:pPr>
              <w:spacing w:line="240" w:lineRule="auto"/>
              <w:rPr>
                <w:rFonts w:ascii="TitilliumText25L" w:hAnsi="TitilliumText25L"/>
              </w:rPr>
            </w:pPr>
          </w:p>
          <w:p w:rsidR="00D81D6F" w:rsidRPr="003032D8" w:rsidRDefault="00D81D6F" w:rsidP="0038758B">
            <w:pPr>
              <w:spacing w:line="240" w:lineRule="auto"/>
              <w:rPr>
                <w:rFonts w:ascii="TitilliumText25L" w:hAnsi="TitilliumText25L"/>
              </w:rPr>
            </w:pPr>
            <w:r w:rsidRPr="003032D8">
              <w:rPr>
                <w:rFonts w:ascii="TitilliumText25L" w:hAnsi="TitilliumText25L"/>
              </w:rPr>
              <w:t>$_____________</w:t>
            </w:r>
          </w:p>
        </w:tc>
      </w:tr>
      <w:tr w:rsidR="00D81D6F" w:rsidRPr="003032D8" w:rsidTr="0038758B">
        <w:tc>
          <w:tcPr>
            <w:tcW w:w="5495" w:type="dxa"/>
            <w:tcBorders>
              <w:bottom w:val="single" w:sz="18" w:space="0" w:color="auto"/>
            </w:tcBorders>
          </w:tcPr>
          <w:p w:rsidR="00D81D6F" w:rsidRPr="003032D8" w:rsidRDefault="00D81D6F" w:rsidP="0038758B">
            <w:pPr>
              <w:spacing w:line="240" w:lineRule="auto"/>
              <w:rPr>
                <w:rFonts w:ascii="TitilliumText25L" w:hAnsi="TitilliumText25L"/>
              </w:rPr>
            </w:pPr>
            <w:r w:rsidRPr="003032D8">
              <w:rPr>
                <w:rFonts w:ascii="TitilliumText25L" w:hAnsi="TitilliumText25L"/>
              </w:rPr>
              <w:t>Costs generated by intraoperative cell salvage (year 2 onwards). Consumables, competency maintenance, documentation and audit cost etc.</w:t>
            </w:r>
          </w:p>
        </w:tc>
        <w:tc>
          <w:tcPr>
            <w:tcW w:w="1701" w:type="dxa"/>
            <w:tcBorders>
              <w:bottom w:val="single" w:sz="18" w:space="0" w:color="auto"/>
            </w:tcBorders>
          </w:tcPr>
          <w:p w:rsidR="00D81D6F" w:rsidRPr="003032D8" w:rsidRDefault="00D81D6F" w:rsidP="0038758B">
            <w:pPr>
              <w:spacing w:line="240" w:lineRule="auto"/>
              <w:rPr>
                <w:rFonts w:ascii="TitilliumText25L" w:hAnsi="TitilliumText25L"/>
              </w:rPr>
            </w:pPr>
          </w:p>
          <w:p w:rsidR="00D81D6F" w:rsidRPr="003032D8" w:rsidRDefault="00D81D6F" w:rsidP="0038758B">
            <w:pPr>
              <w:spacing w:line="240" w:lineRule="auto"/>
              <w:rPr>
                <w:rFonts w:ascii="TitilliumText25L" w:hAnsi="TitilliumText25L"/>
              </w:rPr>
            </w:pPr>
            <w:r w:rsidRPr="003032D8">
              <w:rPr>
                <w:rFonts w:ascii="TitilliumText25L" w:hAnsi="TitilliumText25L"/>
              </w:rPr>
              <w:t>$___________</w:t>
            </w:r>
          </w:p>
        </w:tc>
        <w:tc>
          <w:tcPr>
            <w:tcW w:w="1843" w:type="dxa"/>
            <w:tcBorders>
              <w:bottom w:val="single" w:sz="18" w:space="0" w:color="auto"/>
            </w:tcBorders>
          </w:tcPr>
          <w:p w:rsidR="00D81D6F" w:rsidRPr="003032D8" w:rsidRDefault="00D81D6F" w:rsidP="0038758B">
            <w:pPr>
              <w:spacing w:line="240" w:lineRule="auto"/>
              <w:rPr>
                <w:rFonts w:ascii="TitilliumText25L" w:hAnsi="TitilliumText25L"/>
              </w:rPr>
            </w:pPr>
          </w:p>
          <w:p w:rsidR="00D81D6F" w:rsidRPr="003032D8" w:rsidRDefault="00D81D6F" w:rsidP="0038758B">
            <w:pPr>
              <w:spacing w:line="240" w:lineRule="auto"/>
              <w:rPr>
                <w:rFonts w:ascii="TitilliumText25L" w:hAnsi="TitilliumText25L"/>
              </w:rPr>
            </w:pPr>
            <w:r w:rsidRPr="003032D8">
              <w:rPr>
                <w:rFonts w:ascii="TitilliumText25L" w:hAnsi="TitilliumText25L"/>
              </w:rPr>
              <w:t>$_____________</w:t>
            </w:r>
          </w:p>
        </w:tc>
      </w:tr>
      <w:tr w:rsidR="00D81D6F" w:rsidRPr="003032D8" w:rsidTr="0038758B">
        <w:tc>
          <w:tcPr>
            <w:tcW w:w="5495" w:type="dxa"/>
            <w:tcBorders>
              <w:top w:val="single" w:sz="18" w:space="0" w:color="auto"/>
              <w:left w:val="single" w:sz="18" w:space="0" w:color="auto"/>
            </w:tcBorders>
          </w:tcPr>
          <w:p w:rsidR="00D81D6F" w:rsidRPr="003032D8" w:rsidRDefault="00D81D6F" w:rsidP="0038758B">
            <w:pPr>
              <w:spacing w:line="240" w:lineRule="auto"/>
              <w:rPr>
                <w:rFonts w:ascii="TitilliumText25L" w:hAnsi="TitilliumText25L"/>
                <w:b/>
              </w:rPr>
            </w:pPr>
            <w:r w:rsidRPr="003032D8">
              <w:rPr>
                <w:rFonts w:ascii="TitilliumText25L" w:hAnsi="TitilliumText25L"/>
                <w:b/>
              </w:rPr>
              <w:t>Annual Saving on Hospital Blood Budget (year 1)</w:t>
            </w:r>
          </w:p>
        </w:tc>
        <w:tc>
          <w:tcPr>
            <w:tcW w:w="1701" w:type="dxa"/>
            <w:tcBorders>
              <w:top w:val="single" w:sz="18" w:space="0" w:color="auto"/>
            </w:tcBorders>
          </w:tcPr>
          <w:p w:rsidR="00D81D6F" w:rsidRPr="003032D8" w:rsidRDefault="00D81D6F" w:rsidP="0038758B">
            <w:pPr>
              <w:spacing w:line="240" w:lineRule="auto"/>
              <w:rPr>
                <w:rFonts w:ascii="TitilliumText25L" w:hAnsi="TitilliumText25L"/>
              </w:rPr>
            </w:pPr>
            <w:r w:rsidRPr="003032D8">
              <w:rPr>
                <w:rFonts w:ascii="TitilliumText25L" w:hAnsi="TitilliumText25L"/>
              </w:rPr>
              <w:t>$___________</w:t>
            </w:r>
          </w:p>
        </w:tc>
        <w:tc>
          <w:tcPr>
            <w:tcW w:w="1843" w:type="dxa"/>
            <w:tcBorders>
              <w:top w:val="single" w:sz="18" w:space="0" w:color="auto"/>
              <w:right w:val="single" w:sz="18" w:space="0" w:color="auto"/>
            </w:tcBorders>
          </w:tcPr>
          <w:p w:rsidR="00D81D6F" w:rsidRPr="003032D8" w:rsidRDefault="00D81D6F" w:rsidP="0038758B">
            <w:pPr>
              <w:spacing w:line="240" w:lineRule="auto"/>
              <w:rPr>
                <w:rFonts w:ascii="TitilliumText25L" w:hAnsi="TitilliumText25L"/>
              </w:rPr>
            </w:pPr>
            <w:r w:rsidRPr="003032D8">
              <w:rPr>
                <w:rFonts w:ascii="TitilliumText25L" w:hAnsi="TitilliumText25L"/>
              </w:rPr>
              <w:t>$_____________</w:t>
            </w:r>
          </w:p>
        </w:tc>
      </w:tr>
      <w:tr w:rsidR="00D81D6F" w:rsidRPr="003032D8" w:rsidTr="0038758B">
        <w:tc>
          <w:tcPr>
            <w:tcW w:w="5495" w:type="dxa"/>
            <w:tcBorders>
              <w:left w:val="single" w:sz="18" w:space="0" w:color="auto"/>
              <w:bottom w:val="single" w:sz="18" w:space="0" w:color="auto"/>
            </w:tcBorders>
          </w:tcPr>
          <w:p w:rsidR="00D81D6F" w:rsidRPr="003032D8" w:rsidRDefault="00D81D6F" w:rsidP="0038758B">
            <w:pPr>
              <w:spacing w:line="240" w:lineRule="auto"/>
              <w:rPr>
                <w:rFonts w:ascii="TitilliumText25L" w:hAnsi="TitilliumText25L"/>
                <w:b/>
              </w:rPr>
            </w:pPr>
            <w:r w:rsidRPr="003032D8">
              <w:rPr>
                <w:rFonts w:ascii="TitilliumText25L" w:hAnsi="TitilliumText25L"/>
                <w:b/>
              </w:rPr>
              <w:t>Annual Saving on Hospital Blood Budget (year 2 onwards)</w:t>
            </w:r>
          </w:p>
        </w:tc>
        <w:tc>
          <w:tcPr>
            <w:tcW w:w="1701" w:type="dxa"/>
            <w:tcBorders>
              <w:bottom w:val="single" w:sz="18" w:space="0" w:color="auto"/>
            </w:tcBorders>
          </w:tcPr>
          <w:p w:rsidR="00D81D6F" w:rsidRPr="003032D8" w:rsidRDefault="00D81D6F" w:rsidP="0038758B">
            <w:pPr>
              <w:spacing w:line="240" w:lineRule="auto"/>
              <w:rPr>
                <w:rFonts w:ascii="TitilliumText25L" w:hAnsi="TitilliumText25L"/>
              </w:rPr>
            </w:pPr>
            <w:r w:rsidRPr="003032D8">
              <w:rPr>
                <w:rFonts w:ascii="TitilliumText25L" w:hAnsi="TitilliumText25L"/>
              </w:rPr>
              <w:t>$___________</w:t>
            </w:r>
          </w:p>
        </w:tc>
        <w:tc>
          <w:tcPr>
            <w:tcW w:w="1843" w:type="dxa"/>
            <w:tcBorders>
              <w:bottom w:val="single" w:sz="18" w:space="0" w:color="auto"/>
              <w:right w:val="single" w:sz="18" w:space="0" w:color="auto"/>
            </w:tcBorders>
          </w:tcPr>
          <w:p w:rsidR="00D81D6F" w:rsidRPr="003032D8" w:rsidRDefault="00D81D6F" w:rsidP="0038758B">
            <w:pPr>
              <w:spacing w:line="240" w:lineRule="auto"/>
              <w:rPr>
                <w:rFonts w:ascii="TitilliumText25L" w:hAnsi="TitilliumText25L"/>
              </w:rPr>
            </w:pPr>
            <w:r w:rsidRPr="003032D8">
              <w:rPr>
                <w:rFonts w:ascii="TitilliumText25L" w:hAnsi="TitilliumText25L"/>
              </w:rPr>
              <w:t>$_____________</w:t>
            </w:r>
          </w:p>
        </w:tc>
      </w:tr>
    </w:tbl>
    <w:p w:rsidR="00D81D6F" w:rsidRPr="003032D8" w:rsidRDefault="00D81D6F" w:rsidP="00D81D6F">
      <w:pPr>
        <w:spacing w:before="120" w:after="0" w:line="240" w:lineRule="auto"/>
        <w:outlineLvl w:val="3"/>
        <w:rPr>
          <w:rFonts w:ascii="TitilliumText25L" w:hAnsi="TitilliumText25L" w:cs="Arial"/>
          <w:b/>
          <w:u w:val="single"/>
        </w:rPr>
      </w:pPr>
      <w:r w:rsidRPr="003032D8">
        <w:rPr>
          <w:rFonts w:ascii="TitilliumText25L" w:hAnsi="TitilliumText25L" w:cs="Arial"/>
          <w:b/>
        </w:rPr>
        <w:br w:type="page"/>
      </w:r>
      <w:r w:rsidRPr="003032D8">
        <w:rPr>
          <w:rFonts w:ascii="TitilliumText25L" w:hAnsi="TitilliumText25L" w:cs="Arial"/>
          <w:b/>
          <w:u w:val="single"/>
        </w:rPr>
        <w:lastRenderedPageBreak/>
        <w:t xml:space="preserve">Table 3  Issues to be considered in the economic evaluation of outright purchase versus lease </w:t>
      </w:r>
      <w:r w:rsidRPr="003032D8">
        <w:rPr>
          <w:rFonts w:ascii="TitilliumText25L" w:hAnsi="TitilliumText25L" w:cs="Arial"/>
          <w:b/>
          <w:u w:val="single"/>
        </w:rPr>
        <w:br/>
      </w:r>
    </w:p>
    <w:p w:rsidR="00D81D6F" w:rsidRPr="003032D8" w:rsidRDefault="00D81D6F" w:rsidP="00D81D6F">
      <w:pPr>
        <w:rPr>
          <w:rFonts w:ascii="TitilliumText25L" w:hAnsi="TitilliumText25L"/>
        </w:rPr>
      </w:pPr>
      <w:r w:rsidRPr="003032D8">
        <w:rPr>
          <w:rFonts w:ascii="TitilliumText25L" w:hAnsi="TitilliumText25L"/>
        </w:rPr>
        <w:t>A spreadsheet should be compiled by the departmental accountant to determine the potential cost savings associated with the introduction of Intraoperative Cell Salvage into the Organisation. Financial benefits of introducing Intraoperative Cell Salvage should be determined locally. As an example the spreadsheet is likely to include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1308"/>
        <w:gridCol w:w="1377"/>
        <w:gridCol w:w="1437"/>
      </w:tblGrid>
      <w:tr w:rsidR="00D81D6F" w:rsidRPr="003032D8" w:rsidTr="0038758B">
        <w:tc>
          <w:tcPr>
            <w:tcW w:w="6345" w:type="dxa"/>
            <w:gridSpan w:val="2"/>
          </w:tcPr>
          <w:p w:rsidR="00D81D6F" w:rsidRPr="003032D8" w:rsidRDefault="00D81D6F" w:rsidP="0038758B">
            <w:pPr>
              <w:spacing w:before="120" w:after="120" w:line="240" w:lineRule="auto"/>
              <w:rPr>
                <w:rFonts w:ascii="TitilliumText25L" w:hAnsi="TitilliumText25L"/>
              </w:rPr>
            </w:pPr>
          </w:p>
        </w:tc>
        <w:tc>
          <w:tcPr>
            <w:tcW w:w="1418" w:type="dxa"/>
          </w:tcPr>
          <w:p w:rsidR="00D81D6F" w:rsidRPr="003032D8" w:rsidRDefault="00D81D6F" w:rsidP="0038758B">
            <w:pPr>
              <w:spacing w:before="120" w:after="120" w:line="240" w:lineRule="auto"/>
              <w:jc w:val="center"/>
              <w:rPr>
                <w:rFonts w:ascii="TitilliumText25L" w:hAnsi="TitilliumText25L"/>
                <w:b/>
              </w:rPr>
            </w:pPr>
            <w:r w:rsidRPr="003032D8">
              <w:rPr>
                <w:rFonts w:ascii="TitilliumText25L" w:hAnsi="TitilliumText25L"/>
                <w:b/>
              </w:rPr>
              <w:t>Outright Purchase</w:t>
            </w:r>
          </w:p>
        </w:tc>
        <w:tc>
          <w:tcPr>
            <w:tcW w:w="1479" w:type="dxa"/>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Lease</w:t>
            </w:r>
          </w:p>
        </w:tc>
      </w:tr>
      <w:tr w:rsidR="00D81D6F" w:rsidRPr="003032D8" w:rsidTr="0038758B">
        <w:tc>
          <w:tcPr>
            <w:tcW w:w="4890"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 xml:space="preserve">Number of cases suitable for intraoperative cell salvage performed each year </w:t>
            </w:r>
          </w:p>
        </w:tc>
        <w:tc>
          <w:tcPr>
            <w:tcW w:w="1455"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b/>
              </w:rPr>
              <w:t>a</w:t>
            </w:r>
          </w:p>
        </w:tc>
        <w:tc>
          <w:tcPr>
            <w:tcW w:w="1418"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 xml:space="preserve">Mean allogeneic blood usage per case for procedures suitable for intraoperative cell salvage </w:t>
            </w:r>
          </w:p>
        </w:tc>
        <w:tc>
          <w:tcPr>
            <w:tcW w:w="1455"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b/>
              </w:rPr>
              <w:t>b</w:t>
            </w:r>
          </w:p>
        </w:tc>
        <w:tc>
          <w:tcPr>
            <w:tcW w:w="1418"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tcBorders>
              <w:bottom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 xml:space="preserve">Current cost of a unit of allogeneic RBCs </w:t>
            </w:r>
          </w:p>
        </w:tc>
        <w:tc>
          <w:tcPr>
            <w:tcW w:w="1455" w:type="dxa"/>
            <w:tcBorders>
              <w:bottom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b/>
              </w:rPr>
              <w:t>c</w:t>
            </w:r>
          </w:p>
        </w:tc>
        <w:tc>
          <w:tcPr>
            <w:tcW w:w="1418" w:type="dxa"/>
            <w:tcBorders>
              <w:bottom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tcBorders>
              <w:bottom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tcBorders>
              <w:top w:val="single" w:sz="18" w:space="0" w:color="auto"/>
              <w:left w:val="single" w:sz="18" w:space="0" w:color="auto"/>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Current blood usages costs avoided per annum</w:t>
            </w:r>
          </w:p>
        </w:tc>
        <w:tc>
          <w:tcPr>
            <w:tcW w:w="1455" w:type="dxa"/>
            <w:tcBorders>
              <w:top w:val="single" w:sz="18" w:space="0" w:color="auto"/>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a x b x c</w:t>
            </w:r>
          </w:p>
        </w:tc>
        <w:tc>
          <w:tcPr>
            <w:tcW w:w="1418" w:type="dxa"/>
            <w:tcBorders>
              <w:top w:val="single" w:sz="18" w:space="0" w:color="auto"/>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rPr>
              <w:t>$_______</w:t>
            </w:r>
          </w:p>
        </w:tc>
        <w:tc>
          <w:tcPr>
            <w:tcW w:w="1479" w:type="dxa"/>
            <w:tcBorders>
              <w:top w:val="single" w:sz="18" w:space="0" w:color="auto"/>
              <w:bottom w:val="single" w:sz="18" w:space="0" w:color="auto"/>
              <w:right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rPr>
              <w:t>$_______</w:t>
            </w:r>
          </w:p>
        </w:tc>
      </w:tr>
      <w:tr w:rsidR="00D81D6F" w:rsidRPr="003032D8" w:rsidTr="0038758B">
        <w:tc>
          <w:tcPr>
            <w:tcW w:w="4890" w:type="dxa"/>
            <w:tcBorders>
              <w:top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 xml:space="preserve">Capital charges (equipment purchase) (Year 1) </w:t>
            </w:r>
          </w:p>
        </w:tc>
        <w:tc>
          <w:tcPr>
            <w:tcW w:w="1455" w:type="dxa"/>
            <w:tcBorders>
              <w:top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d</w:t>
            </w:r>
          </w:p>
        </w:tc>
        <w:tc>
          <w:tcPr>
            <w:tcW w:w="1418" w:type="dxa"/>
            <w:tcBorders>
              <w:top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tcBorders>
              <w:top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Not Applicable</w:t>
            </w:r>
          </w:p>
        </w:tc>
      </w:tr>
      <w:tr w:rsidR="00D81D6F" w:rsidRPr="003032D8" w:rsidTr="0038758B">
        <w:tc>
          <w:tcPr>
            <w:tcW w:w="4890"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Cost of intraoperative cell salvage Consumables (each)</w:t>
            </w:r>
          </w:p>
        </w:tc>
        <w:tc>
          <w:tcPr>
            <w:tcW w:w="1455" w:type="dxa"/>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e</w:t>
            </w:r>
          </w:p>
        </w:tc>
        <w:tc>
          <w:tcPr>
            <w:tcW w:w="1418"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 xml:space="preserve">Consumable costs per annum </w:t>
            </w:r>
          </w:p>
        </w:tc>
        <w:tc>
          <w:tcPr>
            <w:tcW w:w="1455" w:type="dxa"/>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f = a x e</w:t>
            </w:r>
          </w:p>
        </w:tc>
        <w:tc>
          <w:tcPr>
            <w:tcW w:w="1418"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 xml:space="preserve">Maintenance contract costs per annum </w:t>
            </w:r>
          </w:p>
        </w:tc>
        <w:tc>
          <w:tcPr>
            <w:tcW w:w="1455" w:type="dxa"/>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g</w:t>
            </w:r>
          </w:p>
        </w:tc>
        <w:tc>
          <w:tcPr>
            <w:tcW w:w="1418"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 xml:space="preserve">Estimated electricity cost per intraoperative cell salvage case </w:t>
            </w:r>
          </w:p>
        </w:tc>
        <w:tc>
          <w:tcPr>
            <w:tcW w:w="1455" w:type="dxa"/>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h</w:t>
            </w:r>
          </w:p>
        </w:tc>
        <w:tc>
          <w:tcPr>
            <w:tcW w:w="1418"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 xml:space="preserve">Estimated electricity costs per annum </w:t>
            </w:r>
          </w:p>
        </w:tc>
        <w:tc>
          <w:tcPr>
            <w:tcW w:w="1455" w:type="dxa"/>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i = a x h</w:t>
            </w:r>
          </w:p>
        </w:tc>
        <w:tc>
          <w:tcPr>
            <w:tcW w:w="1418"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Estimated costs for staff training Year 1</w:t>
            </w:r>
          </w:p>
        </w:tc>
        <w:tc>
          <w:tcPr>
            <w:tcW w:w="1455" w:type="dxa"/>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j</w:t>
            </w:r>
          </w:p>
        </w:tc>
        <w:tc>
          <w:tcPr>
            <w:tcW w:w="1418"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tcBorders>
              <w:bottom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Estimated costs for staff training Year 2 onwards</w:t>
            </w:r>
          </w:p>
        </w:tc>
        <w:tc>
          <w:tcPr>
            <w:tcW w:w="1455" w:type="dxa"/>
            <w:tcBorders>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k</w:t>
            </w:r>
          </w:p>
        </w:tc>
        <w:tc>
          <w:tcPr>
            <w:tcW w:w="1418" w:type="dxa"/>
            <w:tcBorders>
              <w:bottom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c>
          <w:tcPr>
            <w:tcW w:w="1479" w:type="dxa"/>
            <w:tcBorders>
              <w:bottom w:val="single" w:sz="18" w:space="0" w:color="auto"/>
            </w:tcBorders>
            <w:vAlign w:val="center"/>
          </w:tcPr>
          <w:p w:rsidR="00D81D6F" w:rsidRPr="003032D8" w:rsidRDefault="00D81D6F" w:rsidP="0038758B">
            <w:pPr>
              <w:spacing w:before="120" w:after="120" w:line="240" w:lineRule="auto"/>
              <w:rPr>
                <w:rFonts w:ascii="TitilliumText25L" w:hAnsi="TitilliumText25L"/>
              </w:rPr>
            </w:pPr>
            <w:r w:rsidRPr="003032D8">
              <w:rPr>
                <w:rFonts w:ascii="TitilliumText25L" w:hAnsi="TitilliumText25L"/>
              </w:rPr>
              <w:t>$_______</w:t>
            </w:r>
          </w:p>
        </w:tc>
      </w:tr>
      <w:tr w:rsidR="00D81D6F" w:rsidRPr="003032D8" w:rsidTr="0038758B">
        <w:tc>
          <w:tcPr>
            <w:tcW w:w="4890" w:type="dxa"/>
            <w:tcBorders>
              <w:top w:val="single" w:sz="18" w:space="0" w:color="auto"/>
              <w:left w:val="single" w:sz="18" w:space="0" w:color="auto"/>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 xml:space="preserve">Additional costs incurred (year 1) </w:t>
            </w:r>
          </w:p>
        </w:tc>
        <w:tc>
          <w:tcPr>
            <w:tcW w:w="1455" w:type="dxa"/>
            <w:tcBorders>
              <w:top w:val="single" w:sz="18" w:space="0" w:color="auto"/>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d + f +g + i + j</w:t>
            </w:r>
          </w:p>
        </w:tc>
        <w:tc>
          <w:tcPr>
            <w:tcW w:w="1418" w:type="dxa"/>
            <w:tcBorders>
              <w:top w:val="single" w:sz="18" w:space="0" w:color="auto"/>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rPr>
              <w:t>$_______</w:t>
            </w:r>
          </w:p>
        </w:tc>
        <w:tc>
          <w:tcPr>
            <w:tcW w:w="1479" w:type="dxa"/>
            <w:tcBorders>
              <w:top w:val="single" w:sz="18" w:space="0" w:color="auto"/>
              <w:bottom w:val="single" w:sz="18" w:space="0" w:color="auto"/>
              <w:right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rPr>
              <w:t>$_______</w:t>
            </w:r>
          </w:p>
        </w:tc>
      </w:tr>
      <w:tr w:rsidR="00D81D6F" w:rsidRPr="003032D8" w:rsidTr="0038758B">
        <w:tc>
          <w:tcPr>
            <w:tcW w:w="4890" w:type="dxa"/>
            <w:tcBorders>
              <w:top w:val="single" w:sz="18" w:space="0" w:color="auto"/>
              <w:left w:val="single" w:sz="18" w:space="0" w:color="auto"/>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 xml:space="preserve">Additional costs incurred (year 2 onwards) </w:t>
            </w:r>
          </w:p>
        </w:tc>
        <w:tc>
          <w:tcPr>
            <w:tcW w:w="1455" w:type="dxa"/>
            <w:tcBorders>
              <w:top w:val="single" w:sz="18" w:space="0" w:color="auto"/>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b/>
              </w:rPr>
              <w:t>f + g + I + k</w:t>
            </w:r>
          </w:p>
        </w:tc>
        <w:tc>
          <w:tcPr>
            <w:tcW w:w="1418" w:type="dxa"/>
            <w:tcBorders>
              <w:top w:val="single" w:sz="18" w:space="0" w:color="auto"/>
              <w:bottom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rPr>
              <w:t>$_______</w:t>
            </w:r>
          </w:p>
        </w:tc>
        <w:tc>
          <w:tcPr>
            <w:tcW w:w="1479" w:type="dxa"/>
            <w:tcBorders>
              <w:top w:val="single" w:sz="18" w:space="0" w:color="auto"/>
              <w:bottom w:val="single" w:sz="18" w:space="0" w:color="auto"/>
              <w:right w:val="single" w:sz="18" w:space="0" w:color="auto"/>
            </w:tcBorders>
            <w:vAlign w:val="center"/>
          </w:tcPr>
          <w:p w:rsidR="00D81D6F" w:rsidRPr="003032D8" w:rsidRDefault="00D81D6F" w:rsidP="0038758B">
            <w:pPr>
              <w:spacing w:before="120" w:after="120" w:line="240" w:lineRule="auto"/>
              <w:rPr>
                <w:rFonts w:ascii="TitilliumText25L" w:hAnsi="TitilliumText25L"/>
                <w:b/>
              </w:rPr>
            </w:pPr>
            <w:r w:rsidRPr="003032D8">
              <w:rPr>
                <w:rFonts w:ascii="TitilliumText25L" w:hAnsi="TitilliumText25L"/>
              </w:rPr>
              <w:t>$_______</w:t>
            </w:r>
          </w:p>
        </w:tc>
      </w:tr>
    </w:tbl>
    <w:p w:rsidR="00D81D6F" w:rsidRPr="003032D8" w:rsidRDefault="00D81D6F" w:rsidP="00D81D6F">
      <w:pPr>
        <w:spacing w:after="0" w:line="240" w:lineRule="auto"/>
        <w:rPr>
          <w:rFonts w:ascii="TitilliumText25L" w:hAnsi="TitilliumText25L" w:cs="Arial"/>
          <w:sz w:val="20"/>
          <w:szCs w:val="20"/>
        </w:rPr>
      </w:pPr>
    </w:p>
    <w:p w:rsidR="004F62F0" w:rsidRPr="003032D8" w:rsidRDefault="004F62F0" w:rsidP="00D81D6F">
      <w:pPr>
        <w:spacing w:after="0" w:line="240" w:lineRule="auto"/>
        <w:rPr>
          <w:rFonts w:ascii="TitilliumText25L" w:hAnsi="TitilliumText25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7"/>
        <w:gridCol w:w="1474"/>
      </w:tblGrid>
      <w:tr w:rsidR="00D81D6F" w:rsidRPr="003032D8" w:rsidTr="00F60BA2">
        <w:tc>
          <w:tcPr>
            <w:tcW w:w="5637" w:type="dxa"/>
            <w:vAlign w:val="center"/>
          </w:tcPr>
          <w:p w:rsidR="00D81D6F" w:rsidRPr="003032D8" w:rsidRDefault="00D81D6F" w:rsidP="0038758B">
            <w:pPr>
              <w:spacing w:after="0" w:line="240" w:lineRule="auto"/>
              <w:rPr>
                <w:rFonts w:ascii="TitilliumText25L" w:hAnsi="TitilliumText25L"/>
              </w:rPr>
            </w:pPr>
            <w:r w:rsidRPr="003032D8">
              <w:rPr>
                <w:rFonts w:ascii="TitilliumText25L" w:hAnsi="TitilliumText25L"/>
              </w:rPr>
              <w:t>Annual cost saving - year 1</w:t>
            </w:r>
          </w:p>
          <w:p w:rsidR="00D81D6F" w:rsidRPr="003032D8" w:rsidRDefault="00D81D6F" w:rsidP="0038758B">
            <w:pPr>
              <w:spacing w:line="240" w:lineRule="auto"/>
              <w:rPr>
                <w:rFonts w:ascii="TitilliumText25L" w:hAnsi="TitilliumText25L"/>
              </w:rPr>
            </w:pPr>
            <w:r w:rsidRPr="003032D8">
              <w:rPr>
                <w:rFonts w:ascii="TitilliumText25L" w:hAnsi="TitilliumText25L"/>
              </w:rPr>
              <w:t xml:space="preserve">(Current blood usage costs avoided per annum – </w:t>
            </w:r>
            <w:r w:rsidRPr="003032D8">
              <w:rPr>
                <w:rFonts w:ascii="TitilliumText25L" w:hAnsi="TitilliumText25L"/>
              </w:rPr>
              <w:lastRenderedPageBreak/>
              <w:t xml:space="preserve">Additional costs incurred (year 1)) </w:t>
            </w:r>
          </w:p>
        </w:tc>
        <w:tc>
          <w:tcPr>
            <w:tcW w:w="1417" w:type="dxa"/>
            <w:vAlign w:val="center"/>
          </w:tcPr>
          <w:p w:rsidR="00D81D6F" w:rsidRPr="003032D8" w:rsidRDefault="00D81D6F" w:rsidP="0038758B">
            <w:pPr>
              <w:spacing w:line="240" w:lineRule="auto"/>
              <w:rPr>
                <w:rFonts w:ascii="TitilliumText25L" w:hAnsi="TitilliumText25L"/>
              </w:rPr>
            </w:pPr>
            <w:r w:rsidRPr="003032D8">
              <w:rPr>
                <w:rFonts w:ascii="TitilliumText25L" w:hAnsi="TitilliumText25L"/>
              </w:rPr>
              <w:lastRenderedPageBreak/>
              <w:t>$_______</w:t>
            </w:r>
          </w:p>
        </w:tc>
        <w:tc>
          <w:tcPr>
            <w:tcW w:w="1474" w:type="dxa"/>
            <w:vAlign w:val="center"/>
          </w:tcPr>
          <w:p w:rsidR="00D81D6F" w:rsidRPr="003032D8" w:rsidRDefault="00D81D6F" w:rsidP="0038758B">
            <w:pPr>
              <w:spacing w:line="240" w:lineRule="auto"/>
              <w:rPr>
                <w:rFonts w:ascii="TitilliumText25L" w:hAnsi="TitilliumText25L"/>
              </w:rPr>
            </w:pPr>
            <w:r w:rsidRPr="003032D8">
              <w:rPr>
                <w:rFonts w:ascii="TitilliumText25L" w:hAnsi="TitilliumText25L"/>
              </w:rPr>
              <w:t>$_______</w:t>
            </w:r>
          </w:p>
        </w:tc>
      </w:tr>
      <w:tr w:rsidR="00D81D6F" w:rsidRPr="003032D8" w:rsidTr="00F60BA2">
        <w:tc>
          <w:tcPr>
            <w:tcW w:w="5637" w:type="dxa"/>
            <w:vAlign w:val="center"/>
          </w:tcPr>
          <w:p w:rsidR="00D81D6F" w:rsidRPr="003032D8" w:rsidRDefault="00D81D6F" w:rsidP="0038758B">
            <w:pPr>
              <w:spacing w:after="0" w:line="240" w:lineRule="auto"/>
              <w:rPr>
                <w:rFonts w:ascii="TitilliumText25L" w:hAnsi="TitilliumText25L"/>
              </w:rPr>
            </w:pPr>
            <w:r w:rsidRPr="003032D8">
              <w:rPr>
                <w:rFonts w:ascii="TitilliumText25L" w:hAnsi="TitilliumText25L"/>
              </w:rPr>
              <w:lastRenderedPageBreak/>
              <w:t xml:space="preserve">Annual cost saving - year 2 onwards </w:t>
            </w:r>
          </w:p>
          <w:p w:rsidR="00D81D6F" w:rsidRPr="003032D8" w:rsidRDefault="00D81D6F" w:rsidP="0038758B">
            <w:pPr>
              <w:spacing w:after="120" w:line="240" w:lineRule="auto"/>
              <w:rPr>
                <w:rFonts w:ascii="TitilliumText25L" w:hAnsi="TitilliumText25L"/>
              </w:rPr>
            </w:pPr>
            <w:r w:rsidRPr="003032D8">
              <w:rPr>
                <w:rFonts w:ascii="TitilliumText25L" w:hAnsi="TitilliumText25L"/>
              </w:rPr>
              <w:t xml:space="preserve">(Current blood usage costs avoided per annum – additional costs incurred (year 2 )) </w:t>
            </w:r>
          </w:p>
        </w:tc>
        <w:tc>
          <w:tcPr>
            <w:tcW w:w="1417" w:type="dxa"/>
            <w:vAlign w:val="center"/>
          </w:tcPr>
          <w:p w:rsidR="00D81D6F" w:rsidRPr="003032D8" w:rsidRDefault="00D81D6F" w:rsidP="0038758B">
            <w:pPr>
              <w:spacing w:line="240" w:lineRule="auto"/>
              <w:rPr>
                <w:rFonts w:ascii="TitilliumText25L" w:hAnsi="TitilliumText25L"/>
              </w:rPr>
            </w:pPr>
          </w:p>
          <w:p w:rsidR="00D81D6F" w:rsidRPr="003032D8" w:rsidRDefault="00D81D6F" w:rsidP="0038758B">
            <w:pPr>
              <w:spacing w:line="240" w:lineRule="auto"/>
              <w:rPr>
                <w:rFonts w:ascii="TitilliumText25L" w:hAnsi="TitilliumText25L"/>
              </w:rPr>
            </w:pPr>
            <w:r w:rsidRPr="003032D8">
              <w:rPr>
                <w:rFonts w:ascii="TitilliumText25L" w:hAnsi="TitilliumText25L"/>
              </w:rPr>
              <w:t>$_______</w:t>
            </w:r>
          </w:p>
        </w:tc>
        <w:tc>
          <w:tcPr>
            <w:tcW w:w="1474" w:type="dxa"/>
            <w:vAlign w:val="center"/>
          </w:tcPr>
          <w:p w:rsidR="00D81D6F" w:rsidRPr="003032D8" w:rsidRDefault="00D81D6F" w:rsidP="0038758B">
            <w:pPr>
              <w:spacing w:line="240" w:lineRule="auto"/>
              <w:rPr>
                <w:rFonts w:ascii="TitilliumText25L" w:hAnsi="TitilliumText25L"/>
              </w:rPr>
            </w:pPr>
          </w:p>
          <w:p w:rsidR="00D81D6F" w:rsidRPr="003032D8" w:rsidRDefault="00D81D6F" w:rsidP="0038758B">
            <w:pPr>
              <w:spacing w:line="240" w:lineRule="auto"/>
              <w:rPr>
                <w:rFonts w:ascii="TitilliumText25L" w:hAnsi="TitilliumText25L"/>
              </w:rPr>
            </w:pPr>
            <w:r w:rsidRPr="003032D8">
              <w:rPr>
                <w:rFonts w:ascii="TitilliumText25L" w:hAnsi="TitilliumText25L"/>
              </w:rPr>
              <w:t>$_______</w:t>
            </w:r>
          </w:p>
        </w:tc>
      </w:tr>
    </w:tbl>
    <w:p w:rsidR="00D81D6F" w:rsidRPr="003032D8" w:rsidRDefault="00D81D6F" w:rsidP="00D81D6F">
      <w:pPr>
        <w:rPr>
          <w:rFonts w:ascii="TitilliumText25L" w:hAnsi="TitilliumText25L"/>
          <w:u w:val="single"/>
        </w:rPr>
      </w:pPr>
      <w:r w:rsidRPr="003032D8">
        <w:rPr>
          <w:rFonts w:ascii="TitilliumText25L" w:hAnsi="TitilliumText25L"/>
        </w:rPr>
        <w:br w:type="page"/>
      </w:r>
      <w:r w:rsidRPr="003032D8">
        <w:rPr>
          <w:rFonts w:ascii="TitilliumText25L" w:hAnsi="TitilliumText25L"/>
          <w:b/>
        </w:rPr>
        <w:lastRenderedPageBreak/>
        <w:t>CASE STUDY</w:t>
      </w:r>
      <w:r w:rsidRPr="003032D8">
        <w:rPr>
          <w:rFonts w:ascii="TitilliumText25L" w:hAnsi="TitilliumText25L"/>
        </w:rPr>
        <w:t xml:space="preserve">: </w:t>
      </w:r>
      <w:r w:rsidRPr="003032D8">
        <w:rPr>
          <w:rFonts w:ascii="TitilliumText25L" w:hAnsi="TitilliumText25L"/>
          <w:u w:val="single"/>
        </w:rPr>
        <w:t>During a retrospective study at the Royal Brisbane and Women’s Hospital (RBWH) in Brisbane, Queensland, the following was found:</w:t>
      </w:r>
    </w:p>
    <w:p w:rsidR="00D81D6F" w:rsidRPr="003032D8" w:rsidRDefault="00D81D6F" w:rsidP="00D81D6F">
      <w:pPr>
        <w:spacing w:after="120" w:line="240" w:lineRule="auto"/>
        <w:rPr>
          <w:rFonts w:ascii="TitilliumText25L" w:hAnsi="TitilliumText25L"/>
        </w:rPr>
      </w:pPr>
      <w:r w:rsidRPr="003032D8">
        <w:rPr>
          <w:rFonts w:ascii="TitilliumText25L" w:hAnsi="TitilliumText25L"/>
          <w:b/>
        </w:rPr>
        <w:t>Estimating the cost of maintaining an intraoperative cell salvage service</w:t>
      </w:r>
      <w:r w:rsidRPr="003032D8">
        <w:rPr>
          <w:rFonts w:ascii="TitilliumText25L" w:hAnsi="TitilliumText25L"/>
        </w:rPr>
        <w:t>:</w:t>
      </w:r>
    </w:p>
    <w:p w:rsidR="00D81D6F" w:rsidRPr="003032D8" w:rsidRDefault="00D81D6F" w:rsidP="00D81D6F">
      <w:pPr>
        <w:spacing w:after="120" w:line="240" w:lineRule="auto"/>
        <w:rPr>
          <w:rFonts w:ascii="TitilliumText25L" w:hAnsi="TitilliumText25L"/>
        </w:rPr>
      </w:pPr>
      <w:r w:rsidRPr="003032D8">
        <w:rPr>
          <w:rFonts w:ascii="TitilliumText25L" w:hAnsi="TitilliumText25L"/>
        </w:rPr>
        <w:t>The study was a retrospective audit, conducted in the RBWH in Brisbane, Australia, between January and December 2011.</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"author" : [ { "dropping-particle" : "", "family" : "Roets", "given" : "M", "non-dropping-particle" : "", "parse-names" : false, "suffix" : "" } ], "id" : "ITEM-1", "issued" : { "date-parts" : [ [ "2012" ] ] }, "title" : "A prospective observational study on Intra-operative Cell Salvage. Identifying adverse outcomes and surgical procedures which present the greatest cost-benefit for the use of Intraoperative Cell Salvage in the Royal Brisbane and Women\u2019s Hospital.No Title", "type" : "article" }, "uris" : [ "http://www.mendeley.com/documents/?uuid=a1f4f833-9001-406e-9b86-6e9783dc134d" ] } ], "mendeley" : { "previouslyFormattedCitation" : "&lt;sup&gt;4&lt;/sup&gt;"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4</w:t>
      </w:r>
      <w:r w:rsidRPr="003032D8">
        <w:rPr>
          <w:rFonts w:ascii="TitilliumText25L" w:hAnsi="TitilliumText25L"/>
        </w:rPr>
        <w:fldChar w:fldCharType="end"/>
      </w:r>
      <w:r w:rsidRPr="003032D8">
        <w:rPr>
          <w:rFonts w:ascii="TitilliumText25L" w:hAnsi="TitilliumText25L"/>
        </w:rPr>
        <w:t xml:space="preserve"> Over this period Intraoperative Cell Salvage was set up for 302 surgical cases in theatre and 242 units of intra-operatively salvaged blood was transfused (192 cases transfused, 110 cases setup and not transfused/discarded).</w:t>
      </w:r>
    </w:p>
    <w:p w:rsidR="00D81D6F" w:rsidRPr="003032D8" w:rsidRDefault="00D81D6F" w:rsidP="00D81D6F">
      <w:pPr>
        <w:numPr>
          <w:ilvl w:val="0"/>
          <w:numId w:val="20"/>
        </w:numPr>
        <w:spacing w:line="240" w:lineRule="auto"/>
        <w:contextualSpacing/>
        <w:rPr>
          <w:rFonts w:ascii="TitilliumText25L" w:hAnsi="TitilliumText25L"/>
        </w:rPr>
      </w:pPr>
      <w:r w:rsidRPr="003032D8">
        <w:rPr>
          <w:rFonts w:ascii="TitilliumText25L" w:hAnsi="TitilliumText25L"/>
        </w:rPr>
        <w:t>We calculated the cost of the intra-operative cell salvage service to our hospital (this is a rough estimate):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8"/>
        <w:gridCol w:w="1843"/>
      </w:tblGrid>
      <w:tr w:rsidR="00D81D6F" w:rsidRPr="003032D8" w:rsidTr="0038758B">
        <w:tc>
          <w:tcPr>
            <w:tcW w:w="8931" w:type="dxa"/>
            <w:gridSpan w:val="3"/>
            <w:tcBorders>
              <w:right w:val="double" w:sz="4" w:space="0" w:color="auto"/>
            </w:tcBorders>
            <w:shd w:val="clear" w:color="auto" w:fill="auto"/>
          </w:tcPr>
          <w:p w:rsidR="00D81D6F" w:rsidRPr="003032D8" w:rsidRDefault="00D81D6F" w:rsidP="0038758B">
            <w:pPr>
              <w:spacing w:line="240" w:lineRule="auto"/>
              <w:rPr>
                <w:rFonts w:ascii="TitilliumText25L" w:hAnsi="TitilliumText25L"/>
                <w:u w:val="single"/>
              </w:rPr>
            </w:pPr>
            <w:r w:rsidRPr="003032D8">
              <w:rPr>
                <w:rFonts w:ascii="TitilliumText25L" w:hAnsi="TitilliumText25L"/>
                <w:b/>
              </w:rPr>
              <w:t>Intraoperative Cell Salvage ongoing cost break down</w:t>
            </w:r>
            <w:r w:rsidRPr="003032D8">
              <w:rPr>
                <w:rFonts w:ascii="TitilliumText25L" w:hAnsi="TitilliumText25L"/>
              </w:rPr>
              <w:t>:</w:t>
            </w:r>
          </w:p>
        </w:tc>
      </w:tr>
      <w:tr w:rsidR="00D81D6F" w:rsidRPr="003032D8" w:rsidTr="0038758B">
        <w:tc>
          <w:tcPr>
            <w:tcW w:w="5670" w:type="dxa"/>
            <w:shd w:val="clear" w:color="auto" w:fill="auto"/>
          </w:tcPr>
          <w:p w:rsidR="00D81D6F" w:rsidRPr="003032D8" w:rsidRDefault="00D81D6F" w:rsidP="0038758B">
            <w:pPr>
              <w:spacing w:line="240" w:lineRule="auto"/>
              <w:rPr>
                <w:rFonts w:ascii="TitilliumText25L" w:hAnsi="TitilliumText25L"/>
                <w:u w:val="single"/>
              </w:rPr>
            </w:pPr>
            <w:r w:rsidRPr="003032D8">
              <w:rPr>
                <w:rFonts w:ascii="TitilliumText25L" w:hAnsi="TitilliumText25L"/>
                <w:u w:val="single"/>
              </w:rPr>
              <w:t>Service</w:t>
            </w:r>
          </w:p>
        </w:tc>
        <w:tc>
          <w:tcPr>
            <w:tcW w:w="1418" w:type="dxa"/>
            <w:shd w:val="clear" w:color="auto" w:fill="auto"/>
          </w:tcPr>
          <w:p w:rsidR="00D81D6F" w:rsidRPr="003032D8" w:rsidRDefault="00D81D6F" w:rsidP="0038758B">
            <w:pPr>
              <w:spacing w:line="240" w:lineRule="auto"/>
              <w:rPr>
                <w:rFonts w:ascii="TitilliumText25L" w:hAnsi="TitilliumText25L"/>
              </w:rPr>
            </w:pPr>
          </w:p>
        </w:tc>
        <w:tc>
          <w:tcPr>
            <w:tcW w:w="1843" w:type="dxa"/>
            <w:tcBorders>
              <w:right w:val="double" w:sz="4" w:space="0" w:color="auto"/>
            </w:tcBorders>
            <w:shd w:val="clear" w:color="auto" w:fill="auto"/>
          </w:tcPr>
          <w:p w:rsidR="00D81D6F" w:rsidRPr="003032D8" w:rsidRDefault="00D81D6F" w:rsidP="0038758B">
            <w:pPr>
              <w:spacing w:line="240" w:lineRule="auto"/>
              <w:rPr>
                <w:rFonts w:ascii="TitilliumText25L" w:hAnsi="TitilliumText25L"/>
                <w:u w:val="single"/>
              </w:rPr>
            </w:pPr>
            <w:r w:rsidRPr="003032D8">
              <w:rPr>
                <w:rFonts w:ascii="TitilliumText25L" w:hAnsi="TitilliumText25L"/>
                <w:u w:val="single"/>
              </w:rPr>
              <w:t xml:space="preserve">Annual Cost </w:t>
            </w:r>
          </w:p>
        </w:tc>
      </w:tr>
      <w:tr w:rsidR="00D81D6F" w:rsidRPr="003032D8" w:rsidTr="0038758B">
        <w:tc>
          <w:tcPr>
            <w:tcW w:w="5670" w:type="dxa"/>
            <w:shd w:val="clear" w:color="auto" w:fill="auto"/>
          </w:tcPr>
          <w:p w:rsidR="00D81D6F" w:rsidRPr="003032D8" w:rsidRDefault="00D81D6F" w:rsidP="0038758B">
            <w:pPr>
              <w:spacing w:after="120" w:line="240" w:lineRule="auto"/>
              <w:rPr>
                <w:rFonts w:ascii="TitilliumText25L" w:hAnsi="TitilliumText25L"/>
                <w:u w:val="single"/>
              </w:rPr>
            </w:pPr>
            <w:r w:rsidRPr="003032D8">
              <w:rPr>
                <w:rFonts w:ascii="TitilliumText25L" w:hAnsi="TitilliumText25L"/>
                <w:u w:val="single"/>
              </w:rPr>
              <w:t xml:space="preserve">Autotransfusionist </w:t>
            </w:r>
          </w:p>
          <w:p w:rsidR="00D81D6F" w:rsidRPr="003032D8" w:rsidRDefault="00D81D6F" w:rsidP="0038758B">
            <w:pPr>
              <w:spacing w:line="240" w:lineRule="auto"/>
              <w:rPr>
                <w:rFonts w:ascii="TitilliumText25L" w:hAnsi="TitilliumText25L"/>
              </w:rPr>
            </w:pPr>
            <w:r w:rsidRPr="003032D8">
              <w:rPr>
                <w:rFonts w:ascii="TitilliumText25L" w:hAnsi="TitilliumText25L"/>
              </w:rPr>
              <w:t xml:space="preserve">Only after hours: On call (public holiday, nights weekends), called in or stayed in </w:t>
            </w:r>
            <w:r w:rsidRPr="003032D8">
              <w:rPr>
                <w:rFonts w:ascii="TitilliumText25L" w:hAnsi="TitilliumText25L"/>
                <w:vertAlign w:val="superscript"/>
              </w:rPr>
              <w:t>(1)</w:t>
            </w:r>
            <w:r w:rsidRPr="003032D8">
              <w:rPr>
                <w:rFonts w:ascii="TitilliumText25L" w:hAnsi="TitilliumText25L"/>
              </w:rPr>
              <w:t xml:space="preserve"> </w:t>
            </w:r>
          </w:p>
        </w:tc>
        <w:tc>
          <w:tcPr>
            <w:tcW w:w="1418" w:type="dxa"/>
            <w:shd w:val="clear" w:color="auto" w:fill="auto"/>
          </w:tcPr>
          <w:p w:rsidR="00D81D6F" w:rsidRPr="003032D8" w:rsidRDefault="00D81D6F" w:rsidP="0038758B">
            <w:pPr>
              <w:spacing w:line="240" w:lineRule="auto"/>
              <w:rPr>
                <w:rFonts w:ascii="TitilliumText25L" w:hAnsi="TitilliumText25L"/>
              </w:rPr>
            </w:pPr>
          </w:p>
        </w:tc>
        <w:tc>
          <w:tcPr>
            <w:tcW w:w="1843" w:type="dxa"/>
            <w:tcBorders>
              <w:right w:val="double" w:sz="4" w:space="0" w:color="auto"/>
            </w:tcBorders>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$26221</w:t>
            </w:r>
          </w:p>
        </w:tc>
      </w:tr>
      <w:tr w:rsidR="00D81D6F" w:rsidRPr="003032D8" w:rsidTr="0038758B">
        <w:tc>
          <w:tcPr>
            <w:tcW w:w="5670" w:type="dxa"/>
            <w:shd w:val="clear" w:color="auto" w:fill="auto"/>
          </w:tcPr>
          <w:p w:rsidR="00D81D6F" w:rsidRPr="003032D8" w:rsidRDefault="00D81D6F" w:rsidP="0038758B">
            <w:pPr>
              <w:spacing w:line="240" w:lineRule="auto"/>
              <w:rPr>
                <w:rFonts w:ascii="TitilliumText25L" w:hAnsi="TitilliumText25L"/>
                <w:u w:val="single"/>
              </w:rPr>
            </w:pPr>
            <w:r w:rsidRPr="003032D8">
              <w:rPr>
                <w:rFonts w:ascii="TitilliumText25L" w:hAnsi="TitilliumText25L"/>
                <w:u w:val="single"/>
              </w:rPr>
              <w:t>Consumables</w:t>
            </w:r>
          </w:p>
        </w:tc>
        <w:tc>
          <w:tcPr>
            <w:tcW w:w="1418" w:type="dxa"/>
            <w:shd w:val="clear" w:color="auto" w:fill="auto"/>
          </w:tcPr>
          <w:p w:rsidR="00D81D6F" w:rsidRPr="003032D8" w:rsidRDefault="00D81D6F" w:rsidP="0038758B">
            <w:pPr>
              <w:spacing w:line="240" w:lineRule="auto"/>
              <w:rPr>
                <w:rFonts w:ascii="TitilliumText25L" w:hAnsi="TitilliumText25L"/>
              </w:rPr>
            </w:pPr>
          </w:p>
        </w:tc>
        <w:tc>
          <w:tcPr>
            <w:tcW w:w="1843" w:type="dxa"/>
            <w:tcBorders>
              <w:right w:val="double" w:sz="4" w:space="0" w:color="auto"/>
            </w:tcBorders>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$78395</w:t>
            </w:r>
          </w:p>
        </w:tc>
      </w:tr>
      <w:tr w:rsidR="00D81D6F" w:rsidRPr="003032D8" w:rsidTr="0038758B">
        <w:tc>
          <w:tcPr>
            <w:tcW w:w="5670" w:type="dxa"/>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rPr>
              <w:t>Cost of cases processed and transfused*</w:t>
            </w:r>
          </w:p>
        </w:tc>
        <w:tc>
          <w:tcPr>
            <w:tcW w:w="1418" w:type="dxa"/>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$63757</w:t>
            </w:r>
          </w:p>
        </w:tc>
        <w:tc>
          <w:tcPr>
            <w:tcW w:w="1843" w:type="dxa"/>
            <w:vMerge w:val="restart"/>
            <w:tcBorders>
              <w:right w:val="double" w:sz="4" w:space="0" w:color="auto"/>
            </w:tcBorders>
            <w:shd w:val="clear" w:color="auto" w:fill="auto"/>
          </w:tcPr>
          <w:p w:rsidR="00D81D6F" w:rsidRPr="003032D8" w:rsidRDefault="00D81D6F" w:rsidP="0038758B">
            <w:pPr>
              <w:spacing w:line="240" w:lineRule="auto"/>
              <w:jc w:val="right"/>
              <w:rPr>
                <w:rFonts w:ascii="TitilliumText25L" w:hAnsi="TitilliumText25L"/>
              </w:rPr>
            </w:pPr>
          </w:p>
        </w:tc>
      </w:tr>
      <w:tr w:rsidR="00D81D6F" w:rsidRPr="003032D8" w:rsidTr="0038758B">
        <w:tc>
          <w:tcPr>
            <w:tcW w:w="5670" w:type="dxa"/>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rPr>
              <w:t>Cost of cases processed but not transfused*</w:t>
            </w:r>
          </w:p>
        </w:tc>
        <w:tc>
          <w:tcPr>
            <w:tcW w:w="1418" w:type="dxa"/>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$14638</w:t>
            </w:r>
          </w:p>
        </w:tc>
        <w:tc>
          <w:tcPr>
            <w:tcW w:w="1843" w:type="dxa"/>
            <w:vMerge/>
            <w:tcBorders>
              <w:right w:val="double" w:sz="4" w:space="0" w:color="auto"/>
            </w:tcBorders>
            <w:shd w:val="clear" w:color="auto" w:fill="auto"/>
          </w:tcPr>
          <w:p w:rsidR="00D81D6F" w:rsidRPr="003032D8" w:rsidRDefault="00D81D6F" w:rsidP="0038758B">
            <w:pPr>
              <w:spacing w:line="240" w:lineRule="auto"/>
              <w:jc w:val="right"/>
              <w:rPr>
                <w:rFonts w:ascii="TitilliumText25L" w:hAnsi="TitilliumText25L"/>
              </w:rPr>
            </w:pPr>
          </w:p>
        </w:tc>
      </w:tr>
      <w:tr w:rsidR="00D81D6F" w:rsidRPr="003032D8" w:rsidTr="0038758B">
        <w:tc>
          <w:tcPr>
            <w:tcW w:w="5670" w:type="dxa"/>
            <w:shd w:val="clear" w:color="auto" w:fill="auto"/>
          </w:tcPr>
          <w:p w:rsidR="00D81D6F" w:rsidRPr="003032D8" w:rsidRDefault="00D81D6F" w:rsidP="0038758B">
            <w:pPr>
              <w:spacing w:line="240" w:lineRule="auto"/>
              <w:rPr>
                <w:rFonts w:ascii="TitilliumText25L" w:hAnsi="TitilliumText25L"/>
                <w:u w:val="single"/>
              </w:rPr>
            </w:pPr>
            <w:r w:rsidRPr="003032D8">
              <w:rPr>
                <w:rFonts w:ascii="TitilliumText25L" w:hAnsi="TitilliumText25L"/>
                <w:u w:val="single"/>
              </w:rPr>
              <w:t>Machine:</w:t>
            </w:r>
            <w:r w:rsidRPr="003032D8">
              <w:rPr>
                <w:rFonts w:ascii="TitilliumText25L" w:hAnsi="TitilliumText25L"/>
              </w:rPr>
              <w:t xml:space="preserve"> maintenance/ongoing cost (annual)</w:t>
            </w:r>
          </w:p>
        </w:tc>
        <w:tc>
          <w:tcPr>
            <w:tcW w:w="1418" w:type="dxa"/>
            <w:shd w:val="clear" w:color="auto" w:fill="auto"/>
          </w:tcPr>
          <w:p w:rsidR="00D81D6F" w:rsidRPr="003032D8" w:rsidRDefault="00D81D6F" w:rsidP="0038758B">
            <w:pPr>
              <w:spacing w:line="240" w:lineRule="auto"/>
              <w:rPr>
                <w:rFonts w:ascii="TitilliumText25L" w:hAnsi="TitilliumText25L"/>
              </w:rPr>
            </w:pPr>
          </w:p>
        </w:tc>
        <w:tc>
          <w:tcPr>
            <w:tcW w:w="1843" w:type="dxa"/>
            <w:tcBorders>
              <w:right w:val="double" w:sz="4" w:space="0" w:color="auto"/>
            </w:tcBorders>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$730</w:t>
            </w:r>
          </w:p>
        </w:tc>
      </w:tr>
      <w:tr w:rsidR="00D81D6F" w:rsidRPr="003032D8" w:rsidTr="0038758B">
        <w:tc>
          <w:tcPr>
            <w:tcW w:w="5670" w:type="dxa"/>
            <w:shd w:val="clear" w:color="auto" w:fill="auto"/>
          </w:tcPr>
          <w:p w:rsidR="00D81D6F" w:rsidRPr="003032D8" w:rsidRDefault="00D81D6F" w:rsidP="0038758B">
            <w:pPr>
              <w:spacing w:line="240" w:lineRule="auto"/>
              <w:rPr>
                <w:rFonts w:ascii="TitilliumText25L" w:hAnsi="TitilliumText25L"/>
              </w:rPr>
            </w:pPr>
          </w:p>
        </w:tc>
        <w:tc>
          <w:tcPr>
            <w:tcW w:w="1418" w:type="dxa"/>
            <w:shd w:val="clear" w:color="auto" w:fill="auto"/>
          </w:tcPr>
          <w:p w:rsidR="00D81D6F" w:rsidRPr="003032D8" w:rsidRDefault="00D81D6F" w:rsidP="0038758B">
            <w:pPr>
              <w:spacing w:line="240" w:lineRule="auto"/>
              <w:rPr>
                <w:rFonts w:ascii="TitilliumText25L" w:hAnsi="TitilliumText25L"/>
              </w:rPr>
            </w:pPr>
          </w:p>
        </w:tc>
        <w:tc>
          <w:tcPr>
            <w:tcW w:w="1843" w:type="dxa"/>
            <w:tcBorders>
              <w:right w:val="double" w:sz="4" w:space="0" w:color="auto"/>
            </w:tcBorders>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$105346</w:t>
            </w:r>
          </w:p>
        </w:tc>
      </w:tr>
    </w:tbl>
    <w:p w:rsidR="00D81D6F" w:rsidRPr="003032D8" w:rsidRDefault="00D81D6F" w:rsidP="00D81D6F">
      <w:pPr>
        <w:spacing w:after="0" w:line="240" w:lineRule="auto"/>
        <w:rPr>
          <w:rFonts w:ascii="TitilliumText25L" w:hAnsi="TitilliumText25L"/>
          <w:b/>
        </w:rPr>
      </w:pPr>
      <w:r w:rsidRPr="003032D8">
        <w:rPr>
          <w:rFonts w:ascii="TitilliumText25L" w:hAnsi="TitilliumText25L" w:cs="Arial"/>
        </w:rPr>
        <w:t>*</w:t>
      </w:r>
      <w:r w:rsidRPr="003032D8">
        <w:rPr>
          <w:rFonts w:ascii="TitilliumText25L" w:hAnsi="TitilliumText25L"/>
          <w:b/>
        </w:rPr>
        <w:t xml:space="preserve">The purchase of the machine and implementation costs were not included </w:t>
      </w:r>
    </w:p>
    <w:p w:rsidR="00D81D6F" w:rsidRPr="003032D8" w:rsidRDefault="00D81D6F" w:rsidP="00D81D6F">
      <w:pPr>
        <w:spacing w:after="0" w:line="240" w:lineRule="auto"/>
        <w:rPr>
          <w:rFonts w:ascii="TitilliumText25L" w:hAnsi="TitilliumText25L"/>
          <w:b/>
        </w:rPr>
      </w:pPr>
      <w:r w:rsidRPr="003032D8">
        <w:rPr>
          <w:rFonts w:ascii="TitilliumText25L" w:hAnsi="TitilliumText25L"/>
          <w:b/>
        </w:rPr>
        <w:t xml:space="preserve">  as this is a well-established service </w:t>
      </w:r>
    </w:p>
    <w:p w:rsidR="00D81D6F" w:rsidRPr="003032D8" w:rsidRDefault="00D81D6F" w:rsidP="00D81D6F">
      <w:pPr>
        <w:spacing w:after="0" w:line="240" w:lineRule="auto"/>
        <w:rPr>
          <w:rFonts w:ascii="TitilliumText25L" w:hAnsi="TitilliumText25L"/>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843"/>
      </w:tblGrid>
      <w:tr w:rsidR="00D81D6F" w:rsidRPr="003032D8" w:rsidTr="0038758B">
        <w:tc>
          <w:tcPr>
            <w:tcW w:w="8931" w:type="dxa"/>
            <w:gridSpan w:val="2"/>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b/>
              </w:rPr>
              <w:t>Cost per unit Intraoperative Cell Salvage summary</w:t>
            </w:r>
            <w:r w:rsidRPr="003032D8">
              <w:rPr>
                <w:rFonts w:ascii="TitilliumText25L" w:hAnsi="TitilliumText25L"/>
              </w:rPr>
              <w:t>:</w:t>
            </w:r>
          </w:p>
        </w:tc>
      </w:tr>
      <w:tr w:rsidR="00D81D6F" w:rsidRPr="003032D8" w:rsidTr="0038758B">
        <w:tc>
          <w:tcPr>
            <w:tcW w:w="7088" w:type="dxa"/>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rPr>
              <w:t>The cost of Intraoperative Cell Salvage for 242 units transfused in 2011</w:t>
            </w:r>
          </w:p>
        </w:tc>
        <w:tc>
          <w:tcPr>
            <w:tcW w:w="1843" w:type="dxa"/>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$105346</w:t>
            </w:r>
          </w:p>
        </w:tc>
      </w:tr>
      <w:tr w:rsidR="00D81D6F" w:rsidRPr="003032D8" w:rsidTr="0038758B">
        <w:tc>
          <w:tcPr>
            <w:tcW w:w="7088" w:type="dxa"/>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rPr>
              <w:t>Therefore the average cost per unit of Intraoperative Cell Salvage ($105346/242)</w:t>
            </w:r>
          </w:p>
        </w:tc>
        <w:tc>
          <w:tcPr>
            <w:tcW w:w="1843" w:type="dxa"/>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$435.32</w:t>
            </w:r>
          </w:p>
        </w:tc>
      </w:tr>
    </w:tbl>
    <w:p w:rsidR="00D81D6F" w:rsidRPr="003032D8" w:rsidRDefault="00D81D6F" w:rsidP="00D81D6F">
      <w:pPr>
        <w:numPr>
          <w:ilvl w:val="0"/>
          <w:numId w:val="20"/>
        </w:numPr>
        <w:spacing w:line="240" w:lineRule="auto"/>
        <w:contextualSpacing/>
        <w:rPr>
          <w:rFonts w:ascii="TitilliumText25L" w:hAnsi="TitilliumText25L"/>
        </w:rPr>
      </w:pPr>
      <w:r w:rsidRPr="003032D8">
        <w:rPr>
          <w:rFonts w:ascii="TitilliumText25L" w:hAnsi="TitilliumText25L"/>
        </w:rPr>
        <w:t>The potential cost of allogeneic red blood cells as an alternative:</w:t>
      </w: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418"/>
        <w:gridCol w:w="1875"/>
      </w:tblGrid>
      <w:tr w:rsidR="00D81D6F" w:rsidRPr="003032D8" w:rsidTr="0038758B">
        <w:trPr>
          <w:trHeight w:val="854"/>
        </w:trPr>
        <w:tc>
          <w:tcPr>
            <w:tcW w:w="3969" w:type="dxa"/>
            <w:shd w:val="clear" w:color="auto" w:fill="auto"/>
          </w:tcPr>
          <w:p w:rsidR="00D81D6F" w:rsidRPr="003032D8" w:rsidRDefault="00D81D6F" w:rsidP="0038758B">
            <w:pPr>
              <w:spacing w:line="240" w:lineRule="auto"/>
              <w:rPr>
                <w:rFonts w:ascii="TitilliumText25L" w:hAnsi="TitilliumText25L"/>
              </w:rPr>
            </w:pPr>
          </w:p>
        </w:tc>
        <w:tc>
          <w:tcPr>
            <w:tcW w:w="1701" w:type="dxa"/>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rPr>
              <w:t>Cost estimated per unit</w:t>
            </w:r>
          </w:p>
        </w:tc>
        <w:tc>
          <w:tcPr>
            <w:tcW w:w="1418" w:type="dxa"/>
            <w:shd w:val="clear" w:color="auto" w:fill="auto"/>
          </w:tcPr>
          <w:p w:rsidR="00D81D6F" w:rsidRPr="003032D8" w:rsidRDefault="00D81D6F" w:rsidP="0038758B">
            <w:pPr>
              <w:spacing w:after="120" w:line="240" w:lineRule="auto"/>
              <w:rPr>
                <w:rFonts w:ascii="TitilliumText25L" w:hAnsi="TitilliumText25L"/>
              </w:rPr>
            </w:pPr>
            <w:r w:rsidRPr="003032D8">
              <w:rPr>
                <w:rFonts w:ascii="TitilliumText25L" w:hAnsi="TitilliumText25L"/>
              </w:rPr>
              <w:t>Total potential cost</w:t>
            </w:r>
          </w:p>
        </w:tc>
        <w:tc>
          <w:tcPr>
            <w:tcW w:w="1875" w:type="dxa"/>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rPr>
              <w:t>Potential saving</w:t>
            </w:r>
          </w:p>
        </w:tc>
      </w:tr>
      <w:tr w:rsidR="00D81D6F" w:rsidRPr="003032D8" w:rsidTr="0038758B">
        <w:tc>
          <w:tcPr>
            <w:tcW w:w="3969" w:type="dxa"/>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rPr>
              <w:t>Allogeneic blood cost</w:t>
            </w:r>
          </w:p>
        </w:tc>
        <w:tc>
          <w:tcPr>
            <w:tcW w:w="1701" w:type="dxa"/>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 xml:space="preserve">$733.33** </w:t>
            </w:r>
          </w:p>
        </w:tc>
        <w:tc>
          <w:tcPr>
            <w:tcW w:w="1418" w:type="dxa"/>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u w:val="single"/>
              </w:rPr>
              <w:t>$177466</w:t>
            </w:r>
          </w:p>
        </w:tc>
        <w:tc>
          <w:tcPr>
            <w:tcW w:w="1875" w:type="dxa"/>
            <w:shd w:val="clear" w:color="auto" w:fill="auto"/>
          </w:tcPr>
          <w:p w:rsidR="00D81D6F" w:rsidRPr="003032D8" w:rsidRDefault="00D81D6F" w:rsidP="0038758B">
            <w:pPr>
              <w:spacing w:line="240" w:lineRule="auto"/>
              <w:jc w:val="right"/>
              <w:rPr>
                <w:rFonts w:ascii="TitilliumText25L" w:hAnsi="TitilliumText25L"/>
                <w:u w:val="single"/>
              </w:rPr>
            </w:pPr>
          </w:p>
        </w:tc>
      </w:tr>
      <w:tr w:rsidR="00D81D6F" w:rsidRPr="003032D8" w:rsidTr="0038758B">
        <w:tc>
          <w:tcPr>
            <w:tcW w:w="3969" w:type="dxa"/>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rPr>
              <w:t>Intra-operative cell salvage</w:t>
            </w:r>
          </w:p>
        </w:tc>
        <w:tc>
          <w:tcPr>
            <w:tcW w:w="1701" w:type="dxa"/>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$437.94</w:t>
            </w:r>
          </w:p>
        </w:tc>
        <w:tc>
          <w:tcPr>
            <w:tcW w:w="1418" w:type="dxa"/>
            <w:shd w:val="clear" w:color="auto" w:fill="auto"/>
          </w:tcPr>
          <w:p w:rsidR="00D81D6F" w:rsidRPr="003032D8" w:rsidRDefault="00D81D6F" w:rsidP="0038758B">
            <w:pPr>
              <w:spacing w:line="240" w:lineRule="auto"/>
              <w:jc w:val="right"/>
              <w:rPr>
                <w:rFonts w:ascii="TitilliumText25L" w:hAnsi="TitilliumText25L"/>
                <w:u w:val="single"/>
              </w:rPr>
            </w:pPr>
            <w:r w:rsidRPr="003032D8">
              <w:rPr>
                <w:rFonts w:ascii="TitilliumText25L" w:hAnsi="TitilliumText25L"/>
                <w:u w:val="single"/>
              </w:rPr>
              <w:t>$105346</w:t>
            </w:r>
          </w:p>
        </w:tc>
        <w:tc>
          <w:tcPr>
            <w:tcW w:w="1875" w:type="dxa"/>
            <w:shd w:val="clear" w:color="auto" w:fill="auto"/>
          </w:tcPr>
          <w:p w:rsidR="00D81D6F" w:rsidRPr="003032D8" w:rsidRDefault="00D81D6F" w:rsidP="0038758B">
            <w:pPr>
              <w:spacing w:line="240" w:lineRule="auto"/>
              <w:jc w:val="right"/>
              <w:rPr>
                <w:rFonts w:ascii="TitilliumText25L" w:hAnsi="TitilliumText25L"/>
                <w:u w:val="single"/>
              </w:rPr>
            </w:pPr>
          </w:p>
        </w:tc>
      </w:tr>
      <w:tr w:rsidR="00D81D6F" w:rsidRPr="003032D8" w:rsidTr="0038758B">
        <w:tc>
          <w:tcPr>
            <w:tcW w:w="3969" w:type="dxa"/>
            <w:shd w:val="clear" w:color="auto" w:fill="auto"/>
          </w:tcPr>
          <w:p w:rsidR="00D81D6F" w:rsidRPr="003032D8" w:rsidRDefault="00D81D6F" w:rsidP="0038758B">
            <w:pPr>
              <w:spacing w:line="240" w:lineRule="auto"/>
              <w:rPr>
                <w:rFonts w:ascii="TitilliumText25L" w:hAnsi="TitilliumText25L"/>
              </w:rPr>
            </w:pPr>
            <w:r w:rsidRPr="003032D8">
              <w:rPr>
                <w:rFonts w:ascii="TitilliumText25L" w:hAnsi="TitilliumText25L"/>
                <w:b/>
              </w:rPr>
              <w:t>Annual potential saving</w:t>
            </w:r>
            <w:r w:rsidRPr="003032D8">
              <w:rPr>
                <w:rFonts w:ascii="TitilliumText25L" w:hAnsi="TitilliumText25L"/>
              </w:rPr>
              <w:t xml:space="preserve"> if intraoperative cell salvage used instead of allogeneic blood</w:t>
            </w:r>
          </w:p>
        </w:tc>
        <w:tc>
          <w:tcPr>
            <w:tcW w:w="1701" w:type="dxa"/>
            <w:shd w:val="clear" w:color="auto" w:fill="auto"/>
          </w:tcPr>
          <w:p w:rsidR="00D81D6F" w:rsidRPr="003032D8" w:rsidRDefault="00D81D6F" w:rsidP="0038758B">
            <w:pPr>
              <w:spacing w:line="240" w:lineRule="auto"/>
              <w:jc w:val="right"/>
              <w:rPr>
                <w:rFonts w:ascii="TitilliumText25L" w:hAnsi="TitilliumText25L" w:cs="Arial"/>
              </w:rPr>
            </w:pPr>
          </w:p>
        </w:tc>
        <w:tc>
          <w:tcPr>
            <w:tcW w:w="1418" w:type="dxa"/>
            <w:shd w:val="clear" w:color="auto" w:fill="auto"/>
          </w:tcPr>
          <w:p w:rsidR="00D81D6F" w:rsidRPr="003032D8" w:rsidRDefault="00D81D6F" w:rsidP="0038758B">
            <w:pPr>
              <w:spacing w:line="240" w:lineRule="auto"/>
              <w:jc w:val="right"/>
              <w:rPr>
                <w:rFonts w:ascii="TitilliumText25L" w:hAnsi="TitilliumText25L" w:cs="Arial"/>
                <w:u w:val="single"/>
              </w:rPr>
            </w:pPr>
          </w:p>
        </w:tc>
        <w:tc>
          <w:tcPr>
            <w:tcW w:w="1875" w:type="dxa"/>
            <w:shd w:val="clear" w:color="auto" w:fill="auto"/>
          </w:tcPr>
          <w:p w:rsidR="00D81D6F" w:rsidRPr="003032D8" w:rsidRDefault="00D81D6F" w:rsidP="0038758B">
            <w:pPr>
              <w:spacing w:line="240" w:lineRule="auto"/>
              <w:jc w:val="right"/>
              <w:rPr>
                <w:rFonts w:ascii="TitilliumText25L" w:hAnsi="TitilliumText25L"/>
              </w:rPr>
            </w:pPr>
            <w:r w:rsidRPr="003032D8">
              <w:rPr>
                <w:rFonts w:ascii="TitilliumText25L" w:hAnsi="TitilliumText25L"/>
              </w:rPr>
              <w:t>$72120</w:t>
            </w:r>
          </w:p>
        </w:tc>
      </w:tr>
    </w:tbl>
    <w:p w:rsidR="00D81D6F" w:rsidRPr="003032D8" w:rsidRDefault="00D81D6F" w:rsidP="00D81D6F">
      <w:pPr>
        <w:spacing w:line="240" w:lineRule="auto"/>
        <w:rPr>
          <w:rFonts w:ascii="TitilliumText25L" w:hAnsi="TitilliumText25L"/>
        </w:rPr>
      </w:pPr>
      <w:r w:rsidRPr="003032D8">
        <w:rPr>
          <w:rFonts w:ascii="TitilliumText25L" w:hAnsi="TitilliumText25L"/>
        </w:rPr>
        <w:t>**This amount is calculated for the RBWH case study based on methodology used in Wood et al</w:t>
      </w:r>
      <w:r w:rsidRPr="003032D8">
        <w:rPr>
          <w:rFonts w:ascii="TitilliumText25L" w:hAnsi="TitilliumText25L"/>
          <w:vertAlign w:val="superscript"/>
        </w:rPr>
        <w:t>7</w:t>
      </w:r>
      <w:r w:rsidRPr="003032D8">
        <w:rPr>
          <w:rFonts w:ascii="TitilliumText25L" w:hAnsi="TitilliumText25L"/>
        </w:rPr>
        <w:t>.</w:t>
      </w:r>
      <w:r w:rsidRPr="003032D8">
        <w:rPr>
          <w:rFonts w:ascii="TitilliumText25L" w:hAnsi="TitilliumText25L"/>
        </w:rPr>
        <w:br w:type="page"/>
      </w:r>
      <w:r w:rsidRPr="003032D8">
        <w:rPr>
          <w:rFonts w:ascii="TitilliumText25L" w:hAnsi="TitilliumText25L"/>
        </w:rPr>
        <w:lastRenderedPageBreak/>
        <w:t>Variables that depend on the local service setup and type of manufacturer:</w:t>
      </w:r>
    </w:p>
    <w:p w:rsidR="00D81D6F" w:rsidRPr="003032D8" w:rsidRDefault="00D81D6F" w:rsidP="00D81D6F">
      <w:pPr>
        <w:numPr>
          <w:ilvl w:val="0"/>
          <w:numId w:val="21"/>
        </w:numPr>
        <w:spacing w:line="240" w:lineRule="auto"/>
        <w:contextualSpacing/>
        <w:rPr>
          <w:rFonts w:ascii="TitilliumText25L" w:hAnsi="TitilliumText25L"/>
        </w:rPr>
      </w:pPr>
      <w:r w:rsidRPr="003032D8">
        <w:rPr>
          <w:rFonts w:ascii="TitilliumText25L" w:hAnsi="TitilliumText25L"/>
        </w:rPr>
        <w:t xml:space="preserve">Call out rate and frequency of call out for technical/autotransfusionist staff. This variable depends on the size and service setup in the specific hospital. If the number of cases with potential significant blood loss is small it might not be financially viable to justify a complete service with a “dedicated intraoperative cell salvage </w:t>
      </w:r>
      <w:r w:rsidR="005511CB" w:rsidRPr="003032D8">
        <w:rPr>
          <w:rFonts w:ascii="TitilliumText25L" w:hAnsi="TitilliumText25L"/>
        </w:rPr>
        <w:t>autotransfusionist</w:t>
      </w:r>
      <w:r w:rsidRPr="003032D8">
        <w:rPr>
          <w:rFonts w:ascii="TitilliumText25L" w:hAnsi="TitilliumText25L"/>
        </w:rPr>
        <w:t>” separate to the anaesthetic team. Alternatives would include the availability of a private intraoperative cell salvage service on a case by case or on call basis or the purchase of a very simple intraoperative cell salvage machine that could potentially allow the anaesthetic team to manage the salvaging and transfusion process, as well as the anaesthetic conduct. However this option should be thoroughly worked through and all parties satisfied with their ability to participate in a safe manner.</w:t>
      </w:r>
    </w:p>
    <w:p w:rsidR="00D81D6F" w:rsidRPr="003032D8" w:rsidRDefault="00D81D6F" w:rsidP="00D81D6F">
      <w:pPr>
        <w:numPr>
          <w:ilvl w:val="0"/>
          <w:numId w:val="21"/>
        </w:numPr>
        <w:spacing w:line="240" w:lineRule="auto"/>
        <w:contextualSpacing/>
        <w:rPr>
          <w:rFonts w:ascii="TitilliumText25L" w:hAnsi="TitilliumText25L"/>
        </w:rPr>
      </w:pPr>
      <w:r w:rsidRPr="003032D8">
        <w:rPr>
          <w:rFonts w:ascii="TitilliumText25L" w:hAnsi="TitilliumText25L"/>
        </w:rPr>
        <w:t>Ability to identify and salvage only those cases that would most likely be transfused (where predicted blood loss estimated more than 20% of blood volume). Every case where an intraoperative cell salvage setup is done and no blood re-infused could be seen as waste and might reduce the cost benefit of the entire service. On the other hand if these cases are set up for clinical indications or risk management reasons it may be justifiable.</w:t>
      </w:r>
    </w:p>
    <w:p w:rsidR="00D81D6F" w:rsidRPr="003032D8" w:rsidRDefault="00D81D6F" w:rsidP="00D81D6F">
      <w:pPr>
        <w:numPr>
          <w:ilvl w:val="0"/>
          <w:numId w:val="21"/>
        </w:numPr>
        <w:spacing w:line="240" w:lineRule="auto"/>
        <w:contextualSpacing/>
        <w:rPr>
          <w:rFonts w:ascii="TitilliumText25L" w:hAnsi="TitilliumText25L"/>
        </w:rPr>
      </w:pPr>
      <w:r w:rsidRPr="003032D8">
        <w:rPr>
          <w:rFonts w:ascii="TitilliumText25L" w:hAnsi="TitilliumText25L"/>
        </w:rPr>
        <w:t>Machine maintenance and disposable equipment cost would be specific to the type of manufacturer or device in use.</w:t>
      </w:r>
    </w:p>
    <w:p w:rsidR="00D81D6F" w:rsidRPr="003032D8" w:rsidRDefault="00D81D6F" w:rsidP="00D81D6F">
      <w:pPr>
        <w:numPr>
          <w:ilvl w:val="0"/>
          <w:numId w:val="21"/>
        </w:numPr>
        <w:spacing w:line="240" w:lineRule="auto"/>
        <w:contextualSpacing/>
        <w:rPr>
          <w:rFonts w:ascii="TitilliumText25L" w:hAnsi="TitilliumText25L"/>
        </w:rPr>
      </w:pPr>
      <w:r w:rsidRPr="003032D8">
        <w:rPr>
          <w:rFonts w:ascii="TitilliumText25L" w:hAnsi="TitilliumText25L"/>
        </w:rPr>
        <w:t xml:space="preserve">The </w:t>
      </w:r>
      <w:r w:rsidR="004A6161" w:rsidRPr="003032D8">
        <w:rPr>
          <w:rFonts w:ascii="TitilliumText25L" w:hAnsi="TitilliumText25L"/>
        </w:rPr>
        <w:t xml:space="preserve">absolute </w:t>
      </w:r>
      <w:r w:rsidRPr="003032D8">
        <w:rPr>
          <w:rFonts w:ascii="TitilliumText25L" w:hAnsi="TitilliumText25L"/>
        </w:rPr>
        <w:t>cost for a unit of allogeneic red blood cells is unknown. We estimated the cost for a unit of red blood cells from a study done in Australia, in 2006</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"abstract" : "Australian Red Cross Blood Service, Flinders Medical Centre, Peter MacCallum Cancer Centre, Medical Society for Blood Management. Presented by the National Blood Authority Australia.", "author" : [ { "dropping-particle" : "al", "family" : "Wood", "given" : "E. et", "non-dropping-particle" : "", "parse-names" : false, "suffix" : "" } ], "id" : "ITEM-1", "issued" : { "date-parts" : [ [ "2006" ] ] }, "publisher" : "Australian Red Cross Blood Service, Flinders Medical Centre, Peter MacCallum Cancer Centre, Medical Society for Blood Management. Presented by the National Blood Authority Australia.", "title" : "Transfusing a unit of Red Cells: What does it really cost?", "type" : "article" }, "uris" : [ "http://www.mendeley.com/documents/?uuid=1fe968e6-da29-4783-818f-eb703f700949" ] } ], "mendeley" : { "previouslyFormattedCitation" : "&lt;sup&gt;6&lt;/sup&gt;"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6</w:t>
      </w:r>
      <w:r w:rsidRPr="003032D8">
        <w:rPr>
          <w:rFonts w:ascii="TitilliumText25L" w:hAnsi="TitilliumText25L"/>
        </w:rPr>
        <w:fldChar w:fldCharType="end"/>
      </w:r>
      <w:r w:rsidRPr="003032D8">
        <w:rPr>
          <w:rFonts w:ascii="TitilliumText25L" w:hAnsi="TitilliumText25L"/>
        </w:rPr>
        <w:t xml:space="preserve"> and estimated the expected cost for 2011 by using the inflation rate for allogeneic blood in our hospital</w:t>
      </w:r>
      <w:r w:rsidRPr="003032D8">
        <w:rPr>
          <w:rFonts w:ascii="TitilliumText25L" w:hAnsi="TitilliumText25L"/>
          <w:vertAlign w:val="superscript"/>
        </w:rPr>
        <w:t>7</w:t>
      </w:r>
      <w:r w:rsidRPr="003032D8">
        <w:rPr>
          <w:rFonts w:ascii="TitilliumText25L" w:hAnsi="TitilliumText25L"/>
        </w:rPr>
        <w:t>.</w:t>
      </w:r>
    </w:p>
    <w:p w:rsidR="00DB3619" w:rsidRPr="003032D8" w:rsidRDefault="00DB3619" w:rsidP="00D81D6F">
      <w:pPr>
        <w:spacing w:line="240" w:lineRule="auto"/>
        <w:rPr>
          <w:rFonts w:ascii="TitilliumText25L" w:hAnsi="TitilliumText25L"/>
          <w:b/>
        </w:rPr>
      </w:pPr>
    </w:p>
    <w:p w:rsidR="00D81D6F" w:rsidRPr="003032D8" w:rsidRDefault="00D81D6F" w:rsidP="00D81D6F">
      <w:pPr>
        <w:spacing w:line="240" w:lineRule="auto"/>
        <w:rPr>
          <w:rFonts w:ascii="TitilliumText25L" w:hAnsi="TitilliumText25L"/>
          <w:b/>
        </w:rPr>
      </w:pPr>
      <w:r w:rsidRPr="003032D8">
        <w:rPr>
          <w:rFonts w:ascii="TitilliumText25L" w:hAnsi="TitilliumText25L"/>
          <w:b/>
        </w:rPr>
        <w:t>Other costs (not included in above study) to consider when doing a business case for intraoperative cell salvage:</w:t>
      </w:r>
    </w:p>
    <w:p w:rsidR="00D81D6F" w:rsidRPr="003032D8" w:rsidRDefault="00D81D6F" w:rsidP="00D81D6F">
      <w:pPr>
        <w:numPr>
          <w:ilvl w:val="0"/>
          <w:numId w:val="22"/>
        </w:numPr>
        <w:spacing w:line="240" w:lineRule="auto"/>
        <w:contextualSpacing/>
        <w:rPr>
          <w:rFonts w:ascii="TitilliumText25L" w:hAnsi="TitilliumText25L"/>
        </w:rPr>
      </w:pPr>
      <w:r w:rsidRPr="003032D8">
        <w:rPr>
          <w:rFonts w:ascii="TitilliumText25L" w:hAnsi="TitilliumText25L"/>
        </w:rPr>
        <w:t xml:space="preserve">Machine: 1) Initial outlay  2) Machine depreciation  </w:t>
      </w:r>
    </w:p>
    <w:p w:rsidR="00D81D6F" w:rsidRPr="003032D8" w:rsidRDefault="00D81D6F" w:rsidP="00D81D6F">
      <w:pPr>
        <w:numPr>
          <w:ilvl w:val="0"/>
          <w:numId w:val="22"/>
        </w:numPr>
        <w:spacing w:line="240" w:lineRule="auto"/>
        <w:contextualSpacing/>
        <w:rPr>
          <w:rFonts w:ascii="TitilliumText25L" w:hAnsi="TitilliumText25L"/>
        </w:rPr>
      </w:pPr>
      <w:r w:rsidRPr="003032D8">
        <w:rPr>
          <w:rFonts w:ascii="TitilliumText25L" w:hAnsi="TitilliumText25L"/>
        </w:rPr>
        <w:t xml:space="preserve">Training time </w:t>
      </w:r>
    </w:p>
    <w:p w:rsidR="00D81D6F" w:rsidRPr="003032D8" w:rsidRDefault="00D81D6F" w:rsidP="00D81D6F">
      <w:pPr>
        <w:numPr>
          <w:ilvl w:val="0"/>
          <w:numId w:val="22"/>
        </w:numPr>
        <w:spacing w:line="240" w:lineRule="auto"/>
        <w:contextualSpacing/>
        <w:rPr>
          <w:rFonts w:ascii="TitilliumText25L" w:hAnsi="TitilliumText25L"/>
        </w:rPr>
      </w:pPr>
      <w:r w:rsidRPr="003032D8">
        <w:rPr>
          <w:rFonts w:ascii="TitilliumText25L" w:hAnsi="TitilliumText25L"/>
        </w:rPr>
        <w:t xml:space="preserve">Documentation </w:t>
      </w:r>
    </w:p>
    <w:p w:rsidR="00D81D6F" w:rsidRPr="003032D8" w:rsidRDefault="00D81D6F" w:rsidP="00D81D6F">
      <w:pPr>
        <w:numPr>
          <w:ilvl w:val="0"/>
          <w:numId w:val="22"/>
        </w:numPr>
        <w:spacing w:line="240" w:lineRule="auto"/>
        <w:contextualSpacing/>
        <w:rPr>
          <w:rFonts w:ascii="TitilliumText25L" w:hAnsi="TitilliumText25L"/>
        </w:rPr>
      </w:pPr>
      <w:r w:rsidRPr="003032D8">
        <w:rPr>
          <w:rFonts w:ascii="TitilliumText25L" w:hAnsi="TitilliumText25L"/>
        </w:rPr>
        <w:t xml:space="preserve">Data collection </w:t>
      </w:r>
    </w:p>
    <w:p w:rsidR="00D81D6F" w:rsidRPr="003032D8" w:rsidRDefault="00D81D6F" w:rsidP="00D81D6F">
      <w:pPr>
        <w:numPr>
          <w:ilvl w:val="0"/>
          <w:numId w:val="22"/>
        </w:numPr>
        <w:spacing w:line="240" w:lineRule="auto"/>
        <w:contextualSpacing/>
        <w:rPr>
          <w:rFonts w:ascii="TitilliumText25L" w:hAnsi="TitilliumText25L"/>
        </w:rPr>
      </w:pPr>
      <w:r w:rsidRPr="003032D8">
        <w:rPr>
          <w:rFonts w:ascii="TitilliumText25L" w:hAnsi="TitilliumText25L"/>
        </w:rPr>
        <w:t xml:space="preserve">Quality assurance: Impact on Haematology /Pathology services for quality assurance testing (examples include microbiology, </w:t>
      </w:r>
      <w:proofErr w:type="spellStart"/>
      <w:r w:rsidRPr="003032D8">
        <w:rPr>
          <w:rFonts w:ascii="TitilliumText25L" w:hAnsi="TitilliumText25L"/>
        </w:rPr>
        <w:t>HCT</w:t>
      </w:r>
      <w:proofErr w:type="spellEnd"/>
      <w:r w:rsidRPr="003032D8">
        <w:rPr>
          <w:rFonts w:ascii="TitilliumText25L" w:hAnsi="TitilliumText25L"/>
        </w:rPr>
        <w:t>)</w:t>
      </w:r>
    </w:p>
    <w:p w:rsidR="00D81D6F" w:rsidRPr="003032D8" w:rsidRDefault="00D81D6F" w:rsidP="00D81D6F">
      <w:pPr>
        <w:spacing w:before="120" w:after="120" w:line="240" w:lineRule="auto"/>
        <w:outlineLvl w:val="1"/>
        <w:rPr>
          <w:rFonts w:ascii="TitilliumText25L" w:hAnsi="TitilliumText25L" w:cs="Arial"/>
          <w:sz w:val="36"/>
          <w:szCs w:val="36"/>
          <w:u w:val="single"/>
        </w:rPr>
      </w:pPr>
      <w:r w:rsidRPr="003032D8">
        <w:rPr>
          <w:rFonts w:ascii="TitilliumText25L" w:hAnsi="TitilliumText25L" w:cs="Arial"/>
        </w:rPr>
        <w:br w:type="page"/>
      </w:r>
      <w:bookmarkStart w:id="16" w:name="_Toc366850067"/>
      <w:r w:rsidRPr="003032D8">
        <w:rPr>
          <w:rFonts w:ascii="TitilliumText25L" w:hAnsi="TitilliumText25L" w:cs="Arial"/>
          <w:sz w:val="36"/>
          <w:szCs w:val="36"/>
          <w:u w:val="single"/>
        </w:rPr>
        <w:lastRenderedPageBreak/>
        <w:t>Management Case</w:t>
      </w:r>
      <w:bookmarkEnd w:id="16"/>
    </w:p>
    <w:p w:rsidR="00D81D6F" w:rsidRPr="003032D8" w:rsidRDefault="00D81D6F" w:rsidP="00D81D6F">
      <w:pPr>
        <w:spacing w:before="120" w:after="120" w:line="240" w:lineRule="auto"/>
        <w:outlineLvl w:val="2"/>
        <w:rPr>
          <w:rFonts w:ascii="TitilliumText25L" w:hAnsi="TitilliumText25L" w:cs="Arial"/>
          <w:b/>
          <w:color w:val="C60C30"/>
          <w:sz w:val="28"/>
          <w:szCs w:val="28"/>
        </w:rPr>
      </w:pPr>
      <w:bookmarkStart w:id="17" w:name="_Toc366850068"/>
      <w:r w:rsidRPr="003032D8">
        <w:rPr>
          <w:rFonts w:ascii="TitilliumText25L" w:hAnsi="TitilliumText25L" w:cs="Arial"/>
          <w:b/>
          <w:color w:val="C60C30"/>
          <w:sz w:val="28"/>
          <w:szCs w:val="28"/>
        </w:rPr>
        <w:t>Human Resources</w:t>
      </w:r>
      <w:bookmarkEnd w:id="17"/>
    </w:p>
    <w:p w:rsidR="00D81D6F" w:rsidRPr="003032D8" w:rsidRDefault="00D81D6F" w:rsidP="00D81D6F">
      <w:pPr>
        <w:numPr>
          <w:ilvl w:val="0"/>
          <w:numId w:val="12"/>
        </w:numPr>
        <w:spacing w:after="120" w:line="240" w:lineRule="auto"/>
        <w:ind w:left="357" w:hanging="357"/>
        <w:jc w:val="both"/>
        <w:rPr>
          <w:rFonts w:ascii="TitilliumText25L" w:hAnsi="TitilliumText25L" w:cs="Arial"/>
          <w:b/>
          <w:u w:val="single"/>
        </w:rPr>
      </w:pPr>
      <w:r w:rsidRPr="003032D8">
        <w:rPr>
          <w:rFonts w:ascii="TitilliumText25L" w:hAnsi="TitilliumText25L" w:cs="Arial"/>
          <w:b/>
        </w:rPr>
        <w:t>Essential staff involved in the management of an Intraoperative Cell Salvage service:</w:t>
      </w:r>
    </w:p>
    <w:p w:rsidR="00D81D6F" w:rsidRPr="003032D8" w:rsidRDefault="00D81D6F" w:rsidP="00D81D6F">
      <w:pPr>
        <w:spacing w:after="120" w:line="240" w:lineRule="auto"/>
        <w:jc w:val="both"/>
        <w:rPr>
          <w:rFonts w:ascii="TitilliumText25L" w:hAnsi="TitilliumText25L"/>
          <w:b/>
          <w:u w:val="single"/>
        </w:rPr>
      </w:pPr>
      <w:r w:rsidRPr="003032D8">
        <w:rPr>
          <w:rFonts w:ascii="TitilliumText25L" w:hAnsi="TitilliumText25L"/>
          <w:b/>
          <w:u w:val="single"/>
        </w:rPr>
        <w:t>Lead Clinician</w:t>
      </w:r>
    </w:p>
    <w:p w:rsidR="00D81D6F" w:rsidRPr="003032D8" w:rsidRDefault="00D81D6F" w:rsidP="00D81D6F">
      <w:pPr>
        <w:spacing w:line="240" w:lineRule="auto"/>
        <w:jc w:val="both"/>
        <w:rPr>
          <w:rFonts w:ascii="TitilliumText25L" w:hAnsi="TitilliumText25L"/>
        </w:rPr>
      </w:pPr>
      <w:r w:rsidRPr="003032D8">
        <w:rPr>
          <w:rFonts w:ascii="TitilliumText25L" w:hAnsi="TitilliumText25L"/>
        </w:rPr>
        <w:t>The lead clinician should ideally be someone working in the theatre setting i.e. consultant anaesthetist / surgeon.</w:t>
      </w:r>
    </w:p>
    <w:p w:rsidR="00D81D6F" w:rsidRPr="003032D8" w:rsidRDefault="00D81D6F" w:rsidP="00D81D6F">
      <w:pPr>
        <w:spacing w:line="240" w:lineRule="auto"/>
        <w:rPr>
          <w:rFonts w:ascii="TitilliumText25L" w:hAnsi="TitilliumText25L"/>
        </w:rPr>
      </w:pPr>
      <w:r w:rsidRPr="003032D8">
        <w:rPr>
          <w:rFonts w:ascii="TitilliumText25L" w:hAnsi="TitilliumText25L"/>
        </w:rPr>
        <w:t xml:space="preserve">Their role is to provide information, support and direction and includes: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Informing clinical staff about the benefits of the Intraoperative Cell Salvage programme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Agreeing on indications and operations where cell salvage can be used intra-operatively within the specific hospital</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Informing and discussing with colleagues the use of Intraoperative Cell Salvage in unusual circumstances e.g. malignancy, sepsis, and amniotic fluid contamination.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Discuss the risks of these procedures and help make an informed judgement in matters such as the use of specific filters etc.</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Be responsible for the overall programme within an organisation and ensuring quality systems are in place.</w:t>
      </w:r>
    </w:p>
    <w:p w:rsidR="00D81D6F" w:rsidRPr="003032D8" w:rsidRDefault="00D81D6F" w:rsidP="00D81D6F">
      <w:pPr>
        <w:spacing w:after="120" w:line="240" w:lineRule="auto"/>
        <w:rPr>
          <w:rFonts w:ascii="TitilliumText25L" w:hAnsi="TitilliumText25L"/>
          <w:b/>
          <w:u w:val="single"/>
        </w:rPr>
      </w:pPr>
      <w:r w:rsidRPr="003032D8">
        <w:rPr>
          <w:rFonts w:ascii="TitilliumText25L" w:hAnsi="TitilliumText25L"/>
          <w:b/>
          <w:u w:val="single"/>
        </w:rPr>
        <w:t xml:space="preserve">Lead Manager </w:t>
      </w:r>
    </w:p>
    <w:p w:rsidR="00D81D6F" w:rsidRPr="003032D8" w:rsidRDefault="00D81D6F" w:rsidP="00D81D6F">
      <w:pPr>
        <w:spacing w:after="0" w:line="240" w:lineRule="auto"/>
        <w:rPr>
          <w:rFonts w:ascii="TitilliumText25L" w:hAnsi="TitilliumText25L"/>
        </w:rPr>
      </w:pPr>
      <w:r w:rsidRPr="003032D8">
        <w:rPr>
          <w:rFonts w:ascii="TitilliumText25L" w:hAnsi="TitilliumText25L"/>
        </w:rPr>
        <w:t>Ideally a member of the theatre management team, for example the director of the Anaesthetic department.</w:t>
      </w:r>
    </w:p>
    <w:p w:rsidR="00D81D6F" w:rsidRPr="003032D8" w:rsidRDefault="00D81D6F" w:rsidP="00D81D6F">
      <w:pPr>
        <w:spacing w:before="120" w:after="120" w:line="240" w:lineRule="auto"/>
        <w:rPr>
          <w:rFonts w:ascii="TitilliumText25L" w:hAnsi="TitilliumText25L"/>
        </w:rPr>
      </w:pPr>
      <w:r w:rsidRPr="003032D8">
        <w:rPr>
          <w:rFonts w:ascii="TitilliumText25L" w:hAnsi="TitilliumText25L"/>
        </w:rPr>
        <w:t xml:space="preserve">Their role is organisation and facilitation. They are responsible to: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Identify a lead </w:t>
      </w:r>
      <w:r w:rsidR="004A6161" w:rsidRPr="003032D8">
        <w:rPr>
          <w:rFonts w:ascii="TitilliumText25L" w:hAnsi="TitilliumText25L"/>
        </w:rPr>
        <w:t xml:space="preserve">autotransfusionist </w:t>
      </w:r>
      <w:r w:rsidRPr="003032D8">
        <w:rPr>
          <w:rFonts w:ascii="TitilliumText25L" w:hAnsi="TitilliumText25L"/>
        </w:rPr>
        <w:t xml:space="preserve">who will take on the role of cell salvage coordinator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Arrange for time for this person to become fully trained and competent </w:t>
      </w:r>
    </w:p>
    <w:p w:rsidR="00D81D6F" w:rsidRPr="003032D8" w:rsidRDefault="00D81D6F" w:rsidP="00D81D6F">
      <w:pPr>
        <w:numPr>
          <w:ilvl w:val="0"/>
          <w:numId w:val="23"/>
        </w:numPr>
        <w:spacing w:after="120" w:line="240" w:lineRule="auto"/>
        <w:ind w:left="714" w:hanging="357"/>
        <w:contextualSpacing/>
        <w:rPr>
          <w:rFonts w:ascii="TitilliumText25L" w:hAnsi="TitilliumText25L"/>
        </w:rPr>
      </w:pPr>
      <w:r w:rsidRPr="003032D8">
        <w:rPr>
          <w:rFonts w:ascii="TitilliumText25L" w:hAnsi="TitilliumText25L"/>
        </w:rPr>
        <w:t xml:space="preserve">Be involved in the purchase of equipment, contracts for disposables, choice of consumables </w:t>
      </w:r>
    </w:p>
    <w:p w:rsidR="00D81D6F" w:rsidRPr="003032D8" w:rsidRDefault="00D81D6F" w:rsidP="00D81D6F">
      <w:pPr>
        <w:spacing w:after="120" w:line="240" w:lineRule="auto"/>
        <w:rPr>
          <w:rFonts w:ascii="TitilliumText25L" w:hAnsi="TitilliumText25L"/>
          <w:b/>
          <w:u w:val="single"/>
        </w:rPr>
      </w:pPr>
      <w:r w:rsidRPr="003032D8">
        <w:rPr>
          <w:rFonts w:ascii="TitilliumText25L" w:hAnsi="TitilliumText25L"/>
          <w:b/>
          <w:u w:val="single"/>
        </w:rPr>
        <w:t>Cell Salvage Co-ordinator</w:t>
      </w:r>
    </w:p>
    <w:p w:rsidR="00D81D6F" w:rsidRPr="003032D8" w:rsidRDefault="00D81D6F" w:rsidP="00D81D6F">
      <w:pPr>
        <w:spacing w:line="240" w:lineRule="auto"/>
        <w:rPr>
          <w:rFonts w:ascii="TitilliumText25L" w:hAnsi="TitilliumText25L"/>
        </w:rPr>
      </w:pPr>
      <w:r w:rsidRPr="003032D8">
        <w:rPr>
          <w:rFonts w:ascii="TitilliumText25L" w:hAnsi="TitilliumText25L"/>
        </w:rPr>
        <w:t xml:space="preserve">The co-ordinator should be a member of the theatre staff i.e. perfusionist, anaesthetic nurse or anaesthetic technician. </w:t>
      </w:r>
    </w:p>
    <w:p w:rsidR="00D81D6F" w:rsidRPr="003032D8" w:rsidRDefault="00D81D6F" w:rsidP="00D81D6F">
      <w:pPr>
        <w:spacing w:after="120" w:line="240" w:lineRule="auto"/>
        <w:rPr>
          <w:rFonts w:ascii="TitilliumText25L" w:hAnsi="TitilliumText25L"/>
        </w:rPr>
      </w:pPr>
      <w:r w:rsidRPr="003032D8">
        <w:rPr>
          <w:rFonts w:ascii="TitilliumText25L" w:hAnsi="TitilliumText25L"/>
        </w:rPr>
        <w:t xml:space="preserve">Their role is functional, co-ordinating operations requiring intraoperative cell salvage. </w:t>
      </w:r>
    </w:p>
    <w:p w:rsidR="00D81D6F" w:rsidRPr="003032D8" w:rsidRDefault="00D81D6F" w:rsidP="00D81D6F">
      <w:pPr>
        <w:spacing w:after="120" w:line="240" w:lineRule="auto"/>
        <w:rPr>
          <w:rFonts w:ascii="TitilliumText25L" w:hAnsi="TitilliumText25L"/>
        </w:rPr>
      </w:pPr>
      <w:r w:rsidRPr="003032D8">
        <w:rPr>
          <w:rFonts w:ascii="TitilliumText25L" w:hAnsi="TitilliumText25L"/>
        </w:rPr>
        <w:t xml:space="preserve">They are responsible for: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Training other members of staff in theatre and maintaining competency levels of trained staff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Arranging for cell salvage to be available at a clinician’s request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Keeping records of staff training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Keeping records of all procedures undertaken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Providing statistics for the Hospital Transfusion Auditing purposes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Coordinating machine maintenance</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Writing organisational policies and protocols for the use of machines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Auditing the use of cell salvage in conjunction with the Blood Transfusion Laboratory  </w:t>
      </w:r>
    </w:p>
    <w:p w:rsidR="00D81D6F" w:rsidRPr="003032D8" w:rsidRDefault="00D81D6F" w:rsidP="00D81D6F">
      <w:pPr>
        <w:numPr>
          <w:ilvl w:val="0"/>
          <w:numId w:val="23"/>
        </w:numPr>
        <w:spacing w:line="240" w:lineRule="auto"/>
        <w:contextualSpacing/>
        <w:rPr>
          <w:rFonts w:ascii="TitilliumText25L" w:hAnsi="TitilliumText25L"/>
        </w:rPr>
      </w:pPr>
      <w:r w:rsidRPr="003032D8">
        <w:rPr>
          <w:rFonts w:ascii="TitilliumText25L" w:hAnsi="TitilliumText25L"/>
        </w:rPr>
        <w:t xml:space="preserve">Undertaking quality control testing of re-infused red cells </w:t>
      </w:r>
    </w:p>
    <w:p w:rsidR="00D81D6F" w:rsidRPr="003032D8" w:rsidRDefault="00D81D6F" w:rsidP="00D81D6F">
      <w:pPr>
        <w:numPr>
          <w:ilvl w:val="0"/>
          <w:numId w:val="23"/>
        </w:numPr>
        <w:spacing w:after="120" w:line="240" w:lineRule="auto"/>
        <w:ind w:left="714" w:hanging="357"/>
        <w:contextualSpacing/>
        <w:rPr>
          <w:rFonts w:ascii="TitilliumText25L" w:hAnsi="TitilliumText25L"/>
        </w:rPr>
      </w:pPr>
      <w:r w:rsidRPr="003032D8">
        <w:rPr>
          <w:rFonts w:ascii="TitilliumText25L" w:hAnsi="TitilliumText25L"/>
        </w:rPr>
        <w:t>Arrange, if appropriate, for cell salvage to be available 24/7 as cover for emergency procedures.</w:t>
      </w:r>
    </w:p>
    <w:p w:rsidR="00D81D6F" w:rsidRPr="003032D8" w:rsidRDefault="00D81D6F" w:rsidP="00D81D6F">
      <w:pPr>
        <w:spacing w:line="240" w:lineRule="auto"/>
        <w:jc w:val="both"/>
        <w:rPr>
          <w:rFonts w:ascii="TitilliumText25L" w:hAnsi="TitilliumText25L" w:cs="Arial"/>
        </w:rPr>
      </w:pPr>
      <w:r w:rsidRPr="003032D8">
        <w:rPr>
          <w:rFonts w:ascii="TitilliumText25L" w:hAnsi="TitilliumText25L"/>
        </w:rPr>
        <w:lastRenderedPageBreak/>
        <w:t>The co-ordinator should be fully trained and competent in the operation of all machine types used in an Organisation</w:t>
      </w:r>
      <w:r w:rsidRPr="003032D8">
        <w:rPr>
          <w:rFonts w:ascii="TitilliumText25L" w:hAnsi="TitilliumText25L" w:cs="Arial"/>
        </w:rPr>
        <w:t>.</w:t>
      </w:r>
    </w:p>
    <w:p w:rsidR="00D81D6F" w:rsidRPr="003032D8" w:rsidRDefault="00D81D6F" w:rsidP="00D81D6F">
      <w:pPr>
        <w:numPr>
          <w:ilvl w:val="0"/>
          <w:numId w:val="12"/>
        </w:numPr>
        <w:spacing w:before="100" w:beforeAutospacing="1" w:after="100" w:afterAutospacing="1" w:line="240" w:lineRule="auto"/>
        <w:outlineLvl w:val="3"/>
        <w:rPr>
          <w:rFonts w:ascii="TitilliumText25L" w:hAnsi="TitilliumText25L" w:cs="Arial"/>
          <w:b/>
        </w:rPr>
      </w:pPr>
      <w:r w:rsidRPr="003032D8">
        <w:rPr>
          <w:rFonts w:ascii="TitilliumText25L" w:hAnsi="TitilliumText25L" w:cs="Arial"/>
          <w:b/>
        </w:rPr>
        <w:t>In general the introduction of Intraoperative Cell Salvage is likely to also have an impact on the following staff groups:</w:t>
      </w:r>
    </w:p>
    <w:p w:rsidR="00D81D6F" w:rsidRPr="003032D8" w:rsidRDefault="00D81D6F" w:rsidP="00D81D6F">
      <w:pPr>
        <w:spacing w:line="240" w:lineRule="auto"/>
        <w:rPr>
          <w:rFonts w:ascii="TitilliumText25L" w:hAnsi="TitilliumText25L"/>
        </w:rPr>
      </w:pPr>
      <w:r w:rsidRPr="003032D8">
        <w:rPr>
          <w:rFonts w:ascii="TitilliumText25L" w:hAnsi="TitilliumText25L"/>
          <w:b/>
        </w:rPr>
        <w:t xml:space="preserve">Intraoperative Cell Salvage Equipment </w:t>
      </w:r>
      <w:r w:rsidR="005511CB" w:rsidRPr="003032D8">
        <w:rPr>
          <w:rFonts w:ascii="TitilliumText25L" w:hAnsi="TitilliumText25L"/>
          <w:b/>
        </w:rPr>
        <w:t>Autotransfusionist</w:t>
      </w:r>
      <w:r w:rsidRPr="003032D8">
        <w:rPr>
          <w:rFonts w:ascii="TitilliumText25L" w:hAnsi="TitilliumText25L"/>
          <w:b/>
        </w:rPr>
        <w:t>s</w:t>
      </w:r>
      <w:r w:rsidRPr="003032D8">
        <w:rPr>
          <w:rFonts w:ascii="TitilliumText25L" w:hAnsi="TitilliumText25L"/>
        </w:rPr>
        <w:t xml:space="preserve"> (Department Practitioners, Anaesthetic Nurses, Scrub Staff, Anaesthetists, Midwives, Anaesthetists, and Surgeons from applicable sub-specialities or any other staff group deemed appropriately qualified): The introduction of Intraoperative Cell Salvage will require an initial period of training and competency assessment. Once competency assessment has been completed, ongoing updates and refresher training will need to be delivered. Many manufacturing companies are kindly involved in ongoing competency training and assessments. Additional training may also be necessary if a training need is identified or a change of practice occurs. The resources to train new staff also need to be considered once the Intraoperative Cell Salvage service has been established.</w:t>
      </w:r>
    </w:p>
    <w:p w:rsidR="00D81D6F" w:rsidRPr="003032D8" w:rsidRDefault="00D81D6F" w:rsidP="00D81D6F">
      <w:pPr>
        <w:spacing w:line="240" w:lineRule="auto"/>
        <w:rPr>
          <w:rFonts w:ascii="TitilliumText25L" w:hAnsi="TitilliumText25L"/>
        </w:rPr>
      </w:pPr>
      <w:r w:rsidRPr="003032D8">
        <w:rPr>
          <w:rFonts w:ascii="TitilliumText25L" w:hAnsi="TitilliumText25L"/>
        </w:rPr>
        <w:t xml:space="preserve">It is not mandatory to have a “dedicated </w:t>
      </w:r>
      <w:r w:rsidR="005511CB" w:rsidRPr="003032D8">
        <w:rPr>
          <w:rFonts w:ascii="TitilliumText25L" w:hAnsi="TitilliumText25L"/>
        </w:rPr>
        <w:t>autotransfusionist</w:t>
      </w:r>
      <w:r w:rsidRPr="003032D8">
        <w:rPr>
          <w:rFonts w:ascii="TitilliumText25L" w:hAnsi="TitilliumText25L"/>
        </w:rPr>
        <w:t xml:space="preserve">” for the Intraoperative Cell Salvage procedure; however, in certain emergency situations (catastrophic haemorrhage) a dedicated </w:t>
      </w:r>
      <w:r w:rsidR="005511CB" w:rsidRPr="003032D8">
        <w:rPr>
          <w:rFonts w:ascii="TitilliumText25L" w:hAnsi="TitilliumText25L"/>
        </w:rPr>
        <w:t>autotransfusionist</w:t>
      </w:r>
      <w:r w:rsidRPr="003032D8">
        <w:rPr>
          <w:rFonts w:ascii="TitilliumText25L" w:hAnsi="TitilliumText25L"/>
        </w:rPr>
        <w:t xml:space="preserve"> may be necessary. Even though the requirement to have a dedicated </w:t>
      </w:r>
      <w:r w:rsidR="005511CB" w:rsidRPr="003032D8">
        <w:rPr>
          <w:rFonts w:ascii="TitilliumText25L" w:hAnsi="TitilliumText25L"/>
        </w:rPr>
        <w:t>autotransfusionist</w:t>
      </w:r>
      <w:r w:rsidRPr="003032D8">
        <w:rPr>
          <w:rFonts w:ascii="TitilliumText25L" w:hAnsi="TitilliumText25L"/>
        </w:rPr>
        <w:t xml:space="preserve"> for intraoperative cell salvage would impact on the cost of the service this aspect would need to be assessed on an individual basis for each hospital.</w:t>
      </w:r>
    </w:p>
    <w:p w:rsidR="00D81D6F" w:rsidRPr="003032D8" w:rsidRDefault="00D81D6F" w:rsidP="00D81D6F">
      <w:pPr>
        <w:spacing w:line="240" w:lineRule="auto"/>
        <w:rPr>
          <w:rFonts w:ascii="TitilliumText25L" w:hAnsi="TitilliumText25L"/>
        </w:rPr>
      </w:pPr>
      <w:r w:rsidRPr="003032D8">
        <w:rPr>
          <w:rFonts w:ascii="TitilliumText25L" w:hAnsi="TitilliumText25L"/>
          <w:b/>
        </w:rPr>
        <w:t>Anaesthetists</w:t>
      </w:r>
      <w:r w:rsidRPr="003032D8">
        <w:rPr>
          <w:rFonts w:ascii="TitilliumText25L" w:hAnsi="TitilliumText25L"/>
        </w:rPr>
        <w:t xml:space="preserve">: Anaesthetists should undergo basic training in Intraoperative Cell Salvage even if they will not be carrying out the procedure directly. The responsibility for the reinfusion of the Intraoperative Cell Salvage blood falls with the anaesthetist and/or surgeon and as such they should be aware of the potential benefits and risks and the procedure for reinfusing intraoperative Cell Salvage blood. </w:t>
      </w:r>
    </w:p>
    <w:p w:rsidR="00D81D6F" w:rsidRPr="003032D8" w:rsidRDefault="00D81D6F" w:rsidP="00D81D6F">
      <w:pPr>
        <w:spacing w:line="240" w:lineRule="auto"/>
        <w:rPr>
          <w:rFonts w:ascii="TitilliumText25L" w:hAnsi="TitilliumText25L"/>
        </w:rPr>
      </w:pPr>
      <w:r w:rsidRPr="003032D8">
        <w:rPr>
          <w:rFonts w:ascii="TitilliumText25L" w:hAnsi="TitilliumText25L"/>
          <w:b/>
        </w:rPr>
        <w:t>Surgeons</w:t>
      </w:r>
      <w:r w:rsidRPr="003032D8">
        <w:rPr>
          <w:rFonts w:ascii="TitilliumText25L" w:hAnsi="TitilliumText25L"/>
        </w:rPr>
        <w:t xml:space="preserve">: The introduction of Intraoperative Cell Salvage may have a significant impact on surgeons. There are many aspects of Intraoperative Cell Salvage equipment in theatre, such as the use of lower vacuum levels, specific suction devices, or dedicated Intraoperative Cell Salvage “second suction devices” and contraindications to the use of Intraoperative Cell Salvage that may require a period of adjustment. </w:t>
      </w:r>
    </w:p>
    <w:p w:rsidR="00D81D6F" w:rsidRPr="003032D8" w:rsidRDefault="00D81D6F" w:rsidP="00D81D6F">
      <w:pPr>
        <w:spacing w:line="240" w:lineRule="auto"/>
        <w:rPr>
          <w:rFonts w:ascii="TitilliumText25L" w:hAnsi="TitilliumText25L"/>
        </w:rPr>
      </w:pPr>
      <w:r w:rsidRPr="003032D8">
        <w:rPr>
          <w:rFonts w:ascii="TitilliumText25L" w:hAnsi="TitilliumText25L"/>
          <w:b/>
        </w:rPr>
        <w:t>Information technology:</w:t>
      </w:r>
      <w:r w:rsidRPr="003032D8">
        <w:rPr>
          <w:rFonts w:ascii="TitilliumText25L" w:hAnsi="TitilliumText25L"/>
        </w:rPr>
        <w:t xml:space="preserve"> In cases where electronic data capture and documentation is required in the specific institution</w:t>
      </w:r>
      <w:r w:rsidR="004A6161" w:rsidRPr="003032D8">
        <w:rPr>
          <w:rFonts w:ascii="TitilliumText25L" w:hAnsi="TitilliumText25L"/>
        </w:rPr>
        <w:t>,</w:t>
      </w:r>
      <w:r w:rsidRPr="003032D8">
        <w:rPr>
          <w:rFonts w:ascii="TitilliumText25L" w:hAnsi="TitilliumText25L"/>
        </w:rPr>
        <w:t xml:space="preserve"> </w:t>
      </w:r>
      <w:r w:rsidR="004A6161" w:rsidRPr="003032D8">
        <w:rPr>
          <w:rFonts w:ascii="TitilliumText25L" w:hAnsi="TitilliumText25L"/>
        </w:rPr>
        <w:t xml:space="preserve">information technology staff should be </w:t>
      </w:r>
      <w:r w:rsidRPr="003032D8">
        <w:rPr>
          <w:rFonts w:ascii="TitilliumText25L" w:hAnsi="TitilliumText25L"/>
        </w:rPr>
        <w:t>involved.</w:t>
      </w:r>
    </w:p>
    <w:p w:rsidR="00D81D6F" w:rsidRPr="003032D8" w:rsidRDefault="00D81D6F" w:rsidP="00D81D6F">
      <w:pPr>
        <w:spacing w:line="240" w:lineRule="auto"/>
        <w:rPr>
          <w:rFonts w:ascii="TitilliumText25L" w:hAnsi="TitilliumText25L"/>
        </w:rPr>
      </w:pPr>
      <w:r w:rsidRPr="003032D8">
        <w:rPr>
          <w:rFonts w:ascii="TitilliumText25L" w:hAnsi="TitilliumText25L"/>
          <w:b/>
        </w:rPr>
        <w:t>Ongoing clinical governance:</w:t>
      </w:r>
      <w:r w:rsidRPr="003032D8">
        <w:rPr>
          <w:rFonts w:ascii="TitilliumText25L" w:hAnsi="TitilliumText25L"/>
        </w:rPr>
        <w:t xml:space="preserve"> Record keeping and audit processes. </w:t>
      </w:r>
    </w:p>
    <w:p w:rsidR="00D81D6F" w:rsidRPr="003032D8" w:rsidRDefault="00D81D6F" w:rsidP="00D81D6F">
      <w:pPr>
        <w:rPr>
          <w:rFonts w:ascii="TitilliumText25L" w:hAnsi="TitilliumText25L"/>
        </w:rPr>
      </w:pPr>
      <w:r w:rsidRPr="003032D8">
        <w:rPr>
          <w:rFonts w:ascii="TitilliumText25L" w:hAnsi="TitilliumText25L"/>
        </w:rPr>
        <w:br w:type="page"/>
      </w:r>
    </w:p>
    <w:p w:rsidR="00D81D6F" w:rsidRPr="003032D8" w:rsidRDefault="00D81D6F" w:rsidP="00D81D6F">
      <w:pPr>
        <w:spacing w:before="100" w:beforeAutospacing="1" w:after="100" w:afterAutospacing="1" w:line="240" w:lineRule="auto"/>
        <w:outlineLvl w:val="2"/>
        <w:rPr>
          <w:rFonts w:ascii="TitilliumText25L" w:hAnsi="TitilliumText25L" w:cs="Arial"/>
          <w:b/>
          <w:color w:val="C60C30"/>
          <w:sz w:val="28"/>
          <w:szCs w:val="28"/>
        </w:rPr>
      </w:pPr>
      <w:bookmarkStart w:id="18" w:name="_Toc366850069"/>
      <w:r w:rsidRPr="003032D8">
        <w:rPr>
          <w:rFonts w:ascii="TitilliumText25L" w:hAnsi="TitilliumText25L" w:cs="Arial"/>
          <w:b/>
          <w:color w:val="C60C30"/>
          <w:sz w:val="28"/>
          <w:szCs w:val="28"/>
        </w:rPr>
        <w:t>Training</w:t>
      </w:r>
      <w:bookmarkEnd w:id="18"/>
    </w:p>
    <w:p w:rsidR="00D81D6F" w:rsidRPr="003032D8" w:rsidRDefault="00D81D6F" w:rsidP="00D81D6F">
      <w:pPr>
        <w:spacing w:line="240" w:lineRule="auto"/>
        <w:rPr>
          <w:rFonts w:ascii="TitilliumText25L" w:hAnsi="TitilliumText25L"/>
          <w:b/>
          <w:u w:val="single"/>
        </w:rPr>
      </w:pPr>
      <w:r w:rsidRPr="003032D8">
        <w:rPr>
          <w:rFonts w:ascii="TitilliumText25L" w:hAnsi="TitilliumText25L"/>
        </w:rPr>
        <w:t xml:space="preserve">Intraoperative Cell Salvage manufacturers usually offer a period of free training in the workplace to support the introduction of the equipment. This might include general awareness sessions for those not directly responsible for carrying out the Intraoperative Cell Salvage procedure (Surgeons, Anaesthetists, theatre staff who are not being trained to use the equipment), and intensive theory and hands on practical training in the classroom and the clinical environment for “key trainers” within the department. These “key trainers” are then usually responsible for training, supervising and competency assessment of the other Intraoperative Cell Salvage </w:t>
      </w:r>
      <w:r w:rsidR="005511CB" w:rsidRPr="003032D8">
        <w:rPr>
          <w:rFonts w:ascii="TitilliumText25L" w:hAnsi="TitilliumText25L"/>
        </w:rPr>
        <w:t>autotransfusionist</w:t>
      </w:r>
      <w:r w:rsidRPr="003032D8">
        <w:rPr>
          <w:rFonts w:ascii="TitilliumText25L" w:hAnsi="TitilliumText25L"/>
        </w:rPr>
        <w:t>s in the department. It may be appropriate for a core number of staff to attend an intensive off site training course to reduce risk.</w:t>
      </w:r>
    </w:p>
    <w:p w:rsidR="00D81D6F" w:rsidRPr="003032D8" w:rsidRDefault="00D81D6F" w:rsidP="00D81D6F">
      <w:pPr>
        <w:spacing w:before="100" w:beforeAutospacing="1" w:after="100" w:afterAutospacing="1" w:line="240" w:lineRule="auto"/>
        <w:outlineLvl w:val="2"/>
        <w:rPr>
          <w:rFonts w:ascii="TitilliumText25L" w:hAnsi="TitilliumText25L" w:cs="Arial"/>
          <w:b/>
          <w:color w:val="C60C30"/>
          <w:sz w:val="28"/>
          <w:szCs w:val="28"/>
        </w:rPr>
      </w:pPr>
      <w:bookmarkStart w:id="19" w:name="_Toc366850070"/>
      <w:r w:rsidRPr="003032D8">
        <w:rPr>
          <w:rFonts w:ascii="TitilliumText25L" w:hAnsi="TitilliumText25L" w:cs="Arial"/>
          <w:b/>
          <w:color w:val="C60C30"/>
          <w:sz w:val="28"/>
          <w:szCs w:val="28"/>
        </w:rPr>
        <w:t>Support</w:t>
      </w:r>
      <w:bookmarkEnd w:id="19"/>
    </w:p>
    <w:p w:rsidR="00D81D6F" w:rsidRPr="003032D8" w:rsidRDefault="00D81D6F" w:rsidP="00D81D6F">
      <w:pPr>
        <w:spacing w:line="240" w:lineRule="auto"/>
        <w:rPr>
          <w:rFonts w:ascii="TitilliumText25L" w:hAnsi="TitilliumText25L"/>
        </w:rPr>
      </w:pPr>
      <w:r w:rsidRPr="003032D8">
        <w:rPr>
          <w:rFonts w:ascii="TitilliumText25L" w:hAnsi="TitilliumText25L"/>
        </w:rPr>
        <w:t>National Blood Authority of Australia website:</w:t>
      </w:r>
      <w:r w:rsidRPr="003032D8">
        <w:rPr>
          <w:rFonts w:ascii="TitilliumText25L" w:hAnsi="TitilliumText25L"/>
          <w:b/>
          <w:u w:val="single"/>
        </w:rPr>
        <w:t xml:space="preserve"> </w:t>
      </w:r>
      <w:hyperlink r:id="rId17" w:history="1">
        <w:r w:rsidRPr="003032D8">
          <w:rPr>
            <w:rStyle w:val="Hyperlink"/>
            <w:rFonts w:ascii="TitilliumText25L" w:hAnsi="TitilliumText25L"/>
          </w:rPr>
          <w:t>www.blood.gov.au</w:t>
        </w:r>
      </w:hyperlink>
    </w:p>
    <w:p w:rsidR="00D81D6F" w:rsidRPr="003032D8" w:rsidRDefault="00D81D6F" w:rsidP="00D81D6F">
      <w:pPr>
        <w:spacing w:line="240" w:lineRule="auto"/>
        <w:rPr>
          <w:rFonts w:ascii="TitilliumText25L" w:hAnsi="TitilliumText25L"/>
        </w:rPr>
      </w:pPr>
      <w:r w:rsidRPr="003032D8">
        <w:rPr>
          <w:rFonts w:ascii="TitilliumText25L" w:hAnsi="TitilliumText25L"/>
        </w:rPr>
        <w:t xml:space="preserve">Including: </w:t>
      </w:r>
    </w:p>
    <w:p w:rsidR="00D81D6F" w:rsidRPr="003032D8" w:rsidRDefault="00D81D6F" w:rsidP="00D81D6F">
      <w:pPr>
        <w:numPr>
          <w:ilvl w:val="0"/>
          <w:numId w:val="25"/>
        </w:numPr>
        <w:spacing w:line="240" w:lineRule="auto"/>
        <w:contextualSpacing/>
        <w:rPr>
          <w:rFonts w:ascii="TitilliumText25L" w:hAnsi="TitilliumText25L"/>
        </w:rPr>
      </w:pPr>
      <w:r w:rsidRPr="003032D8">
        <w:rPr>
          <w:rFonts w:ascii="TitilliumText25L" w:hAnsi="TitilliumText25L"/>
        </w:rPr>
        <w:t>Generic Policy guidance that can be adapted to your local organisations educational resources and competency assessments</w:t>
      </w:r>
    </w:p>
    <w:p w:rsidR="00D81D6F" w:rsidRPr="003032D8" w:rsidRDefault="00D81D6F" w:rsidP="00D81D6F">
      <w:pPr>
        <w:numPr>
          <w:ilvl w:val="0"/>
          <w:numId w:val="25"/>
        </w:numPr>
        <w:spacing w:line="240" w:lineRule="auto"/>
        <w:contextualSpacing/>
        <w:rPr>
          <w:rFonts w:ascii="TitilliumText25L" w:hAnsi="TitilliumText25L"/>
        </w:rPr>
      </w:pPr>
      <w:r w:rsidRPr="003032D8">
        <w:rPr>
          <w:rFonts w:ascii="TitilliumText25L" w:hAnsi="TitilliumText25L"/>
        </w:rPr>
        <w:t xml:space="preserve">Generic documentation and labelling </w:t>
      </w:r>
    </w:p>
    <w:p w:rsidR="00D81D6F" w:rsidRPr="003032D8" w:rsidRDefault="00D81D6F" w:rsidP="00D81D6F">
      <w:pPr>
        <w:numPr>
          <w:ilvl w:val="0"/>
          <w:numId w:val="25"/>
        </w:numPr>
        <w:spacing w:line="240" w:lineRule="auto"/>
        <w:contextualSpacing/>
        <w:rPr>
          <w:rFonts w:ascii="TitilliumText25L" w:hAnsi="TitilliumText25L"/>
        </w:rPr>
      </w:pPr>
      <w:r w:rsidRPr="003032D8">
        <w:rPr>
          <w:rFonts w:ascii="TitilliumText25L" w:hAnsi="TitilliumText25L"/>
        </w:rPr>
        <w:t>Examples of procedures that would most likely present a cost benefit from the use of intraoperative cell salvage</w:t>
      </w:r>
      <w:r w:rsidRPr="003032D8">
        <w:rPr>
          <w:rFonts w:ascii="TitilliumText25L" w:hAnsi="TitilliumText25L"/>
          <w:vertAlign w:val="superscript"/>
        </w:rPr>
        <w:t>6</w:t>
      </w:r>
    </w:p>
    <w:p w:rsidR="00D81D6F" w:rsidRPr="003032D8" w:rsidRDefault="00D81D6F" w:rsidP="00D81D6F">
      <w:pPr>
        <w:numPr>
          <w:ilvl w:val="0"/>
          <w:numId w:val="25"/>
        </w:numPr>
        <w:spacing w:line="240" w:lineRule="auto"/>
        <w:contextualSpacing/>
        <w:rPr>
          <w:rFonts w:ascii="TitilliumText25L" w:hAnsi="TitilliumText25L"/>
        </w:rPr>
      </w:pPr>
      <w:r w:rsidRPr="003032D8">
        <w:rPr>
          <w:rFonts w:ascii="TitilliumText25L" w:hAnsi="TitilliumText25L"/>
        </w:rPr>
        <w:t>Auditing processes</w:t>
      </w:r>
    </w:p>
    <w:p w:rsidR="00D81D6F" w:rsidRPr="003032D8" w:rsidRDefault="00D81D6F" w:rsidP="00D81D6F">
      <w:pPr>
        <w:spacing w:before="100" w:beforeAutospacing="1" w:after="100" w:afterAutospacing="1" w:line="240" w:lineRule="auto"/>
        <w:outlineLvl w:val="2"/>
        <w:rPr>
          <w:rFonts w:ascii="TitilliumText25L" w:hAnsi="TitilliumText25L" w:cs="Arial"/>
          <w:b/>
          <w:color w:val="C60C30"/>
          <w:sz w:val="28"/>
          <w:szCs w:val="28"/>
        </w:rPr>
      </w:pPr>
      <w:bookmarkStart w:id="20" w:name="_Toc366850071"/>
      <w:r w:rsidRPr="003032D8">
        <w:rPr>
          <w:rFonts w:ascii="TitilliumText25L" w:hAnsi="TitilliumText25L" w:cs="Arial"/>
          <w:b/>
          <w:color w:val="C60C30"/>
          <w:sz w:val="28"/>
          <w:szCs w:val="28"/>
        </w:rPr>
        <w:t>Organisational Risks</w:t>
      </w:r>
      <w:bookmarkEnd w:id="20"/>
    </w:p>
    <w:p w:rsidR="00D81D6F" w:rsidRPr="003032D8" w:rsidRDefault="00D81D6F" w:rsidP="00D81D6F">
      <w:pPr>
        <w:spacing w:line="240" w:lineRule="auto"/>
        <w:rPr>
          <w:rFonts w:ascii="TitilliumText25L" w:hAnsi="TitilliumText25L"/>
        </w:rPr>
      </w:pPr>
      <w:r w:rsidRPr="003032D8">
        <w:rPr>
          <w:rFonts w:ascii="TitilliumText25L" w:hAnsi="TitilliumText25L"/>
        </w:rPr>
        <w:t>The organisational risks should be minimal providing the equipment is used following the manufacturer’s guidance by adequately trained and competency assessed staff. The use of intraoperative cell salvage should decrease patient exposure to allogeneic blood and its associated risks.</w:t>
      </w:r>
    </w:p>
    <w:p w:rsidR="00D81D6F" w:rsidRPr="003032D8" w:rsidRDefault="00D81D6F" w:rsidP="00D81D6F">
      <w:pPr>
        <w:spacing w:before="360" w:after="120" w:line="240" w:lineRule="auto"/>
        <w:outlineLvl w:val="1"/>
        <w:rPr>
          <w:rFonts w:ascii="TitilliumText25L" w:hAnsi="TitilliumText25L" w:cs="Arial"/>
          <w:sz w:val="36"/>
          <w:szCs w:val="36"/>
          <w:u w:val="single"/>
        </w:rPr>
      </w:pPr>
      <w:r w:rsidRPr="003032D8">
        <w:rPr>
          <w:rFonts w:ascii="TitilliumText25L" w:hAnsi="TitilliumText25L" w:cs="Arial"/>
          <w:sz w:val="36"/>
          <w:szCs w:val="36"/>
        </w:rPr>
        <w:br w:type="page"/>
      </w:r>
      <w:bookmarkStart w:id="21" w:name="_Toc366850072"/>
      <w:r w:rsidRPr="003032D8">
        <w:rPr>
          <w:rFonts w:ascii="TitilliumText25L" w:hAnsi="TitilliumText25L" w:cs="Arial"/>
          <w:sz w:val="36"/>
          <w:szCs w:val="36"/>
          <w:u w:val="single"/>
        </w:rPr>
        <w:lastRenderedPageBreak/>
        <w:t>Conclusion</w:t>
      </w:r>
      <w:bookmarkEnd w:id="21"/>
      <w:r w:rsidRPr="003032D8">
        <w:rPr>
          <w:rFonts w:ascii="TitilliumText25L" w:hAnsi="TitilliumText25L" w:cs="Arial"/>
          <w:sz w:val="36"/>
          <w:szCs w:val="36"/>
          <w:u w:val="single"/>
        </w:rPr>
        <w:t xml:space="preserve"> </w:t>
      </w:r>
    </w:p>
    <w:p w:rsidR="00D81D6F" w:rsidRPr="003032D8" w:rsidRDefault="00D81D6F" w:rsidP="00D81D6F">
      <w:pPr>
        <w:spacing w:line="240" w:lineRule="auto"/>
        <w:rPr>
          <w:rFonts w:ascii="TitilliumText25L" w:hAnsi="TitilliumText25L"/>
        </w:rPr>
      </w:pPr>
      <w:r w:rsidRPr="003032D8">
        <w:rPr>
          <w:rFonts w:ascii="TitilliumText25L" w:hAnsi="TitilliumText25L"/>
        </w:rPr>
        <w:t xml:space="preserve">Intraoperative Cell Salvage offers a way forward in reducing allogeneic blood use in appropriate surgical patient groups and has some cost benefit implications.  The extent of the budgetary savings can be </w:t>
      </w:r>
      <w:proofErr w:type="spellStart"/>
      <w:r w:rsidRPr="003032D8">
        <w:rPr>
          <w:rFonts w:ascii="TitilliumText25L" w:hAnsi="TitilliumText25L"/>
        </w:rPr>
        <w:t>assessed</w:t>
      </w:r>
      <w:proofErr w:type="spellEnd"/>
      <w:r w:rsidRPr="003032D8">
        <w:rPr>
          <w:rFonts w:ascii="TitilliumText25L" w:hAnsi="TitilliumText25L"/>
        </w:rPr>
        <w:t xml:space="preserve"> via the information in Table 2. These savings and the benefit to patients as identified in this business case support the introduction of Intraoperative Cell Salvage into </w:t>
      </w:r>
      <w:r w:rsidRPr="003032D8">
        <w:rPr>
          <w:rFonts w:ascii="TitilliumText25L" w:hAnsi="TitilliumText25L"/>
          <w:highlight w:val="yellow"/>
        </w:rPr>
        <w:t>(insert organisation, department, or speciality details here)</w:t>
      </w:r>
      <w:r w:rsidRPr="003032D8">
        <w:rPr>
          <w:rFonts w:ascii="TitilliumText25L" w:hAnsi="TitilliumText25L"/>
        </w:rPr>
        <w:t xml:space="preserve">. </w:t>
      </w:r>
    </w:p>
    <w:p w:rsidR="00D81D6F" w:rsidRPr="003032D8" w:rsidRDefault="00D81D6F" w:rsidP="00D81D6F">
      <w:pPr>
        <w:spacing w:before="100" w:beforeAutospacing="1" w:after="100" w:afterAutospacing="1" w:line="240" w:lineRule="auto"/>
        <w:outlineLvl w:val="2"/>
        <w:rPr>
          <w:rFonts w:ascii="TitilliumText25L" w:hAnsi="TitilliumText25L" w:cs="Arial"/>
          <w:b/>
          <w:color w:val="C60C30"/>
          <w:sz w:val="28"/>
          <w:szCs w:val="28"/>
        </w:rPr>
      </w:pPr>
      <w:bookmarkStart w:id="22" w:name="_Toc366850073"/>
      <w:r w:rsidRPr="003032D8">
        <w:rPr>
          <w:rFonts w:ascii="TitilliumText25L" w:hAnsi="TitilliumText25L" w:cs="Arial"/>
          <w:b/>
          <w:color w:val="C60C30"/>
          <w:sz w:val="28"/>
          <w:szCs w:val="28"/>
        </w:rPr>
        <w:t>Recommendations</w:t>
      </w:r>
      <w:bookmarkEnd w:id="22"/>
    </w:p>
    <w:p w:rsidR="00D81D6F" w:rsidRPr="003032D8" w:rsidRDefault="00D81D6F" w:rsidP="00D81D6F">
      <w:pPr>
        <w:spacing w:line="240" w:lineRule="auto"/>
        <w:rPr>
          <w:rFonts w:ascii="TitilliumText25L" w:hAnsi="TitilliumText25L"/>
        </w:rPr>
      </w:pPr>
      <w:r w:rsidRPr="003032D8">
        <w:rPr>
          <w:rFonts w:ascii="TitilliumText25L" w:hAnsi="TitilliumText25L"/>
        </w:rPr>
        <w:t>Secure funding for the purchase/lease of equipment and continued running costs, to enable the provision of Intraoperative Cell Salvage for appropriate surgical procedures.</w:t>
      </w:r>
    </w:p>
    <w:p w:rsidR="00D81D6F" w:rsidRPr="003032D8" w:rsidRDefault="00D81D6F" w:rsidP="00D81D6F">
      <w:pPr>
        <w:rPr>
          <w:rFonts w:ascii="TitilliumText25L" w:hAnsi="TitilliumText25L"/>
        </w:rPr>
      </w:pPr>
      <w:r w:rsidRPr="003032D8">
        <w:rPr>
          <w:rFonts w:ascii="TitilliumText25L" w:hAnsi="TitilliumText25L"/>
        </w:rPr>
        <w:br w:type="page"/>
      </w:r>
    </w:p>
    <w:p w:rsidR="00D81D6F" w:rsidRPr="003032D8" w:rsidRDefault="00D81D6F" w:rsidP="00D81D6F">
      <w:pPr>
        <w:pStyle w:val="Heading2"/>
        <w:rPr>
          <w:rFonts w:ascii="TitilliumText25L" w:hAnsi="TitilliumText25L"/>
        </w:rPr>
      </w:pPr>
      <w:bookmarkStart w:id="23" w:name="_Toc366850074"/>
      <w:r w:rsidRPr="003032D8">
        <w:rPr>
          <w:rFonts w:ascii="TitilliumText25L" w:hAnsi="TitilliumText25L"/>
        </w:rPr>
        <w:t>References</w:t>
      </w:r>
      <w:bookmarkEnd w:id="23"/>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rPr>
        <w:fldChar w:fldCharType="begin" w:fldLock="1"/>
      </w:r>
      <w:r w:rsidRPr="003032D8">
        <w:rPr>
          <w:rFonts w:ascii="TitilliumText25L" w:hAnsi="TitilliumText25L"/>
        </w:rPr>
        <w:instrText xml:space="preserve">ADDIN Mendeley Bibliography CSL_BIBLIOGRAPHY </w:instrText>
      </w:r>
      <w:r w:rsidRPr="003032D8">
        <w:rPr>
          <w:rFonts w:ascii="TitilliumText25L" w:hAnsi="TitilliumText25L"/>
        </w:rPr>
        <w:fldChar w:fldCharType="separate"/>
      </w:r>
      <w:r w:rsidRPr="003032D8">
        <w:rPr>
          <w:rFonts w:ascii="TitilliumText25L" w:hAnsi="TitilliumText25L" w:cs="Calibri"/>
          <w:noProof/>
          <w:sz w:val="22"/>
        </w:rPr>
        <w:t xml:space="preserve">1. </w:t>
      </w:r>
      <w:r w:rsidRPr="003032D8">
        <w:rPr>
          <w:rFonts w:ascii="TitilliumText25L" w:hAnsi="TitilliumText25L" w:cs="Calibri"/>
          <w:noProof/>
          <w:sz w:val="22"/>
        </w:rPr>
        <w:tab/>
        <w:t xml:space="preserve">National Blood Authority. Patient Blood Management Guidelines: Module 2 - Perioperative. 2012.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2. </w:t>
      </w:r>
      <w:r w:rsidRPr="003032D8">
        <w:rPr>
          <w:rFonts w:ascii="TitilliumText25L" w:hAnsi="TitilliumText25L" w:cs="Calibri"/>
          <w:noProof/>
          <w:sz w:val="22"/>
        </w:rPr>
        <w:tab/>
        <w:t xml:space="preserve">National Blood Authority. Patient Blood Management Guidelines: Module 4 - Critical Care. 2012.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3. </w:t>
      </w:r>
      <w:r w:rsidRPr="003032D8">
        <w:rPr>
          <w:rFonts w:ascii="TitilliumText25L" w:hAnsi="TitilliumText25L" w:cs="Calibri"/>
          <w:noProof/>
          <w:sz w:val="22"/>
        </w:rPr>
        <w:tab/>
        <w:t>Carless PA, Henry DA, Moxey AJ, O’Connell D, Brown T, Fergusson DA. Cell salvage for minimising perioperative allogeneic blood transfusion. Cochrane database of systematic reviews (Online) [Internet]. 2010;(4):CD001888. Available from: http://www.ncbi.nlm.nih.gov/pubmed/20393932</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4. </w:t>
      </w:r>
      <w:r w:rsidRPr="003032D8">
        <w:rPr>
          <w:rFonts w:ascii="TitilliumText25L" w:hAnsi="TitilliumText25L" w:cs="Calibri"/>
          <w:noProof/>
          <w:sz w:val="22"/>
        </w:rPr>
        <w:tab/>
        <w:t>Roets M. A prospective observational study on Intra-operative Cell Salvage. Identifying adverse outcomes and surgical procedures which present the greatest cost-benefit for the use of Intraoperative Cell Salvage in the Royal Brisbane and Women’s Hospital.</w:t>
      </w:r>
      <w:r w:rsidR="008A3F44" w:rsidRPr="003032D8">
        <w:rPr>
          <w:rFonts w:ascii="TitilliumText25L" w:hAnsi="TitilliumText25L" w:cs="Calibri"/>
          <w:noProof/>
          <w:sz w:val="22"/>
        </w:rPr>
        <w:t xml:space="preserve"> </w:t>
      </w:r>
      <w:r w:rsidRPr="003032D8">
        <w:rPr>
          <w:rFonts w:ascii="TitilliumText25L" w:hAnsi="TitilliumText25L" w:cs="Calibri"/>
          <w:noProof/>
          <w:sz w:val="22"/>
        </w:rPr>
        <w:t xml:space="preserve">No Title. 2012.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5. </w:t>
      </w:r>
      <w:r w:rsidRPr="003032D8">
        <w:rPr>
          <w:rFonts w:ascii="TitilliumText25L" w:hAnsi="TitilliumText25L" w:cs="Calibri"/>
          <w:noProof/>
          <w:sz w:val="22"/>
        </w:rPr>
        <w:tab/>
        <w:t xml:space="preserve">Cohen H et al. Summary of 2011 Annual SHOT report. 2011.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6. </w:t>
      </w:r>
      <w:r w:rsidRPr="003032D8">
        <w:rPr>
          <w:rFonts w:ascii="TitilliumText25L" w:hAnsi="TitilliumText25L" w:cs="Calibri"/>
          <w:noProof/>
          <w:sz w:val="22"/>
        </w:rPr>
        <w:tab/>
        <w:t xml:space="preserve">Wood E et al. Transfusing a unit of Red Cells: What does it really cost? Australian Red Cross Blood Service, Flinders Medical Centre, Peter MacCallum Cancer Centre, Medical Society for Blood Management. Presented by the National Blood Authority Australia.; 2006. </w:t>
      </w:r>
    </w:p>
    <w:p w:rsidR="00D81D6F" w:rsidRPr="003032D8" w:rsidRDefault="00D81D6F" w:rsidP="00D81D6F">
      <w:pPr>
        <w:pStyle w:val="NormalWeb"/>
        <w:ind w:left="640" w:hanging="640"/>
        <w:rPr>
          <w:rFonts w:ascii="TitilliumText25L" w:hAnsi="TitilliumText25L"/>
        </w:rPr>
      </w:pPr>
      <w:r w:rsidRPr="003032D8">
        <w:rPr>
          <w:rFonts w:ascii="TitilliumText25L" w:hAnsi="TitilliumText25L"/>
        </w:rPr>
        <w:fldChar w:fldCharType="end"/>
      </w:r>
      <w:bookmarkStart w:id="24" w:name="_Appendix_II"/>
      <w:bookmarkEnd w:id="24"/>
    </w:p>
    <w:p w:rsidR="00D81D6F" w:rsidRPr="003032D8" w:rsidRDefault="00D81D6F" w:rsidP="00D81D6F">
      <w:pPr>
        <w:rPr>
          <w:rFonts w:ascii="TitilliumText25L" w:hAnsi="TitilliumText25L"/>
        </w:rPr>
        <w:sectPr w:rsidR="00D81D6F" w:rsidRPr="003032D8" w:rsidSect="00957A3F">
          <w:pgSz w:w="11906" w:h="16838" w:code="9"/>
          <w:pgMar w:top="1135" w:right="1797" w:bottom="1135" w:left="1797" w:header="720" w:footer="329" w:gutter="0"/>
          <w:pgNumType w:start="1"/>
          <w:cols w:space="720"/>
          <w:docGrid w:linePitch="299"/>
        </w:sectPr>
      </w:pPr>
    </w:p>
    <w:p w:rsidR="00BE3BE3" w:rsidRPr="003032D8" w:rsidRDefault="00BE3BE3" w:rsidP="00BE3BE3">
      <w:pPr>
        <w:pStyle w:val="Heading2"/>
        <w:rPr>
          <w:rFonts w:ascii="TitilliumText25L" w:hAnsi="TitilliumText25L"/>
        </w:rPr>
      </w:pPr>
      <w:bookmarkStart w:id="25" w:name="_Appendix_IIa"/>
      <w:bookmarkEnd w:id="25"/>
      <w:r w:rsidRPr="003032D8">
        <w:rPr>
          <w:rFonts w:ascii="TitilliumText25L" w:hAnsi="TitilliumText25L"/>
        </w:rPr>
        <w:lastRenderedPageBreak/>
        <w:t>Appendix IIa</w:t>
      </w:r>
      <w:bookmarkEnd w:id="1"/>
    </w:p>
    <w:p w:rsidR="00BE3BE3" w:rsidRPr="003032D8" w:rsidRDefault="00BE3BE3" w:rsidP="00BE3BE3">
      <w:pPr>
        <w:pStyle w:val="Heading3"/>
        <w:ind w:left="-284" w:right="-1186"/>
        <w:rPr>
          <w:rFonts w:ascii="TitilliumText25L" w:hAnsi="TitilliumText25L"/>
        </w:rPr>
      </w:pPr>
      <w:bookmarkStart w:id="26" w:name="_Toc366850076"/>
      <w:r w:rsidRPr="003032D8">
        <w:rPr>
          <w:rFonts w:ascii="TitilliumText25L" w:hAnsi="TitilliumText25L"/>
        </w:rPr>
        <w:t xml:space="preserve">Surgical Procedures where Intraoperative Cell Salvage </w:t>
      </w:r>
      <w:r w:rsidR="00FC4141" w:rsidRPr="003032D8">
        <w:rPr>
          <w:rFonts w:ascii="TitilliumText25L" w:hAnsi="TitilliumText25L"/>
        </w:rPr>
        <w:t xml:space="preserve">may </w:t>
      </w:r>
      <w:r w:rsidRPr="003032D8">
        <w:rPr>
          <w:rFonts w:ascii="TitilliumText25L" w:hAnsi="TitilliumText25L"/>
        </w:rPr>
        <w:t xml:space="preserve">present </w:t>
      </w:r>
      <w:r w:rsidR="00FC4141" w:rsidRPr="003032D8">
        <w:rPr>
          <w:rFonts w:ascii="TitilliumText25L" w:hAnsi="TitilliumText25L"/>
        </w:rPr>
        <w:t xml:space="preserve">a </w:t>
      </w:r>
      <w:r w:rsidRPr="003032D8">
        <w:rPr>
          <w:rFonts w:ascii="TitilliumText25L" w:hAnsi="TitilliumText25L"/>
        </w:rPr>
        <w:t>significant benefit towards the managem</w:t>
      </w:r>
      <w:r w:rsidR="00E27504" w:rsidRPr="003032D8">
        <w:rPr>
          <w:rFonts w:ascii="TitilliumText25L" w:hAnsi="TitilliumText25L"/>
        </w:rPr>
        <w:t>ent of peri</w:t>
      </w:r>
      <w:r w:rsidRPr="003032D8">
        <w:rPr>
          <w:rFonts w:ascii="TitilliumText25L" w:hAnsi="TitilliumText25L"/>
        </w:rPr>
        <w:t>operative blood loss</w:t>
      </w:r>
      <w:bookmarkEnd w:id="2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521"/>
      </w:tblGrid>
      <w:tr w:rsidR="00BE3BE3" w:rsidRPr="003032D8" w:rsidTr="00193EEB">
        <w:tc>
          <w:tcPr>
            <w:tcW w:w="2376" w:type="dxa"/>
            <w:shd w:val="clear" w:color="auto" w:fill="BFBFBF"/>
          </w:tcPr>
          <w:p w:rsidR="00BE3BE3" w:rsidRPr="003032D8" w:rsidRDefault="00BE3BE3" w:rsidP="00D65937">
            <w:pPr>
              <w:spacing w:after="0"/>
              <w:jc w:val="center"/>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Specialty</w:t>
            </w:r>
          </w:p>
        </w:tc>
        <w:tc>
          <w:tcPr>
            <w:tcW w:w="6521" w:type="dxa"/>
            <w:shd w:val="clear" w:color="auto" w:fill="BFBFBF"/>
          </w:tcPr>
          <w:p w:rsidR="00BE3BE3" w:rsidRPr="003032D8" w:rsidRDefault="00BE3BE3" w:rsidP="00D65937">
            <w:pPr>
              <w:spacing w:after="0"/>
              <w:jc w:val="center"/>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Surgical Procedure</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Cardio-Thoracic</w:t>
            </w: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Valve Replacement</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Redo bypass grafting</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Aortic arch aneurysm</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Coronary artery bypass</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 Valve / </w:t>
            </w:r>
            <w:proofErr w:type="spellStart"/>
            <w:r w:rsidRPr="003032D8">
              <w:rPr>
                <w:rFonts w:ascii="TitilliumText25L" w:eastAsia="Times New Roman" w:hAnsi="TitilliumText25L"/>
                <w:sz w:val="19"/>
                <w:szCs w:val="19"/>
                <w:lang w:val="en-US" w:eastAsia="en-US"/>
              </w:rPr>
              <w:t>CABG</w:t>
            </w:r>
            <w:proofErr w:type="spellEnd"/>
            <w:r w:rsidRPr="003032D8">
              <w:rPr>
                <w:rFonts w:ascii="TitilliumText25L" w:eastAsia="Times New Roman" w:hAnsi="TitilliumText25L"/>
                <w:sz w:val="19"/>
                <w:szCs w:val="19"/>
                <w:lang w:val="en-US" w:eastAsia="en-US"/>
              </w:rPr>
              <w:t xml:space="preserve"> combo</w:t>
            </w:r>
          </w:p>
        </w:tc>
      </w:tr>
      <w:tr w:rsidR="00BE3BE3" w:rsidRPr="003032D8" w:rsidTr="00D65937">
        <w:trPr>
          <w:trHeight w:val="135"/>
        </w:trPr>
        <w:tc>
          <w:tcPr>
            <w:tcW w:w="2376" w:type="dxa"/>
            <w:tcBorders>
              <w:bottom w:val="single" w:sz="4" w:space="0" w:color="auto"/>
            </w:tcBorders>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roofErr w:type="spellStart"/>
            <w:r w:rsidRPr="003032D8">
              <w:rPr>
                <w:rFonts w:ascii="TitilliumText25L" w:eastAsia="Times New Roman" w:hAnsi="TitilliumText25L"/>
                <w:sz w:val="19"/>
                <w:szCs w:val="19"/>
                <w:lang w:val="en-US" w:eastAsia="en-US"/>
              </w:rPr>
              <w:t>Pneumonectomy</w:t>
            </w:r>
            <w:proofErr w:type="spellEnd"/>
            <w:r w:rsidRPr="003032D8">
              <w:rPr>
                <w:rFonts w:ascii="TitilliumText25L" w:eastAsia="Times New Roman" w:hAnsi="TitilliumText25L"/>
                <w:sz w:val="19"/>
                <w:szCs w:val="19"/>
                <w:lang w:val="en-US" w:eastAsia="en-US"/>
              </w:rPr>
              <w:t xml:space="preserve"> / lobectomy </w:t>
            </w:r>
          </w:p>
        </w:tc>
      </w:tr>
      <w:tr w:rsidR="00BE3BE3" w:rsidRPr="003032D8" w:rsidTr="00D65937">
        <w:trPr>
          <w:trHeight w:val="135"/>
        </w:trPr>
        <w:tc>
          <w:tcPr>
            <w:tcW w:w="2376" w:type="dxa"/>
            <w:tcBorders>
              <w:bottom w:val="single" w:sz="4" w:space="0" w:color="auto"/>
            </w:tcBorders>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tcBorders>
              <w:bottom w:val="single" w:sz="4" w:space="0" w:color="auto"/>
            </w:tcBorders>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Re-exploration Chest</w:t>
            </w:r>
          </w:p>
        </w:tc>
      </w:tr>
      <w:tr w:rsidR="00BE3BE3" w:rsidRPr="003032D8" w:rsidTr="00D65937">
        <w:trPr>
          <w:trHeight w:val="50"/>
        </w:trPr>
        <w:tc>
          <w:tcPr>
            <w:tcW w:w="2376"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Orthopaedics</w:t>
            </w: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Spinal fusion (</w:t>
            </w:r>
            <w:r w:rsidRPr="003032D8">
              <w:rPr>
                <w:rFonts w:ascii="TitilliumText25L" w:eastAsia="Times New Roman" w:hAnsi="TitilliumText25L"/>
                <w:sz w:val="19"/>
                <w:szCs w:val="19"/>
                <w:u w:val="single"/>
                <w:lang w:val="en-US" w:eastAsia="en-US"/>
              </w:rPr>
              <w:t>&gt;</w:t>
            </w:r>
            <w:r w:rsidRPr="003032D8">
              <w:rPr>
                <w:rFonts w:ascii="TitilliumText25L" w:eastAsia="Times New Roman" w:hAnsi="TitilliumText25L"/>
                <w:sz w:val="19"/>
                <w:szCs w:val="19"/>
                <w:lang w:val="en-US" w:eastAsia="en-US"/>
              </w:rPr>
              <w:t xml:space="preserve"> 2 levels)</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Revision hip arthroplasty </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Pelvic Fracture</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Resurfacing of joint</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Long bone fractures lower extremities </w:t>
            </w:r>
          </w:p>
        </w:tc>
      </w:tr>
      <w:tr w:rsidR="00BE3BE3" w:rsidRPr="003032D8" w:rsidTr="00D65937">
        <w:trPr>
          <w:trHeight w:val="50"/>
        </w:trPr>
        <w:tc>
          <w:tcPr>
            <w:tcW w:w="2376"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Urology</w:t>
            </w: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Radical </w:t>
            </w:r>
            <w:proofErr w:type="spellStart"/>
            <w:r w:rsidRPr="003032D8">
              <w:rPr>
                <w:rFonts w:ascii="TitilliumText25L" w:eastAsia="Times New Roman" w:hAnsi="TitilliumText25L"/>
                <w:sz w:val="19"/>
                <w:szCs w:val="19"/>
                <w:lang w:val="en-US" w:eastAsia="en-US"/>
              </w:rPr>
              <w:t>retropubic</w:t>
            </w:r>
            <w:proofErr w:type="spellEnd"/>
            <w:r w:rsidRPr="003032D8">
              <w:rPr>
                <w:rFonts w:ascii="TitilliumText25L" w:eastAsia="Times New Roman" w:hAnsi="TitilliumText25L"/>
                <w:sz w:val="19"/>
                <w:szCs w:val="19"/>
                <w:lang w:val="en-US" w:eastAsia="en-US"/>
              </w:rPr>
              <w:t xml:space="preserve"> prostatectomy (excluding robotic prostatectomy)</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Cystectomy </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Nephrectomy </w:t>
            </w:r>
          </w:p>
        </w:tc>
      </w:tr>
      <w:tr w:rsidR="00BE3BE3" w:rsidRPr="003032D8" w:rsidTr="00D65937">
        <w:trPr>
          <w:trHeight w:val="50"/>
        </w:trPr>
        <w:tc>
          <w:tcPr>
            <w:tcW w:w="2376"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Neurosurgery</w:t>
            </w: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Giant basilar aneurysm</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Cerebral aneurysm</w:t>
            </w:r>
          </w:p>
        </w:tc>
      </w:tr>
      <w:tr w:rsidR="00BE3BE3" w:rsidRPr="003032D8" w:rsidTr="00D65937">
        <w:trPr>
          <w:trHeight w:val="50"/>
        </w:trPr>
        <w:tc>
          <w:tcPr>
            <w:tcW w:w="2376"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Obstetrics/Gynecology</w:t>
            </w: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High risk pregnancy </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4A6161" w:rsidP="004A6161">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Uterine myomectomy </w:t>
            </w:r>
          </w:p>
        </w:tc>
      </w:tr>
      <w:tr w:rsidR="00BE3BE3" w:rsidRPr="003032D8" w:rsidTr="00D65937">
        <w:trPr>
          <w:trHeight w:val="135"/>
        </w:trPr>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Placenta </w:t>
            </w:r>
            <w:proofErr w:type="spellStart"/>
            <w:r w:rsidRPr="003032D8">
              <w:rPr>
                <w:rFonts w:ascii="TitilliumText25L" w:eastAsia="Times New Roman" w:hAnsi="TitilliumText25L"/>
                <w:sz w:val="19"/>
                <w:szCs w:val="19"/>
                <w:lang w:val="en-US" w:eastAsia="en-US"/>
              </w:rPr>
              <w:t>accreta</w:t>
            </w:r>
            <w:proofErr w:type="spellEnd"/>
          </w:p>
        </w:tc>
      </w:tr>
      <w:tr w:rsidR="00BE3BE3" w:rsidRPr="003032D8" w:rsidTr="00D65937">
        <w:trPr>
          <w:trHeight w:val="135"/>
        </w:trPr>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957A3F">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Abdominal hysterectomy </w:t>
            </w:r>
          </w:p>
        </w:tc>
      </w:tr>
      <w:tr w:rsidR="00BE3BE3" w:rsidRPr="003032D8" w:rsidTr="00D65937">
        <w:trPr>
          <w:trHeight w:val="135"/>
        </w:trPr>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Plastics</w:t>
            </w: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Breast reduction / reconstruction </w:t>
            </w:r>
          </w:p>
        </w:tc>
      </w:tr>
      <w:tr w:rsidR="00BE3BE3" w:rsidRPr="003032D8" w:rsidTr="00D65937">
        <w:trPr>
          <w:trHeight w:val="135"/>
        </w:trPr>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Major Flaps</w:t>
            </w:r>
          </w:p>
        </w:tc>
      </w:tr>
      <w:tr w:rsidR="00BE3BE3" w:rsidRPr="003032D8" w:rsidTr="00D65937">
        <w:trPr>
          <w:trHeight w:val="50"/>
        </w:trPr>
        <w:tc>
          <w:tcPr>
            <w:tcW w:w="2376"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Vascular</w:t>
            </w: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roofErr w:type="spellStart"/>
            <w:r w:rsidRPr="003032D8">
              <w:rPr>
                <w:rFonts w:ascii="TitilliumText25L" w:eastAsia="Times New Roman" w:hAnsi="TitilliumText25L"/>
                <w:sz w:val="19"/>
                <w:szCs w:val="19"/>
                <w:lang w:val="en-US" w:eastAsia="en-US"/>
              </w:rPr>
              <w:t>Thoracoabdominal</w:t>
            </w:r>
            <w:proofErr w:type="spellEnd"/>
            <w:r w:rsidRPr="003032D8">
              <w:rPr>
                <w:rFonts w:ascii="TitilliumText25L" w:eastAsia="Times New Roman" w:hAnsi="TitilliumText25L"/>
                <w:sz w:val="19"/>
                <w:szCs w:val="19"/>
                <w:lang w:val="en-US" w:eastAsia="en-US"/>
              </w:rPr>
              <w:t xml:space="preserve"> aortic aneurysm repair</w:t>
            </w:r>
          </w:p>
        </w:tc>
      </w:tr>
      <w:tr w:rsidR="00BE3BE3" w:rsidRPr="003032D8" w:rsidTr="00D65937">
        <w:trPr>
          <w:trHeight w:val="278"/>
        </w:trPr>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roofErr w:type="spellStart"/>
            <w:r w:rsidRPr="003032D8">
              <w:rPr>
                <w:rFonts w:ascii="TitilliumText25L" w:eastAsia="Times New Roman" w:hAnsi="TitilliumText25L"/>
                <w:sz w:val="19"/>
                <w:szCs w:val="19"/>
                <w:lang w:val="en-US" w:eastAsia="en-US"/>
              </w:rPr>
              <w:t>Aorto-bifemoral</w:t>
            </w:r>
            <w:proofErr w:type="spellEnd"/>
            <w:r w:rsidRPr="003032D8">
              <w:rPr>
                <w:rFonts w:ascii="TitilliumText25L" w:eastAsia="Times New Roman" w:hAnsi="TitilliumText25L"/>
                <w:sz w:val="19"/>
                <w:szCs w:val="19"/>
                <w:lang w:val="en-US" w:eastAsia="en-US"/>
              </w:rPr>
              <w:t xml:space="preserve"> grafts</w:t>
            </w:r>
          </w:p>
        </w:tc>
      </w:tr>
      <w:tr w:rsidR="00BE3BE3" w:rsidRPr="003032D8" w:rsidTr="00D65937">
        <w:trPr>
          <w:trHeight w:val="277"/>
        </w:trPr>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roofErr w:type="spellStart"/>
            <w:r w:rsidRPr="003032D8">
              <w:rPr>
                <w:rFonts w:ascii="TitilliumText25L" w:eastAsia="Times New Roman" w:hAnsi="TitilliumText25L"/>
                <w:sz w:val="19"/>
                <w:szCs w:val="19"/>
                <w:lang w:val="en-US" w:eastAsia="en-US"/>
              </w:rPr>
              <w:t>Axillo</w:t>
            </w:r>
            <w:proofErr w:type="spellEnd"/>
            <w:r w:rsidRPr="003032D8">
              <w:rPr>
                <w:rFonts w:ascii="TitilliumText25L" w:eastAsia="Times New Roman" w:hAnsi="TitilliumText25L"/>
                <w:sz w:val="19"/>
                <w:szCs w:val="19"/>
                <w:lang w:val="en-US" w:eastAsia="en-US"/>
              </w:rPr>
              <w:t>-femoral bypass</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Abdominal aortic aneurysm repair</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Lower extremity revascularization </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General</w:t>
            </w:r>
          </w:p>
        </w:tc>
        <w:tc>
          <w:tcPr>
            <w:tcW w:w="6521" w:type="dxa"/>
            <w:shd w:val="clear" w:color="auto" w:fill="auto"/>
          </w:tcPr>
          <w:p w:rsidR="00BE3BE3" w:rsidRPr="003032D8" w:rsidRDefault="00BE3BE3" w:rsidP="004A6161">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Liver resection </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Whipple Procedure</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Splenectomy – ruptured*</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 xml:space="preserve">Any open abdominal procedure </w:t>
            </w: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Colectomy / Bowel resection</w:t>
            </w:r>
            <w:r w:rsidR="004A6161" w:rsidRPr="003032D8">
              <w:rPr>
                <w:rFonts w:ascii="TitilliumText25L" w:eastAsia="Times New Roman" w:hAnsi="TitilliumText25L"/>
                <w:sz w:val="19"/>
                <w:szCs w:val="19"/>
                <w:lang w:val="en-US" w:eastAsia="en-US"/>
              </w:rPr>
              <w:t xml:space="preserve"> </w:t>
            </w:r>
            <w:r w:rsidR="00484DE8" w:rsidRPr="003032D8">
              <w:rPr>
                <w:rFonts w:ascii="TitilliumText25L" w:eastAsia="Times New Roman" w:hAnsi="TitilliumText25L"/>
                <w:sz w:val="19"/>
                <w:szCs w:val="19"/>
                <w:lang w:val="en-US" w:eastAsia="en-US"/>
              </w:rPr>
              <w:t>**</w:t>
            </w:r>
          </w:p>
        </w:tc>
      </w:tr>
      <w:tr w:rsidR="00BE3BE3" w:rsidRPr="003032D8" w:rsidTr="00D65937">
        <w:trPr>
          <w:trHeight w:val="50"/>
        </w:trPr>
        <w:tc>
          <w:tcPr>
            <w:tcW w:w="2376"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c>
          <w:tcPr>
            <w:tcW w:w="6521" w:type="dxa"/>
            <w:shd w:val="clear" w:color="auto" w:fill="FFFF99"/>
          </w:tcPr>
          <w:p w:rsidR="00BE3BE3" w:rsidRPr="003032D8" w:rsidRDefault="00BE3BE3" w:rsidP="00D65937">
            <w:pPr>
              <w:spacing w:after="0"/>
              <w:rPr>
                <w:rFonts w:ascii="TitilliumText25L" w:eastAsia="Times New Roman" w:hAnsi="TitilliumText25L"/>
                <w:sz w:val="19"/>
                <w:szCs w:val="19"/>
                <w:lang w:val="en-US" w:eastAsia="en-US"/>
              </w:rPr>
            </w:pPr>
          </w:p>
        </w:tc>
      </w:tr>
      <w:tr w:rsidR="00BE3BE3" w:rsidRPr="003032D8" w:rsidTr="00D65937">
        <w:tc>
          <w:tcPr>
            <w:tcW w:w="2376" w:type="dxa"/>
            <w:shd w:val="clear" w:color="auto" w:fill="auto"/>
          </w:tcPr>
          <w:p w:rsidR="00BE3BE3" w:rsidRPr="003032D8" w:rsidRDefault="00BE3BE3" w:rsidP="00D65937">
            <w:pPr>
              <w:spacing w:after="0"/>
              <w:rPr>
                <w:rFonts w:ascii="TitilliumText25L" w:eastAsia="Times New Roman" w:hAnsi="TitilliumText25L"/>
                <w:sz w:val="19"/>
                <w:szCs w:val="19"/>
                <w:lang w:val="en-US" w:eastAsia="en-US"/>
              </w:rPr>
            </w:pPr>
            <w:r w:rsidRPr="003032D8">
              <w:rPr>
                <w:rFonts w:ascii="TitilliumText25L" w:eastAsia="Times New Roman" w:hAnsi="TitilliumText25L"/>
                <w:sz w:val="19"/>
                <w:szCs w:val="19"/>
                <w:lang w:val="en-US" w:eastAsia="en-US"/>
              </w:rPr>
              <w:t>Other</w:t>
            </w:r>
          </w:p>
        </w:tc>
        <w:tc>
          <w:tcPr>
            <w:tcW w:w="6521" w:type="dxa"/>
            <w:shd w:val="clear" w:color="auto" w:fill="auto"/>
          </w:tcPr>
          <w:p w:rsidR="00BE3BE3" w:rsidRPr="003032D8" w:rsidRDefault="00BE3BE3" w:rsidP="00A60356">
            <w:pPr>
              <w:spacing w:after="0"/>
              <w:rPr>
                <w:rFonts w:ascii="TitilliumText25L" w:eastAsia="Times New Roman" w:hAnsi="TitilliumText25L"/>
                <w:sz w:val="19"/>
                <w:szCs w:val="19"/>
                <w:lang w:eastAsia="en-US"/>
              </w:rPr>
            </w:pPr>
            <w:r w:rsidRPr="003032D8">
              <w:rPr>
                <w:rFonts w:ascii="TitilliumText25L" w:eastAsia="Times New Roman" w:hAnsi="TitilliumText25L"/>
                <w:sz w:val="19"/>
                <w:szCs w:val="19"/>
                <w:lang w:val="en-US" w:eastAsia="en-US"/>
              </w:rPr>
              <w:t xml:space="preserve">Any procedure for </w:t>
            </w:r>
            <w:r w:rsidR="001356A1" w:rsidRPr="003032D8">
              <w:rPr>
                <w:rFonts w:ascii="TitilliumText25L" w:eastAsia="Times New Roman" w:hAnsi="TitilliumText25L"/>
                <w:sz w:val="19"/>
                <w:szCs w:val="19"/>
                <w:lang w:val="en-US" w:eastAsia="en-US"/>
              </w:rPr>
              <w:t>patient</w:t>
            </w:r>
            <w:r w:rsidR="00082AC2" w:rsidRPr="003032D8">
              <w:rPr>
                <w:rFonts w:ascii="TitilliumText25L" w:eastAsia="Times New Roman" w:hAnsi="TitilliumText25L"/>
                <w:sz w:val="19"/>
                <w:szCs w:val="19"/>
                <w:lang w:val="en-US" w:eastAsia="en-US"/>
              </w:rPr>
              <w:t>s</w:t>
            </w:r>
            <w:r w:rsidR="001356A1" w:rsidRPr="003032D8">
              <w:rPr>
                <w:rFonts w:ascii="TitilliumText25L" w:eastAsia="Times New Roman" w:hAnsi="TitilliumText25L"/>
                <w:sz w:val="19"/>
                <w:szCs w:val="19"/>
                <w:lang w:val="en-US" w:eastAsia="en-US"/>
              </w:rPr>
              <w:t xml:space="preserve"> who </w:t>
            </w:r>
            <w:r w:rsidR="00082AC2" w:rsidRPr="003032D8">
              <w:rPr>
                <w:rFonts w:ascii="TitilliumText25L" w:eastAsia="Times New Roman" w:hAnsi="TitilliumText25L"/>
                <w:sz w:val="19"/>
                <w:szCs w:val="19"/>
                <w:lang w:val="en-US" w:eastAsia="en-US"/>
              </w:rPr>
              <w:t xml:space="preserve">for </w:t>
            </w:r>
            <w:r w:rsidR="001356A1" w:rsidRPr="003032D8">
              <w:rPr>
                <w:rFonts w:ascii="TitilliumText25L" w:eastAsia="Times New Roman" w:hAnsi="TitilliumText25L"/>
                <w:sz w:val="19"/>
                <w:szCs w:val="19"/>
                <w:lang w:val="en-US" w:eastAsia="en-US"/>
              </w:rPr>
              <w:t>religious or other reasons</w:t>
            </w:r>
            <w:r w:rsidR="00082AC2" w:rsidRPr="003032D8">
              <w:rPr>
                <w:rFonts w:ascii="TitilliumText25L" w:eastAsia="Times New Roman" w:hAnsi="TitilliumText25L"/>
                <w:sz w:val="19"/>
                <w:szCs w:val="19"/>
                <w:lang w:val="en-US" w:eastAsia="en-US"/>
              </w:rPr>
              <w:t>,</w:t>
            </w:r>
            <w:r w:rsidR="001356A1" w:rsidRPr="003032D8">
              <w:rPr>
                <w:rFonts w:ascii="TitilliumText25L" w:eastAsia="Times New Roman" w:hAnsi="TitilliumText25L"/>
                <w:sz w:val="19"/>
                <w:szCs w:val="19"/>
                <w:lang w:val="en-US" w:eastAsia="en-US"/>
              </w:rPr>
              <w:t xml:space="preserve"> </w:t>
            </w:r>
            <w:r w:rsidR="00082AC2" w:rsidRPr="003032D8">
              <w:rPr>
                <w:rFonts w:ascii="TitilliumText25L" w:eastAsia="Times New Roman" w:hAnsi="TitilliumText25L"/>
                <w:sz w:val="19"/>
                <w:szCs w:val="19"/>
                <w:lang w:val="en-US" w:eastAsia="en-US"/>
              </w:rPr>
              <w:t xml:space="preserve">are unwilling to </w:t>
            </w:r>
            <w:r w:rsidR="001356A1" w:rsidRPr="003032D8">
              <w:rPr>
                <w:rFonts w:ascii="TitilliumText25L" w:eastAsia="Times New Roman" w:hAnsi="TitilliumText25L"/>
                <w:sz w:val="19"/>
                <w:szCs w:val="19"/>
                <w:lang w:val="en-US" w:eastAsia="en-US"/>
              </w:rPr>
              <w:t>receiv</w:t>
            </w:r>
            <w:r w:rsidR="00082AC2" w:rsidRPr="003032D8">
              <w:rPr>
                <w:rFonts w:ascii="TitilliumText25L" w:eastAsia="Times New Roman" w:hAnsi="TitilliumText25L"/>
                <w:sz w:val="19"/>
                <w:szCs w:val="19"/>
                <w:lang w:val="en-US" w:eastAsia="en-US"/>
              </w:rPr>
              <w:t xml:space="preserve">e </w:t>
            </w:r>
            <w:r w:rsidR="001356A1" w:rsidRPr="003032D8">
              <w:rPr>
                <w:rFonts w:ascii="TitilliumText25L" w:eastAsia="Times New Roman" w:hAnsi="TitilliumText25L"/>
                <w:sz w:val="19"/>
                <w:szCs w:val="19"/>
                <w:lang w:val="en-US" w:eastAsia="en-US"/>
              </w:rPr>
              <w:t xml:space="preserve">a blood transfusion </w:t>
            </w:r>
          </w:p>
        </w:tc>
      </w:tr>
    </w:tbl>
    <w:p w:rsidR="00BE3BE3" w:rsidRPr="003032D8" w:rsidRDefault="00BE3BE3" w:rsidP="004F62F0">
      <w:pPr>
        <w:spacing w:after="0"/>
        <w:ind w:left="142" w:hanging="142"/>
        <w:rPr>
          <w:rFonts w:ascii="TitilliumText25L" w:hAnsi="TitilliumText25L"/>
          <w:sz w:val="18"/>
          <w:szCs w:val="18"/>
        </w:rPr>
      </w:pPr>
      <w:r w:rsidRPr="003032D8">
        <w:rPr>
          <w:rFonts w:ascii="TitilliumText25L" w:hAnsi="TitilliumText25L"/>
          <w:sz w:val="18"/>
          <w:szCs w:val="18"/>
        </w:rPr>
        <w:t>*  For elective splenectomy set up ICS device and wash salvaged blood when there is blood loss of greater than 20% of estimated blood volume</w:t>
      </w:r>
    </w:p>
    <w:p w:rsidR="00085E9D" w:rsidRPr="003032D8" w:rsidRDefault="004A6161" w:rsidP="004F62F0">
      <w:pPr>
        <w:spacing w:after="0"/>
        <w:ind w:left="142" w:hanging="142"/>
        <w:rPr>
          <w:rFonts w:ascii="TitilliumText25L" w:hAnsi="TitilliumText25L"/>
          <w:sz w:val="18"/>
          <w:szCs w:val="18"/>
        </w:rPr>
      </w:pPr>
      <w:r w:rsidRPr="003032D8">
        <w:rPr>
          <w:rFonts w:ascii="TitilliumText25L" w:hAnsi="TitilliumText25L"/>
          <w:sz w:val="18"/>
          <w:szCs w:val="18"/>
        </w:rPr>
        <w:t xml:space="preserve">** In cases </w:t>
      </w:r>
      <w:proofErr w:type="spellStart"/>
      <w:r w:rsidRPr="003032D8">
        <w:rPr>
          <w:rFonts w:ascii="TitilliumText25L" w:hAnsi="TitilliumText25L"/>
          <w:sz w:val="18"/>
          <w:szCs w:val="18"/>
        </w:rPr>
        <w:t>whith</w:t>
      </w:r>
      <w:proofErr w:type="spellEnd"/>
      <w:r w:rsidRPr="003032D8">
        <w:rPr>
          <w:rFonts w:ascii="TitilliumText25L" w:hAnsi="TitilliumText25L"/>
          <w:sz w:val="18"/>
          <w:szCs w:val="18"/>
        </w:rPr>
        <w:t xml:space="preserve"> no intra-abdominal </w:t>
      </w:r>
      <w:proofErr w:type="spellStart"/>
      <w:r w:rsidRPr="003032D8">
        <w:rPr>
          <w:rFonts w:ascii="TitilliumText25L" w:hAnsi="TitilliumText25L"/>
          <w:sz w:val="18"/>
          <w:szCs w:val="18"/>
        </w:rPr>
        <w:t>fecal</w:t>
      </w:r>
      <w:proofErr w:type="spellEnd"/>
      <w:r w:rsidRPr="003032D8">
        <w:rPr>
          <w:rFonts w:ascii="TitilliumText25L" w:hAnsi="TitilliumText25L"/>
          <w:sz w:val="18"/>
          <w:szCs w:val="18"/>
        </w:rPr>
        <w:t xml:space="preserve"> contamination.</w:t>
      </w:r>
    </w:p>
    <w:p w:rsidR="00085E9D" w:rsidRPr="003032D8" w:rsidRDefault="00085E9D" w:rsidP="004F62F0">
      <w:pPr>
        <w:spacing w:after="0"/>
        <w:ind w:left="142" w:hanging="142"/>
        <w:rPr>
          <w:rFonts w:ascii="TitilliumText25L" w:hAnsi="TitilliumText25L"/>
          <w:sz w:val="18"/>
          <w:szCs w:val="18"/>
        </w:rPr>
      </w:pPr>
    </w:p>
    <w:p w:rsidR="00085E9D" w:rsidRPr="003032D8" w:rsidRDefault="00085E9D" w:rsidP="004F62F0">
      <w:pPr>
        <w:spacing w:after="0"/>
        <w:ind w:left="142" w:hanging="142"/>
        <w:rPr>
          <w:rFonts w:ascii="TitilliumText25L" w:hAnsi="TitilliumText25L"/>
          <w:sz w:val="18"/>
          <w:szCs w:val="18"/>
        </w:rPr>
        <w:sectPr w:rsidR="00085E9D" w:rsidRPr="003032D8" w:rsidSect="00085E9D">
          <w:pgSz w:w="11906" w:h="16838" w:code="9"/>
          <w:pgMar w:top="851" w:right="1797" w:bottom="1135" w:left="1797" w:header="720" w:footer="329" w:gutter="0"/>
          <w:pgNumType w:start="1"/>
          <w:cols w:space="720"/>
          <w:docGrid w:linePitch="299"/>
        </w:sectPr>
      </w:pPr>
    </w:p>
    <w:p w:rsidR="00BE3BE3" w:rsidRPr="003032D8" w:rsidRDefault="00BE3BE3" w:rsidP="00BE3BE3">
      <w:pPr>
        <w:pStyle w:val="Heading2"/>
        <w:rPr>
          <w:rFonts w:ascii="TitilliumText25L" w:hAnsi="TitilliumText25L"/>
        </w:rPr>
      </w:pPr>
      <w:bookmarkStart w:id="27" w:name="_Appendix_IIb"/>
      <w:bookmarkStart w:id="28" w:name="_Toc366850077"/>
      <w:bookmarkEnd w:id="27"/>
      <w:r w:rsidRPr="003032D8">
        <w:rPr>
          <w:rFonts w:ascii="TitilliumText25L" w:hAnsi="TitilliumText25L"/>
        </w:rPr>
        <w:lastRenderedPageBreak/>
        <w:t>Appendix IIb</w:t>
      </w:r>
      <w:bookmarkEnd w:id="28"/>
    </w:p>
    <w:p w:rsidR="00BE3BE3" w:rsidRPr="003032D8" w:rsidRDefault="00BE3BE3" w:rsidP="00BE3BE3">
      <w:pPr>
        <w:rPr>
          <w:rFonts w:ascii="TitilliumText25L" w:hAnsi="TitilliumText25L"/>
          <w:color w:val="C60C30"/>
        </w:rPr>
      </w:pPr>
      <w:r w:rsidRPr="003032D8">
        <w:rPr>
          <w:rFonts w:ascii="TitilliumText25L" w:hAnsi="TitilliumText25L" w:cs="Arial"/>
          <w:b/>
          <w:color w:val="C60C30"/>
          <w:sz w:val="28"/>
          <w:szCs w:val="28"/>
        </w:rPr>
        <w:t xml:space="preserve">Surgical Procedures – an Australian experience </w:t>
      </w:r>
    </w:p>
    <w:p w:rsidR="00BE3BE3" w:rsidRPr="003032D8" w:rsidRDefault="00BE3BE3" w:rsidP="00BE3BE3">
      <w:pPr>
        <w:rPr>
          <w:rFonts w:ascii="TitilliumText25L" w:hAnsi="TitilliumText25L"/>
        </w:rPr>
      </w:pPr>
      <w:r w:rsidRPr="003032D8">
        <w:rPr>
          <w:rStyle w:val="Heading4Char"/>
          <w:rFonts w:ascii="TitilliumText25L" w:hAnsi="TitilliumText25L"/>
        </w:rPr>
        <w:t>Prospective Audit of current use of Intraoperative Cell Salvage at the Royal Brisbane and Women’s Hospital (RBWH), Brisbane, Australia – May to October 2012</w:t>
      </w:r>
      <w:r w:rsidRPr="003032D8">
        <w:rPr>
          <w:rFonts w:ascii="TitilliumText25L" w:hAnsi="TitilliumText25L"/>
        </w:rPr>
        <w:t xml:space="preserve">. </w:t>
      </w:r>
    </w:p>
    <w:p w:rsidR="00BE3BE3" w:rsidRPr="003032D8" w:rsidRDefault="00BE3BE3" w:rsidP="00BE3BE3">
      <w:pPr>
        <w:pStyle w:val="ListParagraph"/>
        <w:numPr>
          <w:ilvl w:val="0"/>
          <w:numId w:val="7"/>
        </w:numPr>
        <w:rPr>
          <w:rFonts w:ascii="TitilliumText25L" w:hAnsi="TitilliumText25L"/>
        </w:rPr>
      </w:pPr>
      <w:r w:rsidRPr="003032D8">
        <w:rPr>
          <w:rFonts w:ascii="TitilliumText25L" w:hAnsi="TitilliumText25L"/>
        </w:rPr>
        <w:t>Procedures with most benefit from prospective observational study – RBWH: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79"/>
        <w:gridCol w:w="2806"/>
      </w:tblGrid>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u w:val="single"/>
              </w:rPr>
            </w:pPr>
            <w:r w:rsidRPr="003032D8">
              <w:rPr>
                <w:rFonts w:ascii="TitilliumText25L" w:hAnsi="TitilliumText25L"/>
                <w:b/>
                <w:u w:val="single"/>
              </w:rPr>
              <w:t>Surgical speciality</w:t>
            </w:r>
          </w:p>
        </w:tc>
        <w:tc>
          <w:tcPr>
            <w:tcW w:w="2879" w:type="dxa"/>
            <w:shd w:val="clear" w:color="auto" w:fill="auto"/>
          </w:tcPr>
          <w:p w:rsidR="00BE3BE3" w:rsidRPr="003032D8" w:rsidRDefault="00BE3BE3" w:rsidP="00193EEB">
            <w:pPr>
              <w:spacing w:after="0" w:line="240" w:lineRule="auto"/>
              <w:rPr>
                <w:rFonts w:ascii="TitilliumText25L" w:hAnsi="TitilliumText25L"/>
                <w:b/>
                <w:u w:val="single"/>
              </w:rPr>
            </w:pPr>
            <w:r w:rsidRPr="003032D8">
              <w:rPr>
                <w:rFonts w:ascii="TitilliumText25L" w:hAnsi="TitilliumText25L"/>
                <w:b/>
                <w:u w:val="single"/>
              </w:rPr>
              <w:t>Type of Procedure</w:t>
            </w:r>
          </w:p>
        </w:tc>
        <w:tc>
          <w:tcPr>
            <w:tcW w:w="2806" w:type="dxa"/>
            <w:shd w:val="clear" w:color="auto" w:fill="auto"/>
          </w:tcPr>
          <w:p w:rsidR="00BE3BE3" w:rsidRPr="003032D8" w:rsidRDefault="00BE3BE3" w:rsidP="00193EEB">
            <w:pPr>
              <w:spacing w:after="0" w:line="240" w:lineRule="auto"/>
              <w:rPr>
                <w:rFonts w:ascii="TitilliumText25L" w:hAnsi="TitilliumText25L"/>
                <w:b/>
                <w:u w:val="single"/>
              </w:rPr>
            </w:pPr>
            <w:proofErr w:type="spellStart"/>
            <w:r w:rsidRPr="003032D8">
              <w:rPr>
                <w:rFonts w:ascii="TitilliumText25L" w:hAnsi="TitilliumText25L"/>
                <w:b/>
                <w:u w:val="single"/>
              </w:rPr>
              <w:t>Autotransfused</w:t>
            </w:r>
            <w:proofErr w:type="spellEnd"/>
            <w:r w:rsidRPr="003032D8">
              <w:rPr>
                <w:rFonts w:ascii="TitilliumText25L" w:hAnsi="TitilliumText25L"/>
                <w:b/>
                <w:u w:val="single"/>
              </w:rPr>
              <w:t xml:space="preserve"> units per case on average</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r w:rsidRPr="003032D8">
              <w:rPr>
                <w:rFonts w:ascii="TitilliumText25L" w:hAnsi="TitilliumText25L"/>
                <w:b/>
              </w:rPr>
              <w:t>General Surgery</w:t>
            </w:r>
          </w:p>
        </w:tc>
        <w:tc>
          <w:tcPr>
            <w:tcW w:w="2879" w:type="dxa"/>
            <w:shd w:val="clear" w:color="auto" w:fill="auto"/>
          </w:tcPr>
          <w:p w:rsidR="00BE3BE3" w:rsidRPr="003032D8" w:rsidRDefault="00BE3BE3" w:rsidP="00193EEB">
            <w:pPr>
              <w:spacing w:after="0" w:line="240" w:lineRule="auto"/>
              <w:rPr>
                <w:rFonts w:ascii="TitilliumText25L" w:hAnsi="TitilliumText25L"/>
              </w:rPr>
            </w:pPr>
          </w:p>
        </w:tc>
        <w:tc>
          <w:tcPr>
            <w:tcW w:w="2806"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p>
        </w:tc>
        <w:tc>
          <w:tcPr>
            <w:tcW w:w="287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Laparotomy +Liver laceration</w:t>
            </w:r>
          </w:p>
        </w:tc>
        <w:tc>
          <w:tcPr>
            <w:tcW w:w="2806"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2</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r w:rsidRPr="003032D8">
              <w:rPr>
                <w:rFonts w:ascii="TitilliumText25L" w:hAnsi="TitilliumText25L"/>
                <w:b/>
              </w:rPr>
              <w:t>Gynaecology</w:t>
            </w:r>
          </w:p>
        </w:tc>
        <w:tc>
          <w:tcPr>
            <w:tcW w:w="2879" w:type="dxa"/>
            <w:shd w:val="clear" w:color="auto" w:fill="auto"/>
          </w:tcPr>
          <w:p w:rsidR="00BE3BE3" w:rsidRPr="003032D8" w:rsidRDefault="00BE3BE3" w:rsidP="00193EEB">
            <w:pPr>
              <w:spacing w:after="0" w:line="240" w:lineRule="auto"/>
              <w:rPr>
                <w:rFonts w:ascii="TitilliumText25L" w:hAnsi="TitilliumText25L"/>
              </w:rPr>
            </w:pPr>
          </w:p>
        </w:tc>
        <w:tc>
          <w:tcPr>
            <w:tcW w:w="2806"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p>
        </w:tc>
        <w:tc>
          <w:tcPr>
            <w:tcW w:w="287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Uterine Myomectomy</w:t>
            </w:r>
          </w:p>
        </w:tc>
        <w:tc>
          <w:tcPr>
            <w:tcW w:w="2806"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4</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p>
        </w:tc>
        <w:tc>
          <w:tcPr>
            <w:tcW w:w="287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Total abdominal hysterectomy (</w:t>
            </w:r>
            <w:proofErr w:type="spellStart"/>
            <w:r w:rsidRPr="003032D8">
              <w:rPr>
                <w:rFonts w:ascii="TitilliumText25L" w:hAnsi="TitilliumText25L"/>
              </w:rPr>
              <w:t>TAH</w:t>
            </w:r>
            <w:proofErr w:type="spellEnd"/>
            <w:r w:rsidRPr="003032D8">
              <w:rPr>
                <w:rFonts w:ascii="TitilliumText25L" w:hAnsi="TitilliumText25L"/>
              </w:rPr>
              <w:t>)</w:t>
            </w:r>
          </w:p>
        </w:tc>
        <w:tc>
          <w:tcPr>
            <w:tcW w:w="2806"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1</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r w:rsidRPr="003032D8">
              <w:rPr>
                <w:rFonts w:ascii="TitilliumText25L" w:hAnsi="TitilliumText25L"/>
                <w:b/>
              </w:rPr>
              <w:t>Obstetrics</w:t>
            </w:r>
          </w:p>
        </w:tc>
        <w:tc>
          <w:tcPr>
            <w:tcW w:w="2879" w:type="dxa"/>
            <w:shd w:val="clear" w:color="auto" w:fill="auto"/>
          </w:tcPr>
          <w:p w:rsidR="00BE3BE3" w:rsidRPr="003032D8" w:rsidRDefault="00BE3BE3" w:rsidP="00193EEB">
            <w:pPr>
              <w:spacing w:after="0" w:line="240" w:lineRule="auto"/>
              <w:rPr>
                <w:rFonts w:ascii="TitilliumText25L" w:hAnsi="TitilliumText25L"/>
              </w:rPr>
            </w:pPr>
          </w:p>
        </w:tc>
        <w:tc>
          <w:tcPr>
            <w:tcW w:w="2806"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p>
        </w:tc>
        <w:tc>
          <w:tcPr>
            <w:tcW w:w="287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Lower section caesarean section (</w:t>
            </w:r>
            <w:proofErr w:type="spellStart"/>
            <w:r w:rsidRPr="003032D8">
              <w:rPr>
                <w:rFonts w:ascii="TitilliumText25L" w:hAnsi="TitilliumText25L"/>
              </w:rPr>
              <w:t>LSCS</w:t>
            </w:r>
            <w:proofErr w:type="spellEnd"/>
            <w:r w:rsidRPr="003032D8">
              <w:rPr>
                <w:rFonts w:ascii="TitilliumText25L" w:hAnsi="TitilliumText25L"/>
              </w:rPr>
              <w:t xml:space="preserve">) for placenta </w:t>
            </w:r>
            <w:proofErr w:type="spellStart"/>
            <w:r w:rsidRPr="003032D8">
              <w:rPr>
                <w:rFonts w:ascii="TitilliumText25L" w:hAnsi="TitilliumText25L"/>
              </w:rPr>
              <w:t>percreta</w:t>
            </w:r>
            <w:proofErr w:type="spellEnd"/>
          </w:p>
        </w:tc>
        <w:tc>
          <w:tcPr>
            <w:tcW w:w="2806"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3</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p>
        </w:tc>
        <w:tc>
          <w:tcPr>
            <w:tcW w:w="2879" w:type="dxa"/>
            <w:shd w:val="clear" w:color="auto" w:fill="auto"/>
          </w:tcPr>
          <w:p w:rsidR="00BE3BE3" w:rsidRPr="003032D8" w:rsidRDefault="00BE3BE3" w:rsidP="00193EEB">
            <w:pPr>
              <w:spacing w:after="0" w:line="240" w:lineRule="auto"/>
              <w:rPr>
                <w:rFonts w:ascii="TitilliumText25L" w:hAnsi="TitilliumText25L"/>
              </w:rPr>
            </w:pPr>
            <w:proofErr w:type="spellStart"/>
            <w:r w:rsidRPr="003032D8">
              <w:rPr>
                <w:rFonts w:ascii="TitilliumText25L" w:hAnsi="TitilliumText25L"/>
              </w:rPr>
              <w:t>LSCS</w:t>
            </w:r>
            <w:proofErr w:type="spellEnd"/>
            <w:r w:rsidRPr="003032D8">
              <w:rPr>
                <w:rFonts w:ascii="TitilliumText25L" w:hAnsi="TitilliumText25L"/>
              </w:rPr>
              <w:t xml:space="preserve"> for Placenta </w:t>
            </w:r>
            <w:proofErr w:type="spellStart"/>
            <w:r w:rsidRPr="003032D8">
              <w:rPr>
                <w:rFonts w:ascii="TitilliumText25L" w:hAnsi="TitilliumText25L"/>
              </w:rPr>
              <w:t>accreta</w:t>
            </w:r>
            <w:proofErr w:type="spellEnd"/>
          </w:p>
        </w:tc>
        <w:tc>
          <w:tcPr>
            <w:tcW w:w="2806"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1</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r w:rsidRPr="003032D8">
              <w:rPr>
                <w:rFonts w:ascii="TitilliumText25L" w:hAnsi="TitilliumText25L"/>
                <w:b/>
              </w:rPr>
              <w:t>Orthopaedics</w:t>
            </w:r>
          </w:p>
        </w:tc>
        <w:tc>
          <w:tcPr>
            <w:tcW w:w="2879" w:type="dxa"/>
            <w:shd w:val="clear" w:color="auto" w:fill="auto"/>
          </w:tcPr>
          <w:p w:rsidR="00BE3BE3" w:rsidRPr="003032D8" w:rsidRDefault="00BE3BE3" w:rsidP="00193EEB">
            <w:pPr>
              <w:spacing w:after="0" w:line="240" w:lineRule="auto"/>
              <w:rPr>
                <w:rFonts w:ascii="TitilliumText25L" w:hAnsi="TitilliumText25L"/>
              </w:rPr>
            </w:pPr>
          </w:p>
        </w:tc>
        <w:tc>
          <w:tcPr>
            <w:tcW w:w="2806"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p>
        </w:tc>
        <w:tc>
          <w:tcPr>
            <w:tcW w:w="287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Multilevel (&gt;3 level) posterior fusion</w:t>
            </w:r>
          </w:p>
        </w:tc>
        <w:tc>
          <w:tcPr>
            <w:tcW w:w="2806"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1</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r w:rsidRPr="003032D8">
              <w:rPr>
                <w:rFonts w:ascii="TitilliumText25L" w:hAnsi="TitilliumText25L"/>
                <w:b/>
              </w:rPr>
              <w:t>Urology</w:t>
            </w:r>
          </w:p>
        </w:tc>
        <w:tc>
          <w:tcPr>
            <w:tcW w:w="2879" w:type="dxa"/>
            <w:shd w:val="clear" w:color="auto" w:fill="auto"/>
          </w:tcPr>
          <w:p w:rsidR="00BE3BE3" w:rsidRPr="003032D8" w:rsidRDefault="00BE3BE3" w:rsidP="00193EEB">
            <w:pPr>
              <w:spacing w:after="0" w:line="240" w:lineRule="auto"/>
              <w:rPr>
                <w:rFonts w:ascii="TitilliumText25L" w:hAnsi="TitilliumText25L"/>
              </w:rPr>
            </w:pPr>
          </w:p>
        </w:tc>
        <w:tc>
          <w:tcPr>
            <w:tcW w:w="2806"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p>
        </w:tc>
        <w:tc>
          <w:tcPr>
            <w:tcW w:w="287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Radical Prostatectomy</w:t>
            </w:r>
          </w:p>
        </w:tc>
        <w:tc>
          <w:tcPr>
            <w:tcW w:w="2806" w:type="dxa"/>
            <w:shd w:val="clear" w:color="auto" w:fill="auto"/>
          </w:tcPr>
          <w:p w:rsidR="00BE3BE3" w:rsidRPr="003032D8" w:rsidRDefault="009C335B" w:rsidP="00193EEB">
            <w:pPr>
              <w:spacing w:after="0" w:line="240" w:lineRule="auto"/>
              <w:rPr>
                <w:rFonts w:ascii="TitilliumText25L" w:hAnsi="TitilliumText25L"/>
              </w:rPr>
            </w:pPr>
            <w:r w:rsidRPr="003032D8">
              <w:rPr>
                <w:rFonts w:ascii="TitilliumText25L" w:hAnsi="TitilliumText25L"/>
              </w:rPr>
              <w:t>1.85</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b/>
              </w:rPr>
            </w:pPr>
            <w:r w:rsidRPr="003032D8">
              <w:rPr>
                <w:rFonts w:ascii="TitilliumText25L" w:hAnsi="TitilliumText25L"/>
                <w:b/>
              </w:rPr>
              <w:t>Vascular</w:t>
            </w:r>
          </w:p>
        </w:tc>
        <w:tc>
          <w:tcPr>
            <w:tcW w:w="2879" w:type="dxa"/>
            <w:shd w:val="clear" w:color="auto" w:fill="auto"/>
          </w:tcPr>
          <w:p w:rsidR="00BE3BE3" w:rsidRPr="003032D8" w:rsidRDefault="00BE3BE3" w:rsidP="00193EEB">
            <w:pPr>
              <w:spacing w:after="0" w:line="240" w:lineRule="auto"/>
              <w:rPr>
                <w:rFonts w:ascii="TitilliumText25L" w:hAnsi="TitilliumText25L"/>
              </w:rPr>
            </w:pPr>
          </w:p>
        </w:tc>
        <w:tc>
          <w:tcPr>
            <w:tcW w:w="2806"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rPr>
            </w:pPr>
          </w:p>
        </w:tc>
        <w:tc>
          <w:tcPr>
            <w:tcW w:w="287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Abdominal aortic aneurism repair (</w:t>
            </w:r>
            <w:proofErr w:type="spellStart"/>
            <w:r w:rsidRPr="003032D8">
              <w:rPr>
                <w:rFonts w:ascii="TitilliumText25L" w:hAnsi="TitilliumText25L"/>
              </w:rPr>
              <w:t>AAA</w:t>
            </w:r>
            <w:proofErr w:type="spellEnd"/>
            <w:r w:rsidRPr="003032D8">
              <w:rPr>
                <w:rFonts w:ascii="TitilliumText25L" w:hAnsi="TitilliumText25L"/>
              </w:rPr>
              <w:t>) elective</w:t>
            </w:r>
          </w:p>
        </w:tc>
        <w:tc>
          <w:tcPr>
            <w:tcW w:w="2806" w:type="dxa"/>
            <w:shd w:val="clear" w:color="auto" w:fill="auto"/>
          </w:tcPr>
          <w:p w:rsidR="00BE3BE3" w:rsidRPr="003032D8" w:rsidRDefault="002615E9" w:rsidP="00193EEB">
            <w:pPr>
              <w:spacing w:after="0" w:line="240" w:lineRule="auto"/>
              <w:rPr>
                <w:rFonts w:ascii="TitilliumText25L" w:hAnsi="TitilliumText25L"/>
              </w:rPr>
            </w:pPr>
            <w:r w:rsidRPr="003032D8">
              <w:rPr>
                <w:rFonts w:ascii="TitilliumText25L" w:hAnsi="TitilliumText25L"/>
              </w:rPr>
              <w:t>1.79</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rPr>
            </w:pPr>
          </w:p>
        </w:tc>
        <w:tc>
          <w:tcPr>
            <w:tcW w:w="2879" w:type="dxa"/>
            <w:shd w:val="clear" w:color="auto" w:fill="auto"/>
          </w:tcPr>
          <w:p w:rsidR="00BE3BE3" w:rsidRPr="003032D8" w:rsidRDefault="00BE3BE3" w:rsidP="00193EEB">
            <w:pPr>
              <w:spacing w:after="0" w:line="240" w:lineRule="auto"/>
              <w:rPr>
                <w:rFonts w:ascii="TitilliumText25L" w:hAnsi="TitilliumText25L"/>
              </w:rPr>
            </w:pPr>
            <w:proofErr w:type="spellStart"/>
            <w:r w:rsidRPr="003032D8">
              <w:rPr>
                <w:rFonts w:ascii="TitilliumText25L" w:hAnsi="TitilliumText25L"/>
              </w:rPr>
              <w:t>AAA</w:t>
            </w:r>
            <w:proofErr w:type="spellEnd"/>
            <w:r w:rsidRPr="003032D8">
              <w:rPr>
                <w:rFonts w:ascii="TitilliumText25L" w:hAnsi="TitilliumText25L"/>
              </w:rPr>
              <w:t xml:space="preserve"> ruptured</w:t>
            </w:r>
          </w:p>
        </w:tc>
        <w:tc>
          <w:tcPr>
            <w:tcW w:w="2806"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2</w:t>
            </w:r>
          </w:p>
        </w:tc>
      </w:tr>
      <w:tr w:rsidR="00BE3BE3" w:rsidRPr="003032D8" w:rsidTr="00193EEB">
        <w:tc>
          <w:tcPr>
            <w:tcW w:w="2843" w:type="dxa"/>
            <w:shd w:val="clear" w:color="auto" w:fill="auto"/>
          </w:tcPr>
          <w:p w:rsidR="00BE3BE3" w:rsidRPr="003032D8" w:rsidRDefault="00BE3BE3" w:rsidP="00193EEB">
            <w:pPr>
              <w:spacing w:after="0" w:line="240" w:lineRule="auto"/>
              <w:rPr>
                <w:rFonts w:ascii="TitilliumText25L" w:hAnsi="TitilliumText25L"/>
              </w:rPr>
            </w:pPr>
          </w:p>
        </w:tc>
        <w:tc>
          <w:tcPr>
            <w:tcW w:w="287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Re-implantation of renal artery</w:t>
            </w:r>
          </w:p>
        </w:tc>
        <w:tc>
          <w:tcPr>
            <w:tcW w:w="2806"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4</w:t>
            </w:r>
          </w:p>
        </w:tc>
      </w:tr>
    </w:tbl>
    <w:p w:rsidR="00BE3BE3" w:rsidRPr="003032D8" w:rsidRDefault="00BE3BE3" w:rsidP="00BE3BE3">
      <w:pPr>
        <w:rPr>
          <w:rFonts w:ascii="TitilliumText25L" w:hAnsi="TitilliumText25L"/>
        </w:rPr>
      </w:pPr>
      <w:r w:rsidRPr="003032D8">
        <w:rPr>
          <w:rFonts w:ascii="TitilliumText25L" w:hAnsi="TitilliumText25L"/>
        </w:rPr>
        <w:br w:type="page"/>
      </w:r>
    </w:p>
    <w:p w:rsidR="00BE3BE3" w:rsidRPr="003032D8" w:rsidRDefault="00BE3BE3" w:rsidP="00BE3BE3">
      <w:pPr>
        <w:pStyle w:val="ListParagraph"/>
        <w:numPr>
          <w:ilvl w:val="0"/>
          <w:numId w:val="7"/>
        </w:numPr>
        <w:ind w:right="-613"/>
        <w:rPr>
          <w:rFonts w:ascii="TitilliumText25L" w:hAnsi="TitilliumText25L"/>
        </w:rPr>
      </w:pPr>
      <w:r w:rsidRPr="003032D8">
        <w:rPr>
          <w:rFonts w:ascii="TitilliumText25L" w:hAnsi="TitilliumText25L"/>
        </w:rPr>
        <w:t>Procedures with lower but still significant, potential benefit from prospective observational study – RBWH: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851"/>
        <w:gridCol w:w="2829"/>
      </w:tblGrid>
      <w:tr w:rsidR="00BE3BE3" w:rsidRPr="003032D8" w:rsidTr="00193EEB">
        <w:tc>
          <w:tcPr>
            <w:tcW w:w="2848" w:type="dxa"/>
            <w:shd w:val="clear" w:color="auto" w:fill="auto"/>
          </w:tcPr>
          <w:p w:rsidR="00BE3BE3" w:rsidRPr="003032D8" w:rsidRDefault="00BE3BE3" w:rsidP="00193EEB">
            <w:pPr>
              <w:spacing w:after="0" w:line="240" w:lineRule="auto"/>
              <w:rPr>
                <w:rFonts w:ascii="TitilliumText25L" w:hAnsi="TitilliumText25L"/>
                <w:b/>
                <w:u w:val="single"/>
              </w:rPr>
            </w:pPr>
            <w:r w:rsidRPr="003032D8">
              <w:rPr>
                <w:rFonts w:ascii="TitilliumText25L" w:hAnsi="TitilliumText25L"/>
                <w:b/>
                <w:u w:val="single"/>
              </w:rPr>
              <w:t>Surgical speciality</w:t>
            </w:r>
          </w:p>
        </w:tc>
        <w:tc>
          <w:tcPr>
            <w:tcW w:w="2851" w:type="dxa"/>
            <w:shd w:val="clear" w:color="auto" w:fill="auto"/>
          </w:tcPr>
          <w:p w:rsidR="00BE3BE3" w:rsidRPr="003032D8" w:rsidRDefault="00BE3BE3" w:rsidP="00193EEB">
            <w:pPr>
              <w:spacing w:after="0" w:line="240" w:lineRule="auto"/>
              <w:rPr>
                <w:rFonts w:ascii="TitilliumText25L" w:hAnsi="TitilliumText25L"/>
                <w:b/>
                <w:u w:val="single"/>
              </w:rPr>
            </w:pPr>
            <w:r w:rsidRPr="003032D8">
              <w:rPr>
                <w:rFonts w:ascii="TitilliumText25L" w:hAnsi="TitilliumText25L"/>
                <w:b/>
                <w:u w:val="single"/>
              </w:rPr>
              <w:t>Type of Procedure</w:t>
            </w:r>
          </w:p>
        </w:tc>
        <w:tc>
          <w:tcPr>
            <w:tcW w:w="2829" w:type="dxa"/>
            <w:shd w:val="clear" w:color="auto" w:fill="auto"/>
          </w:tcPr>
          <w:p w:rsidR="00BE3BE3" w:rsidRPr="003032D8" w:rsidRDefault="00BE3BE3" w:rsidP="00193EEB">
            <w:pPr>
              <w:spacing w:after="0" w:line="240" w:lineRule="auto"/>
              <w:rPr>
                <w:rFonts w:ascii="TitilliumText25L" w:hAnsi="TitilliumText25L"/>
                <w:b/>
                <w:u w:val="single"/>
              </w:rPr>
            </w:pPr>
            <w:proofErr w:type="spellStart"/>
            <w:r w:rsidRPr="003032D8">
              <w:rPr>
                <w:rFonts w:ascii="TitilliumText25L" w:hAnsi="TitilliumText25L"/>
                <w:b/>
                <w:u w:val="single"/>
              </w:rPr>
              <w:t>Autotransfused</w:t>
            </w:r>
            <w:proofErr w:type="spellEnd"/>
            <w:r w:rsidRPr="003032D8">
              <w:rPr>
                <w:rFonts w:ascii="TitilliumText25L" w:hAnsi="TitilliumText25L"/>
                <w:b/>
                <w:u w:val="single"/>
              </w:rPr>
              <w:t xml:space="preserve"> units per case on average</w:t>
            </w:r>
          </w:p>
        </w:tc>
      </w:tr>
      <w:tr w:rsidR="00BE3BE3" w:rsidRPr="003032D8" w:rsidTr="00193EEB">
        <w:tc>
          <w:tcPr>
            <w:tcW w:w="2848"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Orthopaedic</w:t>
            </w:r>
          </w:p>
        </w:tc>
        <w:tc>
          <w:tcPr>
            <w:tcW w:w="2851" w:type="dxa"/>
            <w:shd w:val="clear" w:color="auto" w:fill="auto"/>
          </w:tcPr>
          <w:p w:rsidR="00BE3BE3" w:rsidRPr="003032D8" w:rsidRDefault="00BE3BE3" w:rsidP="00193EEB">
            <w:pPr>
              <w:spacing w:after="0" w:line="240" w:lineRule="auto"/>
              <w:rPr>
                <w:rFonts w:ascii="TitilliumText25L" w:hAnsi="TitilliumText25L"/>
              </w:rPr>
            </w:pPr>
          </w:p>
        </w:tc>
        <w:tc>
          <w:tcPr>
            <w:tcW w:w="2829"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848" w:type="dxa"/>
            <w:shd w:val="clear" w:color="auto" w:fill="auto"/>
          </w:tcPr>
          <w:p w:rsidR="00BE3BE3" w:rsidRPr="003032D8" w:rsidRDefault="00BE3BE3" w:rsidP="00193EEB">
            <w:pPr>
              <w:spacing w:after="0" w:line="240" w:lineRule="auto"/>
              <w:rPr>
                <w:rFonts w:ascii="TitilliumText25L" w:hAnsi="TitilliumText25L"/>
              </w:rPr>
            </w:pPr>
          </w:p>
        </w:tc>
        <w:tc>
          <w:tcPr>
            <w:tcW w:w="2851"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Total Hip replacement</w:t>
            </w:r>
          </w:p>
        </w:tc>
        <w:tc>
          <w:tcPr>
            <w:tcW w:w="282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0.33</w:t>
            </w:r>
          </w:p>
        </w:tc>
      </w:tr>
      <w:tr w:rsidR="00BE3BE3" w:rsidRPr="003032D8" w:rsidTr="00193EEB">
        <w:tc>
          <w:tcPr>
            <w:tcW w:w="2848" w:type="dxa"/>
            <w:shd w:val="clear" w:color="auto" w:fill="auto"/>
          </w:tcPr>
          <w:p w:rsidR="00BE3BE3" w:rsidRPr="003032D8" w:rsidRDefault="00BE3BE3" w:rsidP="00193EEB">
            <w:pPr>
              <w:spacing w:after="0" w:line="240" w:lineRule="auto"/>
              <w:rPr>
                <w:rFonts w:ascii="TitilliumText25L" w:hAnsi="TitilliumText25L"/>
              </w:rPr>
            </w:pPr>
          </w:p>
        </w:tc>
        <w:tc>
          <w:tcPr>
            <w:tcW w:w="2851"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Total knee replacement</w:t>
            </w:r>
          </w:p>
        </w:tc>
        <w:tc>
          <w:tcPr>
            <w:tcW w:w="282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0.25</w:t>
            </w:r>
          </w:p>
        </w:tc>
      </w:tr>
      <w:tr w:rsidR="00BE3BE3" w:rsidRPr="003032D8" w:rsidTr="00193EEB">
        <w:tc>
          <w:tcPr>
            <w:tcW w:w="2848"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Vascular </w:t>
            </w:r>
          </w:p>
        </w:tc>
        <w:tc>
          <w:tcPr>
            <w:tcW w:w="2851" w:type="dxa"/>
            <w:shd w:val="clear" w:color="auto" w:fill="auto"/>
          </w:tcPr>
          <w:p w:rsidR="00BE3BE3" w:rsidRPr="003032D8" w:rsidRDefault="00BE3BE3" w:rsidP="00193EEB">
            <w:pPr>
              <w:spacing w:after="0" w:line="240" w:lineRule="auto"/>
              <w:rPr>
                <w:rFonts w:ascii="TitilliumText25L" w:hAnsi="TitilliumText25L"/>
              </w:rPr>
            </w:pPr>
          </w:p>
        </w:tc>
        <w:tc>
          <w:tcPr>
            <w:tcW w:w="2829"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848" w:type="dxa"/>
            <w:shd w:val="clear" w:color="auto" w:fill="auto"/>
          </w:tcPr>
          <w:p w:rsidR="00BE3BE3" w:rsidRPr="003032D8" w:rsidRDefault="00BE3BE3" w:rsidP="00193EEB">
            <w:pPr>
              <w:spacing w:after="0" w:line="240" w:lineRule="auto"/>
              <w:rPr>
                <w:rFonts w:ascii="TitilliumText25L" w:hAnsi="TitilliumText25L"/>
              </w:rPr>
            </w:pPr>
          </w:p>
        </w:tc>
        <w:tc>
          <w:tcPr>
            <w:tcW w:w="2851" w:type="dxa"/>
            <w:shd w:val="clear" w:color="auto" w:fill="auto"/>
          </w:tcPr>
          <w:p w:rsidR="00BE3BE3" w:rsidRPr="003032D8" w:rsidRDefault="00BE3BE3" w:rsidP="00193EEB">
            <w:pPr>
              <w:spacing w:after="0" w:line="240" w:lineRule="auto"/>
              <w:rPr>
                <w:rFonts w:ascii="TitilliumText25L" w:hAnsi="TitilliumText25L"/>
              </w:rPr>
            </w:pPr>
            <w:proofErr w:type="spellStart"/>
            <w:r w:rsidRPr="003032D8">
              <w:rPr>
                <w:rFonts w:ascii="TitilliumText25L" w:hAnsi="TitilliumText25L"/>
              </w:rPr>
              <w:t>Aorto-bifemoral</w:t>
            </w:r>
            <w:proofErr w:type="spellEnd"/>
          </w:p>
        </w:tc>
        <w:tc>
          <w:tcPr>
            <w:tcW w:w="2829"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0.56</w:t>
            </w:r>
          </w:p>
        </w:tc>
      </w:tr>
    </w:tbl>
    <w:p w:rsidR="00BE3BE3" w:rsidRPr="003032D8" w:rsidRDefault="00BE3BE3" w:rsidP="00BE3BE3">
      <w:pPr>
        <w:rPr>
          <w:rFonts w:ascii="TitilliumText25L" w:hAnsi="TitilliumText25L"/>
        </w:rPr>
      </w:pPr>
    </w:p>
    <w:p w:rsidR="00BE3BE3" w:rsidRPr="003032D8" w:rsidRDefault="00BE3BE3" w:rsidP="00BE3BE3">
      <w:pPr>
        <w:pStyle w:val="ListParagraph"/>
        <w:numPr>
          <w:ilvl w:val="0"/>
          <w:numId w:val="7"/>
        </w:numPr>
        <w:rPr>
          <w:rFonts w:ascii="TitilliumText25L" w:hAnsi="TitilliumText25L"/>
        </w:rPr>
      </w:pPr>
      <w:r w:rsidRPr="003032D8">
        <w:rPr>
          <w:rFonts w:ascii="TitilliumText25L" w:hAnsi="TitilliumText25L"/>
        </w:rPr>
        <w:t>Procedures that showed less cost-benefit  from prospective observational – RBWH:</w:t>
      </w:r>
    </w:p>
    <w:p w:rsidR="00BE3BE3" w:rsidRPr="003032D8" w:rsidRDefault="00BE3BE3" w:rsidP="00BE3BE3">
      <w:pPr>
        <w:ind w:left="360"/>
        <w:rPr>
          <w:rFonts w:ascii="TitilliumText25L" w:hAnsi="TitilliumText25L"/>
        </w:rPr>
      </w:pPr>
      <w:r w:rsidRPr="003032D8">
        <w:rPr>
          <w:rFonts w:ascii="TitilliumText25L" w:hAnsi="TitilliumText25L"/>
        </w:rPr>
        <w:t>Generally significant blood loss could be expected from these procedures, however in the RBWH study it was found that these procedures did not present significant ICS cost- benefit.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50"/>
      </w:tblGrid>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b/>
                <w:bCs/>
              </w:rPr>
            </w:pPr>
            <w:r w:rsidRPr="003032D8">
              <w:rPr>
                <w:rFonts w:ascii="TitilliumText25L" w:hAnsi="TitilliumText25L"/>
                <w:b/>
                <w:bCs/>
              </w:rPr>
              <w:t>Sub-speciality</w:t>
            </w:r>
          </w:p>
        </w:tc>
        <w:tc>
          <w:tcPr>
            <w:tcW w:w="6350" w:type="dxa"/>
            <w:shd w:val="clear" w:color="auto" w:fill="auto"/>
            <w:noWrap/>
          </w:tcPr>
          <w:p w:rsidR="00BE3BE3" w:rsidRPr="003032D8" w:rsidRDefault="00BE3BE3" w:rsidP="00193EEB">
            <w:pPr>
              <w:spacing w:after="0" w:line="240" w:lineRule="auto"/>
              <w:rPr>
                <w:rFonts w:ascii="TitilliumText25L" w:hAnsi="TitilliumText25L"/>
                <w:b/>
                <w:bCs/>
              </w:rPr>
            </w:pPr>
            <w:r w:rsidRPr="003032D8">
              <w:rPr>
                <w:rFonts w:ascii="TitilliumText25L" w:hAnsi="TitilliumText25L"/>
                <w:b/>
                <w:bCs/>
              </w:rPr>
              <w:t>Procedure type</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b/>
                <w:bCs/>
              </w:rPr>
            </w:pPr>
            <w:r w:rsidRPr="003032D8">
              <w:rPr>
                <w:rFonts w:ascii="TitilliumText25L" w:hAnsi="TitilliumText25L"/>
                <w:b/>
                <w:bCs/>
              </w:rPr>
              <w:t>General Surgery</w:t>
            </w: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Trauma laparotomy Exploration</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r w:rsidRPr="003032D8">
              <w:rPr>
                <w:rFonts w:ascii="Courier New" w:hAnsi="Courier New" w:cs="Courier New"/>
              </w:rPr>
              <w:t> </w:t>
            </w: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Splenectomy*</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b/>
                <w:bCs/>
              </w:rPr>
            </w:pPr>
            <w:r w:rsidRPr="003032D8">
              <w:rPr>
                <w:rFonts w:ascii="TitilliumText25L" w:hAnsi="TitilliumText25L"/>
                <w:b/>
                <w:bCs/>
              </w:rPr>
              <w:t>Gynaecology</w:t>
            </w: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 xml:space="preserve">Total abdominal hysterectomy and bilateral </w:t>
            </w:r>
            <w:proofErr w:type="spellStart"/>
            <w:r w:rsidRPr="003032D8">
              <w:rPr>
                <w:rFonts w:ascii="TitilliumText25L" w:hAnsi="TitilliumText25L"/>
              </w:rPr>
              <w:t>salpingo</w:t>
            </w:r>
            <w:proofErr w:type="spellEnd"/>
            <w:r w:rsidRPr="003032D8">
              <w:rPr>
                <w:rFonts w:ascii="TitilliumText25L" w:hAnsi="TitilliumText25L"/>
              </w:rPr>
              <w:t xml:space="preserve">-oophorectomy and </w:t>
            </w:r>
            <w:proofErr w:type="spellStart"/>
            <w:r w:rsidRPr="003032D8">
              <w:rPr>
                <w:rFonts w:ascii="TitilliumText25L" w:hAnsi="TitilliumText25L"/>
              </w:rPr>
              <w:t>tumor</w:t>
            </w:r>
            <w:proofErr w:type="spellEnd"/>
            <w:r w:rsidRPr="003032D8">
              <w:rPr>
                <w:rFonts w:ascii="TitilliumText25L" w:hAnsi="TitilliumText25L"/>
              </w:rPr>
              <w:t xml:space="preserve"> </w:t>
            </w:r>
            <w:proofErr w:type="spellStart"/>
            <w:r w:rsidRPr="003032D8">
              <w:rPr>
                <w:rFonts w:ascii="TitilliumText25L" w:hAnsi="TitilliumText25L"/>
              </w:rPr>
              <w:t>debulking</w:t>
            </w:r>
            <w:proofErr w:type="spellEnd"/>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b/>
                <w:bCs/>
              </w:rPr>
            </w:pPr>
            <w:r w:rsidRPr="003032D8">
              <w:rPr>
                <w:rFonts w:ascii="TitilliumText25L" w:hAnsi="TitilliumText25L"/>
                <w:b/>
                <w:bCs/>
              </w:rPr>
              <w:t>Neurosurgery</w:t>
            </w: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Craniotomy</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r w:rsidRPr="003032D8">
              <w:rPr>
                <w:rFonts w:ascii="Courier New" w:hAnsi="Courier New" w:cs="Courier New"/>
              </w:rPr>
              <w:t> </w:t>
            </w: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Craniotomy for pineal Tumour</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b/>
                <w:bCs/>
              </w:rPr>
            </w:pPr>
            <w:r w:rsidRPr="003032D8">
              <w:rPr>
                <w:rFonts w:ascii="TitilliumText25L" w:hAnsi="TitilliumText25L"/>
                <w:b/>
                <w:bCs/>
              </w:rPr>
              <w:t>Obstetric surgery</w:t>
            </w: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Uncomplicated Caesarean section</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 xml:space="preserve">Caesarean section for placenta </w:t>
            </w:r>
            <w:proofErr w:type="spellStart"/>
            <w:r w:rsidRPr="003032D8">
              <w:rPr>
                <w:rFonts w:ascii="TitilliumText25L" w:hAnsi="TitilliumText25L"/>
              </w:rPr>
              <w:t>previa</w:t>
            </w:r>
            <w:proofErr w:type="spellEnd"/>
            <w:r w:rsidRPr="003032D8">
              <w:rPr>
                <w:rFonts w:ascii="TitilliumText25L" w:hAnsi="TitilliumText25L"/>
              </w:rPr>
              <w:t xml:space="preserve"> grade 2,3 or 4</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r w:rsidRPr="003032D8">
              <w:rPr>
                <w:rFonts w:ascii="Courier New" w:hAnsi="Courier New" w:cs="Courier New"/>
              </w:rPr>
              <w:t> </w:t>
            </w: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 xml:space="preserve">Caesarean section for </w:t>
            </w:r>
            <w:proofErr w:type="spellStart"/>
            <w:r w:rsidRPr="003032D8">
              <w:rPr>
                <w:rFonts w:ascii="TitilliumText25L" w:hAnsi="TitilliumText25L"/>
              </w:rPr>
              <w:t>HELLP</w:t>
            </w:r>
            <w:proofErr w:type="spellEnd"/>
            <w:r w:rsidRPr="003032D8">
              <w:rPr>
                <w:rFonts w:ascii="TitilliumText25L" w:hAnsi="TitilliumText25L"/>
              </w:rPr>
              <w:t xml:space="preserve"> syndrome</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b/>
                <w:bCs/>
              </w:rPr>
            </w:pPr>
            <w:r w:rsidRPr="003032D8">
              <w:rPr>
                <w:rFonts w:ascii="TitilliumText25L" w:hAnsi="TitilliumText25L"/>
                <w:b/>
                <w:bCs/>
              </w:rPr>
              <w:t>Orthopaedic surgery</w:t>
            </w: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Multi-trauma: acetabulum, rib and clavicle fractures</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1 to 2 level anterior spinal fusion</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1 level spinal disc revision</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 xml:space="preserve">1 or 2 level </w:t>
            </w:r>
            <w:proofErr w:type="spellStart"/>
            <w:r w:rsidRPr="003032D8">
              <w:rPr>
                <w:rFonts w:ascii="TitilliumText25L" w:hAnsi="TitilliumText25L"/>
              </w:rPr>
              <w:t>Interbody</w:t>
            </w:r>
            <w:proofErr w:type="spellEnd"/>
            <w:r w:rsidRPr="003032D8">
              <w:rPr>
                <w:rFonts w:ascii="TitilliumText25L" w:hAnsi="TitilliumText25L"/>
              </w:rPr>
              <w:t xml:space="preserve"> fusion</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1 to 3 level laminectomy</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1 to 3 level lateral fusion</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rPr>
            </w:pP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Open reduction internal fixation Acetabulum fracture</w:t>
            </w:r>
          </w:p>
        </w:tc>
      </w:tr>
      <w:tr w:rsidR="00BE3BE3" w:rsidRPr="003032D8" w:rsidTr="00193EEB">
        <w:trPr>
          <w:trHeight w:val="300"/>
        </w:trPr>
        <w:tc>
          <w:tcPr>
            <w:tcW w:w="2122" w:type="dxa"/>
            <w:shd w:val="clear" w:color="auto" w:fill="auto"/>
            <w:noWrap/>
          </w:tcPr>
          <w:p w:rsidR="00BE3BE3" w:rsidRPr="003032D8" w:rsidRDefault="00BE3BE3" w:rsidP="00193EEB">
            <w:pPr>
              <w:spacing w:after="0" w:line="240" w:lineRule="auto"/>
              <w:rPr>
                <w:rFonts w:ascii="TitilliumText25L" w:hAnsi="TitilliumText25L"/>
                <w:b/>
                <w:bCs/>
              </w:rPr>
            </w:pPr>
            <w:r w:rsidRPr="003032D8">
              <w:rPr>
                <w:rFonts w:ascii="TitilliumText25L" w:hAnsi="TitilliumText25L"/>
                <w:b/>
                <w:bCs/>
              </w:rPr>
              <w:t>Urology</w:t>
            </w:r>
          </w:p>
        </w:tc>
        <w:tc>
          <w:tcPr>
            <w:tcW w:w="6350" w:type="dxa"/>
            <w:shd w:val="clear" w:color="auto" w:fill="auto"/>
            <w:noWrap/>
          </w:tcPr>
          <w:p w:rsidR="00BE3BE3" w:rsidRPr="003032D8" w:rsidRDefault="00BE3BE3" w:rsidP="00193EEB">
            <w:pPr>
              <w:pStyle w:val="ListParagraph"/>
              <w:numPr>
                <w:ilvl w:val="0"/>
                <w:numId w:val="10"/>
              </w:numPr>
              <w:spacing w:after="0" w:line="240" w:lineRule="auto"/>
              <w:rPr>
                <w:rFonts w:ascii="TitilliumText25L" w:hAnsi="TitilliumText25L"/>
              </w:rPr>
            </w:pPr>
            <w:r w:rsidRPr="003032D8">
              <w:rPr>
                <w:rFonts w:ascii="TitilliumText25L" w:hAnsi="TitilliumText25L"/>
              </w:rPr>
              <w:t>Nephrectomy</w:t>
            </w:r>
          </w:p>
        </w:tc>
      </w:tr>
    </w:tbl>
    <w:p w:rsidR="00BE3BE3" w:rsidRPr="003032D8" w:rsidRDefault="00BE3BE3" w:rsidP="00BE3BE3">
      <w:pPr>
        <w:spacing w:after="0"/>
        <w:rPr>
          <w:rFonts w:ascii="TitilliumText25L" w:hAnsi="TitilliumText25L"/>
          <w:sz w:val="18"/>
          <w:szCs w:val="18"/>
        </w:rPr>
      </w:pPr>
    </w:p>
    <w:p w:rsidR="00BE3BE3" w:rsidRPr="003032D8" w:rsidRDefault="00BE3BE3" w:rsidP="00BE3BE3">
      <w:pPr>
        <w:ind w:left="142" w:hanging="142"/>
        <w:rPr>
          <w:rFonts w:ascii="TitilliumText25L" w:hAnsi="TitilliumText25L"/>
          <w:sz w:val="18"/>
          <w:szCs w:val="18"/>
        </w:rPr>
      </w:pPr>
      <w:r w:rsidRPr="003032D8">
        <w:rPr>
          <w:rFonts w:ascii="TitilliumText25L" w:hAnsi="TitilliumText25L"/>
          <w:sz w:val="18"/>
          <w:szCs w:val="18"/>
        </w:rPr>
        <w:t>*  Set up ICS device and wash salvaged blood when there is blood loss of greater than 20% of estimated blood volume.</w:t>
      </w:r>
    </w:p>
    <w:p w:rsidR="00BE3BE3" w:rsidRPr="003032D8" w:rsidRDefault="00BE3BE3" w:rsidP="00BE3BE3">
      <w:pPr>
        <w:rPr>
          <w:rFonts w:ascii="TitilliumText25L" w:hAnsi="TitilliumText25L" w:cs="Arial"/>
          <w:sz w:val="36"/>
          <w:szCs w:val="36"/>
        </w:rPr>
      </w:pPr>
      <w:bookmarkStart w:id="29" w:name="_Appendix_III"/>
      <w:bookmarkEnd w:id="29"/>
    </w:p>
    <w:p w:rsidR="00BE3BE3" w:rsidRPr="003032D8" w:rsidRDefault="00BE3BE3" w:rsidP="00BE3BE3">
      <w:pPr>
        <w:pStyle w:val="Heading2"/>
        <w:rPr>
          <w:rFonts w:ascii="TitilliumText25L" w:hAnsi="TitilliumText25L"/>
        </w:rPr>
        <w:sectPr w:rsidR="00BE3BE3" w:rsidRPr="003032D8" w:rsidSect="00085E9D">
          <w:pgSz w:w="11906" w:h="16838" w:code="9"/>
          <w:pgMar w:top="851" w:right="1797" w:bottom="1135" w:left="1797" w:header="720" w:footer="329" w:gutter="0"/>
          <w:pgNumType w:start="1"/>
          <w:cols w:space="720"/>
          <w:docGrid w:linePitch="299"/>
        </w:sectPr>
      </w:pPr>
    </w:p>
    <w:p w:rsidR="00BE3BE3" w:rsidRPr="003032D8" w:rsidRDefault="00BE3BE3" w:rsidP="00BE3BE3">
      <w:pPr>
        <w:pStyle w:val="Heading2"/>
        <w:rPr>
          <w:rFonts w:ascii="TitilliumText25L" w:hAnsi="TitilliumText25L"/>
        </w:rPr>
      </w:pPr>
      <w:bookmarkStart w:id="30" w:name="_Appendix_III_1"/>
      <w:bookmarkStart w:id="31" w:name="_Toc366850078"/>
      <w:bookmarkEnd w:id="30"/>
      <w:r w:rsidRPr="003032D8">
        <w:rPr>
          <w:rFonts w:ascii="TitilliumText25L" w:hAnsi="TitilliumText25L"/>
        </w:rPr>
        <w:lastRenderedPageBreak/>
        <w:t>Appendix III</w:t>
      </w:r>
      <w:bookmarkEnd w:id="31"/>
    </w:p>
    <w:p w:rsidR="00BE3BE3" w:rsidRPr="003032D8" w:rsidRDefault="00BE3BE3" w:rsidP="00BE3BE3">
      <w:pPr>
        <w:pStyle w:val="Heading3"/>
        <w:rPr>
          <w:rFonts w:ascii="TitilliumText25L" w:hAnsi="TitilliumText25L"/>
        </w:rPr>
      </w:pPr>
      <w:bookmarkStart w:id="32" w:name="_Toc351386711"/>
      <w:bookmarkStart w:id="33" w:name="_Toc366850079"/>
      <w:r w:rsidRPr="003032D8">
        <w:rPr>
          <w:rFonts w:ascii="TitilliumText25L" w:hAnsi="TitilliumText25L"/>
        </w:rPr>
        <w:t>Audit Proforma</w:t>
      </w:r>
      <w:bookmarkEnd w:id="32"/>
      <w:bookmarkEnd w:id="33"/>
    </w:p>
    <w:p w:rsidR="00BE3BE3" w:rsidRPr="003032D8" w:rsidRDefault="00BE3BE3" w:rsidP="00BE3BE3">
      <w:pPr>
        <w:jc w:val="center"/>
        <w:rPr>
          <w:rFonts w:ascii="TitilliumText25L" w:hAnsi="TitilliumText25L" w:cs="Arial"/>
          <w:b/>
          <w:sz w:val="28"/>
          <w:szCs w:val="28"/>
        </w:rPr>
      </w:pPr>
    </w:p>
    <w:p w:rsidR="00BE3BE3" w:rsidRPr="003032D8" w:rsidRDefault="00BE3BE3" w:rsidP="00BE3BE3">
      <w:pPr>
        <w:pStyle w:val="BodyText"/>
        <w:ind w:left="357"/>
        <w:jc w:val="both"/>
        <w:rPr>
          <w:rFonts w:ascii="TitilliumText25L" w:hAnsi="TitilliumText25L" w:cs="Arial"/>
          <w:sz w:val="22"/>
        </w:rPr>
      </w:pPr>
      <w:r w:rsidRPr="003032D8">
        <w:rPr>
          <w:rFonts w:ascii="TitilliumText25L" w:hAnsi="TitilliumText25L" w:cs="Arial"/>
          <w:sz w:val="22"/>
        </w:rPr>
        <w:t xml:space="preserve">Example of an Audit Proforma for Intraoperative Cell Salvage </w:t>
      </w:r>
      <w:r w:rsidRPr="003032D8">
        <w:rPr>
          <w:rFonts w:ascii="TitilliumText25L" w:hAnsi="TitilliumText25L" w:cs="Arial"/>
          <w:sz w:val="22"/>
          <w:highlight w:val="yellow"/>
        </w:rPr>
        <w:t>(Please present your own hospital proforma)</w:t>
      </w:r>
    </w:p>
    <w:p w:rsidR="00BE3BE3" w:rsidRPr="003032D8" w:rsidRDefault="00BE3BE3" w:rsidP="00BE3BE3">
      <w:pPr>
        <w:jc w:val="both"/>
        <w:rPr>
          <w:rFonts w:ascii="TitilliumText25L" w:hAnsi="TitilliumText25L" w:cs="Arial"/>
        </w:rPr>
      </w:pPr>
    </w:p>
    <w:p w:rsidR="00BE3BE3" w:rsidRPr="003032D8" w:rsidRDefault="00BE3BE3" w:rsidP="00BE3BE3">
      <w:pPr>
        <w:spacing w:after="0"/>
        <w:jc w:val="center"/>
        <w:rPr>
          <w:rFonts w:ascii="TitilliumText25L" w:eastAsia="Times New Roman" w:hAnsi="TitilliumText25L" w:cs="Arial"/>
          <w:b/>
          <w:bCs/>
          <w:sz w:val="20"/>
          <w:szCs w:val="20"/>
        </w:rPr>
        <w:sectPr w:rsidR="00BE3BE3" w:rsidRPr="003032D8" w:rsidSect="00085E9D">
          <w:pgSz w:w="11906" w:h="16838" w:code="9"/>
          <w:pgMar w:top="1440" w:right="1797" w:bottom="1135" w:left="1797" w:header="720" w:footer="329" w:gutter="0"/>
          <w:pgNumType w:start="1"/>
          <w:cols w:space="720"/>
          <w:docGrid w:linePitch="299"/>
        </w:sectPr>
      </w:pPr>
    </w:p>
    <w:tbl>
      <w:tblPr>
        <w:tblW w:w="5201" w:type="pct"/>
        <w:tblInd w:w="-318" w:type="dxa"/>
        <w:tblLayout w:type="fixed"/>
        <w:tblLook w:val="04A0" w:firstRow="1" w:lastRow="0" w:firstColumn="1" w:lastColumn="0" w:noHBand="0" w:noVBand="1"/>
      </w:tblPr>
      <w:tblGrid>
        <w:gridCol w:w="1156"/>
        <w:gridCol w:w="1156"/>
        <w:gridCol w:w="1168"/>
        <w:gridCol w:w="599"/>
        <w:gridCol w:w="180"/>
        <w:gridCol w:w="917"/>
        <w:gridCol w:w="236"/>
        <w:gridCol w:w="121"/>
        <w:gridCol w:w="286"/>
        <w:gridCol w:w="369"/>
        <w:gridCol w:w="767"/>
        <w:gridCol w:w="94"/>
        <w:gridCol w:w="333"/>
        <w:gridCol w:w="846"/>
        <w:gridCol w:w="27"/>
        <w:gridCol w:w="1536"/>
        <w:gridCol w:w="445"/>
        <w:gridCol w:w="554"/>
        <w:gridCol w:w="2857"/>
        <w:gridCol w:w="1097"/>
      </w:tblGrid>
      <w:tr w:rsidR="00BE3BE3" w:rsidRPr="003032D8" w:rsidTr="00193EEB">
        <w:trPr>
          <w:trHeight w:val="481"/>
        </w:trPr>
        <w:tc>
          <w:tcPr>
            <w:tcW w:w="3471" w:type="pct"/>
            <w:gridSpan w:val="17"/>
            <w:tcBorders>
              <w:top w:val="single" w:sz="4" w:space="0" w:color="auto"/>
              <w:left w:val="single" w:sz="4" w:space="0" w:color="auto"/>
              <w:bottom w:val="single" w:sz="4" w:space="0" w:color="000000"/>
              <w:right w:val="single" w:sz="4" w:space="0" w:color="000000"/>
            </w:tcBorders>
            <w:shd w:val="clear" w:color="auto" w:fill="B8CCE4"/>
          </w:tcPr>
          <w:p w:rsidR="00BE3BE3" w:rsidRPr="003032D8" w:rsidRDefault="00BE3BE3" w:rsidP="00D65937">
            <w:pPr>
              <w:spacing w:after="0"/>
              <w:jc w:val="center"/>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highlight w:val="yellow"/>
              </w:rPr>
              <w:lastRenderedPageBreak/>
              <w:t>Insert Organisation Name</w:t>
            </w:r>
            <w:r w:rsidRPr="003032D8">
              <w:rPr>
                <w:rFonts w:ascii="TitilliumText25L" w:eastAsia="Times New Roman" w:hAnsi="TitilliumText25L" w:cs="Arial"/>
                <w:b/>
                <w:bCs/>
                <w:sz w:val="18"/>
                <w:szCs w:val="18"/>
              </w:rPr>
              <w:t xml:space="preserve"> </w:t>
            </w:r>
            <w:r w:rsidRPr="003032D8">
              <w:rPr>
                <w:rFonts w:ascii="TitilliumText25L" w:eastAsia="Times New Roman" w:hAnsi="TitilliumText25L" w:cs="Arial"/>
                <w:b/>
                <w:bCs/>
                <w:sz w:val="32"/>
                <w:szCs w:val="32"/>
              </w:rPr>
              <w:t>AUTOTRANSFUSION RECORD</w:t>
            </w:r>
          </w:p>
        </w:tc>
        <w:tc>
          <w:tcPr>
            <w:tcW w:w="1157"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BE3BE3" w:rsidRPr="003032D8" w:rsidRDefault="00BE3BE3" w:rsidP="00D65937">
            <w:pPr>
              <w:spacing w:after="0"/>
              <w:ind w:right="-501"/>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u w:val="single"/>
              </w:rPr>
              <w:t>PATIENT IDENTIFICATION LABE</w:t>
            </w:r>
            <w:r w:rsidRPr="003032D8">
              <w:rPr>
                <w:rFonts w:ascii="TitilliumText25L" w:eastAsia="Times New Roman" w:hAnsi="TitilliumText25L" w:cs="Arial"/>
                <w:b/>
                <w:bCs/>
                <w:sz w:val="18"/>
                <w:szCs w:val="18"/>
              </w:rPr>
              <w:t>L:</w:t>
            </w:r>
            <w:r w:rsidRPr="003032D8">
              <w:rPr>
                <w:rFonts w:ascii="TitilliumText25L" w:eastAsia="Times New Roman" w:hAnsi="TitilliumText25L" w:cs="Arial"/>
                <w:sz w:val="18"/>
                <w:szCs w:val="18"/>
              </w:rPr>
              <w:br/>
              <w:t>UR No:………………………</w:t>
            </w:r>
            <w:r w:rsidRPr="003032D8">
              <w:rPr>
                <w:rFonts w:ascii="TitilliumText25L" w:eastAsia="Times New Roman" w:hAnsi="TitilliumText25L" w:cs="Arial"/>
                <w:sz w:val="18"/>
                <w:szCs w:val="18"/>
              </w:rPr>
              <w:br/>
            </w:r>
            <w:r w:rsidRPr="003032D8">
              <w:rPr>
                <w:rFonts w:ascii="TitilliumText25L" w:eastAsia="Times New Roman" w:hAnsi="TitilliumText25L" w:cs="Arial"/>
                <w:sz w:val="18"/>
                <w:szCs w:val="18"/>
              </w:rPr>
              <w:br/>
              <w:t>Name:……………………</w:t>
            </w:r>
            <w:r w:rsidRPr="003032D8">
              <w:rPr>
                <w:rFonts w:ascii="TitilliumText25L" w:eastAsia="Times New Roman" w:hAnsi="TitilliumText25L" w:cs="Arial"/>
                <w:sz w:val="18"/>
                <w:szCs w:val="18"/>
              </w:rPr>
              <w:br/>
            </w:r>
            <w:r w:rsidRPr="003032D8">
              <w:rPr>
                <w:rFonts w:ascii="TitilliumText25L" w:eastAsia="Times New Roman" w:hAnsi="TitilliumText25L" w:cs="Arial"/>
                <w:sz w:val="18"/>
                <w:szCs w:val="18"/>
              </w:rPr>
              <w:br/>
              <w:t>Address:………………</w:t>
            </w:r>
            <w:r w:rsidRPr="003032D8">
              <w:rPr>
                <w:rFonts w:ascii="TitilliumText25L" w:eastAsia="Times New Roman" w:hAnsi="TitilliumText25L" w:cs="Arial"/>
                <w:sz w:val="18"/>
                <w:szCs w:val="18"/>
              </w:rPr>
              <w:br/>
            </w:r>
            <w:r w:rsidRPr="003032D8">
              <w:rPr>
                <w:rFonts w:ascii="TitilliumText25L" w:eastAsia="Times New Roman" w:hAnsi="TitilliumText25L" w:cs="Arial"/>
                <w:sz w:val="18"/>
                <w:szCs w:val="18"/>
              </w:rPr>
              <w:br/>
              <w:t>DOB: ……/……./………..</w:t>
            </w:r>
          </w:p>
        </w:tc>
        <w:tc>
          <w:tcPr>
            <w:tcW w:w="372" w:type="pct"/>
            <w:vMerge w:val="restart"/>
            <w:tcBorders>
              <w:top w:val="single" w:sz="4" w:space="0" w:color="auto"/>
              <w:left w:val="single" w:sz="4" w:space="0" w:color="auto"/>
              <w:bottom w:val="nil"/>
              <w:right w:val="single" w:sz="4" w:space="0" w:color="000000"/>
            </w:tcBorders>
            <w:textDirection w:val="btLr"/>
            <w:vAlign w:val="center"/>
          </w:tcPr>
          <w:p w:rsidR="00BE3BE3" w:rsidRPr="003032D8" w:rsidRDefault="00BE3BE3" w:rsidP="00D65937">
            <w:pPr>
              <w:spacing w:after="0"/>
              <w:ind w:left="113" w:right="113"/>
              <w:jc w:val="center"/>
              <w:rPr>
                <w:rFonts w:ascii="TitilliumText25L" w:eastAsia="Times New Roman" w:hAnsi="TitilliumText25L" w:cs="Arial"/>
                <w:b/>
                <w:bCs/>
                <w:color w:val="FF0000"/>
                <w:sz w:val="44"/>
                <w:szCs w:val="44"/>
              </w:rPr>
            </w:pPr>
            <w:r w:rsidRPr="003032D8">
              <w:rPr>
                <w:rFonts w:ascii="TitilliumText25L" w:eastAsia="Times New Roman" w:hAnsi="TitilliumText25L" w:cs="Arial"/>
                <w:b/>
                <w:bCs/>
                <w:color w:val="FF0000"/>
                <w:sz w:val="44"/>
                <w:szCs w:val="44"/>
              </w:rPr>
              <w:t>INTRA-OPERATIVE CELL SALVAGE</w:t>
            </w:r>
          </w:p>
        </w:tc>
      </w:tr>
      <w:tr w:rsidR="00BE3BE3" w:rsidRPr="003032D8" w:rsidTr="00D65937">
        <w:trPr>
          <w:trHeight w:val="504"/>
        </w:trPr>
        <w:tc>
          <w:tcPr>
            <w:tcW w:w="3471" w:type="pct"/>
            <w:gridSpan w:val="17"/>
            <w:tcBorders>
              <w:top w:val="single" w:sz="4" w:space="0" w:color="auto"/>
              <w:left w:val="single" w:sz="4" w:space="0" w:color="auto"/>
              <w:bottom w:val="single" w:sz="4" w:space="0" w:color="000000"/>
              <w:right w:val="nil"/>
            </w:tcBorders>
            <w:shd w:val="clear" w:color="auto" w:fill="auto"/>
            <w:noWrap/>
            <w:vAlign w:val="center"/>
          </w:tcPr>
          <w:p w:rsidR="00BE3BE3" w:rsidRPr="003032D8" w:rsidRDefault="00BE3BE3" w:rsidP="00D65937">
            <w:pPr>
              <w:spacing w:after="0"/>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rPr>
              <w:t xml:space="preserve">CELL SALVAGE PROCEDURAL INFORMATION:     </w:t>
            </w:r>
            <w:r w:rsidRPr="003032D8">
              <w:rPr>
                <w:rFonts w:ascii="TitilliumText25L" w:eastAsia="Times New Roman" w:hAnsi="TitilliumText25L" w:cs="Arial"/>
                <w:sz w:val="18"/>
                <w:szCs w:val="18"/>
              </w:rPr>
              <w:t xml:space="preserve">Booked </w:t>
            </w:r>
            <w:r w:rsidRPr="003032D8">
              <w:rPr>
                <w:rFonts w:ascii="Courier New" w:eastAsia="Times New Roman" w:hAnsi="Courier New" w:cs="Courier New"/>
                <w:b/>
                <w:bCs/>
                <w:sz w:val="18"/>
                <w:szCs w:val="18"/>
              </w:rPr>
              <w:t>□</w:t>
            </w:r>
            <w:r w:rsidRPr="003032D8">
              <w:rPr>
                <w:rFonts w:ascii="TitilliumText25L" w:eastAsia="Times New Roman" w:hAnsi="TitilliumText25L" w:cs="Arial"/>
                <w:b/>
                <w:bCs/>
                <w:sz w:val="18"/>
                <w:szCs w:val="18"/>
              </w:rPr>
              <w:t xml:space="preserve">          </w:t>
            </w:r>
            <w:r w:rsidRPr="003032D8">
              <w:rPr>
                <w:rFonts w:ascii="TitilliumText25L" w:eastAsia="Times New Roman" w:hAnsi="TitilliumText25L" w:cs="Arial"/>
                <w:sz w:val="18"/>
                <w:szCs w:val="18"/>
              </w:rPr>
              <w:t>Emergency</w:t>
            </w:r>
            <w:r w:rsidRPr="003032D8">
              <w:rPr>
                <w:rFonts w:ascii="TitilliumText25L" w:eastAsia="Times New Roman" w:hAnsi="TitilliumText25L" w:cs="Arial"/>
                <w:b/>
                <w:bCs/>
                <w:sz w:val="18"/>
                <w:szCs w:val="18"/>
              </w:rPr>
              <w:t xml:space="preserve"> </w:t>
            </w:r>
            <w:r w:rsidRPr="003032D8">
              <w:rPr>
                <w:rFonts w:ascii="Courier New" w:eastAsia="Times New Roman" w:hAnsi="Courier New" w:cs="Courier New"/>
                <w:b/>
                <w:bCs/>
                <w:sz w:val="18"/>
                <w:szCs w:val="18"/>
              </w:rPr>
              <w:t>□</w:t>
            </w:r>
            <w:r w:rsidRPr="003032D8">
              <w:rPr>
                <w:rFonts w:ascii="TitilliumText25L" w:eastAsia="Times New Roman" w:hAnsi="TitilliumText25L" w:cs="Arial"/>
                <w:b/>
                <w:bCs/>
                <w:sz w:val="18"/>
                <w:szCs w:val="18"/>
              </w:rPr>
              <w:t xml:space="preserve">    </w:t>
            </w:r>
            <w:r w:rsidRPr="003032D8">
              <w:rPr>
                <w:rFonts w:ascii="TitilliumText25L" w:eastAsia="Times New Roman" w:hAnsi="TitilliumText25L" w:cs="Arial"/>
                <w:sz w:val="18"/>
                <w:szCs w:val="18"/>
              </w:rPr>
              <w:t>Unscheduled</w:t>
            </w:r>
            <w:r w:rsidRPr="003032D8">
              <w:rPr>
                <w:rFonts w:ascii="TitilliumText25L" w:eastAsia="Times New Roman" w:hAnsi="TitilliumText25L" w:cs="Arial"/>
                <w:b/>
                <w:bCs/>
                <w:sz w:val="18"/>
                <w:szCs w:val="18"/>
              </w:rPr>
              <w:t xml:space="preserve"> </w:t>
            </w:r>
            <w:r w:rsidRPr="003032D8">
              <w:rPr>
                <w:rFonts w:ascii="TitilliumText25L" w:eastAsia="Times New Roman" w:hAnsi="TitilliumText25L" w:cs="Arial"/>
                <w:sz w:val="18"/>
                <w:szCs w:val="18"/>
              </w:rPr>
              <w:t xml:space="preserve"> </w:t>
            </w:r>
            <w:r w:rsidRPr="003032D8">
              <w:rPr>
                <w:rFonts w:ascii="Courier New" w:eastAsia="Times New Roman" w:hAnsi="Courier New" w:cs="Courier New"/>
                <w:b/>
                <w:bCs/>
                <w:sz w:val="18"/>
                <w:szCs w:val="18"/>
              </w:rPr>
              <w:t>□</w:t>
            </w:r>
          </w:p>
        </w:tc>
        <w:tc>
          <w:tcPr>
            <w:tcW w:w="1157" w:type="pct"/>
            <w:gridSpan w:val="2"/>
            <w:vMerge/>
            <w:tcBorders>
              <w:top w:val="single" w:sz="4" w:space="0" w:color="auto"/>
              <w:left w:val="single" w:sz="4" w:space="0" w:color="auto"/>
              <w:bottom w:val="single" w:sz="4" w:space="0" w:color="000000"/>
              <w:right w:val="single" w:sz="4" w:space="0" w:color="000000"/>
            </w:tcBorders>
            <w:vAlign w:val="center"/>
          </w:tcPr>
          <w:p w:rsidR="00BE3BE3" w:rsidRPr="003032D8" w:rsidRDefault="00BE3BE3" w:rsidP="00D65937">
            <w:pPr>
              <w:spacing w:after="0"/>
              <w:rPr>
                <w:rFonts w:ascii="TitilliumText25L" w:eastAsia="Times New Roman" w:hAnsi="TitilliumText25L" w:cs="Arial"/>
                <w:b/>
                <w:bCs/>
                <w:sz w:val="18"/>
                <w:szCs w:val="18"/>
              </w:rPr>
            </w:pPr>
          </w:p>
        </w:tc>
        <w:tc>
          <w:tcPr>
            <w:tcW w:w="372" w:type="pct"/>
            <w:vMerge/>
            <w:tcBorders>
              <w:left w:val="single" w:sz="4" w:space="0" w:color="auto"/>
              <w:bottom w:val="nil"/>
              <w:right w:val="single" w:sz="4" w:space="0" w:color="000000"/>
            </w:tcBorders>
          </w:tcPr>
          <w:p w:rsidR="00BE3BE3" w:rsidRPr="003032D8" w:rsidRDefault="00BE3BE3" w:rsidP="00D65937">
            <w:pPr>
              <w:spacing w:after="0"/>
              <w:rPr>
                <w:rFonts w:ascii="TitilliumText25L" w:eastAsia="Times New Roman" w:hAnsi="TitilliumText25L" w:cs="Arial"/>
                <w:b/>
                <w:bCs/>
                <w:sz w:val="18"/>
                <w:szCs w:val="18"/>
              </w:rPr>
            </w:pPr>
          </w:p>
        </w:tc>
      </w:tr>
      <w:tr w:rsidR="00BE3BE3" w:rsidRPr="003032D8" w:rsidTr="00D65937">
        <w:trPr>
          <w:trHeight w:val="504"/>
        </w:trPr>
        <w:tc>
          <w:tcPr>
            <w:tcW w:w="3471" w:type="pct"/>
            <w:gridSpan w:val="17"/>
            <w:tcBorders>
              <w:top w:val="single" w:sz="4" w:space="0" w:color="auto"/>
              <w:left w:val="single" w:sz="4" w:space="0" w:color="auto"/>
              <w:bottom w:val="single" w:sz="4" w:space="0" w:color="000000"/>
              <w:right w:val="single" w:sz="4" w:space="0" w:color="000000"/>
            </w:tcBorders>
            <w:shd w:val="clear" w:color="auto" w:fill="auto"/>
            <w:noWrap/>
            <w:vAlign w:val="center"/>
          </w:tcPr>
          <w:p w:rsidR="00BE3BE3" w:rsidRPr="003032D8" w:rsidRDefault="00BE3BE3" w:rsidP="00D65937">
            <w:pPr>
              <w:spacing w:after="0"/>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rPr>
              <w:t>CELL SALVAGE PROCEDURE:</w:t>
            </w:r>
          </w:p>
        </w:tc>
        <w:tc>
          <w:tcPr>
            <w:tcW w:w="1157" w:type="pct"/>
            <w:gridSpan w:val="2"/>
            <w:vMerge/>
            <w:tcBorders>
              <w:top w:val="single" w:sz="4" w:space="0" w:color="auto"/>
              <w:left w:val="single" w:sz="4" w:space="0" w:color="auto"/>
              <w:bottom w:val="single" w:sz="4" w:space="0" w:color="000000"/>
              <w:right w:val="single" w:sz="4" w:space="0" w:color="000000"/>
            </w:tcBorders>
            <w:vAlign w:val="center"/>
          </w:tcPr>
          <w:p w:rsidR="00BE3BE3" w:rsidRPr="003032D8" w:rsidRDefault="00BE3BE3" w:rsidP="00D65937">
            <w:pPr>
              <w:spacing w:after="0"/>
              <w:rPr>
                <w:rFonts w:ascii="TitilliumText25L" w:eastAsia="Times New Roman" w:hAnsi="TitilliumText25L" w:cs="Arial"/>
                <w:b/>
                <w:bCs/>
                <w:sz w:val="18"/>
                <w:szCs w:val="18"/>
              </w:rPr>
            </w:pPr>
          </w:p>
        </w:tc>
        <w:tc>
          <w:tcPr>
            <w:tcW w:w="372" w:type="pct"/>
            <w:vMerge/>
            <w:tcBorders>
              <w:left w:val="single" w:sz="4" w:space="0" w:color="auto"/>
              <w:bottom w:val="nil"/>
              <w:right w:val="single" w:sz="4" w:space="0" w:color="000000"/>
            </w:tcBorders>
          </w:tcPr>
          <w:p w:rsidR="00BE3BE3" w:rsidRPr="003032D8" w:rsidRDefault="00BE3BE3" w:rsidP="00D65937">
            <w:pPr>
              <w:spacing w:after="0"/>
              <w:rPr>
                <w:rFonts w:ascii="TitilliumText25L" w:eastAsia="Times New Roman" w:hAnsi="TitilliumText25L" w:cs="Arial"/>
                <w:b/>
                <w:bCs/>
                <w:sz w:val="18"/>
                <w:szCs w:val="18"/>
              </w:rPr>
            </w:pPr>
          </w:p>
        </w:tc>
      </w:tr>
      <w:tr w:rsidR="00BE3BE3" w:rsidRPr="003032D8" w:rsidTr="00D65937">
        <w:trPr>
          <w:trHeight w:val="264"/>
        </w:trPr>
        <w:tc>
          <w:tcPr>
            <w:tcW w:w="1180" w:type="pct"/>
            <w:gridSpan w:val="3"/>
            <w:tcBorders>
              <w:top w:val="nil"/>
              <w:left w:val="single" w:sz="4" w:space="0" w:color="auto"/>
              <w:bottom w:val="nil"/>
              <w:right w:val="nil"/>
            </w:tcBorders>
            <w:shd w:val="clear" w:color="auto" w:fill="auto"/>
            <w:noWrap/>
            <w:vAlign w:val="center"/>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Date:</w:t>
            </w:r>
          </w:p>
        </w:tc>
        <w:tc>
          <w:tcPr>
            <w:tcW w:w="2291" w:type="pct"/>
            <w:gridSpan w:val="14"/>
            <w:tcBorders>
              <w:top w:val="nil"/>
              <w:left w:val="nil"/>
              <w:bottom w:val="nil"/>
              <w:right w:val="nil"/>
            </w:tcBorders>
            <w:shd w:val="clear" w:color="auto" w:fill="auto"/>
            <w:noWrap/>
            <w:vAlign w:val="center"/>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 xml:space="preserve">Surgeon:                                                                         </w:t>
            </w:r>
          </w:p>
        </w:tc>
        <w:tc>
          <w:tcPr>
            <w:tcW w:w="1157" w:type="pct"/>
            <w:gridSpan w:val="2"/>
            <w:vMerge/>
            <w:tcBorders>
              <w:top w:val="single" w:sz="4" w:space="0" w:color="auto"/>
              <w:left w:val="single" w:sz="4" w:space="0" w:color="auto"/>
              <w:bottom w:val="single" w:sz="4" w:space="0" w:color="000000"/>
              <w:right w:val="single" w:sz="4" w:space="0" w:color="000000"/>
            </w:tcBorders>
            <w:vAlign w:val="center"/>
          </w:tcPr>
          <w:p w:rsidR="00BE3BE3" w:rsidRPr="003032D8" w:rsidRDefault="00BE3BE3" w:rsidP="00D65937">
            <w:pPr>
              <w:spacing w:after="0"/>
              <w:rPr>
                <w:rFonts w:ascii="TitilliumText25L" w:eastAsia="Times New Roman" w:hAnsi="TitilliumText25L" w:cs="Arial"/>
                <w:b/>
                <w:bCs/>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b/>
                <w:bCs/>
                <w:sz w:val="18"/>
                <w:szCs w:val="18"/>
              </w:rPr>
            </w:pPr>
          </w:p>
        </w:tc>
      </w:tr>
      <w:tr w:rsidR="00BE3BE3" w:rsidRPr="003032D8" w:rsidTr="00D65937">
        <w:trPr>
          <w:trHeight w:val="264"/>
        </w:trPr>
        <w:tc>
          <w:tcPr>
            <w:tcW w:w="1180" w:type="pct"/>
            <w:gridSpan w:val="3"/>
            <w:tcBorders>
              <w:top w:val="single" w:sz="4" w:space="0" w:color="auto"/>
              <w:left w:val="single" w:sz="4" w:space="0" w:color="auto"/>
              <w:bottom w:val="single" w:sz="4" w:space="0" w:color="auto"/>
              <w:right w:val="nil"/>
            </w:tcBorders>
            <w:shd w:val="clear" w:color="auto" w:fill="auto"/>
            <w:noWrap/>
            <w:vAlign w:val="center"/>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Start Time (of procedure):</w:t>
            </w:r>
          </w:p>
        </w:tc>
        <w:tc>
          <w:tcPr>
            <w:tcW w:w="2291" w:type="pct"/>
            <w:gridSpan w:val="14"/>
            <w:tcBorders>
              <w:top w:val="single" w:sz="4" w:space="0" w:color="auto"/>
              <w:left w:val="nil"/>
              <w:bottom w:val="single" w:sz="4" w:space="0" w:color="auto"/>
              <w:right w:val="single" w:sz="4" w:space="0" w:color="000000"/>
            </w:tcBorders>
            <w:shd w:val="clear" w:color="auto" w:fill="auto"/>
            <w:noWrap/>
            <w:vAlign w:val="center"/>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 xml:space="preserve">Anaesthetist:                                                               </w:t>
            </w:r>
          </w:p>
        </w:tc>
        <w:tc>
          <w:tcPr>
            <w:tcW w:w="1157" w:type="pct"/>
            <w:gridSpan w:val="2"/>
            <w:vMerge/>
            <w:tcBorders>
              <w:top w:val="single" w:sz="4" w:space="0" w:color="auto"/>
              <w:left w:val="single" w:sz="4" w:space="0" w:color="auto"/>
              <w:bottom w:val="single" w:sz="4" w:space="0" w:color="000000"/>
              <w:right w:val="single" w:sz="4" w:space="0" w:color="000000"/>
            </w:tcBorders>
            <w:vAlign w:val="center"/>
          </w:tcPr>
          <w:p w:rsidR="00BE3BE3" w:rsidRPr="003032D8" w:rsidRDefault="00BE3BE3" w:rsidP="00D65937">
            <w:pPr>
              <w:spacing w:after="0"/>
              <w:rPr>
                <w:rFonts w:ascii="TitilliumText25L" w:eastAsia="Times New Roman" w:hAnsi="TitilliumText25L" w:cs="Arial"/>
                <w:b/>
                <w:bCs/>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b/>
                <w:bCs/>
                <w:sz w:val="18"/>
                <w:szCs w:val="18"/>
              </w:rPr>
            </w:pPr>
          </w:p>
        </w:tc>
      </w:tr>
      <w:tr w:rsidR="00BE3BE3" w:rsidRPr="003032D8" w:rsidTr="00D65937">
        <w:trPr>
          <w:trHeight w:val="264"/>
        </w:trPr>
        <w:tc>
          <w:tcPr>
            <w:tcW w:w="1180" w:type="pct"/>
            <w:gridSpan w:val="3"/>
            <w:tcBorders>
              <w:top w:val="single" w:sz="4" w:space="0" w:color="auto"/>
              <w:left w:val="single" w:sz="4" w:space="0" w:color="auto"/>
              <w:bottom w:val="single" w:sz="4" w:space="0" w:color="auto"/>
              <w:right w:val="nil"/>
            </w:tcBorders>
            <w:shd w:val="clear" w:color="auto" w:fill="auto"/>
            <w:noWrap/>
            <w:vAlign w:val="center"/>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End Time:</w:t>
            </w:r>
          </w:p>
        </w:tc>
        <w:tc>
          <w:tcPr>
            <w:tcW w:w="2291" w:type="pct"/>
            <w:gridSpan w:val="14"/>
            <w:tcBorders>
              <w:top w:val="single" w:sz="4" w:space="0" w:color="auto"/>
              <w:left w:val="nil"/>
              <w:bottom w:val="single" w:sz="4" w:space="0" w:color="auto"/>
              <w:right w:val="single" w:sz="4" w:space="0" w:color="000000"/>
            </w:tcBorders>
            <w:shd w:val="clear" w:color="auto" w:fill="auto"/>
            <w:noWrap/>
            <w:vAlign w:val="center"/>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Autotransfusionist:</w:t>
            </w:r>
          </w:p>
        </w:tc>
        <w:tc>
          <w:tcPr>
            <w:tcW w:w="1157" w:type="pct"/>
            <w:gridSpan w:val="2"/>
            <w:vMerge/>
            <w:tcBorders>
              <w:top w:val="single" w:sz="4" w:space="0" w:color="auto"/>
              <w:left w:val="single" w:sz="4" w:space="0" w:color="auto"/>
              <w:bottom w:val="single" w:sz="4" w:space="0" w:color="000000"/>
              <w:right w:val="single" w:sz="4" w:space="0" w:color="000000"/>
            </w:tcBorders>
            <w:vAlign w:val="center"/>
          </w:tcPr>
          <w:p w:rsidR="00BE3BE3" w:rsidRPr="003032D8" w:rsidRDefault="00BE3BE3" w:rsidP="00D65937">
            <w:pPr>
              <w:spacing w:after="0"/>
              <w:rPr>
                <w:rFonts w:ascii="TitilliumText25L" w:eastAsia="Times New Roman" w:hAnsi="TitilliumText25L" w:cs="Arial"/>
                <w:b/>
                <w:bCs/>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b/>
                <w:bCs/>
                <w:sz w:val="18"/>
                <w:szCs w:val="18"/>
              </w:rPr>
            </w:pPr>
          </w:p>
        </w:tc>
      </w:tr>
      <w:tr w:rsidR="00BE3BE3" w:rsidRPr="003032D8" w:rsidTr="00D65937">
        <w:trPr>
          <w:trHeight w:val="456"/>
        </w:trPr>
        <w:tc>
          <w:tcPr>
            <w:tcW w:w="4628" w:type="pct"/>
            <w:gridSpan w:val="19"/>
            <w:tcBorders>
              <w:top w:val="single" w:sz="4" w:space="0" w:color="auto"/>
              <w:left w:val="single" w:sz="4" w:space="0" w:color="auto"/>
              <w:bottom w:val="single" w:sz="4" w:space="0" w:color="auto"/>
              <w:right w:val="single" w:sz="4" w:space="0" w:color="000000"/>
            </w:tcBorders>
            <w:shd w:val="clear" w:color="auto" w:fill="auto"/>
            <w:noWrap/>
            <w:vAlign w:val="center"/>
          </w:tcPr>
          <w:p w:rsidR="00BE3BE3" w:rsidRPr="003032D8" w:rsidRDefault="00BE3BE3" w:rsidP="00D65937">
            <w:pPr>
              <w:spacing w:after="0"/>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rPr>
              <w:t xml:space="preserve">PATIENT INFORMATION:                                   </w:t>
            </w:r>
            <w:r w:rsidRPr="003032D8">
              <w:rPr>
                <w:rFonts w:ascii="TitilliumText25L" w:eastAsia="Times New Roman" w:hAnsi="TitilliumText25L" w:cs="Arial"/>
                <w:sz w:val="18"/>
                <w:szCs w:val="18"/>
              </w:rPr>
              <w:t xml:space="preserve">  Male</w:t>
            </w:r>
            <w:r w:rsidRPr="003032D8">
              <w:rPr>
                <w:rFonts w:ascii="TitilliumText25L" w:eastAsia="Times New Roman" w:hAnsi="TitilliumText25L" w:cs="Arial"/>
                <w:b/>
                <w:bCs/>
                <w:sz w:val="18"/>
                <w:szCs w:val="18"/>
              </w:rPr>
              <w:t xml:space="preserve"> </w:t>
            </w:r>
            <w:r w:rsidRPr="003032D8">
              <w:rPr>
                <w:rFonts w:ascii="Courier New" w:eastAsia="Times New Roman" w:hAnsi="Courier New" w:cs="Courier New"/>
                <w:b/>
                <w:bCs/>
                <w:sz w:val="18"/>
                <w:szCs w:val="18"/>
              </w:rPr>
              <w:t>□</w:t>
            </w:r>
            <w:r w:rsidRPr="003032D8">
              <w:rPr>
                <w:rFonts w:ascii="TitilliumText25L" w:eastAsia="Times New Roman" w:hAnsi="TitilliumText25L" w:cs="Arial"/>
                <w:b/>
                <w:bCs/>
                <w:sz w:val="18"/>
                <w:szCs w:val="18"/>
              </w:rPr>
              <w:t xml:space="preserve">                               </w:t>
            </w:r>
            <w:r w:rsidRPr="003032D8">
              <w:rPr>
                <w:rFonts w:ascii="TitilliumText25L" w:eastAsia="Times New Roman" w:hAnsi="TitilliumText25L" w:cs="Arial"/>
                <w:sz w:val="18"/>
                <w:szCs w:val="18"/>
              </w:rPr>
              <w:t xml:space="preserve"> Female</w:t>
            </w:r>
            <w:r w:rsidRPr="003032D8">
              <w:rPr>
                <w:rFonts w:ascii="TitilliumText25L" w:eastAsia="Times New Roman" w:hAnsi="TitilliumText25L" w:cs="Arial"/>
                <w:b/>
                <w:bCs/>
                <w:sz w:val="18"/>
                <w:szCs w:val="18"/>
              </w:rPr>
              <w:t xml:space="preserve"> </w:t>
            </w:r>
            <w:r w:rsidRPr="003032D8">
              <w:rPr>
                <w:rFonts w:ascii="Courier New" w:eastAsia="Times New Roman" w:hAnsi="Courier New" w:cs="Courier New"/>
                <w:b/>
                <w:bCs/>
                <w:sz w:val="18"/>
                <w:szCs w:val="18"/>
              </w:rPr>
              <w:t>□</w:t>
            </w: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b/>
                <w:bCs/>
                <w:sz w:val="18"/>
                <w:szCs w:val="18"/>
              </w:rPr>
            </w:pPr>
          </w:p>
        </w:tc>
      </w:tr>
      <w:tr w:rsidR="00BE3BE3" w:rsidRPr="003032D8" w:rsidTr="00D65937">
        <w:trPr>
          <w:trHeight w:val="264"/>
        </w:trPr>
        <w:tc>
          <w:tcPr>
            <w:tcW w:w="4628" w:type="pct"/>
            <w:gridSpan w:val="19"/>
            <w:tcBorders>
              <w:top w:val="single" w:sz="4" w:space="0" w:color="auto"/>
              <w:left w:val="single" w:sz="4" w:space="0" w:color="auto"/>
              <w:bottom w:val="single" w:sz="4" w:space="0" w:color="auto"/>
              <w:right w:val="single" w:sz="4" w:space="0" w:color="000000"/>
            </w:tcBorders>
            <w:shd w:val="clear" w:color="auto" w:fill="auto"/>
            <w:noWrap/>
            <w:vAlign w:val="center"/>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Special Considerations:</w:t>
            </w: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64"/>
        </w:trPr>
        <w:tc>
          <w:tcPr>
            <w:tcW w:w="3659" w:type="pct"/>
            <w:gridSpan w:val="18"/>
            <w:tcBorders>
              <w:top w:val="nil"/>
              <w:left w:val="single" w:sz="4" w:space="0" w:color="auto"/>
              <w:bottom w:val="nil"/>
              <w:right w:val="nil"/>
            </w:tcBorders>
            <w:shd w:val="clear" w:color="auto" w:fill="auto"/>
            <w:noWrap/>
            <w:vAlign w:val="center"/>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 xml:space="preserve">Blood Group: ____          </w:t>
            </w:r>
            <w:proofErr w:type="spellStart"/>
            <w:r w:rsidRPr="003032D8">
              <w:rPr>
                <w:rFonts w:ascii="TitilliumText25L" w:eastAsia="Times New Roman" w:hAnsi="TitilliumText25L" w:cs="Arial"/>
                <w:sz w:val="18"/>
                <w:szCs w:val="18"/>
              </w:rPr>
              <w:t>Haemoglobin:_____g</w:t>
            </w:r>
            <w:proofErr w:type="spellEnd"/>
            <w:r w:rsidRPr="003032D8">
              <w:rPr>
                <w:rFonts w:ascii="TitilliumText25L" w:eastAsia="Times New Roman" w:hAnsi="TitilliumText25L" w:cs="Arial"/>
                <w:sz w:val="18"/>
                <w:szCs w:val="18"/>
              </w:rPr>
              <w:t xml:space="preserve">/dl                 </w:t>
            </w:r>
            <w:proofErr w:type="spellStart"/>
            <w:r w:rsidRPr="003032D8">
              <w:rPr>
                <w:rFonts w:ascii="TitilliumText25L" w:eastAsia="Times New Roman" w:hAnsi="TitilliumText25L" w:cs="Arial"/>
                <w:sz w:val="18"/>
                <w:szCs w:val="18"/>
              </w:rPr>
              <w:t>HCT</w:t>
            </w:r>
            <w:proofErr w:type="spellEnd"/>
            <w:r w:rsidRPr="003032D8">
              <w:rPr>
                <w:rFonts w:ascii="TitilliumText25L" w:eastAsia="Times New Roman" w:hAnsi="TitilliumText25L" w:cs="Arial"/>
                <w:sz w:val="18"/>
                <w:szCs w:val="18"/>
              </w:rPr>
              <w:t>: _____               Weight :______</w:t>
            </w:r>
          </w:p>
        </w:tc>
        <w:tc>
          <w:tcPr>
            <w:tcW w:w="969" w:type="pct"/>
            <w:tcBorders>
              <w:top w:val="single" w:sz="4" w:space="0" w:color="auto"/>
              <w:left w:val="single" w:sz="4" w:space="0" w:color="auto"/>
              <w:bottom w:val="single" w:sz="4" w:space="0" w:color="auto"/>
              <w:right w:val="single" w:sz="4" w:space="0" w:color="000000"/>
            </w:tcBorders>
            <w:shd w:val="clear" w:color="auto" w:fill="auto"/>
            <w:noWrap/>
            <w:vAlign w:val="bottom"/>
          </w:tcPr>
          <w:p w:rsidR="00BE3BE3" w:rsidRPr="003032D8" w:rsidRDefault="00BE3BE3" w:rsidP="00D65937">
            <w:pPr>
              <w:spacing w:after="0"/>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rPr>
              <w:t xml:space="preserve">SUPPLY INFORMATION  </w:t>
            </w:r>
          </w:p>
          <w:p w:rsidR="00BE3BE3" w:rsidRPr="003032D8" w:rsidRDefault="00BE3BE3" w:rsidP="00D65937">
            <w:pPr>
              <w:spacing w:after="0"/>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rPr>
              <w:t>(Affix Labels)</w:t>
            </w: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b/>
                <w:bCs/>
                <w:sz w:val="18"/>
                <w:szCs w:val="18"/>
              </w:rPr>
            </w:pPr>
          </w:p>
        </w:tc>
      </w:tr>
      <w:tr w:rsidR="00BE3BE3" w:rsidRPr="003032D8" w:rsidTr="00D65937">
        <w:trPr>
          <w:trHeight w:val="360"/>
        </w:trPr>
        <w:tc>
          <w:tcPr>
            <w:tcW w:w="3659" w:type="pct"/>
            <w:gridSpan w:val="18"/>
            <w:tcBorders>
              <w:top w:val="single" w:sz="4" w:space="0" w:color="auto"/>
              <w:left w:val="single" w:sz="4" w:space="0" w:color="auto"/>
              <w:bottom w:val="single" w:sz="4" w:space="0" w:color="auto"/>
              <w:right w:val="single" w:sz="4" w:space="0" w:color="000000"/>
            </w:tcBorders>
            <w:shd w:val="clear" w:color="auto" w:fill="auto"/>
            <w:noWrap/>
            <w:vAlign w:val="bottom"/>
          </w:tcPr>
          <w:p w:rsidR="00BE3BE3" w:rsidRPr="003032D8" w:rsidRDefault="00BE3BE3" w:rsidP="00D65937">
            <w:pPr>
              <w:spacing w:after="0"/>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rPr>
              <w:t xml:space="preserve">INTRAOPERATIVE CELL SALVAGE DEVICE USED:                                               </w:t>
            </w:r>
            <w:r w:rsidRPr="003032D8">
              <w:rPr>
                <w:rFonts w:ascii="TitilliumText25L" w:eastAsia="Times New Roman" w:hAnsi="TitilliumText25L" w:cs="Arial"/>
                <w:sz w:val="18"/>
                <w:szCs w:val="18"/>
              </w:rPr>
              <w:t xml:space="preserve"> Device    1 </w:t>
            </w:r>
            <w:r w:rsidRPr="003032D8">
              <w:rPr>
                <w:rFonts w:ascii="Courier New" w:eastAsia="Times New Roman" w:hAnsi="Courier New" w:cs="Courier New"/>
                <w:sz w:val="18"/>
                <w:szCs w:val="18"/>
              </w:rPr>
              <w:t>□</w:t>
            </w:r>
            <w:r w:rsidRPr="003032D8">
              <w:rPr>
                <w:rFonts w:ascii="TitilliumText25L" w:eastAsia="Times New Roman" w:hAnsi="TitilliumText25L" w:cs="Arial"/>
                <w:sz w:val="18"/>
                <w:szCs w:val="18"/>
              </w:rPr>
              <w:t xml:space="preserve">     2 </w:t>
            </w:r>
            <w:r w:rsidRPr="003032D8">
              <w:rPr>
                <w:rFonts w:ascii="Courier New" w:eastAsia="Times New Roman" w:hAnsi="Courier New" w:cs="Courier New"/>
                <w:sz w:val="18"/>
                <w:szCs w:val="18"/>
              </w:rPr>
              <w:t>□</w:t>
            </w:r>
            <w:r w:rsidRPr="003032D8">
              <w:rPr>
                <w:rFonts w:ascii="TitilliumText25L" w:eastAsia="Times New Roman" w:hAnsi="TitilliumText25L" w:cs="Arial"/>
                <w:sz w:val="18"/>
                <w:szCs w:val="18"/>
              </w:rPr>
              <w:t xml:space="preserve">    3 </w:t>
            </w:r>
            <w:r w:rsidRPr="003032D8">
              <w:rPr>
                <w:rFonts w:ascii="Courier New" w:eastAsia="Times New Roman" w:hAnsi="Courier New" w:cs="Courier New"/>
                <w:sz w:val="18"/>
                <w:szCs w:val="18"/>
              </w:rPr>
              <w:t>□</w:t>
            </w:r>
            <w:r w:rsidRPr="003032D8">
              <w:rPr>
                <w:rFonts w:ascii="TitilliumText25L" w:eastAsia="Times New Roman" w:hAnsi="TitilliumText25L" w:cs="Courier New"/>
                <w:sz w:val="18"/>
                <w:szCs w:val="18"/>
              </w:rPr>
              <w:t xml:space="preserve"> </w:t>
            </w:r>
          </w:p>
        </w:tc>
        <w:tc>
          <w:tcPr>
            <w:tcW w:w="969" w:type="pct"/>
            <w:tcBorders>
              <w:top w:val="single" w:sz="4" w:space="0" w:color="auto"/>
              <w:left w:val="nil"/>
              <w:bottom w:val="single" w:sz="4" w:space="0" w:color="auto"/>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Suction/Anticoagulation Line:</w:t>
            </w: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64"/>
        </w:trPr>
        <w:tc>
          <w:tcPr>
            <w:tcW w:w="1444" w:type="pct"/>
            <w:gridSpan w:val="5"/>
            <w:tcBorders>
              <w:top w:val="single" w:sz="4" w:space="0" w:color="auto"/>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Total volume in Intraoperative Cell Salvage suction</w:t>
            </w: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jc w:val="right"/>
              <w:rPr>
                <w:rFonts w:ascii="TitilliumText25L" w:eastAsia="Times New Roman" w:hAnsi="TitilliumText25L" w:cs="Arial"/>
                <w:sz w:val="18"/>
                <w:szCs w:val="18"/>
              </w:rPr>
            </w:pPr>
            <w:r w:rsidRPr="003032D8">
              <w:rPr>
                <w:rFonts w:ascii="TitilliumText25L" w:eastAsia="Times New Roman" w:hAnsi="TitilliumText25L" w:cs="Arial"/>
                <w:sz w:val="18"/>
                <w:szCs w:val="18"/>
              </w:rPr>
              <w:t>____ml</w:t>
            </w:r>
          </w:p>
        </w:tc>
        <w:tc>
          <w:tcPr>
            <w:tcW w:w="97" w:type="pct"/>
            <w:tcBorders>
              <w:top w:val="nil"/>
              <w:left w:val="nil"/>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b/>
                <w:bCs/>
                <w:sz w:val="18"/>
                <w:szCs w:val="18"/>
              </w:rPr>
            </w:pPr>
            <w:r w:rsidRPr="003032D8">
              <w:rPr>
                <w:rFonts w:ascii="Courier New" w:eastAsia="Times New Roman" w:hAnsi="Courier New" w:cs="Courier New"/>
                <w:b/>
                <w:bCs/>
                <w:sz w:val="18"/>
                <w:szCs w:val="18"/>
              </w:rPr>
              <w:t> </w:t>
            </w:r>
          </w:p>
        </w:tc>
        <w:tc>
          <w:tcPr>
            <w:tcW w:w="1686" w:type="pct"/>
            <w:gridSpan w:val="9"/>
            <w:tcBorders>
              <w:top w:val="single" w:sz="4" w:space="0" w:color="auto"/>
              <w:left w:val="nil"/>
              <w:bottom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Anticoagulant Type :</w:t>
            </w:r>
          </w:p>
        </w:tc>
        <w:tc>
          <w:tcPr>
            <w:tcW w:w="969"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372" w:type="pct"/>
            <w:vMerge/>
            <w:tcBorders>
              <w:left w:val="single" w:sz="4" w:space="0" w:color="auto"/>
              <w:right w:val="single" w:sz="4" w:space="0" w:color="000000"/>
            </w:tcBorders>
            <w:shd w:val="clear" w:color="000000" w:fill="FFFFFF"/>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41"/>
        </w:trPr>
        <w:tc>
          <w:tcPr>
            <w:tcW w:w="1444" w:type="pct"/>
            <w:gridSpan w:val="5"/>
            <w:tcBorders>
              <w:top w:val="nil"/>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Total Saline Wash (Swabs)</w:t>
            </w: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jc w:val="right"/>
              <w:rPr>
                <w:rFonts w:ascii="TitilliumText25L" w:eastAsia="Times New Roman" w:hAnsi="TitilliumText25L" w:cs="Arial"/>
                <w:sz w:val="18"/>
                <w:szCs w:val="18"/>
              </w:rPr>
            </w:pPr>
            <w:r w:rsidRPr="003032D8">
              <w:rPr>
                <w:rFonts w:ascii="TitilliumText25L" w:eastAsia="Times New Roman" w:hAnsi="TitilliumText25L" w:cs="Arial"/>
                <w:sz w:val="18"/>
                <w:szCs w:val="18"/>
              </w:rPr>
              <w:t>____ml</w:t>
            </w:r>
          </w:p>
        </w:tc>
        <w:tc>
          <w:tcPr>
            <w:tcW w:w="97" w:type="pct"/>
            <w:tcBorders>
              <w:top w:val="nil"/>
              <w:left w:val="nil"/>
              <w:bottom w:val="nil"/>
              <w:right w:val="nil"/>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p>
        </w:tc>
        <w:tc>
          <w:tcPr>
            <w:tcW w:w="1686" w:type="pct"/>
            <w:gridSpan w:val="9"/>
            <w:tcBorders>
              <w:top w:val="nil"/>
              <w:left w:val="nil"/>
              <w:bottom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 xml:space="preserve">Heparin  30,000iu in 1L </w:t>
            </w:r>
            <w:proofErr w:type="spellStart"/>
            <w:r w:rsidRPr="003032D8">
              <w:rPr>
                <w:rFonts w:ascii="TitilliumText25L" w:eastAsia="Times New Roman" w:hAnsi="TitilliumText25L" w:cs="Arial"/>
                <w:sz w:val="18"/>
                <w:szCs w:val="18"/>
              </w:rPr>
              <w:t>NaCI</w:t>
            </w:r>
            <w:proofErr w:type="spellEnd"/>
            <w:r w:rsidRPr="003032D8">
              <w:rPr>
                <w:rFonts w:ascii="TitilliumText25L" w:eastAsia="Times New Roman" w:hAnsi="TitilliumText25L" w:cs="Arial"/>
                <w:sz w:val="18"/>
                <w:szCs w:val="18"/>
              </w:rPr>
              <w:t xml:space="preserve"> </w:t>
            </w:r>
            <w:r w:rsidRPr="003032D8">
              <w:rPr>
                <w:rFonts w:ascii="Courier New" w:eastAsia="Times New Roman" w:hAnsi="Courier New" w:cs="Courier New"/>
                <w:sz w:val="18"/>
                <w:szCs w:val="18"/>
              </w:rPr>
              <w:t>□</w:t>
            </w:r>
            <w:r w:rsidRPr="003032D8">
              <w:rPr>
                <w:rFonts w:ascii="TitilliumText25L" w:eastAsia="Times New Roman" w:hAnsi="TitilliumText25L" w:cs="Arial"/>
                <w:sz w:val="18"/>
                <w:szCs w:val="18"/>
              </w:rPr>
              <w:t xml:space="preserve">   </w:t>
            </w:r>
            <w:proofErr w:type="spellStart"/>
            <w:r w:rsidRPr="003032D8">
              <w:rPr>
                <w:rFonts w:ascii="TitilliumText25L" w:eastAsia="Times New Roman" w:hAnsi="TitilliumText25L" w:cs="Arial"/>
                <w:sz w:val="18"/>
                <w:szCs w:val="18"/>
              </w:rPr>
              <w:t>A.C.D</w:t>
            </w:r>
            <w:proofErr w:type="spellEnd"/>
            <w:r w:rsidRPr="003032D8">
              <w:rPr>
                <w:rFonts w:ascii="TitilliumText25L" w:eastAsia="Times New Roman" w:hAnsi="TitilliumText25L" w:cs="Arial"/>
                <w:sz w:val="18"/>
                <w:szCs w:val="18"/>
              </w:rPr>
              <w:t xml:space="preserve"> </w:t>
            </w:r>
            <w:r w:rsidRPr="003032D8">
              <w:rPr>
                <w:rFonts w:ascii="Courier New" w:eastAsia="Times New Roman" w:hAnsi="Courier New" w:cs="Courier New"/>
                <w:sz w:val="18"/>
                <w:szCs w:val="18"/>
              </w:rPr>
              <w:t>□</w:t>
            </w:r>
            <w:r w:rsidRPr="003032D8">
              <w:rPr>
                <w:rFonts w:ascii="TitilliumText25L" w:eastAsia="Times New Roman" w:hAnsi="TitilliumText25L" w:cs="Arial"/>
                <w:sz w:val="18"/>
                <w:szCs w:val="18"/>
              </w:rPr>
              <w:t xml:space="preserve">   </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64"/>
        </w:trPr>
        <w:tc>
          <w:tcPr>
            <w:tcW w:w="1180" w:type="pct"/>
            <w:gridSpan w:val="3"/>
            <w:tcBorders>
              <w:top w:val="nil"/>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Total Saline used by surgeon</w:t>
            </w:r>
          </w:p>
        </w:tc>
        <w:tc>
          <w:tcPr>
            <w:tcW w:w="264" w:type="pct"/>
            <w:gridSpan w:val="2"/>
            <w:tcBorders>
              <w:top w:val="nil"/>
              <w:left w:val="nil"/>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jc w:val="right"/>
              <w:rPr>
                <w:rFonts w:ascii="TitilliumText25L" w:eastAsia="Times New Roman" w:hAnsi="TitilliumText25L" w:cs="Arial"/>
                <w:sz w:val="18"/>
                <w:szCs w:val="18"/>
              </w:rPr>
            </w:pPr>
            <w:r w:rsidRPr="003032D8">
              <w:rPr>
                <w:rFonts w:ascii="TitilliumText25L" w:eastAsia="Times New Roman" w:hAnsi="TitilliumText25L" w:cs="Arial"/>
                <w:sz w:val="18"/>
                <w:szCs w:val="18"/>
              </w:rPr>
              <w:t>____ml</w:t>
            </w:r>
          </w:p>
        </w:tc>
        <w:tc>
          <w:tcPr>
            <w:tcW w:w="97" w:type="pct"/>
            <w:tcBorders>
              <w:top w:val="nil"/>
              <w:left w:val="nil"/>
              <w:bottom w:val="nil"/>
              <w:right w:val="nil"/>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p>
        </w:tc>
        <w:tc>
          <w:tcPr>
            <w:tcW w:w="1686" w:type="pct"/>
            <w:gridSpan w:val="9"/>
            <w:tcBorders>
              <w:top w:val="nil"/>
              <w:left w:val="nil"/>
              <w:bottom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Other concentration                      ________</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76"/>
        </w:trPr>
        <w:tc>
          <w:tcPr>
            <w:tcW w:w="1444" w:type="pct"/>
            <w:gridSpan w:val="5"/>
            <w:tcBorders>
              <w:top w:val="nil"/>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 xml:space="preserve">Total Volume after wash/Processed                                     </w:t>
            </w: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jc w:val="right"/>
              <w:rPr>
                <w:rFonts w:ascii="TitilliumText25L" w:eastAsia="Times New Roman" w:hAnsi="TitilliumText25L" w:cs="Arial"/>
                <w:sz w:val="18"/>
                <w:szCs w:val="18"/>
              </w:rPr>
            </w:pPr>
            <w:r w:rsidRPr="003032D8">
              <w:rPr>
                <w:rFonts w:ascii="TitilliumText25L" w:eastAsia="Times New Roman" w:hAnsi="TitilliumText25L" w:cs="Arial"/>
                <w:sz w:val="18"/>
                <w:szCs w:val="18"/>
              </w:rPr>
              <w:t>____ml</w:t>
            </w:r>
          </w:p>
        </w:tc>
        <w:tc>
          <w:tcPr>
            <w:tcW w:w="97" w:type="pct"/>
            <w:tcBorders>
              <w:top w:val="nil"/>
              <w:left w:val="nil"/>
              <w:bottom w:val="nil"/>
              <w:right w:val="nil"/>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p>
        </w:tc>
        <w:tc>
          <w:tcPr>
            <w:tcW w:w="1686" w:type="pct"/>
            <w:gridSpan w:val="9"/>
            <w:tcBorders>
              <w:top w:val="nil"/>
              <w:left w:val="nil"/>
              <w:bottom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Total Anticoagulant used               ______ml</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64"/>
        </w:trPr>
        <w:tc>
          <w:tcPr>
            <w:tcW w:w="1444" w:type="pct"/>
            <w:gridSpan w:val="5"/>
            <w:tcBorders>
              <w:top w:val="nil"/>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Total washed Salvaged blood transfused</w:t>
            </w: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jc w:val="right"/>
              <w:rPr>
                <w:rFonts w:ascii="TitilliumText25L" w:eastAsia="Times New Roman" w:hAnsi="TitilliumText25L" w:cs="Arial"/>
                <w:sz w:val="18"/>
                <w:szCs w:val="18"/>
              </w:rPr>
            </w:pPr>
            <w:r w:rsidRPr="003032D8">
              <w:rPr>
                <w:rFonts w:ascii="TitilliumText25L" w:eastAsia="Times New Roman" w:hAnsi="TitilliumText25L" w:cs="Arial"/>
                <w:sz w:val="18"/>
                <w:szCs w:val="18"/>
              </w:rPr>
              <w:t>____ml</w:t>
            </w:r>
          </w:p>
        </w:tc>
        <w:tc>
          <w:tcPr>
            <w:tcW w:w="97" w:type="pct"/>
            <w:tcBorders>
              <w:top w:val="nil"/>
              <w:left w:val="nil"/>
              <w:bottom w:val="nil"/>
              <w:right w:val="nil"/>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p>
        </w:tc>
        <w:tc>
          <w:tcPr>
            <w:tcW w:w="1347" w:type="pct"/>
            <w:gridSpan w:val="7"/>
            <w:tcBorders>
              <w:top w:val="nil"/>
              <w:left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Allogeneic/lab blood transfused</w:t>
            </w:r>
          </w:p>
        </w:tc>
        <w:tc>
          <w:tcPr>
            <w:tcW w:w="339" w:type="pct"/>
            <w:gridSpan w:val="2"/>
            <w:tcBorders>
              <w:top w:val="nil"/>
              <w:left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_____u</w:t>
            </w:r>
          </w:p>
        </w:tc>
        <w:tc>
          <w:tcPr>
            <w:tcW w:w="9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Reservoir:</w:t>
            </w: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76"/>
        </w:trPr>
        <w:tc>
          <w:tcPr>
            <w:tcW w:w="1444" w:type="pct"/>
            <w:gridSpan w:val="5"/>
            <w:tcBorders>
              <w:top w:val="nil"/>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Unwashed salvaged blood transfused</w:t>
            </w: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jc w:val="right"/>
              <w:rPr>
                <w:rFonts w:ascii="TitilliumText25L" w:eastAsia="Times New Roman" w:hAnsi="TitilliumText25L" w:cs="Arial"/>
                <w:sz w:val="18"/>
                <w:szCs w:val="18"/>
              </w:rPr>
            </w:pPr>
            <w:r w:rsidRPr="003032D8">
              <w:rPr>
                <w:rFonts w:ascii="TitilliumText25L" w:eastAsia="Times New Roman" w:hAnsi="TitilliumText25L" w:cs="Arial"/>
                <w:sz w:val="18"/>
                <w:szCs w:val="18"/>
              </w:rPr>
              <w:t>____ml</w:t>
            </w:r>
          </w:p>
        </w:tc>
        <w:tc>
          <w:tcPr>
            <w:tcW w:w="97" w:type="pct"/>
            <w:tcBorders>
              <w:top w:val="nil"/>
              <w:left w:val="nil"/>
              <w:bottom w:val="nil"/>
              <w:right w:val="nil"/>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p>
        </w:tc>
        <w:tc>
          <w:tcPr>
            <w:tcW w:w="1347" w:type="pct"/>
            <w:gridSpan w:val="7"/>
            <w:tcBorders>
              <w:top w:val="nil"/>
              <w:left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Reason Allogeneic blood transfused:</w:t>
            </w:r>
          </w:p>
        </w:tc>
        <w:tc>
          <w:tcPr>
            <w:tcW w:w="339" w:type="pct"/>
            <w:gridSpan w:val="2"/>
            <w:tcBorders>
              <w:top w:val="nil"/>
              <w:left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p>
        </w:tc>
        <w:tc>
          <w:tcPr>
            <w:tcW w:w="96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372" w:type="pct"/>
            <w:vMerge/>
            <w:tcBorders>
              <w:left w:val="single" w:sz="4" w:space="0" w:color="auto"/>
              <w:right w:val="single" w:sz="4" w:space="0" w:color="000000"/>
            </w:tcBorders>
          </w:tcPr>
          <w:p w:rsidR="00BE3BE3" w:rsidRPr="003032D8" w:rsidRDefault="00BE3BE3" w:rsidP="00D65937">
            <w:pPr>
              <w:spacing w:after="0"/>
              <w:jc w:val="center"/>
              <w:rPr>
                <w:rFonts w:ascii="TitilliumText25L" w:eastAsia="Times New Roman" w:hAnsi="TitilliumText25L" w:cs="Arial"/>
                <w:sz w:val="18"/>
                <w:szCs w:val="18"/>
              </w:rPr>
            </w:pPr>
          </w:p>
        </w:tc>
      </w:tr>
      <w:tr w:rsidR="00BE3BE3" w:rsidRPr="003032D8" w:rsidTr="00D65937">
        <w:trPr>
          <w:trHeight w:val="147"/>
        </w:trPr>
        <w:tc>
          <w:tcPr>
            <w:tcW w:w="1444" w:type="pct"/>
            <w:gridSpan w:val="5"/>
            <w:tcBorders>
              <w:top w:val="nil"/>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Hb before Intraoperative Cell Salvage transfused</w:t>
            </w: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jc w:val="right"/>
              <w:rPr>
                <w:rFonts w:ascii="TitilliumText25L" w:eastAsia="Times New Roman" w:hAnsi="TitilliumText25L" w:cs="Arial"/>
                <w:sz w:val="18"/>
                <w:szCs w:val="18"/>
              </w:rPr>
            </w:pPr>
            <w:r w:rsidRPr="003032D8">
              <w:rPr>
                <w:rFonts w:ascii="TitilliumText25L" w:eastAsia="Times New Roman" w:hAnsi="TitilliumText25L" w:cs="Arial"/>
                <w:sz w:val="18"/>
                <w:szCs w:val="18"/>
              </w:rPr>
              <w:t>______g/dl</w:t>
            </w:r>
          </w:p>
        </w:tc>
        <w:tc>
          <w:tcPr>
            <w:tcW w:w="97" w:type="pct"/>
            <w:tcBorders>
              <w:top w:val="nil"/>
              <w:left w:val="nil"/>
              <w:bottom w:val="nil"/>
              <w:right w:val="nil"/>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p>
        </w:tc>
        <w:tc>
          <w:tcPr>
            <w:tcW w:w="125" w:type="pct"/>
            <w:tcBorders>
              <w:top w:val="nil"/>
              <w:left w:val="nil"/>
              <w:bottom w:val="dashed"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405" w:type="pct"/>
            <w:gridSpan w:val="3"/>
            <w:tcBorders>
              <w:top w:val="nil"/>
              <w:left w:val="nil"/>
              <w:bottom w:val="dashed"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817" w:type="pct"/>
            <w:gridSpan w:val="3"/>
            <w:tcBorders>
              <w:top w:val="nil"/>
              <w:left w:val="nil"/>
              <w:bottom w:val="dashed"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339" w:type="pct"/>
            <w:gridSpan w:val="2"/>
            <w:tcBorders>
              <w:top w:val="nil"/>
              <w:left w:val="nil"/>
              <w:bottom w:val="dashed" w:sz="4" w:space="0" w:color="auto"/>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64"/>
        </w:trPr>
        <w:tc>
          <w:tcPr>
            <w:tcW w:w="1444" w:type="pct"/>
            <w:gridSpan w:val="5"/>
            <w:tcBorders>
              <w:top w:val="nil"/>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 xml:space="preserve">Suction pressure:     </w:t>
            </w: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jc w:val="right"/>
              <w:rPr>
                <w:rFonts w:ascii="TitilliumText25L" w:eastAsia="Times New Roman" w:hAnsi="TitilliumText25L" w:cs="Arial"/>
                <w:sz w:val="18"/>
                <w:szCs w:val="18"/>
              </w:rPr>
            </w:pPr>
            <w:r w:rsidRPr="003032D8">
              <w:rPr>
                <w:rFonts w:ascii="TitilliumText25L" w:eastAsia="Times New Roman" w:hAnsi="TitilliumText25L" w:cs="Arial"/>
                <w:sz w:val="18"/>
                <w:szCs w:val="18"/>
              </w:rPr>
              <w:t>____ mmHg</w:t>
            </w:r>
          </w:p>
        </w:tc>
        <w:tc>
          <w:tcPr>
            <w:tcW w:w="97" w:type="pct"/>
            <w:tcBorders>
              <w:top w:val="nil"/>
              <w:left w:val="nil"/>
              <w:bottom w:val="nil"/>
              <w:right w:val="nil"/>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p>
        </w:tc>
        <w:tc>
          <w:tcPr>
            <w:tcW w:w="1686" w:type="pct"/>
            <w:gridSpan w:val="9"/>
            <w:tcBorders>
              <w:top w:val="dashed" w:sz="4" w:space="0" w:color="auto"/>
              <w:left w:val="nil"/>
              <w:bottom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Other blood products transfused:</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143"/>
        </w:trPr>
        <w:tc>
          <w:tcPr>
            <w:tcW w:w="1444" w:type="pct"/>
            <w:gridSpan w:val="5"/>
            <w:tcBorders>
              <w:top w:val="nil"/>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 xml:space="preserve">Processing Time:    </w:t>
            </w: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jc w:val="right"/>
              <w:rPr>
                <w:rFonts w:ascii="TitilliumText25L" w:eastAsia="Times New Roman" w:hAnsi="TitilliumText25L" w:cs="Arial"/>
                <w:sz w:val="18"/>
                <w:szCs w:val="18"/>
              </w:rPr>
            </w:pPr>
            <w:r w:rsidRPr="003032D8">
              <w:rPr>
                <w:rFonts w:ascii="TitilliumText25L" w:eastAsia="Times New Roman" w:hAnsi="TitilliumText25L" w:cs="Arial"/>
                <w:sz w:val="18"/>
                <w:szCs w:val="18"/>
              </w:rPr>
              <w:t>________</w:t>
            </w:r>
          </w:p>
        </w:tc>
        <w:tc>
          <w:tcPr>
            <w:tcW w:w="97" w:type="pct"/>
            <w:tcBorders>
              <w:top w:val="nil"/>
              <w:left w:val="nil"/>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p>
        </w:tc>
        <w:tc>
          <w:tcPr>
            <w:tcW w:w="385" w:type="pct"/>
            <w:gridSpan w:val="2"/>
            <w:tcBorders>
              <w:top w:val="nil"/>
              <w:left w:val="nil"/>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Platelets</w:t>
            </w:r>
          </w:p>
        </w:tc>
        <w:tc>
          <w:tcPr>
            <w:tcW w:w="432" w:type="pct"/>
            <w:gridSpan w:val="3"/>
            <w:tcBorders>
              <w:top w:val="nil"/>
              <w:left w:val="nil"/>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_____u</w:t>
            </w:r>
          </w:p>
        </w:tc>
        <w:tc>
          <w:tcPr>
            <w:tcW w:w="530" w:type="pct"/>
            <w:gridSpan w:val="2"/>
            <w:tcBorders>
              <w:top w:val="nil"/>
              <w:left w:val="nil"/>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Clotting factors</w:t>
            </w:r>
          </w:p>
        </w:tc>
        <w:tc>
          <w:tcPr>
            <w:tcW w:w="339" w:type="pct"/>
            <w:gridSpan w:val="2"/>
            <w:tcBorders>
              <w:top w:val="nil"/>
              <w:left w:val="nil"/>
              <w:bottom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_____u</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64"/>
        </w:trPr>
        <w:tc>
          <w:tcPr>
            <w:tcW w:w="392" w:type="pct"/>
            <w:tcBorders>
              <w:top w:val="nil"/>
              <w:left w:val="single" w:sz="4" w:space="0" w:color="auto"/>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392" w:type="pct"/>
            <w:tcBorders>
              <w:top w:val="nil"/>
              <w:left w:val="nil"/>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396" w:type="pct"/>
            <w:tcBorders>
              <w:top w:val="nil"/>
              <w:left w:val="nil"/>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264" w:type="pct"/>
            <w:gridSpan w:val="2"/>
            <w:tcBorders>
              <w:top w:val="nil"/>
              <w:left w:val="nil"/>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432" w:type="pct"/>
            <w:gridSpan w:val="3"/>
            <w:tcBorders>
              <w:top w:val="nil"/>
              <w:left w:val="nil"/>
              <w:bottom w:val="single" w:sz="4" w:space="0" w:color="auto"/>
              <w:right w:val="nil"/>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97" w:type="pct"/>
            <w:tcBorders>
              <w:top w:val="nil"/>
              <w:left w:val="nil"/>
              <w:bottom w:val="single" w:sz="4" w:space="0" w:color="auto"/>
              <w:right w:val="nil"/>
            </w:tcBorders>
            <w:shd w:val="clear" w:color="auto" w:fill="auto"/>
            <w:noWrap/>
          </w:tcPr>
          <w:p w:rsidR="00BE3BE3" w:rsidRPr="003032D8" w:rsidRDefault="00BE3BE3" w:rsidP="00D65937">
            <w:pPr>
              <w:spacing w:after="0"/>
              <w:rPr>
                <w:rFonts w:ascii="TitilliumText25L" w:eastAsia="Times New Roman" w:hAnsi="TitilliumText25L" w:cs="Arial"/>
                <w:b/>
                <w:bCs/>
                <w:sz w:val="18"/>
                <w:szCs w:val="18"/>
                <w:u w:val="single"/>
              </w:rPr>
            </w:pPr>
            <w:r w:rsidRPr="003032D8">
              <w:rPr>
                <w:rFonts w:ascii="Courier New" w:eastAsia="Times New Roman" w:hAnsi="Courier New" w:cs="Courier New"/>
                <w:b/>
                <w:bCs/>
                <w:sz w:val="18"/>
                <w:szCs w:val="18"/>
                <w:u w:val="single"/>
              </w:rPr>
              <w:t> </w:t>
            </w:r>
          </w:p>
        </w:tc>
        <w:tc>
          <w:tcPr>
            <w:tcW w:w="385" w:type="pct"/>
            <w:gridSpan w:val="2"/>
            <w:tcBorders>
              <w:top w:val="nil"/>
              <w:left w:val="nil"/>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Plasma</w:t>
            </w:r>
          </w:p>
        </w:tc>
        <w:tc>
          <w:tcPr>
            <w:tcW w:w="432" w:type="pct"/>
            <w:gridSpan w:val="3"/>
            <w:tcBorders>
              <w:top w:val="nil"/>
              <w:left w:val="nil"/>
              <w:bottom w:val="single" w:sz="4" w:space="0" w:color="auto"/>
              <w:right w:val="nil"/>
            </w:tcBorders>
            <w:shd w:val="clear" w:color="auto" w:fill="auto"/>
            <w:noWrap/>
            <w:vAlign w:val="bottom"/>
          </w:tcPr>
          <w:p w:rsidR="00BE3BE3" w:rsidRPr="003032D8" w:rsidRDefault="00BE3BE3" w:rsidP="00D65937">
            <w:pPr>
              <w:spacing w:after="60"/>
              <w:rPr>
                <w:rFonts w:ascii="TitilliumText25L" w:eastAsia="Times New Roman" w:hAnsi="TitilliumText25L" w:cs="Arial"/>
                <w:sz w:val="18"/>
                <w:szCs w:val="18"/>
              </w:rPr>
            </w:pPr>
            <w:r w:rsidRPr="003032D8">
              <w:rPr>
                <w:rFonts w:ascii="TitilliumText25L" w:eastAsia="Times New Roman" w:hAnsi="TitilliumText25L" w:cs="Arial"/>
                <w:sz w:val="18"/>
                <w:szCs w:val="18"/>
              </w:rPr>
              <w:t>_____u</w:t>
            </w:r>
          </w:p>
        </w:tc>
        <w:tc>
          <w:tcPr>
            <w:tcW w:w="530" w:type="pct"/>
            <w:gridSpan w:val="2"/>
            <w:tcBorders>
              <w:top w:val="nil"/>
              <w:left w:val="nil"/>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Cryo</w:t>
            </w:r>
          </w:p>
        </w:tc>
        <w:tc>
          <w:tcPr>
            <w:tcW w:w="339" w:type="pct"/>
            <w:gridSpan w:val="2"/>
            <w:tcBorders>
              <w:top w:val="nil"/>
              <w:left w:val="nil"/>
              <w:bottom w:val="nil"/>
              <w:right w:val="single" w:sz="4" w:space="0" w:color="auto"/>
            </w:tcBorders>
            <w:shd w:val="clear" w:color="auto" w:fill="auto"/>
            <w:noWrap/>
            <w:vAlign w:val="bottom"/>
          </w:tcPr>
          <w:p w:rsidR="00BE3BE3" w:rsidRPr="003032D8" w:rsidRDefault="00BE3BE3" w:rsidP="00D65937">
            <w:pPr>
              <w:spacing w:after="60"/>
              <w:rPr>
                <w:rFonts w:ascii="TitilliumText25L" w:eastAsia="Times New Roman" w:hAnsi="TitilliumText25L" w:cs="Arial"/>
                <w:sz w:val="18"/>
                <w:szCs w:val="18"/>
              </w:rPr>
            </w:pPr>
            <w:r w:rsidRPr="003032D8">
              <w:rPr>
                <w:rFonts w:ascii="TitilliumText25L" w:eastAsia="Times New Roman" w:hAnsi="TitilliumText25L" w:cs="Arial"/>
                <w:sz w:val="18"/>
                <w:szCs w:val="18"/>
              </w:rPr>
              <w:t>_____u</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64"/>
        </w:trPr>
        <w:tc>
          <w:tcPr>
            <w:tcW w:w="3659" w:type="pct"/>
            <w:gridSpan w:val="18"/>
            <w:vMerge w:val="restart"/>
            <w:tcBorders>
              <w:top w:val="single" w:sz="4" w:space="0" w:color="auto"/>
              <w:left w:val="single" w:sz="4" w:space="0" w:color="auto"/>
              <w:right w:val="single" w:sz="4" w:space="0" w:color="auto"/>
            </w:tcBorders>
            <w:shd w:val="clear" w:color="auto" w:fill="auto"/>
            <w:noWrap/>
            <w:vAlign w:val="center"/>
          </w:tcPr>
          <w:p w:rsidR="00BE3BE3" w:rsidRPr="003032D8" w:rsidRDefault="00BE3BE3" w:rsidP="00D65937">
            <w:pPr>
              <w:spacing w:after="0"/>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rPr>
              <w:t>COMMENTS/ADVERSE EVENTS:</w:t>
            </w:r>
          </w:p>
        </w:tc>
        <w:tc>
          <w:tcPr>
            <w:tcW w:w="9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Autotransfusion Set</w:t>
            </w: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47"/>
        </w:trPr>
        <w:tc>
          <w:tcPr>
            <w:tcW w:w="3659" w:type="pct"/>
            <w:gridSpan w:val="18"/>
            <w:vMerge/>
            <w:tcBorders>
              <w:left w:val="single" w:sz="4" w:space="0" w:color="auto"/>
              <w:bottom w:val="dashed" w:sz="4" w:space="0" w:color="auto"/>
              <w:right w:val="single" w:sz="4" w:space="0" w:color="auto"/>
            </w:tcBorders>
            <w:shd w:val="clear" w:color="auto" w:fill="auto"/>
            <w:noWrap/>
          </w:tcPr>
          <w:p w:rsidR="00BE3BE3" w:rsidRPr="003032D8" w:rsidRDefault="00BE3BE3" w:rsidP="00D65937">
            <w:pPr>
              <w:spacing w:after="0"/>
              <w:rPr>
                <w:rFonts w:ascii="TitilliumText25L" w:eastAsia="Times New Roman" w:hAnsi="TitilliumText25L" w:cs="Arial"/>
                <w:sz w:val="18"/>
                <w:szCs w:val="18"/>
              </w:rPr>
            </w:pPr>
          </w:p>
        </w:tc>
        <w:tc>
          <w:tcPr>
            <w:tcW w:w="96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E3BE3" w:rsidRPr="003032D8" w:rsidRDefault="00BE3BE3" w:rsidP="00D65937">
            <w:pPr>
              <w:spacing w:after="0"/>
              <w:jc w:val="center"/>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372" w:type="pct"/>
            <w:vMerge/>
            <w:tcBorders>
              <w:left w:val="single" w:sz="4" w:space="0" w:color="auto"/>
              <w:right w:val="single" w:sz="4" w:space="0" w:color="000000"/>
            </w:tcBorders>
          </w:tcPr>
          <w:p w:rsidR="00BE3BE3" w:rsidRPr="003032D8" w:rsidRDefault="00BE3BE3" w:rsidP="00D65937">
            <w:pPr>
              <w:spacing w:after="0"/>
              <w:jc w:val="center"/>
              <w:rPr>
                <w:rFonts w:ascii="TitilliumText25L" w:eastAsia="Times New Roman" w:hAnsi="TitilliumText25L" w:cs="Arial"/>
                <w:sz w:val="18"/>
                <w:szCs w:val="18"/>
              </w:rPr>
            </w:pPr>
          </w:p>
        </w:tc>
      </w:tr>
      <w:tr w:rsidR="00BE3BE3" w:rsidRPr="003032D8" w:rsidTr="00D65937">
        <w:trPr>
          <w:trHeight w:val="456"/>
        </w:trPr>
        <w:tc>
          <w:tcPr>
            <w:tcW w:w="2799" w:type="pct"/>
            <w:gridSpan w:val="15"/>
            <w:tcBorders>
              <w:top w:val="nil"/>
              <w:left w:val="single" w:sz="4" w:space="0" w:color="auto"/>
              <w:bottom w:val="nil"/>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b/>
                <w:bCs/>
                <w:sz w:val="18"/>
                <w:szCs w:val="18"/>
              </w:rPr>
            </w:pPr>
            <w:r w:rsidRPr="003032D8">
              <w:rPr>
                <w:rFonts w:ascii="TitilliumText25L" w:eastAsia="Times New Roman" w:hAnsi="TitilliumText25L" w:cs="Arial"/>
                <w:sz w:val="18"/>
                <w:szCs w:val="18"/>
              </w:rPr>
              <w:t>Filters used</w:t>
            </w:r>
            <w:r w:rsidRPr="003032D8">
              <w:rPr>
                <w:rFonts w:ascii="TitilliumText25L" w:eastAsia="Times New Roman" w:hAnsi="TitilliumText25L" w:cs="Arial"/>
                <w:b/>
                <w:bCs/>
                <w:sz w:val="18"/>
                <w:szCs w:val="18"/>
              </w:rPr>
              <w:t xml:space="preserve">:     </w:t>
            </w:r>
            <w:proofErr w:type="spellStart"/>
            <w:r w:rsidRPr="003032D8">
              <w:rPr>
                <w:rFonts w:ascii="TitilliumText25L" w:eastAsia="Times New Roman" w:hAnsi="TitilliumText25L" w:cs="Arial"/>
                <w:sz w:val="18"/>
                <w:szCs w:val="18"/>
              </w:rPr>
              <w:t>Lipiguard</w:t>
            </w:r>
            <w:proofErr w:type="spellEnd"/>
            <w:r w:rsidRPr="003032D8">
              <w:rPr>
                <w:rFonts w:ascii="TitilliumText25L" w:eastAsia="Times New Roman" w:hAnsi="TitilliumText25L" w:cs="Arial"/>
                <w:sz w:val="18"/>
                <w:szCs w:val="18"/>
              </w:rPr>
              <w:t xml:space="preserve">   </w:t>
            </w:r>
            <w:r w:rsidRPr="003032D8">
              <w:rPr>
                <w:rFonts w:ascii="Courier New" w:eastAsia="Times New Roman" w:hAnsi="Courier New" w:cs="Courier New"/>
                <w:sz w:val="18"/>
                <w:szCs w:val="18"/>
              </w:rPr>
              <w:t>□</w:t>
            </w:r>
            <w:r w:rsidRPr="003032D8">
              <w:rPr>
                <w:rFonts w:ascii="TitilliumText25L" w:eastAsia="Times New Roman" w:hAnsi="TitilliumText25L" w:cs="Arial"/>
                <w:sz w:val="18"/>
                <w:szCs w:val="18"/>
              </w:rPr>
              <w:t xml:space="preserve">                 </w:t>
            </w:r>
            <w:proofErr w:type="spellStart"/>
            <w:r w:rsidRPr="003032D8">
              <w:rPr>
                <w:rFonts w:ascii="TitilliumText25L" w:eastAsia="Times New Roman" w:hAnsi="TitilliumText25L" w:cs="Arial"/>
                <w:sz w:val="18"/>
                <w:szCs w:val="18"/>
              </w:rPr>
              <w:t>Leukoguard</w:t>
            </w:r>
            <w:proofErr w:type="spellEnd"/>
            <w:r w:rsidRPr="003032D8">
              <w:rPr>
                <w:rFonts w:ascii="TitilliumText25L" w:eastAsia="Times New Roman" w:hAnsi="TitilliumText25L" w:cs="Arial"/>
                <w:sz w:val="18"/>
                <w:szCs w:val="18"/>
              </w:rPr>
              <w:t xml:space="preserve"> RS 1VTE  </w:t>
            </w:r>
            <w:r w:rsidRPr="003032D8">
              <w:rPr>
                <w:rFonts w:ascii="Courier New" w:eastAsia="Times New Roman" w:hAnsi="Courier New" w:cs="Courier New"/>
                <w:sz w:val="18"/>
                <w:szCs w:val="18"/>
              </w:rPr>
              <w:t>□</w:t>
            </w:r>
            <w:r w:rsidRPr="003032D8">
              <w:rPr>
                <w:rFonts w:ascii="TitilliumText25L" w:eastAsia="Times New Roman" w:hAnsi="TitilliumText25L" w:cs="Arial"/>
                <w:sz w:val="18"/>
                <w:szCs w:val="18"/>
              </w:rPr>
              <w:t xml:space="preserve">                     Other filter  </w:t>
            </w:r>
            <w:r w:rsidRPr="003032D8">
              <w:rPr>
                <w:rFonts w:ascii="Courier New" w:eastAsia="Times New Roman" w:hAnsi="Courier New" w:cs="Courier New"/>
                <w:sz w:val="18"/>
                <w:szCs w:val="18"/>
              </w:rPr>
              <w:t>□</w:t>
            </w:r>
            <w:r w:rsidRPr="003032D8">
              <w:rPr>
                <w:rFonts w:ascii="TitilliumText25L" w:eastAsia="Times New Roman" w:hAnsi="TitilliumText25L" w:cs="Arial"/>
                <w:sz w:val="18"/>
                <w:szCs w:val="18"/>
              </w:rPr>
              <w:t xml:space="preserve"> </w:t>
            </w:r>
          </w:p>
        </w:tc>
        <w:tc>
          <w:tcPr>
            <w:tcW w:w="860" w:type="pct"/>
            <w:gridSpan w:val="3"/>
            <w:tcBorders>
              <w:top w:val="nil"/>
              <w:left w:val="nil"/>
              <w:bottom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76"/>
        </w:trPr>
        <w:tc>
          <w:tcPr>
            <w:tcW w:w="1180" w:type="pct"/>
            <w:gridSpan w:val="3"/>
            <w:tcBorders>
              <w:top w:val="single" w:sz="4" w:space="0" w:color="auto"/>
              <w:left w:val="single" w:sz="4" w:space="0" w:color="auto"/>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b/>
                <w:bCs/>
                <w:sz w:val="18"/>
                <w:szCs w:val="18"/>
              </w:rPr>
            </w:pPr>
            <w:r w:rsidRPr="003032D8">
              <w:rPr>
                <w:rFonts w:ascii="TitilliumText25L" w:eastAsia="Times New Roman" w:hAnsi="TitilliumText25L" w:cs="Arial"/>
                <w:b/>
                <w:bCs/>
                <w:sz w:val="18"/>
                <w:szCs w:val="18"/>
              </w:rPr>
              <w:t>POST-OPERATIVE RESULTS</w:t>
            </w:r>
            <w:r w:rsidRPr="003032D8">
              <w:rPr>
                <w:rFonts w:ascii="TitilliumText25L" w:eastAsia="Times New Roman" w:hAnsi="TitilliumText25L" w:cs="Arial"/>
                <w:sz w:val="18"/>
                <w:szCs w:val="18"/>
              </w:rPr>
              <w:t>:</w:t>
            </w:r>
          </w:p>
        </w:tc>
        <w:tc>
          <w:tcPr>
            <w:tcW w:w="203" w:type="pct"/>
            <w:tcBorders>
              <w:top w:val="single" w:sz="4" w:space="0" w:color="auto"/>
              <w:left w:val="nil"/>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372" w:type="pct"/>
            <w:gridSpan w:val="2"/>
            <w:tcBorders>
              <w:top w:val="single" w:sz="4" w:space="0" w:color="auto"/>
              <w:left w:val="nil"/>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80" w:type="pct"/>
            <w:tcBorders>
              <w:top w:val="single" w:sz="4" w:space="0" w:color="auto"/>
              <w:left w:val="nil"/>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263" w:type="pct"/>
            <w:gridSpan w:val="3"/>
            <w:tcBorders>
              <w:top w:val="single" w:sz="4" w:space="0" w:color="auto"/>
              <w:left w:val="nil"/>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292" w:type="pct"/>
            <w:gridSpan w:val="2"/>
            <w:tcBorders>
              <w:top w:val="single" w:sz="4" w:space="0" w:color="auto"/>
              <w:left w:val="nil"/>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409" w:type="pct"/>
            <w:gridSpan w:val="3"/>
            <w:tcBorders>
              <w:top w:val="single" w:sz="4" w:space="0" w:color="auto"/>
              <w:left w:val="nil"/>
              <w:bottom w:val="single" w:sz="4" w:space="0" w:color="auto"/>
              <w:right w:val="nil"/>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860" w:type="pct"/>
            <w:gridSpan w:val="3"/>
            <w:tcBorders>
              <w:top w:val="single" w:sz="4" w:space="0" w:color="auto"/>
              <w:left w:val="nil"/>
              <w:bottom w:val="single" w:sz="4" w:space="0" w:color="auto"/>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276"/>
        </w:trPr>
        <w:tc>
          <w:tcPr>
            <w:tcW w:w="3659" w:type="pct"/>
            <w:gridSpan w:val="18"/>
            <w:tcBorders>
              <w:top w:val="nil"/>
              <w:left w:val="single" w:sz="4" w:space="0" w:color="auto"/>
              <w:bottom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 xml:space="preserve">Cell Saver blood:  Hb___     </w:t>
            </w:r>
            <w:proofErr w:type="spellStart"/>
            <w:r w:rsidRPr="003032D8">
              <w:rPr>
                <w:rFonts w:ascii="TitilliumText25L" w:eastAsia="Times New Roman" w:hAnsi="TitilliumText25L" w:cs="Arial"/>
                <w:sz w:val="18"/>
                <w:szCs w:val="18"/>
              </w:rPr>
              <w:t>Hct</w:t>
            </w:r>
            <w:proofErr w:type="spellEnd"/>
            <w:r w:rsidRPr="003032D8">
              <w:rPr>
                <w:rFonts w:ascii="TitilliumText25L" w:eastAsia="Times New Roman" w:hAnsi="TitilliumText25L" w:cs="Arial"/>
                <w:sz w:val="18"/>
                <w:szCs w:val="18"/>
              </w:rPr>
              <w:t xml:space="preserve">___          Patient </w:t>
            </w:r>
            <w:proofErr w:type="spellStart"/>
            <w:r w:rsidRPr="003032D8">
              <w:rPr>
                <w:rFonts w:ascii="TitilliumText25L" w:eastAsia="Times New Roman" w:hAnsi="TitilliumText25L" w:cs="Arial"/>
                <w:sz w:val="18"/>
                <w:szCs w:val="18"/>
              </w:rPr>
              <w:t>FBC</w:t>
            </w:r>
            <w:proofErr w:type="spellEnd"/>
            <w:r w:rsidRPr="003032D8">
              <w:rPr>
                <w:rFonts w:ascii="TitilliumText25L" w:eastAsia="Times New Roman" w:hAnsi="TitilliumText25L" w:cs="Arial"/>
                <w:sz w:val="18"/>
                <w:szCs w:val="18"/>
              </w:rPr>
              <w:t xml:space="preserve">:  Hb: preop___   </w:t>
            </w:r>
            <w:proofErr w:type="spellStart"/>
            <w:r w:rsidRPr="003032D8">
              <w:rPr>
                <w:rFonts w:ascii="TitilliumText25L" w:eastAsia="Times New Roman" w:hAnsi="TitilliumText25L" w:cs="Arial"/>
                <w:sz w:val="18"/>
                <w:szCs w:val="18"/>
              </w:rPr>
              <w:t>inop</w:t>
            </w:r>
            <w:proofErr w:type="spellEnd"/>
            <w:r w:rsidRPr="003032D8">
              <w:rPr>
                <w:rFonts w:ascii="TitilliumText25L" w:eastAsia="Times New Roman" w:hAnsi="TitilliumText25L" w:cs="Arial"/>
                <w:sz w:val="18"/>
                <w:szCs w:val="18"/>
              </w:rPr>
              <w:t xml:space="preserve">___  postop___  g/dl  </w:t>
            </w:r>
            <w:proofErr w:type="spellStart"/>
            <w:r w:rsidRPr="003032D8">
              <w:rPr>
                <w:rFonts w:ascii="TitilliumText25L" w:eastAsia="Times New Roman" w:hAnsi="TitilliumText25L" w:cs="Arial"/>
                <w:sz w:val="18"/>
                <w:szCs w:val="18"/>
              </w:rPr>
              <w:t>Hct</w:t>
            </w:r>
            <w:proofErr w:type="spellEnd"/>
            <w:r w:rsidRPr="003032D8">
              <w:rPr>
                <w:rFonts w:ascii="TitilliumText25L" w:eastAsia="Times New Roman" w:hAnsi="TitilliumText25L" w:cs="Arial"/>
                <w:sz w:val="18"/>
                <w:szCs w:val="18"/>
              </w:rPr>
              <w:t xml:space="preserve"> postop____</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420"/>
        </w:trPr>
        <w:tc>
          <w:tcPr>
            <w:tcW w:w="3659" w:type="pct"/>
            <w:gridSpan w:val="18"/>
            <w:tcBorders>
              <w:top w:val="nil"/>
              <w:left w:val="single" w:sz="4" w:space="0" w:color="auto"/>
              <w:bottom w:val="nil"/>
              <w:right w:val="single" w:sz="4" w:space="0" w:color="auto"/>
            </w:tcBorders>
            <w:shd w:val="clear" w:color="auto" w:fill="auto"/>
            <w:noWrap/>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 xml:space="preserve">Microbiology:       Positive </w:t>
            </w:r>
            <w:r w:rsidRPr="003032D8">
              <w:rPr>
                <w:rFonts w:ascii="Courier New" w:eastAsia="Times New Roman" w:hAnsi="Courier New" w:cs="Courier New"/>
                <w:sz w:val="18"/>
                <w:szCs w:val="18"/>
              </w:rPr>
              <w:t>□</w:t>
            </w:r>
            <w:r w:rsidRPr="003032D8">
              <w:rPr>
                <w:rFonts w:ascii="TitilliumText25L" w:eastAsia="Times New Roman" w:hAnsi="TitilliumText25L" w:cs="Courier New"/>
                <w:sz w:val="18"/>
                <w:szCs w:val="18"/>
              </w:rPr>
              <w:t xml:space="preserve">                                                    </w:t>
            </w:r>
            <w:r w:rsidRPr="003032D8">
              <w:rPr>
                <w:rFonts w:ascii="TitilliumText25L" w:eastAsia="Times New Roman" w:hAnsi="TitilliumText25L" w:cs="Arial"/>
                <w:sz w:val="18"/>
                <w:szCs w:val="18"/>
              </w:rPr>
              <w:t>Negative</w:t>
            </w:r>
            <w:r w:rsidRPr="003032D8">
              <w:rPr>
                <w:rFonts w:ascii="TitilliumText25L" w:eastAsia="Times New Roman" w:hAnsi="TitilliumText25L" w:cs="Courier New"/>
                <w:sz w:val="18"/>
                <w:szCs w:val="18"/>
              </w:rPr>
              <w:t xml:space="preserve"> </w:t>
            </w:r>
            <w:r w:rsidRPr="003032D8">
              <w:rPr>
                <w:rFonts w:ascii="Courier New" w:eastAsia="Times New Roman" w:hAnsi="Courier New" w:cs="Courier New"/>
                <w:sz w:val="18"/>
                <w:szCs w:val="18"/>
              </w:rPr>
              <w:t>□</w:t>
            </w:r>
          </w:p>
        </w:tc>
        <w:tc>
          <w:tcPr>
            <w:tcW w:w="969" w:type="pct"/>
            <w:vMerge/>
            <w:tcBorders>
              <w:top w:val="single" w:sz="4" w:space="0" w:color="auto"/>
              <w:left w:val="single" w:sz="4" w:space="0" w:color="auto"/>
              <w:bottom w:val="single" w:sz="4" w:space="0" w:color="auto"/>
              <w:right w:val="single" w:sz="4" w:space="0" w:color="auto"/>
            </w:tcBorders>
            <w:vAlign w:val="center"/>
          </w:tcPr>
          <w:p w:rsidR="00BE3BE3" w:rsidRPr="003032D8" w:rsidRDefault="00BE3BE3" w:rsidP="00D65937">
            <w:pPr>
              <w:spacing w:after="0"/>
              <w:rPr>
                <w:rFonts w:ascii="TitilliumText25L" w:eastAsia="Times New Roman" w:hAnsi="TitilliumText25L" w:cs="Arial"/>
                <w:sz w:val="18"/>
                <w:szCs w:val="18"/>
              </w:rPr>
            </w:pP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540"/>
        </w:trPr>
        <w:tc>
          <w:tcPr>
            <w:tcW w:w="4628" w:type="pct"/>
            <w:gridSpan w:val="19"/>
            <w:tcBorders>
              <w:top w:val="single" w:sz="4" w:space="0" w:color="auto"/>
              <w:left w:val="single" w:sz="4" w:space="0" w:color="auto"/>
              <w:right w:val="single" w:sz="4" w:space="0" w:color="000000"/>
            </w:tcBorders>
            <w:shd w:val="clear" w:color="auto" w:fill="auto"/>
            <w:vAlign w:val="bottom"/>
          </w:tcPr>
          <w:p w:rsidR="00BE3BE3" w:rsidRPr="003032D8" w:rsidRDefault="00BE3BE3" w:rsidP="00BE76FB">
            <w:pPr>
              <w:spacing w:before="60" w:after="0"/>
              <w:rPr>
                <w:rFonts w:ascii="TitilliumText25L" w:eastAsia="Times New Roman" w:hAnsi="TitilliumText25L" w:cs="Arial"/>
                <w:sz w:val="18"/>
                <w:szCs w:val="18"/>
              </w:rPr>
            </w:pPr>
            <w:r w:rsidRPr="003032D8">
              <w:rPr>
                <w:rFonts w:ascii="TitilliumText25L" w:eastAsia="Times New Roman" w:hAnsi="TitilliumText25L" w:cs="Arial"/>
                <w:sz w:val="18"/>
                <w:szCs w:val="18"/>
              </w:rPr>
              <w:t>Autotransfusionist print name:_____________________________ Signature: ________________________  Date:  __________________</w:t>
            </w:r>
            <w:r w:rsidR="00BE76FB" w:rsidRPr="003032D8">
              <w:rPr>
                <w:rFonts w:ascii="TitilliumText25L" w:eastAsia="Times New Roman" w:hAnsi="TitilliumText25L" w:cs="Arial"/>
                <w:sz w:val="18"/>
                <w:szCs w:val="18"/>
              </w:rPr>
              <w:t>Time at machine:  _________</w:t>
            </w:r>
          </w:p>
          <w:p w:rsidR="00BE76FB" w:rsidRPr="003032D8" w:rsidRDefault="00BE76FB" w:rsidP="00BE76FB">
            <w:pPr>
              <w:spacing w:before="120" w:after="120"/>
              <w:rPr>
                <w:rFonts w:ascii="TitilliumText25L" w:eastAsia="Times New Roman" w:hAnsi="TitilliumText25L" w:cs="Arial"/>
                <w:sz w:val="18"/>
                <w:szCs w:val="18"/>
              </w:rPr>
            </w:pPr>
            <w:r w:rsidRPr="003032D8">
              <w:rPr>
                <w:rFonts w:ascii="TitilliumText25L" w:eastAsia="Times New Roman" w:hAnsi="TitilliumText25L" w:cs="Arial"/>
                <w:sz w:val="18"/>
                <w:szCs w:val="18"/>
              </w:rPr>
              <w:t>Autotransfusionist print name:_____________________________ Signature: ________________________  Date:  __________________ Time at machine: _________</w:t>
            </w:r>
          </w:p>
        </w:tc>
        <w:tc>
          <w:tcPr>
            <w:tcW w:w="372" w:type="pct"/>
            <w:vMerge/>
            <w:tcBorders>
              <w:left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r w:rsidR="00BE3BE3" w:rsidRPr="003032D8" w:rsidTr="00D65937">
        <w:trPr>
          <w:trHeight w:val="131"/>
        </w:trPr>
        <w:tc>
          <w:tcPr>
            <w:tcW w:w="4628" w:type="pct"/>
            <w:gridSpan w:val="19"/>
            <w:tcBorders>
              <w:top w:val="nil"/>
              <w:left w:val="single" w:sz="4" w:space="0" w:color="auto"/>
              <w:bottom w:val="single" w:sz="4" w:space="0" w:color="auto"/>
              <w:right w:val="single" w:sz="4" w:space="0" w:color="auto"/>
            </w:tcBorders>
            <w:shd w:val="clear" w:color="auto" w:fill="auto"/>
            <w:vAlign w:val="bottom"/>
          </w:tcPr>
          <w:p w:rsidR="00BE3BE3" w:rsidRPr="003032D8" w:rsidRDefault="00BE3BE3" w:rsidP="00D65937">
            <w:pPr>
              <w:spacing w:after="0"/>
              <w:rPr>
                <w:rFonts w:ascii="TitilliumText25L" w:eastAsia="Times New Roman" w:hAnsi="TitilliumText25L" w:cs="Arial"/>
                <w:sz w:val="18"/>
                <w:szCs w:val="18"/>
              </w:rPr>
            </w:pPr>
            <w:r w:rsidRPr="003032D8">
              <w:rPr>
                <w:rFonts w:ascii="Courier New" w:eastAsia="Times New Roman" w:hAnsi="Courier New" w:cs="Courier New"/>
                <w:sz w:val="18"/>
                <w:szCs w:val="18"/>
              </w:rPr>
              <w:t> </w:t>
            </w:r>
          </w:p>
        </w:tc>
        <w:tc>
          <w:tcPr>
            <w:tcW w:w="372" w:type="pct"/>
            <w:vMerge/>
            <w:tcBorders>
              <w:left w:val="single" w:sz="4" w:space="0" w:color="auto"/>
              <w:bottom w:val="single" w:sz="4" w:space="0" w:color="auto"/>
              <w:right w:val="single" w:sz="4" w:space="0" w:color="000000"/>
            </w:tcBorders>
          </w:tcPr>
          <w:p w:rsidR="00BE3BE3" w:rsidRPr="003032D8" w:rsidRDefault="00BE3BE3" w:rsidP="00D65937">
            <w:pPr>
              <w:spacing w:after="0"/>
              <w:rPr>
                <w:rFonts w:ascii="TitilliumText25L" w:eastAsia="Times New Roman" w:hAnsi="TitilliumText25L" w:cs="Arial"/>
                <w:sz w:val="18"/>
                <w:szCs w:val="18"/>
              </w:rPr>
            </w:pPr>
          </w:p>
        </w:tc>
      </w:tr>
    </w:tbl>
    <w:p w:rsidR="00BE3BE3" w:rsidRPr="003032D8" w:rsidRDefault="00BE3BE3" w:rsidP="00BE3BE3">
      <w:pPr>
        <w:jc w:val="both"/>
        <w:rPr>
          <w:rFonts w:ascii="TitilliumText25L" w:hAnsi="TitilliumText25L" w:cs="Arial"/>
        </w:rPr>
        <w:sectPr w:rsidR="00BE3BE3" w:rsidRPr="003032D8" w:rsidSect="00085E9D">
          <w:pgSz w:w="16838" w:h="11906" w:orient="landscape" w:code="9"/>
          <w:pgMar w:top="526" w:right="1440" w:bottom="1276" w:left="1440" w:header="720" w:footer="0" w:gutter="0"/>
          <w:cols w:space="720"/>
          <w:docGrid w:linePitch="299"/>
        </w:sectPr>
      </w:pPr>
    </w:p>
    <w:p w:rsidR="00BE3BE3" w:rsidRPr="003032D8" w:rsidRDefault="00BE3BE3" w:rsidP="00BE3BE3">
      <w:pPr>
        <w:pStyle w:val="Heading2"/>
        <w:rPr>
          <w:rFonts w:ascii="TitilliumText25L" w:hAnsi="TitilliumText25L"/>
        </w:rPr>
      </w:pPr>
      <w:bookmarkStart w:id="34" w:name="_Appendix_IV"/>
      <w:bookmarkStart w:id="35" w:name="_Toc351386712"/>
      <w:bookmarkStart w:id="36" w:name="_Toc366850080"/>
      <w:bookmarkEnd w:id="34"/>
      <w:r w:rsidRPr="003032D8">
        <w:rPr>
          <w:rFonts w:ascii="TitilliumText25L" w:hAnsi="TitilliumText25L"/>
        </w:rPr>
        <w:lastRenderedPageBreak/>
        <w:t xml:space="preserve">Appendix </w:t>
      </w:r>
      <w:bookmarkEnd w:id="35"/>
      <w:r w:rsidRPr="003032D8">
        <w:rPr>
          <w:rFonts w:ascii="TitilliumText25L" w:hAnsi="TitilliumText25L"/>
        </w:rPr>
        <w:t>IV</w:t>
      </w:r>
      <w:bookmarkEnd w:id="36"/>
    </w:p>
    <w:p w:rsidR="00BE3BE3" w:rsidRPr="003032D8" w:rsidRDefault="00BE3BE3" w:rsidP="00BE3BE3">
      <w:pPr>
        <w:pStyle w:val="Heading3"/>
        <w:jc w:val="center"/>
        <w:rPr>
          <w:rFonts w:ascii="TitilliumText25L" w:hAnsi="TitilliumText25L"/>
          <w:sz w:val="36"/>
          <w:szCs w:val="36"/>
        </w:rPr>
      </w:pPr>
      <w:bookmarkStart w:id="37" w:name="_Toc351386713"/>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p>
    <w:p w:rsidR="00BE3BE3" w:rsidRPr="003032D8" w:rsidRDefault="00BE3BE3" w:rsidP="00BE3BE3">
      <w:pPr>
        <w:pStyle w:val="Heading3"/>
        <w:jc w:val="center"/>
        <w:rPr>
          <w:rFonts w:ascii="TitilliumText25L" w:hAnsi="TitilliumText25L"/>
          <w:sz w:val="36"/>
          <w:szCs w:val="36"/>
        </w:rPr>
      </w:pPr>
      <w:bookmarkStart w:id="38" w:name="_Toc366850081"/>
      <w:r w:rsidRPr="003032D8">
        <w:rPr>
          <w:rFonts w:ascii="TitilliumText25L" w:hAnsi="TitilliumText25L"/>
          <w:sz w:val="36"/>
          <w:szCs w:val="36"/>
        </w:rPr>
        <w:t>Intraoperative Cell Salvage</w:t>
      </w:r>
      <w:bookmarkEnd w:id="38"/>
    </w:p>
    <w:p w:rsidR="00BE3BE3" w:rsidRPr="003032D8" w:rsidRDefault="00BE3BE3" w:rsidP="00BE3BE3">
      <w:pPr>
        <w:pStyle w:val="Heading3"/>
        <w:jc w:val="center"/>
        <w:rPr>
          <w:rFonts w:ascii="TitilliumText25L" w:hAnsi="TitilliumText25L"/>
          <w:sz w:val="36"/>
          <w:szCs w:val="36"/>
        </w:rPr>
      </w:pPr>
      <w:bookmarkStart w:id="39" w:name="_Toc366850082"/>
      <w:r w:rsidRPr="003032D8">
        <w:rPr>
          <w:rFonts w:ascii="TitilliumText25L" w:hAnsi="TitilliumText25L"/>
          <w:sz w:val="36"/>
          <w:szCs w:val="36"/>
        </w:rPr>
        <w:t>Competency Assessment Workbook</w:t>
      </w:r>
      <w:bookmarkEnd w:id="37"/>
      <w:bookmarkEnd w:id="39"/>
    </w:p>
    <w:p w:rsidR="00BE3BE3" w:rsidRPr="003032D8" w:rsidRDefault="00BE3BE3" w:rsidP="00BE3BE3">
      <w:pPr>
        <w:rPr>
          <w:rFonts w:ascii="TitilliumText25L" w:hAnsi="TitilliumText25L" w:cs="Arial"/>
          <w:b/>
          <w:color w:val="C60C30"/>
          <w:sz w:val="28"/>
          <w:szCs w:val="28"/>
        </w:rPr>
      </w:pPr>
      <w:r w:rsidRPr="003032D8">
        <w:rPr>
          <w:rFonts w:ascii="TitilliumText25L" w:hAnsi="TitilliumText25L"/>
        </w:rPr>
        <w:br w:type="page"/>
      </w:r>
    </w:p>
    <w:p w:rsidR="00BE3BE3" w:rsidRPr="003032D8" w:rsidRDefault="00BE3BE3" w:rsidP="00BE3BE3">
      <w:pPr>
        <w:pStyle w:val="Heading3"/>
        <w:jc w:val="center"/>
        <w:rPr>
          <w:rFonts w:ascii="TitilliumText25L" w:hAnsi="TitilliumText25L"/>
        </w:rPr>
      </w:pPr>
    </w:p>
    <w:p w:rsidR="00BE3BE3" w:rsidRPr="003032D8" w:rsidRDefault="00BE3BE3" w:rsidP="00BE3BE3">
      <w:pPr>
        <w:keepNext/>
        <w:keepLines/>
        <w:spacing w:before="480" w:after="0"/>
        <w:rPr>
          <w:rFonts w:ascii="TitilliumText25L" w:hAnsi="TitilliumText25L" w:cs="Arial"/>
          <w:b/>
          <w:color w:val="C60C30"/>
          <w:sz w:val="28"/>
          <w:szCs w:val="28"/>
        </w:rPr>
      </w:pPr>
      <w:bookmarkStart w:id="40" w:name="_Appendix_V"/>
      <w:bookmarkStart w:id="41" w:name="_Toc351386714"/>
      <w:bookmarkEnd w:id="40"/>
      <w:r w:rsidRPr="003032D8">
        <w:rPr>
          <w:rFonts w:ascii="TitilliumText25L" w:hAnsi="TitilliumText25L" w:cs="Arial"/>
          <w:b/>
          <w:color w:val="C60C30"/>
          <w:sz w:val="28"/>
          <w:szCs w:val="28"/>
        </w:rPr>
        <w:t>Contents</w:t>
      </w:r>
    </w:p>
    <w:p w:rsidR="00BE3BE3" w:rsidRPr="003032D8" w:rsidRDefault="00BE3BE3" w:rsidP="00BE3BE3">
      <w:pPr>
        <w:tabs>
          <w:tab w:val="right" w:leader="dot" w:pos="9912"/>
        </w:tabs>
        <w:spacing w:after="100" w:line="240" w:lineRule="auto"/>
        <w:rPr>
          <w:rFonts w:ascii="TitilliumText25L" w:eastAsia="Times New Roman" w:hAnsi="TitilliumText25L" w:cs="Times New Roman"/>
          <w:noProof/>
        </w:rPr>
      </w:pPr>
      <w:r w:rsidRPr="003032D8">
        <w:rPr>
          <w:rFonts w:ascii="TitilliumText25L" w:hAnsi="TitilliumText25L"/>
        </w:rPr>
        <w:fldChar w:fldCharType="begin"/>
      </w:r>
      <w:r w:rsidRPr="003032D8">
        <w:rPr>
          <w:rFonts w:ascii="TitilliumText25L" w:hAnsi="TitilliumText25L"/>
        </w:rPr>
        <w:instrText xml:space="preserve"> TOC \o "1-3" \h \z \u </w:instrText>
      </w:r>
      <w:r w:rsidRPr="003032D8">
        <w:rPr>
          <w:rFonts w:ascii="TitilliumText25L" w:hAnsi="TitilliumText25L"/>
        </w:rPr>
        <w:fldChar w:fldCharType="separate"/>
      </w:r>
      <w:hyperlink w:anchor="_Toc355270937" w:history="1"/>
    </w:p>
    <w:p w:rsidR="00BE3BE3" w:rsidRPr="003032D8" w:rsidRDefault="003032D8" w:rsidP="00BE3BE3">
      <w:pPr>
        <w:tabs>
          <w:tab w:val="right" w:leader="dot" w:pos="9912"/>
        </w:tabs>
        <w:spacing w:after="100" w:line="240" w:lineRule="auto"/>
        <w:rPr>
          <w:rFonts w:ascii="TitilliumText25L" w:eastAsia="Times New Roman" w:hAnsi="TitilliumText25L" w:cs="Times New Roman"/>
          <w:noProof/>
        </w:rPr>
      </w:pPr>
      <w:hyperlink w:anchor="_Toc355270938" w:history="1">
        <w:r w:rsidR="00BE3BE3" w:rsidRPr="003032D8">
          <w:rPr>
            <w:rFonts w:ascii="TitilliumText25L" w:hAnsi="TitilliumText25L"/>
            <w:noProof/>
            <w:color w:val="0000FF"/>
            <w:u w:val="single"/>
          </w:rPr>
          <w:t>Introduction</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_Toc355270938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3</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220"/>
        <w:rPr>
          <w:rFonts w:ascii="TitilliumText25L" w:eastAsia="Times New Roman" w:hAnsi="TitilliumText25L" w:cs="Times New Roman"/>
          <w:noProof/>
        </w:rPr>
      </w:pPr>
      <w:hyperlink w:anchor="_Toc355270939" w:history="1">
        <w:r w:rsidR="00BE3BE3" w:rsidRPr="003032D8">
          <w:rPr>
            <w:rFonts w:ascii="TitilliumText25L" w:hAnsi="TitilliumText25L"/>
            <w:noProof/>
            <w:color w:val="0000FF"/>
            <w:u w:val="single"/>
          </w:rPr>
          <w:t>Maintaining</w:t>
        </w:r>
        <w:r w:rsidR="00BE3BE3" w:rsidRPr="003032D8">
          <w:rPr>
            <w:rFonts w:ascii="TitilliumText25L" w:hAnsi="TitilliumText25L"/>
            <w:noProof/>
            <w:color w:val="0000FF"/>
            <w:spacing w:val="-17"/>
            <w:u w:val="single"/>
          </w:rPr>
          <w:t xml:space="preserve"> </w:t>
        </w:r>
        <w:r w:rsidR="00BE3BE3" w:rsidRPr="003032D8">
          <w:rPr>
            <w:rFonts w:ascii="TitilliumText25L" w:hAnsi="TitilliumText25L"/>
            <w:noProof/>
            <w:color w:val="0000FF"/>
            <w:u w:val="single"/>
          </w:rPr>
          <w:t>competency</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_Toc355270939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5</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220"/>
        <w:rPr>
          <w:rFonts w:ascii="TitilliumText25L" w:eastAsia="Times New Roman" w:hAnsi="TitilliumText25L" w:cs="Times New Roman"/>
          <w:noProof/>
        </w:rPr>
      </w:pPr>
      <w:hyperlink w:anchor="_Toc355270940" w:history="1">
        <w:r w:rsidR="00BE3BE3" w:rsidRPr="003032D8">
          <w:rPr>
            <w:rFonts w:ascii="TitilliumText25L" w:hAnsi="TitilliumText25L"/>
            <w:noProof/>
            <w:color w:val="0000FF"/>
            <w:u w:val="single"/>
          </w:rPr>
          <w:t>Audit</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_Toc355270940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5</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220"/>
        <w:rPr>
          <w:rFonts w:ascii="TitilliumText25L" w:eastAsia="Times New Roman" w:hAnsi="TitilliumText25L" w:cs="Times New Roman"/>
          <w:noProof/>
        </w:rPr>
      </w:pPr>
      <w:hyperlink w:anchor="_Toc355270941" w:history="1">
        <w:r w:rsidR="00BE3BE3" w:rsidRPr="003032D8">
          <w:rPr>
            <w:rFonts w:ascii="TitilliumText25L" w:hAnsi="TitilliumText25L"/>
            <w:noProof/>
            <w:color w:val="0000FF"/>
            <w:u w:val="single"/>
          </w:rPr>
          <w:t>Record of</w:t>
        </w:r>
        <w:r w:rsidR="00BE3BE3" w:rsidRPr="003032D8">
          <w:rPr>
            <w:rFonts w:ascii="TitilliumText25L" w:hAnsi="TitilliumText25L"/>
            <w:noProof/>
            <w:color w:val="0000FF"/>
            <w:spacing w:val="-12"/>
            <w:u w:val="single"/>
          </w:rPr>
          <w:t xml:space="preserve"> </w:t>
        </w:r>
        <w:r w:rsidR="00BE3BE3" w:rsidRPr="003032D8">
          <w:rPr>
            <w:rFonts w:ascii="TitilliumText25L" w:hAnsi="TitilliumText25L"/>
            <w:noProof/>
            <w:color w:val="0000FF"/>
            <w:u w:val="single"/>
          </w:rPr>
          <w:t>Assessors</w:t>
        </w:r>
        <w:r w:rsidR="00BE3BE3" w:rsidRPr="003032D8">
          <w:rPr>
            <w:rFonts w:ascii="TitilliumText25L" w:hAnsi="TitilliumText25L"/>
            <w:noProof/>
            <w:color w:val="0000FF"/>
            <w:spacing w:val="-1"/>
            <w:u w:val="single"/>
          </w:rPr>
          <w:t xml:space="preserve"> </w:t>
        </w:r>
        <w:r w:rsidR="00BE3BE3" w:rsidRPr="003032D8">
          <w:rPr>
            <w:rFonts w:ascii="TitilliumText25L" w:hAnsi="TitilliumText25L"/>
            <w:noProof/>
            <w:color w:val="0000FF"/>
            <w:u w:val="single"/>
          </w:rPr>
          <w:t>I</w:t>
        </w:r>
        <w:r w:rsidR="00BE3BE3" w:rsidRPr="003032D8">
          <w:rPr>
            <w:rFonts w:ascii="TitilliumText25L" w:hAnsi="TitilliumText25L"/>
            <w:noProof/>
            <w:color w:val="0000FF"/>
            <w:spacing w:val="1"/>
            <w:u w:val="single"/>
          </w:rPr>
          <w:t>n</w:t>
        </w:r>
        <w:r w:rsidR="00BE3BE3" w:rsidRPr="003032D8">
          <w:rPr>
            <w:rFonts w:ascii="TitilliumText25L" w:hAnsi="TitilliumText25L"/>
            <w:noProof/>
            <w:color w:val="0000FF"/>
            <w:u w:val="single"/>
          </w:rPr>
          <w:t>itials</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_Toc355270941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6</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220"/>
        <w:rPr>
          <w:rFonts w:ascii="TitilliumText25L" w:eastAsia="Times New Roman" w:hAnsi="TitilliumText25L" w:cs="Times New Roman"/>
          <w:noProof/>
        </w:rPr>
      </w:pPr>
      <w:hyperlink w:anchor="_Toc355270942" w:history="1">
        <w:r w:rsidR="00BE3BE3" w:rsidRPr="003032D8">
          <w:rPr>
            <w:rFonts w:ascii="TitilliumText25L" w:hAnsi="TitilliumText25L"/>
            <w:noProof/>
            <w:color w:val="0000FF"/>
            <w:u w:val="single"/>
          </w:rPr>
          <w:t>Confirmation of Required Pre-assessment</w:t>
        </w:r>
        <w:r w:rsidR="00BE3BE3" w:rsidRPr="003032D8">
          <w:rPr>
            <w:rFonts w:ascii="TitilliumText25L" w:hAnsi="TitilliumText25L"/>
            <w:noProof/>
            <w:color w:val="0000FF"/>
            <w:spacing w:val="-1"/>
            <w:u w:val="single"/>
          </w:rPr>
          <w:t xml:space="preserve"> </w:t>
        </w:r>
        <w:r w:rsidR="00BE3BE3" w:rsidRPr="003032D8">
          <w:rPr>
            <w:rFonts w:ascii="TitilliumText25L" w:hAnsi="TitilliumText25L"/>
            <w:noProof/>
            <w:color w:val="0000FF"/>
            <w:spacing w:val="-18"/>
            <w:u w:val="single"/>
          </w:rPr>
          <w:t>T</w:t>
        </w:r>
        <w:r w:rsidR="00BE3BE3" w:rsidRPr="003032D8">
          <w:rPr>
            <w:rFonts w:ascii="TitilliumText25L" w:hAnsi="TitilliumText25L"/>
            <w:noProof/>
            <w:color w:val="0000FF"/>
            <w:u w:val="single"/>
          </w:rPr>
          <w:t>raining</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_Toc355270942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7</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220"/>
        <w:rPr>
          <w:rFonts w:ascii="TitilliumText25L" w:eastAsia="Times New Roman" w:hAnsi="TitilliumText25L" w:cs="Times New Roman"/>
          <w:noProof/>
        </w:rPr>
      </w:pPr>
      <w:hyperlink w:anchor="_Toc355270943" w:history="1">
        <w:r w:rsidR="00BE3BE3" w:rsidRPr="003032D8">
          <w:rPr>
            <w:rFonts w:ascii="TitilliumText25L" w:hAnsi="TitilliumText25L"/>
            <w:noProof/>
            <w:color w:val="0000FF"/>
            <w:u w:val="single"/>
          </w:rPr>
          <w:t xml:space="preserve">Supervised Clinical </w:t>
        </w:r>
        <w:r w:rsidR="00BE3BE3" w:rsidRPr="003032D8">
          <w:rPr>
            <w:rFonts w:ascii="TitilliumText25L" w:hAnsi="TitilliumText25L"/>
            <w:noProof/>
            <w:color w:val="0000FF"/>
            <w:spacing w:val="-18"/>
            <w:u w:val="single"/>
          </w:rPr>
          <w:t>T</w:t>
        </w:r>
        <w:r w:rsidR="00BE3BE3" w:rsidRPr="003032D8">
          <w:rPr>
            <w:rFonts w:ascii="TitilliumText25L" w:hAnsi="TitilliumText25L"/>
            <w:noProof/>
            <w:color w:val="0000FF"/>
            <w:spacing w:val="1"/>
            <w:u w:val="single"/>
          </w:rPr>
          <w:t>r</w:t>
        </w:r>
        <w:r w:rsidR="00BE3BE3" w:rsidRPr="003032D8">
          <w:rPr>
            <w:rFonts w:ascii="TitilliumText25L" w:hAnsi="TitilliumText25L"/>
            <w:noProof/>
            <w:color w:val="0000FF"/>
            <w:u w:val="single"/>
          </w:rPr>
          <w:t>aining Record</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_Toc355270943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8</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220"/>
        <w:rPr>
          <w:rFonts w:ascii="TitilliumText25L" w:eastAsia="Times New Roman" w:hAnsi="TitilliumText25L" w:cs="Times New Roman"/>
          <w:noProof/>
        </w:rPr>
      </w:pPr>
      <w:hyperlink w:anchor="_Toc355270944" w:history="1">
        <w:r w:rsidR="00BE3BE3" w:rsidRPr="003032D8">
          <w:rPr>
            <w:rFonts w:ascii="TitilliumText25L" w:hAnsi="TitilliumText25L"/>
            <w:noProof/>
            <w:color w:val="0000FF"/>
            <w:u w:val="single"/>
          </w:rPr>
          <w:t>Assessment</w:t>
        </w:r>
        <w:r w:rsidR="00BE3BE3" w:rsidRPr="003032D8">
          <w:rPr>
            <w:rFonts w:ascii="TitilliumText25L" w:hAnsi="TitilliumText25L"/>
            <w:noProof/>
            <w:color w:val="0000FF"/>
            <w:spacing w:val="-1"/>
            <w:u w:val="single"/>
          </w:rPr>
          <w:t xml:space="preserve"> </w:t>
        </w:r>
        <w:r w:rsidR="00BE3BE3" w:rsidRPr="003032D8">
          <w:rPr>
            <w:rFonts w:ascii="TitilliumText25L" w:hAnsi="TitilliumText25L"/>
            <w:noProof/>
            <w:color w:val="0000FF"/>
            <w:u w:val="single"/>
          </w:rPr>
          <w:t>Plan</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_Toc355270944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9</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220"/>
        <w:rPr>
          <w:rFonts w:ascii="TitilliumText25L" w:eastAsia="Times New Roman" w:hAnsi="TitilliumText25L" w:cs="Times New Roman"/>
          <w:noProof/>
        </w:rPr>
      </w:pPr>
      <w:hyperlink w:anchor="_Toc355270945" w:history="1">
        <w:r w:rsidR="00BE3BE3" w:rsidRPr="003032D8">
          <w:rPr>
            <w:rFonts w:ascii="TitilliumText25L" w:hAnsi="TitilliumText25L"/>
            <w:noProof/>
            <w:color w:val="0000FF"/>
            <w:u w:val="single"/>
          </w:rPr>
          <w:t>ICS Competency</w:t>
        </w:r>
        <w:r w:rsidR="00BE3BE3" w:rsidRPr="003032D8">
          <w:rPr>
            <w:rFonts w:ascii="TitilliumText25L" w:hAnsi="TitilliumText25L"/>
            <w:noProof/>
            <w:color w:val="0000FF"/>
            <w:spacing w:val="-17"/>
            <w:u w:val="single"/>
          </w:rPr>
          <w:t xml:space="preserve"> </w:t>
        </w:r>
        <w:r w:rsidR="00BE3BE3" w:rsidRPr="003032D8">
          <w:rPr>
            <w:rFonts w:ascii="TitilliumText25L" w:hAnsi="TitilliumText25L"/>
            <w:noProof/>
            <w:color w:val="0000FF"/>
            <w:u w:val="single"/>
          </w:rPr>
          <w:t>Assessment</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_Toc355270945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10</w:t>
        </w:r>
        <w:r w:rsidR="00BE3BE3" w:rsidRPr="003032D8">
          <w:rPr>
            <w:rFonts w:ascii="TitilliumText25L" w:hAnsi="TitilliumText25L"/>
            <w:noProof/>
            <w:webHidden/>
          </w:rPr>
          <w:fldChar w:fldCharType="end"/>
        </w:r>
      </w:hyperlink>
    </w:p>
    <w:p w:rsidR="00BE3BE3" w:rsidRPr="003032D8" w:rsidRDefault="003032D8" w:rsidP="00BE3BE3">
      <w:pPr>
        <w:tabs>
          <w:tab w:val="left" w:pos="1320"/>
          <w:tab w:val="right" w:leader="dot" w:pos="9912"/>
        </w:tabs>
        <w:spacing w:after="100" w:line="240" w:lineRule="auto"/>
        <w:ind w:left="220"/>
        <w:rPr>
          <w:rFonts w:ascii="TitilliumText25L" w:eastAsia="Times New Roman" w:hAnsi="TitilliumText25L" w:cs="Times New Roman"/>
          <w:noProof/>
        </w:rPr>
      </w:pPr>
      <w:hyperlink w:anchor="_Toc355270946" w:history="1">
        <w:r w:rsidR="00BE3BE3" w:rsidRPr="003032D8">
          <w:rPr>
            <w:rFonts w:ascii="TitilliumText25L" w:hAnsi="TitilliumText25L"/>
            <w:noProof/>
            <w:color w:val="0000FF"/>
            <w:u w:val="single"/>
          </w:rPr>
          <w:t>Section 1</w:t>
        </w:r>
        <w:r w:rsidR="00BE3BE3" w:rsidRPr="003032D8">
          <w:rPr>
            <w:rFonts w:ascii="TitilliumText25L" w:eastAsia="Times New Roman" w:hAnsi="TitilliumText25L" w:cs="Times New Roman"/>
            <w:noProof/>
          </w:rPr>
          <w:tab/>
        </w:r>
        <w:r w:rsidR="00BE3BE3" w:rsidRPr="003032D8">
          <w:rPr>
            <w:rFonts w:ascii="TitilliumText25L" w:hAnsi="TitilliumText25L"/>
            <w:noProof/>
            <w:color w:val="0000FF"/>
            <w:u w:val="single"/>
          </w:rPr>
          <w:t xml:space="preserve"> General</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_Toc355270946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10</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47" w:history="1">
        <w:r w:rsidR="00BE3BE3" w:rsidRPr="003032D8">
          <w:rPr>
            <w:rFonts w:ascii="TitilliumText25L" w:hAnsi="TitilliumText25L"/>
            <w:noProof/>
            <w:color w:val="0000FF"/>
            <w:w w:val="99"/>
            <w:u w:val="single"/>
          </w:rPr>
          <w:t>Knowledge</w:t>
        </w:r>
        <w:r w:rsidR="00BE3BE3" w:rsidRPr="003032D8">
          <w:rPr>
            <w:rFonts w:ascii="TitilliumText25L" w:hAnsi="TitilliumText25L"/>
            <w:noProof/>
            <w:color w:val="0000FF"/>
            <w:spacing w:val="-21"/>
            <w:w w:val="99"/>
            <w:u w:val="single"/>
          </w:rPr>
          <w:t xml:space="preserve"> </w:t>
        </w:r>
        <w:r w:rsidR="00BE3BE3" w:rsidRPr="003032D8">
          <w:rPr>
            <w:rFonts w:ascii="TitilliumText25L" w:hAnsi="TitilliumText25L"/>
            <w:noProof/>
            <w:color w:val="0000FF"/>
            <w:u w:val="single"/>
          </w:rPr>
          <w:t>and</w:t>
        </w:r>
        <w:r w:rsidR="00BE3BE3" w:rsidRPr="003032D8">
          <w:rPr>
            <w:rFonts w:ascii="TitilliumText25L" w:hAnsi="TitilliumText25L"/>
            <w:noProof/>
            <w:color w:val="0000FF"/>
            <w:spacing w:val="-4"/>
            <w:u w:val="single"/>
          </w:rPr>
          <w:t xml:space="preserve"> </w:t>
        </w:r>
        <w:r w:rsidR="00BE3BE3" w:rsidRPr="003032D8">
          <w:rPr>
            <w:rFonts w:ascii="TitilliumText25L" w:hAnsi="TitilliumText25L"/>
            <w:noProof/>
            <w:color w:val="0000FF"/>
            <w:u w:val="single"/>
          </w:rPr>
          <w:t>Unders</w:t>
        </w:r>
        <w:r w:rsidR="00BE3BE3" w:rsidRPr="003032D8">
          <w:rPr>
            <w:rFonts w:ascii="TitilliumText25L" w:hAnsi="TitilliumText25L"/>
            <w:noProof/>
            <w:color w:val="0000FF"/>
            <w:spacing w:val="-7"/>
            <w:u w:val="single"/>
          </w:rPr>
          <w:t>t</w:t>
        </w:r>
        <w:r w:rsidR="00BE3BE3" w:rsidRPr="003032D8">
          <w:rPr>
            <w:rFonts w:ascii="TitilliumText25L" w:hAnsi="TitilliumText25L"/>
            <w:noProof/>
            <w:color w:val="0000FF"/>
            <w:spacing w:val="1"/>
            <w:u w:val="single"/>
          </w:rPr>
          <w:t>a</w:t>
        </w:r>
        <w:r w:rsidR="00BE3BE3" w:rsidRPr="003032D8">
          <w:rPr>
            <w:rFonts w:ascii="TitilliumText25L" w:hAnsi="TitilliumText25L"/>
            <w:noProof/>
            <w:color w:val="0000FF"/>
            <w:u w:val="single"/>
          </w:rPr>
          <w:t>nding</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_Toc355270947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10</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48" w:history="1">
        <w:r w:rsidR="00BE3BE3" w:rsidRPr="003032D8">
          <w:rPr>
            <w:rFonts w:ascii="TitilliumText25L" w:hAnsi="TitilliumText25L"/>
            <w:noProof/>
            <w:color w:val="0000FF"/>
            <w:w w:val="99"/>
            <w:u w:val="single"/>
          </w:rPr>
          <w:t>Performance</w:t>
        </w:r>
        <w:r w:rsidR="00BE3BE3" w:rsidRPr="003032D8">
          <w:rPr>
            <w:rFonts w:ascii="TitilliumText25L" w:hAnsi="TitilliumText25L"/>
            <w:noProof/>
            <w:color w:val="0000FF"/>
            <w:spacing w:val="-21"/>
            <w:w w:val="99"/>
            <w:u w:val="single"/>
          </w:rPr>
          <w:t xml:space="preserve"> </w:t>
        </w:r>
        <w:r w:rsidR="00BE3BE3" w:rsidRPr="003032D8">
          <w:rPr>
            <w:rFonts w:ascii="TitilliumText25L" w:hAnsi="TitilliumText25L"/>
            <w:noProof/>
            <w:color w:val="0000FF"/>
            <w:u w:val="single"/>
          </w:rPr>
          <w:t>Criteria</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_Toc355270948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11</w:t>
        </w:r>
        <w:r w:rsidR="00BE3BE3" w:rsidRPr="003032D8">
          <w:rPr>
            <w:rFonts w:ascii="TitilliumText25L" w:hAnsi="TitilliumText25L"/>
            <w:noProof/>
            <w:webHidden/>
          </w:rPr>
          <w:fldChar w:fldCharType="end"/>
        </w:r>
      </w:hyperlink>
    </w:p>
    <w:p w:rsidR="00BE3BE3" w:rsidRPr="003032D8" w:rsidRDefault="003032D8" w:rsidP="00BE3BE3">
      <w:pPr>
        <w:tabs>
          <w:tab w:val="left" w:pos="1320"/>
          <w:tab w:val="right" w:leader="dot" w:pos="9912"/>
        </w:tabs>
        <w:spacing w:after="100" w:line="240" w:lineRule="auto"/>
        <w:ind w:left="220"/>
        <w:rPr>
          <w:rFonts w:ascii="TitilliumText25L" w:eastAsia="Times New Roman" w:hAnsi="TitilliumText25L" w:cs="Times New Roman"/>
          <w:noProof/>
        </w:rPr>
      </w:pPr>
      <w:hyperlink w:anchor="_Toc355270949" w:history="1">
        <w:r w:rsidR="00BE3BE3" w:rsidRPr="003032D8">
          <w:rPr>
            <w:rFonts w:ascii="TitilliumText25L" w:hAnsi="TitilliumText25L"/>
            <w:noProof/>
            <w:color w:val="0000FF"/>
            <w:u w:val="single"/>
          </w:rPr>
          <w:t>Section 2</w:t>
        </w:r>
        <w:r w:rsidR="00BE3BE3" w:rsidRPr="003032D8">
          <w:rPr>
            <w:rFonts w:ascii="TitilliumText25L" w:eastAsia="Times New Roman" w:hAnsi="TitilliumText25L" w:cs="Times New Roman"/>
            <w:noProof/>
          </w:rPr>
          <w:tab/>
        </w:r>
        <w:r w:rsidR="00BE3BE3" w:rsidRPr="003032D8">
          <w:rPr>
            <w:rFonts w:ascii="TitilliumText25L" w:hAnsi="TitilliumText25L"/>
            <w:noProof/>
            <w:color w:val="0000FF"/>
            <w:u w:val="single"/>
          </w:rPr>
          <w:t xml:space="preserve"> Prepare equipment for intra-operative blood salvage collection</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_Toc355270949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12</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50" w:history="1">
        <w:r w:rsidR="00BE3BE3" w:rsidRPr="003032D8">
          <w:rPr>
            <w:rFonts w:ascii="TitilliumText25L" w:hAnsi="TitilliumText25L"/>
            <w:noProof/>
            <w:color w:val="0000FF"/>
            <w:w w:val="99"/>
            <w:u w:val="single"/>
          </w:rPr>
          <w:t>Knowledge</w:t>
        </w:r>
        <w:r w:rsidR="00BE3BE3" w:rsidRPr="003032D8">
          <w:rPr>
            <w:rFonts w:ascii="TitilliumText25L" w:hAnsi="TitilliumText25L"/>
            <w:noProof/>
            <w:color w:val="0000FF"/>
            <w:spacing w:val="-21"/>
            <w:w w:val="99"/>
            <w:u w:val="single"/>
          </w:rPr>
          <w:t xml:space="preserve"> </w:t>
        </w:r>
        <w:r w:rsidR="00BE3BE3" w:rsidRPr="003032D8">
          <w:rPr>
            <w:rFonts w:ascii="TitilliumText25L" w:hAnsi="TitilliumText25L"/>
            <w:noProof/>
            <w:color w:val="0000FF"/>
            <w:u w:val="single"/>
          </w:rPr>
          <w:t>and</w:t>
        </w:r>
        <w:r w:rsidR="00BE3BE3" w:rsidRPr="003032D8">
          <w:rPr>
            <w:rFonts w:ascii="TitilliumText25L" w:hAnsi="TitilliumText25L"/>
            <w:noProof/>
            <w:color w:val="0000FF"/>
            <w:spacing w:val="-4"/>
            <w:u w:val="single"/>
          </w:rPr>
          <w:t xml:space="preserve"> </w:t>
        </w:r>
        <w:r w:rsidR="00BE3BE3" w:rsidRPr="003032D8">
          <w:rPr>
            <w:rFonts w:ascii="TitilliumText25L" w:hAnsi="TitilliumText25L"/>
            <w:noProof/>
            <w:color w:val="0000FF"/>
            <w:u w:val="single"/>
          </w:rPr>
          <w:t>Unders</w:t>
        </w:r>
        <w:r w:rsidR="00BE3BE3" w:rsidRPr="003032D8">
          <w:rPr>
            <w:rFonts w:ascii="TitilliumText25L" w:hAnsi="TitilliumText25L"/>
            <w:noProof/>
            <w:color w:val="0000FF"/>
            <w:spacing w:val="-7"/>
            <w:u w:val="single"/>
          </w:rPr>
          <w:t>t</w:t>
        </w:r>
        <w:r w:rsidR="00BE3BE3" w:rsidRPr="003032D8">
          <w:rPr>
            <w:rFonts w:ascii="TitilliumText25L" w:hAnsi="TitilliumText25L"/>
            <w:noProof/>
            <w:color w:val="0000FF"/>
            <w:spacing w:val="1"/>
            <w:u w:val="single"/>
          </w:rPr>
          <w:t>a</w:t>
        </w:r>
        <w:r w:rsidR="00BE3BE3" w:rsidRPr="003032D8">
          <w:rPr>
            <w:rFonts w:ascii="TitilliumText25L" w:hAnsi="TitilliumText25L"/>
            <w:noProof/>
            <w:color w:val="0000FF"/>
            <w:u w:val="single"/>
          </w:rPr>
          <w:t>nding</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_Toc355270950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12</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51" w:history="1">
        <w:r w:rsidR="00BE3BE3" w:rsidRPr="003032D8">
          <w:rPr>
            <w:rFonts w:ascii="TitilliumText25L" w:hAnsi="TitilliumText25L"/>
            <w:noProof/>
            <w:color w:val="0000FF"/>
            <w:w w:val="99"/>
            <w:u w:val="single"/>
          </w:rPr>
          <w:t>Performance</w:t>
        </w:r>
        <w:r w:rsidR="00BE3BE3" w:rsidRPr="003032D8">
          <w:rPr>
            <w:rFonts w:ascii="TitilliumText25L" w:hAnsi="TitilliumText25L"/>
            <w:noProof/>
            <w:color w:val="0000FF"/>
            <w:spacing w:val="-21"/>
            <w:w w:val="99"/>
            <w:u w:val="single"/>
          </w:rPr>
          <w:t xml:space="preserve"> </w:t>
        </w:r>
        <w:r w:rsidR="00BE3BE3" w:rsidRPr="003032D8">
          <w:rPr>
            <w:rFonts w:ascii="TitilliumText25L" w:hAnsi="TitilliumText25L"/>
            <w:noProof/>
            <w:color w:val="0000FF"/>
            <w:u w:val="single"/>
          </w:rPr>
          <w:t>Criteria</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_Toc355270951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13</w:t>
        </w:r>
        <w:r w:rsidR="00BE3BE3" w:rsidRPr="003032D8">
          <w:rPr>
            <w:rFonts w:ascii="TitilliumText25L" w:hAnsi="TitilliumText25L"/>
            <w:noProof/>
            <w:webHidden/>
          </w:rPr>
          <w:fldChar w:fldCharType="end"/>
        </w:r>
      </w:hyperlink>
    </w:p>
    <w:p w:rsidR="00BE3BE3" w:rsidRPr="003032D8" w:rsidRDefault="003032D8" w:rsidP="00BE3BE3">
      <w:pPr>
        <w:tabs>
          <w:tab w:val="left" w:pos="1320"/>
          <w:tab w:val="right" w:leader="dot" w:pos="9912"/>
        </w:tabs>
        <w:spacing w:after="100" w:line="240" w:lineRule="auto"/>
        <w:ind w:left="220"/>
        <w:rPr>
          <w:rFonts w:ascii="TitilliumText25L" w:eastAsia="Times New Roman" w:hAnsi="TitilliumText25L" w:cs="Times New Roman"/>
          <w:noProof/>
        </w:rPr>
      </w:pPr>
      <w:hyperlink w:anchor="_Toc355270952" w:history="1">
        <w:r w:rsidR="00BE3BE3" w:rsidRPr="003032D8">
          <w:rPr>
            <w:rFonts w:ascii="TitilliumText25L" w:hAnsi="TitilliumText25L"/>
            <w:noProof/>
            <w:color w:val="0000FF"/>
            <w:u w:val="single"/>
          </w:rPr>
          <w:t>Section 3</w:t>
        </w:r>
        <w:r w:rsidR="00BE3BE3" w:rsidRPr="003032D8">
          <w:rPr>
            <w:rFonts w:ascii="TitilliumText25L" w:eastAsia="Times New Roman" w:hAnsi="TitilliumText25L" w:cs="Times New Roman"/>
            <w:noProof/>
          </w:rPr>
          <w:tab/>
        </w:r>
        <w:r w:rsidR="00BE3BE3" w:rsidRPr="003032D8">
          <w:rPr>
            <w:rFonts w:ascii="TitilliumText25L" w:hAnsi="TitilliumText25L"/>
            <w:noProof/>
            <w:color w:val="0000FF"/>
            <w:u w:val="single"/>
          </w:rPr>
          <w:t xml:space="preserve"> Operate equipment for intra-operative blood salvage collection</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_Toc355270952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14</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53" w:history="1">
        <w:r w:rsidR="00BE3BE3" w:rsidRPr="003032D8">
          <w:rPr>
            <w:rFonts w:ascii="TitilliumText25L" w:hAnsi="TitilliumText25L"/>
            <w:noProof/>
            <w:color w:val="0000FF"/>
            <w:w w:val="99"/>
            <w:u w:val="single"/>
          </w:rPr>
          <w:t>Knowledge</w:t>
        </w:r>
        <w:r w:rsidR="00BE3BE3" w:rsidRPr="003032D8">
          <w:rPr>
            <w:rFonts w:ascii="TitilliumText25L" w:hAnsi="TitilliumText25L"/>
            <w:noProof/>
            <w:color w:val="0000FF"/>
            <w:spacing w:val="-21"/>
            <w:w w:val="99"/>
            <w:u w:val="single"/>
          </w:rPr>
          <w:t xml:space="preserve"> </w:t>
        </w:r>
        <w:r w:rsidR="00BE3BE3" w:rsidRPr="003032D8">
          <w:rPr>
            <w:rFonts w:ascii="TitilliumText25L" w:hAnsi="TitilliumText25L"/>
            <w:noProof/>
            <w:color w:val="0000FF"/>
            <w:u w:val="single"/>
          </w:rPr>
          <w:t>and</w:t>
        </w:r>
        <w:r w:rsidR="00BE3BE3" w:rsidRPr="003032D8">
          <w:rPr>
            <w:rFonts w:ascii="TitilliumText25L" w:hAnsi="TitilliumText25L"/>
            <w:noProof/>
            <w:color w:val="0000FF"/>
            <w:spacing w:val="-4"/>
            <w:u w:val="single"/>
          </w:rPr>
          <w:t xml:space="preserve"> </w:t>
        </w:r>
        <w:r w:rsidR="00BE3BE3" w:rsidRPr="003032D8">
          <w:rPr>
            <w:rFonts w:ascii="TitilliumText25L" w:hAnsi="TitilliumText25L"/>
            <w:noProof/>
            <w:color w:val="0000FF"/>
            <w:u w:val="single"/>
          </w:rPr>
          <w:t>Unders</w:t>
        </w:r>
        <w:r w:rsidR="00BE3BE3" w:rsidRPr="003032D8">
          <w:rPr>
            <w:rFonts w:ascii="TitilliumText25L" w:hAnsi="TitilliumText25L"/>
            <w:noProof/>
            <w:color w:val="0000FF"/>
            <w:spacing w:val="-7"/>
            <w:u w:val="single"/>
          </w:rPr>
          <w:t>t</w:t>
        </w:r>
        <w:r w:rsidR="00BE3BE3" w:rsidRPr="003032D8">
          <w:rPr>
            <w:rFonts w:ascii="TitilliumText25L" w:hAnsi="TitilliumText25L"/>
            <w:noProof/>
            <w:color w:val="0000FF"/>
            <w:spacing w:val="1"/>
            <w:u w:val="single"/>
          </w:rPr>
          <w:t>a</w:t>
        </w:r>
        <w:r w:rsidR="00BE3BE3" w:rsidRPr="003032D8">
          <w:rPr>
            <w:rFonts w:ascii="TitilliumText25L" w:hAnsi="TitilliumText25L"/>
            <w:noProof/>
            <w:color w:val="0000FF"/>
            <w:u w:val="single"/>
          </w:rPr>
          <w:t>nding</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_Toc355270953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14</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54" w:history="1">
        <w:r w:rsidR="00BE3BE3" w:rsidRPr="003032D8">
          <w:rPr>
            <w:rFonts w:ascii="TitilliumText25L" w:hAnsi="TitilliumText25L"/>
            <w:noProof/>
            <w:color w:val="0000FF"/>
            <w:w w:val="99"/>
            <w:u w:val="single"/>
          </w:rPr>
          <w:t>Performance</w:t>
        </w:r>
        <w:r w:rsidR="00BE3BE3" w:rsidRPr="003032D8">
          <w:rPr>
            <w:rFonts w:ascii="TitilliumText25L" w:hAnsi="TitilliumText25L"/>
            <w:noProof/>
            <w:color w:val="0000FF"/>
            <w:spacing w:val="-21"/>
            <w:w w:val="99"/>
            <w:u w:val="single"/>
          </w:rPr>
          <w:t xml:space="preserve"> </w:t>
        </w:r>
        <w:r w:rsidR="00BE3BE3" w:rsidRPr="003032D8">
          <w:rPr>
            <w:rFonts w:ascii="TitilliumText25L" w:hAnsi="TitilliumText25L"/>
            <w:noProof/>
            <w:color w:val="0000FF"/>
            <w:u w:val="single"/>
          </w:rPr>
          <w:t>Criteria</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_Toc355270954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16</w:t>
        </w:r>
        <w:r w:rsidR="00BE3BE3" w:rsidRPr="003032D8">
          <w:rPr>
            <w:rFonts w:ascii="TitilliumText25L" w:hAnsi="TitilliumText25L"/>
            <w:noProof/>
            <w:webHidden/>
          </w:rPr>
          <w:fldChar w:fldCharType="end"/>
        </w:r>
      </w:hyperlink>
    </w:p>
    <w:p w:rsidR="00BE3BE3" w:rsidRPr="003032D8" w:rsidRDefault="003032D8" w:rsidP="00BE3BE3">
      <w:pPr>
        <w:tabs>
          <w:tab w:val="left" w:pos="1320"/>
          <w:tab w:val="right" w:leader="dot" w:pos="9912"/>
        </w:tabs>
        <w:spacing w:after="100" w:line="240" w:lineRule="auto"/>
        <w:ind w:left="220"/>
        <w:rPr>
          <w:rFonts w:ascii="TitilliumText25L" w:eastAsia="Times New Roman" w:hAnsi="TitilliumText25L" w:cs="Times New Roman"/>
          <w:noProof/>
        </w:rPr>
      </w:pPr>
      <w:hyperlink w:anchor="_Toc355270955" w:history="1">
        <w:r w:rsidR="00BE3BE3" w:rsidRPr="003032D8">
          <w:rPr>
            <w:rFonts w:ascii="TitilliumText25L" w:hAnsi="TitilliumText25L"/>
            <w:noProof/>
            <w:color w:val="0000FF"/>
            <w:u w:val="single"/>
          </w:rPr>
          <w:t>Section 4</w:t>
        </w:r>
        <w:r w:rsidR="00BE3BE3" w:rsidRPr="003032D8">
          <w:rPr>
            <w:rFonts w:ascii="TitilliumText25L" w:eastAsia="Times New Roman" w:hAnsi="TitilliumText25L" w:cs="Times New Roman"/>
            <w:noProof/>
          </w:rPr>
          <w:tab/>
        </w:r>
        <w:r w:rsidR="00BE3BE3" w:rsidRPr="003032D8">
          <w:rPr>
            <w:rFonts w:ascii="TitilliumText25L" w:hAnsi="TitilliumText25L"/>
            <w:noProof/>
            <w:color w:val="0000FF"/>
            <w:u w:val="single"/>
          </w:rPr>
          <w:t xml:space="preserve"> Pre</w:t>
        </w:r>
        <w:r w:rsidR="00BE3BE3" w:rsidRPr="003032D8">
          <w:rPr>
            <w:rFonts w:ascii="TitilliumText25L" w:hAnsi="TitilliumText25L"/>
            <w:noProof/>
            <w:color w:val="0000FF"/>
            <w:spacing w:val="-9"/>
            <w:u w:val="single"/>
          </w:rPr>
          <w:t>p</w:t>
        </w:r>
        <w:r w:rsidR="00BE3BE3" w:rsidRPr="003032D8">
          <w:rPr>
            <w:rFonts w:ascii="TitilliumText25L" w:hAnsi="TitilliumText25L"/>
            <w:noProof/>
            <w:color w:val="0000FF"/>
            <w:u w:val="single"/>
          </w:rPr>
          <w:t>are equipment for processing intra-operative salvage blood</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_Toc355270955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17</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56" w:history="1">
        <w:r w:rsidR="00BE3BE3" w:rsidRPr="003032D8">
          <w:rPr>
            <w:rFonts w:ascii="TitilliumText25L" w:hAnsi="TitilliumText25L"/>
            <w:noProof/>
            <w:color w:val="0000FF"/>
            <w:w w:val="99"/>
            <w:u w:val="single"/>
          </w:rPr>
          <w:t>Knowledge</w:t>
        </w:r>
        <w:r w:rsidR="00BE3BE3" w:rsidRPr="003032D8">
          <w:rPr>
            <w:rFonts w:ascii="TitilliumText25L" w:hAnsi="TitilliumText25L"/>
            <w:noProof/>
            <w:color w:val="0000FF"/>
            <w:spacing w:val="-21"/>
            <w:w w:val="99"/>
            <w:u w:val="single"/>
          </w:rPr>
          <w:t xml:space="preserve"> </w:t>
        </w:r>
        <w:r w:rsidR="00BE3BE3" w:rsidRPr="003032D8">
          <w:rPr>
            <w:rFonts w:ascii="TitilliumText25L" w:hAnsi="TitilliumText25L"/>
            <w:noProof/>
            <w:color w:val="0000FF"/>
            <w:u w:val="single"/>
          </w:rPr>
          <w:t>and</w:t>
        </w:r>
        <w:r w:rsidR="00BE3BE3" w:rsidRPr="003032D8">
          <w:rPr>
            <w:rFonts w:ascii="TitilliumText25L" w:hAnsi="TitilliumText25L"/>
            <w:noProof/>
            <w:color w:val="0000FF"/>
            <w:spacing w:val="-4"/>
            <w:u w:val="single"/>
          </w:rPr>
          <w:t xml:space="preserve"> </w:t>
        </w:r>
        <w:r w:rsidR="00BE3BE3" w:rsidRPr="003032D8">
          <w:rPr>
            <w:rFonts w:ascii="TitilliumText25L" w:hAnsi="TitilliumText25L"/>
            <w:noProof/>
            <w:color w:val="0000FF"/>
            <w:u w:val="single"/>
          </w:rPr>
          <w:t>Unders</w:t>
        </w:r>
        <w:r w:rsidR="00BE3BE3" w:rsidRPr="003032D8">
          <w:rPr>
            <w:rFonts w:ascii="TitilliumText25L" w:hAnsi="TitilliumText25L"/>
            <w:noProof/>
            <w:color w:val="0000FF"/>
            <w:spacing w:val="-7"/>
            <w:u w:val="single"/>
          </w:rPr>
          <w:t>t</w:t>
        </w:r>
        <w:r w:rsidR="00BE3BE3" w:rsidRPr="003032D8">
          <w:rPr>
            <w:rFonts w:ascii="TitilliumText25L" w:hAnsi="TitilliumText25L"/>
            <w:noProof/>
            <w:color w:val="0000FF"/>
            <w:spacing w:val="1"/>
            <w:u w:val="single"/>
          </w:rPr>
          <w:t>a</w:t>
        </w:r>
        <w:r w:rsidR="00BE3BE3" w:rsidRPr="003032D8">
          <w:rPr>
            <w:rFonts w:ascii="TitilliumText25L" w:hAnsi="TitilliumText25L"/>
            <w:noProof/>
            <w:color w:val="0000FF"/>
            <w:u w:val="single"/>
          </w:rPr>
          <w:t>nding</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_Toc355270956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17</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57" w:history="1">
        <w:r w:rsidR="00BE3BE3" w:rsidRPr="003032D8">
          <w:rPr>
            <w:rFonts w:ascii="TitilliumText25L" w:hAnsi="TitilliumText25L"/>
            <w:noProof/>
            <w:color w:val="0000FF"/>
            <w:w w:val="99"/>
            <w:u w:val="single"/>
          </w:rPr>
          <w:t>Performance</w:t>
        </w:r>
        <w:r w:rsidR="00BE3BE3" w:rsidRPr="003032D8">
          <w:rPr>
            <w:rFonts w:ascii="TitilliumText25L" w:hAnsi="TitilliumText25L"/>
            <w:noProof/>
            <w:color w:val="0000FF"/>
            <w:spacing w:val="-21"/>
            <w:w w:val="99"/>
            <w:u w:val="single"/>
          </w:rPr>
          <w:t xml:space="preserve"> </w:t>
        </w:r>
        <w:r w:rsidR="00BE3BE3" w:rsidRPr="003032D8">
          <w:rPr>
            <w:rFonts w:ascii="TitilliumText25L" w:hAnsi="TitilliumText25L"/>
            <w:noProof/>
            <w:color w:val="0000FF"/>
            <w:u w:val="single"/>
          </w:rPr>
          <w:t>Criteria</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_Toc355270957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19</w:t>
        </w:r>
        <w:r w:rsidR="00BE3BE3" w:rsidRPr="003032D8">
          <w:rPr>
            <w:rFonts w:ascii="TitilliumText25L" w:hAnsi="TitilliumText25L"/>
            <w:noProof/>
            <w:webHidden/>
          </w:rPr>
          <w:fldChar w:fldCharType="end"/>
        </w:r>
      </w:hyperlink>
    </w:p>
    <w:p w:rsidR="00BE3BE3" w:rsidRPr="003032D8" w:rsidRDefault="003032D8" w:rsidP="00BE3BE3">
      <w:pPr>
        <w:tabs>
          <w:tab w:val="left" w:pos="1320"/>
          <w:tab w:val="right" w:leader="dot" w:pos="9912"/>
        </w:tabs>
        <w:spacing w:after="100" w:line="240" w:lineRule="auto"/>
        <w:ind w:left="220"/>
        <w:rPr>
          <w:rFonts w:ascii="TitilliumText25L" w:eastAsia="Times New Roman" w:hAnsi="TitilliumText25L" w:cs="Times New Roman"/>
          <w:noProof/>
        </w:rPr>
      </w:pPr>
      <w:hyperlink w:anchor="_Toc355270958" w:history="1">
        <w:r w:rsidR="00BE3BE3" w:rsidRPr="003032D8">
          <w:rPr>
            <w:rFonts w:ascii="TitilliumText25L" w:hAnsi="TitilliumText25L"/>
            <w:noProof/>
            <w:color w:val="0000FF"/>
            <w:u w:val="single"/>
          </w:rPr>
          <w:t>Section 5</w:t>
        </w:r>
        <w:r w:rsidR="00BE3BE3" w:rsidRPr="003032D8">
          <w:rPr>
            <w:rFonts w:ascii="TitilliumText25L" w:eastAsia="Times New Roman" w:hAnsi="TitilliumText25L" w:cs="Times New Roman"/>
            <w:noProof/>
          </w:rPr>
          <w:tab/>
        </w:r>
        <w:r w:rsidR="00BE3BE3" w:rsidRPr="003032D8">
          <w:rPr>
            <w:rFonts w:ascii="TitilliumText25L" w:hAnsi="TitilliumText25L"/>
            <w:noProof/>
            <w:color w:val="0000FF"/>
            <w:u w:val="single"/>
          </w:rPr>
          <w:t xml:space="preserve"> Operate and</w:t>
        </w:r>
        <w:r w:rsidR="00BE3BE3" w:rsidRPr="003032D8">
          <w:rPr>
            <w:rFonts w:ascii="TitilliumText25L" w:hAnsi="TitilliumText25L"/>
            <w:noProof/>
            <w:color w:val="0000FF"/>
            <w:spacing w:val="-2"/>
            <w:u w:val="single"/>
          </w:rPr>
          <w:t xml:space="preserve"> </w:t>
        </w:r>
        <w:r w:rsidR="00BE3BE3" w:rsidRPr="003032D8">
          <w:rPr>
            <w:rFonts w:ascii="TitilliumText25L" w:hAnsi="TitilliumText25L"/>
            <w:noProof/>
            <w:color w:val="0000FF"/>
            <w:u w:val="single"/>
          </w:rPr>
          <w:t>monitor equipment for processing intra-operative salvage blood and complete salvaged blood processing</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_Toc355270958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20</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59" w:history="1">
        <w:r w:rsidR="00BE3BE3" w:rsidRPr="003032D8">
          <w:rPr>
            <w:rFonts w:ascii="TitilliumText25L" w:hAnsi="TitilliumText25L"/>
            <w:noProof/>
            <w:color w:val="0000FF"/>
            <w:u w:val="single"/>
          </w:rPr>
          <w:t>Knowledge and Understanding</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_Toc355270959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20</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440"/>
        <w:rPr>
          <w:rFonts w:ascii="TitilliumText25L" w:eastAsia="Times New Roman" w:hAnsi="TitilliumText25L" w:cs="Times New Roman"/>
          <w:noProof/>
        </w:rPr>
      </w:pPr>
      <w:hyperlink w:anchor="_Toc355270960" w:history="1">
        <w:r w:rsidR="00BE3BE3" w:rsidRPr="003032D8">
          <w:rPr>
            <w:rFonts w:ascii="TitilliumText25L" w:hAnsi="TitilliumText25L"/>
            <w:noProof/>
            <w:color w:val="0000FF"/>
            <w:w w:val="99"/>
            <w:u w:val="single"/>
          </w:rPr>
          <w:t>Performance</w:t>
        </w:r>
        <w:r w:rsidR="00BE3BE3" w:rsidRPr="003032D8">
          <w:rPr>
            <w:rFonts w:ascii="TitilliumText25L" w:hAnsi="TitilliumText25L"/>
            <w:noProof/>
            <w:color w:val="0000FF"/>
            <w:spacing w:val="-21"/>
            <w:w w:val="99"/>
            <w:u w:val="single"/>
          </w:rPr>
          <w:t xml:space="preserve"> </w:t>
        </w:r>
        <w:r w:rsidR="00BE3BE3" w:rsidRPr="003032D8">
          <w:rPr>
            <w:rFonts w:ascii="TitilliumText25L" w:hAnsi="TitilliumText25L"/>
            <w:noProof/>
            <w:color w:val="0000FF"/>
            <w:u w:val="single"/>
          </w:rPr>
          <w:t>Criteria</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_Toc355270960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22</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220"/>
        <w:rPr>
          <w:rFonts w:ascii="TitilliumText25L" w:eastAsia="Times New Roman" w:hAnsi="TitilliumText25L" w:cs="Times New Roman"/>
          <w:noProof/>
        </w:rPr>
      </w:pPr>
      <w:hyperlink w:anchor="_Toc355270961" w:history="1">
        <w:r w:rsidR="00BE3BE3" w:rsidRPr="003032D8">
          <w:rPr>
            <w:rFonts w:ascii="TitilliumText25L" w:hAnsi="TitilliumText25L"/>
            <w:noProof/>
            <w:color w:val="0000FF"/>
            <w:u w:val="single"/>
          </w:rPr>
          <w:t>Reflective Lea</w:t>
        </w:r>
        <w:r w:rsidR="00BE3BE3" w:rsidRPr="003032D8">
          <w:rPr>
            <w:rFonts w:ascii="TitilliumText25L" w:hAnsi="TitilliumText25L"/>
            <w:noProof/>
            <w:color w:val="0000FF"/>
            <w:spacing w:val="1"/>
            <w:u w:val="single"/>
          </w:rPr>
          <w:t>r</w:t>
        </w:r>
        <w:r w:rsidR="00BE3BE3" w:rsidRPr="003032D8">
          <w:rPr>
            <w:rFonts w:ascii="TitilliumText25L" w:hAnsi="TitilliumText25L"/>
            <w:noProof/>
            <w:color w:val="0000FF"/>
            <w:u w:val="single"/>
          </w:rPr>
          <w:t>ning Record</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_Toc355270961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23</w:t>
        </w:r>
        <w:r w:rsidR="00BE3BE3" w:rsidRPr="003032D8">
          <w:rPr>
            <w:rFonts w:ascii="TitilliumText25L" w:hAnsi="TitilliumText25L"/>
            <w:noProof/>
            <w:webHidden/>
          </w:rPr>
          <w:fldChar w:fldCharType="end"/>
        </w:r>
      </w:hyperlink>
    </w:p>
    <w:p w:rsidR="00BE3BE3" w:rsidRPr="003032D8" w:rsidRDefault="003032D8" w:rsidP="00BE3BE3">
      <w:pPr>
        <w:tabs>
          <w:tab w:val="right" w:leader="dot" w:pos="9912"/>
        </w:tabs>
        <w:spacing w:after="100" w:line="240" w:lineRule="auto"/>
        <w:ind w:left="220"/>
        <w:rPr>
          <w:rFonts w:ascii="TitilliumText25L" w:eastAsia="Times New Roman" w:hAnsi="TitilliumText25L" w:cs="Times New Roman"/>
          <w:noProof/>
        </w:rPr>
      </w:pPr>
      <w:hyperlink w:anchor="_Toc355270962" w:history="1">
        <w:r w:rsidR="00BE3BE3" w:rsidRPr="003032D8">
          <w:rPr>
            <w:rFonts w:ascii="TitilliumText25L" w:hAnsi="TitilliumText25L"/>
            <w:noProof/>
            <w:color w:val="0000FF"/>
            <w:u w:val="single"/>
          </w:rPr>
          <w:t>Post Competency Assessment Case Log</w:t>
        </w:r>
        <w:r w:rsidR="00BE3BE3" w:rsidRPr="003032D8">
          <w:rPr>
            <w:rFonts w:ascii="TitilliumText25L" w:hAnsi="TitilliumText25L"/>
            <w:noProof/>
            <w:webHidden/>
          </w:rPr>
          <w:tab/>
        </w:r>
        <w:r w:rsidR="00BE3BE3" w:rsidRPr="003032D8">
          <w:rPr>
            <w:rFonts w:ascii="TitilliumText25L" w:hAnsi="TitilliumText25L"/>
            <w:noProof/>
            <w:webHidden/>
          </w:rPr>
          <w:fldChar w:fldCharType="begin"/>
        </w:r>
        <w:r w:rsidR="00BE3BE3" w:rsidRPr="003032D8">
          <w:rPr>
            <w:rFonts w:ascii="TitilliumText25L" w:hAnsi="TitilliumText25L"/>
            <w:noProof/>
            <w:webHidden/>
          </w:rPr>
          <w:instrText xml:space="preserve"> PAGEREF _Toc355270962 \h </w:instrText>
        </w:r>
        <w:r w:rsidR="00BE3BE3" w:rsidRPr="003032D8">
          <w:rPr>
            <w:rFonts w:ascii="TitilliumText25L" w:hAnsi="TitilliumText25L"/>
            <w:noProof/>
            <w:webHidden/>
          </w:rPr>
        </w:r>
        <w:r w:rsidR="00BE3BE3" w:rsidRPr="003032D8">
          <w:rPr>
            <w:rFonts w:ascii="TitilliumText25L" w:hAnsi="TitilliumText25L"/>
            <w:noProof/>
            <w:webHidden/>
          </w:rPr>
          <w:fldChar w:fldCharType="separate"/>
        </w:r>
        <w:r w:rsidR="0048318A" w:rsidRPr="003032D8">
          <w:rPr>
            <w:rFonts w:ascii="TitilliumText25L" w:hAnsi="TitilliumText25L"/>
            <w:noProof/>
            <w:webHidden/>
          </w:rPr>
          <w:t>24</w:t>
        </w:r>
        <w:r w:rsidR="00BE3BE3" w:rsidRPr="003032D8">
          <w:rPr>
            <w:rFonts w:ascii="TitilliumText25L" w:hAnsi="TitilliumText25L"/>
            <w:noProof/>
            <w:webHidden/>
          </w:rPr>
          <w:fldChar w:fldCharType="end"/>
        </w:r>
      </w:hyperlink>
    </w:p>
    <w:p w:rsidR="00BE3BE3" w:rsidRPr="003032D8" w:rsidRDefault="00BE3BE3" w:rsidP="00BE3BE3">
      <w:pPr>
        <w:spacing w:line="240" w:lineRule="auto"/>
        <w:rPr>
          <w:rFonts w:ascii="TitilliumText25L" w:hAnsi="TitilliumText25L"/>
        </w:rPr>
      </w:pPr>
      <w:r w:rsidRPr="003032D8">
        <w:rPr>
          <w:rFonts w:ascii="TitilliumText25L" w:hAnsi="TitilliumText25L"/>
          <w:b/>
          <w:bCs/>
          <w:noProof/>
        </w:rPr>
        <w:fldChar w:fldCharType="end"/>
      </w:r>
    </w:p>
    <w:p w:rsidR="00BE3BE3" w:rsidRPr="003032D8" w:rsidRDefault="00BE3BE3" w:rsidP="00BE3BE3">
      <w:pPr>
        <w:rPr>
          <w:rFonts w:ascii="TitilliumText25L" w:hAnsi="TitilliumText25L" w:cs="Arial"/>
          <w:sz w:val="36"/>
          <w:szCs w:val="36"/>
        </w:rPr>
      </w:pPr>
      <w:r w:rsidRPr="003032D8">
        <w:rPr>
          <w:rFonts w:ascii="TitilliumText25L" w:hAnsi="TitilliumText25L"/>
        </w:rPr>
        <w:br w:type="page"/>
      </w:r>
    </w:p>
    <w:p w:rsidR="00BE3BE3" w:rsidRPr="003032D8" w:rsidRDefault="00BE3BE3" w:rsidP="00BE3BE3">
      <w:pPr>
        <w:widowControl w:val="0"/>
        <w:spacing w:before="480" w:after="240" w:line="240" w:lineRule="auto"/>
        <w:ind w:right="6"/>
        <w:outlineLvl w:val="0"/>
        <w:rPr>
          <w:rFonts w:ascii="TitilliumText25L" w:eastAsia="HYGothic-Extra" w:hAnsi="TitilliumText25L"/>
          <w:bCs/>
          <w:color w:val="1E1E1E"/>
          <w:spacing w:val="-20"/>
          <w:sz w:val="72"/>
          <w:szCs w:val="72"/>
        </w:rPr>
      </w:pPr>
      <w:bookmarkStart w:id="42" w:name="_Toc355270938"/>
      <w:bookmarkStart w:id="43" w:name="_Toc366850083"/>
      <w:r w:rsidRPr="003032D8">
        <w:rPr>
          <w:rFonts w:ascii="TitilliumText25L" w:eastAsia="HYGothic-Extra" w:hAnsi="TitilliumText25L"/>
          <w:bCs/>
          <w:color w:val="1E1E1E"/>
          <w:spacing w:val="-20"/>
          <w:sz w:val="72"/>
          <w:szCs w:val="72"/>
        </w:rPr>
        <w:t>Introduction</w:t>
      </w:r>
      <w:bookmarkEnd w:id="42"/>
      <w:bookmarkEnd w:id="43"/>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rPr>
        <w:t>This</w:t>
      </w:r>
      <w:r w:rsidRPr="003032D8">
        <w:rPr>
          <w:rFonts w:ascii="TitilliumText25L" w:hAnsi="TitilliumText25L"/>
          <w:spacing w:val="16"/>
        </w:rPr>
        <w:t xml:space="preserve"> </w:t>
      </w:r>
      <w:r w:rsidRPr="003032D8">
        <w:rPr>
          <w:rFonts w:ascii="TitilliumText25L" w:hAnsi="TitilliumText25L"/>
        </w:rPr>
        <w:t>training</w:t>
      </w:r>
      <w:r w:rsidRPr="003032D8">
        <w:rPr>
          <w:rFonts w:ascii="TitilliumText25L" w:hAnsi="TitilliumText25L"/>
          <w:spacing w:val="27"/>
        </w:rPr>
        <w:t xml:space="preserve"> </w:t>
      </w:r>
      <w:r w:rsidRPr="003032D8">
        <w:rPr>
          <w:rFonts w:ascii="TitilliumText25L" w:hAnsi="TitilliumText25L"/>
        </w:rPr>
        <w:t>framework</w:t>
      </w:r>
      <w:r w:rsidRPr="003032D8">
        <w:rPr>
          <w:rFonts w:ascii="TitilliumText25L" w:hAnsi="TitilliumText25L"/>
          <w:spacing w:val="27"/>
        </w:rPr>
        <w:t xml:space="preserve"> </w:t>
      </w:r>
      <w:r w:rsidRPr="003032D8">
        <w:rPr>
          <w:rFonts w:ascii="TitilliumText25L" w:hAnsi="TitilliumText25L"/>
        </w:rPr>
        <w:t>for</w:t>
      </w:r>
      <w:r w:rsidRPr="003032D8">
        <w:rPr>
          <w:rFonts w:ascii="TitilliumText25L" w:hAnsi="TitilliumText25L"/>
          <w:spacing w:val="27"/>
        </w:rPr>
        <w:t xml:space="preserve"> </w:t>
      </w:r>
      <w:r w:rsidRPr="003032D8">
        <w:rPr>
          <w:rFonts w:ascii="TitilliumText25L" w:hAnsi="TitilliumText25L"/>
        </w:rPr>
        <w:t>intraoperative</w:t>
      </w:r>
      <w:r w:rsidRPr="003032D8">
        <w:rPr>
          <w:rFonts w:ascii="TitilliumText25L" w:hAnsi="TitilliumText25L"/>
          <w:spacing w:val="27"/>
        </w:rPr>
        <w:t xml:space="preserve"> </w:t>
      </w:r>
      <w:r w:rsidRPr="003032D8">
        <w:rPr>
          <w:rFonts w:ascii="TitilliumText25L" w:hAnsi="TitilliumText25L"/>
        </w:rPr>
        <w:t>cell</w:t>
      </w:r>
      <w:r w:rsidRPr="003032D8">
        <w:rPr>
          <w:rFonts w:ascii="TitilliumText25L" w:hAnsi="TitilliumText25L"/>
          <w:spacing w:val="27"/>
        </w:rPr>
        <w:t xml:space="preserve"> s</w:t>
      </w:r>
      <w:r w:rsidRPr="003032D8">
        <w:rPr>
          <w:rFonts w:ascii="TitilliumText25L" w:hAnsi="TitilliumText25L"/>
        </w:rPr>
        <w:t>al</w:t>
      </w:r>
      <w:r w:rsidRPr="003032D8">
        <w:rPr>
          <w:rFonts w:ascii="TitilliumText25L" w:hAnsi="TitilliumText25L"/>
          <w:spacing w:val="1"/>
        </w:rPr>
        <w:t>v</w:t>
      </w:r>
      <w:r w:rsidRPr="003032D8">
        <w:rPr>
          <w:rFonts w:ascii="TitilliumText25L" w:hAnsi="TitilliumText25L"/>
        </w:rPr>
        <w:t>age</w:t>
      </w:r>
      <w:r w:rsidRPr="003032D8">
        <w:rPr>
          <w:rFonts w:ascii="TitilliumText25L" w:hAnsi="TitilliumText25L"/>
          <w:spacing w:val="27"/>
        </w:rPr>
        <w:t xml:space="preserve"> (ICS) </w:t>
      </w:r>
      <w:r w:rsidR="005511CB" w:rsidRPr="003032D8">
        <w:rPr>
          <w:rFonts w:ascii="TitilliumText25L" w:hAnsi="TitilliumText25L"/>
        </w:rPr>
        <w:t>autotransfusionist</w:t>
      </w:r>
      <w:r w:rsidRPr="003032D8">
        <w:rPr>
          <w:rFonts w:ascii="TitilliumText25L" w:hAnsi="TitilliumText25L"/>
        </w:rPr>
        <w:t>s</w:t>
      </w:r>
      <w:r w:rsidRPr="003032D8">
        <w:rPr>
          <w:rFonts w:ascii="TitilliumText25L" w:hAnsi="TitilliumText25L"/>
          <w:spacing w:val="27"/>
        </w:rPr>
        <w:t xml:space="preserve"> </w:t>
      </w:r>
      <w:r w:rsidRPr="003032D8">
        <w:rPr>
          <w:rFonts w:ascii="TitilliumText25L" w:hAnsi="TitilliumText25L"/>
        </w:rPr>
        <w:t>has</w:t>
      </w:r>
      <w:r w:rsidRPr="003032D8">
        <w:rPr>
          <w:rFonts w:ascii="TitilliumText25L" w:hAnsi="TitilliumText25L"/>
          <w:spacing w:val="27"/>
        </w:rPr>
        <w:t xml:space="preserve"> </w:t>
      </w:r>
      <w:r w:rsidRPr="003032D8">
        <w:rPr>
          <w:rFonts w:ascii="TitilliumText25L" w:hAnsi="TitilliumText25L"/>
        </w:rPr>
        <w:t>been</w:t>
      </w:r>
      <w:r w:rsidRPr="003032D8">
        <w:rPr>
          <w:rFonts w:ascii="TitilliumText25L" w:hAnsi="TitilliumText25L"/>
          <w:spacing w:val="27"/>
        </w:rPr>
        <w:t xml:space="preserve"> </w:t>
      </w:r>
      <w:r w:rsidRPr="003032D8">
        <w:rPr>
          <w:rFonts w:ascii="TitilliumText25L" w:hAnsi="TitilliumText25L"/>
        </w:rPr>
        <w:t>developed</w:t>
      </w:r>
      <w:r w:rsidRPr="003032D8">
        <w:rPr>
          <w:rFonts w:ascii="TitilliumText25L" w:hAnsi="TitilliumText25L"/>
          <w:spacing w:val="27"/>
        </w:rPr>
        <w:t xml:space="preserve"> </w:t>
      </w:r>
      <w:r w:rsidRPr="003032D8">
        <w:rPr>
          <w:rFonts w:ascii="TitilliumText25L" w:hAnsi="TitilliumText25L"/>
        </w:rPr>
        <w:t>on behalf</w:t>
      </w:r>
      <w:r w:rsidRPr="003032D8">
        <w:rPr>
          <w:rFonts w:ascii="TitilliumText25L" w:hAnsi="TitilliumText25L"/>
          <w:spacing w:val="54"/>
        </w:rPr>
        <w:t xml:space="preserve"> </w:t>
      </w:r>
      <w:r w:rsidRPr="003032D8">
        <w:rPr>
          <w:rFonts w:ascii="TitilliumText25L" w:hAnsi="TitilliumText25L"/>
        </w:rPr>
        <w:t>of</w:t>
      </w:r>
      <w:r w:rsidRPr="003032D8">
        <w:rPr>
          <w:rFonts w:ascii="TitilliumText25L" w:hAnsi="TitilliumText25L"/>
          <w:spacing w:val="54"/>
        </w:rPr>
        <w:t xml:space="preserve"> </w:t>
      </w:r>
      <w:r w:rsidRPr="003032D8">
        <w:rPr>
          <w:rFonts w:ascii="TitilliumText25L" w:hAnsi="TitilliumText25L"/>
          <w:spacing w:val="2"/>
        </w:rPr>
        <w:t>t</w:t>
      </w:r>
      <w:r w:rsidRPr="003032D8">
        <w:rPr>
          <w:rFonts w:ascii="TitilliumText25L" w:hAnsi="TitilliumText25L"/>
        </w:rPr>
        <w:t xml:space="preserve">he National Blood Authority (NBA). </w:t>
      </w:r>
      <w:r w:rsidRPr="003032D8">
        <w:rPr>
          <w:rFonts w:ascii="TitilliumText25L" w:hAnsi="TitilliumText25L"/>
          <w:spacing w:val="1"/>
        </w:rPr>
        <w:t xml:space="preserve"> </w:t>
      </w:r>
      <w:r w:rsidRPr="003032D8">
        <w:rPr>
          <w:rFonts w:ascii="TitilliumText25L" w:hAnsi="TitilliumText25L"/>
        </w:rPr>
        <w:t>It has been reviewed by</w:t>
      </w:r>
      <w:r w:rsidRPr="003032D8">
        <w:rPr>
          <w:rFonts w:ascii="TitilliumText25L" w:hAnsi="TitilliumText25L"/>
          <w:spacing w:val="1"/>
        </w:rPr>
        <w:t xml:space="preserve"> </w:t>
      </w:r>
      <w:r w:rsidRPr="003032D8">
        <w:rPr>
          <w:rFonts w:ascii="TitilliumText25L" w:hAnsi="TitilliumText25L"/>
        </w:rPr>
        <w:t>the NBA intraoperative cell salvage guidance writing group and has been adapted for the Australian health care setting from the UK Cell Salvage Action Group document.</w:t>
      </w:r>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rPr>
        <w:t>To</w:t>
      </w:r>
      <w:r w:rsidRPr="003032D8">
        <w:rPr>
          <w:rFonts w:ascii="TitilliumText25L" w:hAnsi="TitilliumText25L"/>
          <w:spacing w:val="1"/>
        </w:rPr>
        <w:t xml:space="preserve"> </w:t>
      </w:r>
      <w:r w:rsidRPr="003032D8">
        <w:rPr>
          <w:rFonts w:ascii="TitilliumText25L" w:hAnsi="TitilliumText25L"/>
        </w:rPr>
        <w:t>help</w:t>
      </w:r>
      <w:r w:rsidRPr="003032D8">
        <w:rPr>
          <w:rFonts w:ascii="TitilliumText25L" w:hAnsi="TitilliumText25L"/>
          <w:spacing w:val="11"/>
        </w:rPr>
        <w:t xml:space="preserve"> </w:t>
      </w:r>
      <w:r w:rsidRPr="003032D8">
        <w:rPr>
          <w:rFonts w:ascii="TitilliumText25L" w:hAnsi="TitilliumText25L"/>
        </w:rPr>
        <w:t>address</w:t>
      </w:r>
      <w:r w:rsidRPr="003032D8">
        <w:rPr>
          <w:rFonts w:ascii="TitilliumText25L" w:hAnsi="TitilliumText25L"/>
          <w:spacing w:val="11"/>
        </w:rPr>
        <w:t xml:space="preserve"> </w:t>
      </w:r>
      <w:r w:rsidRPr="003032D8">
        <w:rPr>
          <w:rFonts w:ascii="TitilliumText25L" w:hAnsi="TitilliumText25L"/>
        </w:rPr>
        <w:t>training</w:t>
      </w:r>
      <w:r w:rsidRPr="003032D8">
        <w:rPr>
          <w:rFonts w:ascii="TitilliumText25L" w:hAnsi="TitilliumText25L"/>
          <w:spacing w:val="11"/>
        </w:rPr>
        <w:t xml:space="preserve"> </w:t>
      </w:r>
      <w:r w:rsidRPr="003032D8">
        <w:rPr>
          <w:rFonts w:ascii="TitilliumText25L" w:hAnsi="TitilliumText25L"/>
        </w:rPr>
        <w:t>concerns</w:t>
      </w:r>
      <w:r w:rsidRPr="003032D8">
        <w:rPr>
          <w:rFonts w:ascii="TitilliumText25L" w:hAnsi="TitilliumText25L"/>
          <w:spacing w:val="11"/>
        </w:rPr>
        <w:t xml:space="preserve"> </w:t>
      </w:r>
      <w:r w:rsidRPr="003032D8">
        <w:rPr>
          <w:rFonts w:ascii="TitilliumText25L" w:hAnsi="TitilliumText25L"/>
        </w:rPr>
        <w:t>and</w:t>
      </w:r>
      <w:r w:rsidRPr="003032D8">
        <w:rPr>
          <w:rFonts w:ascii="TitilliumText25L" w:hAnsi="TitilliumText25L"/>
          <w:spacing w:val="12"/>
        </w:rPr>
        <w:t xml:space="preserve"> </w:t>
      </w:r>
      <w:r w:rsidRPr="003032D8">
        <w:rPr>
          <w:rFonts w:ascii="TitilliumText25L" w:hAnsi="TitilliumText25L"/>
        </w:rPr>
        <w:t>the</w:t>
      </w:r>
      <w:r w:rsidRPr="003032D8">
        <w:rPr>
          <w:rFonts w:ascii="TitilliumText25L" w:hAnsi="TitilliumText25L"/>
          <w:spacing w:val="12"/>
        </w:rPr>
        <w:t xml:space="preserve"> </w:t>
      </w:r>
      <w:r w:rsidRPr="003032D8">
        <w:rPr>
          <w:rFonts w:ascii="TitilliumText25L" w:hAnsi="TitilliumText25L"/>
        </w:rPr>
        <w:t>lack</w:t>
      </w:r>
      <w:r w:rsidRPr="003032D8">
        <w:rPr>
          <w:rFonts w:ascii="TitilliumText25L" w:hAnsi="TitilliumText25L"/>
          <w:spacing w:val="12"/>
        </w:rPr>
        <w:t xml:space="preserve"> </w:t>
      </w:r>
      <w:r w:rsidRPr="003032D8">
        <w:rPr>
          <w:rFonts w:ascii="TitilliumText25L" w:hAnsi="TitilliumText25L"/>
        </w:rPr>
        <w:t>of</w:t>
      </w:r>
      <w:r w:rsidRPr="003032D8">
        <w:rPr>
          <w:rFonts w:ascii="TitilliumText25L" w:hAnsi="TitilliumText25L"/>
          <w:spacing w:val="14"/>
        </w:rPr>
        <w:t xml:space="preserve"> </w:t>
      </w:r>
      <w:r w:rsidRPr="003032D8">
        <w:rPr>
          <w:rFonts w:ascii="TitilliumText25L" w:hAnsi="TitilliumText25L"/>
        </w:rPr>
        <w:t>competency</w:t>
      </w:r>
      <w:r w:rsidRPr="003032D8">
        <w:rPr>
          <w:rFonts w:ascii="TitilliumText25L" w:hAnsi="TitilliumText25L"/>
          <w:spacing w:val="11"/>
        </w:rPr>
        <w:t xml:space="preserve"> </w:t>
      </w:r>
      <w:r w:rsidRPr="003032D8">
        <w:rPr>
          <w:rFonts w:ascii="TitilliumText25L" w:hAnsi="TitilliumText25L"/>
        </w:rPr>
        <w:t>a</w:t>
      </w:r>
      <w:r w:rsidRPr="003032D8">
        <w:rPr>
          <w:rFonts w:ascii="TitilliumText25L" w:hAnsi="TitilliumText25L"/>
          <w:spacing w:val="1"/>
        </w:rPr>
        <w:t>s</w:t>
      </w:r>
      <w:r w:rsidRPr="003032D8">
        <w:rPr>
          <w:rFonts w:ascii="TitilliumText25L" w:hAnsi="TitilliumText25L"/>
        </w:rPr>
        <w:t>sessments</w:t>
      </w:r>
      <w:r w:rsidRPr="003032D8">
        <w:rPr>
          <w:rFonts w:ascii="TitilliumText25L" w:hAnsi="TitilliumText25L"/>
          <w:spacing w:val="11"/>
        </w:rPr>
        <w:t xml:space="preserve"> </w:t>
      </w:r>
      <w:r w:rsidRPr="003032D8">
        <w:rPr>
          <w:rFonts w:ascii="TitilliumText25L" w:hAnsi="TitilliumText25L"/>
        </w:rPr>
        <w:t>for</w:t>
      </w:r>
      <w:r w:rsidRPr="003032D8">
        <w:rPr>
          <w:rFonts w:ascii="TitilliumText25L" w:hAnsi="TitilliumText25L"/>
          <w:spacing w:val="12"/>
        </w:rPr>
        <w:t xml:space="preserve"> </w:t>
      </w:r>
      <w:r w:rsidR="005511CB" w:rsidRPr="003032D8">
        <w:rPr>
          <w:rFonts w:ascii="TitilliumText25L" w:hAnsi="TitilliumText25L"/>
        </w:rPr>
        <w:t>autotransfusionist</w:t>
      </w:r>
      <w:r w:rsidRPr="003032D8">
        <w:rPr>
          <w:rFonts w:ascii="TitilliumText25L" w:hAnsi="TitilliumText25L"/>
        </w:rPr>
        <w:t>s</w:t>
      </w:r>
      <w:r w:rsidRPr="003032D8">
        <w:rPr>
          <w:rFonts w:ascii="TitilliumText25L" w:hAnsi="TitilliumText25L"/>
          <w:spacing w:val="11"/>
        </w:rPr>
        <w:t xml:space="preserve"> </w:t>
      </w:r>
      <w:r w:rsidRPr="003032D8">
        <w:rPr>
          <w:rFonts w:ascii="TitilliumText25L" w:hAnsi="TitilliumText25L"/>
        </w:rPr>
        <w:t>in</w:t>
      </w:r>
      <w:r w:rsidRPr="003032D8">
        <w:rPr>
          <w:rFonts w:ascii="TitilliumText25L" w:hAnsi="TitilliumText25L"/>
          <w:spacing w:val="11"/>
        </w:rPr>
        <w:t xml:space="preserve"> </w:t>
      </w:r>
      <w:r w:rsidRPr="003032D8">
        <w:rPr>
          <w:rFonts w:ascii="TitilliumText25L" w:hAnsi="TitilliumText25L"/>
        </w:rPr>
        <w:t>this specialist</w:t>
      </w:r>
      <w:r w:rsidRPr="003032D8">
        <w:rPr>
          <w:rFonts w:ascii="TitilliumText25L" w:hAnsi="TitilliumText25L"/>
          <w:spacing w:val="19"/>
        </w:rPr>
        <w:t xml:space="preserve"> </w:t>
      </w:r>
      <w:r w:rsidRPr="003032D8">
        <w:rPr>
          <w:rFonts w:ascii="TitilliumText25L" w:hAnsi="TitilliumText25L"/>
        </w:rPr>
        <w:t>field,</w:t>
      </w:r>
      <w:r w:rsidRPr="003032D8">
        <w:rPr>
          <w:rFonts w:ascii="TitilliumText25L" w:hAnsi="TitilliumText25L"/>
          <w:spacing w:val="19"/>
        </w:rPr>
        <w:t xml:space="preserve"> </w:t>
      </w:r>
      <w:r w:rsidRPr="003032D8">
        <w:rPr>
          <w:rFonts w:ascii="TitilliumText25L" w:hAnsi="TitilliumText25L"/>
        </w:rPr>
        <w:t>this</w:t>
      </w:r>
      <w:r w:rsidRPr="003032D8">
        <w:rPr>
          <w:rFonts w:ascii="TitilliumText25L" w:hAnsi="TitilliumText25L"/>
          <w:spacing w:val="19"/>
        </w:rPr>
        <w:t xml:space="preserve"> </w:t>
      </w:r>
      <w:r w:rsidRPr="003032D8">
        <w:rPr>
          <w:rFonts w:ascii="TitilliumText25L" w:hAnsi="TitilliumText25L"/>
        </w:rPr>
        <w:t>workbook</w:t>
      </w:r>
      <w:r w:rsidRPr="003032D8">
        <w:rPr>
          <w:rFonts w:ascii="TitilliumText25L" w:hAnsi="TitilliumText25L"/>
          <w:spacing w:val="19"/>
        </w:rPr>
        <w:t xml:space="preserve"> </w:t>
      </w:r>
      <w:r w:rsidRPr="003032D8">
        <w:rPr>
          <w:rFonts w:ascii="TitilliumText25L" w:hAnsi="TitilliumText25L"/>
        </w:rPr>
        <w:t>has</w:t>
      </w:r>
      <w:r w:rsidRPr="003032D8">
        <w:rPr>
          <w:rFonts w:ascii="TitilliumText25L" w:hAnsi="TitilliumText25L"/>
          <w:spacing w:val="19"/>
        </w:rPr>
        <w:t xml:space="preserve"> </w:t>
      </w:r>
      <w:r w:rsidRPr="003032D8">
        <w:rPr>
          <w:rFonts w:ascii="TitilliumText25L" w:hAnsi="TitilliumText25L"/>
        </w:rPr>
        <w:t>been</w:t>
      </w:r>
      <w:r w:rsidRPr="003032D8">
        <w:rPr>
          <w:rFonts w:ascii="TitilliumText25L" w:hAnsi="TitilliumText25L"/>
          <w:spacing w:val="19"/>
        </w:rPr>
        <w:t xml:space="preserve"> </w:t>
      </w:r>
      <w:r w:rsidRPr="003032D8">
        <w:rPr>
          <w:rFonts w:ascii="TitilliumText25L" w:hAnsi="TitilliumText25L"/>
        </w:rPr>
        <w:t>de</w:t>
      </w:r>
      <w:r w:rsidRPr="003032D8">
        <w:rPr>
          <w:rFonts w:ascii="TitilliumText25L" w:hAnsi="TitilliumText25L"/>
          <w:spacing w:val="1"/>
        </w:rPr>
        <w:t>v</w:t>
      </w:r>
      <w:r w:rsidRPr="003032D8">
        <w:rPr>
          <w:rFonts w:ascii="TitilliumText25L" w:hAnsi="TitilliumText25L"/>
        </w:rPr>
        <w:t>elop</w:t>
      </w:r>
      <w:r w:rsidRPr="003032D8">
        <w:rPr>
          <w:rFonts w:ascii="TitilliumText25L" w:hAnsi="TitilliumText25L"/>
          <w:spacing w:val="1"/>
        </w:rPr>
        <w:t>e</w:t>
      </w:r>
      <w:r w:rsidRPr="003032D8">
        <w:rPr>
          <w:rFonts w:ascii="TitilliumText25L" w:hAnsi="TitilliumText25L"/>
        </w:rPr>
        <w:t>d</w:t>
      </w:r>
      <w:r w:rsidRPr="003032D8">
        <w:rPr>
          <w:rFonts w:ascii="TitilliumText25L" w:hAnsi="TitilliumText25L"/>
          <w:spacing w:val="19"/>
        </w:rPr>
        <w:t xml:space="preserve"> </w:t>
      </w:r>
      <w:r w:rsidRPr="003032D8">
        <w:rPr>
          <w:rFonts w:ascii="TitilliumText25L" w:hAnsi="TitilliumText25L"/>
        </w:rPr>
        <w:t>in</w:t>
      </w:r>
      <w:r w:rsidRPr="003032D8">
        <w:rPr>
          <w:rFonts w:ascii="TitilliumText25L" w:hAnsi="TitilliumText25L"/>
          <w:spacing w:val="19"/>
        </w:rPr>
        <w:t xml:space="preserve"> </w:t>
      </w:r>
      <w:r w:rsidRPr="003032D8">
        <w:rPr>
          <w:rFonts w:ascii="TitilliumText25L" w:hAnsi="TitilliumText25L"/>
          <w:spacing w:val="1"/>
        </w:rPr>
        <w:t>c</w:t>
      </w:r>
      <w:r w:rsidRPr="003032D8">
        <w:rPr>
          <w:rFonts w:ascii="TitilliumText25L" w:hAnsi="TitilliumText25L"/>
        </w:rPr>
        <w:t>onsultation</w:t>
      </w:r>
      <w:r w:rsidRPr="003032D8">
        <w:rPr>
          <w:rFonts w:ascii="TitilliumText25L" w:hAnsi="TitilliumText25L"/>
          <w:spacing w:val="18"/>
        </w:rPr>
        <w:t xml:space="preserve"> </w:t>
      </w:r>
      <w:r w:rsidRPr="003032D8">
        <w:rPr>
          <w:rFonts w:ascii="TitilliumText25L" w:hAnsi="TitilliumText25L"/>
        </w:rPr>
        <w:t>with</w:t>
      </w:r>
      <w:r w:rsidRPr="003032D8">
        <w:rPr>
          <w:rFonts w:ascii="TitilliumText25L" w:hAnsi="TitilliumText25L"/>
          <w:spacing w:val="19"/>
        </w:rPr>
        <w:t xml:space="preserve"> </w:t>
      </w:r>
      <w:r w:rsidRPr="003032D8">
        <w:rPr>
          <w:rFonts w:ascii="TitilliumText25L" w:hAnsi="TitilliumText25L"/>
        </w:rPr>
        <w:t>cell</w:t>
      </w:r>
      <w:r w:rsidRPr="003032D8">
        <w:rPr>
          <w:rFonts w:ascii="TitilliumText25L" w:hAnsi="TitilliumText25L"/>
          <w:spacing w:val="19"/>
        </w:rPr>
        <w:t xml:space="preserve"> </w:t>
      </w:r>
      <w:r w:rsidRPr="003032D8">
        <w:rPr>
          <w:rFonts w:ascii="TitilliumText25L" w:hAnsi="TitilliumText25L"/>
          <w:spacing w:val="1"/>
        </w:rPr>
        <w:t>s</w:t>
      </w:r>
      <w:r w:rsidRPr="003032D8">
        <w:rPr>
          <w:rFonts w:ascii="TitilliumText25L" w:hAnsi="TitilliumText25L"/>
        </w:rPr>
        <w:t>alvage</w:t>
      </w:r>
      <w:r w:rsidRPr="003032D8">
        <w:rPr>
          <w:rFonts w:ascii="TitilliumText25L" w:hAnsi="TitilliumText25L"/>
          <w:spacing w:val="19"/>
        </w:rPr>
        <w:t xml:space="preserve"> </w:t>
      </w:r>
      <w:r w:rsidRPr="003032D8">
        <w:rPr>
          <w:rFonts w:ascii="TitilliumText25L" w:hAnsi="TitilliumText25L"/>
        </w:rPr>
        <w:t>“champions” and</w:t>
      </w:r>
      <w:r w:rsidRPr="003032D8">
        <w:rPr>
          <w:rFonts w:ascii="TitilliumText25L" w:hAnsi="TitilliumText25L"/>
          <w:spacing w:val="18"/>
        </w:rPr>
        <w:t xml:space="preserve"> </w:t>
      </w:r>
      <w:r w:rsidRPr="003032D8">
        <w:rPr>
          <w:rFonts w:ascii="TitilliumText25L" w:hAnsi="TitilliumText25L"/>
        </w:rPr>
        <w:t>other</w:t>
      </w:r>
      <w:r w:rsidRPr="003032D8">
        <w:rPr>
          <w:rFonts w:ascii="TitilliumText25L" w:hAnsi="TitilliumText25L"/>
          <w:spacing w:val="18"/>
        </w:rPr>
        <w:t xml:space="preserve"> </w:t>
      </w:r>
      <w:r w:rsidRPr="003032D8">
        <w:rPr>
          <w:rFonts w:ascii="TitilliumText25L" w:hAnsi="TitilliumText25L"/>
        </w:rPr>
        <w:t>national</w:t>
      </w:r>
      <w:r w:rsidRPr="003032D8">
        <w:rPr>
          <w:rFonts w:ascii="TitilliumText25L" w:hAnsi="TitilliumText25L"/>
          <w:spacing w:val="18"/>
        </w:rPr>
        <w:t xml:space="preserve"> </w:t>
      </w:r>
      <w:r w:rsidRPr="003032D8">
        <w:rPr>
          <w:rFonts w:ascii="TitilliumText25L" w:hAnsi="TitilliumText25L"/>
        </w:rPr>
        <w:t>g</w:t>
      </w:r>
      <w:r w:rsidRPr="003032D8">
        <w:rPr>
          <w:rFonts w:ascii="TitilliumText25L" w:hAnsi="TitilliumText25L"/>
          <w:spacing w:val="2"/>
        </w:rPr>
        <w:t>r</w:t>
      </w:r>
      <w:r w:rsidRPr="003032D8">
        <w:rPr>
          <w:rFonts w:ascii="TitilliumText25L" w:hAnsi="TitilliumText25L"/>
        </w:rPr>
        <w:t>oups</w:t>
      </w:r>
      <w:r w:rsidRPr="003032D8">
        <w:rPr>
          <w:rFonts w:ascii="TitilliumText25L" w:hAnsi="TitilliumText25L"/>
          <w:spacing w:val="18"/>
        </w:rPr>
        <w:t xml:space="preserve"> </w:t>
      </w:r>
      <w:r w:rsidRPr="003032D8">
        <w:rPr>
          <w:rFonts w:ascii="TitilliumText25L" w:hAnsi="TitilliumText25L"/>
        </w:rPr>
        <w:t>with</w:t>
      </w:r>
      <w:r w:rsidRPr="003032D8">
        <w:rPr>
          <w:rFonts w:ascii="TitilliumText25L" w:hAnsi="TitilliumText25L"/>
          <w:spacing w:val="18"/>
        </w:rPr>
        <w:t xml:space="preserve"> patient blood management, </w:t>
      </w:r>
      <w:r w:rsidRPr="003032D8">
        <w:rPr>
          <w:rFonts w:ascii="TitilliumText25L" w:hAnsi="TitilliumText25L"/>
        </w:rPr>
        <w:t>blood</w:t>
      </w:r>
      <w:r w:rsidRPr="003032D8">
        <w:rPr>
          <w:rFonts w:ascii="TitilliumText25L" w:hAnsi="TitilliumText25L"/>
          <w:spacing w:val="20"/>
        </w:rPr>
        <w:t xml:space="preserve"> </w:t>
      </w:r>
      <w:r w:rsidRPr="003032D8">
        <w:rPr>
          <w:rFonts w:ascii="TitilliumText25L" w:hAnsi="TitilliumText25L"/>
        </w:rPr>
        <w:t>safety</w:t>
      </w:r>
      <w:r w:rsidRPr="003032D8">
        <w:rPr>
          <w:rFonts w:ascii="TitilliumText25L" w:hAnsi="TitilliumText25L"/>
          <w:spacing w:val="18"/>
        </w:rPr>
        <w:t xml:space="preserve"> </w:t>
      </w:r>
      <w:r w:rsidRPr="003032D8">
        <w:rPr>
          <w:rFonts w:ascii="TitilliumText25L" w:hAnsi="TitilliumText25L"/>
        </w:rPr>
        <w:t>and</w:t>
      </w:r>
      <w:r w:rsidRPr="003032D8">
        <w:rPr>
          <w:rFonts w:ascii="TitilliumText25L" w:hAnsi="TitilliumText25L"/>
          <w:spacing w:val="17"/>
        </w:rPr>
        <w:t xml:space="preserve"> </w:t>
      </w:r>
      <w:r w:rsidRPr="003032D8">
        <w:rPr>
          <w:rFonts w:ascii="TitilliumText25L" w:hAnsi="TitilliumText25L"/>
        </w:rPr>
        <w:t>con</w:t>
      </w:r>
      <w:r w:rsidRPr="003032D8">
        <w:rPr>
          <w:rFonts w:ascii="TitilliumText25L" w:hAnsi="TitilliumText25L"/>
          <w:spacing w:val="1"/>
        </w:rPr>
        <w:t>s</w:t>
      </w:r>
      <w:r w:rsidRPr="003032D8">
        <w:rPr>
          <w:rFonts w:ascii="TitilliumText25L" w:hAnsi="TitilliumText25L"/>
        </w:rPr>
        <w:t>ervation</w:t>
      </w:r>
      <w:r w:rsidRPr="003032D8">
        <w:rPr>
          <w:rFonts w:ascii="TitilliumText25L" w:hAnsi="TitilliumText25L"/>
          <w:spacing w:val="17"/>
        </w:rPr>
        <w:t xml:space="preserve"> </w:t>
      </w:r>
      <w:r w:rsidRPr="003032D8">
        <w:rPr>
          <w:rFonts w:ascii="TitilliumText25L" w:hAnsi="TitilliumText25L"/>
        </w:rPr>
        <w:t>as</w:t>
      </w:r>
      <w:r w:rsidRPr="003032D8">
        <w:rPr>
          <w:rFonts w:ascii="TitilliumText25L" w:hAnsi="TitilliumText25L"/>
          <w:spacing w:val="19"/>
        </w:rPr>
        <w:t xml:space="preserve"> </w:t>
      </w:r>
      <w:r w:rsidRPr="003032D8">
        <w:rPr>
          <w:rFonts w:ascii="TitilliumText25L" w:hAnsi="TitilliumText25L"/>
        </w:rPr>
        <w:t>an</w:t>
      </w:r>
      <w:r w:rsidRPr="003032D8">
        <w:rPr>
          <w:rFonts w:ascii="TitilliumText25L" w:hAnsi="TitilliumText25L"/>
          <w:spacing w:val="17"/>
        </w:rPr>
        <w:t xml:space="preserve"> </w:t>
      </w:r>
      <w:r w:rsidRPr="003032D8">
        <w:rPr>
          <w:rFonts w:ascii="TitilliumText25L" w:hAnsi="TitilliumText25L"/>
        </w:rPr>
        <w:t>essential</w:t>
      </w:r>
      <w:r w:rsidRPr="003032D8">
        <w:rPr>
          <w:rFonts w:ascii="TitilliumText25L" w:hAnsi="TitilliumText25L"/>
          <w:spacing w:val="17"/>
        </w:rPr>
        <w:t xml:space="preserve"> </w:t>
      </w:r>
      <w:r w:rsidRPr="003032D8">
        <w:rPr>
          <w:rFonts w:ascii="TitilliumText25L" w:hAnsi="TitilliumText25L"/>
        </w:rPr>
        <w:t>part</w:t>
      </w:r>
      <w:r w:rsidRPr="003032D8">
        <w:rPr>
          <w:rFonts w:ascii="TitilliumText25L" w:hAnsi="TitilliumText25L"/>
          <w:spacing w:val="18"/>
        </w:rPr>
        <w:t xml:space="preserve"> </w:t>
      </w:r>
      <w:r w:rsidRPr="003032D8">
        <w:rPr>
          <w:rFonts w:ascii="TitilliumText25L" w:hAnsi="TitilliumText25L"/>
        </w:rPr>
        <w:t>of</w:t>
      </w:r>
      <w:r w:rsidRPr="003032D8">
        <w:rPr>
          <w:rFonts w:ascii="TitilliumText25L" w:hAnsi="TitilliumText25L"/>
          <w:spacing w:val="18"/>
        </w:rPr>
        <w:t xml:space="preserve"> </w:t>
      </w:r>
      <w:r w:rsidRPr="003032D8">
        <w:rPr>
          <w:rFonts w:ascii="TitilliumText25L" w:hAnsi="TitilliumText25L"/>
        </w:rPr>
        <w:t>their</w:t>
      </w:r>
      <w:r w:rsidRPr="003032D8">
        <w:rPr>
          <w:rFonts w:ascii="TitilliumText25L" w:hAnsi="TitilliumText25L"/>
          <w:spacing w:val="17"/>
        </w:rPr>
        <w:t xml:space="preserve"> </w:t>
      </w:r>
      <w:r w:rsidRPr="003032D8">
        <w:rPr>
          <w:rFonts w:ascii="TitilliumText25L" w:hAnsi="TitilliumText25L"/>
        </w:rPr>
        <w:t xml:space="preserve">remit. </w:t>
      </w:r>
    </w:p>
    <w:p w:rsidR="00BE3BE3" w:rsidRPr="003032D8" w:rsidRDefault="00BE3BE3" w:rsidP="00BE3BE3">
      <w:pPr>
        <w:spacing w:line="240" w:lineRule="auto"/>
        <w:rPr>
          <w:rFonts w:ascii="TitilliumText25L" w:hAnsi="TitilliumText25L"/>
        </w:rPr>
      </w:pPr>
      <w:r w:rsidRPr="003032D8">
        <w:rPr>
          <w:rFonts w:ascii="TitilliumText25L" w:hAnsi="TitilliumText25L"/>
        </w:rPr>
        <w:t>The</w:t>
      </w:r>
      <w:r w:rsidRPr="003032D8">
        <w:rPr>
          <w:rFonts w:ascii="TitilliumText25L" w:hAnsi="TitilliumText25L"/>
          <w:spacing w:val="29"/>
        </w:rPr>
        <w:t xml:space="preserve"> </w:t>
      </w:r>
      <w:r w:rsidRPr="003032D8">
        <w:rPr>
          <w:rFonts w:ascii="TitilliumText25L" w:hAnsi="TitilliumText25L"/>
        </w:rPr>
        <w:t>competencies</w:t>
      </w:r>
      <w:r w:rsidRPr="003032D8">
        <w:rPr>
          <w:rFonts w:ascii="TitilliumText25L" w:hAnsi="TitilliumText25L"/>
          <w:spacing w:val="40"/>
        </w:rPr>
        <w:t xml:space="preserve"> </w:t>
      </w:r>
      <w:r w:rsidRPr="003032D8">
        <w:rPr>
          <w:rFonts w:ascii="TitilliumText25L" w:hAnsi="TitilliumText25L"/>
        </w:rPr>
        <w:t>have</w:t>
      </w:r>
      <w:r w:rsidRPr="003032D8">
        <w:rPr>
          <w:rFonts w:ascii="TitilliumText25L" w:hAnsi="TitilliumText25L"/>
          <w:spacing w:val="40"/>
        </w:rPr>
        <w:t xml:space="preserve"> </w:t>
      </w:r>
      <w:r w:rsidRPr="003032D8">
        <w:rPr>
          <w:rFonts w:ascii="TitilliumText25L" w:hAnsi="TitilliumText25L"/>
        </w:rPr>
        <w:t>been</w:t>
      </w:r>
      <w:r w:rsidRPr="003032D8">
        <w:rPr>
          <w:rFonts w:ascii="TitilliumText25L" w:hAnsi="TitilliumText25L"/>
          <w:spacing w:val="40"/>
        </w:rPr>
        <w:t xml:space="preserve"> </w:t>
      </w:r>
      <w:r w:rsidRPr="003032D8">
        <w:rPr>
          <w:rFonts w:ascii="TitilliumText25L" w:hAnsi="TitilliumText25L"/>
        </w:rPr>
        <w:t>split</w:t>
      </w:r>
      <w:r w:rsidRPr="003032D8">
        <w:rPr>
          <w:rFonts w:ascii="TitilliumText25L" w:hAnsi="TitilliumText25L"/>
          <w:spacing w:val="40"/>
        </w:rPr>
        <w:t xml:space="preserve"> </w:t>
      </w:r>
      <w:r w:rsidRPr="003032D8">
        <w:rPr>
          <w:rFonts w:ascii="TitilliumText25L" w:hAnsi="TitilliumText25L"/>
        </w:rPr>
        <w:t>into</w:t>
      </w:r>
      <w:r w:rsidRPr="003032D8">
        <w:rPr>
          <w:rFonts w:ascii="TitilliumText25L" w:hAnsi="TitilliumText25L"/>
          <w:spacing w:val="40"/>
        </w:rPr>
        <w:t xml:space="preserve"> </w:t>
      </w:r>
      <w:r w:rsidRPr="003032D8">
        <w:rPr>
          <w:rFonts w:ascii="TitilliumText25L" w:hAnsi="TitilliumText25L"/>
        </w:rPr>
        <w:t>5</w:t>
      </w:r>
      <w:r w:rsidRPr="003032D8">
        <w:rPr>
          <w:rFonts w:ascii="TitilliumText25L" w:hAnsi="TitilliumText25L"/>
          <w:spacing w:val="40"/>
        </w:rPr>
        <w:t xml:space="preserve"> </w:t>
      </w:r>
      <w:r w:rsidRPr="003032D8">
        <w:rPr>
          <w:rFonts w:ascii="TitilliumText25L" w:hAnsi="TitilliumText25L"/>
        </w:rPr>
        <w:t>sections</w:t>
      </w:r>
      <w:r w:rsidRPr="003032D8">
        <w:rPr>
          <w:rFonts w:ascii="TitilliumText25L" w:hAnsi="TitilliumText25L"/>
          <w:spacing w:val="40"/>
        </w:rPr>
        <w:t xml:space="preserve"> </w:t>
      </w:r>
      <w:r w:rsidRPr="003032D8">
        <w:rPr>
          <w:rFonts w:ascii="TitilliumText25L" w:hAnsi="TitilliumText25L"/>
        </w:rPr>
        <w:t>to</w:t>
      </w:r>
      <w:r w:rsidRPr="003032D8">
        <w:rPr>
          <w:rFonts w:ascii="TitilliumText25L" w:hAnsi="TitilliumText25L"/>
          <w:spacing w:val="38"/>
        </w:rPr>
        <w:t xml:space="preserve"> </w:t>
      </w:r>
      <w:r w:rsidRPr="003032D8">
        <w:rPr>
          <w:rFonts w:ascii="TitilliumText25L" w:hAnsi="TitilliumText25L"/>
        </w:rPr>
        <w:t>allow</w:t>
      </w:r>
      <w:r w:rsidRPr="003032D8">
        <w:rPr>
          <w:rFonts w:ascii="TitilliumText25L" w:hAnsi="TitilliumText25L"/>
          <w:spacing w:val="39"/>
        </w:rPr>
        <w:t xml:space="preserve"> </w:t>
      </w:r>
      <w:r w:rsidRPr="003032D8">
        <w:rPr>
          <w:rFonts w:ascii="TitilliumText25L" w:hAnsi="TitilliumText25L"/>
        </w:rPr>
        <w:t>a</w:t>
      </w:r>
      <w:r w:rsidRPr="003032D8">
        <w:rPr>
          <w:rFonts w:ascii="TitilliumText25L" w:hAnsi="TitilliumText25L"/>
          <w:spacing w:val="1"/>
        </w:rPr>
        <w:t>s</w:t>
      </w:r>
      <w:r w:rsidRPr="003032D8">
        <w:rPr>
          <w:rFonts w:ascii="TitilliumText25L" w:hAnsi="TitilliumText25L"/>
        </w:rPr>
        <w:t>sessment</w:t>
      </w:r>
      <w:r w:rsidRPr="003032D8">
        <w:rPr>
          <w:rFonts w:ascii="TitilliumText25L" w:hAnsi="TitilliumText25L"/>
          <w:spacing w:val="39"/>
        </w:rPr>
        <w:t xml:space="preserve"> </w:t>
      </w:r>
      <w:r w:rsidRPr="003032D8">
        <w:rPr>
          <w:rFonts w:ascii="TitilliumText25L" w:hAnsi="TitilliumText25L"/>
        </w:rPr>
        <w:t>to</w:t>
      </w:r>
      <w:r w:rsidRPr="003032D8">
        <w:rPr>
          <w:rFonts w:ascii="TitilliumText25L" w:hAnsi="TitilliumText25L"/>
          <w:spacing w:val="39"/>
        </w:rPr>
        <w:t xml:space="preserve"> </w:t>
      </w:r>
      <w:r w:rsidRPr="003032D8">
        <w:rPr>
          <w:rFonts w:ascii="TitilliumText25L" w:hAnsi="TitilliumText25L"/>
        </w:rPr>
        <w:t>be</w:t>
      </w:r>
      <w:r w:rsidRPr="003032D8">
        <w:rPr>
          <w:rFonts w:ascii="TitilliumText25L" w:hAnsi="TitilliumText25L"/>
          <w:spacing w:val="39"/>
        </w:rPr>
        <w:t xml:space="preserve"> </w:t>
      </w:r>
      <w:r w:rsidRPr="003032D8">
        <w:rPr>
          <w:rFonts w:ascii="TitilliumText25L" w:hAnsi="TitilliumText25L"/>
        </w:rPr>
        <w:t>tailored</w:t>
      </w:r>
      <w:r w:rsidRPr="003032D8">
        <w:rPr>
          <w:rFonts w:ascii="TitilliumText25L" w:hAnsi="TitilliumText25L"/>
          <w:spacing w:val="39"/>
        </w:rPr>
        <w:t xml:space="preserve"> </w:t>
      </w:r>
      <w:r w:rsidRPr="003032D8">
        <w:rPr>
          <w:rFonts w:ascii="TitilliumText25L" w:hAnsi="TitilliumText25L"/>
        </w:rPr>
        <w:t>to</w:t>
      </w:r>
      <w:r w:rsidRPr="003032D8">
        <w:rPr>
          <w:rFonts w:ascii="TitilliumText25L" w:hAnsi="TitilliumText25L"/>
          <w:spacing w:val="39"/>
        </w:rPr>
        <w:t xml:space="preserve"> </w:t>
      </w:r>
      <w:r w:rsidRPr="003032D8">
        <w:rPr>
          <w:rFonts w:ascii="TitilliumText25L" w:hAnsi="TitilliumText25L"/>
        </w:rPr>
        <w:t>the responsibilities of the individual learner.</w:t>
      </w:r>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rPr>
        <w:t>Each</w:t>
      </w:r>
      <w:r w:rsidRPr="003032D8">
        <w:rPr>
          <w:rFonts w:ascii="TitilliumText25L" w:hAnsi="TitilliumText25L"/>
          <w:spacing w:val="38"/>
        </w:rPr>
        <w:t xml:space="preserve"> </w:t>
      </w:r>
      <w:r w:rsidRPr="003032D8">
        <w:rPr>
          <w:rFonts w:ascii="TitilliumText25L" w:hAnsi="TitilliumText25L"/>
        </w:rPr>
        <w:t>section</w:t>
      </w:r>
      <w:r w:rsidRPr="003032D8">
        <w:rPr>
          <w:rFonts w:ascii="TitilliumText25L" w:hAnsi="TitilliumText25L"/>
          <w:spacing w:val="49"/>
        </w:rPr>
        <w:t xml:space="preserve"> </w:t>
      </w:r>
      <w:r w:rsidRPr="003032D8">
        <w:rPr>
          <w:rFonts w:ascii="TitilliumText25L" w:hAnsi="TitilliumText25L"/>
        </w:rPr>
        <w:t>is</w:t>
      </w:r>
      <w:r w:rsidRPr="003032D8">
        <w:rPr>
          <w:rFonts w:ascii="TitilliumText25L" w:hAnsi="TitilliumText25L"/>
          <w:spacing w:val="49"/>
        </w:rPr>
        <w:t xml:space="preserve"> </w:t>
      </w:r>
      <w:r w:rsidRPr="003032D8">
        <w:rPr>
          <w:rFonts w:ascii="TitilliumText25L" w:hAnsi="TitilliumText25L"/>
        </w:rPr>
        <w:t>then</w:t>
      </w:r>
      <w:r w:rsidRPr="003032D8">
        <w:rPr>
          <w:rFonts w:ascii="TitilliumText25L" w:hAnsi="TitilliumText25L"/>
          <w:spacing w:val="49"/>
        </w:rPr>
        <w:t xml:space="preserve"> </w:t>
      </w:r>
      <w:r w:rsidRPr="003032D8">
        <w:rPr>
          <w:rFonts w:ascii="TitilliumText25L" w:hAnsi="TitilliumText25L"/>
        </w:rPr>
        <w:t>further</w:t>
      </w:r>
      <w:r w:rsidRPr="003032D8">
        <w:rPr>
          <w:rFonts w:ascii="TitilliumText25L" w:hAnsi="TitilliumText25L"/>
          <w:spacing w:val="49"/>
        </w:rPr>
        <w:t xml:space="preserve"> </w:t>
      </w:r>
      <w:r w:rsidRPr="003032D8">
        <w:rPr>
          <w:rFonts w:ascii="TitilliumText25L" w:hAnsi="TitilliumText25L"/>
        </w:rPr>
        <w:t>d</w:t>
      </w:r>
      <w:r w:rsidRPr="003032D8">
        <w:rPr>
          <w:rFonts w:ascii="TitilliumText25L" w:hAnsi="TitilliumText25L"/>
          <w:spacing w:val="-2"/>
        </w:rPr>
        <w:t>i</w:t>
      </w:r>
      <w:r w:rsidRPr="003032D8">
        <w:rPr>
          <w:rFonts w:ascii="TitilliumText25L" w:hAnsi="TitilliumText25L"/>
        </w:rPr>
        <w:t>vided</w:t>
      </w:r>
      <w:r w:rsidRPr="003032D8">
        <w:rPr>
          <w:rFonts w:ascii="TitilliumText25L" w:hAnsi="TitilliumText25L"/>
          <w:spacing w:val="49"/>
        </w:rPr>
        <w:t xml:space="preserve"> </w:t>
      </w:r>
      <w:r w:rsidRPr="003032D8">
        <w:rPr>
          <w:rFonts w:ascii="TitilliumText25L" w:hAnsi="TitilliumText25L"/>
        </w:rPr>
        <w:t>into</w:t>
      </w:r>
      <w:r w:rsidRPr="003032D8">
        <w:rPr>
          <w:rFonts w:ascii="TitilliumText25L" w:hAnsi="TitilliumText25L"/>
          <w:spacing w:val="49"/>
        </w:rPr>
        <w:t xml:space="preserve"> </w:t>
      </w:r>
      <w:r w:rsidRPr="003032D8">
        <w:rPr>
          <w:rFonts w:ascii="TitilliumText25L" w:hAnsi="TitilliumText25L"/>
        </w:rPr>
        <w:t>“Kno</w:t>
      </w:r>
      <w:r w:rsidRPr="003032D8">
        <w:rPr>
          <w:rFonts w:ascii="TitilliumText25L" w:hAnsi="TitilliumText25L"/>
          <w:spacing w:val="1"/>
        </w:rPr>
        <w:t>w</w:t>
      </w:r>
      <w:r w:rsidRPr="003032D8">
        <w:rPr>
          <w:rFonts w:ascii="TitilliumText25L" w:hAnsi="TitilliumText25L"/>
        </w:rPr>
        <w:t>ledge</w:t>
      </w:r>
      <w:r w:rsidRPr="003032D8">
        <w:rPr>
          <w:rFonts w:ascii="TitilliumText25L" w:hAnsi="TitilliumText25L"/>
          <w:spacing w:val="49"/>
        </w:rPr>
        <w:t xml:space="preserve"> </w:t>
      </w:r>
      <w:r w:rsidRPr="003032D8">
        <w:rPr>
          <w:rFonts w:ascii="TitilliumText25L" w:hAnsi="TitilliumText25L"/>
        </w:rPr>
        <w:t>and</w:t>
      </w:r>
      <w:r w:rsidRPr="003032D8">
        <w:rPr>
          <w:rFonts w:ascii="TitilliumText25L" w:hAnsi="TitilliumText25L"/>
          <w:spacing w:val="49"/>
        </w:rPr>
        <w:t xml:space="preserve"> </w:t>
      </w:r>
      <w:r w:rsidRPr="003032D8">
        <w:rPr>
          <w:rFonts w:ascii="TitilliumText25L" w:hAnsi="TitilliumText25L"/>
        </w:rPr>
        <w:t>Understandi</w:t>
      </w:r>
      <w:r w:rsidRPr="003032D8">
        <w:rPr>
          <w:rFonts w:ascii="TitilliumText25L" w:hAnsi="TitilliumText25L"/>
          <w:spacing w:val="1"/>
        </w:rPr>
        <w:t>n</w:t>
      </w:r>
      <w:r w:rsidRPr="003032D8">
        <w:rPr>
          <w:rFonts w:ascii="TitilliumText25L" w:hAnsi="TitilliumText25L"/>
        </w:rPr>
        <w:t>g”</w:t>
      </w:r>
      <w:r w:rsidRPr="003032D8">
        <w:rPr>
          <w:rFonts w:ascii="TitilliumText25L" w:hAnsi="TitilliumText25L"/>
          <w:spacing w:val="49"/>
        </w:rPr>
        <w:t xml:space="preserve"> </w:t>
      </w:r>
      <w:r w:rsidRPr="003032D8">
        <w:rPr>
          <w:rFonts w:ascii="TitilliumText25L" w:hAnsi="TitilliumText25L"/>
        </w:rPr>
        <w:t>and</w:t>
      </w:r>
      <w:r w:rsidRPr="003032D8">
        <w:rPr>
          <w:rFonts w:ascii="TitilliumText25L" w:hAnsi="TitilliumText25L"/>
          <w:spacing w:val="49"/>
        </w:rPr>
        <w:t xml:space="preserve"> </w:t>
      </w:r>
      <w:r w:rsidRPr="003032D8">
        <w:rPr>
          <w:rFonts w:ascii="TitilliumText25L" w:hAnsi="TitilliumText25L"/>
        </w:rPr>
        <w:t>“Performan</w:t>
      </w:r>
      <w:r w:rsidRPr="003032D8">
        <w:rPr>
          <w:rFonts w:ascii="TitilliumText25L" w:hAnsi="TitilliumText25L"/>
          <w:spacing w:val="1"/>
        </w:rPr>
        <w:t>c</w:t>
      </w:r>
      <w:r w:rsidRPr="003032D8">
        <w:rPr>
          <w:rFonts w:ascii="TitilliumText25L" w:hAnsi="TitilliumText25L"/>
        </w:rPr>
        <w:t>e Criteria”.</w:t>
      </w:r>
      <w:r w:rsidRPr="003032D8">
        <w:rPr>
          <w:rFonts w:ascii="TitilliumText25L" w:hAnsi="TitilliumText25L"/>
          <w:spacing w:val="28"/>
        </w:rPr>
        <w:t xml:space="preserve"> </w:t>
      </w:r>
      <w:r w:rsidRPr="003032D8">
        <w:rPr>
          <w:rFonts w:ascii="TitilliumText25L" w:hAnsi="TitilliumText25L"/>
        </w:rPr>
        <w:t>Learners</w:t>
      </w:r>
      <w:r w:rsidRPr="003032D8">
        <w:rPr>
          <w:rFonts w:ascii="TitilliumText25L" w:hAnsi="TitilliumText25L"/>
          <w:spacing w:val="28"/>
        </w:rPr>
        <w:t xml:space="preserve"> </w:t>
      </w:r>
      <w:r w:rsidRPr="003032D8">
        <w:rPr>
          <w:rFonts w:ascii="TitilliumText25L" w:hAnsi="TitilliumText25L"/>
        </w:rPr>
        <w:t>must</w:t>
      </w:r>
      <w:r w:rsidRPr="003032D8">
        <w:rPr>
          <w:rFonts w:ascii="TitilliumText25L" w:hAnsi="TitilliumText25L"/>
          <w:spacing w:val="28"/>
        </w:rPr>
        <w:t xml:space="preserve"> </w:t>
      </w:r>
      <w:r w:rsidRPr="003032D8">
        <w:rPr>
          <w:rFonts w:ascii="TitilliumText25L" w:hAnsi="TitilliumText25L"/>
        </w:rPr>
        <w:t>complete</w:t>
      </w:r>
      <w:r w:rsidRPr="003032D8">
        <w:rPr>
          <w:rFonts w:ascii="TitilliumText25L" w:hAnsi="TitilliumText25L"/>
          <w:spacing w:val="28"/>
        </w:rPr>
        <w:t xml:space="preserve"> </w:t>
      </w:r>
      <w:r w:rsidRPr="003032D8">
        <w:rPr>
          <w:rFonts w:ascii="TitilliumText25L" w:hAnsi="TitilliumText25L"/>
          <w:u w:val="single"/>
        </w:rPr>
        <w:t>all</w:t>
      </w:r>
      <w:r w:rsidRPr="003032D8">
        <w:rPr>
          <w:rFonts w:ascii="TitilliumText25L" w:hAnsi="TitilliumText25L"/>
          <w:spacing w:val="30"/>
        </w:rPr>
        <w:t xml:space="preserve"> </w:t>
      </w:r>
      <w:r w:rsidRPr="003032D8">
        <w:rPr>
          <w:rFonts w:ascii="TitilliumText25L" w:hAnsi="TitilliumText25L"/>
        </w:rPr>
        <w:t>indi</w:t>
      </w:r>
      <w:r w:rsidRPr="003032D8">
        <w:rPr>
          <w:rFonts w:ascii="TitilliumText25L" w:hAnsi="TitilliumText25L"/>
          <w:spacing w:val="1"/>
        </w:rPr>
        <w:t>c</w:t>
      </w:r>
      <w:r w:rsidRPr="003032D8">
        <w:rPr>
          <w:rFonts w:ascii="TitilliumText25L" w:hAnsi="TitilliumText25L"/>
        </w:rPr>
        <w:t>ators</w:t>
      </w:r>
      <w:r w:rsidRPr="003032D8">
        <w:rPr>
          <w:rFonts w:ascii="TitilliumText25L" w:hAnsi="TitilliumText25L"/>
          <w:spacing w:val="28"/>
        </w:rPr>
        <w:t xml:space="preserve"> </w:t>
      </w:r>
      <w:r w:rsidRPr="003032D8">
        <w:rPr>
          <w:rFonts w:ascii="TitilliumText25L" w:hAnsi="TitilliumText25L"/>
        </w:rPr>
        <w:t>for</w:t>
      </w:r>
      <w:r w:rsidRPr="003032D8">
        <w:rPr>
          <w:rFonts w:ascii="TitilliumText25L" w:hAnsi="TitilliumText25L"/>
          <w:spacing w:val="28"/>
        </w:rPr>
        <w:t xml:space="preserve"> </w:t>
      </w:r>
      <w:r w:rsidRPr="003032D8">
        <w:rPr>
          <w:rFonts w:ascii="TitilliumText25L" w:hAnsi="TitilliumText25L"/>
        </w:rPr>
        <w:t>both</w:t>
      </w:r>
      <w:r w:rsidRPr="003032D8">
        <w:rPr>
          <w:rFonts w:ascii="TitilliumText25L" w:hAnsi="TitilliumText25L"/>
          <w:spacing w:val="28"/>
        </w:rPr>
        <w:t xml:space="preserve"> </w:t>
      </w:r>
      <w:r w:rsidRPr="003032D8">
        <w:rPr>
          <w:rFonts w:ascii="TitilliumText25L" w:hAnsi="TitilliumText25L"/>
        </w:rPr>
        <w:t>Knowl</w:t>
      </w:r>
      <w:r w:rsidRPr="003032D8">
        <w:rPr>
          <w:rFonts w:ascii="TitilliumText25L" w:hAnsi="TitilliumText25L"/>
          <w:spacing w:val="1"/>
        </w:rPr>
        <w:t>e</w:t>
      </w:r>
      <w:r w:rsidRPr="003032D8">
        <w:rPr>
          <w:rFonts w:ascii="TitilliumText25L" w:hAnsi="TitilliumText25L"/>
        </w:rPr>
        <w:t>dge</w:t>
      </w:r>
      <w:r w:rsidRPr="003032D8">
        <w:rPr>
          <w:rFonts w:ascii="TitilliumText25L" w:hAnsi="TitilliumText25L"/>
          <w:spacing w:val="29"/>
        </w:rPr>
        <w:t xml:space="preserve"> </w:t>
      </w:r>
      <w:r w:rsidRPr="003032D8">
        <w:rPr>
          <w:rFonts w:ascii="TitilliumText25L" w:hAnsi="TitilliumText25L"/>
        </w:rPr>
        <w:t>and</w:t>
      </w:r>
      <w:r w:rsidRPr="003032D8">
        <w:rPr>
          <w:rFonts w:ascii="TitilliumText25L" w:hAnsi="TitilliumText25L"/>
          <w:spacing w:val="29"/>
        </w:rPr>
        <w:t xml:space="preserve"> </w:t>
      </w:r>
      <w:r w:rsidRPr="003032D8">
        <w:rPr>
          <w:rFonts w:ascii="TitilliumText25L" w:hAnsi="TitilliumText25L"/>
        </w:rPr>
        <w:t>Understa</w:t>
      </w:r>
      <w:r w:rsidRPr="003032D8">
        <w:rPr>
          <w:rFonts w:ascii="TitilliumText25L" w:hAnsi="TitilliumText25L"/>
          <w:spacing w:val="1"/>
        </w:rPr>
        <w:t>n</w:t>
      </w:r>
      <w:r w:rsidRPr="003032D8">
        <w:rPr>
          <w:rFonts w:ascii="TitilliumText25L" w:hAnsi="TitilliumText25L"/>
        </w:rPr>
        <w:t>ding</w:t>
      </w:r>
      <w:r w:rsidRPr="003032D8">
        <w:rPr>
          <w:rFonts w:ascii="TitilliumText25L" w:hAnsi="TitilliumText25L"/>
          <w:spacing w:val="28"/>
        </w:rPr>
        <w:t xml:space="preserve"> </w:t>
      </w:r>
      <w:r w:rsidRPr="003032D8">
        <w:rPr>
          <w:rFonts w:ascii="TitilliumText25L" w:hAnsi="TitilliumText25L"/>
        </w:rPr>
        <w:t>and</w:t>
      </w:r>
      <w:r w:rsidRPr="003032D8">
        <w:rPr>
          <w:rFonts w:ascii="TitilliumText25L" w:hAnsi="TitilliumText25L"/>
          <w:spacing w:val="28"/>
        </w:rPr>
        <w:t xml:space="preserve"> </w:t>
      </w:r>
      <w:r w:rsidRPr="003032D8">
        <w:rPr>
          <w:rFonts w:ascii="TitilliumText25L" w:hAnsi="TitilliumText25L"/>
        </w:rPr>
        <w:t>for Performance Criteria within a</w:t>
      </w:r>
      <w:r w:rsidRPr="003032D8">
        <w:rPr>
          <w:rFonts w:ascii="TitilliumText25L" w:hAnsi="TitilliumText25L"/>
          <w:spacing w:val="1"/>
        </w:rPr>
        <w:t xml:space="preserve"> </w:t>
      </w:r>
      <w:r w:rsidRPr="003032D8">
        <w:rPr>
          <w:rFonts w:ascii="TitilliumText25L" w:hAnsi="TitilliumText25L"/>
        </w:rPr>
        <w:t>sec</w:t>
      </w:r>
      <w:r w:rsidRPr="003032D8">
        <w:rPr>
          <w:rFonts w:ascii="TitilliumText25L" w:hAnsi="TitilliumText25L"/>
          <w:spacing w:val="1"/>
        </w:rPr>
        <w:t>t</w:t>
      </w:r>
      <w:r w:rsidRPr="003032D8">
        <w:rPr>
          <w:rFonts w:ascii="TitilliumText25L" w:hAnsi="TitilliumText25L"/>
        </w:rPr>
        <w:t>ion in order to be signed off</w:t>
      </w:r>
      <w:r w:rsidRPr="003032D8">
        <w:rPr>
          <w:rFonts w:ascii="TitilliumText25L" w:hAnsi="TitilliumText25L"/>
          <w:spacing w:val="1"/>
        </w:rPr>
        <w:t xml:space="preserve"> </w:t>
      </w:r>
      <w:r w:rsidRPr="003032D8">
        <w:rPr>
          <w:rFonts w:ascii="TitilliumText25L" w:hAnsi="TitilliumText25L"/>
        </w:rPr>
        <w:t>as</w:t>
      </w:r>
      <w:r w:rsidRPr="003032D8">
        <w:rPr>
          <w:rFonts w:ascii="TitilliumText25L" w:hAnsi="TitilliumText25L"/>
          <w:spacing w:val="-1"/>
        </w:rPr>
        <w:t xml:space="preserve"> </w:t>
      </w:r>
      <w:r w:rsidRPr="003032D8">
        <w:rPr>
          <w:rFonts w:ascii="TitilliumText25L" w:hAnsi="TitilliumText25L"/>
        </w:rPr>
        <w:t>competent for that section.</w:t>
      </w: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tbl>
      <w:tblPr>
        <w:tblW w:w="0" w:type="auto"/>
        <w:tblInd w:w="169" w:type="dxa"/>
        <w:tblLayout w:type="fixed"/>
        <w:tblCellMar>
          <w:left w:w="0" w:type="dxa"/>
          <w:right w:w="0" w:type="dxa"/>
        </w:tblCellMar>
        <w:tblLook w:val="0000" w:firstRow="0" w:lastRow="0" w:firstColumn="0" w:lastColumn="0" w:noHBand="0" w:noVBand="0"/>
      </w:tblPr>
      <w:tblGrid>
        <w:gridCol w:w="1826"/>
        <w:gridCol w:w="8215"/>
      </w:tblGrid>
      <w:tr w:rsidR="00BE3BE3" w:rsidRPr="003032D8" w:rsidTr="00D65937">
        <w:trPr>
          <w:trHeight w:hRule="exact" w:val="485"/>
        </w:trPr>
        <w:tc>
          <w:tcPr>
            <w:tcW w:w="1826" w:type="dxa"/>
            <w:tcBorders>
              <w:top w:val="single" w:sz="5" w:space="0" w:color="282828"/>
              <w:left w:val="single" w:sz="5" w:space="0" w:color="282828"/>
              <w:bottom w:val="single" w:sz="5" w:space="0" w:color="282828"/>
              <w:right w:val="single" w:sz="5" w:space="0" w:color="282828"/>
            </w:tcBorders>
            <w:shd w:val="clear" w:color="auto" w:fill="ED3537"/>
            <w:vAlign w:val="center"/>
          </w:tcPr>
          <w:p w:rsidR="00BE3BE3" w:rsidRPr="003032D8" w:rsidRDefault="00BE3BE3" w:rsidP="00D65937">
            <w:pPr>
              <w:widowControl w:val="0"/>
              <w:autoSpaceDE w:val="0"/>
              <w:autoSpaceDN w:val="0"/>
              <w:adjustRightInd w:val="0"/>
              <w:spacing w:after="0" w:line="240" w:lineRule="auto"/>
              <w:ind w:left="415"/>
              <w:rPr>
                <w:rFonts w:ascii="TitilliumText25L" w:hAnsi="TitilliumText25L"/>
                <w:sz w:val="24"/>
                <w:szCs w:val="24"/>
              </w:rPr>
            </w:pPr>
            <w:r w:rsidRPr="003032D8">
              <w:rPr>
                <w:rFonts w:ascii="TitilliumText25L" w:hAnsi="TitilliumText25L" w:cs="Arial"/>
                <w:b/>
                <w:bCs/>
                <w:color w:val="FDFDFD"/>
              </w:rPr>
              <w:t>Section</w:t>
            </w:r>
            <w:r w:rsidRPr="003032D8">
              <w:rPr>
                <w:rFonts w:ascii="TitilliumText25L" w:hAnsi="TitilliumText25L" w:cs="Arial"/>
                <w:b/>
                <w:bCs/>
                <w:color w:val="FDFDFD"/>
                <w:spacing w:val="-13"/>
              </w:rPr>
              <w:t xml:space="preserve"> </w:t>
            </w:r>
            <w:r w:rsidRPr="003032D8">
              <w:rPr>
                <w:rFonts w:ascii="TitilliumText25L" w:hAnsi="TitilliumText25L" w:cs="Arial"/>
                <w:b/>
                <w:bCs/>
                <w:color w:val="FDFDFD"/>
              </w:rPr>
              <w:t>1</w:t>
            </w:r>
          </w:p>
        </w:tc>
        <w:tc>
          <w:tcPr>
            <w:tcW w:w="8215" w:type="dxa"/>
            <w:tcBorders>
              <w:top w:val="single" w:sz="5" w:space="0" w:color="282828"/>
              <w:left w:val="single" w:sz="5" w:space="0" w:color="282828"/>
              <w:bottom w:val="single" w:sz="5" w:space="0" w:color="282828"/>
              <w:right w:val="single" w:sz="5" w:space="0" w:color="282828"/>
            </w:tcBorders>
            <w:vAlign w:val="center"/>
          </w:tcPr>
          <w:p w:rsidR="00BE3BE3" w:rsidRPr="003032D8" w:rsidRDefault="00BE3BE3" w:rsidP="00D65937">
            <w:pPr>
              <w:widowControl w:val="0"/>
              <w:autoSpaceDE w:val="0"/>
              <w:autoSpaceDN w:val="0"/>
              <w:adjustRightInd w:val="0"/>
              <w:spacing w:after="0" w:line="248" w:lineRule="exact"/>
              <w:ind w:left="106"/>
              <w:rPr>
                <w:rFonts w:ascii="TitilliumText25L" w:hAnsi="TitilliumText25L"/>
                <w:sz w:val="24"/>
                <w:szCs w:val="24"/>
              </w:rPr>
            </w:pPr>
            <w:r w:rsidRPr="003032D8">
              <w:rPr>
                <w:rFonts w:ascii="TitilliumText25L" w:hAnsi="TitilliumText25L" w:cs="Arial"/>
                <w:color w:val="282828"/>
              </w:rPr>
              <w:t>General</w:t>
            </w:r>
            <w:r w:rsidRPr="003032D8">
              <w:rPr>
                <w:rFonts w:ascii="TitilliumText25L" w:hAnsi="TitilliumText25L" w:cs="Arial"/>
                <w:color w:val="282828"/>
                <w:spacing w:val="-13"/>
              </w:rPr>
              <w:t xml:space="preserve"> </w:t>
            </w:r>
            <w:r w:rsidRPr="003032D8">
              <w:rPr>
                <w:rFonts w:ascii="TitilliumText25L" w:hAnsi="TitilliumText25L" w:cs="Arial"/>
                <w:color w:val="282828"/>
              </w:rPr>
              <w:t>(To</w:t>
            </w:r>
            <w:r w:rsidRPr="003032D8">
              <w:rPr>
                <w:rFonts w:ascii="TitilliumText25L" w:hAnsi="TitilliumText25L" w:cs="Arial"/>
                <w:color w:val="282828"/>
                <w:spacing w:val="-3"/>
              </w:rPr>
              <w:t xml:space="preserve"> </w:t>
            </w:r>
            <w:r w:rsidRPr="003032D8">
              <w:rPr>
                <w:rFonts w:ascii="TitilliumText25L" w:hAnsi="TitilliumText25L" w:cs="Arial"/>
                <w:color w:val="282828"/>
              </w:rPr>
              <w:t>be</w:t>
            </w:r>
            <w:r w:rsidRPr="003032D8">
              <w:rPr>
                <w:rFonts w:ascii="TitilliumText25L" w:hAnsi="TitilliumText25L" w:cs="Arial"/>
                <w:color w:val="282828"/>
                <w:spacing w:val="-2"/>
              </w:rPr>
              <w:t xml:space="preserve"> </w:t>
            </w:r>
            <w:r w:rsidRPr="003032D8">
              <w:rPr>
                <w:rFonts w:ascii="TitilliumText25L" w:hAnsi="TitilliumText25L" w:cs="Arial"/>
                <w:color w:val="282828"/>
              </w:rPr>
              <w:t>completed</w:t>
            </w:r>
            <w:r w:rsidRPr="003032D8">
              <w:rPr>
                <w:rFonts w:ascii="TitilliumText25L" w:hAnsi="TitilliumText25L" w:cs="Arial"/>
                <w:color w:val="282828"/>
                <w:spacing w:val="-9"/>
              </w:rPr>
              <w:t xml:space="preserve"> </w:t>
            </w:r>
            <w:r w:rsidRPr="003032D8">
              <w:rPr>
                <w:rFonts w:ascii="TitilliumText25L" w:hAnsi="TitilliumText25L" w:cs="Arial"/>
                <w:color w:val="282828"/>
              </w:rPr>
              <w:t>by</w:t>
            </w:r>
            <w:r w:rsidRPr="003032D8">
              <w:rPr>
                <w:rFonts w:ascii="TitilliumText25L" w:hAnsi="TitilliumText25L" w:cs="Arial"/>
                <w:color w:val="282828"/>
                <w:spacing w:val="-2"/>
              </w:rPr>
              <w:t xml:space="preserve"> </w:t>
            </w:r>
            <w:r w:rsidRPr="003032D8">
              <w:rPr>
                <w:rFonts w:ascii="TitilliumText25L" w:hAnsi="TitilliumText25L" w:cs="Arial"/>
                <w:color w:val="282828"/>
                <w:u w:val="single"/>
              </w:rPr>
              <w:t>all</w:t>
            </w:r>
            <w:r w:rsidRPr="003032D8">
              <w:rPr>
                <w:rFonts w:ascii="TitilliumText25L" w:hAnsi="TitilliumText25L" w:cs="Arial"/>
                <w:color w:val="282828"/>
              </w:rPr>
              <w:t xml:space="preserve"> le</w:t>
            </w:r>
            <w:r w:rsidRPr="003032D8">
              <w:rPr>
                <w:rFonts w:ascii="TitilliumText25L" w:hAnsi="TitilliumText25L" w:cs="Arial"/>
                <w:color w:val="282828"/>
                <w:spacing w:val="-1"/>
              </w:rPr>
              <w:t>a</w:t>
            </w:r>
            <w:r w:rsidRPr="003032D8">
              <w:rPr>
                <w:rFonts w:ascii="TitilliumText25L" w:hAnsi="TitilliumText25L" w:cs="Arial"/>
                <w:color w:val="282828"/>
              </w:rPr>
              <w:t>rners)</w:t>
            </w:r>
          </w:p>
        </w:tc>
      </w:tr>
      <w:tr w:rsidR="00BE3BE3" w:rsidRPr="003032D8" w:rsidTr="00D65937">
        <w:trPr>
          <w:trHeight w:hRule="exact" w:val="511"/>
        </w:trPr>
        <w:tc>
          <w:tcPr>
            <w:tcW w:w="1826" w:type="dxa"/>
            <w:tcBorders>
              <w:top w:val="single" w:sz="5" w:space="0" w:color="282828"/>
              <w:left w:val="single" w:sz="5" w:space="0" w:color="282828"/>
              <w:bottom w:val="single" w:sz="5" w:space="0" w:color="282828"/>
              <w:right w:val="single" w:sz="5" w:space="0" w:color="282828"/>
            </w:tcBorders>
            <w:shd w:val="clear" w:color="auto" w:fill="9EC5E8"/>
            <w:vAlign w:val="center"/>
          </w:tcPr>
          <w:p w:rsidR="00BE3BE3" w:rsidRPr="003032D8" w:rsidRDefault="00BE3BE3" w:rsidP="00D65937">
            <w:pPr>
              <w:widowControl w:val="0"/>
              <w:autoSpaceDE w:val="0"/>
              <w:autoSpaceDN w:val="0"/>
              <w:adjustRightInd w:val="0"/>
              <w:spacing w:after="0" w:line="240" w:lineRule="auto"/>
              <w:ind w:left="415"/>
              <w:rPr>
                <w:rFonts w:ascii="TitilliumText25L" w:hAnsi="TitilliumText25L"/>
                <w:sz w:val="24"/>
                <w:szCs w:val="24"/>
              </w:rPr>
            </w:pPr>
            <w:r w:rsidRPr="003032D8">
              <w:rPr>
                <w:rFonts w:ascii="TitilliumText25L" w:hAnsi="TitilliumText25L" w:cs="Arial"/>
                <w:b/>
                <w:bCs/>
                <w:color w:val="FDFDFD"/>
              </w:rPr>
              <w:t>Section</w:t>
            </w:r>
            <w:r w:rsidRPr="003032D8">
              <w:rPr>
                <w:rFonts w:ascii="TitilliumText25L" w:hAnsi="TitilliumText25L" w:cs="Arial"/>
                <w:b/>
                <w:bCs/>
                <w:color w:val="FDFDFD"/>
                <w:spacing w:val="-13"/>
              </w:rPr>
              <w:t xml:space="preserve"> </w:t>
            </w:r>
            <w:r w:rsidRPr="003032D8">
              <w:rPr>
                <w:rFonts w:ascii="TitilliumText25L" w:hAnsi="TitilliumText25L" w:cs="Arial"/>
                <w:b/>
                <w:bCs/>
                <w:color w:val="FDFDFD"/>
              </w:rPr>
              <w:t>2</w:t>
            </w:r>
          </w:p>
        </w:tc>
        <w:tc>
          <w:tcPr>
            <w:tcW w:w="8215" w:type="dxa"/>
            <w:tcBorders>
              <w:top w:val="single" w:sz="5" w:space="0" w:color="282828"/>
              <w:left w:val="single" w:sz="5" w:space="0" w:color="282828"/>
              <w:bottom w:val="single" w:sz="5" w:space="0" w:color="282828"/>
              <w:right w:val="single" w:sz="5" w:space="0" w:color="282828"/>
            </w:tcBorders>
            <w:vAlign w:val="center"/>
          </w:tcPr>
          <w:p w:rsidR="00BE3BE3" w:rsidRPr="003032D8" w:rsidRDefault="00BE3BE3" w:rsidP="00D65937">
            <w:pPr>
              <w:widowControl w:val="0"/>
              <w:autoSpaceDE w:val="0"/>
              <w:autoSpaceDN w:val="0"/>
              <w:adjustRightInd w:val="0"/>
              <w:spacing w:after="0" w:line="248" w:lineRule="exact"/>
              <w:ind w:left="106"/>
              <w:rPr>
                <w:rFonts w:ascii="TitilliumText25L" w:hAnsi="TitilliumText25L"/>
                <w:sz w:val="24"/>
                <w:szCs w:val="24"/>
              </w:rPr>
            </w:pPr>
            <w:r w:rsidRPr="003032D8">
              <w:rPr>
                <w:rFonts w:ascii="TitilliumText25L" w:hAnsi="TitilliumText25L" w:cs="Arial"/>
                <w:color w:val="282828"/>
              </w:rPr>
              <w:t>Prepare</w:t>
            </w:r>
            <w:r w:rsidRPr="003032D8">
              <w:rPr>
                <w:rFonts w:ascii="TitilliumText25L" w:hAnsi="TitilliumText25L" w:cs="Arial"/>
                <w:color w:val="282828"/>
                <w:spacing w:val="-13"/>
              </w:rPr>
              <w:t xml:space="preserve"> </w:t>
            </w:r>
            <w:r w:rsidRPr="003032D8">
              <w:rPr>
                <w:rFonts w:ascii="TitilliumText25L" w:hAnsi="TitilliumText25L" w:cs="Arial"/>
                <w:color w:val="282828"/>
              </w:rPr>
              <w:t>equipment</w:t>
            </w:r>
            <w:r w:rsidRPr="003032D8">
              <w:rPr>
                <w:rFonts w:ascii="TitilliumText25L" w:hAnsi="TitilliumText25L" w:cs="Arial"/>
                <w:color w:val="282828"/>
                <w:spacing w:val="-9"/>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intra-operative</w:t>
            </w:r>
            <w:r w:rsidRPr="003032D8">
              <w:rPr>
                <w:rFonts w:ascii="TitilliumText25L" w:hAnsi="TitilliumText25L" w:cs="Arial"/>
                <w:color w:val="282828"/>
                <w:spacing w:val="-13"/>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sal</w:t>
            </w:r>
            <w:r w:rsidRPr="003032D8">
              <w:rPr>
                <w:rFonts w:ascii="TitilliumText25L" w:hAnsi="TitilliumText25L" w:cs="Arial"/>
                <w:color w:val="282828"/>
                <w:spacing w:val="-2"/>
              </w:rPr>
              <w:t>v</w:t>
            </w:r>
            <w:r w:rsidRPr="003032D8">
              <w:rPr>
                <w:rFonts w:ascii="TitilliumText25L" w:hAnsi="TitilliumText25L" w:cs="Arial"/>
                <w:color w:val="282828"/>
              </w:rPr>
              <w:t>age</w:t>
            </w:r>
            <w:r w:rsidRPr="003032D8">
              <w:rPr>
                <w:rFonts w:ascii="TitilliumText25L" w:hAnsi="TitilliumText25L" w:cs="Arial"/>
                <w:color w:val="282828"/>
                <w:spacing w:val="-3"/>
              </w:rPr>
              <w:t xml:space="preserve"> </w:t>
            </w:r>
            <w:r w:rsidRPr="003032D8">
              <w:rPr>
                <w:rFonts w:ascii="TitilliumText25L" w:hAnsi="TitilliumText25L" w:cs="Arial"/>
                <w:color w:val="282828"/>
              </w:rPr>
              <w:t>collecti</w:t>
            </w:r>
            <w:r w:rsidRPr="003032D8">
              <w:rPr>
                <w:rFonts w:ascii="TitilliumText25L" w:hAnsi="TitilliumText25L" w:cs="Arial"/>
                <w:color w:val="282828"/>
                <w:spacing w:val="-1"/>
              </w:rPr>
              <w:t>o</w:t>
            </w:r>
            <w:r w:rsidRPr="003032D8">
              <w:rPr>
                <w:rFonts w:ascii="TitilliumText25L" w:hAnsi="TitilliumText25L" w:cs="Arial"/>
                <w:color w:val="282828"/>
              </w:rPr>
              <w:t>n</w:t>
            </w:r>
          </w:p>
        </w:tc>
      </w:tr>
      <w:tr w:rsidR="00BE3BE3" w:rsidRPr="003032D8" w:rsidTr="00D65937">
        <w:trPr>
          <w:trHeight w:hRule="exact" w:val="566"/>
        </w:trPr>
        <w:tc>
          <w:tcPr>
            <w:tcW w:w="1826" w:type="dxa"/>
            <w:tcBorders>
              <w:top w:val="single" w:sz="5" w:space="0" w:color="282828"/>
              <w:left w:val="single" w:sz="5" w:space="0" w:color="282828"/>
              <w:bottom w:val="single" w:sz="5" w:space="0" w:color="282828"/>
              <w:right w:val="single" w:sz="5" w:space="0" w:color="282828"/>
            </w:tcBorders>
            <w:shd w:val="clear" w:color="auto" w:fill="7A397C"/>
            <w:vAlign w:val="center"/>
          </w:tcPr>
          <w:p w:rsidR="00BE3BE3" w:rsidRPr="003032D8" w:rsidRDefault="00BE3BE3" w:rsidP="00D65937">
            <w:pPr>
              <w:widowControl w:val="0"/>
              <w:autoSpaceDE w:val="0"/>
              <w:autoSpaceDN w:val="0"/>
              <w:adjustRightInd w:val="0"/>
              <w:spacing w:after="0" w:line="240" w:lineRule="auto"/>
              <w:ind w:left="415"/>
              <w:rPr>
                <w:rFonts w:ascii="TitilliumText25L" w:hAnsi="TitilliumText25L"/>
                <w:sz w:val="24"/>
                <w:szCs w:val="24"/>
              </w:rPr>
            </w:pPr>
            <w:r w:rsidRPr="003032D8">
              <w:rPr>
                <w:rFonts w:ascii="TitilliumText25L" w:hAnsi="TitilliumText25L" w:cs="Arial"/>
                <w:b/>
                <w:bCs/>
                <w:color w:val="FDFDFD"/>
              </w:rPr>
              <w:t>Section</w:t>
            </w:r>
            <w:r w:rsidRPr="003032D8">
              <w:rPr>
                <w:rFonts w:ascii="TitilliumText25L" w:hAnsi="TitilliumText25L" w:cs="Arial"/>
                <w:b/>
                <w:bCs/>
                <w:color w:val="FDFDFD"/>
                <w:spacing w:val="-13"/>
              </w:rPr>
              <w:t xml:space="preserve"> </w:t>
            </w:r>
            <w:r w:rsidRPr="003032D8">
              <w:rPr>
                <w:rFonts w:ascii="TitilliumText25L" w:hAnsi="TitilliumText25L" w:cs="Arial"/>
                <w:b/>
                <w:bCs/>
                <w:color w:val="FDFDFD"/>
              </w:rPr>
              <w:t>3</w:t>
            </w:r>
          </w:p>
        </w:tc>
        <w:tc>
          <w:tcPr>
            <w:tcW w:w="8215" w:type="dxa"/>
            <w:tcBorders>
              <w:top w:val="single" w:sz="5" w:space="0" w:color="282828"/>
              <w:left w:val="single" w:sz="5" w:space="0" w:color="282828"/>
              <w:bottom w:val="single" w:sz="5" w:space="0" w:color="282828"/>
              <w:right w:val="single" w:sz="5" w:space="0" w:color="282828"/>
            </w:tcBorders>
            <w:vAlign w:val="center"/>
          </w:tcPr>
          <w:p w:rsidR="00BE3BE3" w:rsidRPr="003032D8" w:rsidRDefault="00BE3BE3" w:rsidP="00D65937">
            <w:pPr>
              <w:widowControl w:val="0"/>
              <w:autoSpaceDE w:val="0"/>
              <w:autoSpaceDN w:val="0"/>
              <w:adjustRightInd w:val="0"/>
              <w:spacing w:after="0" w:line="247" w:lineRule="exact"/>
              <w:ind w:left="106"/>
              <w:rPr>
                <w:rFonts w:ascii="TitilliumText25L" w:hAnsi="TitilliumText25L"/>
                <w:sz w:val="24"/>
                <w:szCs w:val="24"/>
              </w:rPr>
            </w:pPr>
            <w:r w:rsidRPr="003032D8">
              <w:rPr>
                <w:rFonts w:ascii="TitilliumText25L" w:hAnsi="TitilliumText25L" w:cs="Arial"/>
                <w:color w:val="282828"/>
              </w:rPr>
              <w:t>Operate</w:t>
            </w:r>
            <w:r w:rsidRPr="003032D8">
              <w:rPr>
                <w:rFonts w:ascii="TitilliumText25L" w:hAnsi="TitilliumText25L" w:cs="Arial"/>
                <w:color w:val="282828"/>
                <w:spacing w:val="-13"/>
              </w:rPr>
              <w:t xml:space="preserve"> </w:t>
            </w:r>
            <w:r w:rsidRPr="003032D8">
              <w:rPr>
                <w:rFonts w:ascii="TitilliumText25L" w:hAnsi="TitilliumText25L" w:cs="Arial"/>
                <w:color w:val="282828"/>
              </w:rPr>
              <w:t>equipment</w:t>
            </w:r>
            <w:r w:rsidRPr="003032D8">
              <w:rPr>
                <w:rFonts w:ascii="TitilliumText25L" w:hAnsi="TitilliumText25L" w:cs="Arial"/>
                <w:color w:val="282828"/>
                <w:spacing w:val="-9"/>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intra-operative</w:t>
            </w:r>
            <w:r w:rsidRPr="003032D8">
              <w:rPr>
                <w:rFonts w:ascii="TitilliumText25L" w:hAnsi="TitilliumText25L" w:cs="Arial"/>
                <w:color w:val="282828"/>
                <w:spacing w:val="-13"/>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sal</w:t>
            </w:r>
            <w:r w:rsidRPr="003032D8">
              <w:rPr>
                <w:rFonts w:ascii="TitilliumText25L" w:hAnsi="TitilliumText25L" w:cs="Arial"/>
                <w:color w:val="282828"/>
                <w:spacing w:val="-2"/>
              </w:rPr>
              <w:t>v</w:t>
            </w:r>
            <w:r w:rsidRPr="003032D8">
              <w:rPr>
                <w:rFonts w:ascii="TitilliumText25L" w:hAnsi="TitilliumText25L" w:cs="Arial"/>
                <w:color w:val="282828"/>
              </w:rPr>
              <w:t>age</w:t>
            </w:r>
            <w:r w:rsidRPr="003032D8">
              <w:rPr>
                <w:rFonts w:ascii="TitilliumText25L" w:hAnsi="TitilliumText25L" w:cs="Arial"/>
                <w:color w:val="282828"/>
                <w:spacing w:val="-4"/>
              </w:rPr>
              <w:t xml:space="preserve"> </w:t>
            </w:r>
            <w:r w:rsidRPr="003032D8">
              <w:rPr>
                <w:rFonts w:ascii="TitilliumText25L" w:hAnsi="TitilliumText25L" w:cs="Arial"/>
                <w:color w:val="282828"/>
              </w:rPr>
              <w:t>collect</w:t>
            </w:r>
            <w:r w:rsidRPr="003032D8">
              <w:rPr>
                <w:rFonts w:ascii="TitilliumText25L" w:hAnsi="TitilliumText25L" w:cs="Arial"/>
                <w:color w:val="282828"/>
                <w:spacing w:val="-1"/>
              </w:rPr>
              <w:t>i</w:t>
            </w:r>
            <w:r w:rsidRPr="003032D8">
              <w:rPr>
                <w:rFonts w:ascii="TitilliumText25L" w:hAnsi="TitilliumText25L" w:cs="Arial"/>
                <w:color w:val="282828"/>
              </w:rPr>
              <w:t>on</w:t>
            </w:r>
          </w:p>
        </w:tc>
      </w:tr>
      <w:tr w:rsidR="00BE3BE3" w:rsidRPr="003032D8" w:rsidTr="00D65937">
        <w:trPr>
          <w:trHeight w:hRule="exact" w:val="510"/>
        </w:trPr>
        <w:tc>
          <w:tcPr>
            <w:tcW w:w="1826" w:type="dxa"/>
            <w:tcBorders>
              <w:top w:val="single" w:sz="5" w:space="0" w:color="282828"/>
              <w:left w:val="single" w:sz="5" w:space="0" w:color="282828"/>
              <w:bottom w:val="single" w:sz="5" w:space="0" w:color="282828"/>
              <w:right w:val="single" w:sz="5" w:space="0" w:color="282828"/>
            </w:tcBorders>
            <w:shd w:val="clear" w:color="auto" w:fill="F39934"/>
            <w:vAlign w:val="center"/>
          </w:tcPr>
          <w:p w:rsidR="00BE3BE3" w:rsidRPr="003032D8" w:rsidRDefault="00BE3BE3" w:rsidP="00D65937">
            <w:pPr>
              <w:widowControl w:val="0"/>
              <w:autoSpaceDE w:val="0"/>
              <w:autoSpaceDN w:val="0"/>
              <w:adjustRightInd w:val="0"/>
              <w:spacing w:after="0" w:line="240" w:lineRule="auto"/>
              <w:ind w:left="415"/>
              <w:rPr>
                <w:rFonts w:ascii="TitilliumText25L" w:hAnsi="TitilliumText25L"/>
                <w:sz w:val="24"/>
                <w:szCs w:val="24"/>
              </w:rPr>
            </w:pPr>
            <w:r w:rsidRPr="003032D8">
              <w:rPr>
                <w:rFonts w:ascii="TitilliumText25L" w:hAnsi="TitilliumText25L" w:cs="Arial"/>
                <w:b/>
                <w:bCs/>
                <w:color w:val="FDFDFD"/>
              </w:rPr>
              <w:t>Section</w:t>
            </w:r>
            <w:r w:rsidRPr="003032D8">
              <w:rPr>
                <w:rFonts w:ascii="TitilliumText25L" w:hAnsi="TitilliumText25L" w:cs="Arial"/>
                <w:b/>
                <w:bCs/>
                <w:color w:val="FDFDFD"/>
                <w:spacing w:val="-13"/>
              </w:rPr>
              <w:t xml:space="preserve"> </w:t>
            </w:r>
            <w:r w:rsidRPr="003032D8">
              <w:rPr>
                <w:rFonts w:ascii="TitilliumText25L" w:hAnsi="TitilliumText25L" w:cs="Arial"/>
                <w:b/>
                <w:bCs/>
                <w:color w:val="FDFDFD"/>
              </w:rPr>
              <w:t>4</w:t>
            </w:r>
          </w:p>
        </w:tc>
        <w:tc>
          <w:tcPr>
            <w:tcW w:w="8215" w:type="dxa"/>
            <w:tcBorders>
              <w:top w:val="single" w:sz="5" w:space="0" w:color="282828"/>
              <w:left w:val="single" w:sz="5" w:space="0" w:color="282828"/>
              <w:bottom w:val="single" w:sz="5" w:space="0" w:color="282828"/>
              <w:right w:val="single" w:sz="5" w:space="0" w:color="282828"/>
            </w:tcBorders>
            <w:vAlign w:val="center"/>
          </w:tcPr>
          <w:p w:rsidR="00BE3BE3" w:rsidRPr="003032D8" w:rsidRDefault="00BE3BE3" w:rsidP="00D65937">
            <w:pPr>
              <w:widowControl w:val="0"/>
              <w:autoSpaceDE w:val="0"/>
              <w:autoSpaceDN w:val="0"/>
              <w:adjustRightInd w:val="0"/>
              <w:spacing w:after="0" w:line="248" w:lineRule="exact"/>
              <w:ind w:left="106"/>
              <w:rPr>
                <w:rFonts w:ascii="TitilliumText25L" w:hAnsi="TitilliumText25L"/>
                <w:sz w:val="24"/>
                <w:szCs w:val="24"/>
              </w:rPr>
            </w:pPr>
            <w:r w:rsidRPr="003032D8">
              <w:rPr>
                <w:rFonts w:ascii="TitilliumText25L" w:hAnsi="TitilliumText25L" w:cs="Arial"/>
                <w:color w:val="282828"/>
              </w:rPr>
              <w:t>Prepare</w:t>
            </w:r>
            <w:r w:rsidRPr="003032D8">
              <w:rPr>
                <w:rFonts w:ascii="TitilliumText25L" w:hAnsi="TitilliumText25L" w:cs="Arial"/>
                <w:color w:val="282828"/>
                <w:spacing w:val="-13"/>
              </w:rPr>
              <w:t xml:space="preserve"> </w:t>
            </w:r>
            <w:r w:rsidRPr="003032D8">
              <w:rPr>
                <w:rFonts w:ascii="TitilliumText25L" w:hAnsi="TitilliumText25L" w:cs="Arial"/>
                <w:color w:val="282828"/>
              </w:rPr>
              <w:t>equipment</w:t>
            </w:r>
            <w:r w:rsidRPr="003032D8">
              <w:rPr>
                <w:rFonts w:ascii="TitilliumText25L" w:hAnsi="TitilliumText25L" w:cs="Arial"/>
                <w:color w:val="282828"/>
                <w:spacing w:val="-9"/>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processing</w:t>
            </w:r>
            <w:r w:rsidRPr="003032D8">
              <w:rPr>
                <w:rFonts w:ascii="TitilliumText25L" w:hAnsi="TitilliumText25L" w:cs="Arial"/>
                <w:color w:val="282828"/>
                <w:spacing w:val="-11"/>
              </w:rPr>
              <w:t xml:space="preserve"> </w:t>
            </w:r>
            <w:r w:rsidRPr="003032D8">
              <w:rPr>
                <w:rFonts w:ascii="TitilliumText25L" w:hAnsi="TitilliumText25L" w:cs="Arial"/>
                <w:color w:val="282828"/>
              </w:rPr>
              <w:t>i</w:t>
            </w:r>
            <w:r w:rsidRPr="003032D8">
              <w:rPr>
                <w:rFonts w:ascii="TitilliumText25L" w:hAnsi="TitilliumText25L" w:cs="Arial"/>
                <w:color w:val="282828"/>
                <w:spacing w:val="-1"/>
              </w:rPr>
              <w:t>n</w:t>
            </w:r>
            <w:r w:rsidRPr="003032D8">
              <w:rPr>
                <w:rFonts w:ascii="TitilliumText25L" w:hAnsi="TitilliumText25L" w:cs="Arial"/>
                <w:color w:val="282828"/>
              </w:rPr>
              <w:t>tra-operative salvaged</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p>
        </w:tc>
      </w:tr>
      <w:tr w:rsidR="00BE3BE3" w:rsidRPr="003032D8" w:rsidTr="00D65937">
        <w:trPr>
          <w:trHeight w:hRule="exact" w:val="661"/>
        </w:trPr>
        <w:tc>
          <w:tcPr>
            <w:tcW w:w="1826" w:type="dxa"/>
            <w:tcBorders>
              <w:top w:val="single" w:sz="5" w:space="0" w:color="282828"/>
              <w:left w:val="single" w:sz="5" w:space="0" w:color="282828"/>
              <w:bottom w:val="single" w:sz="5" w:space="0" w:color="282828"/>
              <w:right w:val="single" w:sz="5" w:space="0" w:color="282828"/>
            </w:tcBorders>
            <w:shd w:val="clear" w:color="auto" w:fill="96C449"/>
            <w:vAlign w:val="center"/>
          </w:tcPr>
          <w:p w:rsidR="00BE3BE3" w:rsidRPr="003032D8" w:rsidRDefault="00BE3BE3" w:rsidP="00D65937">
            <w:pPr>
              <w:widowControl w:val="0"/>
              <w:autoSpaceDE w:val="0"/>
              <w:autoSpaceDN w:val="0"/>
              <w:adjustRightInd w:val="0"/>
              <w:spacing w:after="0" w:line="240" w:lineRule="auto"/>
              <w:ind w:left="415"/>
              <w:rPr>
                <w:rFonts w:ascii="TitilliumText25L" w:hAnsi="TitilliumText25L"/>
                <w:sz w:val="24"/>
                <w:szCs w:val="24"/>
              </w:rPr>
            </w:pPr>
            <w:r w:rsidRPr="003032D8">
              <w:rPr>
                <w:rFonts w:ascii="TitilliumText25L" w:hAnsi="TitilliumText25L" w:cs="Arial"/>
                <w:b/>
                <w:bCs/>
                <w:color w:val="FDFDFD"/>
              </w:rPr>
              <w:t>Section</w:t>
            </w:r>
            <w:r w:rsidRPr="003032D8">
              <w:rPr>
                <w:rFonts w:ascii="TitilliumText25L" w:hAnsi="TitilliumText25L" w:cs="Arial"/>
                <w:b/>
                <w:bCs/>
                <w:color w:val="FDFDFD"/>
                <w:spacing w:val="-13"/>
              </w:rPr>
              <w:t xml:space="preserve"> </w:t>
            </w:r>
            <w:r w:rsidRPr="003032D8">
              <w:rPr>
                <w:rFonts w:ascii="TitilliumText25L" w:hAnsi="TitilliumText25L" w:cs="Arial"/>
                <w:b/>
                <w:bCs/>
                <w:color w:val="FDFDFD"/>
              </w:rPr>
              <w:t>5</w:t>
            </w:r>
          </w:p>
        </w:tc>
        <w:tc>
          <w:tcPr>
            <w:tcW w:w="8215" w:type="dxa"/>
            <w:tcBorders>
              <w:top w:val="single" w:sz="5" w:space="0" w:color="282828"/>
              <w:left w:val="single" w:sz="5" w:space="0" w:color="282828"/>
              <w:bottom w:val="single" w:sz="5" w:space="0" w:color="282828"/>
              <w:right w:val="single" w:sz="5" w:space="0" w:color="282828"/>
            </w:tcBorders>
            <w:vAlign w:val="center"/>
          </w:tcPr>
          <w:p w:rsidR="00BE3BE3" w:rsidRPr="003032D8" w:rsidRDefault="00BE3BE3" w:rsidP="00D65937">
            <w:pPr>
              <w:widowControl w:val="0"/>
              <w:autoSpaceDE w:val="0"/>
              <w:autoSpaceDN w:val="0"/>
              <w:adjustRightInd w:val="0"/>
              <w:spacing w:after="0" w:line="248" w:lineRule="exact"/>
              <w:ind w:left="106"/>
              <w:rPr>
                <w:rFonts w:ascii="TitilliumText25L" w:hAnsi="TitilliumText25L" w:cs="Arial"/>
                <w:color w:val="000000"/>
              </w:rPr>
            </w:pPr>
            <w:r w:rsidRPr="003032D8">
              <w:rPr>
                <w:rFonts w:ascii="TitilliumText25L" w:hAnsi="TitilliumText25L" w:cs="Arial"/>
                <w:color w:val="282828"/>
              </w:rPr>
              <w:t>Operate</w:t>
            </w:r>
            <w:r w:rsidRPr="003032D8">
              <w:rPr>
                <w:rFonts w:ascii="TitilliumText25L" w:hAnsi="TitilliumText25L" w:cs="Arial"/>
                <w:color w:val="282828"/>
                <w:spacing w:val="-13"/>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monitor</w:t>
            </w:r>
            <w:r w:rsidRPr="003032D8">
              <w:rPr>
                <w:rFonts w:ascii="TitilliumText25L" w:hAnsi="TitilliumText25L" w:cs="Arial"/>
                <w:color w:val="282828"/>
                <w:spacing w:val="-7"/>
              </w:rPr>
              <w:t xml:space="preserve"> </w:t>
            </w:r>
            <w:r w:rsidRPr="003032D8">
              <w:rPr>
                <w:rFonts w:ascii="TitilliumText25L" w:hAnsi="TitilliumText25L" w:cs="Arial"/>
                <w:color w:val="282828"/>
              </w:rPr>
              <w:t>equipment</w:t>
            </w:r>
            <w:r w:rsidRPr="003032D8">
              <w:rPr>
                <w:rFonts w:ascii="TitilliumText25L" w:hAnsi="TitilliumText25L" w:cs="Arial"/>
                <w:color w:val="282828"/>
                <w:spacing w:val="-9"/>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processing</w:t>
            </w:r>
            <w:r w:rsidRPr="003032D8">
              <w:rPr>
                <w:rFonts w:ascii="TitilliumText25L" w:hAnsi="TitilliumText25L" w:cs="Arial"/>
                <w:color w:val="282828"/>
                <w:spacing w:val="-11"/>
              </w:rPr>
              <w:t xml:space="preserve"> </w:t>
            </w:r>
            <w:r w:rsidRPr="003032D8">
              <w:rPr>
                <w:rFonts w:ascii="TitilliumText25L" w:hAnsi="TitilliumText25L" w:cs="Arial"/>
                <w:color w:val="282828"/>
              </w:rPr>
              <w:t>i</w:t>
            </w:r>
            <w:r w:rsidRPr="003032D8">
              <w:rPr>
                <w:rFonts w:ascii="TitilliumText25L" w:hAnsi="TitilliumText25L" w:cs="Arial"/>
                <w:color w:val="282828"/>
                <w:spacing w:val="-1"/>
              </w:rPr>
              <w:t>n</w:t>
            </w:r>
            <w:r w:rsidRPr="003032D8">
              <w:rPr>
                <w:rFonts w:ascii="TitilliumText25L" w:hAnsi="TitilliumText25L" w:cs="Arial"/>
                <w:color w:val="282828"/>
              </w:rPr>
              <w:t>tra-operative salvaged</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p>
          <w:p w:rsidR="00BE3BE3" w:rsidRPr="003032D8" w:rsidRDefault="00BE3BE3" w:rsidP="00D65937">
            <w:pPr>
              <w:widowControl w:val="0"/>
              <w:autoSpaceDE w:val="0"/>
              <w:autoSpaceDN w:val="0"/>
              <w:adjustRightInd w:val="0"/>
              <w:spacing w:after="0" w:line="240" w:lineRule="auto"/>
              <w:ind w:left="106"/>
              <w:rPr>
                <w:rFonts w:ascii="TitilliumText25L" w:hAnsi="TitilliumText25L"/>
                <w:sz w:val="24"/>
                <w:szCs w:val="24"/>
              </w:rPr>
            </w:pPr>
            <w:r w:rsidRPr="003032D8">
              <w:rPr>
                <w:rFonts w:ascii="TitilliumText25L" w:hAnsi="TitilliumText25L" w:cs="Arial"/>
                <w:color w:val="282828"/>
              </w:rPr>
              <w:t>and</w:t>
            </w:r>
            <w:r w:rsidRPr="003032D8">
              <w:rPr>
                <w:rFonts w:ascii="TitilliumText25L" w:hAnsi="TitilliumText25L" w:cs="Arial"/>
                <w:color w:val="282828"/>
                <w:spacing w:val="-9"/>
              </w:rPr>
              <w:t xml:space="preserve"> </w:t>
            </w:r>
            <w:r w:rsidRPr="003032D8">
              <w:rPr>
                <w:rFonts w:ascii="TitilliumText25L" w:hAnsi="TitilliumText25L" w:cs="Arial"/>
                <w:color w:val="282828"/>
              </w:rPr>
              <w:t>complete</w:t>
            </w:r>
            <w:r w:rsidRPr="003032D8">
              <w:rPr>
                <w:rFonts w:ascii="TitilliumText25L" w:hAnsi="TitilliumText25L" w:cs="Arial"/>
                <w:color w:val="282828"/>
                <w:spacing w:val="-8"/>
              </w:rPr>
              <w:t xml:space="preserve"> </w:t>
            </w:r>
            <w:r w:rsidRPr="003032D8">
              <w:rPr>
                <w:rFonts w:ascii="TitilliumText25L" w:hAnsi="TitilliumText25L" w:cs="Arial"/>
                <w:color w:val="282828"/>
              </w:rPr>
              <w:t>salvaged</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proc</w:t>
            </w:r>
            <w:r w:rsidRPr="003032D8">
              <w:rPr>
                <w:rFonts w:ascii="TitilliumText25L" w:hAnsi="TitilliumText25L" w:cs="Arial"/>
                <w:color w:val="282828"/>
                <w:spacing w:val="-1"/>
              </w:rPr>
              <w:t>e</w:t>
            </w:r>
            <w:r w:rsidRPr="003032D8">
              <w:rPr>
                <w:rFonts w:ascii="TitilliumText25L" w:hAnsi="TitilliumText25L" w:cs="Arial"/>
                <w:color w:val="282828"/>
              </w:rPr>
              <w:t>ssing</w:t>
            </w:r>
          </w:p>
        </w:tc>
      </w:tr>
    </w:tbl>
    <w:p w:rsidR="00BE3BE3" w:rsidRPr="003032D8" w:rsidRDefault="00BE3BE3" w:rsidP="00BE3BE3">
      <w:pPr>
        <w:spacing w:line="240" w:lineRule="auto"/>
        <w:rPr>
          <w:rFonts w:ascii="TitilliumText25L" w:hAnsi="TitilliumText25L"/>
        </w:rPr>
      </w:pPr>
    </w:p>
    <w:p w:rsidR="00BE3BE3" w:rsidRPr="003032D8" w:rsidRDefault="00BE3BE3" w:rsidP="00BE3BE3">
      <w:pPr>
        <w:spacing w:line="240" w:lineRule="auto"/>
        <w:rPr>
          <w:rFonts w:ascii="TitilliumText25L" w:hAnsi="TitilliumText25L"/>
        </w:rPr>
      </w:pPr>
      <w:r w:rsidRPr="003032D8">
        <w:rPr>
          <w:rFonts w:ascii="TitilliumText25L" w:hAnsi="TitilliumText25L"/>
        </w:rPr>
        <w:t>It</w:t>
      </w:r>
      <w:r w:rsidRPr="003032D8">
        <w:rPr>
          <w:rFonts w:ascii="TitilliumText25L" w:hAnsi="TitilliumText25L"/>
          <w:spacing w:val="15"/>
        </w:rPr>
        <w:t xml:space="preserve"> </w:t>
      </w:r>
      <w:r w:rsidRPr="003032D8">
        <w:rPr>
          <w:rFonts w:ascii="TitilliumText25L" w:hAnsi="TitilliumText25L"/>
        </w:rPr>
        <w:t>is</w:t>
      </w:r>
      <w:r w:rsidRPr="003032D8">
        <w:rPr>
          <w:rFonts w:ascii="TitilliumText25L" w:hAnsi="TitilliumText25L"/>
          <w:spacing w:val="26"/>
        </w:rPr>
        <w:t xml:space="preserve"> </w:t>
      </w:r>
      <w:r w:rsidRPr="003032D8">
        <w:rPr>
          <w:rFonts w:ascii="TitilliumText25L" w:hAnsi="TitilliumText25L"/>
        </w:rPr>
        <w:t>essential</w:t>
      </w:r>
      <w:r w:rsidRPr="003032D8">
        <w:rPr>
          <w:rFonts w:ascii="TitilliumText25L" w:hAnsi="TitilliumText25L"/>
          <w:spacing w:val="26"/>
        </w:rPr>
        <w:t xml:space="preserve"> </w:t>
      </w:r>
      <w:r w:rsidRPr="003032D8">
        <w:rPr>
          <w:rFonts w:ascii="TitilliumText25L" w:hAnsi="TitilliumText25L"/>
        </w:rPr>
        <w:t>that</w:t>
      </w:r>
      <w:r w:rsidRPr="003032D8">
        <w:rPr>
          <w:rFonts w:ascii="TitilliumText25L" w:hAnsi="TitilliumText25L"/>
          <w:spacing w:val="26"/>
        </w:rPr>
        <w:t xml:space="preserve"> </w:t>
      </w:r>
      <w:r w:rsidRPr="003032D8">
        <w:rPr>
          <w:rFonts w:ascii="TitilliumText25L" w:hAnsi="TitilliumText25L"/>
        </w:rPr>
        <w:t>all</w:t>
      </w:r>
      <w:r w:rsidRPr="003032D8">
        <w:rPr>
          <w:rFonts w:ascii="TitilliumText25L" w:hAnsi="TitilliumText25L"/>
          <w:spacing w:val="26"/>
        </w:rPr>
        <w:t xml:space="preserve"> </w:t>
      </w:r>
      <w:r w:rsidRPr="003032D8">
        <w:rPr>
          <w:rFonts w:ascii="TitilliumText25L" w:hAnsi="TitilliumText25L"/>
        </w:rPr>
        <w:t>staff</w:t>
      </w:r>
      <w:r w:rsidRPr="003032D8">
        <w:rPr>
          <w:rFonts w:ascii="TitilliumText25L" w:hAnsi="TitilliumText25L"/>
          <w:spacing w:val="26"/>
        </w:rPr>
        <w:t xml:space="preserve"> </w:t>
      </w:r>
      <w:r w:rsidRPr="003032D8">
        <w:rPr>
          <w:rFonts w:ascii="TitilliumText25L" w:hAnsi="TitilliumText25L"/>
        </w:rPr>
        <w:t>inv</w:t>
      </w:r>
      <w:r w:rsidRPr="003032D8">
        <w:rPr>
          <w:rFonts w:ascii="TitilliumText25L" w:hAnsi="TitilliumText25L"/>
          <w:spacing w:val="-1"/>
        </w:rPr>
        <w:t>o</w:t>
      </w:r>
      <w:r w:rsidRPr="003032D8">
        <w:rPr>
          <w:rFonts w:ascii="TitilliumText25L" w:hAnsi="TitilliumText25L"/>
        </w:rPr>
        <w:t>lved</w:t>
      </w:r>
      <w:r w:rsidRPr="003032D8">
        <w:rPr>
          <w:rFonts w:ascii="TitilliumText25L" w:hAnsi="TitilliumText25L"/>
          <w:spacing w:val="26"/>
        </w:rPr>
        <w:t xml:space="preserve"> </w:t>
      </w:r>
      <w:r w:rsidRPr="003032D8">
        <w:rPr>
          <w:rFonts w:ascii="TitilliumText25L" w:hAnsi="TitilliumText25L"/>
        </w:rPr>
        <w:t>in</w:t>
      </w:r>
      <w:r w:rsidRPr="003032D8">
        <w:rPr>
          <w:rFonts w:ascii="TitilliumText25L" w:hAnsi="TitilliumText25L"/>
          <w:spacing w:val="26"/>
        </w:rPr>
        <w:t xml:space="preserve"> </w:t>
      </w:r>
      <w:r w:rsidRPr="003032D8">
        <w:rPr>
          <w:rFonts w:ascii="TitilliumText25L" w:hAnsi="TitilliumText25L"/>
        </w:rPr>
        <w:t>the</w:t>
      </w:r>
      <w:r w:rsidRPr="003032D8">
        <w:rPr>
          <w:rFonts w:ascii="TitilliumText25L" w:hAnsi="TitilliumText25L"/>
          <w:spacing w:val="26"/>
        </w:rPr>
        <w:t xml:space="preserve"> </w:t>
      </w:r>
      <w:r w:rsidRPr="003032D8">
        <w:rPr>
          <w:rFonts w:ascii="TitilliumText25L" w:hAnsi="TitilliumText25L"/>
        </w:rPr>
        <w:t>operation</w:t>
      </w:r>
      <w:r w:rsidRPr="003032D8">
        <w:rPr>
          <w:rFonts w:ascii="TitilliumText25L" w:hAnsi="TitilliumText25L"/>
          <w:spacing w:val="26"/>
        </w:rPr>
        <w:t xml:space="preserve"> </w:t>
      </w:r>
      <w:r w:rsidRPr="003032D8">
        <w:rPr>
          <w:rFonts w:ascii="TitilliumText25L" w:hAnsi="TitilliumText25L"/>
        </w:rPr>
        <w:t>of</w:t>
      </w:r>
      <w:r w:rsidRPr="003032D8">
        <w:rPr>
          <w:rFonts w:ascii="TitilliumText25L" w:hAnsi="TitilliumText25L"/>
          <w:spacing w:val="28"/>
        </w:rPr>
        <w:t xml:space="preserve"> </w:t>
      </w:r>
      <w:r w:rsidRPr="003032D8">
        <w:rPr>
          <w:rFonts w:ascii="TitilliumText25L" w:hAnsi="TitilliumText25L"/>
        </w:rPr>
        <w:t>ICS</w:t>
      </w:r>
      <w:r w:rsidRPr="003032D8">
        <w:rPr>
          <w:rFonts w:ascii="TitilliumText25L" w:hAnsi="TitilliumText25L"/>
          <w:spacing w:val="26"/>
        </w:rPr>
        <w:t xml:space="preserve"> </w:t>
      </w:r>
      <w:r w:rsidRPr="003032D8">
        <w:rPr>
          <w:rFonts w:ascii="TitilliumText25L" w:hAnsi="TitilliumText25L"/>
        </w:rPr>
        <w:t>mac</w:t>
      </w:r>
      <w:r w:rsidRPr="003032D8">
        <w:rPr>
          <w:rFonts w:ascii="TitilliumText25L" w:hAnsi="TitilliumText25L"/>
          <w:spacing w:val="1"/>
        </w:rPr>
        <w:t>h</w:t>
      </w:r>
      <w:r w:rsidRPr="003032D8">
        <w:rPr>
          <w:rFonts w:ascii="TitilliumText25L" w:hAnsi="TitilliumText25L"/>
        </w:rPr>
        <w:t>ines</w:t>
      </w:r>
      <w:r w:rsidRPr="003032D8">
        <w:rPr>
          <w:rFonts w:ascii="TitilliumText25L" w:hAnsi="TitilliumText25L"/>
          <w:spacing w:val="26"/>
        </w:rPr>
        <w:t xml:space="preserve"> </w:t>
      </w:r>
      <w:r w:rsidRPr="003032D8">
        <w:rPr>
          <w:rFonts w:ascii="TitilliumText25L" w:hAnsi="TitilliumText25L"/>
        </w:rPr>
        <w:t>are</w:t>
      </w:r>
      <w:r w:rsidRPr="003032D8">
        <w:rPr>
          <w:rFonts w:ascii="TitilliumText25L" w:hAnsi="TitilliumText25L"/>
          <w:spacing w:val="26"/>
        </w:rPr>
        <w:t xml:space="preserve"> </w:t>
      </w:r>
      <w:r w:rsidRPr="003032D8">
        <w:rPr>
          <w:rFonts w:ascii="TitilliumText25L" w:hAnsi="TitilliumText25L"/>
        </w:rPr>
        <w:t>trained</w:t>
      </w:r>
      <w:r w:rsidRPr="003032D8">
        <w:rPr>
          <w:rFonts w:ascii="TitilliumText25L" w:hAnsi="TitilliumText25L"/>
          <w:spacing w:val="26"/>
        </w:rPr>
        <w:t xml:space="preserve"> </w:t>
      </w:r>
      <w:r w:rsidRPr="003032D8">
        <w:rPr>
          <w:rFonts w:ascii="TitilliumText25L" w:hAnsi="TitilliumText25L"/>
        </w:rPr>
        <w:t>to</w:t>
      </w:r>
      <w:r w:rsidRPr="003032D8">
        <w:rPr>
          <w:rFonts w:ascii="TitilliumText25L" w:hAnsi="TitilliumText25L"/>
          <w:spacing w:val="26"/>
        </w:rPr>
        <w:t xml:space="preserve"> </w:t>
      </w:r>
      <w:r w:rsidRPr="003032D8">
        <w:rPr>
          <w:rFonts w:ascii="TitilliumText25L" w:hAnsi="TitilliumText25L"/>
        </w:rPr>
        <w:t>the</w:t>
      </w:r>
      <w:r w:rsidRPr="003032D8">
        <w:rPr>
          <w:rFonts w:ascii="TitilliumText25L" w:hAnsi="TitilliumText25L"/>
          <w:spacing w:val="26"/>
        </w:rPr>
        <w:t xml:space="preserve"> </w:t>
      </w:r>
      <w:r w:rsidRPr="003032D8">
        <w:rPr>
          <w:rFonts w:ascii="TitilliumText25L" w:hAnsi="TitilliumText25L"/>
        </w:rPr>
        <w:t>level</w:t>
      </w:r>
      <w:r w:rsidRPr="003032D8">
        <w:rPr>
          <w:rFonts w:ascii="TitilliumText25L" w:hAnsi="TitilliumText25L"/>
          <w:spacing w:val="26"/>
        </w:rPr>
        <w:t xml:space="preserve"> </w:t>
      </w:r>
      <w:r w:rsidRPr="003032D8">
        <w:rPr>
          <w:rFonts w:ascii="TitilliumText25L" w:hAnsi="TitilliumText25L"/>
        </w:rPr>
        <w:t>at which</w:t>
      </w:r>
      <w:r w:rsidRPr="003032D8">
        <w:rPr>
          <w:rFonts w:ascii="TitilliumText25L" w:hAnsi="TitilliumText25L"/>
          <w:spacing w:val="4"/>
        </w:rPr>
        <w:t xml:space="preserve"> </w:t>
      </w:r>
      <w:r w:rsidRPr="003032D8">
        <w:rPr>
          <w:rFonts w:ascii="TitilliumText25L" w:hAnsi="TitilliumText25L"/>
        </w:rPr>
        <w:t xml:space="preserve">they are </w:t>
      </w:r>
      <w:r w:rsidRPr="003032D8">
        <w:rPr>
          <w:rFonts w:ascii="TitilliumText25L" w:hAnsi="TitilliumText25L"/>
          <w:spacing w:val="4"/>
        </w:rPr>
        <w:t>e</w:t>
      </w:r>
      <w:r w:rsidRPr="003032D8">
        <w:rPr>
          <w:rFonts w:ascii="TitilliumText25L" w:hAnsi="TitilliumText25L"/>
        </w:rPr>
        <w:t>xpected</w:t>
      </w:r>
      <w:r w:rsidRPr="003032D8">
        <w:rPr>
          <w:rFonts w:ascii="TitilliumText25L" w:hAnsi="TitilliumText25L"/>
          <w:spacing w:val="4"/>
        </w:rPr>
        <w:t xml:space="preserve"> </w:t>
      </w:r>
      <w:r w:rsidRPr="003032D8">
        <w:rPr>
          <w:rFonts w:ascii="TitilliumText25L" w:hAnsi="TitilliumText25L"/>
        </w:rPr>
        <w:t xml:space="preserve">to operate. </w:t>
      </w:r>
      <w:r w:rsidRPr="003032D8">
        <w:rPr>
          <w:rFonts w:ascii="TitilliumText25L" w:hAnsi="TitilliumText25L"/>
          <w:b/>
          <w:bCs/>
        </w:rPr>
        <w:t>Training should</w:t>
      </w:r>
      <w:r w:rsidRPr="003032D8">
        <w:rPr>
          <w:rFonts w:ascii="TitilliumText25L" w:hAnsi="TitilliumText25L"/>
          <w:b/>
          <w:bCs/>
          <w:spacing w:val="4"/>
        </w:rPr>
        <w:t xml:space="preserve"> </w:t>
      </w:r>
      <w:r w:rsidRPr="003032D8">
        <w:rPr>
          <w:rFonts w:ascii="TitilliumText25L" w:hAnsi="TitilliumText25L"/>
          <w:b/>
          <w:bCs/>
        </w:rPr>
        <w:t xml:space="preserve">include </w:t>
      </w:r>
      <w:r w:rsidRPr="003032D8">
        <w:rPr>
          <w:rFonts w:ascii="TitilliumText25L" w:hAnsi="TitilliumText25L"/>
          <w:b/>
          <w:bCs/>
          <w:spacing w:val="4"/>
        </w:rPr>
        <w:t>both</w:t>
      </w:r>
      <w:r w:rsidRPr="003032D8">
        <w:rPr>
          <w:rFonts w:ascii="TitilliumText25L" w:hAnsi="TitilliumText25L"/>
          <w:b/>
          <w:bCs/>
        </w:rPr>
        <w:t xml:space="preserve"> theo</w:t>
      </w:r>
      <w:r w:rsidRPr="003032D8">
        <w:rPr>
          <w:rFonts w:ascii="TitilliumText25L" w:hAnsi="TitilliumText25L"/>
          <w:b/>
          <w:bCs/>
          <w:spacing w:val="1"/>
        </w:rPr>
        <w:t>r</w:t>
      </w:r>
      <w:r w:rsidRPr="003032D8">
        <w:rPr>
          <w:rFonts w:ascii="TitilliumText25L" w:hAnsi="TitilliumText25L"/>
          <w:b/>
          <w:bCs/>
        </w:rPr>
        <w:t>y</w:t>
      </w:r>
      <w:r w:rsidRPr="003032D8">
        <w:rPr>
          <w:rFonts w:ascii="TitilliumText25L" w:hAnsi="TitilliumText25L"/>
          <w:b/>
          <w:bCs/>
          <w:spacing w:val="1"/>
        </w:rPr>
        <w:t xml:space="preserve"> </w:t>
      </w:r>
      <w:r w:rsidRPr="003032D8">
        <w:rPr>
          <w:rFonts w:ascii="TitilliumText25L" w:hAnsi="TitilliumText25L"/>
          <w:b/>
          <w:bCs/>
        </w:rPr>
        <w:t>and practice</w:t>
      </w:r>
      <w:r w:rsidRPr="003032D8">
        <w:rPr>
          <w:rFonts w:ascii="TitilliumText25L" w:hAnsi="TitilliumText25L"/>
        </w:rPr>
        <w:t xml:space="preserve">. </w:t>
      </w:r>
      <w:r w:rsidR="005511CB" w:rsidRPr="003032D8">
        <w:rPr>
          <w:rFonts w:ascii="TitilliumText25L" w:hAnsi="TitilliumText25L"/>
        </w:rPr>
        <w:t>Autotransfusionist</w:t>
      </w:r>
      <w:r w:rsidRPr="003032D8">
        <w:rPr>
          <w:rFonts w:ascii="TitilliumText25L" w:hAnsi="TitilliumText25L"/>
        </w:rPr>
        <w:t>s</w:t>
      </w:r>
      <w:r w:rsidRPr="003032D8">
        <w:rPr>
          <w:rFonts w:ascii="TitilliumText25L" w:hAnsi="TitilliumText25L"/>
          <w:spacing w:val="24"/>
        </w:rPr>
        <w:t xml:space="preserve"> </w:t>
      </w:r>
      <w:r w:rsidRPr="003032D8">
        <w:rPr>
          <w:rFonts w:ascii="TitilliumText25L" w:hAnsi="TitilliumText25L"/>
        </w:rPr>
        <w:t>need</w:t>
      </w:r>
      <w:r w:rsidRPr="003032D8">
        <w:rPr>
          <w:rFonts w:ascii="TitilliumText25L" w:hAnsi="TitilliumText25L"/>
          <w:spacing w:val="24"/>
        </w:rPr>
        <w:t xml:space="preserve"> </w:t>
      </w:r>
      <w:r w:rsidRPr="003032D8">
        <w:rPr>
          <w:rFonts w:ascii="TitilliumText25L" w:hAnsi="TitilliumText25L"/>
        </w:rPr>
        <w:t>to</w:t>
      </w:r>
      <w:r w:rsidRPr="003032D8">
        <w:rPr>
          <w:rFonts w:ascii="TitilliumText25L" w:hAnsi="TitilliumText25L"/>
          <w:spacing w:val="24"/>
        </w:rPr>
        <w:t xml:space="preserve"> </w:t>
      </w:r>
      <w:r w:rsidRPr="003032D8">
        <w:rPr>
          <w:rFonts w:ascii="TitilliumText25L" w:hAnsi="TitilliumText25L"/>
        </w:rPr>
        <w:t>develop</w:t>
      </w:r>
      <w:r w:rsidRPr="003032D8">
        <w:rPr>
          <w:rFonts w:ascii="TitilliumText25L" w:hAnsi="TitilliumText25L"/>
          <w:spacing w:val="24"/>
        </w:rPr>
        <w:t xml:space="preserve"> </w:t>
      </w:r>
      <w:r w:rsidRPr="003032D8">
        <w:rPr>
          <w:rFonts w:ascii="TitilliumText25L" w:hAnsi="TitilliumText25L"/>
        </w:rPr>
        <w:t>a</w:t>
      </w:r>
      <w:r w:rsidRPr="003032D8">
        <w:rPr>
          <w:rFonts w:ascii="TitilliumText25L" w:hAnsi="TitilliumText25L"/>
          <w:spacing w:val="24"/>
        </w:rPr>
        <w:t xml:space="preserve"> </w:t>
      </w:r>
      <w:r w:rsidRPr="003032D8">
        <w:rPr>
          <w:rFonts w:ascii="TitilliumText25L" w:hAnsi="TitilliumText25L"/>
        </w:rPr>
        <w:t>b</w:t>
      </w:r>
      <w:r w:rsidRPr="003032D8">
        <w:rPr>
          <w:rFonts w:ascii="TitilliumText25L" w:hAnsi="TitilliumText25L"/>
          <w:spacing w:val="3"/>
        </w:rPr>
        <w:t>r</w:t>
      </w:r>
      <w:r w:rsidRPr="003032D8">
        <w:rPr>
          <w:rFonts w:ascii="TitilliumText25L" w:hAnsi="TitilliumText25L"/>
        </w:rPr>
        <w:t>oad unde</w:t>
      </w:r>
      <w:r w:rsidRPr="003032D8">
        <w:rPr>
          <w:rFonts w:ascii="TitilliumText25L" w:hAnsi="TitilliumText25L"/>
          <w:spacing w:val="2"/>
        </w:rPr>
        <w:t>r</w:t>
      </w:r>
      <w:r w:rsidRPr="003032D8">
        <w:rPr>
          <w:rFonts w:ascii="TitilliumText25L" w:hAnsi="TitilliumText25L"/>
        </w:rPr>
        <w:t>standing</w:t>
      </w:r>
      <w:r w:rsidRPr="003032D8">
        <w:rPr>
          <w:rFonts w:ascii="TitilliumText25L" w:hAnsi="TitilliumText25L"/>
          <w:spacing w:val="24"/>
        </w:rPr>
        <w:t xml:space="preserve"> </w:t>
      </w:r>
      <w:r w:rsidRPr="003032D8">
        <w:rPr>
          <w:rFonts w:ascii="TitilliumText25L" w:hAnsi="TitilliumText25L"/>
        </w:rPr>
        <w:t>of</w:t>
      </w:r>
      <w:r w:rsidRPr="003032D8">
        <w:rPr>
          <w:rFonts w:ascii="TitilliumText25L" w:hAnsi="TitilliumText25L"/>
          <w:spacing w:val="26"/>
        </w:rPr>
        <w:t xml:space="preserve"> </w:t>
      </w:r>
      <w:r w:rsidRPr="003032D8">
        <w:rPr>
          <w:rFonts w:ascii="TitilliumText25L" w:hAnsi="TitilliumText25L"/>
        </w:rPr>
        <w:t>the</w:t>
      </w:r>
      <w:r w:rsidRPr="003032D8">
        <w:rPr>
          <w:rFonts w:ascii="TitilliumText25L" w:hAnsi="TitilliumText25L"/>
          <w:spacing w:val="24"/>
        </w:rPr>
        <w:t xml:space="preserve"> </w:t>
      </w:r>
      <w:r w:rsidRPr="003032D8">
        <w:rPr>
          <w:rFonts w:ascii="TitilliumText25L" w:hAnsi="TitilliumText25L"/>
        </w:rPr>
        <w:t>appropriate</w:t>
      </w:r>
      <w:r w:rsidRPr="003032D8">
        <w:rPr>
          <w:rFonts w:ascii="TitilliumText25L" w:hAnsi="TitilliumText25L"/>
          <w:spacing w:val="24"/>
        </w:rPr>
        <w:t xml:space="preserve"> </w:t>
      </w:r>
      <w:r w:rsidRPr="003032D8">
        <w:rPr>
          <w:rFonts w:ascii="TitilliumText25L" w:hAnsi="TitilliumText25L"/>
        </w:rPr>
        <w:t>use</w:t>
      </w:r>
      <w:r w:rsidRPr="003032D8">
        <w:rPr>
          <w:rFonts w:ascii="TitilliumText25L" w:hAnsi="TitilliumText25L"/>
          <w:spacing w:val="24"/>
        </w:rPr>
        <w:t xml:space="preserve"> </w:t>
      </w:r>
      <w:r w:rsidRPr="003032D8">
        <w:rPr>
          <w:rFonts w:ascii="TitilliumText25L" w:hAnsi="TitilliumText25L"/>
        </w:rPr>
        <w:t>of</w:t>
      </w:r>
      <w:r w:rsidRPr="003032D8">
        <w:rPr>
          <w:rFonts w:ascii="TitilliumText25L" w:hAnsi="TitilliumText25L"/>
          <w:spacing w:val="24"/>
        </w:rPr>
        <w:t xml:space="preserve"> </w:t>
      </w:r>
      <w:r w:rsidRPr="003032D8">
        <w:rPr>
          <w:rFonts w:ascii="TitilliumText25L" w:hAnsi="TitilliumText25L"/>
        </w:rPr>
        <w:t>ICS</w:t>
      </w:r>
      <w:r w:rsidRPr="003032D8">
        <w:rPr>
          <w:rFonts w:ascii="TitilliumText25L" w:hAnsi="TitilliumText25L"/>
          <w:spacing w:val="24"/>
        </w:rPr>
        <w:t xml:space="preserve"> </w:t>
      </w:r>
      <w:r w:rsidRPr="003032D8">
        <w:rPr>
          <w:rFonts w:ascii="TitilliumText25L" w:hAnsi="TitilliumText25L"/>
        </w:rPr>
        <w:t>including</w:t>
      </w:r>
      <w:r w:rsidRPr="003032D8">
        <w:rPr>
          <w:rFonts w:ascii="TitilliumText25L" w:hAnsi="TitilliumText25L"/>
          <w:spacing w:val="24"/>
        </w:rPr>
        <w:t xml:space="preserve"> </w:t>
      </w:r>
      <w:r w:rsidRPr="003032D8">
        <w:rPr>
          <w:rFonts w:ascii="TitilliumText25L" w:hAnsi="TitilliumText25L"/>
        </w:rPr>
        <w:t>the contra-indications</w:t>
      </w:r>
      <w:r w:rsidRPr="003032D8">
        <w:rPr>
          <w:rFonts w:ascii="TitilliumText25L" w:hAnsi="TitilliumText25L"/>
          <w:spacing w:val="8"/>
        </w:rPr>
        <w:t xml:space="preserve"> </w:t>
      </w:r>
      <w:r w:rsidRPr="003032D8">
        <w:rPr>
          <w:rFonts w:ascii="TitilliumText25L" w:hAnsi="TitilliumText25L"/>
        </w:rPr>
        <w:t>and impli</w:t>
      </w:r>
      <w:r w:rsidRPr="003032D8">
        <w:rPr>
          <w:rFonts w:ascii="TitilliumText25L" w:hAnsi="TitilliumText25L"/>
          <w:spacing w:val="1"/>
        </w:rPr>
        <w:t>c</w:t>
      </w:r>
      <w:r w:rsidRPr="003032D8">
        <w:rPr>
          <w:rFonts w:ascii="TitilliumText25L" w:hAnsi="TitilliumText25L"/>
        </w:rPr>
        <w:t>ations</w:t>
      </w:r>
      <w:r w:rsidRPr="003032D8">
        <w:rPr>
          <w:rFonts w:ascii="TitilliumText25L" w:hAnsi="TitilliumText25L"/>
          <w:spacing w:val="10"/>
        </w:rPr>
        <w:t xml:space="preserve"> </w:t>
      </w:r>
      <w:r w:rsidRPr="003032D8">
        <w:rPr>
          <w:rFonts w:ascii="TitilliumText25L" w:hAnsi="TitilliumText25L"/>
        </w:rPr>
        <w:t>of administration and rein</w:t>
      </w:r>
      <w:r w:rsidRPr="003032D8">
        <w:rPr>
          <w:rFonts w:ascii="TitilliumText25L" w:hAnsi="TitilliumText25L"/>
          <w:spacing w:val="2"/>
        </w:rPr>
        <w:t>f</w:t>
      </w:r>
      <w:r w:rsidRPr="003032D8">
        <w:rPr>
          <w:rFonts w:ascii="TitilliumText25L" w:hAnsi="TitilliumText25L"/>
        </w:rPr>
        <w:t xml:space="preserve">usion of </w:t>
      </w:r>
      <w:r w:rsidRPr="003032D8">
        <w:rPr>
          <w:rFonts w:ascii="TitilliumText25L" w:hAnsi="TitilliumText25L"/>
          <w:spacing w:val="1"/>
        </w:rPr>
        <w:t>s</w:t>
      </w:r>
      <w:r w:rsidRPr="003032D8">
        <w:rPr>
          <w:rFonts w:ascii="TitilliumText25L" w:hAnsi="TitilliumText25L"/>
        </w:rPr>
        <w:t>alvaged blood. A theoretical course covering all aspects of intraoperative cell salvage (e.g. Australasian Board of Cardiovascular Perfusion autotransfusion course) should be completed.</w:t>
      </w:r>
      <w:r w:rsidRPr="003032D8">
        <w:rPr>
          <w:rFonts w:ascii="TitilliumText25L" w:hAnsi="TitilliumText25L"/>
          <w:color w:val="000000"/>
        </w:rPr>
        <w:t xml:space="preserve"> </w:t>
      </w:r>
      <w:r w:rsidRPr="003032D8">
        <w:rPr>
          <w:rFonts w:ascii="TitilliumText25L" w:hAnsi="TitilliumText25L"/>
        </w:rPr>
        <w:t>It is also recommended that along with theoretical training, practical training in a non-clinical environment should also be completed (e.g. Manufacturer provided intraoperative cell salvage courses).</w:t>
      </w:r>
    </w:p>
    <w:p w:rsidR="00BE3BE3" w:rsidRPr="003032D8" w:rsidRDefault="00BE3BE3" w:rsidP="00BE3BE3">
      <w:pPr>
        <w:pBdr>
          <w:top w:val="single" w:sz="4" w:space="1" w:color="auto"/>
          <w:left w:val="single" w:sz="4" w:space="4" w:color="auto"/>
          <w:bottom w:val="single" w:sz="4" w:space="1" w:color="auto"/>
          <w:right w:val="single" w:sz="4" w:space="4" w:color="auto"/>
        </w:pBdr>
        <w:rPr>
          <w:rFonts w:ascii="TitilliumText25L" w:hAnsi="TitilliumText25L"/>
          <w:b/>
        </w:rPr>
      </w:pPr>
      <w:r w:rsidRPr="003032D8">
        <w:rPr>
          <w:rFonts w:ascii="TitilliumText25L" w:hAnsi="TitilliumText25L"/>
          <w:b/>
        </w:rPr>
        <w:t>NOTE: This workbook is provided as an example only.  Individual hospitals may use this workbook in its current form or adapt its contents to suit their own circumstances.</w:t>
      </w:r>
    </w:p>
    <w:p w:rsidR="00BE3BE3" w:rsidRPr="003032D8" w:rsidRDefault="00BE3BE3" w:rsidP="00BE3BE3">
      <w:pPr>
        <w:rPr>
          <w:rFonts w:ascii="TitilliumText25L" w:hAnsi="TitilliumText25L"/>
        </w:rPr>
      </w:pPr>
      <w:r w:rsidRPr="003032D8">
        <w:rPr>
          <w:rFonts w:ascii="TitilliumText25L" w:hAnsi="TitilliumText25L"/>
        </w:rPr>
        <w:br w:type="page"/>
      </w:r>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b/>
        </w:rPr>
        <w:t>Hospitals</w:t>
      </w:r>
      <w:r w:rsidRPr="003032D8">
        <w:rPr>
          <w:rFonts w:ascii="TitilliumText25L" w:hAnsi="TitilliumText25L"/>
          <w:b/>
          <w:spacing w:val="-11"/>
        </w:rPr>
        <w:t xml:space="preserve"> </w:t>
      </w:r>
      <w:r w:rsidRPr="003032D8">
        <w:rPr>
          <w:rFonts w:ascii="TitilliumText25L" w:hAnsi="TitilliumText25L"/>
          <w:b/>
        </w:rPr>
        <w:t>involved in training staff</w:t>
      </w:r>
      <w:r w:rsidRPr="003032D8">
        <w:rPr>
          <w:rFonts w:ascii="TitilliumText25L" w:hAnsi="TitilliumText25L"/>
          <w:b/>
          <w:spacing w:val="1"/>
        </w:rPr>
        <w:t xml:space="preserve"> </w:t>
      </w:r>
      <w:r w:rsidRPr="003032D8">
        <w:rPr>
          <w:rFonts w:ascii="TitilliumText25L" w:hAnsi="TitilliumText25L"/>
          <w:b/>
        </w:rPr>
        <w:t>in the use</w:t>
      </w:r>
      <w:r w:rsidRPr="003032D8">
        <w:rPr>
          <w:rFonts w:ascii="TitilliumText25L" w:hAnsi="TitilliumText25L"/>
          <w:b/>
          <w:spacing w:val="1"/>
        </w:rPr>
        <w:t xml:space="preserve"> </w:t>
      </w:r>
      <w:r w:rsidRPr="003032D8">
        <w:rPr>
          <w:rFonts w:ascii="TitilliumText25L" w:hAnsi="TitilliumText25L"/>
          <w:b/>
        </w:rPr>
        <w:t>of intraoperative cell salvage should adopt the following principle</w:t>
      </w:r>
      <w:r w:rsidRPr="003032D8">
        <w:rPr>
          <w:rFonts w:ascii="TitilliumText25L" w:hAnsi="TitilliumText25L"/>
          <w:b/>
          <w:spacing w:val="1"/>
        </w:rPr>
        <w:t>s</w:t>
      </w:r>
      <w:r w:rsidRPr="003032D8">
        <w:rPr>
          <w:rFonts w:ascii="TitilliumText25L" w:hAnsi="TitilliumText25L"/>
        </w:rPr>
        <w:t xml:space="preserve">: </w:t>
      </w:r>
    </w:p>
    <w:p w:rsidR="00BE3BE3" w:rsidRPr="003032D8" w:rsidRDefault="00BE3BE3" w:rsidP="00BE3BE3">
      <w:pPr>
        <w:numPr>
          <w:ilvl w:val="0"/>
          <w:numId w:val="8"/>
        </w:numPr>
        <w:spacing w:line="240" w:lineRule="auto"/>
        <w:contextualSpacing/>
        <w:rPr>
          <w:rFonts w:ascii="TitilliumText25L" w:hAnsi="TitilliumText25L"/>
          <w:color w:val="000000"/>
        </w:rPr>
      </w:pPr>
      <w:r w:rsidRPr="003032D8">
        <w:rPr>
          <w:rFonts w:ascii="TitilliumText25L" w:hAnsi="TitilliumText25L"/>
        </w:rPr>
        <w:t>Identify</w:t>
      </w:r>
      <w:r w:rsidRPr="003032D8">
        <w:rPr>
          <w:rFonts w:ascii="TitilliumText25L" w:hAnsi="TitilliumText25L"/>
          <w:spacing w:val="55"/>
        </w:rPr>
        <w:t xml:space="preserve"> </w:t>
      </w:r>
      <w:r w:rsidRPr="003032D8">
        <w:rPr>
          <w:rFonts w:ascii="TitilliumText25L" w:hAnsi="TitilliumText25L"/>
        </w:rPr>
        <w:t xml:space="preserve">a key </w:t>
      </w:r>
      <w:r w:rsidRPr="003032D8">
        <w:rPr>
          <w:rFonts w:ascii="TitilliumText25L" w:hAnsi="TitilliumText25L"/>
          <w:spacing w:val="11"/>
        </w:rPr>
        <w:t>t</w:t>
      </w:r>
      <w:r w:rsidRPr="003032D8">
        <w:rPr>
          <w:rFonts w:ascii="TitilliumText25L" w:hAnsi="TitilliumText25L"/>
        </w:rPr>
        <w:t>rainer/s</w:t>
      </w:r>
      <w:r w:rsidRPr="003032D8">
        <w:rPr>
          <w:rFonts w:ascii="TitilliumText25L" w:hAnsi="TitilliumText25L"/>
          <w:spacing w:val="11"/>
        </w:rPr>
        <w:t xml:space="preserve"> </w:t>
      </w:r>
      <w:r w:rsidRPr="003032D8">
        <w:rPr>
          <w:rFonts w:ascii="TitilliumText25L" w:hAnsi="TitilliumText25L"/>
        </w:rPr>
        <w:t>(it is suggested</w:t>
      </w:r>
      <w:r w:rsidRPr="003032D8">
        <w:rPr>
          <w:rFonts w:ascii="TitilliumText25L" w:hAnsi="TitilliumText25L"/>
          <w:spacing w:val="11"/>
        </w:rPr>
        <w:t xml:space="preserve"> </w:t>
      </w:r>
      <w:r w:rsidRPr="003032D8">
        <w:rPr>
          <w:rFonts w:ascii="TitilliumText25L" w:hAnsi="TitilliumText25L"/>
        </w:rPr>
        <w:t>that</w:t>
      </w:r>
      <w:r w:rsidRPr="003032D8">
        <w:rPr>
          <w:rFonts w:ascii="TitilliumText25L" w:hAnsi="TitilliumText25L"/>
          <w:spacing w:val="11"/>
        </w:rPr>
        <w:t xml:space="preserve"> </w:t>
      </w:r>
      <w:r w:rsidRPr="003032D8">
        <w:rPr>
          <w:rFonts w:ascii="TitilliumText25L" w:hAnsi="TitilliumText25L"/>
        </w:rPr>
        <w:t>these</w:t>
      </w:r>
      <w:r w:rsidRPr="003032D8">
        <w:rPr>
          <w:rFonts w:ascii="TitilliumText25L" w:hAnsi="TitilliumText25L"/>
          <w:spacing w:val="11"/>
        </w:rPr>
        <w:t xml:space="preserve"> </w:t>
      </w:r>
      <w:r w:rsidRPr="003032D8">
        <w:rPr>
          <w:rFonts w:ascii="TitilliumText25L" w:hAnsi="TitilliumText25L"/>
        </w:rPr>
        <w:t>people s</w:t>
      </w:r>
      <w:r w:rsidRPr="003032D8">
        <w:rPr>
          <w:rFonts w:ascii="TitilliumText25L" w:hAnsi="TitilliumText25L"/>
          <w:spacing w:val="1"/>
        </w:rPr>
        <w:t>h</w:t>
      </w:r>
      <w:r w:rsidRPr="003032D8">
        <w:rPr>
          <w:rFonts w:ascii="TitilliumText25L" w:hAnsi="TitilliumText25L"/>
        </w:rPr>
        <w:t>ould</w:t>
      </w:r>
      <w:r w:rsidRPr="003032D8">
        <w:rPr>
          <w:rFonts w:ascii="TitilliumText25L" w:hAnsi="TitilliumText25L"/>
          <w:spacing w:val="11"/>
        </w:rPr>
        <w:t xml:space="preserve"> </w:t>
      </w:r>
      <w:r w:rsidRPr="003032D8">
        <w:rPr>
          <w:rFonts w:ascii="TitilliumText25L" w:hAnsi="TitilliumText25L"/>
        </w:rPr>
        <w:t>ha</w:t>
      </w:r>
      <w:r w:rsidRPr="003032D8">
        <w:rPr>
          <w:rFonts w:ascii="TitilliumText25L" w:hAnsi="TitilliumText25L"/>
          <w:spacing w:val="1"/>
        </w:rPr>
        <w:t>v</w:t>
      </w:r>
      <w:r w:rsidRPr="003032D8">
        <w:rPr>
          <w:rFonts w:ascii="TitilliumText25L" w:hAnsi="TitilliumText25L"/>
        </w:rPr>
        <w:t>e</w:t>
      </w:r>
      <w:r w:rsidRPr="003032D8">
        <w:rPr>
          <w:rFonts w:ascii="TitilliumText25L" w:hAnsi="TitilliumText25L"/>
          <w:spacing w:val="11"/>
        </w:rPr>
        <w:t xml:space="preserve"> </w:t>
      </w:r>
      <w:r w:rsidRPr="003032D8">
        <w:rPr>
          <w:rFonts w:ascii="TitilliumText25L" w:hAnsi="TitilliumText25L"/>
        </w:rPr>
        <w:t>a recognised teaching and assessing qualification)</w:t>
      </w:r>
    </w:p>
    <w:p w:rsidR="00BE3BE3" w:rsidRPr="003032D8" w:rsidRDefault="00BE3BE3" w:rsidP="00BE3BE3">
      <w:pPr>
        <w:numPr>
          <w:ilvl w:val="0"/>
          <w:numId w:val="8"/>
        </w:numPr>
        <w:spacing w:line="240" w:lineRule="auto"/>
        <w:contextualSpacing/>
        <w:rPr>
          <w:rFonts w:ascii="TitilliumText25L" w:hAnsi="TitilliumText25L"/>
          <w:color w:val="000000"/>
        </w:rPr>
      </w:pPr>
      <w:r w:rsidRPr="003032D8">
        <w:rPr>
          <w:rFonts w:ascii="TitilliumText25L" w:hAnsi="TitilliumText25L"/>
        </w:rPr>
        <w:t>Theory</w:t>
      </w:r>
      <w:r w:rsidRPr="003032D8">
        <w:rPr>
          <w:rFonts w:ascii="TitilliumText25L" w:hAnsi="TitilliumText25L"/>
          <w:spacing w:val="17"/>
        </w:rPr>
        <w:t xml:space="preserve"> </w:t>
      </w:r>
      <w:r w:rsidRPr="003032D8">
        <w:rPr>
          <w:rFonts w:ascii="TitilliumText25L" w:hAnsi="TitilliumText25L"/>
        </w:rPr>
        <w:t>training</w:t>
      </w:r>
      <w:r w:rsidRPr="003032D8">
        <w:rPr>
          <w:rFonts w:ascii="TitilliumText25L" w:hAnsi="TitilliumText25L"/>
          <w:spacing w:val="27"/>
        </w:rPr>
        <w:t xml:space="preserve"> </w:t>
      </w:r>
      <w:r w:rsidRPr="003032D8">
        <w:rPr>
          <w:rFonts w:ascii="TitilliumText25L" w:hAnsi="TitilliumText25L"/>
        </w:rPr>
        <w:t>and</w:t>
      </w:r>
      <w:r w:rsidRPr="003032D8">
        <w:rPr>
          <w:rFonts w:ascii="TitilliumText25L" w:hAnsi="TitilliumText25L"/>
          <w:spacing w:val="28"/>
        </w:rPr>
        <w:t xml:space="preserve"> </w:t>
      </w:r>
      <w:r w:rsidRPr="003032D8">
        <w:rPr>
          <w:rFonts w:ascii="TitilliumText25L" w:hAnsi="TitilliumText25L"/>
        </w:rPr>
        <w:t>assessment</w:t>
      </w:r>
      <w:r w:rsidRPr="003032D8">
        <w:rPr>
          <w:rFonts w:ascii="TitilliumText25L" w:hAnsi="TitilliumText25L"/>
          <w:spacing w:val="28"/>
        </w:rPr>
        <w:t xml:space="preserve"> </w:t>
      </w:r>
      <w:r w:rsidRPr="003032D8">
        <w:rPr>
          <w:rFonts w:ascii="TitilliumText25L" w:hAnsi="TitilliumText25L"/>
        </w:rPr>
        <w:t>of</w:t>
      </w:r>
      <w:r w:rsidRPr="003032D8">
        <w:rPr>
          <w:rFonts w:ascii="TitilliumText25L" w:hAnsi="TitilliumText25L"/>
          <w:spacing w:val="28"/>
        </w:rPr>
        <w:t xml:space="preserve"> </w:t>
      </w:r>
      <w:r w:rsidRPr="003032D8">
        <w:rPr>
          <w:rFonts w:ascii="TitilliumText25L" w:hAnsi="TitilliumText25L"/>
        </w:rPr>
        <w:t>knowledge</w:t>
      </w:r>
      <w:r w:rsidRPr="003032D8">
        <w:rPr>
          <w:rFonts w:ascii="TitilliumText25L" w:hAnsi="TitilliumText25L"/>
          <w:spacing w:val="27"/>
        </w:rPr>
        <w:t xml:space="preserve"> </w:t>
      </w:r>
      <w:r w:rsidRPr="003032D8">
        <w:rPr>
          <w:rFonts w:ascii="TitilliumText25L" w:hAnsi="TitilliumText25L"/>
        </w:rPr>
        <w:t>should</w:t>
      </w:r>
      <w:r w:rsidRPr="003032D8">
        <w:rPr>
          <w:rFonts w:ascii="TitilliumText25L" w:hAnsi="TitilliumText25L"/>
          <w:spacing w:val="28"/>
        </w:rPr>
        <w:t xml:space="preserve"> </w:t>
      </w:r>
      <w:r w:rsidRPr="003032D8">
        <w:rPr>
          <w:rFonts w:ascii="TitilliumText25L" w:hAnsi="TitilliumText25L"/>
        </w:rPr>
        <w:t>be</w:t>
      </w:r>
      <w:r w:rsidRPr="003032D8">
        <w:rPr>
          <w:rFonts w:ascii="TitilliumText25L" w:hAnsi="TitilliumText25L"/>
          <w:spacing w:val="28"/>
        </w:rPr>
        <w:t xml:space="preserve"> </w:t>
      </w:r>
      <w:r w:rsidRPr="003032D8">
        <w:rPr>
          <w:rFonts w:ascii="TitilliumText25L" w:hAnsi="TitilliumText25L"/>
        </w:rPr>
        <w:t>completed</w:t>
      </w:r>
      <w:r w:rsidRPr="003032D8">
        <w:rPr>
          <w:rFonts w:ascii="TitilliumText25L" w:hAnsi="TitilliumText25L"/>
          <w:spacing w:val="28"/>
        </w:rPr>
        <w:t xml:space="preserve"> </w:t>
      </w:r>
      <w:r w:rsidRPr="003032D8">
        <w:rPr>
          <w:rFonts w:ascii="TitilliumText25L" w:hAnsi="TitilliumText25L"/>
        </w:rPr>
        <w:t>prior</w:t>
      </w:r>
      <w:r w:rsidRPr="003032D8">
        <w:rPr>
          <w:rFonts w:ascii="TitilliumText25L" w:hAnsi="TitilliumText25L"/>
          <w:spacing w:val="28"/>
        </w:rPr>
        <w:t xml:space="preserve"> </w:t>
      </w:r>
      <w:r w:rsidRPr="003032D8">
        <w:rPr>
          <w:rFonts w:ascii="TitilliumText25L" w:hAnsi="TitilliumText25L"/>
        </w:rPr>
        <w:t>to</w:t>
      </w:r>
      <w:r w:rsidRPr="003032D8">
        <w:rPr>
          <w:rFonts w:ascii="TitilliumText25L" w:hAnsi="TitilliumText25L"/>
          <w:spacing w:val="28"/>
        </w:rPr>
        <w:t xml:space="preserve"> </w:t>
      </w:r>
      <w:r w:rsidRPr="003032D8">
        <w:rPr>
          <w:rFonts w:ascii="TitilliumText25L" w:hAnsi="TitilliumText25L"/>
        </w:rPr>
        <w:t>undertaking practical training</w:t>
      </w:r>
    </w:p>
    <w:p w:rsidR="00BE3BE3" w:rsidRPr="003032D8" w:rsidRDefault="00BE3BE3" w:rsidP="00BE3BE3">
      <w:pPr>
        <w:numPr>
          <w:ilvl w:val="0"/>
          <w:numId w:val="8"/>
        </w:numPr>
        <w:spacing w:line="240" w:lineRule="auto"/>
        <w:contextualSpacing/>
        <w:rPr>
          <w:rFonts w:ascii="TitilliumText25L" w:hAnsi="TitilliumText25L"/>
          <w:color w:val="000000"/>
        </w:rPr>
      </w:pPr>
      <w:r w:rsidRPr="003032D8">
        <w:rPr>
          <w:rFonts w:ascii="TitilliumText25L" w:hAnsi="TitilliumText25L"/>
        </w:rPr>
        <w:t>Staff</w:t>
      </w:r>
      <w:r w:rsidRPr="003032D8">
        <w:rPr>
          <w:rFonts w:ascii="TitilliumText25L" w:hAnsi="TitilliumText25L"/>
          <w:spacing w:val="28"/>
        </w:rPr>
        <w:t xml:space="preserve"> </w:t>
      </w:r>
      <w:r w:rsidRPr="003032D8">
        <w:rPr>
          <w:rFonts w:ascii="TitilliumText25L" w:hAnsi="TitilliumText25L"/>
        </w:rPr>
        <w:t>should</w:t>
      </w:r>
      <w:r w:rsidRPr="003032D8">
        <w:rPr>
          <w:rFonts w:ascii="TitilliumText25L" w:hAnsi="TitilliumText25L"/>
          <w:spacing w:val="38"/>
        </w:rPr>
        <w:t xml:space="preserve"> </w:t>
      </w:r>
      <w:r w:rsidRPr="003032D8">
        <w:rPr>
          <w:rFonts w:ascii="TitilliumText25L" w:hAnsi="TitilliumText25L"/>
        </w:rPr>
        <w:t>be</w:t>
      </w:r>
      <w:r w:rsidRPr="003032D8">
        <w:rPr>
          <w:rFonts w:ascii="TitilliumText25L" w:hAnsi="TitilliumText25L"/>
          <w:spacing w:val="38"/>
        </w:rPr>
        <w:t xml:space="preserve"> </w:t>
      </w:r>
      <w:r w:rsidRPr="003032D8">
        <w:rPr>
          <w:rFonts w:ascii="TitilliumText25L" w:hAnsi="TitilliumText25L"/>
        </w:rPr>
        <w:t>allowed</w:t>
      </w:r>
      <w:r w:rsidRPr="003032D8">
        <w:rPr>
          <w:rFonts w:ascii="TitilliumText25L" w:hAnsi="TitilliumText25L"/>
          <w:spacing w:val="38"/>
        </w:rPr>
        <w:t xml:space="preserve"> </w:t>
      </w:r>
      <w:r w:rsidRPr="003032D8">
        <w:rPr>
          <w:rFonts w:ascii="TitilliumText25L" w:hAnsi="TitilliumText25L"/>
        </w:rPr>
        <w:t>dedi</w:t>
      </w:r>
      <w:r w:rsidRPr="003032D8">
        <w:rPr>
          <w:rFonts w:ascii="TitilliumText25L" w:hAnsi="TitilliumText25L"/>
          <w:spacing w:val="1"/>
        </w:rPr>
        <w:t>c</w:t>
      </w:r>
      <w:r w:rsidRPr="003032D8">
        <w:rPr>
          <w:rFonts w:ascii="TitilliumText25L" w:hAnsi="TitilliumText25L"/>
        </w:rPr>
        <w:t>ated</w:t>
      </w:r>
      <w:r w:rsidRPr="003032D8">
        <w:rPr>
          <w:rFonts w:ascii="TitilliumText25L" w:hAnsi="TitilliumText25L"/>
          <w:spacing w:val="38"/>
        </w:rPr>
        <w:t xml:space="preserve"> </w:t>
      </w:r>
      <w:r w:rsidRPr="003032D8">
        <w:rPr>
          <w:rFonts w:ascii="TitilliumText25L" w:hAnsi="TitilliumText25L"/>
        </w:rPr>
        <w:t>time</w:t>
      </w:r>
      <w:r w:rsidRPr="003032D8">
        <w:rPr>
          <w:rFonts w:ascii="TitilliumText25L" w:hAnsi="TitilliumText25L"/>
          <w:spacing w:val="38"/>
        </w:rPr>
        <w:t xml:space="preserve"> </w:t>
      </w:r>
      <w:r w:rsidRPr="003032D8">
        <w:rPr>
          <w:rFonts w:ascii="TitilliumText25L" w:hAnsi="TitilliumText25L"/>
        </w:rPr>
        <w:t>for</w:t>
      </w:r>
      <w:r w:rsidRPr="003032D8">
        <w:rPr>
          <w:rFonts w:ascii="TitilliumText25L" w:hAnsi="TitilliumText25L"/>
          <w:spacing w:val="38"/>
        </w:rPr>
        <w:t xml:space="preserve"> </w:t>
      </w:r>
      <w:r w:rsidRPr="003032D8">
        <w:rPr>
          <w:rFonts w:ascii="TitilliumText25L" w:hAnsi="TitilliumText25L"/>
        </w:rPr>
        <w:t>p</w:t>
      </w:r>
      <w:r w:rsidRPr="003032D8">
        <w:rPr>
          <w:rFonts w:ascii="TitilliumText25L" w:hAnsi="TitilliumText25L"/>
          <w:spacing w:val="1"/>
        </w:rPr>
        <w:t>r</w:t>
      </w:r>
      <w:r w:rsidRPr="003032D8">
        <w:rPr>
          <w:rFonts w:ascii="TitilliumText25L" w:hAnsi="TitilliumText25L"/>
        </w:rPr>
        <w:t>actical</w:t>
      </w:r>
      <w:r w:rsidRPr="003032D8">
        <w:rPr>
          <w:rFonts w:ascii="TitilliumText25L" w:hAnsi="TitilliumText25L"/>
          <w:spacing w:val="38"/>
        </w:rPr>
        <w:t xml:space="preserve"> </w:t>
      </w:r>
      <w:r w:rsidRPr="003032D8">
        <w:rPr>
          <w:rFonts w:ascii="TitilliumText25L" w:hAnsi="TitilliumText25L"/>
        </w:rPr>
        <w:t>training</w:t>
      </w:r>
      <w:r w:rsidRPr="003032D8">
        <w:rPr>
          <w:rFonts w:ascii="TitilliumText25L" w:hAnsi="TitilliumText25L"/>
          <w:spacing w:val="38"/>
        </w:rPr>
        <w:t xml:space="preserve"> </w:t>
      </w:r>
      <w:r w:rsidRPr="003032D8">
        <w:rPr>
          <w:rFonts w:ascii="TitilliumText25L" w:hAnsi="TitilliumText25L"/>
        </w:rPr>
        <w:t>w</w:t>
      </w:r>
      <w:r w:rsidRPr="003032D8">
        <w:rPr>
          <w:rFonts w:ascii="TitilliumText25L" w:hAnsi="TitilliumText25L"/>
          <w:spacing w:val="1"/>
        </w:rPr>
        <w:t>h</w:t>
      </w:r>
      <w:r w:rsidRPr="003032D8">
        <w:rPr>
          <w:rFonts w:ascii="TitilliumText25L" w:hAnsi="TitilliumText25L"/>
        </w:rPr>
        <w:t>ich</w:t>
      </w:r>
      <w:r w:rsidRPr="003032D8">
        <w:rPr>
          <w:rFonts w:ascii="TitilliumText25L" w:hAnsi="TitilliumText25L"/>
          <w:spacing w:val="38"/>
        </w:rPr>
        <w:t xml:space="preserve"> </w:t>
      </w:r>
      <w:r w:rsidRPr="003032D8">
        <w:rPr>
          <w:rFonts w:ascii="TitilliumText25L" w:hAnsi="TitilliumText25L"/>
        </w:rPr>
        <w:t>can</w:t>
      </w:r>
      <w:r w:rsidRPr="003032D8">
        <w:rPr>
          <w:rFonts w:ascii="TitilliumText25L" w:hAnsi="TitilliumText25L"/>
          <w:spacing w:val="38"/>
        </w:rPr>
        <w:t xml:space="preserve"> </w:t>
      </w:r>
      <w:r w:rsidRPr="003032D8">
        <w:rPr>
          <w:rFonts w:ascii="TitilliumText25L" w:hAnsi="TitilliumText25L"/>
        </w:rPr>
        <w:t>be</w:t>
      </w:r>
      <w:r w:rsidRPr="003032D8">
        <w:rPr>
          <w:rFonts w:ascii="TitilliumText25L" w:hAnsi="TitilliumText25L"/>
          <w:spacing w:val="38"/>
        </w:rPr>
        <w:t xml:space="preserve"> </w:t>
      </w:r>
      <w:r w:rsidRPr="003032D8">
        <w:rPr>
          <w:rFonts w:ascii="TitilliumText25L" w:hAnsi="TitilliumText25L"/>
        </w:rPr>
        <w:t>delivered</w:t>
      </w:r>
      <w:r w:rsidRPr="003032D8">
        <w:rPr>
          <w:rFonts w:ascii="TitilliumText25L" w:hAnsi="TitilliumText25L"/>
          <w:spacing w:val="38"/>
        </w:rPr>
        <w:t xml:space="preserve"> </w:t>
      </w:r>
      <w:r w:rsidRPr="003032D8">
        <w:rPr>
          <w:rFonts w:ascii="TitilliumText25L" w:hAnsi="TitilliumText25L"/>
        </w:rPr>
        <w:t>by manufacturer</w:t>
      </w:r>
      <w:r w:rsidRPr="003032D8">
        <w:rPr>
          <w:rFonts w:ascii="TitilliumText25L" w:hAnsi="TitilliumText25L"/>
          <w:spacing w:val="31"/>
        </w:rPr>
        <w:t xml:space="preserve"> </w:t>
      </w:r>
      <w:r w:rsidRPr="003032D8">
        <w:rPr>
          <w:rFonts w:ascii="TitilliumText25L" w:hAnsi="TitilliumText25L"/>
        </w:rPr>
        <w:t>and/or</w:t>
      </w:r>
      <w:r w:rsidRPr="003032D8">
        <w:rPr>
          <w:rFonts w:ascii="TitilliumText25L" w:hAnsi="TitilliumText25L"/>
          <w:spacing w:val="31"/>
        </w:rPr>
        <w:t xml:space="preserve"> </w:t>
      </w:r>
      <w:r w:rsidRPr="003032D8">
        <w:rPr>
          <w:rFonts w:ascii="TitilliumText25L" w:hAnsi="TitilliumText25L"/>
        </w:rPr>
        <w:t>“in-house”</w:t>
      </w:r>
      <w:r w:rsidRPr="003032D8">
        <w:rPr>
          <w:rFonts w:ascii="TitilliumText25L" w:hAnsi="TitilliumText25L"/>
          <w:spacing w:val="31"/>
        </w:rPr>
        <w:t xml:space="preserve"> </w:t>
      </w:r>
      <w:r w:rsidRPr="003032D8">
        <w:rPr>
          <w:rFonts w:ascii="TitilliumText25L" w:hAnsi="TitilliumText25L"/>
        </w:rPr>
        <w:t>trainers.</w:t>
      </w:r>
      <w:r w:rsidRPr="003032D8">
        <w:rPr>
          <w:rFonts w:ascii="TitilliumText25L" w:hAnsi="TitilliumText25L"/>
          <w:spacing w:val="31"/>
        </w:rPr>
        <w:t xml:space="preserve"> </w:t>
      </w:r>
      <w:r w:rsidRPr="003032D8">
        <w:rPr>
          <w:rFonts w:ascii="TitilliumText25L" w:hAnsi="TitilliumText25L"/>
        </w:rPr>
        <w:t>(“In-house”</w:t>
      </w:r>
      <w:r w:rsidRPr="003032D8">
        <w:rPr>
          <w:rFonts w:ascii="TitilliumText25L" w:hAnsi="TitilliumText25L"/>
          <w:spacing w:val="31"/>
        </w:rPr>
        <w:t xml:space="preserve"> </w:t>
      </w:r>
      <w:r w:rsidRPr="003032D8">
        <w:rPr>
          <w:rFonts w:ascii="TitilliumText25L" w:hAnsi="TitilliumText25L"/>
        </w:rPr>
        <w:t>training</w:t>
      </w:r>
      <w:r w:rsidRPr="003032D8">
        <w:rPr>
          <w:rFonts w:ascii="TitilliumText25L" w:hAnsi="TitilliumText25L"/>
          <w:spacing w:val="31"/>
        </w:rPr>
        <w:t xml:space="preserve"> </w:t>
      </w:r>
      <w:r w:rsidRPr="003032D8">
        <w:rPr>
          <w:rFonts w:ascii="TitilliumText25L" w:hAnsi="TitilliumText25L"/>
        </w:rPr>
        <w:t>should</w:t>
      </w:r>
      <w:r w:rsidRPr="003032D8">
        <w:rPr>
          <w:rFonts w:ascii="TitilliumText25L" w:hAnsi="TitilliumText25L"/>
          <w:spacing w:val="31"/>
        </w:rPr>
        <w:t xml:space="preserve"> </w:t>
      </w:r>
      <w:r w:rsidRPr="003032D8">
        <w:rPr>
          <w:rFonts w:ascii="TitilliumText25L" w:hAnsi="TitilliumText25L"/>
        </w:rPr>
        <w:t>be</w:t>
      </w:r>
      <w:r w:rsidRPr="003032D8">
        <w:rPr>
          <w:rFonts w:ascii="TitilliumText25L" w:hAnsi="TitilliumText25L"/>
          <w:spacing w:val="31"/>
        </w:rPr>
        <w:t xml:space="preserve"> </w:t>
      </w:r>
      <w:r w:rsidRPr="003032D8">
        <w:rPr>
          <w:rFonts w:ascii="TitilliumText25L" w:hAnsi="TitilliumText25L"/>
        </w:rPr>
        <w:t>carried</w:t>
      </w:r>
      <w:r w:rsidRPr="003032D8">
        <w:rPr>
          <w:rFonts w:ascii="TitilliumText25L" w:hAnsi="TitilliumText25L"/>
          <w:spacing w:val="31"/>
        </w:rPr>
        <w:t xml:space="preserve"> </w:t>
      </w:r>
      <w:r w:rsidRPr="003032D8">
        <w:rPr>
          <w:rFonts w:ascii="TitilliumText25L" w:hAnsi="TitilliumText25L"/>
        </w:rPr>
        <w:t>out</w:t>
      </w:r>
      <w:r w:rsidRPr="003032D8">
        <w:rPr>
          <w:rFonts w:ascii="TitilliumText25L" w:hAnsi="TitilliumText25L"/>
          <w:spacing w:val="31"/>
        </w:rPr>
        <w:t xml:space="preserve"> </w:t>
      </w:r>
      <w:r w:rsidRPr="003032D8">
        <w:rPr>
          <w:rFonts w:ascii="TitilliumText25L" w:hAnsi="TitilliumText25L"/>
        </w:rPr>
        <w:t>by</w:t>
      </w:r>
      <w:r w:rsidRPr="003032D8">
        <w:rPr>
          <w:rFonts w:ascii="TitilliumText25L" w:hAnsi="TitilliumText25L"/>
          <w:spacing w:val="31"/>
        </w:rPr>
        <w:t xml:space="preserve"> </w:t>
      </w:r>
      <w:r w:rsidRPr="003032D8">
        <w:rPr>
          <w:rFonts w:ascii="TitilliumText25L" w:hAnsi="TitilliumText25L"/>
          <w:spacing w:val="1"/>
        </w:rPr>
        <w:t>k</w:t>
      </w:r>
      <w:r w:rsidRPr="003032D8">
        <w:rPr>
          <w:rFonts w:ascii="TitilliumText25L" w:hAnsi="TitilliumText25L"/>
        </w:rPr>
        <w:t>ey trainers)</w:t>
      </w:r>
    </w:p>
    <w:p w:rsidR="00BE3BE3" w:rsidRPr="003032D8" w:rsidRDefault="00BE3BE3" w:rsidP="00BE3BE3">
      <w:pPr>
        <w:numPr>
          <w:ilvl w:val="0"/>
          <w:numId w:val="8"/>
        </w:numPr>
        <w:spacing w:line="240" w:lineRule="auto"/>
        <w:contextualSpacing/>
        <w:rPr>
          <w:rFonts w:ascii="TitilliumText25L" w:hAnsi="TitilliumText25L"/>
          <w:color w:val="000000"/>
        </w:rPr>
      </w:pPr>
      <w:r w:rsidRPr="003032D8">
        <w:rPr>
          <w:rFonts w:ascii="TitilliumText25L" w:hAnsi="TitilliumText25L"/>
        </w:rPr>
        <w:t>“In-house”</w:t>
      </w:r>
      <w:r w:rsidRPr="003032D8">
        <w:rPr>
          <w:rFonts w:ascii="TitilliumText25L" w:hAnsi="TitilliumText25L"/>
          <w:spacing w:val="-4"/>
        </w:rPr>
        <w:t xml:space="preserve"> </w:t>
      </w:r>
      <w:r w:rsidRPr="003032D8">
        <w:rPr>
          <w:rFonts w:ascii="TitilliumText25L" w:hAnsi="TitilliumText25L"/>
        </w:rPr>
        <w:t>trainers</w:t>
      </w:r>
      <w:r w:rsidRPr="003032D8">
        <w:rPr>
          <w:rFonts w:ascii="TitilliumText25L" w:hAnsi="TitilliumText25L"/>
          <w:spacing w:val="7"/>
        </w:rPr>
        <w:t xml:space="preserve"> </w:t>
      </w:r>
      <w:r w:rsidRPr="003032D8">
        <w:rPr>
          <w:rFonts w:ascii="TitilliumText25L" w:hAnsi="TitilliumText25L"/>
        </w:rPr>
        <w:t>should</w:t>
      </w:r>
      <w:r w:rsidRPr="003032D8">
        <w:rPr>
          <w:rFonts w:ascii="TitilliumText25L" w:hAnsi="TitilliumText25L"/>
          <w:spacing w:val="7"/>
        </w:rPr>
        <w:t xml:space="preserve"> </w:t>
      </w:r>
      <w:r w:rsidRPr="003032D8">
        <w:rPr>
          <w:rFonts w:ascii="TitilliumText25L" w:hAnsi="TitilliumText25L"/>
        </w:rPr>
        <w:t>asse</w:t>
      </w:r>
      <w:r w:rsidRPr="003032D8">
        <w:rPr>
          <w:rFonts w:ascii="TitilliumText25L" w:hAnsi="TitilliumText25L"/>
          <w:spacing w:val="1"/>
        </w:rPr>
        <w:t>s</w:t>
      </w:r>
      <w:r w:rsidRPr="003032D8">
        <w:rPr>
          <w:rFonts w:ascii="TitilliumText25L" w:hAnsi="TitilliumText25L"/>
        </w:rPr>
        <w:t>s</w:t>
      </w:r>
      <w:r w:rsidRPr="003032D8">
        <w:rPr>
          <w:rFonts w:ascii="TitilliumText25L" w:hAnsi="TitilliumText25L"/>
          <w:spacing w:val="7"/>
        </w:rPr>
        <w:t xml:space="preserve"> </w:t>
      </w:r>
      <w:r w:rsidRPr="003032D8">
        <w:rPr>
          <w:rFonts w:ascii="TitilliumText25L" w:hAnsi="TitilliumText25L"/>
        </w:rPr>
        <w:t>competency</w:t>
      </w:r>
      <w:r w:rsidRPr="003032D8">
        <w:rPr>
          <w:rFonts w:ascii="TitilliumText25L" w:hAnsi="TitilliumText25L"/>
          <w:spacing w:val="7"/>
        </w:rPr>
        <w:t xml:space="preserve"> </w:t>
      </w:r>
      <w:r w:rsidRPr="003032D8">
        <w:rPr>
          <w:rFonts w:ascii="TitilliumText25L" w:hAnsi="TitilliumText25L"/>
        </w:rPr>
        <w:t>(</w:t>
      </w:r>
      <w:r w:rsidRPr="003032D8">
        <w:rPr>
          <w:rFonts w:ascii="TitilliumText25L" w:hAnsi="TitilliumText25L"/>
          <w:spacing w:val="-1"/>
        </w:rPr>
        <w:t>i</w:t>
      </w:r>
      <w:r w:rsidRPr="003032D8">
        <w:rPr>
          <w:rFonts w:ascii="TitilliumText25L" w:hAnsi="TitilliumText25L"/>
        </w:rPr>
        <w:t>t</w:t>
      </w:r>
      <w:r w:rsidRPr="003032D8">
        <w:rPr>
          <w:rFonts w:ascii="TitilliumText25L" w:hAnsi="TitilliumText25L"/>
          <w:spacing w:val="7"/>
        </w:rPr>
        <w:t xml:space="preserve"> </w:t>
      </w:r>
      <w:r w:rsidRPr="003032D8">
        <w:rPr>
          <w:rFonts w:ascii="TitilliumText25L" w:hAnsi="TitilliumText25L"/>
        </w:rPr>
        <w:t>is</w:t>
      </w:r>
      <w:r w:rsidRPr="003032D8">
        <w:rPr>
          <w:rFonts w:ascii="TitilliumText25L" w:hAnsi="TitilliumText25L"/>
          <w:spacing w:val="8"/>
        </w:rPr>
        <w:t xml:space="preserve"> </w:t>
      </w:r>
      <w:r w:rsidRPr="003032D8">
        <w:rPr>
          <w:rFonts w:ascii="TitilliumText25L" w:hAnsi="TitilliumText25L"/>
        </w:rPr>
        <w:t>suggested</w:t>
      </w:r>
      <w:r w:rsidRPr="003032D8">
        <w:rPr>
          <w:rFonts w:ascii="TitilliumText25L" w:hAnsi="TitilliumText25L"/>
          <w:spacing w:val="7"/>
        </w:rPr>
        <w:t xml:space="preserve"> </w:t>
      </w:r>
      <w:r w:rsidRPr="003032D8">
        <w:rPr>
          <w:rFonts w:ascii="TitilliumText25L" w:hAnsi="TitilliumText25L"/>
        </w:rPr>
        <w:t>that</w:t>
      </w:r>
      <w:r w:rsidRPr="003032D8">
        <w:rPr>
          <w:rFonts w:ascii="TitilliumText25L" w:hAnsi="TitilliumText25L"/>
          <w:spacing w:val="7"/>
        </w:rPr>
        <w:t xml:space="preserve"> </w:t>
      </w:r>
      <w:r w:rsidRPr="003032D8">
        <w:rPr>
          <w:rFonts w:ascii="TitilliumText25L" w:hAnsi="TitilliumText25L"/>
        </w:rPr>
        <w:t>“in-hou</w:t>
      </w:r>
      <w:r w:rsidRPr="003032D8">
        <w:rPr>
          <w:rFonts w:ascii="TitilliumText25L" w:hAnsi="TitilliumText25L"/>
          <w:spacing w:val="1"/>
        </w:rPr>
        <w:t>s</w:t>
      </w:r>
      <w:r w:rsidRPr="003032D8">
        <w:rPr>
          <w:rFonts w:ascii="TitilliumText25L" w:hAnsi="TitilliumText25L"/>
        </w:rPr>
        <w:t>e”</w:t>
      </w:r>
      <w:r w:rsidRPr="003032D8">
        <w:rPr>
          <w:rFonts w:ascii="TitilliumText25L" w:hAnsi="TitilliumText25L"/>
          <w:spacing w:val="7"/>
        </w:rPr>
        <w:t xml:space="preserve"> </w:t>
      </w:r>
      <w:r w:rsidRPr="003032D8">
        <w:rPr>
          <w:rFonts w:ascii="TitilliumText25L" w:hAnsi="TitilliumText25L"/>
        </w:rPr>
        <w:t>trainers</w:t>
      </w:r>
      <w:r w:rsidRPr="003032D8">
        <w:rPr>
          <w:rFonts w:ascii="TitilliumText25L" w:hAnsi="TitilliumText25L"/>
          <w:spacing w:val="7"/>
        </w:rPr>
        <w:t xml:space="preserve"> </w:t>
      </w:r>
      <w:r w:rsidRPr="003032D8">
        <w:rPr>
          <w:rFonts w:ascii="TitilliumText25L" w:hAnsi="TitilliumText25L"/>
        </w:rPr>
        <w:t>have completed this</w:t>
      </w:r>
      <w:r w:rsidRPr="003032D8">
        <w:rPr>
          <w:rFonts w:ascii="TitilliumText25L" w:hAnsi="TitilliumText25L"/>
          <w:spacing w:val="1"/>
        </w:rPr>
        <w:t xml:space="preserve"> </w:t>
      </w:r>
      <w:r w:rsidRPr="003032D8">
        <w:rPr>
          <w:rFonts w:ascii="TitilliumText25L" w:hAnsi="TitilliumText25L"/>
        </w:rPr>
        <w:t>workbook and that</w:t>
      </w:r>
      <w:r w:rsidRPr="003032D8">
        <w:rPr>
          <w:rFonts w:ascii="TitilliumText25L" w:hAnsi="TitilliumText25L"/>
          <w:spacing w:val="1"/>
        </w:rPr>
        <w:t xml:space="preserve"> </w:t>
      </w:r>
      <w:r w:rsidRPr="003032D8">
        <w:rPr>
          <w:rFonts w:ascii="TitilliumText25L" w:hAnsi="TitilliumText25L"/>
        </w:rPr>
        <w:t>they</w:t>
      </w:r>
      <w:r w:rsidRPr="003032D8">
        <w:rPr>
          <w:rFonts w:ascii="TitilliumText25L" w:hAnsi="TitilliumText25L"/>
          <w:spacing w:val="1"/>
        </w:rPr>
        <w:t xml:space="preserve"> </w:t>
      </w:r>
      <w:r w:rsidRPr="003032D8">
        <w:rPr>
          <w:rFonts w:ascii="TitilliumText25L" w:hAnsi="TitilliumText25L"/>
        </w:rPr>
        <w:t>ho</w:t>
      </w:r>
      <w:r w:rsidRPr="003032D8">
        <w:rPr>
          <w:rFonts w:ascii="TitilliumText25L" w:hAnsi="TitilliumText25L"/>
          <w:spacing w:val="-2"/>
        </w:rPr>
        <w:t>l</w:t>
      </w:r>
      <w:r w:rsidRPr="003032D8">
        <w:rPr>
          <w:rFonts w:ascii="TitilliumText25L" w:hAnsi="TitilliumText25L"/>
        </w:rPr>
        <w:t>d a teaching and asses</w:t>
      </w:r>
      <w:r w:rsidRPr="003032D8">
        <w:rPr>
          <w:rFonts w:ascii="TitilliumText25L" w:hAnsi="TitilliumText25L"/>
          <w:spacing w:val="1"/>
        </w:rPr>
        <w:t>s</w:t>
      </w:r>
      <w:r w:rsidRPr="003032D8">
        <w:rPr>
          <w:rFonts w:ascii="TitilliumText25L" w:hAnsi="TitilliumText25L"/>
        </w:rPr>
        <w:t>ing qualifi</w:t>
      </w:r>
      <w:r w:rsidRPr="003032D8">
        <w:rPr>
          <w:rFonts w:ascii="TitilliumText25L" w:hAnsi="TitilliumText25L"/>
          <w:spacing w:val="1"/>
        </w:rPr>
        <w:t>c</w:t>
      </w:r>
      <w:r w:rsidRPr="003032D8">
        <w:rPr>
          <w:rFonts w:ascii="TitilliumText25L" w:hAnsi="TitilliumText25L"/>
        </w:rPr>
        <w:t>ation)</w:t>
      </w:r>
    </w:p>
    <w:p w:rsidR="00BE3BE3" w:rsidRPr="003032D8" w:rsidRDefault="00BE3BE3" w:rsidP="00BE3BE3">
      <w:pPr>
        <w:numPr>
          <w:ilvl w:val="0"/>
          <w:numId w:val="8"/>
        </w:numPr>
        <w:spacing w:line="240" w:lineRule="auto"/>
        <w:contextualSpacing/>
        <w:rPr>
          <w:rFonts w:ascii="TitilliumText25L" w:hAnsi="TitilliumText25L"/>
          <w:color w:val="000000"/>
        </w:rPr>
      </w:pPr>
      <w:r w:rsidRPr="003032D8">
        <w:rPr>
          <w:rFonts w:ascii="TitilliumText25L" w:hAnsi="TitilliumText25L"/>
        </w:rPr>
        <w:t>Certificates</w:t>
      </w:r>
      <w:r w:rsidRPr="003032D8">
        <w:rPr>
          <w:rFonts w:ascii="TitilliumText25L" w:hAnsi="TitilliumText25L"/>
          <w:spacing w:val="-11"/>
        </w:rPr>
        <w:t xml:space="preserve"> </w:t>
      </w:r>
      <w:r w:rsidRPr="003032D8">
        <w:rPr>
          <w:rFonts w:ascii="TitilliumText25L" w:hAnsi="TitilliumText25L"/>
        </w:rPr>
        <w:t>of</w:t>
      </w:r>
      <w:r w:rsidRPr="003032D8">
        <w:rPr>
          <w:rFonts w:ascii="TitilliumText25L" w:hAnsi="TitilliumText25L"/>
          <w:spacing w:val="1"/>
        </w:rPr>
        <w:t xml:space="preserve"> </w:t>
      </w:r>
      <w:r w:rsidRPr="003032D8">
        <w:rPr>
          <w:rFonts w:ascii="TitilliumText25L" w:hAnsi="TitilliumText25L"/>
        </w:rPr>
        <w:t>competence should be issued by the Organisati</w:t>
      </w:r>
      <w:r w:rsidRPr="003032D8">
        <w:rPr>
          <w:rFonts w:ascii="TitilliumText25L" w:hAnsi="TitilliumText25L"/>
          <w:spacing w:val="1"/>
        </w:rPr>
        <w:t>o</w:t>
      </w:r>
      <w:r w:rsidRPr="003032D8">
        <w:rPr>
          <w:rFonts w:ascii="TitilliumText25L" w:hAnsi="TitilliumText25L"/>
        </w:rPr>
        <w:t>n</w:t>
      </w:r>
    </w:p>
    <w:p w:rsidR="00BE3BE3" w:rsidRPr="003032D8" w:rsidRDefault="00BE3BE3" w:rsidP="00BE3BE3">
      <w:pPr>
        <w:numPr>
          <w:ilvl w:val="0"/>
          <w:numId w:val="8"/>
        </w:numPr>
        <w:spacing w:line="240" w:lineRule="auto"/>
        <w:contextualSpacing/>
        <w:rPr>
          <w:rFonts w:ascii="TitilliumText25L" w:hAnsi="TitilliumText25L"/>
        </w:rPr>
      </w:pPr>
      <w:r w:rsidRPr="003032D8">
        <w:rPr>
          <w:rFonts w:ascii="TitilliumText25L" w:hAnsi="TitilliumText25L"/>
        </w:rPr>
        <w:t>Documented</w:t>
      </w:r>
      <w:r w:rsidRPr="003032D8">
        <w:rPr>
          <w:rFonts w:ascii="TitilliumText25L" w:hAnsi="TitilliumText25L"/>
          <w:spacing w:val="-11"/>
        </w:rPr>
        <w:t xml:space="preserve"> </w:t>
      </w:r>
      <w:r w:rsidRPr="003032D8">
        <w:rPr>
          <w:rFonts w:ascii="TitilliumText25L" w:hAnsi="TitilliumText25L"/>
        </w:rPr>
        <w:t>training records should be kept by the Organisati</w:t>
      </w:r>
      <w:r w:rsidRPr="003032D8">
        <w:rPr>
          <w:rFonts w:ascii="TitilliumText25L" w:hAnsi="TitilliumText25L"/>
          <w:spacing w:val="1"/>
        </w:rPr>
        <w:t>o</w:t>
      </w:r>
      <w:r w:rsidRPr="003032D8">
        <w:rPr>
          <w:rFonts w:ascii="TitilliumText25L" w:hAnsi="TitilliumText25L"/>
        </w:rPr>
        <w:t xml:space="preserve">n </w:t>
      </w:r>
      <w:r w:rsidRPr="003032D8">
        <w:rPr>
          <w:rFonts w:ascii="TitilliumText25L" w:hAnsi="TitilliumText25L"/>
          <w:u w:val="single"/>
        </w:rPr>
        <w:t>and</w:t>
      </w:r>
      <w:r w:rsidRPr="003032D8">
        <w:rPr>
          <w:rFonts w:ascii="TitilliumText25L" w:hAnsi="TitilliumText25L"/>
          <w:spacing w:val="-1"/>
        </w:rPr>
        <w:t xml:space="preserve"> </w:t>
      </w:r>
      <w:r w:rsidRPr="003032D8">
        <w:rPr>
          <w:rFonts w:ascii="TitilliumText25L" w:hAnsi="TitilliumText25L"/>
        </w:rPr>
        <w:t>the</w:t>
      </w:r>
      <w:r w:rsidRPr="003032D8">
        <w:rPr>
          <w:rFonts w:ascii="TitilliumText25L" w:hAnsi="TitilliumText25L"/>
          <w:spacing w:val="1"/>
        </w:rPr>
        <w:t xml:space="preserve"> </w:t>
      </w:r>
      <w:r w:rsidRPr="003032D8">
        <w:rPr>
          <w:rFonts w:ascii="TitilliumText25L" w:hAnsi="TitilliumText25L"/>
        </w:rPr>
        <w:t xml:space="preserve">learner. </w:t>
      </w:r>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b/>
        </w:rPr>
        <w:t>Procedural</w:t>
      </w:r>
      <w:r w:rsidRPr="003032D8">
        <w:rPr>
          <w:rFonts w:ascii="TitilliumText25L" w:hAnsi="TitilliumText25L"/>
          <w:b/>
          <w:spacing w:val="-17"/>
        </w:rPr>
        <w:t xml:space="preserve"> </w:t>
      </w:r>
      <w:r w:rsidRPr="003032D8">
        <w:rPr>
          <w:rFonts w:ascii="TitilliumText25L" w:hAnsi="TitilliumText25L"/>
          <w:b/>
        </w:rPr>
        <w:t>documents/polici</w:t>
      </w:r>
      <w:r w:rsidRPr="003032D8">
        <w:rPr>
          <w:rFonts w:ascii="TitilliumText25L" w:hAnsi="TitilliumText25L"/>
          <w:b/>
          <w:spacing w:val="-1"/>
        </w:rPr>
        <w:t>e</w:t>
      </w:r>
      <w:r w:rsidRPr="003032D8">
        <w:rPr>
          <w:rFonts w:ascii="TitilliumText25L" w:hAnsi="TitilliumText25L"/>
          <w:b/>
        </w:rPr>
        <w:t>s</w:t>
      </w:r>
      <w:r w:rsidRPr="003032D8">
        <w:rPr>
          <w:rFonts w:ascii="TitilliumText25L" w:hAnsi="TitilliumText25L"/>
          <w:b/>
          <w:spacing w:val="-15"/>
        </w:rPr>
        <w:t xml:space="preserve"> </w:t>
      </w:r>
      <w:r w:rsidRPr="003032D8">
        <w:rPr>
          <w:rFonts w:ascii="TitilliumText25L" w:hAnsi="TitilliumText25L"/>
          <w:b/>
        </w:rPr>
        <w:t>sh</w:t>
      </w:r>
      <w:r w:rsidRPr="003032D8">
        <w:rPr>
          <w:rFonts w:ascii="TitilliumText25L" w:hAnsi="TitilliumText25L"/>
          <w:b/>
          <w:spacing w:val="-1"/>
        </w:rPr>
        <w:t>o</w:t>
      </w:r>
      <w:r w:rsidRPr="003032D8">
        <w:rPr>
          <w:rFonts w:ascii="TitilliumText25L" w:hAnsi="TitilliumText25L"/>
          <w:b/>
        </w:rPr>
        <w:t>uld</w:t>
      </w:r>
      <w:r w:rsidRPr="003032D8">
        <w:rPr>
          <w:rFonts w:ascii="TitilliumText25L" w:hAnsi="TitilliumText25L"/>
          <w:b/>
          <w:spacing w:val="-2"/>
        </w:rPr>
        <w:t xml:space="preserve"> </w:t>
      </w:r>
      <w:r w:rsidRPr="003032D8">
        <w:rPr>
          <w:rFonts w:ascii="TitilliumText25L" w:hAnsi="TitilliumText25L"/>
          <w:b/>
        </w:rPr>
        <w:t>be</w:t>
      </w:r>
      <w:r w:rsidRPr="003032D8">
        <w:rPr>
          <w:rFonts w:ascii="TitilliumText25L" w:hAnsi="TitilliumText25L"/>
          <w:b/>
          <w:spacing w:val="-2"/>
        </w:rPr>
        <w:t xml:space="preserve"> </w:t>
      </w:r>
      <w:r w:rsidRPr="003032D8">
        <w:rPr>
          <w:rFonts w:ascii="TitilliumText25L" w:hAnsi="TitilliumText25L"/>
          <w:b/>
        </w:rPr>
        <w:t>available</w:t>
      </w:r>
      <w:r w:rsidRPr="003032D8">
        <w:rPr>
          <w:rFonts w:ascii="TitilliumText25L" w:hAnsi="TitilliumText25L"/>
          <w:b/>
          <w:spacing w:val="-8"/>
        </w:rPr>
        <w:t xml:space="preserve"> </w:t>
      </w:r>
      <w:r w:rsidRPr="003032D8">
        <w:rPr>
          <w:rFonts w:ascii="TitilliumText25L" w:hAnsi="TitilliumText25L"/>
          <w:b/>
        </w:rPr>
        <w:t>to</w:t>
      </w:r>
      <w:r w:rsidRPr="003032D8">
        <w:rPr>
          <w:rFonts w:ascii="TitilliumText25L" w:hAnsi="TitilliumText25L"/>
          <w:b/>
          <w:spacing w:val="-2"/>
        </w:rPr>
        <w:t xml:space="preserve"> </w:t>
      </w:r>
      <w:r w:rsidRPr="003032D8">
        <w:rPr>
          <w:rFonts w:ascii="TitilliumText25L" w:hAnsi="TitilliumText25L"/>
          <w:b/>
        </w:rPr>
        <w:t>staff</w:t>
      </w:r>
      <w:r w:rsidRPr="003032D8">
        <w:rPr>
          <w:rFonts w:ascii="TitilliumText25L" w:hAnsi="TitilliumText25L"/>
          <w:b/>
          <w:spacing w:val="-5"/>
        </w:rPr>
        <w:t xml:space="preserve"> </w:t>
      </w:r>
      <w:r w:rsidRPr="003032D8">
        <w:rPr>
          <w:rFonts w:ascii="TitilliumText25L" w:hAnsi="TitilliumText25L"/>
          <w:b/>
        </w:rPr>
        <w:t>giving</w:t>
      </w:r>
      <w:r w:rsidRPr="003032D8">
        <w:rPr>
          <w:rFonts w:ascii="TitilliumText25L" w:hAnsi="TitilliumText25L"/>
          <w:b/>
          <w:spacing w:val="-5"/>
        </w:rPr>
        <w:t xml:space="preserve"> </w:t>
      </w:r>
      <w:r w:rsidRPr="003032D8">
        <w:rPr>
          <w:rFonts w:ascii="TitilliumText25L" w:hAnsi="TitilliumText25L"/>
          <w:b/>
        </w:rPr>
        <w:t>clear</w:t>
      </w:r>
      <w:r w:rsidRPr="003032D8">
        <w:rPr>
          <w:rFonts w:ascii="TitilliumText25L" w:hAnsi="TitilliumText25L"/>
          <w:b/>
          <w:spacing w:val="-5"/>
        </w:rPr>
        <w:t xml:space="preserve"> </w:t>
      </w:r>
      <w:r w:rsidRPr="003032D8">
        <w:rPr>
          <w:rFonts w:ascii="TitilliumText25L" w:hAnsi="TitilliumText25L"/>
          <w:b/>
        </w:rPr>
        <w:t>guidance</w:t>
      </w:r>
      <w:r w:rsidRPr="003032D8">
        <w:rPr>
          <w:rFonts w:ascii="TitilliumText25L" w:hAnsi="TitilliumText25L"/>
          <w:b/>
          <w:spacing w:val="-8"/>
        </w:rPr>
        <w:t xml:space="preserve"> </w:t>
      </w:r>
      <w:r w:rsidRPr="003032D8">
        <w:rPr>
          <w:rFonts w:ascii="TitilliumText25L" w:hAnsi="TitilliumText25L"/>
          <w:b/>
        </w:rPr>
        <w:t>o</w:t>
      </w:r>
      <w:r w:rsidRPr="003032D8">
        <w:rPr>
          <w:rFonts w:ascii="TitilliumText25L" w:hAnsi="TitilliumText25L"/>
          <w:b/>
          <w:spacing w:val="-1"/>
        </w:rPr>
        <w:t>n</w:t>
      </w:r>
      <w:r w:rsidRPr="003032D8">
        <w:rPr>
          <w:rFonts w:ascii="TitilliumText25L" w:hAnsi="TitilliumText25L"/>
          <w:b/>
        </w:rPr>
        <w:t>:</w:t>
      </w:r>
      <w:r w:rsidRPr="003032D8">
        <w:rPr>
          <w:rFonts w:ascii="TitilliumText25L" w:hAnsi="TitilliumText25L"/>
          <w:spacing w:val="-1"/>
        </w:rPr>
        <w:t xml:space="preserve"> </w:t>
      </w:r>
    </w:p>
    <w:p w:rsidR="00BE3BE3" w:rsidRPr="003032D8" w:rsidRDefault="00BE3BE3" w:rsidP="00BE3BE3">
      <w:pPr>
        <w:numPr>
          <w:ilvl w:val="0"/>
          <w:numId w:val="9"/>
        </w:numPr>
        <w:spacing w:after="120" w:line="240" w:lineRule="auto"/>
        <w:contextualSpacing/>
        <w:rPr>
          <w:rFonts w:ascii="TitilliumText25L" w:hAnsi="TitilliumText25L"/>
          <w:color w:val="000000"/>
        </w:rPr>
      </w:pPr>
      <w:r w:rsidRPr="003032D8">
        <w:rPr>
          <w:rFonts w:ascii="TitilliumText25L" w:hAnsi="TitilliumText25L"/>
        </w:rPr>
        <w:t>Indicatio</w:t>
      </w:r>
      <w:r w:rsidRPr="003032D8">
        <w:rPr>
          <w:rFonts w:ascii="TitilliumText25L" w:hAnsi="TitilliumText25L"/>
          <w:spacing w:val="-1"/>
        </w:rPr>
        <w:t>n</w:t>
      </w:r>
      <w:r w:rsidRPr="003032D8">
        <w:rPr>
          <w:rFonts w:ascii="TitilliumText25L" w:hAnsi="TitilliumText25L"/>
        </w:rPr>
        <w:t>s</w:t>
      </w:r>
      <w:r w:rsidRPr="003032D8">
        <w:rPr>
          <w:rFonts w:ascii="TitilliumText25L" w:hAnsi="TitilliumText25L"/>
          <w:spacing w:val="-8"/>
        </w:rPr>
        <w:t xml:space="preserve"> </w:t>
      </w:r>
      <w:r w:rsidRPr="003032D8">
        <w:rPr>
          <w:rFonts w:ascii="TitilliumText25L" w:hAnsi="TitilliumText25L"/>
        </w:rPr>
        <w:t>and</w:t>
      </w:r>
      <w:r w:rsidRPr="003032D8">
        <w:rPr>
          <w:rFonts w:ascii="TitilliumText25L" w:hAnsi="TitilliumText25L"/>
          <w:spacing w:val="-3"/>
        </w:rPr>
        <w:t xml:space="preserve"> </w:t>
      </w:r>
      <w:r w:rsidRPr="003032D8">
        <w:rPr>
          <w:rFonts w:ascii="TitilliumText25L" w:hAnsi="TitilliumText25L"/>
        </w:rPr>
        <w:t>contrai</w:t>
      </w:r>
      <w:r w:rsidRPr="003032D8">
        <w:rPr>
          <w:rFonts w:ascii="TitilliumText25L" w:hAnsi="TitilliumText25L"/>
          <w:spacing w:val="-1"/>
        </w:rPr>
        <w:t>n</w:t>
      </w:r>
      <w:r w:rsidRPr="003032D8">
        <w:rPr>
          <w:rFonts w:ascii="TitilliumText25L" w:hAnsi="TitilliumText25L"/>
        </w:rPr>
        <w:t>dications</w:t>
      </w:r>
    </w:p>
    <w:p w:rsidR="00BE3BE3" w:rsidRPr="003032D8" w:rsidRDefault="00BE3BE3" w:rsidP="00BE3BE3">
      <w:pPr>
        <w:numPr>
          <w:ilvl w:val="0"/>
          <w:numId w:val="9"/>
        </w:numPr>
        <w:spacing w:after="120" w:line="240" w:lineRule="auto"/>
        <w:contextualSpacing/>
        <w:rPr>
          <w:rFonts w:ascii="TitilliumText25L" w:hAnsi="TitilliumText25L"/>
          <w:color w:val="000000"/>
        </w:rPr>
      </w:pPr>
      <w:r w:rsidRPr="003032D8">
        <w:rPr>
          <w:rFonts w:ascii="TitilliumText25L" w:hAnsi="TitilliumText25L"/>
        </w:rPr>
        <w:t>Who</w:t>
      </w:r>
      <w:r w:rsidRPr="003032D8">
        <w:rPr>
          <w:rFonts w:ascii="TitilliumText25L" w:hAnsi="TitilliumText25L"/>
          <w:spacing w:val="-10"/>
        </w:rPr>
        <w:t xml:space="preserve"> </w:t>
      </w:r>
      <w:r w:rsidRPr="003032D8">
        <w:rPr>
          <w:rFonts w:ascii="TitilliumText25L" w:hAnsi="TitilliumText25L"/>
        </w:rPr>
        <w:t>can</w:t>
      </w:r>
      <w:r w:rsidRPr="003032D8">
        <w:rPr>
          <w:rFonts w:ascii="TitilliumText25L" w:hAnsi="TitilliumText25L"/>
          <w:spacing w:val="-3"/>
        </w:rPr>
        <w:t xml:space="preserve"> </w:t>
      </w:r>
      <w:r w:rsidRPr="003032D8">
        <w:rPr>
          <w:rFonts w:ascii="TitilliumText25L" w:hAnsi="TitilliumText25L"/>
        </w:rPr>
        <w:t>o</w:t>
      </w:r>
      <w:r w:rsidRPr="003032D8">
        <w:rPr>
          <w:rFonts w:ascii="TitilliumText25L" w:hAnsi="TitilliumText25L"/>
          <w:spacing w:val="-1"/>
        </w:rPr>
        <w:t>p</w:t>
      </w:r>
      <w:r w:rsidRPr="003032D8">
        <w:rPr>
          <w:rFonts w:ascii="TitilliumText25L" w:hAnsi="TitilliumText25L"/>
        </w:rPr>
        <w:t>erate</w:t>
      </w:r>
      <w:r w:rsidRPr="003032D8">
        <w:rPr>
          <w:rFonts w:ascii="TitilliumText25L" w:hAnsi="TitilliumText25L"/>
          <w:spacing w:val="-1"/>
        </w:rPr>
        <w:t xml:space="preserve"> </w:t>
      </w:r>
      <w:r w:rsidRPr="003032D8">
        <w:rPr>
          <w:rFonts w:ascii="TitilliumText25L" w:hAnsi="TitilliumText25L"/>
        </w:rPr>
        <w:t>the</w:t>
      </w:r>
      <w:r w:rsidRPr="003032D8">
        <w:rPr>
          <w:rFonts w:ascii="TitilliumText25L" w:hAnsi="TitilliumText25L"/>
          <w:spacing w:val="-3"/>
        </w:rPr>
        <w:t xml:space="preserve"> </w:t>
      </w:r>
      <w:r w:rsidRPr="003032D8">
        <w:rPr>
          <w:rFonts w:ascii="TitilliumText25L" w:hAnsi="TitilliumText25L"/>
        </w:rPr>
        <w:t>machines</w:t>
      </w:r>
      <w:r w:rsidRPr="003032D8">
        <w:rPr>
          <w:rFonts w:ascii="TitilliumText25L" w:hAnsi="TitilliumText25L"/>
          <w:spacing w:val="-9"/>
        </w:rPr>
        <w:t xml:space="preserve"> </w:t>
      </w:r>
      <w:r w:rsidRPr="003032D8">
        <w:rPr>
          <w:rFonts w:ascii="TitilliumText25L" w:hAnsi="TitilliumText25L"/>
        </w:rPr>
        <w:t>and</w:t>
      </w:r>
      <w:r w:rsidRPr="003032D8">
        <w:rPr>
          <w:rFonts w:ascii="TitilliumText25L" w:hAnsi="TitilliumText25L"/>
          <w:spacing w:val="-4"/>
        </w:rPr>
        <w:t xml:space="preserve"> </w:t>
      </w:r>
      <w:r w:rsidRPr="003032D8">
        <w:rPr>
          <w:rFonts w:ascii="TitilliumText25L" w:hAnsi="TitilliumText25L"/>
        </w:rPr>
        <w:t>levels</w:t>
      </w:r>
      <w:r w:rsidRPr="003032D8">
        <w:rPr>
          <w:rFonts w:ascii="TitilliumText25L" w:hAnsi="TitilliumText25L"/>
          <w:spacing w:val="-5"/>
        </w:rPr>
        <w:t xml:space="preserve"> </w:t>
      </w:r>
      <w:r w:rsidRPr="003032D8">
        <w:rPr>
          <w:rFonts w:ascii="TitilliumText25L" w:hAnsi="TitilliumText25L"/>
        </w:rPr>
        <w:t>of</w:t>
      </w:r>
      <w:r w:rsidRPr="003032D8">
        <w:rPr>
          <w:rFonts w:ascii="TitilliumText25L" w:hAnsi="TitilliumText25L"/>
          <w:spacing w:val="-2"/>
        </w:rPr>
        <w:t xml:space="preserve"> </w:t>
      </w:r>
      <w:r w:rsidRPr="003032D8">
        <w:rPr>
          <w:rFonts w:ascii="TitilliumText25L" w:hAnsi="TitilliumText25L"/>
        </w:rPr>
        <w:t>in</w:t>
      </w:r>
      <w:r w:rsidRPr="003032D8">
        <w:rPr>
          <w:rFonts w:ascii="TitilliumText25L" w:hAnsi="TitilliumText25L"/>
          <w:spacing w:val="-1"/>
        </w:rPr>
        <w:t>d</w:t>
      </w:r>
      <w:r w:rsidRPr="003032D8">
        <w:rPr>
          <w:rFonts w:ascii="TitilliumText25L" w:hAnsi="TitilliumText25L"/>
        </w:rPr>
        <w:t>ependent</w:t>
      </w:r>
      <w:r w:rsidRPr="003032D8">
        <w:rPr>
          <w:rFonts w:ascii="TitilliumText25L" w:hAnsi="TitilliumText25L"/>
          <w:spacing w:val="-2"/>
        </w:rPr>
        <w:t xml:space="preserve"> </w:t>
      </w:r>
      <w:r w:rsidRPr="003032D8">
        <w:rPr>
          <w:rFonts w:ascii="TitilliumText25L" w:hAnsi="TitilliumText25L"/>
        </w:rPr>
        <w:t>o</w:t>
      </w:r>
      <w:r w:rsidRPr="003032D8">
        <w:rPr>
          <w:rFonts w:ascii="TitilliumText25L" w:hAnsi="TitilliumText25L"/>
          <w:spacing w:val="-1"/>
        </w:rPr>
        <w:t>p</w:t>
      </w:r>
      <w:r w:rsidRPr="003032D8">
        <w:rPr>
          <w:rFonts w:ascii="TitilliumText25L" w:hAnsi="TitilliumText25L"/>
        </w:rPr>
        <w:t>eration</w:t>
      </w:r>
    </w:p>
    <w:p w:rsidR="00BE3BE3" w:rsidRPr="003032D8" w:rsidRDefault="00BE3BE3" w:rsidP="00BE3BE3">
      <w:pPr>
        <w:numPr>
          <w:ilvl w:val="0"/>
          <w:numId w:val="9"/>
        </w:numPr>
        <w:spacing w:after="120" w:line="240" w:lineRule="auto"/>
        <w:contextualSpacing/>
        <w:rPr>
          <w:rFonts w:ascii="TitilliumText25L" w:hAnsi="TitilliumText25L"/>
          <w:color w:val="000000"/>
        </w:rPr>
      </w:pPr>
      <w:r w:rsidRPr="003032D8">
        <w:rPr>
          <w:rFonts w:ascii="TitilliumText25L" w:hAnsi="TitilliumText25L"/>
        </w:rPr>
        <w:t>How</w:t>
      </w:r>
      <w:r w:rsidRPr="003032D8">
        <w:rPr>
          <w:rFonts w:ascii="TitilliumText25L" w:hAnsi="TitilliumText25L"/>
          <w:spacing w:val="-10"/>
        </w:rPr>
        <w:t xml:space="preserve"> </w:t>
      </w:r>
      <w:r w:rsidRPr="003032D8">
        <w:rPr>
          <w:rFonts w:ascii="TitilliumText25L" w:hAnsi="TitilliumText25L"/>
        </w:rPr>
        <w:t>to</w:t>
      </w:r>
      <w:r w:rsidRPr="003032D8">
        <w:rPr>
          <w:rFonts w:ascii="TitilliumText25L" w:hAnsi="TitilliumText25L"/>
          <w:spacing w:val="-2"/>
        </w:rPr>
        <w:t xml:space="preserve"> </w:t>
      </w:r>
      <w:r w:rsidRPr="003032D8">
        <w:rPr>
          <w:rFonts w:ascii="TitilliumText25L" w:hAnsi="TitilliumText25L"/>
        </w:rPr>
        <w:t>operate</w:t>
      </w:r>
      <w:r w:rsidRPr="003032D8">
        <w:rPr>
          <w:rFonts w:ascii="TitilliumText25L" w:hAnsi="TitilliumText25L"/>
          <w:spacing w:val="-7"/>
        </w:rPr>
        <w:t xml:space="preserve"> </w:t>
      </w:r>
      <w:r w:rsidRPr="003032D8">
        <w:rPr>
          <w:rFonts w:ascii="TitilliumText25L" w:hAnsi="TitilliumText25L"/>
        </w:rPr>
        <w:t>the</w:t>
      </w:r>
      <w:r w:rsidRPr="003032D8">
        <w:rPr>
          <w:rFonts w:ascii="TitilliumText25L" w:hAnsi="TitilliumText25L"/>
          <w:spacing w:val="-3"/>
        </w:rPr>
        <w:t xml:space="preserve"> </w:t>
      </w:r>
      <w:r w:rsidRPr="003032D8">
        <w:rPr>
          <w:rFonts w:ascii="TitilliumText25L" w:hAnsi="TitilliumText25L"/>
        </w:rPr>
        <w:t>equipment</w:t>
      </w:r>
    </w:p>
    <w:p w:rsidR="00BE3BE3" w:rsidRPr="003032D8" w:rsidRDefault="00BE3BE3" w:rsidP="00BE3BE3">
      <w:pPr>
        <w:numPr>
          <w:ilvl w:val="0"/>
          <w:numId w:val="9"/>
        </w:numPr>
        <w:spacing w:after="120" w:line="240" w:lineRule="auto"/>
        <w:contextualSpacing/>
        <w:rPr>
          <w:rFonts w:ascii="TitilliumText25L" w:hAnsi="TitilliumText25L"/>
          <w:color w:val="000000"/>
        </w:rPr>
      </w:pPr>
      <w:r w:rsidRPr="003032D8">
        <w:rPr>
          <w:rFonts w:ascii="TitilliumText25L" w:hAnsi="TitilliumText25L"/>
        </w:rPr>
        <w:t>Warnings</w:t>
      </w:r>
      <w:r w:rsidRPr="003032D8">
        <w:rPr>
          <w:rFonts w:ascii="TitilliumText25L" w:hAnsi="TitilliumText25L"/>
          <w:spacing w:val="-15"/>
        </w:rPr>
        <w:t xml:space="preserve"> </w:t>
      </w:r>
      <w:r w:rsidRPr="003032D8">
        <w:rPr>
          <w:rFonts w:ascii="TitilliumText25L" w:hAnsi="TitilliumText25L"/>
        </w:rPr>
        <w:t>r</w:t>
      </w:r>
      <w:r w:rsidRPr="003032D8">
        <w:rPr>
          <w:rFonts w:ascii="TitilliumText25L" w:hAnsi="TitilliumText25L"/>
          <w:spacing w:val="-1"/>
        </w:rPr>
        <w:t>e</w:t>
      </w:r>
      <w:r w:rsidRPr="003032D8">
        <w:rPr>
          <w:rFonts w:ascii="TitilliumText25L" w:hAnsi="TitilliumText25L"/>
        </w:rPr>
        <w:t>garding</w:t>
      </w:r>
      <w:r w:rsidRPr="003032D8">
        <w:rPr>
          <w:rFonts w:ascii="TitilliumText25L" w:hAnsi="TitilliumText25L"/>
          <w:spacing w:val="-1"/>
        </w:rPr>
        <w:t xml:space="preserve"> </w:t>
      </w:r>
      <w:r w:rsidRPr="003032D8">
        <w:rPr>
          <w:rFonts w:ascii="TitilliumText25L" w:hAnsi="TitilliumText25L"/>
        </w:rPr>
        <w:t>con</w:t>
      </w:r>
      <w:r w:rsidRPr="003032D8">
        <w:rPr>
          <w:rFonts w:ascii="TitilliumText25L" w:hAnsi="TitilliumText25L"/>
          <w:spacing w:val="-1"/>
        </w:rPr>
        <w:t>t</w:t>
      </w:r>
      <w:r w:rsidRPr="003032D8">
        <w:rPr>
          <w:rFonts w:ascii="TitilliumText25L" w:hAnsi="TitilliumText25L"/>
        </w:rPr>
        <w:t>amination</w:t>
      </w:r>
      <w:r w:rsidRPr="003032D8">
        <w:rPr>
          <w:rFonts w:ascii="TitilliumText25L" w:hAnsi="TitilliumText25L"/>
          <w:spacing w:val="-3"/>
        </w:rPr>
        <w:t xml:space="preserve"> </w:t>
      </w:r>
      <w:r w:rsidRPr="003032D8">
        <w:rPr>
          <w:rFonts w:ascii="TitilliumText25L" w:hAnsi="TitilliumText25L"/>
        </w:rPr>
        <w:t>of</w:t>
      </w:r>
      <w:r w:rsidRPr="003032D8">
        <w:rPr>
          <w:rFonts w:ascii="TitilliumText25L" w:hAnsi="TitilliumText25L"/>
          <w:spacing w:val="-2"/>
        </w:rPr>
        <w:t xml:space="preserve"> </w:t>
      </w:r>
      <w:r w:rsidRPr="003032D8">
        <w:rPr>
          <w:rFonts w:ascii="TitilliumText25L" w:hAnsi="TitilliumText25L"/>
        </w:rPr>
        <w:t>the</w:t>
      </w:r>
      <w:r w:rsidRPr="003032D8">
        <w:rPr>
          <w:rFonts w:ascii="TitilliumText25L" w:hAnsi="TitilliumText25L"/>
          <w:spacing w:val="-3"/>
        </w:rPr>
        <w:t xml:space="preserve"> </w:t>
      </w:r>
      <w:r w:rsidRPr="003032D8">
        <w:rPr>
          <w:rFonts w:ascii="TitilliumText25L" w:hAnsi="TitilliumText25L"/>
        </w:rPr>
        <w:t>surgic</w:t>
      </w:r>
      <w:r w:rsidRPr="003032D8">
        <w:rPr>
          <w:rFonts w:ascii="TitilliumText25L" w:hAnsi="TitilliumText25L"/>
          <w:spacing w:val="-1"/>
        </w:rPr>
        <w:t>a</w:t>
      </w:r>
      <w:r w:rsidRPr="003032D8">
        <w:rPr>
          <w:rFonts w:ascii="TitilliumText25L" w:hAnsi="TitilliumText25L"/>
        </w:rPr>
        <w:t>l</w:t>
      </w:r>
      <w:r w:rsidRPr="003032D8">
        <w:rPr>
          <w:rFonts w:ascii="TitilliumText25L" w:hAnsi="TitilliumText25L"/>
          <w:spacing w:val="-5"/>
        </w:rPr>
        <w:t xml:space="preserve"> </w:t>
      </w:r>
      <w:r w:rsidRPr="003032D8">
        <w:rPr>
          <w:rFonts w:ascii="TitilliumText25L" w:hAnsi="TitilliumText25L"/>
        </w:rPr>
        <w:t>field</w:t>
      </w:r>
    </w:p>
    <w:p w:rsidR="00BE3BE3" w:rsidRPr="003032D8" w:rsidRDefault="00BE3BE3" w:rsidP="00BE3BE3">
      <w:pPr>
        <w:numPr>
          <w:ilvl w:val="0"/>
          <w:numId w:val="9"/>
        </w:numPr>
        <w:spacing w:after="120" w:line="240" w:lineRule="auto"/>
        <w:contextualSpacing/>
        <w:rPr>
          <w:rFonts w:ascii="TitilliumText25L" w:hAnsi="TitilliumText25L"/>
          <w:color w:val="000000"/>
        </w:rPr>
      </w:pPr>
      <w:r w:rsidRPr="003032D8">
        <w:rPr>
          <w:rFonts w:ascii="TitilliumText25L" w:hAnsi="TitilliumText25L"/>
        </w:rPr>
        <w:t>Rules</w:t>
      </w:r>
      <w:r w:rsidRPr="003032D8">
        <w:rPr>
          <w:rFonts w:ascii="TitilliumText25L" w:hAnsi="TitilliumText25L"/>
          <w:spacing w:val="-11"/>
        </w:rPr>
        <w:t xml:space="preserve"> </w:t>
      </w:r>
      <w:r w:rsidRPr="003032D8">
        <w:rPr>
          <w:rFonts w:ascii="TitilliumText25L" w:hAnsi="TitilliumText25L"/>
        </w:rPr>
        <w:t>on</w:t>
      </w:r>
      <w:r w:rsidRPr="003032D8">
        <w:rPr>
          <w:rFonts w:ascii="TitilliumText25L" w:hAnsi="TitilliumText25L"/>
          <w:spacing w:val="-2"/>
        </w:rPr>
        <w:t xml:space="preserve"> </w:t>
      </w:r>
      <w:r w:rsidRPr="003032D8">
        <w:rPr>
          <w:rFonts w:ascii="TitilliumText25L" w:hAnsi="TitilliumText25L"/>
        </w:rPr>
        <w:t>la</w:t>
      </w:r>
      <w:r w:rsidRPr="003032D8">
        <w:rPr>
          <w:rFonts w:ascii="TitilliumText25L" w:hAnsi="TitilliumText25L"/>
          <w:spacing w:val="-1"/>
        </w:rPr>
        <w:t>b</w:t>
      </w:r>
      <w:r w:rsidRPr="003032D8">
        <w:rPr>
          <w:rFonts w:ascii="TitilliumText25L" w:hAnsi="TitilliumText25L"/>
        </w:rPr>
        <w:t>elling,</w:t>
      </w:r>
      <w:r w:rsidRPr="003032D8">
        <w:rPr>
          <w:rFonts w:ascii="TitilliumText25L" w:hAnsi="TitilliumText25L"/>
          <w:spacing w:val="-2"/>
        </w:rPr>
        <w:t xml:space="preserve"> </w:t>
      </w:r>
      <w:r w:rsidRPr="003032D8">
        <w:rPr>
          <w:rFonts w:ascii="TitilliumText25L" w:hAnsi="TitilliumText25L"/>
        </w:rPr>
        <w:t>expiry</w:t>
      </w:r>
      <w:r w:rsidRPr="003032D8">
        <w:rPr>
          <w:rFonts w:ascii="TitilliumText25L" w:hAnsi="TitilliumText25L"/>
          <w:spacing w:val="-5"/>
        </w:rPr>
        <w:t xml:space="preserve"> </w:t>
      </w:r>
      <w:r w:rsidRPr="003032D8">
        <w:rPr>
          <w:rFonts w:ascii="TitilliumText25L" w:hAnsi="TitilliumText25L"/>
        </w:rPr>
        <w:t>date</w:t>
      </w:r>
      <w:r w:rsidRPr="003032D8">
        <w:rPr>
          <w:rFonts w:ascii="TitilliumText25L" w:hAnsi="TitilliumText25L"/>
          <w:spacing w:val="-4"/>
        </w:rPr>
        <w:t xml:space="preserve"> </w:t>
      </w:r>
      <w:r w:rsidRPr="003032D8">
        <w:rPr>
          <w:rFonts w:ascii="TitilliumText25L" w:hAnsi="TitilliumText25L"/>
        </w:rPr>
        <w:t>and</w:t>
      </w:r>
      <w:r w:rsidRPr="003032D8">
        <w:rPr>
          <w:rFonts w:ascii="TitilliumText25L" w:hAnsi="TitilliumText25L"/>
          <w:spacing w:val="-3"/>
        </w:rPr>
        <w:t xml:space="preserve"> </w:t>
      </w:r>
      <w:r w:rsidRPr="003032D8">
        <w:rPr>
          <w:rFonts w:ascii="TitilliumText25L" w:hAnsi="TitilliumText25L"/>
        </w:rPr>
        <w:t>time</w:t>
      </w:r>
      <w:r w:rsidRPr="003032D8">
        <w:rPr>
          <w:rFonts w:ascii="TitilliumText25L" w:hAnsi="TitilliumText25L"/>
          <w:spacing w:val="-4"/>
        </w:rPr>
        <w:t xml:space="preserve"> </w:t>
      </w:r>
      <w:r w:rsidRPr="003032D8">
        <w:rPr>
          <w:rFonts w:ascii="TitilliumText25L" w:hAnsi="TitilliumText25L"/>
        </w:rPr>
        <w:t>of</w:t>
      </w:r>
      <w:r w:rsidRPr="003032D8">
        <w:rPr>
          <w:rFonts w:ascii="TitilliumText25L" w:hAnsi="TitilliumText25L"/>
          <w:spacing w:val="-2"/>
        </w:rPr>
        <w:t xml:space="preserve"> </w:t>
      </w:r>
      <w:r w:rsidRPr="003032D8">
        <w:rPr>
          <w:rFonts w:ascii="TitilliumText25L" w:hAnsi="TitilliumText25L"/>
        </w:rPr>
        <w:t>salvaged</w:t>
      </w:r>
      <w:r w:rsidRPr="003032D8">
        <w:rPr>
          <w:rFonts w:ascii="TitilliumText25L" w:hAnsi="TitilliumText25L"/>
          <w:spacing w:val="-8"/>
        </w:rPr>
        <w:t xml:space="preserve"> </w:t>
      </w:r>
      <w:r w:rsidRPr="003032D8">
        <w:rPr>
          <w:rFonts w:ascii="TitilliumText25L" w:hAnsi="TitilliumText25L"/>
        </w:rPr>
        <w:t>blood</w:t>
      </w:r>
    </w:p>
    <w:p w:rsidR="00BE3BE3" w:rsidRPr="003032D8" w:rsidRDefault="00BE3BE3" w:rsidP="00BE3BE3">
      <w:pPr>
        <w:numPr>
          <w:ilvl w:val="0"/>
          <w:numId w:val="9"/>
        </w:numPr>
        <w:spacing w:after="120" w:line="240" w:lineRule="auto"/>
        <w:contextualSpacing/>
        <w:rPr>
          <w:rFonts w:ascii="TitilliumText25L" w:hAnsi="TitilliumText25L"/>
          <w:color w:val="000000"/>
        </w:rPr>
      </w:pPr>
      <w:r w:rsidRPr="003032D8">
        <w:rPr>
          <w:rFonts w:ascii="TitilliumText25L" w:hAnsi="TitilliumText25L"/>
        </w:rPr>
        <w:t>Reinfusion</w:t>
      </w:r>
      <w:r w:rsidRPr="003032D8">
        <w:rPr>
          <w:rFonts w:ascii="TitilliumText25L" w:hAnsi="TitilliumText25L"/>
          <w:spacing w:val="-16"/>
        </w:rPr>
        <w:t xml:space="preserve"> </w:t>
      </w:r>
      <w:r w:rsidRPr="003032D8">
        <w:rPr>
          <w:rFonts w:ascii="TitilliumText25L" w:hAnsi="TitilliumText25L"/>
          <w:spacing w:val="-1"/>
        </w:rPr>
        <w:t>o</w:t>
      </w:r>
      <w:r w:rsidRPr="003032D8">
        <w:rPr>
          <w:rFonts w:ascii="TitilliumText25L" w:hAnsi="TitilliumText25L"/>
        </w:rPr>
        <w:t>f salvaged</w:t>
      </w:r>
      <w:r w:rsidRPr="003032D8">
        <w:rPr>
          <w:rFonts w:ascii="TitilliumText25L" w:hAnsi="TitilliumText25L"/>
          <w:spacing w:val="-8"/>
        </w:rPr>
        <w:t xml:space="preserve"> </w:t>
      </w:r>
      <w:r w:rsidRPr="003032D8">
        <w:rPr>
          <w:rFonts w:ascii="TitilliumText25L" w:hAnsi="TitilliumText25L"/>
        </w:rPr>
        <w:t>red</w:t>
      </w:r>
      <w:r w:rsidRPr="003032D8">
        <w:rPr>
          <w:rFonts w:ascii="TitilliumText25L" w:hAnsi="TitilliumText25L"/>
          <w:spacing w:val="-3"/>
        </w:rPr>
        <w:t xml:space="preserve"> </w:t>
      </w:r>
      <w:r w:rsidRPr="003032D8">
        <w:rPr>
          <w:rFonts w:ascii="TitilliumText25L" w:hAnsi="TitilliumText25L"/>
        </w:rPr>
        <w:t>cells</w:t>
      </w:r>
    </w:p>
    <w:p w:rsidR="00BE3BE3" w:rsidRPr="003032D8" w:rsidRDefault="00BE3BE3" w:rsidP="00BE3BE3">
      <w:pPr>
        <w:numPr>
          <w:ilvl w:val="0"/>
          <w:numId w:val="9"/>
        </w:numPr>
        <w:spacing w:after="120" w:line="240" w:lineRule="auto"/>
        <w:contextualSpacing/>
        <w:rPr>
          <w:rFonts w:ascii="TitilliumText25L" w:hAnsi="TitilliumText25L"/>
        </w:rPr>
      </w:pPr>
      <w:r w:rsidRPr="003032D8">
        <w:rPr>
          <w:rFonts w:ascii="TitilliumText25L" w:hAnsi="TitilliumText25L"/>
        </w:rPr>
        <w:t>Recognising</w:t>
      </w:r>
      <w:r w:rsidRPr="003032D8">
        <w:rPr>
          <w:rFonts w:ascii="TitilliumText25L" w:hAnsi="TitilliumText25L"/>
          <w:spacing w:val="-19"/>
        </w:rPr>
        <w:t xml:space="preserve"> </w:t>
      </w:r>
      <w:r w:rsidRPr="003032D8">
        <w:rPr>
          <w:rFonts w:ascii="TitilliumText25L" w:hAnsi="TitilliumText25L"/>
        </w:rPr>
        <w:t>and</w:t>
      </w:r>
      <w:r w:rsidRPr="003032D8">
        <w:rPr>
          <w:rFonts w:ascii="TitilliumText25L" w:hAnsi="TitilliumText25L"/>
          <w:spacing w:val="-3"/>
        </w:rPr>
        <w:t xml:space="preserve"> </w:t>
      </w:r>
      <w:r w:rsidRPr="003032D8">
        <w:rPr>
          <w:rFonts w:ascii="TitilliumText25L" w:hAnsi="TitilliumText25L"/>
        </w:rPr>
        <w:t>reporting</w:t>
      </w:r>
      <w:r w:rsidRPr="003032D8">
        <w:rPr>
          <w:rFonts w:ascii="TitilliumText25L" w:hAnsi="TitilliumText25L"/>
          <w:spacing w:val="-8"/>
        </w:rPr>
        <w:t xml:space="preserve"> </w:t>
      </w:r>
      <w:r w:rsidRPr="003032D8">
        <w:rPr>
          <w:rFonts w:ascii="TitilliumText25L" w:hAnsi="TitilliumText25L"/>
        </w:rPr>
        <w:t>serious</w:t>
      </w:r>
      <w:r w:rsidRPr="003032D8">
        <w:rPr>
          <w:rFonts w:ascii="TitilliumText25L" w:hAnsi="TitilliumText25L"/>
          <w:spacing w:val="-6"/>
        </w:rPr>
        <w:t xml:space="preserve"> </w:t>
      </w:r>
      <w:r w:rsidRPr="003032D8">
        <w:rPr>
          <w:rFonts w:ascii="TitilliumText25L" w:hAnsi="TitilliumText25L"/>
          <w:spacing w:val="-1"/>
        </w:rPr>
        <w:t>a</w:t>
      </w:r>
      <w:r w:rsidRPr="003032D8">
        <w:rPr>
          <w:rFonts w:ascii="TitilliumText25L" w:hAnsi="TitilliumText25L"/>
        </w:rPr>
        <w:t>dverse</w:t>
      </w:r>
      <w:r w:rsidRPr="003032D8">
        <w:rPr>
          <w:rFonts w:ascii="TitilliumText25L" w:hAnsi="TitilliumText25L"/>
          <w:spacing w:val="-1"/>
        </w:rPr>
        <w:t xml:space="preserve"> </w:t>
      </w:r>
      <w:r w:rsidRPr="003032D8">
        <w:rPr>
          <w:rFonts w:ascii="TitilliumText25L" w:hAnsi="TitilliumText25L"/>
        </w:rPr>
        <w:t>eve</w:t>
      </w:r>
      <w:r w:rsidRPr="003032D8">
        <w:rPr>
          <w:rFonts w:ascii="TitilliumText25L" w:hAnsi="TitilliumText25L"/>
          <w:spacing w:val="1"/>
        </w:rPr>
        <w:t>n</w:t>
      </w:r>
      <w:r w:rsidRPr="003032D8">
        <w:rPr>
          <w:rFonts w:ascii="TitilliumText25L" w:hAnsi="TitilliumText25L"/>
        </w:rPr>
        <w:t>ts.</w:t>
      </w:r>
    </w:p>
    <w:p w:rsidR="00BE3BE3" w:rsidRPr="003032D8" w:rsidRDefault="00BE3BE3" w:rsidP="00BE3BE3">
      <w:pPr>
        <w:spacing w:line="240" w:lineRule="auto"/>
        <w:rPr>
          <w:rFonts w:ascii="TitilliumText25L" w:hAnsi="TitilliumText25L"/>
        </w:rPr>
      </w:pPr>
      <w:r w:rsidRPr="003032D8">
        <w:rPr>
          <w:rFonts w:ascii="TitilliumText25L" w:hAnsi="TitilliumText25L"/>
        </w:rPr>
        <w:br w:type="page"/>
      </w:r>
    </w:p>
    <w:p w:rsidR="00BE3BE3" w:rsidRPr="003032D8" w:rsidRDefault="00BE3BE3" w:rsidP="00BE3BE3">
      <w:pPr>
        <w:spacing w:before="360" w:after="120" w:line="240" w:lineRule="auto"/>
        <w:outlineLvl w:val="1"/>
        <w:rPr>
          <w:rFonts w:ascii="TitilliumText25L" w:hAnsi="TitilliumText25L" w:cs="Arial"/>
          <w:color w:val="000000"/>
          <w:sz w:val="36"/>
          <w:szCs w:val="36"/>
        </w:rPr>
      </w:pPr>
      <w:bookmarkStart w:id="44" w:name="_Toc355270939"/>
      <w:bookmarkStart w:id="45" w:name="_Toc366850084"/>
      <w:r w:rsidRPr="003032D8">
        <w:rPr>
          <w:rFonts w:ascii="TitilliumText25L" w:hAnsi="TitilliumText25L" w:cs="Arial"/>
          <w:sz w:val="36"/>
          <w:szCs w:val="36"/>
        </w:rPr>
        <w:t>Maintaining</w:t>
      </w:r>
      <w:r w:rsidRPr="003032D8">
        <w:rPr>
          <w:rFonts w:ascii="TitilliumText25L" w:hAnsi="TitilliumText25L" w:cs="Arial"/>
          <w:spacing w:val="-17"/>
          <w:sz w:val="36"/>
          <w:szCs w:val="36"/>
        </w:rPr>
        <w:t xml:space="preserve"> </w:t>
      </w:r>
      <w:r w:rsidRPr="003032D8">
        <w:rPr>
          <w:rFonts w:ascii="TitilliumText25L" w:hAnsi="TitilliumText25L" w:cs="Arial"/>
          <w:sz w:val="36"/>
          <w:szCs w:val="36"/>
        </w:rPr>
        <w:t>competency</w:t>
      </w:r>
      <w:bookmarkEnd w:id="44"/>
      <w:bookmarkEnd w:id="45"/>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rPr>
        <w:t>The</w:t>
      </w:r>
      <w:r w:rsidRPr="003032D8">
        <w:rPr>
          <w:rFonts w:ascii="TitilliumText25L" w:hAnsi="TitilliumText25L"/>
          <w:spacing w:val="26"/>
        </w:rPr>
        <w:t xml:space="preserve"> </w:t>
      </w:r>
      <w:r w:rsidRPr="003032D8">
        <w:rPr>
          <w:rFonts w:ascii="TitilliumText25L" w:hAnsi="TitilliumText25L"/>
        </w:rPr>
        <w:t>Organ</w:t>
      </w:r>
      <w:r w:rsidRPr="003032D8">
        <w:rPr>
          <w:rFonts w:ascii="TitilliumText25L" w:hAnsi="TitilliumText25L"/>
          <w:spacing w:val="1"/>
        </w:rPr>
        <w:t>i</w:t>
      </w:r>
      <w:r w:rsidRPr="003032D8">
        <w:rPr>
          <w:rFonts w:ascii="TitilliumText25L" w:hAnsi="TitilliumText25L"/>
        </w:rPr>
        <w:t>sation</w:t>
      </w:r>
      <w:r w:rsidRPr="003032D8">
        <w:rPr>
          <w:rFonts w:ascii="TitilliumText25L" w:hAnsi="TitilliumText25L"/>
          <w:spacing w:val="30"/>
        </w:rPr>
        <w:t xml:space="preserve"> </w:t>
      </w:r>
      <w:r w:rsidRPr="003032D8">
        <w:rPr>
          <w:rFonts w:ascii="TitilliumText25L" w:hAnsi="TitilliumText25L"/>
        </w:rPr>
        <w:t>should</w:t>
      </w:r>
      <w:r w:rsidRPr="003032D8">
        <w:rPr>
          <w:rFonts w:ascii="TitilliumText25L" w:hAnsi="TitilliumText25L"/>
          <w:spacing w:val="29"/>
        </w:rPr>
        <w:t xml:space="preserve"> </w:t>
      </w:r>
      <w:r w:rsidRPr="003032D8">
        <w:rPr>
          <w:rFonts w:ascii="TitilliumText25L" w:hAnsi="TitilliumText25L"/>
        </w:rPr>
        <w:t>have</w:t>
      </w:r>
      <w:r w:rsidRPr="003032D8">
        <w:rPr>
          <w:rFonts w:ascii="TitilliumText25L" w:hAnsi="TitilliumText25L"/>
          <w:spacing w:val="31"/>
        </w:rPr>
        <w:t xml:space="preserve"> </w:t>
      </w:r>
      <w:r w:rsidRPr="003032D8">
        <w:rPr>
          <w:rFonts w:ascii="TitilliumText25L" w:hAnsi="TitilliumText25L"/>
        </w:rPr>
        <w:t>a</w:t>
      </w:r>
      <w:r w:rsidRPr="003032D8">
        <w:rPr>
          <w:rFonts w:ascii="TitilliumText25L" w:hAnsi="TitilliumText25L"/>
          <w:spacing w:val="36"/>
        </w:rPr>
        <w:t xml:space="preserve"> </w:t>
      </w:r>
      <w:r w:rsidRPr="003032D8">
        <w:rPr>
          <w:rFonts w:ascii="TitilliumText25L" w:hAnsi="TitilliumText25L"/>
          <w:spacing w:val="2"/>
        </w:rPr>
        <w:t>p</w:t>
      </w:r>
      <w:r w:rsidRPr="003032D8">
        <w:rPr>
          <w:rFonts w:ascii="TitilliumText25L" w:hAnsi="TitilliumText25L"/>
        </w:rPr>
        <w:t>olicy</w:t>
      </w:r>
      <w:r w:rsidRPr="003032D8">
        <w:rPr>
          <w:rFonts w:ascii="TitilliumText25L" w:hAnsi="TitilliumText25L"/>
          <w:spacing w:val="34"/>
        </w:rPr>
        <w:t xml:space="preserve"> </w:t>
      </w:r>
      <w:r w:rsidRPr="003032D8">
        <w:rPr>
          <w:rFonts w:ascii="TitilliumText25L" w:hAnsi="TitilliumText25L"/>
        </w:rPr>
        <w:t>that</w:t>
      </w:r>
      <w:r w:rsidRPr="003032D8">
        <w:rPr>
          <w:rFonts w:ascii="TitilliumText25L" w:hAnsi="TitilliumText25L"/>
          <w:spacing w:val="32"/>
        </w:rPr>
        <w:t xml:space="preserve"> </w:t>
      </w:r>
      <w:r w:rsidRPr="003032D8">
        <w:rPr>
          <w:rFonts w:ascii="TitilliumText25L" w:hAnsi="TitilliumText25L"/>
        </w:rPr>
        <w:t>clearly</w:t>
      </w:r>
      <w:r w:rsidRPr="003032D8">
        <w:rPr>
          <w:rFonts w:ascii="TitilliumText25L" w:hAnsi="TitilliumText25L"/>
          <w:spacing w:val="30"/>
        </w:rPr>
        <w:t xml:space="preserve"> </w:t>
      </w:r>
      <w:r w:rsidRPr="003032D8">
        <w:rPr>
          <w:rFonts w:ascii="TitilliumText25L" w:hAnsi="TitilliumText25L"/>
        </w:rPr>
        <w:t>states</w:t>
      </w:r>
      <w:r w:rsidRPr="003032D8">
        <w:rPr>
          <w:rFonts w:ascii="TitilliumText25L" w:hAnsi="TitilliumText25L"/>
          <w:spacing w:val="30"/>
        </w:rPr>
        <w:t xml:space="preserve"> </w:t>
      </w:r>
      <w:r w:rsidRPr="003032D8">
        <w:rPr>
          <w:rFonts w:ascii="TitilliumText25L" w:hAnsi="TitilliumText25L"/>
        </w:rPr>
        <w:t>the</w:t>
      </w:r>
      <w:r w:rsidRPr="003032D8">
        <w:rPr>
          <w:rFonts w:ascii="TitilliumText25L" w:hAnsi="TitilliumText25L"/>
          <w:spacing w:val="33"/>
        </w:rPr>
        <w:t xml:space="preserve"> </w:t>
      </w:r>
      <w:r w:rsidRPr="003032D8">
        <w:rPr>
          <w:rFonts w:ascii="TitilliumText25L" w:hAnsi="TitilliumText25L"/>
        </w:rPr>
        <w:t>numb</w:t>
      </w:r>
      <w:r w:rsidRPr="003032D8">
        <w:rPr>
          <w:rFonts w:ascii="TitilliumText25L" w:hAnsi="TitilliumText25L"/>
          <w:spacing w:val="1"/>
        </w:rPr>
        <w:t>e</w:t>
      </w:r>
      <w:r w:rsidRPr="003032D8">
        <w:rPr>
          <w:rFonts w:ascii="TitilliumText25L" w:hAnsi="TitilliumText25L"/>
        </w:rPr>
        <w:t>r</w:t>
      </w:r>
      <w:r w:rsidRPr="003032D8">
        <w:rPr>
          <w:rFonts w:ascii="TitilliumText25L" w:hAnsi="TitilliumText25L"/>
          <w:spacing w:val="30"/>
        </w:rPr>
        <w:t xml:space="preserve"> </w:t>
      </w:r>
      <w:r w:rsidRPr="003032D8">
        <w:rPr>
          <w:rFonts w:ascii="TitilliumText25L" w:hAnsi="TitilliumText25L"/>
        </w:rPr>
        <w:t>of</w:t>
      </w:r>
      <w:r w:rsidRPr="003032D8">
        <w:rPr>
          <w:rFonts w:ascii="TitilliumText25L" w:hAnsi="TitilliumText25L"/>
          <w:spacing w:val="34"/>
        </w:rPr>
        <w:t xml:space="preserve"> </w:t>
      </w:r>
      <w:r w:rsidRPr="003032D8">
        <w:rPr>
          <w:rFonts w:ascii="TitilliumText25L" w:hAnsi="TitilliumText25L"/>
        </w:rPr>
        <w:t>procedures</w:t>
      </w:r>
      <w:r w:rsidRPr="003032D8">
        <w:rPr>
          <w:rFonts w:ascii="TitilliumText25L" w:hAnsi="TitilliumText25L"/>
          <w:spacing w:val="25"/>
        </w:rPr>
        <w:t xml:space="preserve"> </w:t>
      </w:r>
      <w:r w:rsidRPr="003032D8">
        <w:rPr>
          <w:rFonts w:ascii="TitilliumText25L" w:hAnsi="TitilliumText25L"/>
        </w:rPr>
        <w:t>a</w:t>
      </w:r>
      <w:r w:rsidRPr="003032D8">
        <w:rPr>
          <w:rFonts w:ascii="TitilliumText25L" w:hAnsi="TitilliumText25L"/>
          <w:spacing w:val="34"/>
        </w:rPr>
        <w:t xml:space="preserve"> </w:t>
      </w:r>
      <w:r w:rsidRPr="003032D8">
        <w:rPr>
          <w:rFonts w:ascii="TitilliumText25L" w:hAnsi="TitilliumText25L"/>
        </w:rPr>
        <w:t>person</w:t>
      </w:r>
      <w:r w:rsidRPr="003032D8">
        <w:rPr>
          <w:rFonts w:ascii="TitilliumText25L" w:hAnsi="TitilliumText25L"/>
          <w:spacing w:val="29"/>
        </w:rPr>
        <w:t xml:space="preserve"> </w:t>
      </w:r>
      <w:r w:rsidRPr="003032D8">
        <w:rPr>
          <w:rFonts w:ascii="TitilliumText25L" w:hAnsi="TitilliumText25L"/>
        </w:rPr>
        <w:t>should</w:t>
      </w:r>
      <w:r w:rsidRPr="003032D8">
        <w:rPr>
          <w:rFonts w:ascii="TitilliumText25L" w:hAnsi="TitilliumText25L"/>
          <w:spacing w:val="-6"/>
        </w:rPr>
        <w:t xml:space="preserve"> </w:t>
      </w:r>
      <w:r w:rsidRPr="003032D8">
        <w:rPr>
          <w:rFonts w:ascii="TitilliumText25L" w:hAnsi="TitilliumText25L"/>
        </w:rPr>
        <w:t>undertake</w:t>
      </w:r>
      <w:r w:rsidRPr="003032D8">
        <w:rPr>
          <w:rFonts w:ascii="TitilliumText25L" w:hAnsi="TitilliumText25L"/>
          <w:spacing w:val="24"/>
        </w:rPr>
        <w:t xml:space="preserve"> </w:t>
      </w:r>
      <w:r w:rsidRPr="003032D8">
        <w:rPr>
          <w:rFonts w:ascii="TitilliumText25L" w:hAnsi="TitilliumText25L"/>
        </w:rPr>
        <w:t>in</w:t>
      </w:r>
      <w:r w:rsidRPr="003032D8">
        <w:rPr>
          <w:rFonts w:ascii="TitilliumText25L" w:hAnsi="TitilliumText25L"/>
          <w:spacing w:val="22"/>
        </w:rPr>
        <w:t xml:space="preserve"> </w:t>
      </w:r>
      <w:r w:rsidRPr="003032D8">
        <w:rPr>
          <w:rFonts w:ascii="TitilliumText25L" w:hAnsi="TitilliumText25L"/>
        </w:rPr>
        <w:t>a</w:t>
      </w:r>
      <w:r w:rsidRPr="003032D8">
        <w:rPr>
          <w:rFonts w:ascii="TitilliumText25L" w:hAnsi="TitilliumText25L"/>
          <w:spacing w:val="23"/>
        </w:rPr>
        <w:t xml:space="preserve"> </w:t>
      </w:r>
      <w:r w:rsidRPr="003032D8">
        <w:rPr>
          <w:rFonts w:ascii="TitilliumText25L" w:hAnsi="TitilliumText25L"/>
        </w:rPr>
        <w:t>designated</w:t>
      </w:r>
      <w:r w:rsidRPr="003032D8">
        <w:rPr>
          <w:rFonts w:ascii="TitilliumText25L" w:hAnsi="TitilliumText25L"/>
          <w:spacing w:val="14"/>
        </w:rPr>
        <w:t xml:space="preserve"> </w:t>
      </w:r>
      <w:r w:rsidRPr="003032D8">
        <w:rPr>
          <w:rFonts w:ascii="TitilliumText25L" w:hAnsi="TitilliumText25L"/>
        </w:rPr>
        <w:t>period</w:t>
      </w:r>
      <w:r w:rsidRPr="003032D8">
        <w:rPr>
          <w:rFonts w:ascii="TitilliumText25L" w:hAnsi="TitilliumText25L"/>
          <w:spacing w:val="18"/>
        </w:rPr>
        <w:t xml:space="preserve"> </w:t>
      </w:r>
      <w:r w:rsidRPr="003032D8">
        <w:rPr>
          <w:rFonts w:ascii="TitilliumText25L" w:hAnsi="TitilliumText25L"/>
        </w:rPr>
        <w:t>of</w:t>
      </w:r>
      <w:r w:rsidRPr="003032D8">
        <w:rPr>
          <w:rFonts w:ascii="TitilliumText25L" w:hAnsi="TitilliumText25L"/>
          <w:spacing w:val="23"/>
        </w:rPr>
        <w:t xml:space="preserve"> </w:t>
      </w:r>
      <w:r w:rsidRPr="003032D8">
        <w:rPr>
          <w:rFonts w:ascii="TitilliumText25L" w:hAnsi="TitilliumText25L"/>
        </w:rPr>
        <w:t>time</w:t>
      </w:r>
      <w:r w:rsidRPr="003032D8">
        <w:rPr>
          <w:rFonts w:ascii="TitilliumText25L" w:hAnsi="TitilliumText25L"/>
          <w:spacing w:val="20"/>
        </w:rPr>
        <w:t xml:space="preserve"> </w:t>
      </w:r>
      <w:r w:rsidRPr="003032D8">
        <w:rPr>
          <w:rFonts w:ascii="TitilliumText25L" w:hAnsi="TitilliumText25L"/>
        </w:rPr>
        <w:t>to</w:t>
      </w:r>
      <w:r w:rsidRPr="003032D8">
        <w:rPr>
          <w:rFonts w:ascii="TitilliumText25L" w:hAnsi="TitilliumText25L"/>
          <w:spacing w:val="24"/>
        </w:rPr>
        <w:t xml:space="preserve"> </w:t>
      </w:r>
      <w:r w:rsidRPr="003032D8">
        <w:rPr>
          <w:rFonts w:ascii="TitilliumText25L" w:hAnsi="TitilliumText25L"/>
        </w:rPr>
        <w:t>maintain</w:t>
      </w:r>
      <w:r w:rsidRPr="003032D8">
        <w:rPr>
          <w:rFonts w:ascii="TitilliumText25L" w:hAnsi="TitilliumText25L"/>
          <w:spacing w:val="16"/>
        </w:rPr>
        <w:t xml:space="preserve"> </w:t>
      </w:r>
      <w:r w:rsidRPr="003032D8">
        <w:rPr>
          <w:rFonts w:ascii="TitilliumText25L" w:hAnsi="TitilliumText25L"/>
        </w:rPr>
        <w:t>their</w:t>
      </w:r>
      <w:r w:rsidRPr="003032D8">
        <w:rPr>
          <w:rFonts w:ascii="TitilliumText25L" w:hAnsi="TitilliumText25L"/>
          <w:spacing w:val="19"/>
        </w:rPr>
        <w:t xml:space="preserve"> </w:t>
      </w:r>
      <w:r w:rsidRPr="003032D8">
        <w:rPr>
          <w:rFonts w:ascii="TitilliumText25L" w:hAnsi="TitilliumText25L"/>
        </w:rPr>
        <w:t xml:space="preserve">competency. </w:t>
      </w:r>
      <w:r w:rsidRPr="003032D8">
        <w:rPr>
          <w:rFonts w:ascii="TitilliumText25L" w:hAnsi="TitilliumText25L"/>
          <w:spacing w:val="32"/>
        </w:rPr>
        <w:t xml:space="preserve"> </w:t>
      </w:r>
      <w:r w:rsidRPr="003032D8">
        <w:rPr>
          <w:rFonts w:ascii="TitilliumText25L" w:hAnsi="TitilliumText25L"/>
        </w:rPr>
        <w:t>This</w:t>
      </w:r>
      <w:r w:rsidRPr="003032D8">
        <w:rPr>
          <w:rFonts w:ascii="TitilliumText25L" w:hAnsi="TitilliumText25L"/>
          <w:spacing w:val="20"/>
        </w:rPr>
        <w:t xml:space="preserve"> </w:t>
      </w:r>
      <w:r w:rsidRPr="003032D8">
        <w:rPr>
          <w:rFonts w:ascii="TitilliumText25L" w:hAnsi="TitilliumText25L"/>
        </w:rPr>
        <w:t>policy</w:t>
      </w:r>
      <w:r w:rsidRPr="003032D8">
        <w:rPr>
          <w:rFonts w:ascii="TitilliumText25L" w:hAnsi="TitilliumText25L"/>
          <w:spacing w:val="19"/>
        </w:rPr>
        <w:t xml:space="preserve"> </w:t>
      </w:r>
      <w:r w:rsidRPr="003032D8">
        <w:rPr>
          <w:rFonts w:ascii="TitilliumText25L" w:hAnsi="TitilliumText25L"/>
        </w:rPr>
        <w:t>should</w:t>
      </w:r>
      <w:r w:rsidRPr="003032D8">
        <w:rPr>
          <w:rFonts w:ascii="TitilliumText25L" w:hAnsi="TitilliumText25L"/>
          <w:spacing w:val="18"/>
        </w:rPr>
        <w:t xml:space="preserve"> </w:t>
      </w:r>
      <w:r w:rsidRPr="003032D8">
        <w:rPr>
          <w:rFonts w:ascii="TitilliumText25L" w:hAnsi="TitilliumText25L"/>
        </w:rPr>
        <w:t>also</w:t>
      </w:r>
      <w:r w:rsidRPr="003032D8">
        <w:rPr>
          <w:rFonts w:ascii="TitilliumText25L" w:hAnsi="TitilliumText25L"/>
          <w:spacing w:val="20"/>
        </w:rPr>
        <w:t xml:space="preserve"> </w:t>
      </w:r>
      <w:r w:rsidRPr="003032D8">
        <w:rPr>
          <w:rFonts w:ascii="TitilliumText25L" w:hAnsi="TitilliumText25L"/>
        </w:rPr>
        <w:t>include</w:t>
      </w:r>
      <w:r w:rsidRPr="003032D8">
        <w:rPr>
          <w:rFonts w:ascii="TitilliumText25L" w:hAnsi="TitilliumText25L"/>
          <w:spacing w:val="-6"/>
        </w:rPr>
        <w:t xml:space="preserve"> </w:t>
      </w:r>
      <w:r w:rsidRPr="003032D8">
        <w:rPr>
          <w:rFonts w:ascii="TitilliumText25L" w:hAnsi="TitilliumText25L"/>
        </w:rPr>
        <w:t>how</w:t>
      </w:r>
      <w:r w:rsidRPr="003032D8">
        <w:rPr>
          <w:rFonts w:ascii="TitilliumText25L" w:hAnsi="TitilliumText25L"/>
          <w:spacing w:val="11"/>
        </w:rPr>
        <w:t xml:space="preserve"> </w:t>
      </w:r>
      <w:r w:rsidRPr="003032D8">
        <w:rPr>
          <w:rFonts w:ascii="TitilliumText25L" w:hAnsi="TitilliumText25L"/>
        </w:rPr>
        <w:t>often</w:t>
      </w:r>
      <w:r w:rsidRPr="003032D8">
        <w:rPr>
          <w:rFonts w:ascii="TitilliumText25L" w:hAnsi="TitilliumText25L"/>
          <w:spacing w:val="11"/>
        </w:rPr>
        <w:t xml:space="preserve"> </w:t>
      </w:r>
      <w:r w:rsidRPr="003032D8">
        <w:rPr>
          <w:rFonts w:ascii="TitilliumText25L" w:hAnsi="TitilliumText25L"/>
        </w:rPr>
        <w:t>competency</w:t>
      </w:r>
      <w:r w:rsidRPr="003032D8">
        <w:rPr>
          <w:rFonts w:ascii="TitilliumText25L" w:hAnsi="TitilliumText25L"/>
          <w:spacing w:val="1"/>
        </w:rPr>
        <w:t xml:space="preserve"> </w:t>
      </w:r>
      <w:r w:rsidRPr="003032D8">
        <w:rPr>
          <w:rFonts w:ascii="TitilliumText25L" w:hAnsi="TitilliumText25L"/>
        </w:rPr>
        <w:t>assessmen</w:t>
      </w:r>
      <w:r w:rsidRPr="003032D8">
        <w:rPr>
          <w:rFonts w:ascii="TitilliumText25L" w:hAnsi="TitilliumText25L"/>
          <w:spacing w:val="-1"/>
        </w:rPr>
        <w:t>t</w:t>
      </w:r>
      <w:r w:rsidRPr="003032D8">
        <w:rPr>
          <w:rFonts w:ascii="TitilliumText25L" w:hAnsi="TitilliumText25L"/>
        </w:rPr>
        <w:t>s</w:t>
      </w:r>
      <w:r w:rsidRPr="003032D8">
        <w:rPr>
          <w:rFonts w:ascii="TitilliumText25L" w:hAnsi="TitilliumText25L"/>
          <w:spacing w:val="1"/>
        </w:rPr>
        <w:t xml:space="preserve"> </w:t>
      </w:r>
      <w:r w:rsidRPr="003032D8">
        <w:rPr>
          <w:rFonts w:ascii="TitilliumText25L" w:hAnsi="TitilliumText25L"/>
        </w:rPr>
        <w:t>should</w:t>
      </w:r>
      <w:r w:rsidRPr="003032D8">
        <w:rPr>
          <w:rFonts w:ascii="TitilliumText25L" w:hAnsi="TitilliumText25L"/>
          <w:spacing w:val="5"/>
        </w:rPr>
        <w:t xml:space="preserve"> </w:t>
      </w:r>
      <w:r w:rsidRPr="003032D8">
        <w:rPr>
          <w:rFonts w:ascii="TitilliumText25L" w:hAnsi="TitilliumText25L"/>
        </w:rPr>
        <w:t>be</w:t>
      </w:r>
      <w:r w:rsidRPr="003032D8">
        <w:rPr>
          <w:rFonts w:ascii="TitilliumText25L" w:hAnsi="TitilliumText25L"/>
          <w:spacing w:val="9"/>
        </w:rPr>
        <w:t xml:space="preserve"> </w:t>
      </w:r>
      <w:r w:rsidRPr="003032D8">
        <w:rPr>
          <w:rFonts w:ascii="TitilliumText25L" w:hAnsi="TitilliumText25L"/>
        </w:rPr>
        <w:t xml:space="preserve">performed. </w:t>
      </w:r>
      <w:r w:rsidRPr="003032D8">
        <w:rPr>
          <w:rFonts w:ascii="TitilliumText25L" w:hAnsi="TitilliumText25L"/>
          <w:spacing w:val="13"/>
        </w:rPr>
        <w:t xml:space="preserve"> </w:t>
      </w:r>
      <w:r w:rsidRPr="003032D8">
        <w:rPr>
          <w:rFonts w:ascii="TitilliumText25L" w:hAnsi="TitilliumText25L"/>
        </w:rPr>
        <w:t>Where</w:t>
      </w:r>
      <w:r w:rsidRPr="003032D8">
        <w:rPr>
          <w:rFonts w:ascii="TitilliumText25L" w:hAnsi="TitilliumText25L"/>
          <w:spacing w:val="5"/>
        </w:rPr>
        <w:t xml:space="preserve"> </w:t>
      </w:r>
      <w:r w:rsidRPr="003032D8">
        <w:rPr>
          <w:rFonts w:ascii="TitilliumText25L" w:hAnsi="TitilliumText25L"/>
        </w:rPr>
        <w:t>more</w:t>
      </w:r>
      <w:r w:rsidRPr="003032D8">
        <w:rPr>
          <w:rFonts w:ascii="TitilliumText25L" w:hAnsi="TitilliumText25L"/>
          <w:spacing w:val="8"/>
        </w:rPr>
        <w:t xml:space="preserve"> </w:t>
      </w:r>
      <w:r w:rsidRPr="003032D8">
        <w:rPr>
          <w:rFonts w:ascii="TitilliumText25L" w:hAnsi="TitilliumText25L"/>
        </w:rPr>
        <w:t>than</w:t>
      </w:r>
      <w:r w:rsidRPr="003032D8">
        <w:rPr>
          <w:rFonts w:ascii="TitilliumText25L" w:hAnsi="TitilliumText25L"/>
          <w:spacing w:val="7"/>
        </w:rPr>
        <w:t xml:space="preserve"> </w:t>
      </w:r>
      <w:r w:rsidRPr="003032D8">
        <w:rPr>
          <w:rFonts w:ascii="TitilliumText25L" w:hAnsi="TitilliumText25L"/>
        </w:rPr>
        <w:t>one</w:t>
      </w:r>
      <w:r w:rsidRPr="003032D8">
        <w:rPr>
          <w:rFonts w:ascii="TitilliumText25L" w:hAnsi="TitilliumText25L"/>
          <w:spacing w:val="8"/>
        </w:rPr>
        <w:t xml:space="preserve"> </w:t>
      </w:r>
      <w:r w:rsidRPr="003032D8">
        <w:rPr>
          <w:rFonts w:ascii="TitilliumText25L" w:hAnsi="TitilliumText25L"/>
        </w:rPr>
        <w:t>type</w:t>
      </w:r>
      <w:r w:rsidRPr="003032D8">
        <w:rPr>
          <w:rFonts w:ascii="TitilliumText25L" w:hAnsi="TitilliumText25L"/>
          <w:spacing w:val="7"/>
        </w:rPr>
        <w:t xml:space="preserve"> </w:t>
      </w:r>
      <w:r w:rsidRPr="003032D8">
        <w:rPr>
          <w:rFonts w:ascii="TitilliumText25L" w:hAnsi="TitilliumText25L"/>
        </w:rPr>
        <w:t>of</w:t>
      </w:r>
      <w:r w:rsidRPr="003032D8">
        <w:rPr>
          <w:rFonts w:ascii="TitilliumText25L" w:hAnsi="TitilliumText25L"/>
          <w:spacing w:val="9"/>
        </w:rPr>
        <w:t xml:space="preserve"> </w:t>
      </w:r>
      <w:r w:rsidRPr="003032D8">
        <w:rPr>
          <w:rFonts w:ascii="TitilliumText25L" w:hAnsi="TitilliumText25L"/>
        </w:rPr>
        <w:t>ICS</w:t>
      </w:r>
      <w:r w:rsidRPr="003032D8">
        <w:rPr>
          <w:rFonts w:ascii="TitilliumText25L" w:hAnsi="TitilliumText25L"/>
          <w:spacing w:val="8"/>
        </w:rPr>
        <w:t xml:space="preserve"> </w:t>
      </w:r>
      <w:r w:rsidRPr="003032D8">
        <w:rPr>
          <w:rFonts w:ascii="TitilliumText25L" w:hAnsi="TitilliumText25L"/>
          <w:spacing w:val="1"/>
        </w:rPr>
        <w:t>e</w:t>
      </w:r>
      <w:r w:rsidRPr="003032D8">
        <w:rPr>
          <w:rFonts w:ascii="TitilliumText25L" w:hAnsi="TitilliumText25L"/>
        </w:rPr>
        <w:t>quipme</w:t>
      </w:r>
      <w:r w:rsidRPr="003032D8">
        <w:rPr>
          <w:rFonts w:ascii="TitilliumText25L" w:hAnsi="TitilliumText25L"/>
          <w:spacing w:val="1"/>
        </w:rPr>
        <w:t>n</w:t>
      </w:r>
      <w:r w:rsidRPr="003032D8">
        <w:rPr>
          <w:rFonts w:ascii="TitilliumText25L" w:hAnsi="TitilliumText25L"/>
        </w:rPr>
        <w:t>t</w:t>
      </w:r>
      <w:r w:rsidRPr="003032D8">
        <w:rPr>
          <w:rFonts w:ascii="TitilliumText25L" w:hAnsi="TitilliumText25L"/>
          <w:spacing w:val="-1"/>
        </w:rPr>
        <w:t xml:space="preserve"> </w:t>
      </w:r>
      <w:r w:rsidRPr="003032D8">
        <w:rPr>
          <w:rFonts w:ascii="TitilliumText25L" w:hAnsi="TitilliumText25L"/>
        </w:rPr>
        <w:t>is</w:t>
      </w:r>
      <w:r w:rsidRPr="003032D8">
        <w:rPr>
          <w:rFonts w:ascii="TitilliumText25L" w:hAnsi="TitilliumText25L"/>
          <w:spacing w:val="9"/>
        </w:rPr>
        <w:t xml:space="preserve"> </w:t>
      </w:r>
      <w:r w:rsidRPr="003032D8">
        <w:rPr>
          <w:rFonts w:ascii="TitilliumText25L" w:hAnsi="TitilliumText25L"/>
        </w:rPr>
        <w:t>in</w:t>
      </w:r>
      <w:r w:rsidRPr="003032D8">
        <w:rPr>
          <w:rFonts w:ascii="TitilliumText25L" w:hAnsi="TitilliumText25L"/>
          <w:spacing w:val="8"/>
        </w:rPr>
        <w:t xml:space="preserve"> </w:t>
      </w:r>
      <w:r w:rsidRPr="003032D8">
        <w:rPr>
          <w:rFonts w:ascii="TitilliumText25L" w:hAnsi="TitilliumText25L"/>
        </w:rPr>
        <w:t>use,</w:t>
      </w:r>
      <w:r w:rsidRPr="003032D8">
        <w:rPr>
          <w:rFonts w:ascii="TitilliumText25L" w:hAnsi="TitilliumText25L"/>
          <w:spacing w:val="6"/>
        </w:rPr>
        <w:t xml:space="preserve"> </w:t>
      </w:r>
      <w:r w:rsidRPr="003032D8">
        <w:rPr>
          <w:rFonts w:ascii="TitilliumText25L" w:hAnsi="TitilliumText25L"/>
        </w:rPr>
        <w:t>t</w:t>
      </w:r>
      <w:r w:rsidRPr="003032D8">
        <w:rPr>
          <w:rFonts w:ascii="TitilliumText25L" w:hAnsi="TitilliumText25L"/>
          <w:spacing w:val="-1"/>
        </w:rPr>
        <w:t>h</w:t>
      </w:r>
      <w:r w:rsidRPr="003032D8">
        <w:rPr>
          <w:rFonts w:ascii="TitilliumText25L" w:hAnsi="TitilliumText25L"/>
        </w:rPr>
        <w:t>e</w:t>
      </w:r>
      <w:r w:rsidRPr="003032D8">
        <w:rPr>
          <w:rFonts w:ascii="TitilliumText25L" w:hAnsi="TitilliumText25L"/>
          <w:spacing w:val="9"/>
        </w:rPr>
        <w:t xml:space="preserve"> </w:t>
      </w:r>
      <w:r w:rsidRPr="003032D8">
        <w:rPr>
          <w:rFonts w:ascii="TitilliumText25L" w:hAnsi="TitilliumText25L"/>
        </w:rPr>
        <w:t>theory</w:t>
      </w:r>
      <w:r w:rsidRPr="003032D8">
        <w:rPr>
          <w:rFonts w:ascii="TitilliumText25L" w:hAnsi="TitilliumText25L"/>
          <w:spacing w:val="10"/>
        </w:rPr>
        <w:t xml:space="preserve"> </w:t>
      </w:r>
      <w:r w:rsidRPr="003032D8">
        <w:rPr>
          <w:rFonts w:ascii="TitilliumText25L" w:hAnsi="TitilliumText25L"/>
        </w:rPr>
        <w:t>sections</w:t>
      </w:r>
      <w:r w:rsidRPr="003032D8">
        <w:rPr>
          <w:rFonts w:ascii="TitilliumText25L" w:hAnsi="TitilliumText25L"/>
          <w:spacing w:val="3"/>
        </w:rPr>
        <w:t xml:space="preserve"> </w:t>
      </w:r>
      <w:r w:rsidRPr="003032D8">
        <w:rPr>
          <w:rFonts w:ascii="TitilliumText25L" w:hAnsi="TitilliumText25L"/>
        </w:rPr>
        <w:t>need</w:t>
      </w:r>
      <w:r w:rsidRPr="003032D8">
        <w:rPr>
          <w:rFonts w:ascii="TitilliumText25L" w:hAnsi="TitilliumText25L"/>
          <w:spacing w:val="6"/>
        </w:rPr>
        <w:t xml:space="preserve"> </w:t>
      </w:r>
      <w:r w:rsidRPr="003032D8">
        <w:rPr>
          <w:rFonts w:ascii="TitilliumText25L" w:hAnsi="TitilliumText25L"/>
          <w:spacing w:val="-1"/>
        </w:rPr>
        <w:t>o</w:t>
      </w:r>
      <w:r w:rsidRPr="003032D8">
        <w:rPr>
          <w:rFonts w:ascii="TitilliumText25L" w:hAnsi="TitilliumText25L"/>
        </w:rPr>
        <w:t>nly</w:t>
      </w:r>
      <w:r w:rsidRPr="003032D8">
        <w:rPr>
          <w:rFonts w:ascii="TitilliumText25L" w:hAnsi="TitilliumText25L"/>
          <w:spacing w:val="9"/>
        </w:rPr>
        <w:t xml:space="preserve"> </w:t>
      </w:r>
      <w:r w:rsidRPr="003032D8">
        <w:rPr>
          <w:rFonts w:ascii="TitilliumText25L" w:hAnsi="TitilliumText25L"/>
        </w:rPr>
        <w:t>be</w:t>
      </w:r>
      <w:r w:rsidRPr="003032D8">
        <w:rPr>
          <w:rFonts w:ascii="TitilliumText25L" w:hAnsi="TitilliumText25L"/>
          <w:spacing w:val="8"/>
        </w:rPr>
        <w:t xml:space="preserve"> </w:t>
      </w:r>
      <w:r w:rsidRPr="003032D8">
        <w:rPr>
          <w:rFonts w:ascii="TitilliumText25L" w:hAnsi="TitilliumText25L"/>
        </w:rPr>
        <w:t>com</w:t>
      </w:r>
      <w:r w:rsidRPr="003032D8">
        <w:rPr>
          <w:rFonts w:ascii="TitilliumText25L" w:hAnsi="TitilliumText25L"/>
          <w:spacing w:val="1"/>
        </w:rPr>
        <w:t>p</w:t>
      </w:r>
      <w:r w:rsidRPr="003032D8">
        <w:rPr>
          <w:rFonts w:ascii="TitilliumText25L" w:hAnsi="TitilliumText25L"/>
        </w:rPr>
        <w:t>leted</w:t>
      </w:r>
      <w:r w:rsidRPr="003032D8">
        <w:rPr>
          <w:rFonts w:ascii="TitilliumText25L" w:hAnsi="TitilliumText25L"/>
          <w:spacing w:val="6"/>
        </w:rPr>
        <w:t xml:space="preserve"> </w:t>
      </w:r>
      <w:r w:rsidRPr="003032D8">
        <w:rPr>
          <w:rFonts w:ascii="TitilliumText25L" w:hAnsi="TitilliumText25L"/>
        </w:rPr>
        <w:t>once,</w:t>
      </w:r>
      <w:r w:rsidRPr="003032D8">
        <w:rPr>
          <w:rFonts w:ascii="TitilliumText25L" w:hAnsi="TitilliumText25L"/>
          <w:spacing w:val="4"/>
        </w:rPr>
        <w:t xml:space="preserve"> </w:t>
      </w:r>
      <w:r w:rsidRPr="003032D8">
        <w:rPr>
          <w:rFonts w:ascii="TitilliumText25L" w:hAnsi="TitilliumText25L"/>
        </w:rPr>
        <w:t>however,</w:t>
      </w:r>
      <w:r w:rsidRPr="003032D8">
        <w:rPr>
          <w:rFonts w:ascii="TitilliumText25L" w:hAnsi="TitilliumText25L"/>
          <w:spacing w:val="2"/>
        </w:rPr>
        <w:t xml:space="preserve"> </w:t>
      </w:r>
      <w:r w:rsidRPr="003032D8">
        <w:rPr>
          <w:rFonts w:ascii="TitilliumText25L" w:hAnsi="TitilliumText25L"/>
        </w:rPr>
        <w:t>t</w:t>
      </w:r>
      <w:r w:rsidRPr="003032D8">
        <w:rPr>
          <w:rFonts w:ascii="TitilliumText25L" w:hAnsi="TitilliumText25L"/>
          <w:spacing w:val="2"/>
        </w:rPr>
        <w:t>h</w:t>
      </w:r>
      <w:r w:rsidRPr="003032D8">
        <w:rPr>
          <w:rFonts w:ascii="TitilliumText25L" w:hAnsi="TitilliumText25L"/>
        </w:rPr>
        <w:t>e</w:t>
      </w:r>
      <w:r w:rsidRPr="003032D8">
        <w:rPr>
          <w:rFonts w:ascii="TitilliumText25L" w:hAnsi="TitilliumText25L"/>
          <w:spacing w:val="9"/>
        </w:rPr>
        <w:t xml:space="preserve"> </w:t>
      </w:r>
      <w:r w:rsidRPr="003032D8">
        <w:rPr>
          <w:rFonts w:ascii="TitilliumText25L" w:hAnsi="TitilliumText25L"/>
        </w:rPr>
        <w:t>“Perform</w:t>
      </w:r>
      <w:r w:rsidRPr="003032D8">
        <w:rPr>
          <w:rFonts w:ascii="TitilliumText25L" w:hAnsi="TitilliumText25L"/>
          <w:spacing w:val="1"/>
        </w:rPr>
        <w:t>a</w:t>
      </w:r>
      <w:r w:rsidRPr="003032D8">
        <w:rPr>
          <w:rFonts w:ascii="TitilliumText25L" w:hAnsi="TitilliumText25L"/>
        </w:rPr>
        <w:t>nce</w:t>
      </w:r>
      <w:r w:rsidRPr="003032D8">
        <w:rPr>
          <w:rFonts w:ascii="TitilliumText25L" w:hAnsi="TitilliumText25L"/>
          <w:spacing w:val="2"/>
        </w:rPr>
        <w:t xml:space="preserve"> </w:t>
      </w:r>
      <w:r w:rsidRPr="003032D8">
        <w:rPr>
          <w:rFonts w:ascii="TitilliumText25L" w:hAnsi="TitilliumText25L"/>
        </w:rPr>
        <w:t>Criteria”</w:t>
      </w:r>
      <w:r w:rsidRPr="003032D8">
        <w:rPr>
          <w:rFonts w:ascii="TitilliumText25L" w:hAnsi="TitilliumText25L"/>
          <w:spacing w:val="2"/>
        </w:rPr>
        <w:t xml:space="preserve"> </w:t>
      </w:r>
      <w:r w:rsidRPr="003032D8">
        <w:rPr>
          <w:rFonts w:ascii="TitilliumText25L" w:hAnsi="TitilliumText25L"/>
        </w:rPr>
        <w:t>sections</w:t>
      </w:r>
      <w:r w:rsidRPr="003032D8">
        <w:rPr>
          <w:rFonts w:ascii="TitilliumText25L" w:hAnsi="TitilliumText25L"/>
          <w:spacing w:val="-7"/>
        </w:rPr>
        <w:t xml:space="preserve"> </w:t>
      </w:r>
      <w:r w:rsidRPr="003032D8">
        <w:rPr>
          <w:rFonts w:ascii="TitilliumText25L" w:hAnsi="TitilliumText25L"/>
        </w:rPr>
        <w:t>should be</w:t>
      </w:r>
      <w:r w:rsidRPr="003032D8">
        <w:rPr>
          <w:rFonts w:ascii="TitilliumText25L" w:hAnsi="TitilliumText25L"/>
          <w:spacing w:val="-2"/>
        </w:rPr>
        <w:t xml:space="preserve"> </w:t>
      </w:r>
      <w:r w:rsidRPr="003032D8">
        <w:rPr>
          <w:rFonts w:ascii="TitilliumText25L" w:hAnsi="TitilliumText25L"/>
        </w:rPr>
        <w:t>completed</w:t>
      </w:r>
      <w:r w:rsidRPr="003032D8">
        <w:rPr>
          <w:rFonts w:ascii="TitilliumText25L" w:hAnsi="TitilliumText25L"/>
          <w:spacing w:val="-9"/>
        </w:rPr>
        <w:t xml:space="preserve"> </w:t>
      </w:r>
      <w:r w:rsidRPr="003032D8">
        <w:rPr>
          <w:rFonts w:ascii="TitilliumText25L" w:hAnsi="TitilliumText25L"/>
        </w:rPr>
        <w:t>for</w:t>
      </w:r>
      <w:r w:rsidRPr="003032D8">
        <w:rPr>
          <w:rFonts w:ascii="TitilliumText25L" w:hAnsi="TitilliumText25L"/>
          <w:spacing w:val="-2"/>
        </w:rPr>
        <w:t xml:space="preserve"> </w:t>
      </w:r>
      <w:r w:rsidRPr="003032D8">
        <w:rPr>
          <w:rFonts w:ascii="TitilliumText25L" w:hAnsi="TitilliumText25L"/>
        </w:rPr>
        <w:t>each type</w:t>
      </w:r>
      <w:r w:rsidRPr="003032D8">
        <w:rPr>
          <w:rFonts w:ascii="TitilliumText25L" w:hAnsi="TitilliumText25L"/>
          <w:spacing w:val="-4"/>
        </w:rPr>
        <w:t xml:space="preserve"> </w:t>
      </w:r>
      <w:r w:rsidRPr="003032D8">
        <w:rPr>
          <w:rFonts w:ascii="TitilliumText25L" w:hAnsi="TitilliumText25L"/>
        </w:rPr>
        <w:t>of</w:t>
      </w:r>
      <w:r w:rsidRPr="003032D8">
        <w:rPr>
          <w:rFonts w:ascii="TitilliumText25L" w:hAnsi="TitilliumText25L"/>
          <w:spacing w:val="-2"/>
        </w:rPr>
        <w:t xml:space="preserve"> </w:t>
      </w:r>
      <w:r w:rsidRPr="003032D8">
        <w:rPr>
          <w:rFonts w:ascii="TitilliumText25L" w:hAnsi="TitilliumText25L"/>
        </w:rPr>
        <w:t>device</w:t>
      </w:r>
      <w:r w:rsidRPr="003032D8">
        <w:rPr>
          <w:rFonts w:ascii="TitilliumText25L" w:hAnsi="TitilliumText25L"/>
          <w:spacing w:val="-6"/>
        </w:rPr>
        <w:t xml:space="preserve"> </w:t>
      </w:r>
      <w:r w:rsidRPr="003032D8">
        <w:rPr>
          <w:rFonts w:ascii="TitilliumText25L" w:hAnsi="TitilliumText25L"/>
        </w:rPr>
        <w:t>in</w:t>
      </w:r>
      <w:r w:rsidRPr="003032D8">
        <w:rPr>
          <w:rFonts w:ascii="TitilliumText25L" w:hAnsi="TitilliumText25L"/>
          <w:spacing w:val="-2"/>
        </w:rPr>
        <w:t xml:space="preserve"> </w:t>
      </w:r>
      <w:r w:rsidRPr="003032D8">
        <w:rPr>
          <w:rFonts w:ascii="TitilliumText25L" w:hAnsi="TitilliumText25L"/>
          <w:spacing w:val="-1"/>
        </w:rPr>
        <w:t>u</w:t>
      </w:r>
      <w:r w:rsidRPr="003032D8">
        <w:rPr>
          <w:rFonts w:ascii="TitilliumText25L" w:hAnsi="TitilliumText25L"/>
          <w:spacing w:val="1"/>
        </w:rPr>
        <w:t>s</w:t>
      </w:r>
      <w:r w:rsidRPr="003032D8">
        <w:rPr>
          <w:rFonts w:ascii="TitilliumText25L" w:hAnsi="TitilliumText25L"/>
        </w:rPr>
        <w:t>e.</w:t>
      </w:r>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rPr>
        <w:t>Learners</w:t>
      </w:r>
      <w:r w:rsidRPr="003032D8">
        <w:rPr>
          <w:rFonts w:ascii="TitilliumText25L" w:hAnsi="TitilliumText25L"/>
          <w:spacing w:val="2"/>
        </w:rPr>
        <w:t xml:space="preserve"> </w:t>
      </w:r>
      <w:r w:rsidRPr="003032D8">
        <w:rPr>
          <w:rFonts w:ascii="TitilliumText25L" w:hAnsi="TitilliumText25L"/>
        </w:rPr>
        <w:t>s</w:t>
      </w:r>
      <w:r w:rsidRPr="003032D8">
        <w:rPr>
          <w:rFonts w:ascii="TitilliumText25L" w:hAnsi="TitilliumText25L"/>
          <w:spacing w:val="-1"/>
        </w:rPr>
        <w:t>h</w:t>
      </w:r>
      <w:r w:rsidRPr="003032D8">
        <w:rPr>
          <w:rFonts w:ascii="TitilliumText25L" w:hAnsi="TitilliumText25L"/>
        </w:rPr>
        <w:t>ould</w:t>
      </w:r>
      <w:r w:rsidRPr="003032D8">
        <w:rPr>
          <w:rFonts w:ascii="TitilliumText25L" w:hAnsi="TitilliumText25L"/>
          <w:spacing w:val="15"/>
        </w:rPr>
        <w:t xml:space="preserve"> </w:t>
      </w:r>
      <w:r w:rsidRPr="003032D8">
        <w:rPr>
          <w:rFonts w:ascii="TitilliumText25L" w:hAnsi="TitilliumText25L"/>
        </w:rPr>
        <w:t>have</w:t>
      </w:r>
      <w:r w:rsidRPr="003032D8">
        <w:rPr>
          <w:rFonts w:ascii="TitilliumText25L" w:hAnsi="TitilliumText25L"/>
          <w:spacing w:val="12"/>
        </w:rPr>
        <w:t xml:space="preserve"> </w:t>
      </w:r>
      <w:r w:rsidRPr="003032D8">
        <w:rPr>
          <w:rFonts w:ascii="TitilliumText25L" w:hAnsi="TitilliumText25L"/>
        </w:rPr>
        <w:t>a</w:t>
      </w:r>
      <w:r w:rsidRPr="003032D8">
        <w:rPr>
          <w:rFonts w:ascii="TitilliumText25L" w:hAnsi="TitilliumText25L"/>
          <w:spacing w:val="15"/>
        </w:rPr>
        <w:t xml:space="preserve"> </w:t>
      </w:r>
      <w:r w:rsidRPr="003032D8">
        <w:rPr>
          <w:rFonts w:ascii="TitilliumText25L" w:hAnsi="TitilliumText25L"/>
        </w:rPr>
        <w:t>theory</w:t>
      </w:r>
      <w:r w:rsidRPr="003032D8">
        <w:rPr>
          <w:rFonts w:ascii="TitilliumText25L" w:hAnsi="TitilliumText25L"/>
          <w:spacing w:val="10"/>
        </w:rPr>
        <w:t xml:space="preserve"> </w:t>
      </w:r>
      <w:r w:rsidRPr="003032D8">
        <w:rPr>
          <w:rFonts w:ascii="TitilliumText25L" w:hAnsi="TitilliumText25L"/>
        </w:rPr>
        <w:t>update</w:t>
      </w:r>
      <w:r w:rsidRPr="003032D8">
        <w:rPr>
          <w:rFonts w:ascii="TitilliumText25L" w:hAnsi="TitilliumText25L"/>
          <w:spacing w:val="10"/>
        </w:rPr>
        <w:t xml:space="preserve"> </w:t>
      </w:r>
      <w:r w:rsidRPr="003032D8">
        <w:rPr>
          <w:rFonts w:ascii="TitilliumText25L" w:hAnsi="TitilliumText25L"/>
        </w:rPr>
        <w:t>and</w:t>
      </w:r>
      <w:r w:rsidRPr="003032D8">
        <w:rPr>
          <w:rFonts w:ascii="TitilliumText25L" w:hAnsi="TitilliumText25L"/>
          <w:spacing w:val="13"/>
        </w:rPr>
        <w:t xml:space="preserve"> </w:t>
      </w:r>
      <w:r w:rsidRPr="003032D8">
        <w:rPr>
          <w:rFonts w:ascii="TitilliumText25L" w:hAnsi="TitilliumText25L"/>
        </w:rPr>
        <w:t>if</w:t>
      </w:r>
      <w:r w:rsidRPr="003032D8">
        <w:rPr>
          <w:rFonts w:ascii="TitilliumText25L" w:hAnsi="TitilliumText25L"/>
          <w:spacing w:val="16"/>
        </w:rPr>
        <w:t xml:space="preserve"> </w:t>
      </w:r>
      <w:r w:rsidRPr="003032D8">
        <w:rPr>
          <w:rFonts w:ascii="TitilliumText25L" w:hAnsi="TitilliumText25L"/>
          <w:spacing w:val="-1"/>
        </w:rPr>
        <w:t>n</w:t>
      </w:r>
      <w:r w:rsidRPr="003032D8">
        <w:rPr>
          <w:rFonts w:ascii="TitilliumText25L" w:hAnsi="TitilliumText25L"/>
        </w:rPr>
        <w:t>ecessary</w:t>
      </w:r>
      <w:r w:rsidRPr="003032D8">
        <w:rPr>
          <w:rFonts w:ascii="TitilliumText25L" w:hAnsi="TitilliumText25L"/>
          <w:spacing w:val="15"/>
        </w:rPr>
        <w:t xml:space="preserve"> </w:t>
      </w:r>
      <w:r w:rsidRPr="003032D8">
        <w:rPr>
          <w:rFonts w:ascii="TitilliumText25L" w:hAnsi="TitilliumText25L"/>
        </w:rPr>
        <w:t>t</w:t>
      </w:r>
      <w:r w:rsidRPr="003032D8">
        <w:rPr>
          <w:rFonts w:ascii="TitilliumText25L" w:hAnsi="TitilliumText25L"/>
          <w:spacing w:val="-1"/>
        </w:rPr>
        <w:t>e</w:t>
      </w:r>
      <w:r w:rsidRPr="003032D8">
        <w:rPr>
          <w:rFonts w:ascii="TitilliumText25L" w:hAnsi="TitilliumText25L"/>
        </w:rPr>
        <w:t>chnical</w:t>
      </w:r>
      <w:r w:rsidRPr="003032D8">
        <w:rPr>
          <w:rFonts w:ascii="TitilliumText25L" w:hAnsi="TitilliumText25L"/>
          <w:spacing w:val="15"/>
        </w:rPr>
        <w:t xml:space="preserve"> </w:t>
      </w:r>
      <w:r w:rsidRPr="003032D8">
        <w:rPr>
          <w:rFonts w:ascii="TitilliumText25L" w:hAnsi="TitilliumText25L"/>
        </w:rPr>
        <w:t>tr</w:t>
      </w:r>
      <w:r w:rsidRPr="003032D8">
        <w:rPr>
          <w:rFonts w:ascii="TitilliumText25L" w:hAnsi="TitilliumText25L"/>
          <w:spacing w:val="-1"/>
        </w:rPr>
        <w:t>a</w:t>
      </w:r>
      <w:r w:rsidRPr="003032D8">
        <w:rPr>
          <w:rFonts w:ascii="TitilliumText25L" w:hAnsi="TitilliumText25L"/>
        </w:rPr>
        <w:t>i</w:t>
      </w:r>
      <w:r w:rsidRPr="003032D8">
        <w:rPr>
          <w:rFonts w:ascii="TitilliumText25L" w:hAnsi="TitilliumText25L"/>
          <w:spacing w:val="-1"/>
        </w:rPr>
        <w:t>n</w:t>
      </w:r>
      <w:r w:rsidRPr="003032D8">
        <w:rPr>
          <w:rFonts w:ascii="TitilliumText25L" w:hAnsi="TitilliumText25L"/>
        </w:rPr>
        <w:t>ing</w:t>
      </w:r>
      <w:r w:rsidRPr="003032D8">
        <w:rPr>
          <w:rFonts w:ascii="TitilliumText25L" w:hAnsi="TitilliumText25L"/>
          <w:spacing w:val="15"/>
        </w:rPr>
        <w:t xml:space="preserve"> </w:t>
      </w:r>
      <w:r w:rsidRPr="003032D8">
        <w:rPr>
          <w:rFonts w:ascii="TitilliumText25L" w:hAnsi="TitilliumText25L"/>
        </w:rPr>
        <w:t>when</w:t>
      </w:r>
      <w:r w:rsidRPr="003032D8">
        <w:rPr>
          <w:rFonts w:ascii="TitilliumText25L" w:hAnsi="TitilliumText25L"/>
          <w:spacing w:val="11"/>
        </w:rPr>
        <w:t xml:space="preserve"> </w:t>
      </w:r>
      <w:r w:rsidRPr="003032D8">
        <w:rPr>
          <w:rFonts w:ascii="TitilliumText25L" w:hAnsi="TitilliumText25L"/>
        </w:rPr>
        <w:t>moving</w:t>
      </w:r>
      <w:r w:rsidRPr="003032D8">
        <w:rPr>
          <w:rFonts w:ascii="TitilliumText25L" w:hAnsi="TitilliumText25L"/>
          <w:spacing w:val="10"/>
        </w:rPr>
        <w:t xml:space="preserve"> </w:t>
      </w:r>
      <w:r w:rsidRPr="003032D8">
        <w:rPr>
          <w:rFonts w:ascii="TitilliumText25L" w:hAnsi="TitilliumText25L"/>
        </w:rPr>
        <w:t>clinic</w:t>
      </w:r>
      <w:r w:rsidRPr="003032D8">
        <w:rPr>
          <w:rFonts w:ascii="TitilliumText25L" w:hAnsi="TitilliumText25L"/>
          <w:spacing w:val="-1"/>
        </w:rPr>
        <w:t>a</w:t>
      </w:r>
      <w:r w:rsidRPr="003032D8">
        <w:rPr>
          <w:rFonts w:ascii="TitilliumText25L" w:hAnsi="TitilliumText25L"/>
        </w:rPr>
        <w:t>l</w:t>
      </w:r>
      <w:r w:rsidRPr="003032D8">
        <w:rPr>
          <w:rFonts w:ascii="TitilliumText25L" w:hAnsi="TitilliumText25L"/>
          <w:spacing w:val="12"/>
        </w:rPr>
        <w:t xml:space="preserve"> </w:t>
      </w:r>
      <w:r w:rsidRPr="003032D8">
        <w:rPr>
          <w:rFonts w:ascii="TitilliumText25L" w:hAnsi="TitilliumText25L"/>
        </w:rPr>
        <w:t>speci</w:t>
      </w:r>
      <w:r w:rsidRPr="003032D8">
        <w:rPr>
          <w:rFonts w:ascii="TitilliumText25L" w:hAnsi="TitilliumText25L"/>
          <w:spacing w:val="-1"/>
        </w:rPr>
        <w:t>a</w:t>
      </w:r>
      <w:r w:rsidRPr="003032D8">
        <w:rPr>
          <w:rFonts w:ascii="TitilliumText25L" w:hAnsi="TitilliumText25L"/>
        </w:rPr>
        <w:t>lity</w:t>
      </w:r>
      <w:r w:rsidRPr="003032D8">
        <w:rPr>
          <w:rFonts w:ascii="TitilliumText25L" w:hAnsi="TitilliumText25L"/>
          <w:spacing w:val="-5"/>
        </w:rPr>
        <w:t xml:space="preserve"> </w:t>
      </w:r>
      <w:r w:rsidRPr="003032D8">
        <w:rPr>
          <w:rFonts w:ascii="TitilliumText25L" w:hAnsi="TitilliumText25L"/>
        </w:rPr>
        <w:t>to ensure di</w:t>
      </w:r>
      <w:r w:rsidRPr="003032D8">
        <w:rPr>
          <w:rFonts w:ascii="TitilliumText25L" w:hAnsi="TitilliumText25L"/>
          <w:spacing w:val="-1"/>
        </w:rPr>
        <w:t>f</w:t>
      </w:r>
      <w:r w:rsidRPr="003032D8">
        <w:rPr>
          <w:rFonts w:ascii="TitilliumText25L" w:hAnsi="TitilliumText25L"/>
        </w:rPr>
        <w:t>ferences</w:t>
      </w:r>
      <w:r w:rsidRPr="003032D8">
        <w:rPr>
          <w:rFonts w:ascii="TitilliumText25L" w:hAnsi="TitilliumText25L"/>
          <w:spacing w:val="-2"/>
        </w:rPr>
        <w:t xml:space="preserve"> </w:t>
      </w:r>
      <w:r w:rsidRPr="003032D8">
        <w:rPr>
          <w:rFonts w:ascii="TitilliumText25L" w:hAnsi="TitilliumText25L"/>
        </w:rPr>
        <w:t>in</w:t>
      </w:r>
      <w:r w:rsidRPr="003032D8">
        <w:rPr>
          <w:rFonts w:ascii="TitilliumText25L" w:hAnsi="TitilliumText25L"/>
          <w:spacing w:val="-3"/>
        </w:rPr>
        <w:t xml:space="preserve"> </w:t>
      </w:r>
      <w:r w:rsidRPr="003032D8">
        <w:rPr>
          <w:rFonts w:ascii="TitilliumText25L" w:hAnsi="TitilliumText25L"/>
        </w:rPr>
        <w:t>practice</w:t>
      </w:r>
      <w:r w:rsidRPr="003032D8">
        <w:rPr>
          <w:rFonts w:ascii="TitilliumText25L" w:hAnsi="TitilliumText25L"/>
          <w:spacing w:val="-7"/>
        </w:rPr>
        <w:t xml:space="preserve"> </w:t>
      </w:r>
      <w:r w:rsidRPr="003032D8">
        <w:rPr>
          <w:rFonts w:ascii="TitilliumText25L" w:hAnsi="TitilliumText25L"/>
        </w:rPr>
        <w:t>ha</w:t>
      </w:r>
      <w:r w:rsidRPr="003032D8">
        <w:rPr>
          <w:rFonts w:ascii="TitilliumText25L" w:hAnsi="TitilliumText25L"/>
          <w:spacing w:val="-2"/>
        </w:rPr>
        <w:t>v</w:t>
      </w:r>
      <w:r w:rsidRPr="003032D8">
        <w:rPr>
          <w:rFonts w:ascii="TitilliumText25L" w:hAnsi="TitilliumText25L"/>
        </w:rPr>
        <w:t>e</w:t>
      </w:r>
      <w:r w:rsidRPr="003032D8">
        <w:rPr>
          <w:rFonts w:ascii="TitilliumText25L" w:hAnsi="TitilliumText25L"/>
          <w:spacing w:val="-2"/>
        </w:rPr>
        <w:t xml:space="preserve"> </w:t>
      </w:r>
      <w:r w:rsidRPr="003032D8">
        <w:rPr>
          <w:rFonts w:ascii="TitilliumText25L" w:hAnsi="TitilliumText25L"/>
        </w:rPr>
        <w:t>been</w:t>
      </w:r>
      <w:r w:rsidRPr="003032D8">
        <w:rPr>
          <w:rFonts w:ascii="TitilliumText25L" w:hAnsi="TitilliumText25L"/>
          <w:spacing w:val="-4"/>
        </w:rPr>
        <w:t xml:space="preserve"> </w:t>
      </w:r>
      <w:r w:rsidRPr="003032D8">
        <w:rPr>
          <w:rFonts w:ascii="TitilliumText25L" w:hAnsi="TitilliumText25L"/>
        </w:rPr>
        <w:t>covered.</w:t>
      </w:r>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rPr>
        <w:t>It</w:t>
      </w:r>
      <w:r w:rsidRPr="003032D8">
        <w:rPr>
          <w:rFonts w:ascii="TitilliumText25L" w:hAnsi="TitilliumText25L"/>
          <w:spacing w:val="1"/>
        </w:rPr>
        <w:t xml:space="preserve"> </w:t>
      </w:r>
      <w:r w:rsidRPr="003032D8">
        <w:rPr>
          <w:rFonts w:ascii="TitilliumText25L" w:hAnsi="TitilliumText25L"/>
        </w:rPr>
        <w:t>is</w:t>
      </w:r>
      <w:r w:rsidRPr="003032D8">
        <w:rPr>
          <w:rFonts w:ascii="TitilliumText25L" w:hAnsi="TitilliumText25L"/>
          <w:spacing w:val="6"/>
        </w:rPr>
        <w:t xml:space="preserve"> </w:t>
      </w:r>
      <w:r w:rsidRPr="003032D8">
        <w:rPr>
          <w:rFonts w:ascii="TitilliumText25L" w:hAnsi="TitilliumText25L"/>
        </w:rPr>
        <w:t>envisaged</w:t>
      </w:r>
      <w:r w:rsidRPr="003032D8">
        <w:rPr>
          <w:rFonts w:ascii="TitilliumText25L" w:hAnsi="TitilliumText25L"/>
          <w:spacing w:val="-3"/>
        </w:rPr>
        <w:t xml:space="preserve"> </w:t>
      </w:r>
      <w:r w:rsidRPr="003032D8">
        <w:rPr>
          <w:rFonts w:ascii="TitilliumText25L" w:hAnsi="TitilliumText25L"/>
        </w:rPr>
        <w:t>that</w:t>
      </w:r>
      <w:r w:rsidRPr="003032D8">
        <w:rPr>
          <w:rFonts w:ascii="TitilliumText25L" w:hAnsi="TitilliumText25L"/>
          <w:spacing w:val="4"/>
        </w:rPr>
        <w:t xml:space="preserve"> </w:t>
      </w:r>
      <w:r w:rsidRPr="003032D8">
        <w:rPr>
          <w:rFonts w:ascii="TitilliumText25L" w:hAnsi="TitilliumText25L"/>
        </w:rPr>
        <w:t>this</w:t>
      </w:r>
      <w:r w:rsidRPr="003032D8">
        <w:rPr>
          <w:rFonts w:ascii="TitilliumText25L" w:hAnsi="TitilliumText25L"/>
          <w:spacing w:val="4"/>
        </w:rPr>
        <w:t xml:space="preserve"> </w:t>
      </w:r>
      <w:r w:rsidRPr="003032D8">
        <w:rPr>
          <w:rFonts w:ascii="TitilliumText25L" w:hAnsi="TitilliumText25L"/>
        </w:rPr>
        <w:t>workbook</w:t>
      </w:r>
      <w:r w:rsidRPr="003032D8">
        <w:rPr>
          <w:rFonts w:ascii="TitilliumText25L" w:hAnsi="TitilliumText25L"/>
          <w:spacing w:val="-3"/>
        </w:rPr>
        <w:t xml:space="preserve"> </w:t>
      </w:r>
      <w:r w:rsidRPr="003032D8">
        <w:rPr>
          <w:rFonts w:ascii="TitilliumText25L" w:hAnsi="TitilliumText25L"/>
        </w:rPr>
        <w:t>could</w:t>
      </w:r>
      <w:r w:rsidRPr="003032D8">
        <w:rPr>
          <w:rFonts w:ascii="TitilliumText25L" w:hAnsi="TitilliumText25L"/>
          <w:spacing w:val="1"/>
        </w:rPr>
        <w:t xml:space="preserve"> </w:t>
      </w:r>
      <w:r w:rsidRPr="003032D8">
        <w:rPr>
          <w:rFonts w:ascii="TitilliumText25L" w:hAnsi="TitilliumText25L"/>
        </w:rPr>
        <w:t>be</w:t>
      </w:r>
      <w:r w:rsidRPr="003032D8">
        <w:rPr>
          <w:rFonts w:ascii="TitilliumText25L" w:hAnsi="TitilliumText25L"/>
          <w:spacing w:val="4"/>
        </w:rPr>
        <w:t xml:space="preserve"> </w:t>
      </w:r>
      <w:r w:rsidRPr="003032D8">
        <w:rPr>
          <w:rFonts w:ascii="TitilliumText25L" w:hAnsi="TitilliumText25L"/>
        </w:rPr>
        <w:t>used</w:t>
      </w:r>
      <w:r w:rsidRPr="003032D8">
        <w:rPr>
          <w:rFonts w:ascii="TitilliumText25L" w:hAnsi="TitilliumText25L"/>
          <w:spacing w:val="2"/>
        </w:rPr>
        <w:t xml:space="preserve"> </w:t>
      </w:r>
      <w:r w:rsidRPr="003032D8">
        <w:rPr>
          <w:rFonts w:ascii="TitilliumText25L" w:hAnsi="TitilliumText25L"/>
        </w:rPr>
        <w:t>to</w:t>
      </w:r>
      <w:r w:rsidRPr="003032D8">
        <w:rPr>
          <w:rFonts w:ascii="TitilliumText25L" w:hAnsi="TitilliumText25L"/>
          <w:spacing w:val="5"/>
        </w:rPr>
        <w:t xml:space="preserve"> </w:t>
      </w:r>
      <w:r w:rsidRPr="003032D8">
        <w:rPr>
          <w:rFonts w:ascii="TitilliumText25L" w:hAnsi="TitilliumText25L"/>
        </w:rPr>
        <w:t>provide evidence</w:t>
      </w:r>
      <w:r w:rsidRPr="003032D8">
        <w:rPr>
          <w:rFonts w:ascii="TitilliumText25L" w:hAnsi="TitilliumText25L"/>
          <w:spacing w:val="-2"/>
        </w:rPr>
        <w:t xml:space="preserve"> </w:t>
      </w:r>
      <w:r w:rsidRPr="003032D8">
        <w:rPr>
          <w:rFonts w:ascii="TitilliumText25L" w:hAnsi="TitilliumText25L"/>
        </w:rPr>
        <w:t>of</w:t>
      </w:r>
      <w:r w:rsidRPr="003032D8">
        <w:rPr>
          <w:rFonts w:ascii="TitilliumText25L" w:hAnsi="TitilliumText25L"/>
          <w:spacing w:val="5"/>
        </w:rPr>
        <w:t xml:space="preserve"> </w:t>
      </w:r>
      <w:r w:rsidRPr="003032D8">
        <w:rPr>
          <w:rFonts w:ascii="TitilliumText25L" w:hAnsi="TitilliumText25L"/>
        </w:rPr>
        <w:t>the</w:t>
      </w:r>
      <w:r w:rsidRPr="003032D8">
        <w:rPr>
          <w:rFonts w:ascii="TitilliumText25L" w:hAnsi="TitilliumText25L"/>
          <w:spacing w:val="4"/>
        </w:rPr>
        <w:t xml:space="preserve"> </w:t>
      </w:r>
      <w:r w:rsidRPr="003032D8">
        <w:rPr>
          <w:rFonts w:ascii="TitilliumText25L" w:hAnsi="TitilliumText25L"/>
        </w:rPr>
        <w:t>knowledge</w:t>
      </w:r>
      <w:r w:rsidRPr="003032D8">
        <w:rPr>
          <w:rFonts w:ascii="TitilliumText25L" w:hAnsi="TitilliumText25L"/>
          <w:spacing w:val="-4"/>
        </w:rPr>
        <w:t xml:space="preserve"> </w:t>
      </w:r>
      <w:r w:rsidRPr="003032D8">
        <w:rPr>
          <w:rFonts w:ascii="TitilliumText25L" w:hAnsi="TitilliumText25L"/>
        </w:rPr>
        <w:t>and</w:t>
      </w:r>
      <w:r w:rsidRPr="003032D8">
        <w:rPr>
          <w:rFonts w:ascii="TitilliumText25L" w:hAnsi="TitilliumText25L"/>
          <w:spacing w:val="3"/>
        </w:rPr>
        <w:t xml:space="preserve"> </w:t>
      </w:r>
      <w:r w:rsidRPr="003032D8">
        <w:rPr>
          <w:rFonts w:ascii="TitilliumText25L" w:hAnsi="TitilliumText25L"/>
        </w:rPr>
        <w:t>skills</w:t>
      </w:r>
      <w:r w:rsidRPr="003032D8">
        <w:rPr>
          <w:rFonts w:ascii="TitilliumText25L" w:hAnsi="TitilliumText25L"/>
          <w:spacing w:val="2"/>
        </w:rPr>
        <w:t xml:space="preserve"> </w:t>
      </w:r>
      <w:r w:rsidRPr="003032D8">
        <w:rPr>
          <w:rFonts w:ascii="TitilliumText25L" w:hAnsi="TitilliumText25L"/>
        </w:rPr>
        <w:t>acquir</w:t>
      </w:r>
      <w:r w:rsidRPr="003032D8">
        <w:rPr>
          <w:rFonts w:ascii="TitilliumText25L" w:hAnsi="TitilliumText25L"/>
          <w:spacing w:val="-1"/>
        </w:rPr>
        <w:t>e</w:t>
      </w:r>
      <w:r w:rsidRPr="003032D8">
        <w:rPr>
          <w:rFonts w:ascii="TitilliumText25L" w:hAnsi="TitilliumText25L"/>
        </w:rPr>
        <w:t>d</w:t>
      </w:r>
      <w:r w:rsidRPr="003032D8">
        <w:rPr>
          <w:rFonts w:ascii="TitilliumText25L" w:hAnsi="TitilliumText25L"/>
          <w:spacing w:val="-5"/>
        </w:rPr>
        <w:t xml:space="preserve"> </w:t>
      </w:r>
      <w:r w:rsidRPr="003032D8">
        <w:rPr>
          <w:rFonts w:ascii="TitilliumText25L" w:hAnsi="TitilliumText25L"/>
        </w:rPr>
        <w:t>by</w:t>
      </w:r>
      <w:r w:rsidRPr="003032D8">
        <w:rPr>
          <w:rFonts w:ascii="TitilliumText25L" w:hAnsi="TitilliumText25L"/>
          <w:spacing w:val="38"/>
        </w:rPr>
        <w:t xml:space="preserve"> </w:t>
      </w:r>
      <w:r w:rsidRPr="003032D8">
        <w:rPr>
          <w:rFonts w:ascii="TitilliumText25L" w:hAnsi="TitilliumText25L"/>
        </w:rPr>
        <w:t xml:space="preserve">the </w:t>
      </w:r>
      <w:r w:rsidRPr="003032D8">
        <w:rPr>
          <w:rFonts w:ascii="TitilliumText25L" w:hAnsi="TitilliumText25L"/>
          <w:spacing w:val="-17"/>
        </w:rPr>
        <w:t>l</w:t>
      </w:r>
      <w:r w:rsidRPr="003032D8">
        <w:rPr>
          <w:rFonts w:ascii="TitilliumText25L" w:hAnsi="TitilliumText25L"/>
        </w:rPr>
        <w:t>ea</w:t>
      </w:r>
      <w:r w:rsidRPr="003032D8">
        <w:rPr>
          <w:rFonts w:ascii="TitilliumText25L" w:hAnsi="TitilliumText25L"/>
          <w:spacing w:val="-1"/>
        </w:rPr>
        <w:t>r</w:t>
      </w:r>
      <w:r w:rsidRPr="003032D8">
        <w:rPr>
          <w:rFonts w:ascii="TitilliumText25L" w:hAnsi="TitilliumText25L"/>
        </w:rPr>
        <w:t>ner</w:t>
      </w:r>
      <w:r w:rsidRPr="003032D8">
        <w:rPr>
          <w:rFonts w:ascii="TitilliumText25L" w:hAnsi="TitilliumText25L"/>
          <w:spacing w:val="36"/>
        </w:rPr>
        <w:t xml:space="preserve"> </w:t>
      </w:r>
      <w:r w:rsidRPr="003032D8">
        <w:rPr>
          <w:rFonts w:ascii="TitilliumText25L" w:hAnsi="TitilliumText25L"/>
        </w:rPr>
        <w:t>with</w:t>
      </w:r>
      <w:r w:rsidRPr="003032D8">
        <w:rPr>
          <w:rFonts w:ascii="TitilliumText25L" w:hAnsi="TitilliumText25L"/>
          <w:spacing w:val="35"/>
        </w:rPr>
        <w:t xml:space="preserve"> </w:t>
      </w:r>
      <w:r w:rsidRPr="003032D8">
        <w:rPr>
          <w:rFonts w:ascii="TitilliumText25L" w:hAnsi="TitilliumText25L"/>
        </w:rPr>
        <w:t>r</w:t>
      </w:r>
      <w:r w:rsidRPr="003032D8">
        <w:rPr>
          <w:rFonts w:ascii="TitilliumText25L" w:hAnsi="TitilliumText25L"/>
          <w:spacing w:val="-1"/>
        </w:rPr>
        <w:t>e</w:t>
      </w:r>
      <w:r w:rsidRPr="003032D8">
        <w:rPr>
          <w:rFonts w:ascii="TitilliumText25L" w:hAnsi="TitilliumText25L"/>
        </w:rPr>
        <w:t>gards</w:t>
      </w:r>
      <w:r w:rsidRPr="003032D8">
        <w:rPr>
          <w:rFonts w:ascii="TitilliumText25L" w:hAnsi="TitilliumText25L"/>
          <w:spacing w:val="38"/>
        </w:rPr>
        <w:t xml:space="preserve"> </w:t>
      </w:r>
      <w:r w:rsidRPr="003032D8">
        <w:rPr>
          <w:rFonts w:ascii="TitilliumText25L" w:hAnsi="TitilliumText25L"/>
        </w:rPr>
        <w:t>to</w:t>
      </w:r>
      <w:r w:rsidRPr="003032D8">
        <w:rPr>
          <w:rFonts w:ascii="TitilliumText25L" w:hAnsi="TitilliumText25L"/>
          <w:spacing w:val="35"/>
        </w:rPr>
        <w:t xml:space="preserve"> </w:t>
      </w:r>
      <w:r w:rsidRPr="003032D8">
        <w:rPr>
          <w:rFonts w:ascii="TitilliumText25L" w:hAnsi="TitilliumText25L"/>
        </w:rPr>
        <w:t>ICS. It</w:t>
      </w:r>
      <w:r w:rsidRPr="003032D8">
        <w:rPr>
          <w:rFonts w:ascii="TitilliumText25L" w:hAnsi="TitilliumText25L"/>
          <w:spacing w:val="37"/>
        </w:rPr>
        <w:t xml:space="preserve"> </w:t>
      </w:r>
      <w:r w:rsidRPr="003032D8">
        <w:rPr>
          <w:rFonts w:ascii="TitilliumText25L" w:hAnsi="TitilliumText25L"/>
        </w:rPr>
        <w:t>can</w:t>
      </w:r>
      <w:r w:rsidRPr="003032D8">
        <w:rPr>
          <w:rFonts w:ascii="TitilliumText25L" w:hAnsi="TitilliumText25L"/>
          <w:spacing w:val="35"/>
        </w:rPr>
        <w:t xml:space="preserve"> </w:t>
      </w:r>
      <w:r w:rsidRPr="003032D8">
        <w:rPr>
          <w:rFonts w:ascii="TitilliumText25L" w:hAnsi="TitilliumText25L"/>
          <w:spacing w:val="-1"/>
        </w:rPr>
        <w:t>a</w:t>
      </w:r>
      <w:r w:rsidRPr="003032D8">
        <w:rPr>
          <w:rFonts w:ascii="TitilliumText25L" w:hAnsi="TitilliumText25L"/>
        </w:rPr>
        <w:t>lso</w:t>
      </w:r>
      <w:r w:rsidRPr="003032D8">
        <w:rPr>
          <w:rFonts w:ascii="TitilliumText25L" w:hAnsi="TitilliumText25L"/>
          <w:spacing w:val="37"/>
        </w:rPr>
        <w:t xml:space="preserve"> </w:t>
      </w:r>
      <w:r w:rsidRPr="003032D8">
        <w:rPr>
          <w:rFonts w:ascii="TitilliumText25L" w:hAnsi="TitilliumText25L"/>
        </w:rPr>
        <w:t>be</w:t>
      </w:r>
      <w:r w:rsidRPr="003032D8">
        <w:rPr>
          <w:rFonts w:ascii="TitilliumText25L" w:hAnsi="TitilliumText25L"/>
          <w:spacing w:val="34"/>
        </w:rPr>
        <w:t xml:space="preserve"> </w:t>
      </w:r>
      <w:r w:rsidRPr="003032D8">
        <w:rPr>
          <w:rFonts w:ascii="TitilliumText25L" w:hAnsi="TitilliumText25L"/>
        </w:rPr>
        <w:t>used</w:t>
      </w:r>
      <w:r w:rsidRPr="003032D8">
        <w:rPr>
          <w:rFonts w:ascii="TitilliumText25L" w:hAnsi="TitilliumText25L"/>
          <w:spacing w:val="33"/>
        </w:rPr>
        <w:t xml:space="preserve"> </w:t>
      </w:r>
      <w:r w:rsidRPr="003032D8">
        <w:rPr>
          <w:rFonts w:ascii="TitilliumText25L" w:hAnsi="TitilliumText25L"/>
        </w:rPr>
        <w:t>to</w:t>
      </w:r>
      <w:r w:rsidRPr="003032D8">
        <w:rPr>
          <w:rFonts w:ascii="TitilliumText25L" w:hAnsi="TitilliumText25L"/>
          <w:spacing w:val="37"/>
        </w:rPr>
        <w:t xml:space="preserve"> </w:t>
      </w:r>
      <w:r w:rsidRPr="003032D8">
        <w:rPr>
          <w:rFonts w:ascii="TitilliumText25L" w:hAnsi="TitilliumText25L"/>
        </w:rPr>
        <w:t>ide</w:t>
      </w:r>
      <w:r w:rsidRPr="003032D8">
        <w:rPr>
          <w:rFonts w:ascii="TitilliumText25L" w:hAnsi="TitilliumText25L"/>
          <w:spacing w:val="-1"/>
        </w:rPr>
        <w:t>n</w:t>
      </w:r>
      <w:r w:rsidRPr="003032D8">
        <w:rPr>
          <w:rFonts w:ascii="TitilliumText25L" w:hAnsi="TitilliumText25L"/>
        </w:rPr>
        <w:t>tify</w:t>
      </w:r>
      <w:r w:rsidRPr="003032D8">
        <w:rPr>
          <w:rFonts w:ascii="TitilliumText25L" w:hAnsi="TitilliumText25L"/>
          <w:spacing w:val="34"/>
        </w:rPr>
        <w:t xml:space="preserve"> </w:t>
      </w:r>
      <w:r w:rsidRPr="003032D8">
        <w:rPr>
          <w:rFonts w:ascii="TitilliumText25L" w:hAnsi="TitilliumText25L"/>
        </w:rPr>
        <w:t>any</w:t>
      </w:r>
      <w:r w:rsidRPr="003032D8">
        <w:rPr>
          <w:rFonts w:ascii="TitilliumText25L" w:hAnsi="TitilliumText25L"/>
          <w:spacing w:val="35"/>
        </w:rPr>
        <w:t xml:space="preserve"> </w:t>
      </w:r>
      <w:r w:rsidRPr="003032D8">
        <w:rPr>
          <w:rFonts w:ascii="TitilliumText25L" w:hAnsi="TitilliumText25L"/>
        </w:rPr>
        <w:t>gaps</w:t>
      </w:r>
      <w:r w:rsidRPr="003032D8">
        <w:rPr>
          <w:rFonts w:ascii="TitilliumText25L" w:hAnsi="TitilliumText25L"/>
          <w:spacing w:val="34"/>
        </w:rPr>
        <w:t xml:space="preserve"> </w:t>
      </w:r>
      <w:r w:rsidRPr="003032D8">
        <w:rPr>
          <w:rFonts w:ascii="TitilliumText25L" w:hAnsi="TitilliumText25L"/>
          <w:spacing w:val="-1"/>
        </w:rPr>
        <w:t>b</w:t>
      </w:r>
      <w:r w:rsidRPr="003032D8">
        <w:rPr>
          <w:rFonts w:ascii="TitilliumText25L" w:hAnsi="TitilliumText25L"/>
        </w:rPr>
        <w:t>etween</w:t>
      </w:r>
      <w:r w:rsidRPr="003032D8">
        <w:rPr>
          <w:rFonts w:ascii="TitilliumText25L" w:hAnsi="TitilliumText25L"/>
          <w:spacing w:val="37"/>
        </w:rPr>
        <w:t xml:space="preserve"> </w:t>
      </w:r>
      <w:r w:rsidRPr="003032D8">
        <w:rPr>
          <w:rFonts w:ascii="TitilliumText25L" w:hAnsi="TitilliumText25L"/>
        </w:rPr>
        <w:t>the</w:t>
      </w:r>
      <w:r w:rsidRPr="003032D8">
        <w:rPr>
          <w:rFonts w:ascii="TitilliumText25L" w:hAnsi="TitilliumText25L"/>
          <w:spacing w:val="34"/>
        </w:rPr>
        <w:t xml:space="preserve"> </w:t>
      </w:r>
      <w:r w:rsidRPr="003032D8">
        <w:rPr>
          <w:rFonts w:ascii="TitilliumText25L" w:hAnsi="TitilliumText25L"/>
        </w:rPr>
        <w:t>skills</w:t>
      </w:r>
      <w:r w:rsidRPr="003032D8">
        <w:rPr>
          <w:rFonts w:ascii="TitilliumText25L" w:hAnsi="TitilliumText25L"/>
          <w:spacing w:val="34"/>
        </w:rPr>
        <w:t xml:space="preserve"> </w:t>
      </w:r>
      <w:r w:rsidRPr="003032D8">
        <w:rPr>
          <w:rFonts w:ascii="TitilliumText25L" w:hAnsi="TitilliumText25L"/>
        </w:rPr>
        <w:t>and knowledge</w:t>
      </w:r>
      <w:r w:rsidRPr="003032D8">
        <w:rPr>
          <w:rFonts w:ascii="TitilliumText25L" w:hAnsi="TitilliumText25L"/>
          <w:spacing w:val="-12"/>
        </w:rPr>
        <w:t xml:space="preserve"> </w:t>
      </w:r>
      <w:r w:rsidRPr="003032D8">
        <w:rPr>
          <w:rFonts w:ascii="TitilliumText25L" w:hAnsi="TitilliumText25L"/>
        </w:rPr>
        <w:t>needed</w:t>
      </w:r>
      <w:r w:rsidRPr="003032D8">
        <w:rPr>
          <w:rFonts w:ascii="TitilliumText25L" w:hAnsi="TitilliumText25L"/>
          <w:spacing w:val="-3"/>
        </w:rPr>
        <w:t xml:space="preserve"> </w:t>
      </w:r>
      <w:r w:rsidRPr="003032D8">
        <w:rPr>
          <w:rFonts w:ascii="TitilliumText25L" w:hAnsi="TitilliumText25L"/>
        </w:rPr>
        <w:t>to</w:t>
      </w:r>
      <w:r w:rsidRPr="003032D8">
        <w:rPr>
          <w:rFonts w:ascii="TitilliumText25L" w:hAnsi="TitilliumText25L"/>
          <w:spacing w:val="2"/>
        </w:rPr>
        <w:t xml:space="preserve"> </w:t>
      </w:r>
      <w:r w:rsidRPr="003032D8">
        <w:rPr>
          <w:rFonts w:ascii="TitilliumText25L" w:hAnsi="TitilliumText25L"/>
        </w:rPr>
        <w:t>do</w:t>
      </w:r>
      <w:r w:rsidRPr="003032D8">
        <w:rPr>
          <w:rFonts w:ascii="TitilliumText25L" w:hAnsi="TitilliumText25L"/>
          <w:spacing w:val="2"/>
        </w:rPr>
        <w:t xml:space="preserve"> </w:t>
      </w:r>
      <w:r w:rsidRPr="003032D8">
        <w:rPr>
          <w:rFonts w:ascii="TitilliumText25L" w:hAnsi="TitilliumText25L"/>
        </w:rPr>
        <w:t>the</w:t>
      </w:r>
      <w:r w:rsidRPr="003032D8">
        <w:rPr>
          <w:rFonts w:ascii="TitilliumText25L" w:hAnsi="TitilliumText25L"/>
          <w:spacing w:val="1"/>
        </w:rPr>
        <w:t xml:space="preserve"> </w:t>
      </w:r>
      <w:r w:rsidRPr="003032D8">
        <w:rPr>
          <w:rFonts w:ascii="TitilliumText25L" w:hAnsi="TitilliumText25L"/>
        </w:rPr>
        <w:t>job,</w:t>
      </w:r>
      <w:r w:rsidRPr="003032D8">
        <w:rPr>
          <w:rFonts w:ascii="TitilliumText25L" w:hAnsi="TitilliumText25L"/>
          <w:spacing w:val="1"/>
        </w:rPr>
        <w:t xml:space="preserve"> </w:t>
      </w:r>
      <w:r w:rsidRPr="003032D8">
        <w:rPr>
          <w:rFonts w:ascii="TitilliumText25L" w:hAnsi="TitilliumText25L"/>
        </w:rPr>
        <w:t>and</w:t>
      </w:r>
      <w:r w:rsidRPr="003032D8">
        <w:rPr>
          <w:rFonts w:ascii="TitilliumText25L" w:hAnsi="TitilliumText25L"/>
          <w:spacing w:val="1"/>
        </w:rPr>
        <w:t xml:space="preserve"> </w:t>
      </w:r>
      <w:r w:rsidRPr="003032D8">
        <w:rPr>
          <w:rFonts w:ascii="TitilliumText25L" w:hAnsi="TitilliumText25L"/>
        </w:rPr>
        <w:t>the</w:t>
      </w:r>
      <w:r w:rsidRPr="003032D8">
        <w:rPr>
          <w:rFonts w:ascii="TitilliumText25L" w:hAnsi="TitilliumText25L"/>
          <w:spacing w:val="1"/>
        </w:rPr>
        <w:t xml:space="preserve"> </w:t>
      </w:r>
      <w:r w:rsidRPr="003032D8">
        <w:rPr>
          <w:rFonts w:ascii="TitilliumText25L" w:hAnsi="TitilliumText25L"/>
        </w:rPr>
        <w:t>current</w:t>
      </w:r>
      <w:r w:rsidRPr="003032D8">
        <w:rPr>
          <w:rFonts w:ascii="TitilliumText25L" w:hAnsi="TitilliumText25L"/>
          <w:spacing w:val="-2"/>
        </w:rPr>
        <w:t xml:space="preserve"> </w:t>
      </w:r>
      <w:r w:rsidRPr="003032D8">
        <w:rPr>
          <w:rFonts w:ascii="TitilliumText25L" w:hAnsi="TitilliumText25L"/>
        </w:rPr>
        <w:t>skills and</w:t>
      </w:r>
      <w:r w:rsidRPr="003032D8">
        <w:rPr>
          <w:rFonts w:ascii="TitilliumText25L" w:hAnsi="TitilliumText25L"/>
          <w:spacing w:val="1"/>
        </w:rPr>
        <w:t xml:space="preserve"> </w:t>
      </w:r>
      <w:r w:rsidRPr="003032D8">
        <w:rPr>
          <w:rFonts w:ascii="TitilliumText25L" w:hAnsi="TitilliumText25L"/>
        </w:rPr>
        <w:t>knowledge</w:t>
      </w:r>
      <w:r w:rsidRPr="003032D8">
        <w:rPr>
          <w:rFonts w:ascii="TitilliumText25L" w:hAnsi="TitilliumText25L"/>
          <w:spacing w:val="-6"/>
        </w:rPr>
        <w:t xml:space="preserve"> </w:t>
      </w:r>
      <w:r w:rsidRPr="003032D8">
        <w:rPr>
          <w:rFonts w:ascii="TitilliumText25L" w:hAnsi="TitilliumText25L"/>
        </w:rPr>
        <w:t>of</w:t>
      </w:r>
      <w:r w:rsidRPr="003032D8">
        <w:rPr>
          <w:rFonts w:ascii="TitilliumText25L" w:hAnsi="TitilliumText25L"/>
          <w:spacing w:val="2"/>
        </w:rPr>
        <w:t xml:space="preserve"> </w:t>
      </w:r>
      <w:r w:rsidRPr="003032D8">
        <w:rPr>
          <w:rFonts w:ascii="TitilliumText25L" w:hAnsi="TitilliumText25L"/>
        </w:rPr>
        <w:t>the</w:t>
      </w:r>
      <w:r w:rsidRPr="003032D8">
        <w:rPr>
          <w:rFonts w:ascii="TitilliumText25L" w:hAnsi="TitilliumText25L"/>
          <w:spacing w:val="1"/>
        </w:rPr>
        <w:t xml:space="preserve"> </w:t>
      </w:r>
      <w:r w:rsidRPr="003032D8">
        <w:rPr>
          <w:rFonts w:ascii="TitilliumText25L" w:hAnsi="TitilliumText25L"/>
        </w:rPr>
        <w:t>individual</w:t>
      </w:r>
      <w:r w:rsidRPr="003032D8">
        <w:rPr>
          <w:rFonts w:ascii="TitilliumText25L" w:hAnsi="TitilliumText25L"/>
          <w:spacing w:val="-4"/>
        </w:rPr>
        <w:t xml:space="preserve"> </w:t>
      </w:r>
      <w:r w:rsidRPr="003032D8">
        <w:rPr>
          <w:rFonts w:ascii="TitilliumText25L" w:hAnsi="TitilliumText25L"/>
        </w:rPr>
        <w:t>member</w:t>
      </w:r>
      <w:r w:rsidRPr="003032D8">
        <w:rPr>
          <w:rFonts w:ascii="TitilliumText25L" w:hAnsi="TitilliumText25L"/>
          <w:spacing w:val="-2"/>
        </w:rPr>
        <w:t xml:space="preserve"> </w:t>
      </w:r>
      <w:r w:rsidRPr="003032D8">
        <w:rPr>
          <w:rFonts w:ascii="TitilliumText25L" w:hAnsi="TitilliumText25L"/>
        </w:rPr>
        <w:t>of</w:t>
      </w:r>
      <w:r w:rsidRPr="003032D8">
        <w:rPr>
          <w:rFonts w:ascii="TitilliumText25L" w:hAnsi="TitilliumText25L"/>
          <w:spacing w:val="2"/>
        </w:rPr>
        <w:t xml:space="preserve"> </w:t>
      </w:r>
      <w:r w:rsidRPr="003032D8">
        <w:rPr>
          <w:rFonts w:ascii="TitilliumText25L" w:hAnsi="TitilliumText25L"/>
        </w:rPr>
        <w:t>staff.</w:t>
      </w:r>
    </w:p>
    <w:p w:rsidR="00BE3BE3" w:rsidRPr="003032D8" w:rsidRDefault="00BE3BE3" w:rsidP="00BE3BE3">
      <w:pPr>
        <w:spacing w:before="360" w:after="120" w:line="240" w:lineRule="auto"/>
        <w:outlineLvl w:val="1"/>
        <w:rPr>
          <w:rFonts w:ascii="TitilliumText25L" w:hAnsi="TitilliumText25L" w:cs="Arial"/>
          <w:color w:val="000000"/>
          <w:sz w:val="36"/>
          <w:szCs w:val="36"/>
        </w:rPr>
      </w:pPr>
      <w:bookmarkStart w:id="46" w:name="_Toc355270940"/>
      <w:bookmarkStart w:id="47" w:name="_Toc366850085"/>
      <w:r w:rsidRPr="003032D8">
        <w:rPr>
          <w:rFonts w:ascii="TitilliumText25L" w:hAnsi="TitilliumText25L" w:cs="Arial"/>
          <w:sz w:val="36"/>
          <w:szCs w:val="36"/>
        </w:rPr>
        <w:t>Audit</w:t>
      </w:r>
      <w:bookmarkEnd w:id="46"/>
      <w:bookmarkEnd w:id="47"/>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rPr>
        <w:t>It</w:t>
      </w:r>
      <w:r w:rsidRPr="003032D8">
        <w:rPr>
          <w:rFonts w:ascii="TitilliumText25L" w:hAnsi="TitilliumText25L"/>
          <w:spacing w:val="32"/>
        </w:rPr>
        <w:t xml:space="preserve"> </w:t>
      </w:r>
      <w:r w:rsidRPr="003032D8">
        <w:rPr>
          <w:rFonts w:ascii="TitilliumText25L" w:hAnsi="TitilliumText25L"/>
        </w:rPr>
        <w:t>is</w:t>
      </w:r>
      <w:r w:rsidRPr="003032D8">
        <w:rPr>
          <w:rFonts w:ascii="TitilliumText25L" w:hAnsi="TitilliumText25L"/>
          <w:spacing w:val="36"/>
        </w:rPr>
        <w:t xml:space="preserve"> </w:t>
      </w:r>
      <w:r w:rsidRPr="003032D8">
        <w:rPr>
          <w:rFonts w:ascii="TitilliumText25L" w:hAnsi="TitilliumText25L"/>
        </w:rPr>
        <w:t>recommended</w:t>
      </w:r>
      <w:r w:rsidRPr="003032D8">
        <w:rPr>
          <w:rFonts w:ascii="TitilliumText25L" w:hAnsi="TitilliumText25L"/>
          <w:spacing w:val="24"/>
        </w:rPr>
        <w:t xml:space="preserve"> </w:t>
      </w:r>
      <w:r w:rsidRPr="003032D8">
        <w:rPr>
          <w:rFonts w:ascii="TitilliumText25L" w:hAnsi="TitilliumText25L"/>
        </w:rPr>
        <w:t>that</w:t>
      </w:r>
      <w:r w:rsidRPr="003032D8">
        <w:rPr>
          <w:rFonts w:ascii="TitilliumText25L" w:hAnsi="TitilliumText25L"/>
          <w:spacing w:val="34"/>
        </w:rPr>
        <w:t xml:space="preserve"> </w:t>
      </w:r>
      <w:r w:rsidRPr="003032D8">
        <w:rPr>
          <w:rFonts w:ascii="TitilliumText25L" w:hAnsi="TitilliumText25L"/>
        </w:rPr>
        <w:t>Organisations</w:t>
      </w:r>
      <w:r w:rsidRPr="003032D8">
        <w:rPr>
          <w:rFonts w:ascii="TitilliumText25L" w:hAnsi="TitilliumText25L"/>
          <w:spacing w:val="24"/>
        </w:rPr>
        <w:t xml:space="preserve"> </w:t>
      </w:r>
      <w:r w:rsidRPr="003032D8">
        <w:rPr>
          <w:rFonts w:ascii="TitilliumText25L" w:hAnsi="TitilliumText25L"/>
        </w:rPr>
        <w:t>should</w:t>
      </w:r>
      <w:r w:rsidRPr="003032D8">
        <w:rPr>
          <w:rFonts w:ascii="TitilliumText25L" w:hAnsi="TitilliumText25L"/>
          <w:spacing w:val="29"/>
        </w:rPr>
        <w:t xml:space="preserve"> </w:t>
      </w:r>
      <w:r w:rsidRPr="003032D8">
        <w:rPr>
          <w:rFonts w:ascii="TitilliumText25L" w:hAnsi="TitilliumText25L"/>
        </w:rPr>
        <w:t>undertake</w:t>
      </w:r>
      <w:r w:rsidRPr="003032D8">
        <w:rPr>
          <w:rFonts w:ascii="TitilliumText25L" w:hAnsi="TitilliumText25L"/>
          <w:spacing w:val="28"/>
        </w:rPr>
        <w:t xml:space="preserve"> </w:t>
      </w:r>
      <w:r w:rsidRPr="003032D8">
        <w:rPr>
          <w:rFonts w:ascii="TitilliumText25L" w:hAnsi="TitilliumText25L"/>
          <w:spacing w:val="-1"/>
        </w:rPr>
        <w:t>p</w:t>
      </w:r>
      <w:r w:rsidRPr="003032D8">
        <w:rPr>
          <w:rFonts w:ascii="TitilliumText25L" w:hAnsi="TitilliumText25L"/>
        </w:rPr>
        <w:t>eriodic</w:t>
      </w:r>
      <w:r w:rsidRPr="003032D8">
        <w:rPr>
          <w:rFonts w:ascii="TitilliumText25L" w:hAnsi="TitilliumText25L"/>
          <w:spacing w:val="35"/>
        </w:rPr>
        <w:t xml:space="preserve"> </w:t>
      </w:r>
      <w:r w:rsidRPr="003032D8">
        <w:rPr>
          <w:rFonts w:ascii="TitilliumText25L" w:hAnsi="TitilliumText25L"/>
        </w:rPr>
        <w:t>audit</w:t>
      </w:r>
      <w:r w:rsidRPr="003032D8">
        <w:rPr>
          <w:rFonts w:ascii="TitilliumText25L" w:hAnsi="TitilliumText25L"/>
          <w:spacing w:val="32"/>
        </w:rPr>
        <w:t xml:space="preserve"> </w:t>
      </w:r>
      <w:r w:rsidRPr="003032D8">
        <w:rPr>
          <w:rFonts w:ascii="TitilliumText25L" w:hAnsi="TitilliumText25L"/>
        </w:rPr>
        <w:t>to</w:t>
      </w:r>
      <w:r w:rsidRPr="003032D8">
        <w:rPr>
          <w:rFonts w:ascii="TitilliumText25L" w:hAnsi="TitilliumText25L"/>
          <w:spacing w:val="36"/>
        </w:rPr>
        <w:t xml:space="preserve"> </w:t>
      </w:r>
      <w:r w:rsidRPr="003032D8">
        <w:rPr>
          <w:rFonts w:ascii="TitilliumText25L" w:hAnsi="TitilliumText25L"/>
        </w:rPr>
        <w:t>verify that</w:t>
      </w:r>
      <w:r w:rsidRPr="003032D8">
        <w:rPr>
          <w:rFonts w:ascii="TitilliumText25L" w:hAnsi="TitilliumText25L"/>
          <w:spacing w:val="33"/>
        </w:rPr>
        <w:t xml:space="preserve"> </w:t>
      </w:r>
      <w:r w:rsidRPr="003032D8">
        <w:rPr>
          <w:rFonts w:ascii="TitilliumText25L" w:hAnsi="TitilliumText25L"/>
          <w:spacing w:val="1"/>
        </w:rPr>
        <w:t>t</w:t>
      </w:r>
      <w:r w:rsidRPr="003032D8">
        <w:rPr>
          <w:rFonts w:ascii="TitilliumText25L" w:hAnsi="TitilliumText25L"/>
        </w:rPr>
        <w:t>he</w:t>
      </w:r>
      <w:r w:rsidRPr="003032D8">
        <w:rPr>
          <w:rFonts w:ascii="TitilliumText25L" w:hAnsi="TitilliumText25L"/>
          <w:spacing w:val="35"/>
        </w:rPr>
        <w:t xml:space="preserve"> </w:t>
      </w:r>
      <w:r w:rsidRPr="003032D8">
        <w:rPr>
          <w:rFonts w:ascii="TitilliumText25L" w:hAnsi="TitilliumText25L"/>
        </w:rPr>
        <w:t>principl</w:t>
      </w:r>
      <w:r w:rsidRPr="003032D8">
        <w:rPr>
          <w:rFonts w:ascii="TitilliumText25L" w:hAnsi="TitilliumText25L"/>
          <w:spacing w:val="-1"/>
        </w:rPr>
        <w:t>e</w:t>
      </w:r>
      <w:r w:rsidRPr="003032D8">
        <w:rPr>
          <w:rFonts w:ascii="TitilliumText25L" w:hAnsi="TitilliumText25L"/>
        </w:rPr>
        <w:t>s</w:t>
      </w:r>
      <w:r w:rsidRPr="003032D8">
        <w:rPr>
          <w:rFonts w:ascii="TitilliumText25L" w:hAnsi="TitilliumText25L"/>
          <w:spacing w:val="31"/>
        </w:rPr>
        <w:t xml:space="preserve"> </w:t>
      </w:r>
      <w:r w:rsidRPr="003032D8">
        <w:rPr>
          <w:rFonts w:ascii="TitilliumText25L" w:hAnsi="TitilliumText25L"/>
        </w:rPr>
        <w:t>outlined</w:t>
      </w:r>
      <w:r w:rsidRPr="003032D8">
        <w:rPr>
          <w:rFonts w:ascii="TitilliumText25L" w:hAnsi="TitilliumText25L"/>
          <w:spacing w:val="-7"/>
        </w:rPr>
        <w:t xml:space="preserve"> </w:t>
      </w:r>
      <w:r w:rsidRPr="003032D8">
        <w:rPr>
          <w:rFonts w:ascii="TitilliumText25L" w:hAnsi="TitilliumText25L"/>
        </w:rPr>
        <w:t>above are being</w:t>
      </w:r>
      <w:r w:rsidRPr="003032D8">
        <w:rPr>
          <w:rFonts w:ascii="TitilliumText25L" w:hAnsi="TitilliumText25L"/>
          <w:spacing w:val="-5"/>
        </w:rPr>
        <w:t xml:space="preserve"> </w:t>
      </w:r>
      <w:r w:rsidRPr="003032D8">
        <w:rPr>
          <w:rFonts w:ascii="TitilliumText25L" w:hAnsi="TitilliumText25L"/>
        </w:rPr>
        <w:t>adopt</w:t>
      </w:r>
      <w:r w:rsidRPr="003032D8">
        <w:rPr>
          <w:rFonts w:ascii="TitilliumText25L" w:hAnsi="TitilliumText25L"/>
          <w:spacing w:val="-1"/>
        </w:rPr>
        <w:t>e</w:t>
      </w:r>
      <w:r w:rsidRPr="003032D8">
        <w:rPr>
          <w:rFonts w:ascii="TitilliumText25L" w:hAnsi="TitilliumText25L"/>
        </w:rPr>
        <w:t>d.</w:t>
      </w:r>
      <w:r w:rsidRPr="003032D8">
        <w:rPr>
          <w:rFonts w:ascii="TitilliumText25L" w:hAnsi="TitilliumText25L"/>
          <w:spacing w:val="51"/>
        </w:rPr>
        <w:t xml:space="preserve"> </w:t>
      </w:r>
      <w:r w:rsidRPr="003032D8">
        <w:rPr>
          <w:rFonts w:ascii="TitilliumText25L" w:hAnsi="TitilliumText25L"/>
        </w:rPr>
        <w:t>It</w:t>
      </w:r>
      <w:r w:rsidRPr="003032D8">
        <w:rPr>
          <w:rFonts w:ascii="TitilliumText25L" w:hAnsi="TitilliumText25L"/>
          <w:spacing w:val="1"/>
        </w:rPr>
        <w:t xml:space="preserve"> </w:t>
      </w:r>
      <w:r w:rsidRPr="003032D8">
        <w:rPr>
          <w:rFonts w:ascii="TitilliumText25L" w:hAnsi="TitilliumText25L"/>
        </w:rPr>
        <w:t>is</w:t>
      </w:r>
      <w:r w:rsidRPr="003032D8">
        <w:rPr>
          <w:rFonts w:ascii="TitilliumText25L" w:hAnsi="TitilliumText25L"/>
          <w:spacing w:val="-1"/>
        </w:rPr>
        <w:t xml:space="preserve"> </w:t>
      </w:r>
      <w:r w:rsidRPr="003032D8">
        <w:rPr>
          <w:rFonts w:ascii="TitilliumText25L" w:hAnsi="TitilliumText25L"/>
        </w:rPr>
        <w:t>s</w:t>
      </w:r>
      <w:r w:rsidRPr="003032D8">
        <w:rPr>
          <w:rFonts w:ascii="TitilliumText25L" w:hAnsi="TitilliumText25L"/>
          <w:spacing w:val="-1"/>
        </w:rPr>
        <w:t>u</w:t>
      </w:r>
      <w:r w:rsidRPr="003032D8">
        <w:rPr>
          <w:rFonts w:ascii="TitilliumText25L" w:hAnsi="TitilliumText25L"/>
        </w:rPr>
        <w:t>g</w:t>
      </w:r>
      <w:r w:rsidRPr="003032D8">
        <w:rPr>
          <w:rFonts w:ascii="TitilliumText25L" w:hAnsi="TitilliumText25L"/>
          <w:spacing w:val="-1"/>
        </w:rPr>
        <w:t>g</w:t>
      </w:r>
      <w:r w:rsidRPr="003032D8">
        <w:rPr>
          <w:rFonts w:ascii="TitilliumText25L" w:hAnsi="TitilliumText25L"/>
        </w:rPr>
        <w:t>ested</w:t>
      </w:r>
      <w:r w:rsidRPr="003032D8">
        <w:rPr>
          <w:rFonts w:ascii="TitilliumText25L" w:hAnsi="TitilliumText25L"/>
          <w:spacing w:val="-1"/>
        </w:rPr>
        <w:t xml:space="preserve"> </w:t>
      </w:r>
      <w:r w:rsidRPr="003032D8">
        <w:rPr>
          <w:rFonts w:ascii="TitilliumText25L" w:hAnsi="TitilliumText25L"/>
        </w:rPr>
        <w:t>that</w:t>
      </w:r>
      <w:r w:rsidRPr="003032D8">
        <w:rPr>
          <w:rFonts w:ascii="TitilliumText25L" w:hAnsi="TitilliumText25L"/>
          <w:spacing w:val="-3"/>
        </w:rPr>
        <w:t xml:space="preserve"> </w:t>
      </w:r>
      <w:r w:rsidRPr="003032D8">
        <w:rPr>
          <w:rFonts w:ascii="TitilliumText25L" w:hAnsi="TitilliumText25L"/>
        </w:rPr>
        <w:t>a</w:t>
      </w:r>
      <w:r w:rsidRPr="003032D8">
        <w:rPr>
          <w:rFonts w:ascii="TitilliumText25L" w:hAnsi="TitilliumText25L"/>
          <w:spacing w:val="-2"/>
        </w:rPr>
        <w:t xml:space="preserve"> </w:t>
      </w:r>
      <w:r w:rsidRPr="003032D8">
        <w:rPr>
          <w:rFonts w:ascii="TitilliumText25L" w:hAnsi="TitilliumText25L"/>
        </w:rPr>
        <w:t>designated</w:t>
      </w:r>
      <w:r w:rsidRPr="003032D8">
        <w:rPr>
          <w:rFonts w:ascii="TitilliumText25L" w:hAnsi="TitilliumText25L"/>
          <w:spacing w:val="-11"/>
        </w:rPr>
        <w:t xml:space="preserve"> </w:t>
      </w:r>
      <w:r w:rsidRPr="003032D8">
        <w:rPr>
          <w:rFonts w:ascii="TitilliumText25L" w:hAnsi="TitilliumText25L"/>
        </w:rPr>
        <w:t>person</w:t>
      </w:r>
      <w:r w:rsidRPr="003032D8">
        <w:rPr>
          <w:rFonts w:ascii="TitilliumText25L" w:hAnsi="TitilliumText25L"/>
          <w:spacing w:val="-6"/>
        </w:rPr>
        <w:t xml:space="preserve"> </w:t>
      </w:r>
      <w:r w:rsidRPr="003032D8">
        <w:rPr>
          <w:rFonts w:ascii="TitilliumText25L" w:hAnsi="TitilliumText25L"/>
        </w:rPr>
        <w:t>is</w:t>
      </w:r>
      <w:r w:rsidRPr="003032D8">
        <w:rPr>
          <w:rFonts w:ascii="TitilliumText25L" w:hAnsi="TitilliumText25L"/>
          <w:spacing w:val="-1"/>
        </w:rPr>
        <w:t xml:space="preserve"> </w:t>
      </w:r>
      <w:r w:rsidRPr="003032D8">
        <w:rPr>
          <w:rFonts w:ascii="TitilliumText25L" w:hAnsi="TitilliumText25L"/>
        </w:rPr>
        <w:t>made</w:t>
      </w:r>
      <w:r w:rsidRPr="003032D8">
        <w:rPr>
          <w:rFonts w:ascii="TitilliumText25L" w:hAnsi="TitilliumText25L"/>
          <w:spacing w:val="-5"/>
        </w:rPr>
        <w:t xml:space="preserve"> </w:t>
      </w:r>
      <w:r w:rsidRPr="003032D8">
        <w:rPr>
          <w:rFonts w:ascii="TitilliumText25L" w:hAnsi="TitilliumText25L"/>
        </w:rPr>
        <w:t>responsible</w:t>
      </w:r>
      <w:r w:rsidRPr="003032D8">
        <w:rPr>
          <w:rFonts w:ascii="TitilliumText25L" w:hAnsi="TitilliumText25L"/>
          <w:spacing w:val="-10"/>
        </w:rPr>
        <w:t xml:space="preserve"> </w:t>
      </w:r>
      <w:r w:rsidRPr="003032D8">
        <w:rPr>
          <w:rFonts w:ascii="TitilliumText25L" w:hAnsi="TitilliumText25L"/>
        </w:rPr>
        <w:t>for</w:t>
      </w:r>
      <w:r w:rsidRPr="003032D8">
        <w:rPr>
          <w:rFonts w:ascii="TitilliumText25L" w:hAnsi="TitilliumText25L"/>
          <w:spacing w:val="-2"/>
        </w:rPr>
        <w:t xml:space="preserve"> </w:t>
      </w:r>
      <w:r w:rsidRPr="003032D8">
        <w:rPr>
          <w:rFonts w:ascii="TitilliumText25L" w:hAnsi="TitilliumText25L"/>
        </w:rPr>
        <w:t>this</w:t>
      </w:r>
      <w:r w:rsidRPr="003032D8">
        <w:rPr>
          <w:rFonts w:ascii="TitilliumText25L" w:hAnsi="TitilliumText25L"/>
          <w:spacing w:val="-4"/>
        </w:rPr>
        <w:t xml:space="preserve"> </w:t>
      </w:r>
      <w:r w:rsidRPr="003032D8">
        <w:rPr>
          <w:rFonts w:ascii="TitilliumText25L" w:hAnsi="TitilliumText25L"/>
        </w:rPr>
        <w:t>activity.</w:t>
      </w:r>
    </w:p>
    <w:p w:rsidR="00BE3BE3" w:rsidRPr="003032D8" w:rsidRDefault="00BE3BE3" w:rsidP="00BE3BE3">
      <w:pPr>
        <w:spacing w:line="240" w:lineRule="auto"/>
        <w:rPr>
          <w:rFonts w:ascii="TitilliumText25L" w:hAnsi="TitilliumText25L"/>
          <w:color w:val="000000"/>
        </w:rPr>
      </w:pPr>
      <w:r w:rsidRPr="003032D8">
        <w:rPr>
          <w:rFonts w:ascii="TitilliumText25L" w:hAnsi="TitilliumText25L"/>
        </w:rPr>
        <w:t>Pages</w:t>
      </w:r>
      <w:r w:rsidRPr="003032D8">
        <w:rPr>
          <w:rFonts w:ascii="TitilliumText25L" w:hAnsi="TitilliumText25L"/>
          <w:spacing w:val="44"/>
        </w:rPr>
        <w:t xml:space="preserve"> </w:t>
      </w:r>
      <w:r w:rsidRPr="003032D8">
        <w:rPr>
          <w:rFonts w:ascii="TitilliumText25L" w:hAnsi="TitilliumText25L"/>
        </w:rPr>
        <w:t>from</w:t>
      </w:r>
      <w:r w:rsidRPr="003032D8">
        <w:rPr>
          <w:rFonts w:ascii="TitilliumText25L" w:hAnsi="TitilliumText25L"/>
          <w:spacing w:val="51"/>
        </w:rPr>
        <w:t xml:space="preserve"> </w:t>
      </w:r>
      <w:r w:rsidRPr="003032D8">
        <w:rPr>
          <w:rFonts w:ascii="TitilliumText25L" w:hAnsi="TitilliumText25L"/>
        </w:rPr>
        <w:t>this</w:t>
      </w:r>
      <w:r w:rsidRPr="003032D8">
        <w:rPr>
          <w:rFonts w:ascii="TitilliumText25L" w:hAnsi="TitilliumText25L"/>
          <w:spacing w:val="52"/>
        </w:rPr>
        <w:t xml:space="preserve"> </w:t>
      </w:r>
      <w:r w:rsidRPr="003032D8">
        <w:rPr>
          <w:rFonts w:ascii="TitilliumText25L" w:hAnsi="TitilliumText25L"/>
        </w:rPr>
        <w:t>work</w:t>
      </w:r>
      <w:r w:rsidRPr="003032D8">
        <w:rPr>
          <w:rFonts w:ascii="TitilliumText25L" w:hAnsi="TitilliumText25L"/>
          <w:spacing w:val="-1"/>
        </w:rPr>
        <w:t>b</w:t>
      </w:r>
      <w:r w:rsidRPr="003032D8">
        <w:rPr>
          <w:rFonts w:ascii="TitilliumText25L" w:hAnsi="TitilliumText25L"/>
        </w:rPr>
        <w:t>ook</w:t>
      </w:r>
      <w:r w:rsidRPr="003032D8">
        <w:rPr>
          <w:rFonts w:ascii="TitilliumText25L" w:hAnsi="TitilliumText25L"/>
          <w:spacing w:val="51"/>
        </w:rPr>
        <w:t xml:space="preserve"> </w:t>
      </w:r>
      <w:r w:rsidRPr="003032D8">
        <w:rPr>
          <w:rFonts w:ascii="TitilliumText25L" w:hAnsi="TitilliumText25L"/>
        </w:rPr>
        <w:t>can</w:t>
      </w:r>
      <w:r w:rsidRPr="003032D8">
        <w:rPr>
          <w:rFonts w:ascii="TitilliumText25L" w:hAnsi="TitilliumText25L"/>
          <w:spacing w:val="52"/>
        </w:rPr>
        <w:t xml:space="preserve"> </w:t>
      </w:r>
      <w:r w:rsidRPr="003032D8">
        <w:rPr>
          <w:rFonts w:ascii="TitilliumText25L" w:hAnsi="TitilliumText25L"/>
        </w:rPr>
        <w:t>be</w:t>
      </w:r>
      <w:r w:rsidRPr="003032D8">
        <w:rPr>
          <w:rFonts w:ascii="TitilliumText25L" w:hAnsi="TitilliumText25L"/>
          <w:spacing w:val="51"/>
        </w:rPr>
        <w:t xml:space="preserve"> </w:t>
      </w:r>
      <w:r w:rsidRPr="003032D8">
        <w:rPr>
          <w:rFonts w:ascii="TitilliumText25L" w:hAnsi="TitilliumText25L"/>
        </w:rPr>
        <w:t>reproduced</w:t>
      </w:r>
      <w:r w:rsidRPr="003032D8">
        <w:rPr>
          <w:rFonts w:ascii="TitilliumText25L" w:hAnsi="TitilliumText25L"/>
          <w:spacing w:val="44"/>
        </w:rPr>
        <w:t xml:space="preserve"> </w:t>
      </w:r>
      <w:r w:rsidRPr="003032D8">
        <w:rPr>
          <w:rFonts w:ascii="TitilliumText25L" w:hAnsi="TitilliumText25L"/>
        </w:rPr>
        <w:t>as</w:t>
      </w:r>
      <w:r w:rsidRPr="003032D8">
        <w:rPr>
          <w:rFonts w:ascii="TitilliumText25L" w:hAnsi="TitilliumText25L"/>
          <w:spacing w:val="53"/>
        </w:rPr>
        <w:t xml:space="preserve"> </w:t>
      </w:r>
      <w:r w:rsidRPr="003032D8">
        <w:rPr>
          <w:rFonts w:ascii="TitilliumText25L" w:hAnsi="TitilliumText25L"/>
        </w:rPr>
        <w:t>requi</w:t>
      </w:r>
      <w:r w:rsidRPr="003032D8">
        <w:rPr>
          <w:rFonts w:ascii="TitilliumText25L" w:hAnsi="TitilliumText25L"/>
          <w:spacing w:val="-1"/>
        </w:rPr>
        <w:t>r</w:t>
      </w:r>
      <w:r w:rsidRPr="003032D8">
        <w:rPr>
          <w:rFonts w:ascii="TitilliumText25L" w:hAnsi="TitilliumText25L"/>
        </w:rPr>
        <w:t>ed</w:t>
      </w:r>
      <w:r w:rsidRPr="003032D8">
        <w:rPr>
          <w:rFonts w:ascii="TitilliumText25L" w:hAnsi="TitilliumText25L"/>
          <w:spacing w:val="51"/>
        </w:rPr>
        <w:t xml:space="preserve"> </w:t>
      </w:r>
      <w:r w:rsidRPr="003032D8">
        <w:rPr>
          <w:rFonts w:ascii="TitilliumText25L" w:hAnsi="TitilliumText25L"/>
        </w:rPr>
        <w:t>by</w:t>
      </w:r>
      <w:r w:rsidRPr="003032D8">
        <w:rPr>
          <w:rFonts w:ascii="TitilliumText25L" w:hAnsi="TitilliumText25L"/>
          <w:spacing w:val="53"/>
        </w:rPr>
        <w:t xml:space="preserve"> </w:t>
      </w:r>
      <w:r w:rsidRPr="003032D8">
        <w:rPr>
          <w:rFonts w:ascii="TitilliumText25L" w:hAnsi="TitilliumText25L"/>
        </w:rPr>
        <w:t>the</w:t>
      </w:r>
      <w:r w:rsidRPr="003032D8">
        <w:rPr>
          <w:rFonts w:ascii="TitilliumText25L" w:hAnsi="TitilliumText25L"/>
          <w:spacing w:val="53"/>
        </w:rPr>
        <w:t xml:space="preserve"> </w:t>
      </w:r>
      <w:r w:rsidRPr="003032D8">
        <w:rPr>
          <w:rFonts w:ascii="TitilliumText25L" w:hAnsi="TitilliumText25L"/>
        </w:rPr>
        <w:t>learner/trai</w:t>
      </w:r>
      <w:r w:rsidRPr="003032D8">
        <w:rPr>
          <w:rFonts w:ascii="TitilliumText25L" w:hAnsi="TitilliumText25L"/>
          <w:spacing w:val="-1"/>
        </w:rPr>
        <w:t>n</w:t>
      </w:r>
      <w:r w:rsidRPr="003032D8">
        <w:rPr>
          <w:rFonts w:ascii="TitilliumText25L" w:hAnsi="TitilliumText25L"/>
        </w:rPr>
        <w:t>er/supervisor</w:t>
      </w:r>
      <w:r w:rsidRPr="003032D8">
        <w:rPr>
          <w:rFonts w:ascii="TitilliumText25L" w:hAnsi="TitilliumText25L"/>
          <w:spacing w:val="46"/>
        </w:rPr>
        <w:t xml:space="preserve"> </w:t>
      </w:r>
      <w:r w:rsidRPr="003032D8">
        <w:rPr>
          <w:rFonts w:ascii="TitilliumText25L" w:hAnsi="TitilliumText25L"/>
        </w:rPr>
        <w:t>and</w:t>
      </w:r>
      <w:r w:rsidRPr="003032D8">
        <w:rPr>
          <w:rFonts w:ascii="TitilliumText25L" w:hAnsi="TitilliumText25L"/>
          <w:spacing w:val="52"/>
        </w:rPr>
        <w:t xml:space="preserve"> </w:t>
      </w:r>
      <w:r w:rsidRPr="003032D8">
        <w:rPr>
          <w:rFonts w:ascii="TitilliumText25L" w:hAnsi="TitilliumText25L"/>
        </w:rPr>
        <w:t>are</w:t>
      </w:r>
      <w:r w:rsidRPr="003032D8">
        <w:rPr>
          <w:rFonts w:ascii="TitilliumText25L" w:hAnsi="TitilliumText25L"/>
          <w:spacing w:val="-3"/>
        </w:rPr>
        <w:t xml:space="preserve"> </w:t>
      </w:r>
      <w:r w:rsidRPr="003032D8">
        <w:rPr>
          <w:rFonts w:ascii="TitilliumText25L" w:hAnsi="TitilliumText25L"/>
        </w:rPr>
        <w:t>available on</w:t>
      </w:r>
      <w:r w:rsidRPr="003032D8">
        <w:rPr>
          <w:rFonts w:ascii="TitilliumText25L" w:hAnsi="TitilliumText25L"/>
          <w:spacing w:val="-2"/>
        </w:rPr>
        <w:t xml:space="preserve"> </w:t>
      </w:r>
      <w:r w:rsidRPr="003032D8">
        <w:rPr>
          <w:rFonts w:ascii="TitilliumText25L" w:hAnsi="TitilliumText25L"/>
        </w:rPr>
        <w:t>the</w:t>
      </w:r>
      <w:r w:rsidRPr="003032D8">
        <w:rPr>
          <w:rFonts w:ascii="TitilliumText25L" w:hAnsi="TitilliumText25L"/>
          <w:color w:val="7A397C"/>
          <w:spacing w:val="-2"/>
        </w:rPr>
        <w:t xml:space="preserve"> </w:t>
      </w:r>
      <w:hyperlink r:id="rId18" w:history="1">
        <w:r w:rsidRPr="003032D8">
          <w:rPr>
            <w:rFonts w:ascii="TitilliumText25L" w:hAnsi="TitilliumText25L"/>
            <w:color w:val="0000FF"/>
            <w:spacing w:val="-2"/>
            <w:u w:val="single"/>
          </w:rPr>
          <w:t>NBA website</w:t>
        </w:r>
      </w:hyperlink>
      <w:r w:rsidRPr="003032D8">
        <w:rPr>
          <w:rFonts w:ascii="TitilliumText25L" w:hAnsi="TitilliumText25L"/>
          <w:color w:val="7A397C"/>
          <w:spacing w:val="-2"/>
        </w:rPr>
        <w:t>.</w:t>
      </w:r>
    </w:p>
    <w:p w:rsidR="00BE3BE3" w:rsidRPr="003032D8" w:rsidRDefault="00BE3BE3" w:rsidP="00BE3BE3">
      <w:pPr>
        <w:spacing w:line="240" w:lineRule="auto"/>
        <w:rPr>
          <w:rFonts w:ascii="TitilliumText25L" w:hAnsi="TitilliumText25L"/>
        </w:rPr>
        <w:sectPr w:rsidR="00BE3BE3" w:rsidRPr="003032D8" w:rsidSect="00085E9D">
          <w:headerReference w:type="even" r:id="rId19"/>
          <w:headerReference w:type="default" r:id="rId20"/>
          <w:footerReference w:type="default" r:id="rId21"/>
          <w:headerReference w:type="first" r:id="rId22"/>
          <w:pgSz w:w="11900" w:h="16840"/>
          <w:pgMar w:top="920" w:right="985" w:bottom="1300" w:left="993" w:header="720" w:footer="720" w:gutter="0"/>
          <w:pgNumType w:start="1"/>
          <w:cols w:space="720"/>
          <w:noEndnote/>
          <w:titlePg/>
          <w:docGrid w:linePitch="299"/>
        </w:sectPr>
      </w:pPr>
      <w:r w:rsidRPr="003032D8">
        <w:rPr>
          <w:rFonts w:ascii="TitilliumText25L" w:hAnsi="TitilliumText25L"/>
        </w:rPr>
        <w:t>We</w:t>
      </w:r>
      <w:r w:rsidRPr="003032D8">
        <w:rPr>
          <w:rFonts w:ascii="TitilliumText25L" w:hAnsi="TitilliumText25L"/>
          <w:spacing w:val="-9"/>
        </w:rPr>
        <w:t xml:space="preserve"> </w:t>
      </w:r>
      <w:r w:rsidRPr="003032D8">
        <w:rPr>
          <w:rFonts w:ascii="TitilliumText25L" w:hAnsi="TitilliumText25L"/>
        </w:rPr>
        <w:t>would</w:t>
      </w:r>
      <w:r w:rsidRPr="003032D8">
        <w:rPr>
          <w:rFonts w:ascii="TitilliumText25L" w:hAnsi="TitilliumText25L"/>
          <w:spacing w:val="-5"/>
        </w:rPr>
        <w:t xml:space="preserve"> </w:t>
      </w:r>
      <w:r w:rsidRPr="003032D8">
        <w:rPr>
          <w:rFonts w:ascii="TitilliumText25L" w:hAnsi="TitilliumText25L"/>
        </w:rPr>
        <w:t>welcome</w:t>
      </w:r>
      <w:r w:rsidRPr="003032D8">
        <w:rPr>
          <w:rFonts w:ascii="TitilliumText25L" w:hAnsi="TitilliumText25L"/>
          <w:spacing w:val="-8"/>
        </w:rPr>
        <w:t xml:space="preserve"> </w:t>
      </w:r>
      <w:r w:rsidRPr="003032D8">
        <w:rPr>
          <w:rFonts w:ascii="TitilliumText25L" w:hAnsi="TitilliumText25L"/>
        </w:rPr>
        <w:t>feedback</w:t>
      </w:r>
      <w:r w:rsidRPr="003032D8">
        <w:rPr>
          <w:rFonts w:ascii="TitilliumText25L" w:hAnsi="TitilliumText25L"/>
          <w:spacing w:val="-8"/>
        </w:rPr>
        <w:t xml:space="preserve"> </w:t>
      </w:r>
      <w:r w:rsidRPr="003032D8">
        <w:rPr>
          <w:rFonts w:ascii="TitilliumText25L" w:hAnsi="TitilliumText25L"/>
        </w:rPr>
        <w:t>on</w:t>
      </w:r>
      <w:r w:rsidRPr="003032D8">
        <w:rPr>
          <w:rFonts w:ascii="TitilliumText25L" w:hAnsi="TitilliumText25L"/>
          <w:spacing w:val="-2"/>
        </w:rPr>
        <w:t xml:space="preserve"> </w:t>
      </w:r>
      <w:r w:rsidRPr="003032D8">
        <w:rPr>
          <w:rFonts w:ascii="TitilliumText25L" w:hAnsi="TitilliumText25L"/>
        </w:rPr>
        <w:t>the</w:t>
      </w:r>
      <w:r w:rsidRPr="003032D8">
        <w:rPr>
          <w:rFonts w:ascii="TitilliumText25L" w:hAnsi="TitilliumText25L"/>
          <w:spacing w:val="-4"/>
        </w:rPr>
        <w:t xml:space="preserve"> </w:t>
      </w:r>
      <w:r w:rsidRPr="003032D8">
        <w:rPr>
          <w:rFonts w:ascii="TitilliumText25L" w:hAnsi="TitilliumText25L"/>
        </w:rPr>
        <w:t>content</w:t>
      </w:r>
      <w:r w:rsidRPr="003032D8">
        <w:rPr>
          <w:rFonts w:ascii="TitilliumText25L" w:hAnsi="TitilliumText25L"/>
          <w:spacing w:val="-7"/>
        </w:rPr>
        <w:t xml:space="preserve"> </w:t>
      </w:r>
      <w:r w:rsidRPr="003032D8">
        <w:rPr>
          <w:rFonts w:ascii="TitilliumText25L" w:hAnsi="TitilliumText25L"/>
        </w:rPr>
        <w:t>of</w:t>
      </w:r>
      <w:r w:rsidRPr="003032D8">
        <w:rPr>
          <w:rFonts w:ascii="TitilliumText25L" w:hAnsi="TitilliumText25L"/>
          <w:spacing w:val="-2"/>
        </w:rPr>
        <w:t xml:space="preserve"> </w:t>
      </w:r>
      <w:r w:rsidRPr="003032D8">
        <w:rPr>
          <w:rFonts w:ascii="TitilliumText25L" w:hAnsi="TitilliumText25L"/>
        </w:rPr>
        <w:t>t</w:t>
      </w:r>
      <w:r w:rsidRPr="003032D8">
        <w:rPr>
          <w:rFonts w:ascii="TitilliumText25L" w:hAnsi="TitilliumText25L"/>
          <w:spacing w:val="-1"/>
        </w:rPr>
        <w:t>h</w:t>
      </w:r>
      <w:r w:rsidRPr="003032D8">
        <w:rPr>
          <w:rFonts w:ascii="TitilliumText25L" w:hAnsi="TitilliumText25L"/>
        </w:rPr>
        <w:t>is</w:t>
      </w:r>
      <w:r w:rsidRPr="003032D8">
        <w:rPr>
          <w:rFonts w:ascii="TitilliumText25L" w:hAnsi="TitilliumText25L"/>
          <w:spacing w:val="-1"/>
        </w:rPr>
        <w:t xml:space="preserve"> </w:t>
      </w:r>
      <w:r w:rsidRPr="003032D8">
        <w:rPr>
          <w:rFonts w:ascii="TitilliumText25L" w:hAnsi="TitilliumText25L"/>
        </w:rPr>
        <w:t xml:space="preserve">workbook. </w:t>
      </w:r>
    </w:p>
    <w:p w:rsidR="00BE3BE3" w:rsidRPr="003032D8" w:rsidRDefault="00BE3BE3" w:rsidP="00BE3BE3">
      <w:pPr>
        <w:spacing w:before="360" w:after="120" w:line="240" w:lineRule="auto"/>
        <w:jc w:val="center"/>
        <w:outlineLvl w:val="1"/>
        <w:rPr>
          <w:rFonts w:ascii="TitilliumText25L" w:hAnsi="TitilliumText25L" w:cs="Arial"/>
          <w:color w:val="000000"/>
          <w:sz w:val="36"/>
          <w:szCs w:val="36"/>
          <w:u w:val="single"/>
        </w:rPr>
      </w:pPr>
      <w:bookmarkStart w:id="48" w:name="_Toc355270941"/>
      <w:bookmarkStart w:id="49" w:name="_Toc366850086"/>
      <w:r w:rsidRPr="003032D8">
        <w:rPr>
          <w:rFonts w:ascii="TitilliumText25L" w:hAnsi="TitilliumText25L" w:cs="Arial"/>
          <w:sz w:val="36"/>
          <w:szCs w:val="36"/>
          <w:u w:val="single"/>
        </w:rPr>
        <w:lastRenderedPageBreak/>
        <w:t>Record of</w:t>
      </w:r>
      <w:r w:rsidRPr="003032D8">
        <w:rPr>
          <w:rFonts w:ascii="TitilliumText25L" w:hAnsi="TitilliumText25L" w:cs="Arial"/>
          <w:spacing w:val="-12"/>
          <w:sz w:val="36"/>
          <w:szCs w:val="36"/>
          <w:u w:val="single"/>
        </w:rPr>
        <w:t xml:space="preserve"> </w:t>
      </w:r>
      <w:r w:rsidRPr="003032D8">
        <w:rPr>
          <w:rFonts w:ascii="TitilliumText25L" w:hAnsi="TitilliumText25L" w:cs="Arial"/>
          <w:sz w:val="36"/>
          <w:szCs w:val="36"/>
          <w:u w:val="single"/>
        </w:rPr>
        <w:t>Assessors</w:t>
      </w:r>
      <w:r w:rsidRPr="003032D8">
        <w:rPr>
          <w:rFonts w:ascii="TitilliumText25L" w:hAnsi="TitilliumText25L" w:cs="Arial"/>
          <w:spacing w:val="-1"/>
          <w:sz w:val="36"/>
          <w:szCs w:val="36"/>
          <w:u w:val="single"/>
        </w:rPr>
        <w:t xml:space="preserve"> </w:t>
      </w:r>
      <w:r w:rsidRPr="003032D8">
        <w:rPr>
          <w:rFonts w:ascii="TitilliumText25L" w:hAnsi="TitilliumText25L" w:cs="Arial"/>
          <w:sz w:val="36"/>
          <w:szCs w:val="36"/>
          <w:u w:val="single"/>
        </w:rPr>
        <w:t>I</w:t>
      </w:r>
      <w:r w:rsidRPr="003032D8">
        <w:rPr>
          <w:rFonts w:ascii="TitilliumText25L" w:hAnsi="TitilliumText25L" w:cs="Arial"/>
          <w:spacing w:val="1"/>
          <w:sz w:val="36"/>
          <w:szCs w:val="36"/>
          <w:u w:val="single"/>
        </w:rPr>
        <w:t>n</w:t>
      </w:r>
      <w:r w:rsidRPr="003032D8">
        <w:rPr>
          <w:rFonts w:ascii="TitilliumText25L" w:hAnsi="TitilliumText25L" w:cs="Arial"/>
          <w:sz w:val="36"/>
          <w:szCs w:val="36"/>
          <w:u w:val="single"/>
        </w:rPr>
        <w:t>itials</w:t>
      </w:r>
      <w:bookmarkEnd w:id="48"/>
      <w:bookmarkEnd w:id="49"/>
    </w:p>
    <w:p w:rsidR="00BE3BE3" w:rsidRPr="003032D8" w:rsidRDefault="00BE3BE3" w:rsidP="00BE3BE3">
      <w:pPr>
        <w:spacing w:line="240" w:lineRule="auto"/>
        <w:rPr>
          <w:rFonts w:ascii="TitilliumText25L" w:hAnsi="TitilliumText25L"/>
          <w:b/>
          <w:color w:val="000000"/>
          <w:sz w:val="28"/>
          <w:szCs w:val="28"/>
        </w:rPr>
      </w:pPr>
      <w:r w:rsidRPr="003032D8">
        <w:rPr>
          <w:rFonts w:ascii="TitilliumText25L" w:hAnsi="TitilliumText25L"/>
          <w:b/>
          <w:sz w:val="28"/>
          <w:szCs w:val="28"/>
        </w:rPr>
        <w:t>All</w:t>
      </w:r>
      <w:r w:rsidRPr="003032D8">
        <w:rPr>
          <w:rFonts w:ascii="TitilliumText25L" w:hAnsi="TitilliumText25L"/>
          <w:b/>
          <w:spacing w:val="-10"/>
          <w:sz w:val="28"/>
          <w:szCs w:val="28"/>
        </w:rPr>
        <w:t xml:space="preserve"> </w:t>
      </w:r>
      <w:r w:rsidRPr="003032D8">
        <w:rPr>
          <w:rFonts w:ascii="TitilliumText25L" w:hAnsi="TitilliumText25L"/>
          <w:b/>
          <w:sz w:val="28"/>
          <w:szCs w:val="28"/>
        </w:rPr>
        <w:t>assessors should</w:t>
      </w:r>
      <w:r w:rsidRPr="003032D8">
        <w:rPr>
          <w:rFonts w:ascii="TitilliumText25L" w:hAnsi="TitilliumText25L"/>
          <w:b/>
          <w:spacing w:val="1"/>
          <w:sz w:val="28"/>
          <w:szCs w:val="28"/>
        </w:rPr>
        <w:t xml:space="preserve"> </w:t>
      </w:r>
      <w:r w:rsidRPr="003032D8">
        <w:rPr>
          <w:rFonts w:ascii="TitilliumText25L" w:hAnsi="TitilliumText25L"/>
          <w:b/>
          <w:sz w:val="28"/>
          <w:szCs w:val="28"/>
        </w:rPr>
        <w:t>record</w:t>
      </w:r>
      <w:r w:rsidRPr="003032D8">
        <w:rPr>
          <w:rFonts w:ascii="TitilliumText25L" w:hAnsi="TitilliumText25L"/>
          <w:b/>
          <w:spacing w:val="1"/>
          <w:sz w:val="28"/>
          <w:szCs w:val="28"/>
        </w:rPr>
        <w:t xml:space="preserve"> </w:t>
      </w:r>
      <w:r w:rsidRPr="003032D8">
        <w:rPr>
          <w:rFonts w:ascii="TitilliumText25L" w:hAnsi="TitilliumText25L"/>
          <w:b/>
          <w:sz w:val="28"/>
          <w:szCs w:val="28"/>
        </w:rPr>
        <w:t>t</w:t>
      </w:r>
      <w:r w:rsidRPr="003032D8">
        <w:rPr>
          <w:rFonts w:ascii="TitilliumText25L" w:hAnsi="TitilliumText25L"/>
          <w:b/>
          <w:spacing w:val="-4"/>
          <w:sz w:val="28"/>
          <w:szCs w:val="28"/>
        </w:rPr>
        <w:t>h</w:t>
      </w:r>
      <w:r w:rsidRPr="003032D8">
        <w:rPr>
          <w:rFonts w:ascii="TitilliumText25L" w:hAnsi="TitilliumText25L"/>
          <w:b/>
          <w:sz w:val="28"/>
          <w:szCs w:val="28"/>
        </w:rPr>
        <w:t>eir details</w:t>
      </w:r>
      <w:r w:rsidRPr="003032D8">
        <w:rPr>
          <w:rFonts w:ascii="TitilliumText25L" w:hAnsi="TitilliumText25L"/>
          <w:b/>
          <w:spacing w:val="-1"/>
          <w:sz w:val="28"/>
          <w:szCs w:val="28"/>
        </w:rPr>
        <w:t xml:space="preserve"> </w:t>
      </w:r>
      <w:r w:rsidRPr="003032D8">
        <w:rPr>
          <w:rFonts w:ascii="TitilliumText25L" w:hAnsi="TitilliumText25L"/>
          <w:b/>
          <w:sz w:val="28"/>
          <w:szCs w:val="28"/>
        </w:rPr>
        <w:t>on this sheet.</w:t>
      </w:r>
    </w:p>
    <w:tbl>
      <w:tblPr>
        <w:tblW w:w="0" w:type="auto"/>
        <w:tblInd w:w="114" w:type="dxa"/>
        <w:tblLayout w:type="fixed"/>
        <w:tblCellMar>
          <w:left w:w="0" w:type="dxa"/>
          <w:right w:w="0" w:type="dxa"/>
        </w:tblCellMar>
        <w:tblLook w:val="0000" w:firstRow="0" w:lastRow="0" w:firstColumn="0" w:lastColumn="0" w:noHBand="0" w:noVBand="0"/>
      </w:tblPr>
      <w:tblGrid>
        <w:gridCol w:w="446"/>
        <w:gridCol w:w="1320"/>
        <w:gridCol w:w="3000"/>
        <w:gridCol w:w="2467"/>
        <w:gridCol w:w="2693"/>
        <w:gridCol w:w="2400"/>
        <w:gridCol w:w="1522"/>
      </w:tblGrid>
      <w:tr w:rsidR="00BE3BE3" w:rsidRPr="003032D8" w:rsidTr="00D65937">
        <w:trPr>
          <w:trHeight w:hRule="exact" w:val="851"/>
        </w:trPr>
        <w:tc>
          <w:tcPr>
            <w:tcW w:w="446"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132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Ini</w:t>
            </w:r>
            <w:r w:rsidRPr="003032D8">
              <w:rPr>
                <w:rFonts w:ascii="TitilliumText25L" w:hAnsi="TitilliumText25L"/>
                <w:b/>
                <w:spacing w:val="-1"/>
                <w:sz w:val="24"/>
                <w:szCs w:val="24"/>
              </w:rPr>
              <w:t>t</w:t>
            </w:r>
            <w:r w:rsidRPr="003032D8">
              <w:rPr>
                <w:rFonts w:ascii="TitilliumText25L" w:hAnsi="TitilliumText25L"/>
                <w:b/>
                <w:sz w:val="24"/>
                <w:szCs w:val="24"/>
              </w:rPr>
              <w:t>ials</w:t>
            </w:r>
          </w:p>
        </w:tc>
        <w:tc>
          <w:tcPr>
            <w:tcW w:w="30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color w:val="000000"/>
                <w:sz w:val="24"/>
                <w:szCs w:val="24"/>
              </w:rPr>
            </w:pPr>
            <w:r w:rsidRPr="003032D8">
              <w:rPr>
                <w:rFonts w:ascii="TitilliumText25L" w:hAnsi="TitilliumText25L"/>
                <w:b/>
                <w:sz w:val="24"/>
                <w:szCs w:val="24"/>
              </w:rPr>
              <w:t>Full</w:t>
            </w:r>
            <w:r w:rsidRPr="003032D8">
              <w:rPr>
                <w:rFonts w:ascii="TitilliumText25L" w:hAnsi="TitilliumText25L"/>
                <w:b/>
                <w:spacing w:val="-10"/>
                <w:sz w:val="24"/>
                <w:szCs w:val="24"/>
              </w:rPr>
              <w:t xml:space="preserve"> </w:t>
            </w:r>
            <w:r w:rsidRPr="003032D8">
              <w:rPr>
                <w:rFonts w:ascii="TitilliumText25L" w:hAnsi="TitilliumText25L"/>
                <w:b/>
                <w:sz w:val="24"/>
                <w:szCs w:val="24"/>
              </w:rPr>
              <w:t>Name</w:t>
            </w:r>
          </w:p>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(PRINT)</w:t>
            </w:r>
          </w:p>
        </w:tc>
        <w:tc>
          <w:tcPr>
            <w:tcW w:w="2467"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Job</w:t>
            </w:r>
            <w:r w:rsidRPr="003032D8">
              <w:rPr>
                <w:rFonts w:ascii="TitilliumText25L" w:hAnsi="TitilliumText25L"/>
                <w:b/>
                <w:spacing w:val="-10"/>
                <w:sz w:val="24"/>
                <w:szCs w:val="24"/>
              </w:rPr>
              <w:t xml:space="preserve"> </w:t>
            </w:r>
            <w:r w:rsidRPr="003032D8">
              <w:rPr>
                <w:rFonts w:ascii="TitilliumText25L" w:hAnsi="TitilliumText25L"/>
                <w:b/>
                <w:sz w:val="24"/>
                <w:szCs w:val="24"/>
              </w:rPr>
              <w:t>title</w:t>
            </w:r>
          </w:p>
        </w:tc>
        <w:tc>
          <w:tcPr>
            <w:tcW w:w="2693"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Signature</w:t>
            </w:r>
          </w:p>
        </w:tc>
        <w:tc>
          <w:tcPr>
            <w:tcW w:w="24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e-mail</w:t>
            </w:r>
            <w:r w:rsidRPr="003032D8">
              <w:rPr>
                <w:rFonts w:ascii="TitilliumText25L" w:hAnsi="TitilliumText25L"/>
                <w:b/>
                <w:spacing w:val="-10"/>
                <w:sz w:val="24"/>
                <w:szCs w:val="24"/>
              </w:rPr>
              <w:t xml:space="preserve"> </w:t>
            </w:r>
            <w:r w:rsidRPr="003032D8">
              <w:rPr>
                <w:rFonts w:ascii="TitilliumText25L" w:hAnsi="TitilliumText25L"/>
                <w:b/>
                <w:sz w:val="24"/>
                <w:szCs w:val="24"/>
              </w:rPr>
              <w:t>address</w:t>
            </w:r>
          </w:p>
        </w:tc>
        <w:tc>
          <w:tcPr>
            <w:tcW w:w="1522"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Telephone number</w:t>
            </w:r>
          </w:p>
        </w:tc>
      </w:tr>
      <w:tr w:rsidR="00BE3BE3" w:rsidRPr="003032D8" w:rsidTr="00D65937">
        <w:trPr>
          <w:trHeight w:hRule="exact" w:val="848"/>
        </w:trPr>
        <w:tc>
          <w:tcPr>
            <w:tcW w:w="446"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1</w:t>
            </w:r>
          </w:p>
        </w:tc>
        <w:tc>
          <w:tcPr>
            <w:tcW w:w="132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r>
      <w:tr w:rsidR="00BE3BE3" w:rsidRPr="003032D8" w:rsidTr="00D65937">
        <w:trPr>
          <w:trHeight w:hRule="exact" w:val="842"/>
        </w:trPr>
        <w:tc>
          <w:tcPr>
            <w:tcW w:w="446"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2</w:t>
            </w:r>
          </w:p>
        </w:tc>
        <w:tc>
          <w:tcPr>
            <w:tcW w:w="132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r>
      <w:tr w:rsidR="00BE3BE3" w:rsidRPr="003032D8" w:rsidTr="00D65937">
        <w:trPr>
          <w:trHeight w:hRule="exact" w:val="848"/>
        </w:trPr>
        <w:tc>
          <w:tcPr>
            <w:tcW w:w="446"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3</w:t>
            </w:r>
          </w:p>
        </w:tc>
        <w:tc>
          <w:tcPr>
            <w:tcW w:w="132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r>
      <w:tr w:rsidR="00BE3BE3" w:rsidRPr="003032D8" w:rsidTr="00D65937">
        <w:trPr>
          <w:trHeight w:hRule="exact" w:val="847"/>
        </w:trPr>
        <w:tc>
          <w:tcPr>
            <w:tcW w:w="446"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4</w:t>
            </w:r>
          </w:p>
        </w:tc>
        <w:tc>
          <w:tcPr>
            <w:tcW w:w="132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r>
      <w:tr w:rsidR="00BE3BE3" w:rsidRPr="003032D8" w:rsidTr="00D65937">
        <w:trPr>
          <w:trHeight w:hRule="exact" w:val="848"/>
        </w:trPr>
        <w:tc>
          <w:tcPr>
            <w:tcW w:w="446"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5</w:t>
            </w:r>
          </w:p>
        </w:tc>
        <w:tc>
          <w:tcPr>
            <w:tcW w:w="132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r>
      <w:tr w:rsidR="00BE3BE3" w:rsidRPr="003032D8" w:rsidTr="00D65937">
        <w:trPr>
          <w:trHeight w:hRule="exact" w:val="848"/>
        </w:trPr>
        <w:tc>
          <w:tcPr>
            <w:tcW w:w="446"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6</w:t>
            </w:r>
          </w:p>
        </w:tc>
        <w:tc>
          <w:tcPr>
            <w:tcW w:w="132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r>
      <w:tr w:rsidR="00BE3BE3" w:rsidRPr="003032D8" w:rsidTr="00D65937">
        <w:trPr>
          <w:trHeight w:hRule="exact" w:val="850"/>
        </w:trPr>
        <w:tc>
          <w:tcPr>
            <w:tcW w:w="446"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7</w:t>
            </w:r>
          </w:p>
        </w:tc>
        <w:tc>
          <w:tcPr>
            <w:tcW w:w="132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BE3BE3" w:rsidRPr="003032D8" w:rsidRDefault="00BE3BE3" w:rsidP="00D65937">
            <w:pPr>
              <w:spacing w:line="240" w:lineRule="auto"/>
              <w:jc w:val="center"/>
              <w:rPr>
                <w:rFonts w:ascii="TitilliumText25L" w:hAnsi="TitilliumText25L"/>
                <w:b/>
                <w:sz w:val="24"/>
                <w:szCs w:val="24"/>
              </w:rPr>
            </w:pPr>
          </w:p>
        </w:tc>
      </w:tr>
    </w:tbl>
    <w:p w:rsidR="00BE3BE3" w:rsidRPr="003032D8" w:rsidRDefault="00BE3BE3" w:rsidP="00BE3BE3">
      <w:pPr>
        <w:rPr>
          <w:rFonts w:ascii="TitilliumText25L" w:hAnsi="TitilliumText25L"/>
          <w:sz w:val="20"/>
          <w:szCs w:val="20"/>
        </w:rPr>
      </w:pPr>
      <w:r w:rsidRPr="003032D8">
        <w:rPr>
          <w:rFonts w:ascii="TitilliumText25L" w:hAnsi="TitilliumText25L"/>
          <w:sz w:val="20"/>
          <w:szCs w:val="20"/>
        </w:rPr>
        <w:br w:type="page"/>
      </w:r>
    </w:p>
    <w:p w:rsidR="00BE3BE3" w:rsidRPr="003032D8" w:rsidRDefault="00BE3BE3" w:rsidP="00BE3BE3">
      <w:pPr>
        <w:spacing w:before="360" w:after="360" w:line="240" w:lineRule="auto"/>
        <w:jc w:val="center"/>
        <w:outlineLvl w:val="1"/>
        <w:rPr>
          <w:rFonts w:ascii="TitilliumText25L" w:hAnsi="TitilliumText25L" w:cs="Arial"/>
          <w:color w:val="000000"/>
          <w:sz w:val="36"/>
          <w:szCs w:val="36"/>
          <w:u w:val="single"/>
        </w:rPr>
      </w:pPr>
      <w:bookmarkStart w:id="50" w:name="_Toc355270942"/>
      <w:bookmarkStart w:id="51" w:name="_Toc366850087"/>
      <w:r w:rsidRPr="003032D8">
        <w:rPr>
          <w:rFonts w:ascii="TitilliumText25L" w:hAnsi="TitilliumText25L" w:cs="Arial"/>
          <w:sz w:val="36"/>
          <w:szCs w:val="36"/>
          <w:u w:val="single"/>
        </w:rPr>
        <w:t>Confirmation of Required Pre-assessment</w:t>
      </w:r>
      <w:r w:rsidRPr="003032D8">
        <w:rPr>
          <w:rFonts w:ascii="TitilliumText25L" w:hAnsi="TitilliumText25L" w:cs="Arial"/>
          <w:spacing w:val="-1"/>
          <w:sz w:val="36"/>
          <w:szCs w:val="36"/>
          <w:u w:val="single"/>
        </w:rPr>
        <w:t xml:space="preserve"> </w:t>
      </w:r>
      <w:r w:rsidRPr="003032D8">
        <w:rPr>
          <w:rFonts w:ascii="TitilliumText25L" w:hAnsi="TitilliumText25L" w:cs="Arial"/>
          <w:spacing w:val="-18"/>
          <w:sz w:val="36"/>
          <w:szCs w:val="36"/>
          <w:u w:val="single"/>
        </w:rPr>
        <w:t>T</w:t>
      </w:r>
      <w:r w:rsidRPr="003032D8">
        <w:rPr>
          <w:rFonts w:ascii="TitilliumText25L" w:hAnsi="TitilliumText25L" w:cs="Arial"/>
          <w:sz w:val="36"/>
          <w:szCs w:val="36"/>
          <w:u w:val="single"/>
        </w:rPr>
        <w:t>raining</w:t>
      </w:r>
      <w:bookmarkEnd w:id="50"/>
      <w:bookmarkEnd w:id="51"/>
    </w:p>
    <w:p w:rsidR="00BE3BE3" w:rsidRPr="003032D8" w:rsidRDefault="00BE3BE3" w:rsidP="00BE3BE3">
      <w:pPr>
        <w:spacing w:line="240" w:lineRule="auto"/>
        <w:rPr>
          <w:rFonts w:ascii="TitilliumText25L" w:hAnsi="TitilliumText25L"/>
          <w:b/>
          <w:color w:val="000000"/>
          <w:sz w:val="28"/>
          <w:szCs w:val="28"/>
        </w:rPr>
      </w:pPr>
      <w:r w:rsidRPr="003032D8">
        <w:rPr>
          <w:rFonts w:ascii="TitilliumText25L" w:hAnsi="TitilliumText25L"/>
          <w:b/>
          <w:sz w:val="28"/>
          <w:szCs w:val="28"/>
        </w:rPr>
        <w:t>This</w:t>
      </w:r>
      <w:r w:rsidRPr="003032D8">
        <w:rPr>
          <w:rFonts w:ascii="TitilliumText25L" w:hAnsi="TitilliumText25L"/>
          <w:b/>
          <w:spacing w:val="-10"/>
          <w:sz w:val="28"/>
          <w:szCs w:val="28"/>
        </w:rPr>
        <w:t xml:space="preserve"> </w:t>
      </w:r>
      <w:r w:rsidRPr="003032D8">
        <w:rPr>
          <w:rFonts w:ascii="TitilliumText25L" w:hAnsi="TitilliumText25L"/>
          <w:b/>
          <w:sz w:val="28"/>
          <w:szCs w:val="28"/>
        </w:rPr>
        <w:t>page</w:t>
      </w:r>
      <w:r w:rsidRPr="003032D8">
        <w:rPr>
          <w:rFonts w:ascii="TitilliumText25L" w:hAnsi="TitilliumText25L"/>
          <w:b/>
          <w:spacing w:val="1"/>
          <w:sz w:val="28"/>
          <w:szCs w:val="28"/>
        </w:rPr>
        <w:t xml:space="preserve"> </w:t>
      </w:r>
      <w:r w:rsidRPr="003032D8">
        <w:rPr>
          <w:rFonts w:ascii="TitilliumText25L" w:hAnsi="TitilliumText25L"/>
          <w:b/>
          <w:sz w:val="28"/>
          <w:szCs w:val="28"/>
          <w:u w:val="thick"/>
        </w:rPr>
        <w:t>must</w:t>
      </w:r>
      <w:r w:rsidRPr="003032D8">
        <w:rPr>
          <w:rFonts w:ascii="TitilliumText25L" w:hAnsi="TitilliumText25L"/>
          <w:b/>
          <w:sz w:val="28"/>
          <w:szCs w:val="28"/>
        </w:rPr>
        <w:t xml:space="preserve"> be completed prior to compete</w:t>
      </w:r>
      <w:r w:rsidRPr="003032D8">
        <w:rPr>
          <w:rFonts w:ascii="TitilliumText25L" w:hAnsi="TitilliumText25L"/>
          <w:b/>
          <w:spacing w:val="-2"/>
          <w:sz w:val="28"/>
          <w:szCs w:val="28"/>
        </w:rPr>
        <w:t>n</w:t>
      </w:r>
      <w:r w:rsidRPr="003032D8">
        <w:rPr>
          <w:rFonts w:ascii="TitilliumText25L" w:hAnsi="TitilliumText25L"/>
          <w:b/>
          <w:sz w:val="28"/>
          <w:szCs w:val="28"/>
        </w:rPr>
        <w:t>cy</w:t>
      </w:r>
      <w:r w:rsidRPr="003032D8">
        <w:rPr>
          <w:rFonts w:ascii="TitilliumText25L" w:hAnsi="TitilliumText25L"/>
          <w:b/>
          <w:spacing w:val="-2"/>
          <w:sz w:val="28"/>
          <w:szCs w:val="28"/>
        </w:rPr>
        <w:t xml:space="preserve"> </w:t>
      </w:r>
      <w:r w:rsidRPr="003032D8">
        <w:rPr>
          <w:rFonts w:ascii="TitilliumText25L" w:hAnsi="TitilliumText25L"/>
          <w:b/>
          <w:sz w:val="28"/>
          <w:szCs w:val="28"/>
        </w:rPr>
        <w:t>assessment.</w:t>
      </w:r>
      <w:r w:rsidRPr="003032D8">
        <w:rPr>
          <w:rFonts w:ascii="TitilliumText25L" w:hAnsi="TitilliumText25L"/>
          <w:b/>
          <w:spacing w:val="1"/>
          <w:sz w:val="28"/>
          <w:szCs w:val="28"/>
        </w:rPr>
        <w:t xml:space="preserve"> </w:t>
      </w:r>
      <w:r w:rsidRPr="003032D8">
        <w:rPr>
          <w:rFonts w:ascii="TitilliumText25L" w:hAnsi="TitilliumText25L"/>
          <w:b/>
          <w:sz w:val="28"/>
          <w:szCs w:val="28"/>
        </w:rPr>
        <w:t>Candidates</w:t>
      </w:r>
      <w:r w:rsidRPr="003032D8">
        <w:rPr>
          <w:rFonts w:ascii="TitilliumText25L" w:hAnsi="TitilliumText25L"/>
          <w:b/>
          <w:spacing w:val="1"/>
          <w:sz w:val="28"/>
          <w:szCs w:val="28"/>
        </w:rPr>
        <w:t xml:space="preserve"> </w:t>
      </w:r>
      <w:r w:rsidRPr="003032D8">
        <w:rPr>
          <w:rFonts w:ascii="TitilliumText25L" w:hAnsi="TitilliumText25L"/>
          <w:b/>
          <w:sz w:val="28"/>
          <w:szCs w:val="28"/>
        </w:rPr>
        <w:t>should</w:t>
      </w:r>
      <w:r w:rsidRPr="003032D8">
        <w:rPr>
          <w:rFonts w:ascii="TitilliumText25L" w:hAnsi="TitilliumText25L"/>
          <w:b/>
          <w:spacing w:val="1"/>
          <w:sz w:val="28"/>
          <w:szCs w:val="28"/>
        </w:rPr>
        <w:t xml:space="preserve"> </w:t>
      </w:r>
      <w:r w:rsidRPr="003032D8">
        <w:rPr>
          <w:rFonts w:ascii="TitilliumText25L" w:hAnsi="TitilliumText25L"/>
          <w:b/>
          <w:sz w:val="28"/>
          <w:szCs w:val="28"/>
        </w:rPr>
        <w:t>not be</w:t>
      </w:r>
      <w:r w:rsidRPr="003032D8">
        <w:rPr>
          <w:rFonts w:ascii="TitilliumText25L" w:hAnsi="TitilliumText25L"/>
          <w:b/>
          <w:spacing w:val="1"/>
          <w:sz w:val="28"/>
          <w:szCs w:val="28"/>
        </w:rPr>
        <w:t xml:space="preserve"> </w:t>
      </w:r>
      <w:r w:rsidRPr="003032D8">
        <w:rPr>
          <w:rFonts w:ascii="TitilliumText25L" w:hAnsi="TitilliumText25L"/>
          <w:b/>
          <w:spacing w:val="-1"/>
          <w:sz w:val="28"/>
          <w:szCs w:val="28"/>
        </w:rPr>
        <w:t>c</w:t>
      </w:r>
      <w:r w:rsidRPr="003032D8">
        <w:rPr>
          <w:rFonts w:ascii="TitilliumText25L" w:hAnsi="TitilliumText25L"/>
          <w:b/>
          <w:sz w:val="28"/>
          <w:szCs w:val="28"/>
        </w:rPr>
        <w:t>ompetency</w:t>
      </w:r>
      <w:r w:rsidRPr="003032D8">
        <w:rPr>
          <w:rFonts w:ascii="TitilliumText25L" w:hAnsi="TitilliumText25L"/>
          <w:b/>
          <w:spacing w:val="-1"/>
          <w:sz w:val="28"/>
          <w:szCs w:val="28"/>
        </w:rPr>
        <w:t xml:space="preserve"> </w:t>
      </w:r>
      <w:r w:rsidRPr="003032D8">
        <w:rPr>
          <w:rFonts w:ascii="TitilliumText25L" w:hAnsi="TitilliumText25L"/>
          <w:b/>
          <w:sz w:val="28"/>
          <w:szCs w:val="28"/>
        </w:rPr>
        <w:t>assessed before they</w:t>
      </w:r>
      <w:r w:rsidRPr="003032D8">
        <w:rPr>
          <w:rFonts w:ascii="TitilliumText25L" w:hAnsi="TitilliumText25L"/>
          <w:b/>
          <w:spacing w:val="-2"/>
          <w:sz w:val="28"/>
          <w:szCs w:val="28"/>
        </w:rPr>
        <w:t xml:space="preserve"> </w:t>
      </w:r>
      <w:r w:rsidRPr="003032D8">
        <w:rPr>
          <w:rFonts w:ascii="TitilliumText25L" w:hAnsi="TitilliumText25L"/>
          <w:b/>
          <w:sz w:val="28"/>
          <w:szCs w:val="28"/>
        </w:rPr>
        <w:t>have</w:t>
      </w:r>
      <w:r w:rsidRPr="003032D8">
        <w:rPr>
          <w:rFonts w:ascii="TitilliumText25L" w:hAnsi="TitilliumText25L"/>
          <w:b/>
          <w:spacing w:val="1"/>
          <w:sz w:val="28"/>
          <w:szCs w:val="28"/>
        </w:rPr>
        <w:t xml:space="preserve"> </w:t>
      </w:r>
      <w:r w:rsidRPr="003032D8">
        <w:rPr>
          <w:rFonts w:ascii="TitilliumText25L" w:hAnsi="TitilliumText25L"/>
          <w:b/>
          <w:sz w:val="28"/>
          <w:szCs w:val="28"/>
        </w:rPr>
        <w:t>completed</w:t>
      </w:r>
      <w:r w:rsidRPr="003032D8">
        <w:rPr>
          <w:rFonts w:ascii="TitilliumText25L" w:hAnsi="TitilliumText25L"/>
          <w:b/>
          <w:spacing w:val="1"/>
          <w:sz w:val="28"/>
          <w:szCs w:val="28"/>
        </w:rPr>
        <w:t xml:space="preserve"> </w:t>
      </w:r>
      <w:r w:rsidRPr="003032D8">
        <w:rPr>
          <w:rFonts w:ascii="TitilliumText25L" w:hAnsi="TitilliumText25L"/>
          <w:b/>
          <w:sz w:val="28"/>
          <w:szCs w:val="28"/>
        </w:rPr>
        <w:t>the</w:t>
      </w:r>
      <w:r w:rsidRPr="003032D8">
        <w:rPr>
          <w:rFonts w:ascii="TitilliumText25L" w:hAnsi="TitilliumText25L"/>
          <w:b/>
          <w:spacing w:val="1"/>
          <w:sz w:val="28"/>
          <w:szCs w:val="28"/>
        </w:rPr>
        <w:t xml:space="preserve"> </w:t>
      </w:r>
      <w:r w:rsidRPr="003032D8">
        <w:rPr>
          <w:rFonts w:ascii="TitilliumText25L" w:hAnsi="TitilliumText25L"/>
          <w:b/>
          <w:sz w:val="28"/>
          <w:szCs w:val="28"/>
        </w:rPr>
        <w:t>pre-assessment training</w:t>
      </w:r>
      <w:r w:rsidRPr="003032D8">
        <w:rPr>
          <w:rFonts w:ascii="TitilliumText25L" w:hAnsi="TitilliumText25L"/>
          <w:b/>
          <w:spacing w:val="1"/>
          <w:sz w:val="28"/>
          <w:szCs w:val="28"/>
        </w:rPr>
        <w:t xml:space="preserve"> </w:t>
      </w:r>
      <w:r w:rsidRPr="003032D8">
        <w:rPr>
          <w:rFonts w:ascii="TitilliumText25L" w:hAnsi="TitilliumText25L"/>
          <w:b/>
          <w:sz w:val="28"/>
          <w:szCs w:val="28"/>
        </w:rPr>
        <w:t>requirements.</w:t>
      </w:r>
    </w:p>
    <w:tbl>
      <w:tblPr>
        <w:tblW w:w="0" w:type="auto"/>
        <w:tblInd w:w="151" w:type="dxa"/>
        <w:tblCellMar>
          <w:left w:w="0" w:type="dxa"/>
          <w:right w:w="0" w:type="dxa"/>
        </w:tblCellMar>
        <w:tblLook w:val="0000" w:firstRow="0" w:lastRow="0" w:firstColumn="0" w:lastColumn="0" w:noHBand="0" w:noVBand="0"/>
      </w:tblPr>
      <w:tblGrid>
        <w:gridCol w:w="6662"/>
        <w:gridCol w:w="1985"/>
        <w:gridCol w:w="2410"/>
        <w:gridCol w:w="2467"/>
      </w:tblGrid>
      <w:tr w:rsidR="00BE3BE3" w:rsidRPr="003032D8" w:rsidTr="00D65937">
        <w:trPr>
          <w:trHeight w:hRule="exact" w:val="956"/>
        </w:trPr>
        <w:tc>
          <w:tcPr>
            <w:tcW w:w="666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T</w:t>
            </w:r>
            <w:r w:rsidRPr="003032D8">
              <w:rPr>
                <w:rFonts w:ascii="TitilliumText25L" w:hAnsi="TitilliumText25L"/>
                <w:b/>
                <w:spacing w:val="-1"/>
                <w:sz w:val="24"/>
                <w:szCs w:val="24"/>
              </w:rPr>
              <w:t>y</w:t>
            </w:r>
            <w:r w:rsidRPr="003032D8">
              <w:rPr>
                <w:rFonts w:ascii="TitilliumText25L" w:hAnsi="TitilliumText25L"/>
                <w:b/>
                <w:sz w:val="24"/>
                <w:szCs w:val="24"/>
              </w:rPr>
              <w:t>pe</w:t>
            </w:r>
            <w:r w:rsidRPr="003032D8">
              <w:rPr>
                <w:rFonts w:ascii="TitilliumText25L" w:hAnsi="TitilliumText25L"/>
                <w:b/>
                <w:spacing w:val="1"/>
                <w:sz w:val="24"/>
                <w:szCs w:val="24"/>
              </w:rPr>
              <w:t xml:space="preserve"> </w:t>
            </w:r>
            <w:r w:rsidRPr="003032D8">
              <w:rPr>
                <w:rFonts w:ascii="TitilliumText25L" w:hAnsi="TitilliumText25L"/>
                <w:b/>
                <w:sz w:val="24"/>
                <w:szCs w:val="24"/>
              </w:rPr>
              <w:t>of</w:t>
            </w:r>
            <w:r w:rsidRPr="003032D8">
              <w:rPr>
                <w:rFonts w:ascii="TitilliumText25L" w:hAnsi="TitilliumText25L"/>
                <w:b/>
                <w:spacing w:val="1"/>
                <w:sz w:val="24"/>
                <w:szCs w:val="24"/>
              </w:rPr>
              <w:t xml:space="preserve"> </w:t>
            </w:r>
            <w:r w:rsidRPr="003032D8">
              <w:rPr>
                <w:rFonts w:ascii="TitilliumText25L" w:hAnsi="TitilliumText25L"/>
                <w:b/>
                <w:sz w:val="24"/>
                <w:szCs w:val="24"/>
              </w:rPr>
              <w:t>Training</w:t>
            </w:r>
          </w:p>
        </w:tc>
        <w:tc>
          <w:tcPr>
            <w:tcW w:w="1985"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Date</w:t>
            </w:r>
            <w:r w:rsidRPr="003032D8">
              <w:rPr>
                <w:rFonts w:ascii="TitilliumText25L" w:hAnsi="TitilliumText25L"/>
                <w:b/>
                <w:spacing w:val="-11"/>
                <w:sz w:val="24"/>
                <w:szCs w:val="24"/>
              </w:rPr>
              <w:t xml:space="preserve"> </w:t>
            </w:r>
            <w:r w:rsidRPr="003032D8">
              <w:rPr>
                <w:rFonts w:ascii="TitilliumText25L" w:hAnsi="TitilliumText25L"/>
                <w:b/>
                <w:sz w:val="24"/>
                <w:szCs w:val="24"/>
              </w:rPr>
              <w:t>Completed</w:t>
            </w:r>
          </w:p>
        </w:tc>
        <w:tc>
          <w:tcPr>
            <w:tcW w:w="241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line="240" w:lineRule="auto"/>
              <w:jc w:val="center"/>
              <w:rPr>
                <w:rFonts w:ascii="TitilliumText25L" w:hAnsi="TitilliumText25L"/>
                <w:b/>
                <w:color w:val="000000"/>
                <w:sz w:val="24"/>
                <w:szCs w:val="24"/>
              </w:rPr>
            </w:pPr>
            <w:r w:rsidRPr="003032D8">
              <w:rPr>
                <w:rFonts w:ascii="TitilliumText25L" w:hAnsi="TitilliumText25L"/>
                <w:b/>
                <w:sz w:val="24"/>
                <w:szCs w:val="24"/>
              </w:rPr>
              <w:t>Candidate’s signature</w:t>
            </w:r>
          </w:p>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(sign</w:t>
            </w:r>
            <w:r w:rsidRPr="003032D8">
              <w:rPr>
                <w:rFonts w:ascii="TitilliumText25L" w:hAnsi="TitilliumText25L"/>
                <w:b/>
                <w:spacing w:val="-11"/>
                <w:sz w:val="24"/>
                <w:szCs w:val="24"/>
              </w:rPr>
              <w:t xml:space="preserve"> </w:t>
            </w:r>
            <w:r w:rsidRPr="003032D8">
              <w:rPr>
                <w:rFonts w:ascii="TitilliumText25L" w:hAnsi="TitilliumText25L"/>
                <w:b/>
                <w:sz w:val="24"/>
                <w:szCs w:val="24"/>
              </w:rPr>
              <w:t>and date)</w:t>
            </w:r>
          </w:p>
        </w:tc>
        <w:tc>
          <w:tcPr>
            <w:tcW w:w="24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line="240" w:lineRule="auto"/>
              <w:jc w:val="center"/>
              <w:rPr>
                <w:rFonts w:ascii="TitilliumText25L" w:hAnsi="TitilliumText25L"/>
                <w:b/>
                <w:color w:val="000000"/>
                <w:sz w:val="24"/>
                <w:szCs w:val="24"/>
              </w:rPr>
            </w:pPr>
            <w:r w:rsidRPr="003032D8">
              <w:rPr>
                <w:rFonts w:ascii="TitilliumText25L" w:hAnsi="TitilliumText25L"/>
                <w:b/>
                <w:sz w:val="24"/>
                <w:szCs w:val="24"/>
              </w:rPr>
              <w:t>Assessor’s signature</w:t>
            </w:r>
          </w:p>
          <w:p w:rsidR="00BE3BE3" w:rsidRPr="003032D8" w:rsidRDefault="00BE3BE3" w:rsidP="00D65937">
            <w:pPr>
              <w:spacing w:line="240" w:lineRule="auto"/>
              <w:jc w:val="center"/>
              <w:rPr>
                <w:rFonts w:ascii="TitilliumText25L" w:hAnsi="TitilliumText25L"/>
                <w:b/>
                <w:sz w:val="24"/>
                <w:szCs w:val="24"/>
              </w:rPr>
            </w:pPr>
            <w:r w:rsidRPr="003032D8">
              <w:rPr>
                <w:rFonts w:ascii="TitilliumText25L" w:hAnsi="TitilliumText25L"/>
                <w:b/>
                <w:sz w:val="24"/>
                <w:szCs w:val="24"/>
              </w:rPr>
              <w:t>(sign</w:t>
            </w:r>
            <w:r w:rsidRPr="003032D8">
              <w:rPr>
                <w:rFonts w:ascii="TitilliumText25L" w:hAnsi="TitilliumText25L"/>
                <w:b/>
                <w:spacing w:val="-11"/>
                <w:sz w:val="24"/>
                <w:szCs w:val="24"/>
              </w:rPr>
              <w:t xml:space="preserve"> </w:t>
            </w:r>
            <w:r w:rsidRPr="003032D8">
              <w:rPr>
                <w:rFonts w:ascii="TitilliumText25L" w:hAnsi="TitilliumText25L"/>
                <w:b/>
                <w:sz w:val="24"/>
                <w:szCs w:val="24"/>
              </w:rPr>
              <w:t>and date)</w:t>
            </w:r>
          </w:p>
        </w:tc>
      </w:tr>
      <w:tr w:rsidR="00BE3BE3" w:rsidRPr="003032D8" w:rsidTr="00D65937">
        <w:trPr>
          <w:trHeight w:hRule="exact" w:val="2227"/>
        </w:trPr>
        <w:tc>
          <w:tcPr>
            <w:tcW w:w="666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line="240" w:lineRule="auto"/>
              <w:ind w:left="170"/>
              <w:rPr>
                <w:rFonts w:ascii="TitilliumText25L" w:hAnsi="TitilliumText25L"/>
                <w:color w:val="000000"/>
                <w:sz w:val="24"/>
                <w:szCs w:val="24"/>
              </w:rPr>
            </w:pPr>
            <w:r w:rsidRPr="003032D8">
              <w:rPr>
                <w:rFonts w:ascii="TitilliumText25L" w:hAnsi="TitilliumText25L"/>
                <w:b/>
                <w:bCs/>
                <w:color w:val="282828"/>
                <w:sz w:val="24"/>
                <w:szCs w:val="24"/>
              </w:rPr>
              <w:t>Theo</w:t>
            </w:r>
            <w:r w:rsidRPr="003032D8">
              <w:rPr>
                <w:rFonts w:ascii="TitilliumText25L" w:hAnsi="TitilliumText25L"/>
                <w:b/>
                <w:bCs/>
                <w:color w:val="282828"/>
                <w:spacing w:val="1"/>
                <w:sz w:val="24"/>
                <w:szCs w:val="24"/>
              </w:rPr>
              <w:t>r</w:t>
            </w:r>
            <w:r w:rsidRPr="003032D8">
              <w:rPr>
                <w:rFonts w:ascii="TitilliumText25L" w:hAnsi="TitilliumText25L"/>
                <w:b/>
                <w:bCs/>
                <w:color w:val="282828"/>
                <w:sz w:val="24"/>
                <w:szCs w:val="24"/>
              </w:rPr>
              <w:t>y</w:t>
            </w:r>
            <w:r w:rsidRPr="003032D8">
              <w:rPr>
                <w:rFonts w:ascii="TitilliumText25L" w:hAnsi="TitilliumText25L"/>
                <w:b/>
                <w:bCs/>
                <w:color w:val="282828"/>
                <w:spacing w:val="-2"/>
                <w:sz w:val="24"/>
                <w:szCs w:val="24"/>
              </w:rPr>
              <w:t xml:space="preserve"> </w:t>
            </w:r>
            <w:r w:rsidRPr="003032D8">
              <w:rPr>
                <w:rFonts w:ascii="TitilliumText25L" w:hAnsi="TitilliumText25L"/>
                <w:b/>
                <w:bCs/>
                <w:color w:val="282828"/>
                <w:sz w:val="24"/>
                <w:szCs w:val="24"/>
              </w:rPr>
              <w:t>(delivered</w:t>
            </w:r>
            <w:r w:rsidRPr="003032D8">
              <w:rPr>
                <w:rFonts w:ascii="TitilliumText25L" w:hAnsi="TitilliumText25L"/>
                <w:b/>
                <w:bCs/>
                <w:color w:val="282828"/>
                <w:spacing w:val="1"/>
                <w:sz w:val="24"/>
                <w:szCs w:val="24"/>
              </w:rPr>
              <w:t xml:space="preserve"> </w:t>
            </w:r>
            <w:r w:rsidRPr="003032D8">
              <w:rPr>
                <w:rFonts w:ascii="TitilliumText25L" w:hAnsi="TitilliumText25L"/>
                <w:b/>
                <w:bCs/>
                <w:color w:val="282828"/>
                <w:sz w:val="24"/>
                <w:szCs w:val="24"/>
              </w:rPr>
              <w:t>through</w:t>
            </w:r>
            <w:r w:rsidRPr="003032D8">
              <w:rPr>
                <w:rFonts w:ascii="TitilliumText25L" w:hAnsi="TitilliumText25L"/>
                <w:b/>
                <w:bCs/>
                <w:color w:val="282828"/>
                <w:spacing w:val="1"/>
                <w:sz w:val="24"/>
                <w:szCs w:val="24"/>
              </w:rPr>
              <w:t xml:space="preserve"> </w:t>
            </w:r>
            <w:r w:rsidRPr="003032D8">
              <w:rPr>
                <w:rFonts w:ascii="TitilliumText25L" w:hAnsi="TitilliumText25L"/>
                <w:b/>
                <w:bCs/>
                <w:color w:val="282828"/>
                <w:sz w:val="24"/>
                <w:szCs w:val="24"/>
              </w:rPr>
              <w:t>at l</w:t>
            </w:r>
            <w:r w:rsidRPr="003032D8">
              <w:rPr>
                <w:rFonts w:ascii="TitilliumText25L" w:hAnsi="TitilliumText25L"/>
                <w:b/>
                <w:bCs/>
                <w:color w:val="282828"/>
                <w:spacing w:val="-2"/>
                <w:sz w:val="24"/>
                <w:szCs w:val="24"/>
              </w:rPr>
              <w:t>e</w:t>
            </w:r>
            <w:r w:rsidRPr="003032D8">
              <w:rPr>
                <w:rFonts w:ascii="TitilliumText25L" w:hAnsi="TitilliumText25L"/>
                <w:b/>
                <w:bCs/>
                <w:color w:val="282828"/>
                <w:sz w:val="24"/>
                <w:szCs w:val="24"/>
              </w:rPr>
              <w:t>ast one of the follo</w:t>
            </w:r>
            <w:r w:rsidRPr="003032D8">
              <w:rPr>
                <w:rFonts w:ascii="TitilliumText25L" w:hAnsi="TitilliumText25L"/>
                <w:b/>
                <w:bCs/>
                <w:color w:val="282828"/>
                <w:spacing w:val="2"/>
                <w:sz w:val="24"/>
                <w:szCs w:val="24"/>
              </w:rPr>
              <w:t>w</w:t>
            </w:r>
            <w:r w:rsidRPr="003032D8">
              <w:rPr>
                <w:rFonts w:ascii="TitilliumText25L" w:hAnsi="TitilliumText25L"/>
                <w:b/>
                <w:bCs/>
                <w:color w:val="282828"/>
                <w:sz w:val="24"/>
                <w:szCs w:val="24"/>
              </w:rPr>
              <w:t>ing methods)</w:t>
            </w:r>
          </w:p>
          <w:p w:rsidR="00BE3BE3" w:rsidRPr="003032D8" w:rsidRDefault="00BE3BE3" w:rsidP="00D65937">
            <w:pPr>
              <w:spacing w:line="240" w:lineRule="auto"/>
              <w:ind w:left="170"/>
              <w:rPr>
                <w:rFonts w:ascii="TitilliumText25L" w:hAnsi="TitilliumText25L"/>
                <w:color w:val="000000"/>
                <w:sz w:val="24"/>
                <w:szCs w:val="24"/>
              </w:rPr>
            </w:pPr>
            <w:r w:rsidRPr="003032D8">
              <w:rPr>
                <w:rFonts w:ascii="TitilliumText25L" w:hAnsi="TitilliumText25L"/>
                <w:color w:val="282828"/>
                <w:sz w:val="24"/>
                <w:szCs w:val="24"/>
              </w:rPr>
              <w:t>Face</w:t>
            </w:r>
            <w:r w:rsidRPr="003032D8">
              <w:rPr>
                <w:rFonts w:ascii="TitilliumText25L" w:hAnsi="TitilliumText25L"/>
                <w:color w:val="282828"/>
                <w:spacing w:val="-10"/>
                <w:sz w:val="24"/>
                <w:szCs w:val="24"/>
              </w:rPr>
              <w:t xml:space="preserve"> </w:t>
            </w:r>
            <w:r w:rsidRPr="003032D8">
              <w:rPr>
                <w:rFonts w:ascii="TitilliumText25L" w:hAnsi="TitilliumText25L"/>
                <w:color w:val="282828"/>
                <w:sz w:val="24"/>
                <w:szCs w:val="24"/>
              </w:rPr>
              <w:t>to</w:t>
            </w:r>
            <w:r w:rsidRPr="003032D8">
              <w:rPr>
                <w:rFonts w:ascii="TitilliumText25L" w:hAnsi="TitilliumText25L"/>
                <w:color w:val="282828"/>
                <w:spacing w:val="1"/>
                <w:sz w:val="24"/>
                <w:szCs w:val="24"/>
              </w:rPr>
              <w:t xml:space="preserve"> </w:t>
            </w:r>
            <w:r w:rsidRPr="003032D8">
              <w:rPr>
                <w:rFonts w:ascii="TitilliumText25L" w:hAnsi="TitilliumText25L"/>
                <w:color w:val="282828"/>
                <w:sz w:val="24"/>
                <w:szCs w:val="24"/>
              </w:rPr>
              <w:t>Face</w:t>
            </w:r>
          </w:p>
          <w:p w:rsidR="00BE3BE3" w:rsidRPr="003032D8" w:rsidRDefault="00BE3BE3" w:rsidP="00D65937">
            <w:pPr>
              <w:spacing w:line="240" w:lineRule="auto"/>
              <w:ind w:left="170"/>
              <w:rPr>
                <w:rFonts w:ascii="TitilliumText25L" w:hAnsi="TitilliumText25L"/>
                <w:sz w:val="24"/>
                <w:szCs w:val="24"/>
              </w:rPr>
            </w:pPr>
            <w:r w:rsidRPr="003032D8">
              <w:rPr>
                <w:rFonts w:ascii="TitilliumText25L" w:hAnsi="TitilliumText25L"/>
                <w:color w:val="282828"/>
                <w:sz w:val="24"/>
                <w:szCs w:val="24"/>
              </w:rPr>
              <w:t>Learn</w:t>
            </w:r>
            <w:r w:rsidRPr="003032D8">
              <w:rPr>
                <w:rFonts w:ascii="TitilliumText25L" w:hAnsi="TitilliumText25L"/>
                <w:color w:val="282828"/>
                <w:spacing w:val="-11"/>
                <w:sz w:val="24"/>
                <w:szCs w:val="24"/>
              </w:rPr>
              <w:t xml:space="preserve"> </w:t>
            </w:r>
            <w:r w:rsidRPr="003032D8">
              <w:rPr>
                <w:rFonts w:ascii="TitilliumText25L" w:hAnsi="TitilliumText25L"/>
                <w:color w:val="282828"/>
                <w:sz w:val="24"/>
                <w:szCs w:val="24"/>
              </w:rPr>
              <w:t>Cell Salvage</w:t>
            </w:r>
            <w:r w:rsidRPr="003032D8">
              <w:rPr>
                <w:rFonts w:ascii="TitilliumText25L" w:hAnsi="TitilliumText25L"/>
                <w:color w:val="282828"/>
                <w:spacing w:val="1"/>
                <w:sz w:val="24"/>
                <w:szCs w:val="24"/>
              </w:rPr>
              <w:t xml:space="preserve"> </w:t>
            </w:r>
          </w:p>
        </w:tc>
        <w:tc>
          <w:tcPr>
            <w:tcW w:w="1985"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41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1394"/>
        </w:trPr>
        <w:tc>
          <w:tcPr>
            <w:tcW w:w="666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line="240" w:lineRule="auto"/>
              <w:ind w:left="170"/>
              <w:rPr>
                <w:rFonts w:ascii="TitilliumText25L" w:hAnsi="TitilliumText25L"/>
                <w:color w:val="000000"/>
                <w:sz w:val="24"/>
                <w:szCs w:val="24"/>
              </w:rPr>
            </w:pPr>
            <w:r w:rsidRPr="003032D8">
              <w:rPr>
                <w:rFonts w:ascii="TitilliumText25L" w:hAnsi="TitilliumText25L"/>
                <w:b/>
                <w:bCs/>
                <w:color w:val="282828"/>
                <w:sz w:val="24"/>
                <w:szCs w:val="24"/>
              </w:rPr>
              <w:t>Practical</w:t>
            </w:r>
            <w:r w:rsidRPr="003032D8">
              <w:rPr>
                <w:rFonts w:ascii="TitilliumText25L" w:hAnsi="TitilliumText25L"/>
                <w:b/>
                <w:bCs/>
                <w:color w:val="282828"/>
                <w:spacing w:val="-11"/>
                <w:sz w:val="24"/>
                <w:szCs w:val="24"/>
              </w:rPr>
              <w:t xml:space="preserve"> </w:t>
            </w:r>
            <w:r w:rsidRPr="003032D8">
              <w:rPr>
                <w:rFonts w:ascii="TitilliumText25L" w:hAnsi="TitilliumText25L"/>
                <w:b/>
                <w:bCs/>
                <w:color w:val="282828"/>
                <w:sz w:val="24"/>
                <w:szCs w:val="24"/>
              </w:rPr>
              <w:t>(classroom)</w:t>
            </w:r>
          </w:p>
          <w:p w:rsidR="00BE3BE3" w:rsidRPr="003032D8" w:rsidRDefault="00BE3BE3" w:rsidP="00D65937">
            <w:pPr>
              <w:spacing w:line="240" w:lineRule="auto"/>
              <w:ind w:left="170"/>
              <w:rPr>
                <w:rFonts w:ascii="TitilliumText25L" w:hAnsi="TitilliumText25L"/>
                <w:sz w:val="24"/>
                <w:szCs w:val="24"/>
              </w:rPr>
            </w:pPr>
            <w:r w:rsidRPr="003032D8">
              <w:rPr>
                <w:rFonts w:ascii="TitilliumText25L" w:hAnsi="TitilliumText25L"/>
                <w:color w:val="282828"/>
                <w:sz w:val="24"/>
                <w:szCs w:val="24"/>
              </w:rPr>
              <w:t>Set</w:t>
            </w:r>
            <w:r w:rsidRPr="003032D8">
              <w:rPr>
                <w:rFonts w:ascii="TitilliumText25L" w:hAnsi="TitilliumText25L"/>
                <w:color w:val="282828"/>
                <w:spacing w:val="-10"/>
                <w:sz w:val="24"/>
                <w:szCs w:val="24"/>
              </w:rPr>
              <w:t xml:space="preserve"> </w:t>
            </w:r>
            <w:r w:rsidRPr="003032D8">
              <w:rPr>
                <w:rFonts w:ascii="TitilliumText25L" w:hAnsi="TitilliumText25L"/>
                <w:color w:val="282828"/>
                <w:sz w:val="24"/>
                <w:szCs w:val="24"/>
              </w:rPr>
              <w:t>up of</w:t>
            </w:r>
            <w:r w:rsidRPr="003032D8">
              <w:rPr>
                <w:rFonts w:ascii="TitilliumText25L" w:hAnsi="TitilliumText25L"/>
                <w:color w:val="282828"/>
                <w:spacing w:val="1"/>
                <w:sz w:val="24"/>
                <w:szCs w:val="24"/>
              </w:rPr>
              <w:t xml:space="preserve"> </w:t>
            </w:r>
            <w:r w:rsidRPr="003032D8">
              <w:rPr>
                <w:rFonts w:ascii="TitilliumText25L" w:hAnsi="TitilliumText25L"/>
                <w:color w:val="282828"/>
                <w:sz w:val="24"/>
                <w:szCs w:val="24"/>
              </w:rPr>
              <w:t>the ICS</w:t>
            </w:r>
            <w:r w:rsidRPr="003032D8">
              <w:rPr>
                <w:rFonts w:ascii="TitilliumText25L" w:hAnsi="TitilliumText25L"/>
                <w:color w:val="282828"/>
                <w:spacing w:val="1"/>
                <w:sz w:val="24"/>
                <w:szCs w:val="24"/>
              </w:rPr>
              <w:t xml:space="preserve"> </w:t>
            </w:r>
            <w:r w:rsidRPr="003032D8">
              <w:rPr>
                <w:rFonts w:ascii="TitilliumText25L" w:hAnsi="TitilliumText25L"/>
                <w:color w:val="282828"/>
                <w:sz w:val="24"/>
                <w:szCs w:val="24"/>
              </w:rPr>
              <w:t>equipment in a non-clinical setting</w:t>
            </w:r>
          </w:p>
        </w:tc>
        <w:tc>
          <w:tcPr>
            <w:tcW w:w="1985"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41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1670"/>
        </w:trPr>
        <w:tc>
          <w:tcPr>
            <w:tcW w:w="666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line="240" w:lineRule="auto"/>
              <w:ind w:left="170"/>
              <w:rPr>
                <w:rFonts w:ascii="TitilliumText25L" w:hAnsi="TitilliumText25L"/>
                <w:color w:val="000000"/>
                <w:sz w:val="24"/>
                <w:szCs w:val="24"/>
              </w:rPr>
            </w:pPr>
            <w:r w:rsidRPr="003032D8">
              <w:rPr>
                <w:rFonts w:ascii="TitilliumText25L" w:hAnsi="TitilliumText25L"/>
                <w:b/>
                <w:bCs/>
                <w:color w:val="282828"/>
                <w:sz w:val="24"/>
                <w:szCs w:val="24"/>
              </w:rPr>
              <w:t>Practical</w:t>
            </w:r>
            <w:r w:rsidRPr="003032D8">
              <w:rPr>
                <w:rFonts w:ascii="TitilliumText25L" w:hAnsi="TitilliumText25L"/>
                <w:b/>
                <w:bCs/>
                <w:color w:val="282828"/>
                <w:spacing w:val="-10"/>
                <w:sz w:val="24"/>
                <w:szCs w:val="24"/>
              </w:rPr>
              <w:t xml:space="preserve"> </w:t>
            </w:r>
            <w:r w:rsidRPr="003032D8">
              <w:rPr>
                <w:rFonts w:ascii="TitilliumText25L" w:hAnsi="TitilliumText25L"/>
                <w:b/>
                <w:bCs/>
                <w:color w:val="282828"/>
                <w:sz w:val="24"/>
                <w:szCs w:val="24"/>
              </w:rPr>
              <w:t>(clinical)</w:t>
            </w:r>
          </w:p>
          <w:p w:rsidR="00BE3BE3" w:rsidRPr="003032D8" w:rsidRDefault="00BE3BE3" w:rsidP="00D65937">
            <w:pPr>
              <w:spacing w:line="240" w:lineRule="auto"/>
              <w:ind w:left="170"/>
              <w:rPr>
                <w:rFonts w:ascii="TitilliumText25L" w:hAnsi="TitilliumText25L"/>
                <w:color w:val="000000"/>
                <w:sz w:val="24"/>
                <w:szCs w:val="24"/>
              </w:rPr>
            </w:pPr>
            <w:r w:rsidRPr="003032D8">
              <w:rPr>
                <w:rFonts w:ascii="TitilliumText25L" w:hAnsi="TitilliumText25L"/>
                <w:color w:val="282828"/>
                <w:sz w:val="24"/>
                <w:szCs w:val="24"/>
              </w:rPr>
              <w:t>Supervised</w:t>
            </w:r>
            <w:r w:rsidRPr="003032D8">
              <w:rPr>
                <w:rFonts w:ascii="TitilliumText25L" w:hAnsi="TitilliumText25L"/>
                <w:color w:val="282828"/>
                <w:spacing w:val="-11"/>
                <w:sz w:val="24"/>
                <w:szCs w:val="24"/>
              </w:rPr>
              <w:t xml:space="preserve"> </w:t>
            </w:r>
            <w:r w:rsidRPr="003032D8">
              <w:rPr>
                <w:rFonts w:ascii="TitilliumText25L" w:hAnsi="TitilliumText25L"/>
                <w:color w:val="282828"/>
                <w:sz w:val="24"/>
                <w:szCs w:val="24"/>
              </w:rPr>
              <w:t>clinical training</w:t>
            </w:r>
          </w:p>
          <w:p w:rsidR="00BE3BE3" w:rsidRPr="003032D8" w:rsidRDefault="00BE3BE3" w:rsidP="00D65937">
            <w:pPr>
              <w:spacing w:line="240" w:lineRule="auto"/>
              <w:ind w:left="170"/>
              <w:rPr>
                <w:rFonts w:ascii="TitilliumText25L" w:hAnsi="TitilliumText25L"/>
                <w:sz w:val="24"/>
                <w:szCs w:val="24"/>
              </w:rPr>
            </w:pPr>
            <w:r w:rsidRPr="003032D8">
              <w:rPr>
                <w:rFonts w:ascii="TitilliumText25L" w:hAnsi="TitilliumText25L"/>
                <w:color w:val="282828"/>
                <w:sz w:val="24"/>
                <w:szCs w:val="24"/>
              </w:rPr>
              <w:t>(recommended</w:t>
            </w:r>
            <w:r w:rsidRPr="003032D8">
              <w:rPr>
                <w:rFonts w:ascii="TitilliumText25L" w:hAnsi="TitilliumText25L"/>
                <w:color w:val="282828"/>
                <w:spacing w:val="-11"/>
                <w:sz w:val="24"/>
                <w:szCs w:val="24"/>
              </w:rPr>
              <w:t xml:space="preserve"> </w:t>
            </w:r>
            <w:r w:rsidRPr="003032D8">
              <w:rPr>
                <w:rFonts w:ascii="TitilliumText25L" w:hAnsi="TitilliumText25L"/>
                <w:color w:val="282828"/>
                <w:sz w:val="24"/>
                <w:szCs w:val="24"/>
              </w:rPr>
              <w:t>minimum of 10 cases 2 of which should be “emergency” cases)</w:t>
            </w:r>
          </w:p>
        </w:tc>
        <w:tc>
          <w:tcPr>
            <w:tcW w:w="1985"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41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4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bl>
    <w:p w:rsidR="00BE3BE3" w:rsidRPr="003032D8" w:rsidRDefault="00BE3BE3" w:rsidP="00BE3BE3">
      <w:pPr>
        <w:rPr>
          <w:rFonts w:ascii="TitilliumText25L" w:hAnsi="TitilliumText25L"/>
          <w:sz w:val="20"/>
          <w:szCs w:val="20"/>
        </w:rPr>
      </w:pPr>
      <w:r w:rsidRPr="003032D8">
        <w:rPr>
          <w:rFonts w:ascii="TitilliumText25L" w:hAnsi="TitilliumText25L"/>
          <w:sz w:val="20"/>
          <w:szCs w:val="20"/>
        </w:rPr>
        <w:br w:type="page"/>
      </w:r>
    </w:p>
    <w:p w:rsidR="00BE3BE3" w:rsidRPr="003032D8" w:rsidRDefault="00BE3BE3" w:rsidP="00BE3BE3">
      <w:pPr>
        <w:spacing w:before="360" w:after="360" w:line="240" w:lineRule="auto"/>
        <w:jc w:val="center"/>
        <w:outlineLvl w:val="1"/>
        <w:rPr>
          <w:rFonts w:ascii="TitilliumText25L" w:hAnsi="TitilliumText25L" w:cs="Arial"/>
          <w:color w:val="000000"/>
          <w:sz w:val="36"/>
          <w:szCs w:val="36"/>
          <w:u w:val="single"/>
        </w:rPr>
      </w:pPr>
      <w:bookmarkStart w:id="52" w:name="_Toc355270943"/>
      <w:bookmarkStart w:id="53" w:name="_Toc366850088"/>
      <w:r w:rsidRPr="003032D8">
        <w:rPr>
          <w:rFonts w:ascii="TitilliumText25L" w:hAnsi="TitilliumText25L" w:cs="Arial"/>
          <w:sz w:val="36"/>
          <w:szCs w:val="36"/>
          <w:u w:val="single"/>
        </w:rPr>
        <w:t xml:space="preserve">Supervised Clinical </w:t>
      </w:r>
      <w:r w:rsidRPr="003032D8">
        <w:rPr>
          <w:rFonts w:ascii="TitilliumText25L" w:hAnsi="TitilliumText25L" w:cs="Arial"/>
          <w:spacing w:val="-18"/>
          <w:sz w:val="36"/>
          <w:szCs w:val="36"/>
          <w:u w:val="single"/>
        </w:rPr>
        <w:t>T</w:t>
      </w:r>
      <w:r w:rsidRPr="003032D8">
        <w:rPr>
          <w:rFonts w:ascii="TitilliumText25L" w:hAnsi="TitilliumText25L" w:cs="Arial"/>
          <w:spacing w:val="1"/>
          <w:sz w:val="36"/>
          <w:szCs w:val="36"/>
          <w:u w:val="single"/>
        </w:rPr>
        <w:t>r</w:t>
      </w:r>
      <w:r w:rsidRPr="003032D8">
        <w:rPr>
          <w:rFonts w:ascii="TitilliumText25L" w:hAnsi="TitilliumText25L" w:cs="Arial"/>
          <w:sz w:val="36"/>
          <w:szCs w:val="36"/>
          <w:u w:val="single"/>
        </w:rPr>
        <w:t>aining Record</w:t>
      </w:r>
      <w:bookmarkEnd w:id="52"/>
      <w:bookmarkEnd w:id="53"/>
    </w:p>
    <w:p w:rsidR="00BE3BE3" w:rsidRPr="003032D8" w:rsidRDefault="00BE3BE3" w:rsidP="00BE3BE3">
      <w:pPr>
        <w:spacing w:line="240" w:lineRule="auto"/>
        <w:rPr>
          <w:rFonts w:ascii="TitilliumText25L" w:hAnsi="TitilliumText25L"/>
          <w:b/>
          <w:color w:val="000000"/>
          <w:sz w:val="28"/>
          <w:szCs w:val="28"/>
          <w:u w:val="single"/>
        </w:rPr>
      </w:pPr>
      <w:r w:rsidRPr="003032D8">
        <w:rPr>
          <w:rFonts w:ascii="TitilliumText25L" w:hAnsi="TitilliumText25L"/>
          <w:b/>
          <w:sz w:val="28"/>
          <w:szCs w:val="28"/>
          <w:u w:val="single"/>
        </w:rPr>
        <w:t>A</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minimum</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of</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10</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supervised</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clinical</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c</w:t>
      </w:r>
      <w:r w:rsidRPr="003032D8">
        <w:rPr>
          <w:rFonts w:ascii="TitilliumText25L" w:hAnsi="TitilliumText25L"/>
          <w:b/>
          <w:spacing w:val="-2"/>
          <w:sz w:val="28"/>
          <w:szCs w:val="28"/>
          <w:u w:val="single"/>
        </w:rPr>
        <w:t>a</w:t>
      </w:r>
      <w:r w:rsidRPr="003032D8">
        <w:rPr>
          <w:rFonts w:ascii="TitilliumText25L" w:hAnsi="TitilliumText25L"/>
          <w:b/>
          <w:sz w:val="28"/>
          <w:szCs w:val="28"/>
          <w:u w:val="single"/>
        </w:rPr>
        <w:t>ses</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shou</w:t>
      </w:r>
      <w:r w:rsidRPr="003032D8">
        <w:rPr>
          <w:rFonts w:ascii="TitilliumText25L" w:hAnsi="TitilliumText25L"/>
          <w:b/>
          <w:spacing w:val="2"/>
          <w:sz w:val="28"/>
          <w:szCs w:val="28"/>
          <w:u w:val="single"/>
        </w:rPr>
        <w:t>l</w:t>
      </w:r>
      <w:r w:rsidRPr="003032D8">
        <w:rPr>
          <w:rFonts w:ascii="TitilliumText25L" w:hAnsi="TitilliumText25L"/>
          <w:b/>
          <w:sz w:val="28"/>
          <w:szCs w:val="28"/>
          <w:u w:val="single"/>
        </w:rPr>
        <w:t>d</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be</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completed</w:t>
      </w:r>
      <w:r w:rsidRPr="003032D8">
        <w:rPr>
          <w:rFonts w:ascii="TitilliumText25L" w:hAnsi="TitilliumText25L"/>
          <w:b/>
          <w:spacing w:val="41"/>
          <w:sz w:val="28"/>
          <w:szCs w:val="28"/>
          <w:u w:val="single"/>
        </w:rPr>
        <w:t xml:space="preserve"> </w:t>
      </w:r>
      <w:r w:rsidRPr="003032D8">
        <w:rPr>
          <w:rFonts w:ascii="TitilliumText25L" w:hAnsi="TitilliumText25L"/>
          <w:b/>
          <w:spacing w:val="1"/>
          <w:sz w:val="28"/>
          <w:szCs w:val="28"/>
          <w:u w:val="single"/>
        </w:rPr>
        <w:t>b</w:t>
      </w:r>
      <w:r w:rsidRPr="003032D8">
        <w:rPr>
          <w:rFonts w:ascii="TitilliumText25L" w:hAnsi="TitilliumText25L"/>
          <w:b/>
          <w:sz w:val="28"/>
          <w:szCs w:val="28"/>
          <w:u w:val="single"/>
        </w:rPr>
        <w:t>y</w:t>
      </w:r>
      <w:r w:rsidRPr="003032D8">
        <w:rPr>
          <w:rFonts w:ascii="TitilliumText25L" w:hAnsi="TitilliumText25L"/>
          <w:b/>
          <w:spacing w:val="38"/>
          <w:sz w:val="28"/>
          <w:szCs w:val="28"/>
          <w:u w:val="single"/>
        </w:rPr>
        <w:t xml:space="preserve"> </w:t>
      </w:r>
      <w:r w:rsidRPr="003032D8">
        <w:rPr>
          <w:rFonts w:ascii="TitilliumText25L" w:hAnsi="TitilliumText25L"/>
          <w:b/>
          <w:sz w:val="28"/>
          <w:szCs w:val="28"/>
          <w:u w:val="single"/>
        </w:rPr>
        <w:t>the</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candidate</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prior</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to</w:t>
      </w:r>
      <w:r w:rsidRPr="003032D8">
        <w:rPr>
          <w:rFonts w:ascii="TitilliumText25L" w:hAnsi="TitilliumText25L"/>
          <w:b/>
          <w:spacing w:val="41"/>
          <w:sz w:val="28"/>
          <w:szCs w:val="28"/>
          <w:u w:val="single"/>
        </w:rPr>
        <w:t xml:space="preserve"> </w:t>
      </w:r>
      <w:r w:rsidRPr="003032D8">
        <w:rPr>
          <w:rFonts w:ascii="TitilliumText25L" w:hAnsi="TitilliumText25L"/>
          <w:b/>
          <w:sz w:val="28"/>
          <w:szCs w:val="28"/>
          <w:u w:val="single"/>
        </w:rPr>
        <w:t>competency</w:t>
      </w:r>
      <w:r w:rsidRPr="003032D8">
        <w:rPr>
          <w:rFonts w:ascii="TitilliumText25L" w:hAnsi="TitilliumText25L"/>
          <w:b/>
          <w:spacing w:val="38"/>
          <w:sz w:val="28"/>
          <w:szCs w:val="28"/>
          <w:u w:val="single"/>
        </w:rPr>
        <w:t xml:space="preserve"> </w:t>
      </w:r>
      <w:r w:rsidRPr="003032D8">
        <w:rPr>
          <w:rFonts w:ascii="TitilliumText25L" w:hAnsi="TitilliumText25L"/>
          <w:b/>
          <w:sz w:val="28"/>
          <w:szCs w:val="28"/>
          <w:u w:val="single"/>
        </w:rPr>
        <w:t>assessment. Details of these cases should</w:t>
      </w:r>
      <w:r w:rsidRPr="003032D8">
        <w:rPr>
          <w:rFonts w:ascii="TitilliumText25L" w:hAnsi="TitilliumText25L"/>
          <w:b/>
          <w:spacing w:val="1"/>
          <w:sz w:val="28"/>
          <w:szCs w:val="28"/>
          <w:u w:val="single"/>
        </w:rPr>
        <w:t xml:space="preserve"> </w:t>
      </w:r>
      <w:r w:rsidRPr="003032D8">
        <w:rPr>
          <w:rFonts w:ascii="TitilliumText25L" w:hAnsi="TitilliumText25L"/>
          <w:b/>
          <w:sz w:val="28"/>
          <w:szCs w:val="28"/>
          <w:u w:val="single"/>
        </w:rPr>
        <w:t>be entered into</w:t>
      </w:r>
      <w:r w:rsidRPr="003032D8">
        <w:rPr>
          <w:rFonts w:ascii="TitilliumText25L" w:hAnsi="TitilliumText25L"/>
          <w:b/>
          <w:spacing w:val="1"/>
          <w:sz w:val="28"/>
          <w:szCs w:val="28"/>
          <w:u w:val="single"/>
        </w:rPr>
        <w:t xml:space="preserve"> </w:t>
      </w:r>
      <w:r w:rsidRPr="003032D8">
        <w:rPr>
          <w:rFonts w:ascii="TitilliumText25L" w:hAnsi="TitilliumText25L"/>
          <w:b/>
          <w:sz w:val="28"/>
          <w:szCs w:val="28"/>
          <w:u w:val="single"/>
        </w:rPr>
        <w:t>the table belo</w:t>
      </w:r>
      <w:r w:rsidRPr="003032D8">
        <w:rPr>
          <w:rFonts w:ascii="TitilliumText25L" w:hAnsi="TitilliumText25L"/>
          <w:b/>
          <w:spacing w:val="2"/>
          <w:sz w:val="28"/>
          <w:szCs w:val="28"/>
          <w:u w:val="single"/>
        </w:rPr>
        <w:t>w</w:t>
      </w:r>
      <w:r w:rsidRPr="003032D8">
        <w:rPr>
          <w:rFonts w:ascii="TitilliumText25L" w:hAnsi="TitilliumText25L"/>
          <w:b/>
          <w:sz w:val="28"/>
          <w:szCs w:val="28"/>
          <w:u w:val="single"/>
        </w:rPr>
        <w:t>.</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276"/>
        <w:gridCol w:w="992"/>
        <w:gridCol w:w="2109"/>
        <w:gridCol w:w="3561"/>
        <w:gridCol w:w="4820"/>
      </w:tblGrid>
      <w:tr w:rsidR="00BE3BE3" w:rsidRPr="003032D8" w:rsidTr="00D65937">
        <w:trPr>
          <w:trHeight w:hRule="exact" w:val="720"/>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51"/>
              <w:jc w:val="center"/>
              <w:rPr>
                <w:rFonts w:ascii="TitilliumText25L" w:hAnsi="TitilliumText25L"/>
                <w:sz w:val="24"/>
                <w:szCs w:val="24"/>
              </w:rPr>
            </w:pPr>
            <w:r w:rsidRPr="003032D8">
              <w:rPr>
                <w:rFonts w:ascii="TitilliumText25L" w:hAnsi="TitilliumText25L"/>
                <w:b/>
                <w:bCs/>
                <w:color w:val="282828"/>
                <w:sz w:val="24"/>
                <w:szCs w:val="24"/>
              </w:rPr>
              <w:t>Case</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211"/>
              <w:jc w:val="center"/>
              <w:rPr>
                <w:rFonts w:ascii="TitilliumText25L" w:hAnsi="TitilliumText25L"/>
                <w:sz w:val="24"/>
                <w:szCs w:val="24"/>
              </w:rPr>
            </w:pPr>
            <w:r w:rsidRPr="003032D8">
              <w:rPr>
                <w:rFonts w:ascii="TitilliumText25L" w:hAnsi="TitilliumText25L"/>
                <w:b/>
                <w:bCs/>
                <w:color w:val="282828"/>
                <w:sz w:val="24"/>
                <w:szCs w:val="24"/>
              </w:rPr>
              <w:t>Date</w:t>
            </w: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b/>
                <w:sz w:val="24"/>
                <w:szCs w:val="24"/>
              </w:rPr>
            </w:pPr>
            <w:r w:rsidRPr="003032D8">
              <w:rPr>
                <w:rFonts w:ascii="TitilliumText25L" w:hAnsi="TitilliumText25L"/>
                <w:b/>
                <w:sz w:val="24"/>
                <w:szCs w:val="24"/>
              </w:rPr>
              <w:t>O</w:t>
            </w:r>
            <w:r w:rsidRPr="003032D8">
              <w:rPr>
                <w:rFonts w:ascii="TitilliumText25L" w:hAnsi="TitilliumText25L"/>
                <w:b/>
                <w:bCs/>
                <w:color w:val="282828"/>
                <w:sz w:val="24"/>
                <w:szCs w:val="24"/>
              </w:rPr>
              <w:t>peration</w:t>
            </w: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95" w:right="99"/>
              <w:jc w:val="center"/>
              <w:rPr>
                <w:rFonts w:ascii="TitilliumText25L" w:hAnsi="TitilliumText25L"/>
                <w:b/>
                <w:bCs/>
                <w:color w:val="282828"/>
                <w:sz w:val="24"/>
                <w:szCs w:val="24"/>
              </w:rPr>
            </w:pPr>
            <w:r w:rsidRPr="003032D8">
              <w:rPr>
                <w:rFonts w:ascii="TitilliumText25L" w:hAnsi="TitilliumText25L"/>
                <w:b/>
                <w:bCs/>
                <w:color w:val="282828"/>
                <w:sz w:val="24"/>
                <w:szCs w:val="24"/>
              </w:rPr>
              <w:t>Machine</w:t>
            </w:r>
          </w:p>
          <w:p w:rsidR="00BE3BE3" w:rsidRPr="003032D8" w:rsidRDefault="00BE3BE3" w:rsidP="00D65937">
            <w:pPr>
              <w:widowControl w:val="0"/>
              <w:autoSpaceDE w:val="0"/>
              <w:autoSpaceDN w:val="0"/>
              <w:adjustRightInd w:val="0"/>
              <w:spacing w:after="0" w:line="240" w:lineRule="auto"/>
              <w:ind w:left="95" w:right="99"/>
              <w:jc w:val="center"/>
              <w:rPr>
                <w:rFonts w:ascii="TitilliumText25L" w:hAnsi="TitilliumText25L"/>
                <w:sz w:val="24"/>
                <w:szCs w:val="24"/>
              </w:rPr>
            </w:pPr>
            <w:r w:rsidRPr="003032D8">
              <w:rPr>
                <w:rFonts w:ascii="TitilliumText25L" w:hAnsi="TitilliumText25L"/>
                <w:b/>
                <w:bCs/>
                <w:color w:val="282828"/>
                <w:sz w:val="24"/>
                <w:szCs w:val="24"/>
              </w:rPr>
              <w:t>T</w:t>
            </w:r>
            <w:r w:rsidRPr="003032D8">
              <w:rPr>
                <w:rFonts w:ascii="TitilliumText25L" w:hAnsi="TitilliumText25L"/>
                <w:b/>
                <w:bCs/>
                <w:color w:val="282828"/>
                <w:spacing w:val="-2"/>
                <w:sz w:val="24"/>
                <w:szCs w:val="24"/>
              </w:rPr>
              <w:t>y</w:t>
            </w:r>
            <w:r w:rsidRPr="003032D8">
              <w:rPr>
                <w:rFonts w:ascii="TitilliumText25L" w:hAnsi="TitilliumText25L"/>
                <w:b/>
                <w:bCs/>
                <w:color w:val="282828"/>
                <w:sz w:val="24"/>
                <w:szCs w:val="24"/>
              </w:rPr>
              <w:t>pe</w:t>
            </w: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541" w:right="539" w:hanging="947"/>
              <w:jc w:val="center"/>
              <w:rPr>
                <w:rFonts w:ascii="TitilliumText25L" w:hAnsi="TitilliumText25L"/>
                <w:sz w:val="24"/>
                <w:szCs w:val="24"/>
              </w:rPr>
            </w:pPr>
            <w:r w:rsidRPr="003032D8">
              <w:rPr>
                <w:rFonts w:ascii="TitilliumText25L" w:hAnsi="TitilliumText25L"/>
                <w:b/>
                <w:bCs/>
                <w:color w:val="282828"/>
                <w:sz w:val="24"/>
                <w:szCs w:val="24"/>
              </w:rPr>
              <w:t>Comments</w:t>
            </w:r>
            <w:r w:rsidRPr="003032D8">
              <w:rPr>
                <w:rFonts w:ascii="TitilliumText25L" w:hAnsi="TitilliumText25L"/>
                <w:b/>
                <w:bCs/>
                <w:color w:val="282828"/>
                <w:spacing w:val="-11"/>
                <w:sz w:val="24"/>
                <w:szCs w:val="24"/>
              </w:rPr>
              <w:t xml:space="preserve"> </w:t>
            </w:r>
            <w:r w:rsidRPr="003032D8">
              <w:rPr>
                <w:rFonts w:ascii="TitilliumText25L" w:hAnsi="TitilliumText25L"/>
                <w:b/>
                <w:bCs/>
                <w:color w:val="282828"/>
                <w:sz w:val="24"/>
                <w:szCs w:val="24"/>
              </w:rPr>
              <w:t>&amp;</w:t>
            </w:r>
            <w:r w:rsidRPr="003032D8">
              <w:rPr>
                <w:rFonts w:ascii="TitilliumText25L" w:hAnsi="TitilliumText25L"/>
                <w:b/>
                <w:bCs/>
                <w:color w:val="282828"/>
                <w:spacing w:val="1"/>
                <w:sz w:val="24"/>
                <w:szCs w:val="24"/>
              </w:rPr>
              <w:t xml:space="preserve"> </w:t>
            </w:r>
            <w:r w:rsidRPr="003032D8">
              <w:rPr>
                <w:rFonts w:ascii="TitilliumText25L" w:hAnsi="TitilliumText25L"/>
                <w:b/>
                <w:bCs/>
                <w:color w:val="282828"/>
                <w:sz w:val="24"/>
                <w:szCs w:val="24"/>
              </w:rPr>
              <w:t>supervisor’s signature</w:t>
            </w:r>
          </w:p>
        </w:tc>
      </w:tr>
      <w:tr w:rsidR="00BE3BE3" w:rsidRPr="003032D8" w:rsidTr="00D65937">
        <w:trPr>
          <w:trHeight w:hRule="exact" w:val="356"/>
        </w:trPr>
        <w:tc>
          <w:tcPr>
            <w:tcW w:w="1276"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992"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333" w:right="336"/>
              <w:jc w:val="center"/>
              <w:rPr>
                <w:rFonts w:ascii="TitilliumText25L" w:hAnsi="TitilliumText25L"/>
                <w:sz w:val="24"/>
                <w:szCs w:val="24"/>
              </w:rPr>
            </w:pPr>
            <w:r w:rsidRPr="003032D8">
              <w:rPr>
                <w:rFonts w:ascii="TitilliumText25L" w:hAnsi="TitilliumText25L"/>
                <w:b/>
                <w:bCs/>
                <w:color w:val="282828"/>
                <w:sz w:val="24"/>
                <w:szCs w:val="24"/>
              </w:rPr>
              <w:t>1</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333" w:right="336"/>
              <w:jc w:val="center"/>
              <w:rPr>
                <w:rFonts w:ascii="TitilliumText25L" w:hAnsi="TitilliumText25L"/>
                <w:sz w:val="24"/>
                <w:szCs w:val="24"/>
              </w:rPr>
            </w:pPr>
            <w:r w:rsidRPr="003032D8">
              <w:rPr>
                <w:rFonts w:ascii="TitilliumText25L" w:hAnsi="TitilliumText25L"/>
                <w:b/>
                <w:bCs/>
                <w:color w:val="282828"/>
                <w:sz w:val="24"/>
                <w:szCs w:val="24"/>
              </w:rPr>
              <w:t>2</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64"/>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333" w:right="336"/>
              <w:jc w:val="center"/>
              <w:rPr>
                <w:rFonts w:ascii="TitilliumText25L" w:hAnsi="TitilliumText25L"/>
                <w:sz w:val="24"/>
                <w:szCs w:val="24"/>
              </w:rPr>
            </w:pPr>
            <w:r w:rsidRPr="003032D8">
              <w:rPr>
                <w:rFonts w:ascii="TitilliumText25L" w:hAnsi="TitilliumText25L"/>
                <w:b/>
                <w:bCs/>
                <w:color w:val="282828"/>
                <w:sz w:val="24"/>
                <w:szCs w:val="24"/>
              </w:rPr>
              <w:t>3</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333" w:right="336"/>
              <w:jc w:val="center"/>
              <w:rPr>
                <w:rFonts w:ascii="TitilliumText25L" w:hAnsi="TitilliumText25L"/>
                <w:sz w:val="24"/>
                <w:szCs w:val="24"/>
              </w:rPr>
            </w:pPr>
            <w:r w:rsidRPr="003032D8">
              <w:rPr>
                <w:rFonts w:ascii="TitilliumText25L" w:hAnsi="TitilliumText25L"/>
                <w:b/>
                <w:bCs/>
                <w:color w:val="282828"/>
                <w:sz w:val="24"/>
                <w:szCs w:val="24"/>
              </w:rPr>
              <w:t>4</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333" w:right="336"/>
              <w:jc w:val="center"/>
              <w:rPr>
                <w:rFonts w:ascii="TitilliumText25L" w:hAnsi="TitilliumText25L"/>
                <w:sz w:val="24"/>
                <w:szCs w:val="24"/>
              </w:rPr>
            </w:pPr>
            <w:r w:rsidRPr="003032D8">
              <w:rPr>
                <w:rFonts w:ascii="TitilliumText25L" w:hAnsi="TitilliumText25L"/>
                <w:b/>
                <w:bCs/>
                <w:color w:val="282828"/>
                <w:sz w:val="24"/>
                <w:szCs w:val="24"/>
              </w:rPr>
              <w:t>5</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333" w:right="336"/>
              <w:jc w:val="center"/>
              <w:rPr>
                <w:rFonts w:ascii="TitilliumText25L" w:hAnsi="TitilliumText25L"/>
                <w:sz w:val="24"/>
                <w:szCs w:val="24"/>
              </w:rPr>
            </w:pPr>
            <w:r w:rsidRPr="003032D8">
              <w:rPr>
                <w:rFonts w:ascii="TitilliumText25L" w:hAnsi="TitilliumText25L"/>
                <w:b/>
                <w:bCs/>
                <w:color w:val="282828"/>
                <w:sz w:val="24"/>
                <w:szCs w:val="24"/>
              </w:rPr>
              <w:t>6</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333" w:right="336"/>
              <w:jc w:val="center"/>
              <w:rPr>
                <w:rFonts w:ascii="TitilliumText25L" w:hAnsi="TitilliumText25L"/>
                <w:sz w:val="24"/>
                <w:szCs w:val="24"/>
              </w:rPr>
            </w:pPr>
            <w:r w:rsidRPr="003032D8">
              <w:rPr>
                <w:rFonts w:ascii="TitilliumText25L" w:hAnsi="TitilliumText25L"/>
                <w:b/>
                <w:bCs/>
                <w:color w:val="282828"/>
                <w:sz w:val="24"/>
                <w:szCs w:val="24"/>
              </w:rPr>
              <w:t>7</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57"/>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333" w:right="336"/>
              <w:jc w:val="center"/>
              <w:rPr>
                <w:rFonts w:ascii="TitilliumText25L" w:hAnsi="TitilliumText25L"/>
                <w:sz w:val="24"/>
                <w:szCs w:val="24"/>
              </w:rPr>
            </w:pPr>
            <w:r w:rsidRPr="003032D8">
              <w:rPr>
                <w:rFonts w:ascii="TitilliumText25L" w:hAnsi="TitilliumText25L"/>
                <w:b/>
                <w:bCs/>
                <w:color w:val="282828"/>
                <w:sz w:val="24"/>
                <w:szCs w:val="24"/>
              </w:rPr>
              <w:t>8</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57"/>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20" w:after="120" w:line="130" w:lineRule="exact"/>
              <w:jc w:val="center"/>
              <w:rPr>
                <w:rFonts w:ascii="TitilliumText25L" w:hAnsi="TitilliumText25L"/>
                <w:sz w:val="24"/>
                <w:szCs w:val="24"/>
              </w:rPr>
            </w:pPr>
            <w:r w:rsidRPr="003032D8">
              <w:rPr>
                <w:rFonts w:ascii="TitilliumText25L" w:hAnsi="TitilliumText25L"/>
                <w:sz w:val="24"/>
                <w:szCs w:val="24"/>
              </w:rPr>
              <w:t>Emergency 1</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r w:rsidR="00BE3BE3" w:rsidRPr="003032D8" w:rsidTr="00D65937">
        <w:trPr>
          <w:trHeight w:hRule="exact" w:val="557"/>
        </w:trPr>
        <w:tc>
          <w:tcPr>
            <w:tcW w:w="12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20" w:after="120" w:line="130" w:lineRule="exact"/>
              <w:jc w:val="center"/>
              <w:rPr>
                <w:rFonts w:ascii="TitilliumText25L" w:hAnsi="TitilliumText25L"/>
                <w:sz w:val="24"/>
                <w:szCs w:val="24"/>
              </w:rPr>
            </w:pPr>
            <w:r w:rsidRPr="003032D8">
              <w:rPr>
                <w:rFonts w:ascii="TitilliumText25L" w:hAnsi="TitilliumText25L"/>
                <w:sz w:val="24"/>
                <w:szCs w:val="24"/>
              </w:rPr>
              <w:t>Emergency 2</w:t>
            </w:r>
          </w:p>
        </w:tc>
        <w:tc>
          <w:tcPr>
            <w:tcW w:w="99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jc w:val="center"/>
              <w:rPr>
                <w:rFonts w:ascii="TitilliumText25L" w:hAnsi="TitilliumText25L"/>
                <w:sz w:val="24"/>
                <w:szCs w:val="24"/>
              </w:rPr>
            </w:pPr>
          </w:p>
        </w:tc>
      </w:tr>
    </w:tbl>
    <w:p w:rsidR="00BE3BE3" w:rsidRPr="003032D8" w:rsidRDefault="00BE3BE3" w:rsidP="00BE3BE3">
      <w:pPr>
        <w:widowControl w:val="0"/>
        <w:autoSpaceDE w:val="0"/>
        <w:autoSpaceDN w:val="0"/>
        <w:adjustRightInd w:val="0"/>
        <w:spacing w:after="0" w:line="226" w:lineRule="exact"/>
        <w:ind w:left="175"/>
        <w:rPr>
          <w:rFonts w:ascii="TitilliumText25L" w:hAnsi="TitilliumText25L" w:cs="Arial"/>
          <w:color w:val="000000"/>
          <w:sz w:val="20"/>
          <w:szCs w:val="20"/>
        </w:rPr>
      </w:pPr>
      <w:r w:rsidRPr="003032D8">
        <w:rPr>
          <w:rFonts w:ascii="TitilliumText25L" w:hAnsi="TitilliumText25L" w:cs="Arial"/>
          <w:color w:val="000000"/>
          <w:sz w:val="20"/>
          <w:szCs w:val="20"/>
        </w:rPr>
        <w:br w:type="page"/>
      </w:r>
    </w:p>
    <w:p w:rsidR="00BE3BE3" w:rsidRPr="003032D8" w:rsidRDefault="00BE3BE3" w:rsidP="00BE3BE3">
      <w:pPr>
        <w:spacing w:before="360" w:after="120" w:line="240" w:lineRule="auto"/>
        <w:jc w:val="center"/>
        <w:outlineLvl w:val="1"/>
        <w:rPr>
          <w:rFonts w:ascii="TitilliumText25L" w:hAnsi="TitilliumText25L" w:cs="Arial"/>
          <w:color w:val="000000"/>
          <w:sz w:val="36"/>
          <w:szCs w:val="36"/>
          <w:u w:val="single"/>
        </w:rPr>
      </w:pPr>
      <w:bookmarkStart w:id="54" w:name="_Toc355270944"/>
      <w:bookmarkStart w:id="55" w:name="_Toc366850089"/>
      <w:r w:rsidRPr="003032D8">
        <w:rPr>
          <w:rFonts w:ascii="TitilliumText25L" w:hAnsi="TitilliumText25L" w:cs="Arial"/>
          <w:sz w:val="36"/>
          <w:szCs w:val="36"/>
          <w:u w:val="single"/>
        </w:rPr>
        <w:t>Assessment</w:t>
      </w:r>
      <w:r w:rsidRPr="003032D8">
        <w:rPr>
          <w:rFonts w:ascii="TitilliumText25L" w:hAnsi="TitilliumText25L" w:cs="Arial"/>
          <w:spacing w:val="-1"/>
          <w:sz w:val="36"/>
          <w:szCs w:val="36"/>
          <w:u w:val="single"/>
        </w:rPr>
        <w:t xml:space="preserve"> </w:t>
      </w:r>
      <w:r w:rsidRPr="003032D8">
        <w:rPr>
          <w:rFonts w:ascii="TitilliumText25L" w:hAnsi="TitilliumText25L" w:cs="Arial"/>
          <w:sz w:val="36"/>
          <w:szCs w:val="36"/>
          <w:u w:val="single"/>
        </w:rPr>
        <w:t>Plan</w:t>
      </w:r>
      <w:bookmarkEnd w:id="54"/>
      <w:bookmarkEnd w:id="55"/>
    </w:p>
    <w:p w:rsidR="00BE3BE3" w:rsidRPr="003032D8" w:rsidRDefault="00BE3BE3" w:rsidP="00BE3BE3">
      <w:pPr>
        <w:spacing w:line="240" w:lineRule="auto"/>
        <w:rPr>
          <w:rFonts w:ascii="TitilliumText25L" w:hAnsi="TitilliumText25L"/>
          <w:b/>
        </w:rPr>
      </w:pPr>
      <w:r w:rsidRPr="003032D8">
        <w:rPr>
          <w:rFonts w:ascii="TitilliumText25L" w:hAnsi="TitilliumText25L"/>
          <w:b/>
        </w:rPr>
        <w:t>This</w:t>
      </w:r>
      <w:r w:rsidRPr="003032D8">
        <w:rPr>
          <w:rFonts w:ascii="TitilliumText25L" w:hAnsi="TitilliumText25L"/>
          <w:b/>
          <w:spacing w:val="-11"/>
        </w:rPr>
        <w:t xml:space="preserve"> </w:t>
      </w:r>
      <w:r w:rsidRPr="003032D8">
        <w:rPr>
          <w:rFonts w:ascii="TitilliumText25L" w:hAnsi="TitilliumText25L"/>
          <w:b/>
        </w:rPr>
        <w:t>page should</w:t>
      </w:r>
      <w:r w:rsidRPr="003032D8">
        <w:rPr>
          <w:rFonts w:ascii="TitilliumText25L" w:hAnsi="TitilliumText25L"/>
          <w:b/>
          <w:spacing w:val="1"/>
        </w:rPr>
        <w:t xml:space="preserve"> </w:t>
      </w:r>
      <w:r w:rsidRPr="003032D8">
        <w:rPr>
          <w:rFonts w:ascii="TitilliumText25L" w:hAnsi="TitilliumText25L"/>
          <w:b/>
        </w:rPr>
        <w:t>be completed at the end of the candidat</w:t>
      </w:r>
      <w:r w:rsidRPr="003032D8">
        <w:rPr>
          <w:rFonts w:ascii="TitilliumText25L" w:hAnsi="TitilliumText25L"/>
          <w:b/>
          <w:spacing w:val="-1"/>
        </w:rPr>
        <w:t>e</w:t>
      </w:r>
      <w:r w:rsidRPr="003032D8">
        <w:rPr>
          <w:rFonts w:ascii="TitilliumText25L" w:hAnsi="TitilliumText25L"/>
          <w:b/>
        </w:rPr>
        <w:t>’s assessme</w:t>
      </w:r>
      <w:r w:rsidRPr="003032D8">
        <w:rPr>
          <w:rFonts w:ascii="TitilliumText25L" w:hAnsi="TitilliumText25L"/>
          <w:b/>
          <w:spacing w:val="1"/>
        </w:rPr>
        <w:t>n</w:t>
      </w:r>
      <w:r w:rsidRPr="003032D8">
        <w:rPr>
          <w:rFonts w:ascii="TitilliumText25L" w:hAnsi="TitilliumText25L"/>
          <w:b/>
        </w:rPr>
        <w:t xml:space="preserve">t and kept </w:t>
      </w:r>
      <w:r w:rsidRPr="003032D8">
        <w:rPr>
          <w:rFonts w:ascii="TitilliumText25L" w:hAnsi="TitilliumText25L"/>
          <w:b/>
          <w:spacing w:val="2"/>
        </w:rPr>
        <w:t>w</w:t>
      </w:r>
      <w:r w:rsidRPr="003032D8">
        <w:rPr>
          <w:rFonts w:ascii="TitilliumText25L" w:hAnsi="TitilliumText25L"/>
          <w:b/>
          <w:spacing w:val="-1"/>
        </w:rPr>
        <w:t>i</w:t>
      </w:r>
      <w:r w:rsidRPr="003032D8">
        <w:rPr>
          <w:rFonts w:ascii="TitilliumText25L" w:hAnsi="TitilliumText25L"/>
          <w:b/>
        </w:rPr>
        <w:t>th the d</w:t>
      </w:r>
      <w:r w:rsidRPr="003032D8">
        <w:rPr>
          <w:rFonts w:ascii="TitilliumText25L" w:hAnsi="TitilliumText25L"/>
          <w:b/>
          <w:spacing w:val="-1"/>
        </w:rPr>
        <w:t>e</w:t>
      </w:r>
      <w:r w:rsidRPr="003032D8">
        <w:rPr>
          <w:rFonts w:ascii="TitilliumText25L" w:hAnsi="TitilliumText25L"/>
          <w:b/>
        </w:rPr>
        <w:t>partment’s training records as evidence of</w:t>
      </w:r>
      <w:r w:rsidRPr="003032D8">
        <w:rPr>
          <w:rFonts w:ascii="TitilliumText25L" w:hAnsi="TitilliumText25L"/>
          <w:b/>
          <w:spacing w:val="1"/>
        </w:rPr>
        <w:t xml:space="preserve"> </w:t>
      </w:r>
      <w:r w:rsidRPr="003032D8">
        <w:rPr>
          <w:rFonts w:ascii="TitilliumText25L" w:hAnsi="TitilliumText25L"/>
          <w:b/>
        </w:rPr>
        <w:t>staff competency.</w:t>
      </w:r>
    </w:p>
    <w:p w:rsidR="00BE3BE3" w:rsidRPr="003032D8" w:rsidRDefault="00BE3BE3" w:rsidP="00BE3BE3">
      <w:pPr>
        <w:spacing w:before="100" w:beforeAutospacing="1" w:after="100" w:afterAutospacing="1" w:line="240" w:lineRule="auto"/>
        <w:jc w:val="both"/>
        <w:rPr>
          <w:rFonts w:ascii="TitilliumText25L" w:hAnsi="TitilliumText25L"/>
          <w:b/>
          <w:color w:val="000000"/>
        </w:rPr>
      </w:pPr>
      <w:r w:rsidRPr="003032D8">
        <w:rPr>
          <w:rFonts w:ascii="TitilliumText25L" w:hAnsi="TitilliumText25L"/>
          <w:b/>
        </w:rPr>
        <w:t xml:space="preserve">Enter Candidate’s Name: </w:t>
      </w:r>
      <w:r w:rsidRPr="003032D8">
        <w:rPr>
          <w:rFonts w:ascii="TitilliumText25L" w:hAnsi="TitilliumText25L"/>
          <w:b/>
          <w:u w:val="single"/>
        </w:rPr>
        <w:t xml:space="preserve">                             </w:t>
      </w:r>
      <w:r w:rsidRPr="003032D8">
        <w:rPr>
          <w:rFonts w:ascii="TitilliumText25L" w:hAnsi="TitilliumText25L"/>
          <w:b/>
        </w:rPr>
        <w:t>has undergone assessment and has demonstrated compete</w:t>
      </w:r>
      <w:r w:rsidRPr="003032D8">
        <w:rPr>
          <w:rFonts w:ascii="TitilliumText25L" w:hAnsi="TitilliumText25L"/>
          <w:b/>
          <w:spacing w:val="1"/>
        </w:rPr>
        <w:t>n</w:t>
      </w:r>
      <w:r w:rsidRPr="003032D8">
        <w:rPr>
          <w:rFonts w:ascii="TitilliumText25L" w:hAnsi="TitilliumText25L"/>
          <w:b/>
        </w:rPr>
        <w:t>cy</w:t>
      </w:r>
      <w:r w:rsidRPr="003032D8">
        <w:rPr>
          <w:rFonts w:ascii="TitilliumText25L" w:hAnsi="TitilliumText25L"/>
          <w:b/>
          <w:spacing w:val="-2"/>
        </w:rPr>
        <w:t xml:space="preserve"> </w:t>
      </w:r>
      <w:r w:rsidRPr="003032D8">
        <w:rPr>
          <w:rFonts w:ascii="TitilliumText25L" w:hAnsi="TitilliumText25L"/>
          <w:b/>
        </w:rPr>
        <w:t>in</w:t>
      </w:r>
      <w:r w:rsidRPr="003032D8">
        <w:rPr>
          <w:rFonts w:ascii="TitilliumText25L" w:hAnsi="TitilliumText25L"/>
          <w:b/>
          <w:spacing w:val="1"/>
        </w:rPr>
        <w:t xml:space="preserve"> </w:t>
      </w:r>
      <w:r w:rsidRPr="003032D8">
        <w:rPr>
          <w:rFonts w:ascii="TitilliumText25L" w:hAnsi="TitilliumText25L"/>
          <w:b/>
        </w:rPr>
        <w:t>car</w:t>
      </w:r>
      <w:r w:rsidRPr="003032D8">
        <w:rPr>
          <w:rFonts w:ascii="TitilliumText25L" w:hAnsi="TitilliumText25L"/>
          <w:b/>
          <w:spacing w:val="1"/>
        </w:rPr>
        <w:t>r</w:t>
      </w:r>
      <w:r w:rsidRPr="003032D8">
        <w:rPr>
          <w:rFonts w:ascii="TitilliumText25L" w:hAnsi="TitilliumText25L"/>
          <w:b/>
        </w:rPr>
        <w:t>ying out the follo</w:t>
      </w:r>
      <w:r w:rsidRPr="003032D8">
        <w:rPr>
          <w:rFonts w:ascii="TitilliumText25L" w:hAnsi="TitilliumText25L"/>
          <w:b/>
          <w:spacing w:val="2"/>
        </w:rPr>
        <w:t>w</w:t>
      </w:r>
      <w:r w:rsidRPr="003032D8">
        <w:rPr>
          <w:rFonts w:ascii="TitilliumText25L" w:hAnsi="TitilliumText25L"/>
          <w:b/>
        </w:rPr>
        <w:t>ing tasks:</w:t>
      </w:r>
    </w:p>
    <w:tbl>
      <w:tblPr>
        <w:tblpPr w:leftFromText="180" w:rightFromText="180" w:vertAnchor="text" w:horzAnchor="margin" w:tblpY="314"/>
        <w:tblOverlap w:val="never"/>
        <w:tblW w:w="14634" w:type="dxa"/>
        <w:tblLayout w:type="fixed"/>
        <w:tblCellMar>
          <w:left w:w="0" w:type="dxa"/>
          <w:right w:w="0" w:type="dxa"/>
        </w:tblCellMar>
        <w:tblLook w:val="0000" w:firstRow="0" w:lastRow="0" w:firstColumn="0" w:lastColumn="0" w:noHBand="0" w:noVBand="0"/>
      </w:tblPr>
      <w:tblGrid>
        <w:gridCol w:w="3686"/>
        <w:gridCol w:w="1735"/>
        <w:gridCol w:w="1950"/>
        <w:gridCol w:w="2325"/>
        <w:gridCol w:w="261"/>
        <w:gridCol w:w="2409"/>
        <w:gridCol w:w="2268"/>
      </w:tblGrid>
      <w:tr w:rsidR="00BE3BE3" w:rsidRPr="003032D8" w:rsidTr="00D65937">
        <w:trPr>
          <w:trHeight w:hRule="exact" w:val="582"/>
        </w:trPr>
        <w:tc>
          <w:tcPr>
            <w:tcW w:w="3686" w:type="dxa"/>
            <w:vMerge w:val="restart"/>
            <w:tcBorders>
              <w:top w:val="nil"/>
              <w:left w:val="nil"/>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6010" w:type="dxa"/>
            <w:gridSpan w:val="3"/>
            <w:tcBorders>
              <w:top w:val="single" w:sz="7" w:space="0" w:color="282828"/>
              <w:left w:val="single" w:sz="7" w:space="0" w:color="282828"/>
              <w:bottom w:val="single" w:sz="7" w:space="0" w:color="282828"/>
              <w:right w:val="single" w:sz="7" w:space="0" w:color="282828"/>
            </w:tcBorders>
            <w:shd w:val="clear" w:color="auto" w:fill="282828"/>
            <w:vAlign w:val="center"/>
          </w:tcPr>
          <w:p w:rsidR="00BE3BE3" w:rsidRPr="003032D8" w:rsidRDefault="00BE3BE3" w:rsidP="00D65937">
            <w:pPr>
              <w:widowControl w:val="0"/>
              <w:autoSpaceDE w:val="0"/>
              <w:autoSpaceDN w:val="0"/>
              <w:adjustRightInd w:val="0"/>
              <w:spacing w:after="0" w:line="227" w:lineRule="exact"/>
              <w:ind w:left="1677"/>
              <w:rPr>
                <w:rFonts w:ascii="TitilliumText25L" w:hAnsi="TitilliumText25L"/>
              </w:rPr>
            </w:pPr>
            <w:r w:rsidRPr="003032D8">
              <w:rPr>
                <w:rFonts w:ascii="TitilliumText25L" w:hAnsi="TitilliumText25L"/>
                <w:b/>
                <w:bCs/>
                <w:color w:val="FDFDFD"/>
              </w:rPr>
              <w:t>Pre-a</w:t>
            </w:r>
            <w:r w:rsidRPr="003032D8">
              <w:rPr>
                <w:rFonts w:ascii="TitilliumText25L" w:hAnsi="TitilliumText25L"/>
                <w:b/>
                <w:bCs/>
                <w:color w:val="FDFDFD"/>
                <w:spacing w:val="-1"/>
              </w:rPr>
              <w:t>s</w:t>
            </w:r>
            <w:r w:rsidRPr="003032D8">
              <w:rPr>
                <w:rFonts w:ascii="TitilliumText25L" w:hAnsi="TitilliumText25L"/>
                <w:b/>
                <w:bCs/>
                <w:color w:val="FDFDFD"/>
              </w:rPr>
              <w:t>se</w:t>
            </w:r>
            <w:r w:rsidRPr="003032D8">
              <w:rPr>
                <w:rFonts w:ascii="TitilliumText25L" w:hAnsi="TitilliumText25L"/>
                <w:b/>
                <w:bCs/>
                <w:color w:val="FDFDFD"/>
                <w:spacing w:val="-1"/>
              </w:rPr>
              <w:t>ssm</w:t>
            </w:r>
            <w:r w:rsidRPr="003032D8">
              <w:rPr>
                <w:rFonts w:ascii="TitilliumText25L" w:hAnsi="TitilliumText25L"/>
                <w:b/>
                <w:bCs/>
                <w:color w:val="FDFDFD"/>
              </w:rPr>
              <w:t>ent A</w:t>
            </w:r>
            <w:r w:rsidRPr="003032D8">
              <w:rPr>
                <w:rFonts w:ascii="TitilliumText25L" w:hAnsi="TitilliumText25L"/>
                <w:b/>
                <w:bCs/>
                <w:color w:val="FDFDFD"/>
                <w:spacing w:val="-1"/>
              </w:rPr>
              <w:t>g</w:t>
            </w:r>
            <w:r w:rsidRPr="003032D8">
              <w:rPr>
                <w:rFonts w:ascii="TitilliumText25L" w:hAnsi="TitilliumText25L"/>
                <w:b/>
                <w:bCs/>
                <w:color w:val="FDFDFD"/>
              </w:rPr>
              <w:t>re</w:t>
            </w:r>
            <w:r w:rsidRPr="003032D8">
              <w:rPr>
                <w:rFonts w:ascii="TitilliumText25L" w:hAnsi="TitilliumText25L"/>
                <w:b/>
                <w:bCs/>
                <w:color w:val="FDFDFD"/>
                <w:spacing w:val="-1"/>
              </w:rPr>
              <w:t>em</w:t>
            </w:r>
            <w:r w:rsidRPr="003032D8">
              <w:rPr>
                <w:rFonts w:ascii="TitilliumText25L" w:hAnsi="TitilliumText25L"/>
                <w:b/>
                <w:bCs/>
                <w:color w:val="FDFDFD"/>
              </w:rPr>
              <w:t>ent</w:t>
            </w:r>
          </w:p>
        </w:tc>
        <w:tc>
          <w:tcPr>
            <w:tcW w:w="261" w:type="dxa"/>
            <w:vMerge w:val="restart"/>
            <w:tcBorders>
              <w:top w:val="single" w:sz="7" w:space="0" w:color="282828"/>
              <w:left w:val="single" w:sz="7" w:space="0" w:color="282828"/>
              <w:right w:val="single" w:sz="7" w:space="0" w:color="282828"/>
            </w:tcBorders>
            <w:shd w:val="clear" w:color="auto" w:fill="auto"/>
            <w:vAlign w:val="center"/>
          </w:tcPr>
          <w:p w:rsidR="00BE3BE3" w:rsidRPr="003032D8" w:rsidRDefault="00BE3BE3" w:rsidP="00D65937">
            <w:pPr>
              <w:widowControl w:val="0"/>
              <w:autoSpaceDE w:val="0"/>
              <w:autoSpaceDN w:val="0"/>
              <w:adjustRightInd w:val="0"/>
              <w:spacing w:after="0" w:line="227" w:lineRule="exact"/>
              <w:ind w:left="1677"/>
              <w:rPr>
                <w:rFonts w:ascii="TitilliumText25L" w:hAnsi="TitilliumText25L"/>
                <w:b/>
                <w:bCs/>
                <w:color w:val="FDFDFD"/>
              </w:rPr>
            </w:pPr>
          </w:p>
        </w:tc>
        <w:tc>
          <w:tcPr>
            <w:tcW w:w="4677" w:type="dxa"/>
            <w:gridSpan w:val="2"/>
            <w:tcBorders>
              <w:top w:val="single" w:sz="7" w:space="0" w:color="282828"/>
              <w:left w:val="single" w:sz="7" w:space="0" w:color="282828"/>
              <w:bottom w:val="single" w:sz="7" w:space="0" w:color="282828"/>
              <w:right w:val="single" w:sz="7" w:space="0" w:color="282828"/>
            </w:tcBorders>
            <w:shd w:val="clear" w:color="auto" w:fill="282828"/>
            <w:vAlign w:val="center"/>
          </w:tcPr>
          <w:p w:rsidR="00BE3BE3" w:rsidRPr="003032D8" w:rsidRDefault="00BE3BE3" w:rsidP="00D65937">
            <w:pPr>
              <w:widowControl w:val="0"/>
              <w:autoSpaceDE w:val="0"/>
              <w:autoSpaceDN w:val="0"/>
              <w:adjustRightInd w:val="0"/>
              <w:spacing w:after="0" w:line="227" w:lineRule="exact"/>
              <w:ind w:left="1677"/>
              <w:rPr>
                <w:rFonts w:ascii="TitilliumText25L" w:hAnsi="TitilliumText25L"/>
                <w:b/>
                <w:bCs/>
                <w:color w:val="FDFDFD"/>
              </w:rPr>
            </w:pPr>
            <w:r w:rsidRPr="003032D8">
              <w:rPr>
                <w:rFonts w:ascii="TitilliumText25L" w:hAnsi="TitilliumText25L"/>
                <w:b/>
                <w:bCs/>
                <w:color w:val="FDFDFD"/>
              </w:rPr>
              <w:t>Competency Assessment</w:t>
            </w:r>
          </w:p>
        </w:tc>
      </w:tr>
      <w:tr w:rsidR="00BE3BE3" w:rsidRPr="003032D8" w:rsidTr="00D65937">
        <w:trPr>
          <w:trHeight w:hRule="exact" w:val="940"/>
        </w:trPr>
        <w:tc>
          <w:tcPr>
            <w:tcW w:w="3686" w:type="dxa"/>
            <w:vMerge/>
            <w:tcBorders>
              <w:top w:val="nil"/>
              <w:left w:val="nil"/>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27" w:lineRule="exact"/>
              <w:ind w:left="1677"/>
              <w:rPr>
                <w:rFonts w:ascii="TitilliumText25L" w:hAnsi="TitilliumText25L"/>
              </w:rPr>
            </w:pPr>
          </w:p>
        </w:tc>
        <w:tc>
          <w:tcPr>
            <w:tcW w:w="1735"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27" w:lineRule="exact"/>
              <w:ind w:left="256" w:right="258"/>
              <w:rPr>
                <w:rFonts w:ascii="TitilliumText25L" w:hAnsi="TitilliumText25L"/>
              </w:rPr>
            </w:pPr>
            <w:r w:rsidRPr="003032D8">
              <w:rPr>
                <w:rFonts w:ascii="TitilliumText25L" w:hAnsi="TitilliumText25L"/>
                <w:b/>
                <w:bCs/>
                <w:color w:val="282828"/>
              </w:rPr>
              <w:t>Proposed Date of As</w:t>
            </w:r>
            <w:r w:rsidRPr="003032D8">
              <w:rPr>
                <w:rFonts w:ascii="TitilliumText25L" w:hAnsi="TitilliumText25L"/>
                <w:b/>
                <w:bCs/>
                <w:color w:val="282828"/>
                <w:spacing w:val="-1"/>
              </w:rPr>
              <w:t>s</w:t>
            </w:r>
            <w:r w:rsidRPr="003032D8">
              <w:rPr>
                <w:rFonts w:ascii="TitilliumText25L" w:hAnsi="TitilliumText25L"/>
                <w:b/>
                <w:bCs/>
                <w:color w:val="282828"/>
              </w:rPr>
              <w:t>essm</w:t>
            </w:r>
            <w:r w:rsidRPr="003032D8">
              <w:rPr>
                <w:rFonts w:ascii="TitilliumText25L" w:hAnsi="TitilliumText25L"/>
                <w:b/>
                <w:bCs/>
                <w:color w:val="282828"/>
                <w:spacing w:val="-1"/>
              </w:rPr>
              <w:t>e</w:t>
            </w:r>
            <w:r w:rsidRPr="003032D8">
              <w:rPr>
                <w:rFonts w:ascii="TitilliumText25L" w:hAnsi="TitilliumText25L"/>
                <w:b/>
                <w:bCs/>
                <w:color w:val="282828"/>
              </w:rPr>
              <w:t>nt (or N</w:t>
            </w:r>
            <w:r w:rsidRPr="003032D8">
              <w:rPr>
                <w:rFonts w:ascii="TitilliumText25L" w:hAnsi="TitilliumText25L"/>
                <w:b/>
                <w:bCs/>
                <w:color w:val="282828"/>
                <w:spacing w:val="-2"/>
              </w:rPr>
              <w:t>/</w:t>
            </w:r>
            <w:r w:rsidRPr="003032D8">
              <w:rPr>
                <w:rFonts w:ascii="TitilliumText25L" w:hAnsi="TitilliumText25L"/>
                <w:b/>
                <w:bCs/>
                <w:color w:val="282828"/>
              </w:rPr>
              <w:t>A)</w:t>
            </w:r>
          </w:p>
        </w:tc>
        <w:tc>
          <w:tcPr>
            <w:tcW w:w="195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291" w:right="295"/>
              <w:rPr>
                <w:rFonts w:ascii="TitilliumText25L" w:hAnsi="TitilliumText25L"/>
              </w:rPr>
            </w:pPr>
            <w:r w:rsidRPr="003032D8">
              <w:rPr>
                <w:rFonts w:ascii="TitilliumText25L" w:hAnsi="TitilliumText25L"/>
                <w:b/>
                <w:bCs/>
                <w:color w:val="282828"/>
              </w:rPr>
              <w:t>Training Le</w:t>
            </w:r>
            <w:r w:rsidRPr="003032D8">
              <w:rPr>
                <w:rFonts w:ascii="TitilliumText25L" w:hAnsi="TitilliumText25L"/>
                <w:b/>
                <w:bCs/>
                <w:color w:val="282828"/>
                <w:spacing w:val="-1"/>
              </w:rPr>
              <w:t>a</w:t>
            </w:r>
            <w:r w:rsidRPr="003032D8">
              <w:rPr>
                <w:rFonts w:ascii="TitilliumText25L" w:hAnsi="TitilliumText25L"/>
                <w:b/>
                <w:bCs/>
                <w:color w:val="282828"/>
              </w:rPr>
              <w:t>d’s Signature</w:t>
            </w:r>
          </w:p>
        </w:tc>
        <w:tc>
          <w:tcPr>
            <w:tcW w:w="2325"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224"/>
              <w:rPr>
                <w:rFonts w:ascii="TitilliumText25L" w:hAnsi="TitilliumText25L"/>
              </w:rPr>
            </w:pPr>
            <w:r w:rsidRPr="003032D8">
              <w:rPr>
                <w:rFonts w:ascii="TitilliumText25L" w:hAnsi="TitilliumText25L"/>
                <w:b/>
                <w:bCs/>
                <w:color w:val="282828"/>
              </w:rPr>
              <w:t>Trainee’s Signat</w:t>
            </w:r>
            <w:r w:rsidRPr="003032D8">
              <w:rPr>
                <w:rFonts w:ascii="TitilliumText25L" w:hAnsi="TitilliumText25L"/>
                <w:b/>
                <w:bCs/>
                <w:color w:val="282828"/>
                <w:spacing w:val="-1"/>
              </w:rPr>
              <w:t>u</w:t>
            </w:r>
            <w:r w:rsidRPr="003032D8">
              <w:rPr>
                <w:rFonts w:ascii="TitilliumText25L" w:hAnsi="TitilliumText25L"/>
                <w:b/>
                <w:bCs/>
                <w:color w:val="282828"/>
              </w:rPr>
              <w:t>re</w:t>
            </w:r>
          </w:p>
        </w:tc>
        <w:tc>
          <w:tcPr>
            <w:tcW w:w="261" w:type="dxa"/>
            <w:vMerge/>
            <w:tcBorders>
              <w:left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224"/>
              <w:rPr>
                <w:rFonts w:ascii="TitilliumText25L" w:hAnsi="TitilliumText25L"/>
                <w:b/>
                <w:bCs/>
                <w:color w:val="282828"/>
              </w:rPr>
            </w:pPr>
          </w:p>
        </w:tc>
        <w:tc>
          <w:tcPr>
            <w:tcW w:w="240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224"/>
              <w:rPr>
                <w:rFonts w:ascii="TitilliumText25L" w:hAnsi="TitilliumText25L"/>
                <w:b/>
                <w:bCs/>
                <w:color w:val="282828"/>
              </w:rPr>
            </w:pPr>
            <w:r w:rsidRPr="003032D8">
              <w:rPr>
                <w:rFonts w:ascii="TitilliumText25L" w:hAnsi="TitilliumText25L"/>
                <w:b/>
                <w:bCs/>
                <w:color w:val="282828"/>
              </w:rPr>
              <w:t>Completed on</w:t>
            </w:r>
          </w:p>
          <w:p w:rsidR="00BE3BE3" w:rsidRPr="003032D8" w:rsidRDefault="00BE3BE3" w:rsidP="00D65937">
            <w:pPr>
              <w:widowControl w:val="0"/>
              <w:autoSpaceDE w:val="0"/>
              <w:autoSpaceDN w:val="0"/>
              <w:adjustRightInd w:val="0"/>
              <w:spacing w:after="0" w:line="240" w:lineRule="auto"/>
              <w:ind w:left="224"/>
              <w:rPr>
                <w:rFonts w:ascii="TitilliumText25L" w:hAnsi="TitilliumText25L"/>
                <w:b/>
                <w:bCs/>
                <w:color w:val="282828"/>
              </w:rPr>
            </w:pPr>
            <w:r w:rsidRPr="003032D8">
              <w:rPr>
                <w:rFonts w:ascii="TitilliumText25L" w:hAnsi="TitilliumText25L"/>
                <w:b/>
                <w:bCs/>
                <w:color w:val="282828"/>
              </w:rPr>
              <w:t>(date)</w:t>
            </w:r>
          </w:p>
        </w:tc>
        <w:tc>
          <w:tcPr>
            <w:tcW w:w="226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224"/>
              <w:rPr>
                <w:rFonts w:ascii="TitilliumText25L" w:hAnsi="TitilliumText25L"/>
                <w:b/>
                <w:bCs/>
                <w:color w:val="282828"/>
              </w:rPr>
            </w:pPr>
            <w:r w:rsidRPr="003032D8">
              <w:rPr>
                <w:rFonts w:ascii="TitilliumText25L" w:hAnsi="TitilliumText25L"/>
                <w:b/>
                <w:bCs/>
                <w:color w:val="282828"/>
              </w:rPr>
              <w:t>Assessor’s signature</w:t>
            </w:r>
          </w:p>
        </w:tc>
      </w:tr>
      <w:tr w:rsidR="00BE3BE3" w:rsidRPr="003032D8" w:rsidTr="00EA107D">
        <w:trPr>
          <w:trHeight w:hRule="exact" w:val="566"/>
        </w:trPr>
        <w:tc>
          <w:tcPr>
            <w:tcW w:w="3686" w:type="dxa"/>
            <w:tcBorders>
              <w:top w:val="single" w:sz="7" w:space="0" w:color="282828"/>
              <w:left w:val="single" w:sz="7" w:space="0" w:color="282828"/>
              <w:bottom w:val="single" w:sz="4" w:space="0" w:color="auto"/>
              <w:right w:val="single" w:sz="7" w:space="0" w:color="282828"/>
            </w:tcBorders>
            <w:shd w:val="clear" w:color="auto" w:fill="ED3537"/>
            <w:vAlign w:val="center"/>
          </w:tcPr>
          <w:p w:rsidR="00BE3BE3" w:rsidRPr="003032D8" w:rsidRDefault="00BE3BE3" w:rsidP="00D65937">
            <w:pPr>
              <w:widowControl w:val="0"/>
              <w:autoSpaceDE w:val="0"/>
              <w:autoSpaceDN w:val="0"/>
              <w:adjustRightInd w:val="0"/>
              <w:spacing w:before="61" w:after="100" w:afterAutospacing="1" w:line="240" w:lineRule="auto"/>
              <w:ind w:left="238"/>
              <w:rPr>
                <w:rFonts w:ascii="TitilliumText25L" w:hAnsi="TitilliumText25L"/>
              </w:rPr>
            </w:pPr>
            <w:r w:rsidRPr="003032D8">
              <w:rPr>
                <w:rFonts w:ascii="TitilliumText25L" w:hAnsi="TitilliumText25L"/>
                <w:b/>
                <w:bCs/>
                <w:iCs/>
                <w:color w:val="FDFDFD"/>
              </w:rPr>
              <w:t>Gene</w:t>
            </w:r>
            <w:r w:rsidRPr="003032D8">
              <w:rPr>
                <w:rFonts w:ascii="TitilliumText25L" w:hAnsi="TitilliumText25L"/>
                <w:b/>
                <w:bCs/>
                <w:iCs/>
                <w:color w:val="FDFDFD"/>
                <w:spacing w:val="-1"/>
              </w:rPr>
              <w:t>r</w:t>
            </w:r>
            <w:r w:rsidRPr="003032D8">
              <w:rPr>
                <w:rFonts w:ascii="TitilliumText25L" w:hAnsi="TitilliumText25L"/>
                <w:b/>
                <w:bCs/>
                <w:iCs/>
                <w:color w:val="FDFDFD"/>
              </w:rPr>
              <w:t>al (Ev</w:t>
            </w:r>
            <w:r w:rsidRPr="003032D8">
              <w:rPr>
                <w:rFonts w:ascii="TitilliumText25L" w:hAnsi="TitilliumText25L"/>
                <w:b/>
                <w:bCs/>
                <w:iCs/>
                <w:color w:val="FDFDFD"/>
                <w:spacing w:val="-1"/>
              </w:rPr>
              <w:t>e</w:t>
            </w:r>
            <w:r w:rsidRPr="003032D8">
              <w:rPr>
                <w:rFonts w:ascii="TitilliumText25L" w:hAnsi="TitilliumText25L"/>
                <w:b/>
                <w:bCs/>
                <w:iCs/>
                <w:color w:val="FDFDFD"/>
              </w:rPr>
              <w:t>ryon</w:t>
            </w:r>
            <w:r w:rsidRPr="003032D8">
              <w:rPr>
                <w:rFonts w:ascii="TitilliumText25L" w:hAnsi="TitilliumText25L"/>
                <w:b/>
                <w:bCs/>
                <w:iCs/>
                <w:color w:val="FDFDFD"/>
                <w:spacing w:val="-1"/>
              </w:rPr>
              <w:t>e</w:t>
            </w:r>
            <w:r w:rsidRPr="003032D8">
              <w:rPr>
                <w:rFonts w:ascii="TitilliumText25L" w:hAnsi="TitilliumText25L"/>
                <w:b/>
                <w:bCs/>
                <w:iCs/>
                <w:color w:val="FDFDFD"/>
              </w:rPr>
              <w:t>)</w:t>
            </w:r>
          </w:p>
        </w:tc>
        <w:tc>
          <w:tcPr>
            <w:tcW w:w="1735" w:type="dxa"/>
            <w:tcBorders>
              <w:top w:val="single" w:sz="7" w:space="0" w:color="282828"/>
              <w:left w:val="single" w:sz="7" w:space="0" w:color="282828"/>
              <w:bottom w:val="single" w:sz="4" w:space="0" w:color="auto"/>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1950" w:type="dxa"/>
            <w:tcBorders>
              <w:top w:val="single" w:sz="7" w:space="0" w:color="282828"/>
              <w:left w:val="single" w:sz="7" w:space="0" w:color="282828"/>
              <w:bottom w:val="single" w:sz="4" w:space="0" w:color="auto"/>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325" w:type="dxa"/>
            <w:tcBorders>
              <w:top w:val="single" w:sz="7" w:space="0" w:color="282828"/>
              <w:left w:val="single" w:sz="7" w:space="0" w:color="282828"/>
              <w:bottom w:val="single" w:sz="4" w:space="0" w:color="auto"/>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61" w:type="dxa"/>
            <w:vMerge/>
            <w:tcBorders>
              <w:left w:val="single" w:sz="7" w:space="0" w:color="282828"/>
              <w:bottom w:val="single" w:sz="4" w:space="0" w:color="auto"/>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409" w:type="dxa"/>
            <w:tcBorders>
              <w:top w:val="single" w:sz="7" w:space="0" w:color="282828"/>
              <w:left w:val="single" w:sz="7" w:space="0" w:color="282828"/>
              <w:bottom w:val="single" w:sz="4" w:space="0" w:color="auto"/>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268" w:type="dxa"/>
            <w:tcBorders>
              <w:top w:val="single" w:sz="7" w:space="0" w:color="282828"/>
              <w:left w:val="single" w:sz="7" w:space="0" w:color="282828"/>
              <w:bottom w:val="single" w:sz="4" w:space="0" w:color="auto"/>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r>
      <w:tr w:rsidR="00BE3BE3" w:rsidRPr="003032D8" w:rsidTr="00EA107D">
        <w:trPr>
          <w:trHeight w:hRule="exact" w:val="1048"/>
        </w:trPr>
        <w:tc>
          <w:tcPr>
            <w:tcW w:w="3686" w:type="dxa"/>
            <w:tcBorders>
              <w:top w:val="single" w:sz="4" w:space="0" w:color="auto"/>
              <w:left w:val="single" w:sz="4" w:space="0" w:color="auto"/>
              <w:bottom w:val="single" w:sz="4" w:space="0" w:color="auto"/>
              <w:right w:val="single" w:sz="4" w:space="0" w:color="auto"/>
            </w:tcBorders>
            <w:shd w:val="clear" w:color="auto" w:fill="40C2ED"/>
            <w:vAlign w:val="center"/>
          </w:tcPr>
          <w:p w:rsidR="00BE3BE3" w:rsidRPr="003032D8" w:rsidRDefault="00BE3BE3" w:rsidP="00D65937">
            <w:pPr>
              <w:widowControl w:val="0"/>
              <w:autoSpaceDE w:val="0"/>
              <w:autoSpaceDN w:val="0"/>
              <w:adjustRightInd w:val="0"/>
              <w:spacing w:before="58" w:after="100" w:afterAutospacing="1" w:line="243" w:lineRule="auto"/>
              <w:ind w:left="217" w:right="147" w:firstLine="17"/>
              <w:rPr>
                <w:rFonts w:ascii="TitilliumText25L" w:hAnsi="TitilliumText25L"/>
              </w:rPr>
            </w:pPr>
            <w:r w:rsidRPr="003032D8">
              <w:rPr>
                <w:rFonts w:ascii="TitilliumText25L" w:hAnsi="TitilliumText25L"/>
                <w:b/>
                <w:bCs/>
                <w:iCs/>
                <w:color w:val="FDFDFD"/>
              </w:rPr>
              <w:t>Prepare e</w:t>
            </w:r>
            <w:r w:rsidRPr="003032D8">
              <w:rPr>
                <w:rFonts w:ascii="TitilliumText25L" w:hAnsi="TitilliumText25L"/>
                <w:b/>
                <w:bCs/>
                <w:iCs/>
                <w:color w:val="FDFDFD"/>
                <w:spacing w:val="-1"/>
              </w:rPr>
              <w:t>q</w:t>
            </w:r>
            <w:r w:rsidRPr="003032D8">
              <w:rPr>
                <w:rFonts w:ascii="TitilliumText25L" w:hAnsi="TitilliumText25L"/>
                <w:b/>
                <w:bCs/>
                <w:iCs/>
                <w:color w:val="FDFDFD"/>
              </w:rPr>
              <w:t>uipment f</w:t>
            </w:r>
            <w:r w:rsidRPr="003032D8">
              <w:rPr>
                <w:rFonts w:ascii="TitilliumText25L" w:hAnsi="TitilliumText25L"/>
                <w:b/>
                <w:bCs/>
                <w:iCs/>
                <w:color w:val="FDFDFD"/>
                <w:spacing w:val="-1"/>
              </w:rPr>
              <w:t>o</w:t>
            </w:r>
            <w:r w:rsidRPr="003032D8">
              <w:rPr>
                <w:rFonts w:ascii="TitilliumText25L" w:hAnsi="TitilliumText25L"/>
                <w:b/>
                <w:bCs/>
                <w:iCs/>
                <w:color w:val="FDFDFD"/>
              </w:rPr>
              <w:t>r intraoper</w:t>
            </w:r>
            <w:r w:rsidRPr="003032D8">
              <w:rPr>
                <w:rFonts w:ascii="TitilliumText25L" w:hAnsi="TitilliumText25L"/>
                <w:b/>
                <w:bCs/>
                <w:iCs/>
                <w:color w:val="FDFDFD"/>
                <w:spacing w:val="-1"/>
              </w:rPr>
              <w:t>a</w:t>
            </w:r>
            <w:r w:rsidRPr="003032D8">
              <w:rPr>
                <w:rFonts w:ascii="TitilliumText25L" w:hAnsi="TitilliumText25L"/>
                <w:b/>
                <w:bCs/>
                <w:iCs/>
                <w:color w:val="FDFDFD"/>
              </w:rPr>
              <w:t>tive b</w:t>
            </w:r>
            <w:r w:rsidRPr="003032D8">
              <w:rPr>
                <w:rFonts w:ascii="TitilliumText25L" w:hAnsi="TitilliumText25L"/>
                <w:b/>
                <w:bCs/>
                <w:iCs/>
                <w:color w:val="FDFDFD"/>
                <w:spacing w:val="-2"/>
              </w:rPr>
              <w:t>l</w:t>
            </w:r>
            <w:r w:rsidRPr="003032D8">
              <w:rPr>
                <w:rFonts w:ascii="TitilliumText25L" w:hAnsi="TitilliumText25L"/>
                <w:b/>
                <w:bCs/>
                <w:iCs/>
                <w:color w:val="FDFDFD"/>
              </w:rPr>
              <w:t>ood salva</w:t>
            </w:r>
            <w:r w:rsidRPr="003032D8">
              <w:rPr>
                <w:rFonts w:ascii="TitilliumText25L" w:hAnsi="TitilliumText25L"/>
                <w:b/>
                <w:bCs/>
                <w:iCs/>
                <w:color w:val="FDFDFD"/>
                <w:spacing w:val="-1"/>
              </w:rPr>
              <w:t>g</w:t>
            </w:r>
            <w:r w:rsidRPr="003032D8">
              <w:rPr>
                <w:rFonts w:ascii="TitilliumText25L" w:hAnsi="TitilliumText25L"/>
                <w:b/>
                <w:bCs/>
                <w:iCs/>
                <w:color w:val="FDFDFD"/>
              </w:rPr>
              <w:t>e collection</w:t>
            </w:r>
          </w:p>
        </w:tc>
        <w:tc>
          <w:tcPr>
            <w:tcW w:w="1735"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1950"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325"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61" w:type="dxa"/>
            <w:vMerge/>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409"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268"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r>
      <w:tr w:rsidR="00BE3BE3" w:rsidRPr="003032D8" w:rsidTr="00EA107D">
        <w:trPr>
          <w:trHeight w:hRule="exact" w:val="964"/>
        </w:trPr>
        <w:tc>
          <w:tcPr>
            <w:tcW w:w="3686" w:type="dxa"/>
            <w:tcBorders>
              <w:top w:val="single" w:sz="4" w:space="0" w:color="auto"/>
              <w:left w:val="single" w:sz="4" w:space="0" w:color="auto"/>
              <w:bottom w:val="single" w:sz="4" w:space="0" w:color="auto"/>
              <w:right w:val="single" w:sz="4" w:space="0" w:color="auto"/>
            </w:tcBorders>
            <w:shd w:val="clear" w:color="auto" w:fill="964169"/>
            <w:vAlign w:val="center"/>
          </w:tcPr>
          <w:p w:rsidR="00BE3BE3" w:rsidRPr="003032D8" w:rsidRDefault="00BE3BE3" w:rsidP="00D65937">
            <w:pPr>
              <w:widowControl w:val="0"/>
              <w:autoSpaceDE w:val="0"/>
              <w:autoSpaceDN w:val="0"/>
              <w:adjustRightInd w:val="0"/>
              <w:spacing w:before="58" w:after="100" w:afterAutospacing="1" w:line="241" w:lineRule="auto"/>
              <w:ind w:left="265" w:right="697" w:hanging="31"/>
              <w:rPr>
                <w:rFonts w:ascii="TitilliumText25L" w:hAnsi="TitilliumText25L"/>
              </w:rPr>
            </w:pPr>
            <w:r w:rsidRPr="003032D8">
              <w:rPr>
                <w:rFonts w:ascii="TitilliumText25L" w:hAnsi="TitilliumText25L"/>
                <w:b/>
                <w:bCs/>
                <w:iCs/>
                <w:color w:val="FDFDFD"/>
              </w:rPr>
              <w:t>Oper</w:t>
            </w:r>
            <w:r w:rsidRPr="003032D8">
              <w:rPr>
                <w:rFonts w:ascii="TitilliumText25L" w:hAnsi="TitilliumText25L"/>
                <w:b/>
                <w:bCs/>
                <w:iCs/>
                <w:color w:val="FDFDFD"/>
                <w:spacing w:val="-1"/>
              </w:rPr>
              <w:t>a</w:t>
            </w:r>
            <w:r w:rsidRPr="003032D8">
              <w:rPr>
                <w:rFonts w:ascii="TitilliumText25L" w:hAnsi="TitilliumText25L"/>
                <w:b/>
                <w:bCs/>
                <w:iCs/>
                <w:color w:val="FDFDFD"/>
              </w:rPr>
              <w:t>te e</w:t>
            </w:r>
            <w:r w:rsidRPr="003032D8">
              <w:rPr>
                <w:rFonts w:ascii="TitilliumText25L" w:hAnsi="TitilliumText25L"/>
                <w:b/>
                <w:bCs/>
                <w:iCs/>
                <w:color w:val="FDFDFD"/>
                <w:spacing w:val="-1"/>
              </w:rPr>
              <w:t>q</w:t>
            </w:r>
            <w:r w:rsidRPr="003032D8">
              <w:rPr>
                <w:rFonts w:ascii="TitilliumText25L" w:hAnsi="TitilliumText25L"/>
                <w:b/>
                <w:bCs/>
                <w:iCs/>
                <w:color w:val="FDFDFD"/>
              </w:rPr>
              <w:t>uipment f</w:t>
            </w:r>
            <w:r w:rsidRPr="003032D8">
              <w:rPr>
                <w:rFonts w:ascii="TitilliumText25L" w:hAnsi="TitilliumText25L"/>
                <w:b/>
                <w:bCs/>
                <w:iCs/>
                <w:color w:val="FDFDFD"/>
                <w:spacing w:val="-1"/>
              </w:rPr>
              <w:t>o</w:t>
            </w:r>
            <w:r w:rsidRPr="003032D8">
              <w:rPr>
                <w:rFonts w:ascii="TitilliumText25L" w:hAnsi="TitilliumText25L"/>
                <w:b/>
                <w:bCs/>
                <w:iCs/>
                <w:color w:val="FDFDFD"/>
              </w:rPr>
              <w:t>r intraoper</w:t>
            </w:r>
            <w:r w:rsidRPr="003032D8">
              <w:rPr>
                <w:rFonts w:ascii="TitilliumText25L" w:hAnsi="TitilliumText25L"/>
                <w:b/>
                <w:bCs/>
                <w:iCs/>
                <w:color w:val="FDFDFD"/>
                <w:spacing w:val="-1"/>
              </w:rPr>
              <w:t>a</w:t>
            </w:r>
            <w:r w:rsidRPr="003032D8">
              <w:rPr>
                <w:rFonts w:ascii="TitilliumText25L" w:hAnsi="TitilliumText25L"/>
                <w:b/>
                <w:bCs/>
                <w:iCs/>
                <w:color w:val="FDFDFD"/>
              </w:rPr>
              <w:t>tive b</w:t>
            </w:r>
            <w:r w:rsidRPr="003032D8">
              <w:rPr>
                <w:rFonts w:ascii="TitilliumText25L" w:hAnsi="TitilliumText25L"/>
                <w:b/>
                <w:bCs/>
                <w:iCs/>
                <w:color w:val="FDFDFD"/>
                <w:spacing w:val="-2"/>
              </w:rPr>
              <w:t>l</w:t>
            </w:r>
            <w:r w:rsidRPr="003032D8">
              <w:rPr>
                <w:rFonts w:ascii="TitilliumText25L" w:hAnsi="TitilliumText25L"/>
                <w:b/>
                <w:bCs/>
                <w:iCs/>
                <w:color w:val="FDFDFD"/>
              </w:rPr>
              <w:t>ood salva</w:t>
            </w:r>
            <w:r w:rsidRPr="003032D8">
              <w:rPr>
                <w:rFonts w:ascii="TitilliumText25L" w:hAnsi="TitilliumText25L"/>
                <w:b/>
                <w:bCs/>
                <w:iCs/>
                <w:color w:val="FDFDFD"/>
                <w:spacing w:val="-1"/>
              </w:rPr>
              <w:t>g</w:t>
            </w:r>
            <w:r w:rsidRPr="003032D8">
              <w:rPr>
                <w:rFonts w:ascii="TitilliumText25L" w:hAnsi="TitilliumText25L"/>
                <w:b/>
                <w:bCs/>
                <w:iCs/>
                <w:color w:val="FDFDFD"/>
              </w:rPr>
              <w:t>e collection</w:t>
            </w:r>
          </w:p>
        </w:tc>
        <w:tc>
          <w:tcPr>
            <w:tcW w:w="1735"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1950"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325"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61" w:type="dxa"/>
            <w:vMerge/>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409"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268"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r>
      <w:tr w:rsidR="00BE3BE3" w:rsidRPr="003032D8" w:rsidTr="00EA107D">
        <w:trPr>
          <w:trHeight w:hRule="exact" w:val="1125"/>
        </w:trPr>
        <w:tc>
          <w:tcPr>
            <w:tcW w:w="3686" w:type="dxa"/>
            <w:tcBorders>
              <w:top w:val="single" w:sz="4" w:space="0" w:color="auto"/>
              <w:left w:val="single" w:sz="4" w:space="0" w:color="auto"/>
              <w:bottom w:val="single" w:sz="4" w:space="0" w:color="auto"/>
              <w:right w:val="single" w:sz="4" w:space="0" w:color="auto"/>
            </w:tcBorders>
            <w:shd w:val="clear" w:color="auto" w:fill="F39934"/>
            <w:vAlign w:val="center"/>
          </w:tcPr>
          <w:p w:rsidR="00BE3BE3" w:rsidRPr="003032D8" w:rsidRDefault="00BE3BE3" w:rsidP="00D65937">
            <w:pPr>
              <w:widowControl w:val="0"/>
              <w:autoSpaceDE w:val="0"/>
              <w:autoSpaceDN w:val="0"/>
              <w:adjustRightInd w:val="0"/>
              <w:spacing w:before="58" w:after="100" w:afterAutospacing="1" w:line="241" w:lineRule="auto"/>
              <w:ind w:left="265" w:right="857" w:hanging="31"/>
              <w:rPr>
                <w:rFonts w:ascii="TitilliumText25L" w:hAnsi="TitilliumText25L"/>
              </w:rPr>
            </w:pPr>
            <w:r w:rsidRPr="003032D8">
              <w:rPr>
                <w:rFonts w:ascii="TitilliumText25L" w:hAnsi="TitilliumText25L"/>
                <w:b/>
                <w:bCs/>
                <w:iCs/>
                <w:color w:val="FDFDFD"/>
              </w:rPr>
              <w:t>Prepare e</w:t>
            </w:r>
            <w:r w:rsidRPr="003032D8">
              <w:rPr>
                <w:rFonts w:ascii="TitilliumText25L" w:hAnsi="TitilliumText25L"/>
                <w:b/>
                <w:bCs/>
                <w:iCs/>
                <w:color w:val="FDFDFD"/>
                <w:spacing w:val="-1"/>
              </w:rPr>
              <w:t>q</w:t>
            </w:r>
            <w:r w:rsidRPr="003032D8">
              <w:rPr>
                <w:rFonts w:ascii="TitilliumText25L" w:hAnsi="TitilliumText25L"/>
                <w:b/>
                <w:bCs/>
                <w:iCs/>
                <w:color w:val="FDFDFD"/>
              </w:rPr>
              <w:t>uipment f</w:t>
            </w:r>
            <w:r w:rsidRPr="003032D8">
              <w:rPr>
                <w:rFonts w:ascii="TitilliumText25L" w:hAnsi="TitilliumText25L"/>
                <w:b/>
                <w:bCs/>
                <w:iCs/>
                <w:color w:val="FDFDFD"/>
                <w:spacing w:val="-1"/>
              </w:rPr>
              <w:t>o</w:t>
            </w:r>
            <w:r w:rsidRPr="003032D8">
              <w:rPr>
                <w:rFonts w:ascii="TitilliumText25L" w:hAnsi="TitilliumText25L"/>
                <w:b/>
                <w:bCs/>
                <w:iCs/>
                <w:color w:val="FDFDFD"/>
              </w:rPr>
              <w:t>r proce</w:t>
            </w:r>
            <w:r w:rsidRPr="003032D8">
              <w:rPr>
                <w:rFonts w:ascii="TitilliumText25L" w:hAnsi="TitilliumText25L"/>
                <w:b/>
                <w:bCs/>
                <w:iCs/>
                <w:color w:val="FDFDFD"/>
                <w:spacing w:val="-1"/>
              </w:rPr>
              <w:t>s</w:t>
            </w:r>
            <w:r w:rsidRPr="003032D8">
              <w:rPr>
                <w:rFonts w:ascii="TitilliumText25L" w:hAnsi="TitilliumText25L"/>
                <w:b/>
                <w:bCs/>
                <w:iCs/>
                <w:color w:val="FDFDFD"/>
              </w:rPr>
              <w:t>sing intr</w:t>
            </w:r>
            <w:r w:rsidRPr="003032D8">
              <w:rPr>
                <w:rFonts w:ascii="TitilliumText25L" w:hAnsi="TitilliumText25L"/>
                <w:b/>
                <w:bCs/>
                <w:iCs/>
                <w:color w:val="FDFDFD"/>
                <w:spacing w:val="-1"/>
              </w:rPr>
              <w:t>a</w:t>
            </w:r>
            <w:r w:rsidRPr="003032D8">
              <w:rPr>
                <w:rFonts w:ascii="TitilliumText25L" w:hAnsi="TitilliumText25L"/>
                <w:b/>
                <w:bCs/>
                <w:iCs/>
                <w:color w:val="FDFDFD"/>
              </w:rPr>
              <w:t>op</w:t>
            </w:r>
            <w:r w:rsidRPr="003032D8">
              <w:rPr>
                <w:rFonts w:ascii="TitilliumText25L" w:hAnsi="TitilliumText25L"/>
                <w:b/>
                <w:bCs/>
                <w:iCs/>
                <w:color w:val="FDFDFD"/>
                <w:spacing w:val="-1"/>
              </w:rPr>
              <w:t>e</w:t>
            </w:r>
            <w:r w:rsidRPr="003032D8">
              <w:rPr>
                <w:rFonts w:ascii="TitilliumText25L" w:hAnsi="TitilliumText25L"/>
                <w:b/>
                <w:bCs/>
                <w:iCs/>
                <w:color w:val="FDFDFD"/>
              </w:rPr>
              <w:t>rati</w:t>
            </w:r>
            <w:r w:rsidRPr="003032D8">
              <w:rPr>
                <w:rFonts w:ascii="TitilliumText25L" w:hAnsi="TitilliumText25L"/>
                <w:b/>
                <w:bCs/>
                <w:iCs/>
                <w:color w:val="FDFDFD"/>
                <w:spacing w:val="-1"/>
              </w:rPr>
              <w:t>v</w:t>
            </w:r>
            <w:r w:rsidRPr="003032D8">
              <w:rPr>
                <w:rFonts w:ascii="TitilliumText25L" w:hAnsi="TitilliumText25L"/>
                <w:b/>
                <w:bCs/>
                <w:iCs/>
                <w:color w:val="FDFDFD"/>
              </w:rPr>
              <w:t>e salvag</w:t>
            </w:r>
            <w:r w:rsidRPr="003032D8">
              <w:rPr>
                <w:rFonts w:ascii="TitilliumText25L" w:hAnsi="TitilliumText25L"/>
                <w:b/>
                <w:bCs/>
                <w:iCs/>
                <w:color w:val="FDFDFD"/>
                <w:spacing w:val="-1"/>
              </w:rPr>
              <w:t>e</w:t>
            </w:r>
            <w:r w:rsidRPr="003032D8">
              <w:rPr>
                <w:rFonts w:ascii="TitilliumText25L" w:hAnsi="TitilliumText25L"/>
                <w:b/>
                <w:bCs/>
                <w:iCs/>
                <w:color w:val="FDFDFD"/>
              </w:rPr>
              <w:t>d blood</w:t>
            </w:r>
          </w:p>
        </w:tc>
        <w:tc>
          <w:tcPr>
            <w:tcW w:w="1735"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1950"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325"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61" w:type="dxa"/>
            <w:vMerge/>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409"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268"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r>
      <w:tr w:rsidR="00BE3BE3" w:rsidRPr="003032D8" w:rsidTr="00EA107D">
        <w:trPr>
          <w:trHeight w:hRule="exact" w:val="1708"/>
        </w:trPr>
        <w:tc>
          <w:tcPr>
            <w:tcW w:w="3686" w:type="dxa"/>
            <w:tcBorders>
              <w:top w:val="single" w:sz="4" w:space="0" w:color="auto"/>
              <w:left w:val="single" w:sz="4" w:space="0" w:color="auto"/>
              <w:bottom w:val="single" w:sz="4" w:space="0" w:color="auto"/>
              <w:right w:val="single" w:sz="4" w:space="0" w:color="auto"/>
            </w:tcBorders>
            <w:shd w:val="clear" w:color="auto" w:fill="96C449"/>
            <w:vAlign w:val="center"/>
          </w:tcPr>
          <w:p w:rsidR="00BE3BE3" w:rsidRPr="003032D8" w:rsidRDefault="00BE3BE3" w:rsidP="00D65937">
            <w:pPr>
              <w:widowControl w:val="0"/>
              <w:autoSpaceDE w:val="0"/>
              <w:autoSpaceDN w:val="0"/>
              <w:adjustRightInd w:val="0"/>
              <w:spacing w:before="58" w:after="100" w:afterAutospacing="1" w:line="240" w:lineRule="auto"/>
              <w:ind w:left="265" w:right="777" w:hanging="31"/>
              <w:rPr>
                <w:rFonts w:ascii="TitilliumText25L" w:hAnsi="TitilliumText25L"/>
              </w:rPr>
            </w:pPr>
            <w:r w:rsidRPr="003032D8">
              <w:rPr>
                <w:rFonts w:ascii="TitilliumText25L" w:hAnsi="TitilliumText25L"/>
                <w:b/>
                <w:bCs/>
                <w:iCs/>
                <w:color w:val="FDFDFD"/>
              </w:rPr>
              <w:lastRenderedPageBreak/>
              <w:t>Oper</w:t>
            </w:r>
            <w:r w:rsidRPr="003032D8">
              <w:rPr>
                <w:rFonts w:ascii="TitilliumText25L" w:hAnsi="TitilliumText25L"/>
                <w:b/>
                <w:bCs/>
                <w:iCs/>
                <w:color w:val="FDFDFD"/>
                <w:spacing w:val="-1"/>
              </w:rPr>
              <w:t>a</w:t>
            </w:r>
            <w:r w:rsidRPr="003032D8">
              <w:rPr>
                <w:rFonts w:ascii="TitilliumText25L" w:hAnsi="TitilliumText25L"/>
                <w:b/>
                <w:bCs/>
                <w:iCs/>
                <w:color w:val="FDFDFD"/>
              </w:rPr>
              <w:t>te a</w:t>
            </w:r>
            <w:r w:rsidRPr="003032D8">
              <w:rPr>
                <w:rFonts w:ascii="TitilliumText25L" w:hAnsi="TitilliumText25L"/>
                <w:b/>
                <w:bCs/>
                <w:iCs/>
                <w:color w:val="FDFDFD"/>
                <w:spacing w:val="-1"/>
              </w:rPr>
              <w:t>n</w:t>
            </w:r>
            <w:r w:rsidRPr="003032D8">
              <w:rPr>
                <w:rFonts w:ascii="TitilliumText25L" w:hAnsi="TitilliumText25L"/>
                <w:b/>
                <w:bCs/>
                <w:iCs/>
                <w:color w:val="FDFDFD"/>
              </w:rPr>
              <w:t>d monitor equ</w:t>
            </w:r>
            <w:r w:rsidRPr="003032D8">
              <w:rPr>
                <w:rFonts w:ascii="TitilliumText25L" w:hAnsi="TitilliumText25L"/>
                <w:b/>
                <w:bCs/>
                <w:iCs/>
                <w:color w:val="FDFDFD"/>
                <w:spacing w:val="-2"/>
              </w:rPr>
              <w:t>i</w:t>
            </w:r>
            <w:r w:rsidRPr="003032D8">
              <w:rPr>
                <w:rFonts w:ascii="TitilliumText25L" w:hAnsi="TitilliumText25L"/>
                <w:b/>
                <w:bCs/>
                <w:iCs/>
                <w:color w:val="FDFDFD"/>
              </w:rPr>
              <w:t>pment for p</w:t>
            </w:r>
            <w:r w:rsidRPr="003032D8">
              <w:rPr>
                <w:rFonts w:ascii="TitilliumText25L" w:hAnsi="TitilliumText25L"/>
                <w:b/>
                <w:bCs/>
                <w:iCs/>
                <w:color w:val="FDFDFD"/>
                <w:spacing w:val="-1"/>
              </w:rPr>
              <w:t>ro</w:t>
            </w:r>
            <w:r w:rsidRPr="003032D8">
              <w:rPr>
                <w:rFonts w:ascii="TitilliumText25L" w:hAnsi="TitilliumText25L"/>
                <w:b/>
                <w:bCs/>
                <w:iCs/>
                <w:color w:val="FDFDFD"/>
              </w:rPr>
              <w:t>cessing int</w:t>
            </w:r>
            <w:r w:rsidRPr="003032D8">
              <w:rPr>
                <w:rFonts w:ascii="TitilliumText25L" w:hAnsi="TitilliumText25L"/>
                <w:b/>
                <w:bCs/>
                <w:iCs/>
                <w:color w:val="FDFDFD"/>
                <w:spacing w:val="-1"/>
              </w:rPr>
              <w:t>r</w:t>
            </w:r>
            <w:r w:rsidRPr="003032D8">
              <w:rPr>
                <w:rFonts w:ascii="TitilliumText25L" w:hAnsi="TitilliumText25L"/>
                <w:b/>
                <w:bCs/>
                <w:iCs/>
                <w:color w:val="FDFDFD"/>
              </w:rPr>
              <w:t>aoper</w:t>
            </w:r>
            <w:r w:rsidRPr="003032D8">
              <w:rPr>
                <w:rFonts w:ascii="TitilliumText25L" w:hAnsi="TitilliumText25L"/>
                <w:b/>
                <w:bCs/>
                <w:iCs/>
                <w:color w:val="FDFDFD"/>
                <w:spacing w:val="-1"/>
              </w:rPr>
              <w:t>a</w:t>
            </w:r>
            <w:r w:rsidRPr="003032D8">
              <w:rPr>
                <w:rFonts w:ascii="TitilliumText25L" w:hAnsi="TitilliumText25L"/>
                <w:b/>
                <w:bCs/>
                <w:iCs/>
                <w:color w:val="FDFDFD"/>
              </w:rPr>
              <w:t>tive sa</w:t>
            </w:r>
            <w:r w:rsidRPr="003032D8">
              <w:rPr>
                <w:rFonts w:ascii="TitilliumText25L" w:hAnsi="TitilliumText25L"/>
                <w:b/>
                <w:bCs/>
                <w:iCs/>
                <w:color w:val="FDFDFD"/>
                <w:spacing w:val="-2"/>
              </w:rPr>
              <w:t>l</w:t>
            </w:r>
            <w:r w:rsidRPr="003032D8">
              <w:rPr>
                <w:rFonts w:ascii="TitilliumText25L" w:hAnsi="TitilliumText25L"/>
                <w:b/>
                <w:bCs/>
                <w:iCs/>
                <w:color w:val="FDFDFD"/>
              </w:rPr>
              <w:t>vaged blo</w:t>
            </w:r>
            <w:r w:rsidRPr="003032D8">
              <w:rPr>
                <w:rFonts w:ascii="TitilliumText25L" w:hAnsi="TitilliumText25L"/>
                <w:b/>
                <w:bCs/>
                <w:iCs/>
                <w:color w:val="FDFDFD"/>
                <w:spacing w:val="-1"/>
              </w:rPr>
              <w:t>o</w:t>
            </w:r>
            <w:r w:rsidRPr="003032D8">
              <w:rPr>
                <w:rFonts w:ascii="TitilliumText25L" w:hAnsi="TitilliumText25L"/>
                <w:b/>
                <w:bCs/>
                <w:iCs/>
                <w:color w:val="FDFDFD"/>
              </w:rPr>
              <w:t>d and complete the sal</w:t>
            </w:r>
            <w:r w:rsidRPr="003032D8">
              <w:rPr>
                <w:rFonts w:ascii="TitilliumText25L" w:hAnsi="TitilliumText25L"/>
                <w:b/>
                <w:bCs/>
                <w:iCs/>
                <w:color w:val="FDFDFD"/>
                <w:spacing w:val="-1"/>
              </w:rPr>
              <w:t>v</w:t>
            </w:r>
            <w:r w:rsidRPr="003032D8">
              <w:rPr>
                <w:rFonts w:ascii="TitilliumText25L" w:hAnsi="TitilliumText25L"/>
                <w:b/>
                <w:bCs/>
                <w:iCs/>
                <w:color w:val="FDFDFD"/>
              </w:rPr>
              <w:t>a</w:t>
            </w:r>
            <w:r w:rsidRPr="003032D8">
              <w:rPr>
                <w:rFonts w:ascii="TitilliumText25L" w:hAnsi="TitilliumText25L"/>
                <w:b/>
                <w:bCs/>
                <w:iCs/>
                <w:color w:val="FDFDFD"/>
                <w:spacing w:val="-1"/>
              </w:rPr>
              <w:t>g</w:t>
            </w:r>
            <w:r w:rsidRPr="003032D8">
              <w:rPr>
                <w:rFonts w:ascii="TitilliumText25L" w:hAnsi="TitilliumText25L"/>
                <w:b/>
                <w:bCs/>
                <w:iCs/>
                <w:color w:val="FDFDFD"/>
              </w:rPr>
              <w:t>ed blood proc</w:t>
            </w:r>
            <w:r w:rsidRPr="003032D8">
              <w:rPr>
                <w:rFonts w:ascii="TitilliumText25L" w:hAnsi="TitilliumText25L"/>
                <w:b/>
                <w:bCs/>
                <w:iCs/>
                <w:color w:val="FDFDFD"/>
                <w:spacing w:val="-1"/>
              </w:rPr>
              <w:t>e</w:t>
            </w:r>
            <w:r w:rsidRPr="003032D8">
              <w:rPr>
                <w:rFonts w:ascii="TitilliumText25L" w:hAnsi="TitilliumText25L"/>
                <w:b/>
                <w:bCs/>
                <w:iCs/>
                <w:color w:val="FDFDFD"/>
              </w:rPr>
              <w:t>ssing</w:t>
            </w:r>
          </w:p>
        </w:tc>
        <w:tc>
          <w:tcPr>
            <w:tcW w:w="1735"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1950"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325"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61" w:type="dxa"/>
            <w:vMerge/>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409"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c>
          <w:tcPr>
            <w:tcW w:w="2268" w:type="dxa"/>
            <w:tcBorders>
              <w:top w:val="single" w:sz="4" w:space="0" w:color="auto"/>
              <w:left w:val="single" w:sz="4" w:space="0" w:color="auto"/>
              <w:bottom w:val="single" w:sz="4" w:space="0" w:color="auto"/>
              <w:right w:val="single" w:sz="4" w:space="0" w:color="auto"/>
            </w:tcBorders>
          </w:tcPr>
          <w:p w:rsidR="00BE3BE3" w:rsidRPr="003032D8" w:rsidRDefault="00BE3BE3" w:rsidP="00D65937">
            <w:pPr>
              <w:widowControl w:val="0"/>
              <w:autoSpaceDE w:val="0"/>
              <w:autoSpaceDN w:val="0"/>
              <w:adjustRightInd w:val="0"/>
              <w:spacing w:after="0" w:line="240" w:lineRule="auto"/>
              <w:rPr>
                <w:rFonts w:ascii="TitilliumText25L" w:hAnsi="TitilliumText25L"/>
              </w:rPr>
            </w:pPr>
          </w:p>
        </w:tc>
      </w:tr>
    </w:tbl>
    <w:p w:rsidR="00BE3BE3" w:rsidRPr="003032D8" w:rsidRDefault="00BE3BE3" w:rsidP="00BE3BE3">
      <w:pPr>
        <w:spacing w:before="360" w:after="120" w:line="240" w:lineRule="auto"/>
        <w:outlineLvl w:val="1"/>
        <w:rPr>
          <w:rFonts w:ascii="TitilliumText25L" w:hAnsi="TitilliumText25L" w:cs="Arial"/>
          <w:color w:val="000000"/>
          <w:sz w:val="36"/>
          <w:szCs w:val="36"/>
          <w:u w:val="single"/>
        </w:rPr>
      </w:pPr>
      <w:bookmarkStart w:id="56" w:name="_Toc355270945"/>
      <w:bookmarkStart w:id="57" w:name="_Toc366850090"/>
      <w:r w:rsidRPr="003032D8">
        <w:rPr>
          <w:rFonts w:ascii="TitilliumText25L" w:hAnsi="TitilliumText25L" w:cs="Arial"/>
          <w:sz w:val="36"/>
          <w:szCs w:val="36"/>
          <w:u w:val="single"/>
        </w:rPr>
        <w:t>ICS Competency</w:t>
      </w:r>
      <w:r w:rsidRPr="003032D8">
        <w:rPr>
          <w:rFonts w:ascii="TitilliumText25L" w:hAnsi="TitilliumText25L" w:cs="Arial"/>
          <w:spacing w:val="-17"/>
          <w:sz w:val="36"/>
          <w:szCs w:val="36"/>
          <w:u w:val="single"/>
        </w:rPr>
        <w:t xml:space="preserve"> </w:t>
      </w:r>
      <w:r w:rsidRPr="003032D8">
        <w:rPr>
          <w:rFonts w:ascii="TitilliumText25L" w:hAnsi="TitilliumText25L" w:cs="Arial"/>
          <w:sz w:val="36"/>
          <w:szCs w:val="36"/>
          <w:u w:val="single"/>
        </w:rPr>
        <w:t>Assessment</w:t>
      </w:r>
      <w:bookmarkEnd w:id="56"/>
      <w:bookmarkEnd w:id="57"/>
    </w:p>
    <w:tbl>
      <w:tblPr>
        <w:tblW w:w="13987" w:type="dxa"/>
        <w:tblInd w:w="117" w:type="dxa"/>
        <w:tblLayout w:type="fixed"/>
        <w:tblCellMar>
          <w:left w:w="0" w:type="dxa"/>
          <w:right w:w="0" w:type="dxa"/>
        </w:tblCellMar>
        <w:tblLook w:val="0000" w:firstRow="0" w:lastRow="0" w:firstColumn="0" w:lastColumn="0" w:noHBand="0" w:noVBand="0"/>
      </w:tblPr>
      <w:tblGrid>
        <w:gridCol w:w="2473"/>
        <w:gridCol w:w="1600"/>
        <w:gridCol w:w="2315"/>
        <w:gridCol w:w="975"/>
        <w:gridCol w:w="628"/>
        <w:gridCol w:w="583"/>
        <w:gridCol w:w="240"/>
        <w:gridCol w:w="360"/>
        <w:gridCol w:w="600"/>
        <w:gridCol w:w="594"/>
        <w:gridCol w:w="567"/>
        <w:gridCol w:w="470"/>
        <w:gridCol w:w="1141"/>
        <w:gridCol w:w="1441"/>
      </w:tblGrid>
      <w:tr w:rsidR="00BE3BE3" w:rsidRPr="003032D8" w:rsidTr="00D65937">
        <w:trPr>
          <w:trHeight w:hRule="exact" w:val="896"/>
        </w:trPr>
        <w:tc>
          <w:tcPr>
            <w:tcW w:w="13987" w:type="dxa"/>
            <w:gridSpan w:val="1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outlineLvl w:val="1"/>
              <w:rPr>
                <w:rFonts w:ascii="TitilliumText25L" w:hAnsi="TitilliumText25L" w:cs="Arial"/>
                <w:sz w:val="36"/>
                <w:szCs w:val="36"/>
              </w:rPr>
            </w:pPr>
            <w:bookmarkStart w:id="58" w:name="_Toc355270946"/>
            <w:bookmarkStart w:id="59" w:name="_Toc366850091"/>
            <w:r w:rsidRPr="003032D8">
              <w:rPr>
                <w:rFonts w:ascii="TitilliumText25L" w:hAnsi="TitilliumText25L" w:cs="Arial"/>
                <w:sz w:val="36"/>
                <w:szCs w:val="36"/>
              </w:rPr>
              <w:t>Section 1</w:t>
            </w:r>
            <w:r w:rsidRPr="003032D8">
              <w:rPr>
                <w:rFonts w:ascii="TitilliumText25L" w:hAnsi="TitilliumText25L" w:cs="Arial"/>
                <w:sz w:val="36"/>
                <w:szCs w:val="36"/>
              </w:rPr>
              <w:tab/>
            </w:r>
            <w:r w:rsidRPr="003032D8">
              <w:rPr>
                <w:rFonts w:ascii="TitilliumText25L" w:hAnsi="TitilliumText25L" w:cs="Arial"/>
                <w:sz w:val="36"/>
                <w:szCs w:val="36"/>
              </w:rPr>
              <w:tab/>
              <w:t>General</w:t>
            </w:r>
            <w:bookmarkEnd w:id="58"/>
            <w:bookmarkEnd w:id="59"/>
          </w:p>
        </w:tc>
      </w:tr>
      <w:tr w:rsidR="00BE3BE3" w:rsidRPr="003032D8" w:rsidTr="00D65937">
        <w:trPr>
          <w:trHeight w:hRule="exact" w:val="416"/>
        </w:trPr>
        <w:tc>
          <w:tcPr>
            <w:tcW w:w="7363" w:type="dxa"/>
            <w:gridSpan w:val="4"/>
            <w:tcBorders>
              <w:top w:val="single" w:sz="7" w:space="0" w:color="282828"/>
              <w:left w:val="single" w:sz="7" w:space="0" w:color="282828"/>
              <w:bottom w:val="single" w:sz="7" w:space="0" w:color="282828"/>
              <w:right w:val="single" w:sz="7" w:space="0" w:color="282828"/>
            </w:tcBorders>
            <w:shd w:val="clear" w:color="auto" w:fill="ED3537"/>
            <w:vAlign w:val="center"/>
          </w:tcPr>
          <w:p w:rsidR="00BE3BE3" w:rsidRPr="003032D8" w:rsidRDefault="00BE3BE3" w:rsidP="00D65937">
            <w:pPr>
              <w:spacing w:after="0" w:line="240" w:lineRule="auto"/>
              <w:ind w:left="170"/>
              <w:outlineLvl w:val="2"/>
              <w:rPr>
                <w:rFonts w:ascii="TitilliumText25L" w:hAnsi="TitilliumText25L" w:cs="Arial"/>
                <w:b/>
                <w:color w:val="C60C30"/>
                <w:sz w:val="24"/>
                <w:szCs w:val="24"/>
              </w:rPr>
            </w:pPr>
            <w:bookmarkStart w:id="60" w:name="_Toc355270947"/>
            <w:bookmarkStart w:id="61" w:name="_Toc366850092"/>
            <w:r w:rsidRPr="003032D8">
              <w:rPr>
                <w:rFonts w:ascii="TitilliumText25L" w:hAnsi="TitilliumText25L" w:cs="Arial"/>
                <w:b/>
                <w:color w:val="FFFFFF"/>
                <w:w w:val="99"/>
                <w:sz w:val="28"/>
                <w:szCs w:val="28"/>
              </w:rPr>
              <w:t>Knowledge</w:t>
            </w:r>
            <w:r w:rsidRPr="003032D8">
              <w:rPr>
                <w:rFonts w:ascii="TitilliumText25L" w:hAnsi="TitilliumText25L" w:cs="Arial"/>
                <w:b/>
                <w:color w:val="FFFFFF"/>
                <w:spacing w:val="-21"/>
                <w:w w:val="99"/>
                <w:sz w:val="28"/>
                <w:szCs w:val="28"/>
              </w:rPr>
              <w:t xml:space="preserve"> </w:t>
            </w:r>
            <w:r w:rsidRPr="003032D8">
              <w:rPr>
                <w:rFonts w:ascii="TitilliumText25L" w:hAnsi="TitilliumText25L" w:cs="Arial"/>
                <w:b/>
                <w:color w:val="FFFFFF"/>
                <w:sz w:val="28"/>
                <w:szCs w:val="28"/>
              </w:rPr>
              <w:t>and</w:t>
            </w:r>
            <w:r w:rsidRPr="003032D8">
              <w:rPr>
                <w:rFonts w:ascii="TitilliumText25L" w:hAnsi="TitilliumText25L" w:cs="Arial"/>
                <w:b/>
                <w:color w:val="FFFFFF"/>
                <w:spacing w:val="-4"/>
                <w:sz w:val="28"/>
                <w:szCs w:val="28"/>
              </w:rPr>
              <w:t xml:space="preserve"> </w:t>
            </w:r>
            <w:r w:rsidRPr="003032D8">
              <w:rPr>
                <w:rFonts w:ascii="TitilliumText25L" w:hAnsi="TitilliumText25L" w:cs="Arial"/>
                <w:b/>
                <w:color w:val="FFFFFF"/>
                <w:sz w:val="28"/>
                <w:szCs w:val="28"/>
              </w:rPr>
              <w:t>Unders</w:t>
            </w:r>
            <w:r w:rsidRPr="003032D8">
              <w:rPr>
                <w:rFonts w:ascii="TitilliumText25L" w:hAnsi="TitilliumText25L" w:cs="Arial"/>
                <w:b/>
                <w:color w:val="FFFFFF"/>
                <w:spacing w:val="-7"/>
                <w:sz w:val="28"/>
                <w:szCs w:val="28"/>
              </w:rPr>
              <w:t>t</w:t>
            </w:r>
            <w:r w:rsidRPr="003032D8">
              <w:rPr>
                <w:rFonts w:ascii="TitilliumText25L" w:hAnsi="TitilliumText25L" w:cs="Arial"/>
                <w:b/>
                <w:color w:val="FFFFFF"/>
                <w:spacing w:val="1"/>
                <w:sz w:val="28"/>
                <w:szCs w:val="28"/>
              </w:rPr>
              <w:t>a</w:t>
            </w:r>
            <w:r w:rsidRPr="003032D8">
              <w:rPr>
                <w:rFonts w:ascii="TitilliumText25L" w:hAnsi="TitilliumText25L" w:cs="Arial"/>
                <w:b/>
                <w:color w:val="FFFFFF"/>
                <w:sz w:val="28"/>
                <w:szCs w:val="28"/>
              </w:rPr>
              <w:t>nding</w:t>
            </w:r>
            <w:bookmarkEnd w:id="60"/>
            <w:bookmarkEnd w:id="61"/>
          </w:p>
        </w:tc>
        <w:tc>
          <w:tcPr>
            <w:tcW w:w="3572" w:type="dxa"/>
            <w:gridSpan w:val="7"/>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before="35" w:after="0" w:line="240" w:lineRule="auto"/>
              <w:ind w:left="508"/>
              <w:rPr>
                <w:rFonts w:ascii="TitilliumText25L" w:hAnsi="TitilliumText25L"/>
                <w:sz w:val="28"/>
                <w:szCs w:val="28"/>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3"/>
            <w:tcBorders>
              <w:top w:val="single" w:sz="7" w:space="0" w:color="282828"/>
              <w:left w:val="single" w:sz="7" w:space="0" w:color="282828"/>
              <w:bottom w:val="single" w:sz="7" w:space="0" w:color="282828"/>
              <w:right w:val="single" w:sz="7" w:space="0" w:color="282828"/>
            </w:tcBorders>
            <w:shd w:val="clear" w:color="auto" w:fill="ED3537"/>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55"/>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The trainee demonstrated knowledge and understanding of: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jc w:val="center"/>
              <w:rPr>
                <w:rFonts w:ascii="TitilliumText25L" w:hAnsi="TitilliumText25L" w:cs="Arial"/>
                <w:b/>
                <w:bCs/>
                <w:color w:val="282828"/>
              </w:rPr>
            </w:pPr>
            <w:r w:rsidRPr="003032D8">
              <w:rPr>
                <w:rFonts w:ascii="TitilliumText25L" w:hAnsi="TitilliumText25L" w:cs="Arial"/>
                <w:b/>
                <w:bCs/>
                <w:color w:val="282828"/>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jc w:val="center"/>
              <w:rPr>
                <w:rFonts w:ascii="TitilliumText25L" w:hAnsi="TitilliumText25L" w:cs="Arial"/>
                <w:b/>
                <w:bCs/>
                <w:color w:val="282828"/>
              </w:rPr>
            </w:pPr>
            <w:r w:rsidRPr="003032D8">
              <w:rPr>
                <w:rFonts w:ascii="TitilliumText25L" w:hAnsi="TitilliumText25L" w:cs="Arial"/>
                <w:b/>
                <w:bCs/>
                <w:color w:val="282828"/>
              </w:rPr>
              <w:t>S</w:t>
            </w: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jc w:val="center"/>
              <w:rPr>
                <w:rFonts w:ascii="TitilliumText25L" w:hAnsi="TitilliumText25L" w:cs="Arial"/>
                <w:b/>
                <w:bCs/>
                <w:color w:val="282828"/>
              </w:rPr>
            </w:pPr>
            <w:proofErr w:type="spellStart"/>
            <w:r w:rsidRPr="003032D8">
              <w:rPr>
                <w:rFonts w:ascii="TitilliumText25L" w:hAnsi="TitilliumText25L" w:cs="Arial"/>
                <w:b/>
                <w:bCs/>
                <w:color w:val="282828"/>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jc w:val="center"/>
              <w:rPr>
                <w:rFonts w:ascii="TitilliumText25L" w:hAnsi="TitilliumText25L" w:cs="Arial"/>
                <w:b/>
                <w:bCs/>
                <w:color w:val="282828"/>
              </w:rPr>
            </w:pPr>
            <w:r w:rsidRPr="003032D8">
              <w:rPr>
                <w:rFonts w:ascii="TitilliumText25L" w:hAnsi="TitilliumText25L" w:cs="Arial"/>
                <w:b/>
                <w:bCs/>
                <w:color w:val="282828"/>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jc w:val="center"/>
              <w:rPr>
                <w:rFonts w:ascii="TitilliumText25L" w:hAnsi="TitilliumText25L" w:cs="Arial"/>
                <w:b/>
                <w:bCs/>
                <w:color w:val="282828"/>
              </w:rPr>
            </w:pPr>
            <w:proofErr w:type="spellStart"/>
            <w:r w:rsidRPr="003032D8">
              <w:rPr>
                <w:rFonts w:ascii="TitilliumText25L" w:hAnsi="TitilliumText25L" w:cs="Arial"/>
                <w:b/>
                <w:bCs/>
                <w:color w:val="282828"/>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jc w:val="center"/>
              <w:rPr>
                <w:rFonts w:ascii="TitilliumText25L" w:hAnsi="TitilliumText25L" w:cs="Arial"/>
                <w:b/>
                <w:bCs/>
                <w:color w:val="282828"/>
              </w:rPr>
            </w:pPr>
            <w:proofErr w:type="spellStart"/>
            <w:r w:rsidRPr="003032D8">
              <w:rPr>
                <w:rFonts w:ascii="TitilliumText25L" w:hAnsi="TitilliumText25L" w:cs="Arial"/>
                <w:b/>
                <w:bCs/>
                <w:color w:val="282828"/>
              </w:rPr>
              <w:t>OQ</w:t>
            </w:r>
            <w:proofErr w:type="spellEnd"/>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jc w:val="center"/>
              <w:rPr>
                <w:rFonts w:ascii="TitilliumText25L" w:hAnsi="TitilliumText25L" w:cs="Arial"/>
                <w:b/>
                <w:bCs/>
                <w:color w:val="282828"/>
              </w:rPr>
            </w:pPr>
            <w:r w:rsidRPr="003032D8">
              <w:rPr>
                <w:rFonts w:ascii="TitilliumText25L" w:hAnsi="TitilliumText25L" w:cs="Arial"/>
                <w:b/>
                <w:bCs/>
                <w:color w:val="282828"/>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jc w:val="center"/>
              <w:rPr>
                <w:rFonts w:ascii="TitilliumText25L" w:hAnsi="TitilliumText25L" w:cs="Arial"/>
                <w:b/>
                <w:bCs/>
                <w:color w:val="282828"/>
              </w:rPr>
            </w:pPr>
            <w:r w:rsidRPr="003032D8">
              <w:rPr>
                <w:rFonts w:ascii="TitilliumText25L" w:hAnsi="TitilliumText25L" w:cs="Arial"/>
                <w:b/>
                <w:bCs/>
                <w:color w:val="282828"/>
              </w:rPr>
              <w:t>Date</w:t>
            </w:r>
          </w:p>
        </w:tc>
      </w:tr>
      <w:tr w:rsidR="00BE3BE3" w:rsidRPr="003032D8" w:rsidTr="00D65937">
        <w:trPr>
          <w:trHeight w:hRule="exact" w:val="936"/>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National guidance (NBA ICS guidance), organisational policies and protocols related to the Intraoperative Cell Salvage (ICS) process.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38"/>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Their responsibilities and accountability in relation to the ICS process.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907"/>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 xml:space="preserve">The importance of working within their own scope of practice and </w:t>
            </w:r>
            <w:proofErr w:type="spellStart"/>
            <w:r w:rsidRPr="003032D8">
              <w:rPr>
                <w:rFonts w:ascii="TitilliumText25L" w:hAnsi="TitilliumText25L" w:cs="Arial"/>
                <w:bCs/>
                <w:color w:val="282828"/>
              </w:rPr>
              <w:t>competence,in</w:t>
            </w:r>
            <w:proofErr w:type="spellEnd"/>
            <w:r w:rsidRPr="003032D8">
              <w:rPr>
                <w:rFonts w:ascii="TitilliumText25L" w:hAnsi="TitilliumText25L" w:cs="Arial"/>
                <w:bCs/>
                <w:color w:val="282828"/>
              </w:rPr>
              <w:t xml:space="preserve"> relation to the ICS process.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80"/>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Infection prevention and control in relation to the ICS process and the potential consequences of poor practice.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397"/>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rationale behind the use of autologous blood transfusion.</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4"/>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dangers of re-using equipment designed for single use only.</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80"/>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applications of ICS in relation to patients who refuse allogeneic blood on religious or other grounds.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80"/>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lastRenderedPageBreak/>
              <w:t>The importance of recording all information, clearly and precisely in the appropriate documentation.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11"/>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sz w:val="21"/>
                <w:szCs w:val="21"/>
              </w:rPr>
            </w:pPr>
            <w:r w:rsidRPr="003032D8">
              <w:rPr>
                <w:rFonts w:ascii="TitilliumText25L" w:hAnsi="TitilliumText25L" w:cs="Arial"/>
                <w:bCs/>
                <w:color w:val="282828"/>
                <w:sz w:val="21"/>
                <w:szCs w:val="21"/>
              </w:rPr>
              <w:t>The importance of immediately reporting any issues which are outside your own sphere of competence without delay to the relevant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gridSpan w:val="4"/>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ning</w:t>
            </w:r>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gridSpan w:val="5"/>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r w:rsidRPr="003032D8">
              <w:rPr>
                <w:rFonts w:ascii="TitilliumText25L" w:hAnsi="TitilliumText25L" w:cs="Arial"/>
                <w:b/>
                <w:bCs/>
                <w:color w:val="C0C0C0"/>
                <w:sz w:val="19"/>
                <w:szCs w:val="19"/>
              </w:rPr>
              <w:t xml:space="preserve">Q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gridSpan w:val="2"/>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spacing w:line="240" w:lineRule="auto"/>
        <w:rPr>
          <w:rFonts w:ascii="TitilliumText25L" w:hAnsi="TitilliumText25L"/>
        </w:r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BE3BE3" w:rsidRPr="003032D8" w:rsidTr="00D65937">
        <w:trPr>
          <w:trHeight w:hRule="exact" w:val="896"/>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sz w:val="36"/>
                <w:szCs w:val="36"/>
              </w:rPr>
            </w:pPr>
            <w:bookmarkStart w:id="62" w:name="_Toc355001634"/>
            <w:r w:rsidRPr="003032D8">
              <w:rPr>
                <w:rFonts w:ascii="TitilliumText25L" w:hAnsi="TitilliumText25L" w:cs="Arial"/>
                <w:sz w:val="36"/>
                <w:szCs w:val="36"/>
              </w:rPr>
              <w:t>Section 1</w:t>
            </w:r>
            <w:r w:rsidRPr="003032D8">
              <w:rPr>
                <w:rFonts w:ascii="TitilliumText25L" w:hAnsi="TitilliumText25L" w:cs="Arial"/>
                <w:sz w:val="36"/>
                <w:szCs w:val="36"/>
              </w:rPr>
              <w:tab/>
            </w:r>
            <w:r w:rsidRPr="003032D8">
              <w:rPr>
                <w:rFonts w:ascii="TitilliumText25L" w:hAnsi="TitilliumText25L" w:cs="Arial"/>
                <w:sz w:val="36"/>
                <w:szCs w:val="36"/>
              </w:rPr>
              <w:tab/>
              <w:t>General</w:t>
            </w:r>
            <w:bookmarkEnd w:id="62"/>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ED3537"/>
          </w:tcPr>
          <w:p w:rsidR="00BE3BE3" w:rsidRPr="003032D8" w:rsidRDefault="00BE3BE3" w:rsidP="00D65937">
            <w:pPr>
              <w:spacing w:after="0" w:line="240" w:lineRule="auto"/>
              <w:ind w:left="170"/>
              <w:outlineLvl w:val="2"/>
              <w:rPr>
                <w:rFonts w:ascii="TitilliumText25L" w:hAnsi="TitilliumText25L" w:cs="Arial"/>
                <w:b/>
                <w:color w:val="C60C30"/>
                <w:sz w:val="24"/>
                <w:szCs w:val="24"/>
              </w:rPr>
            </w:pPr>
            <w:bookmarkStart w:id="63" w:name="_Toc355270948"/>
            <w:bookmarkStart w:id="64" w:name="_Toc366850093"/>
            <w:r w:rsidRPr="003032D8">
              <w:rPr>
                <w:rFonts w:ascii="TitilliumText25L" w:hAnsi="TitilliumText25L" w:cs="Arial"/>
                <w:b/>
                <w:color w:val="FFFFFF"/>
                <w:w w:val="99"/>
                <w:sz w:val="28"/>
                <w:szCs w:val="28"/>
              </w:rPr>
              <w:t>Performance</w:t>
            </w:r>
            <w:r w:rsidRPr="003032D8">
              <w:rPr>
                <w:rFonts w:ascii="TitilliumText25L" w:hAnsi="TitilliumText25L" w:cs="Arial"/>
                <w:b/>
                <w:color w:val="FFFFFF"/>
                <w:spacing w:val="-21"/>
                <w:w w:val="99"/>
                <w:sz w:val="28"/>
                <w:szCs w:val="28"/>
              </w:rPr>
              <w:t xml:space="preserve"> </w:t>
            </w:r>
            <w:r w:rsidRPr="003032D8">
              <w:rPr>
                <w:rFonts w:ascii="TitilliumText25L" w:hAnsi="TitilliumText25L" w:cs="Arial"/>
                <w:b/>
                <w:color w:val="FFFFFF"/>
                <w:sz w:val="28"/>
                <w:szCs w:val="28"/>
              </w:rPr>
              <w:t>Criteria</w:t>
            </w:r>
            <w:bookmarkEnd w:id="63"/>
            <w:bookmarkEnd w:id="64"/>
          </w:p>
        </w:tc>
        <w:tc>
          <w:tcPr>
            <w:tcW w:w="3572" w:type="dxa"/>
            <w:gridSpan w:val="6"/>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before="35" w:after="0" w:line="240" w:lineRule="auto"/>
              <w:ind w:left="170"/>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ED3537"/>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81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The trainee demonstrated, in a clinical setting, that they 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182"/>
              <w:rPr>
                <w:rFonts w:ascii="TitilliumText25L" w:hAnsi="TitilliumText25L" w:cs="Arial"/>
                <w:b/>
                <w:bCs/>
                <w:color w:val="282828"/>
              </w:rPr>
            </w:pPr>
            <w:r w:rsidRPr="003032D8">
              <w:rPr>
                <w:rFonts w:ascii="TitilliumText25L" w:hAnsi="TitilliumText25L" w:cs="Arial"/>
                <w:b/>
                <w:bCs/>
                <w:color w:val="282828"/>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227"/>
              <w:rPr>
                <w:rFonts w:ascii="TitilliumText25L" w:hAnsi="TitilliumText25L" w:cs="Arial"/>
                <w:b/>
                <w:bCs/>
                <w:color w:val="282828"/>
              </w:rPr>
            </w:pPr>
            <w:r w:rsidRPr="003032D8">
              <w:rPr>
                <w:rFonts w:ascii="TitilliumText25L" w:hAnsi="TitilliumText25L" w:cs="Arial"/>
                <w:b/>
                <w:bCs/>
                <w:color w:val="282828"/>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451"/>
              <w:rPr>
                <w:rFonts w:ascii="TitilliumText25L" w:hAnsi="TitilliumText25L" w:cs="Arial"/>
                <w:b/>
                <w:bCs/>
                <w:color w:val="282828"/>
              </w:rPr>
            </w:pPr>
            <w:r w:rsidRPr="003032D8">
              <w:rPr>
                <w:rFonts w:ascii="TitilliumText25L" w:hAnsi="TitilliumText25L" w:cs="Arial"/>
                <w:b/>
                <w:bCs/>
                <w:color w:val="282828"/>
              </w:rPr>
              <w:t>Date</w:t>
            </w:r>
          </w:p>
        </w:tc>
      </w:tr>
      <w:tr w:rsidR="00BE3BE3" w:rsidRPr="003032D8" w:rsidTr="00D65937">
        <w:trPr>
          <w:trHeight w:hRule="exact" w:val="70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Apply standard precautions for infection control and other necessary health and safety measures.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bl>
    <w:p w:rsidR="00BE3BE3" w:rsidRPr="003032D8" w:rsidRDefault="00BE3BE3" w:rsidP="00BE3BE3">
      <w:pPr>
        <w:widowControl w:val="0"/>
        <w:autoSpaceDE w:val="0"/>
        <w:autoSpaceDN w:val="0"/>
        <w:adjustRightInd w:val="0"/>
        <w:spacing w:before="15" w:after="0" w:line="280" w:lineRule="exact"/>
        <w:rPr>
          <w:rFonts w:ascii="TitilliumText25L" w:hAnsi="TitilliumText25L"/>
          <w:b/>
          <w:sz w:val="28"/>
          <w:szCs w:val="28"/>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cs="Arial"/>
                <w:b/>
                <w:bCs/>
                <w:color w:val="C0C0C0"/>
                <w:sz w:val="19"/>
                <w:szCs w:val="19"/>
              </w:rPr>
            </w:pPr>
            <w:r w:rsidRPr="003032D8">
              <w:rPr>
                <w:rFonts w:ascii="TitilliumText25L" w:hAnsi="TitilliumText25L" w:cs="Arial"/>
                <w:b/>
                <w:bCs/>
                <w:color w:val="C0C0C0"/>
                <w:sz w:val="19"/>
                <w:szCs w:val="19"/>
              </w:rPr>
              <w:t>DO  Direct Observation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cs="Arial"/>
                <w:b/>
                <w:bCs/>
                <w:color w:val="C0C0C0"/>
                <w:sz w:val="19"/>
                <w:szCs w:val="19"/>
              </w:rPr>
            </w:pPr>
            <w:r w:rsidRPr="003032D8">
              <w:rPr>
                <w:rFonts w:ascii="TitilliumText25L" w:hAnsi="TitilliumText25L" w:cs="Arial"/>
                <w:b/>
                <w:bCs/>
                <w:color w:val="C0C0C0"/>
                <w:sz w:val="19"/>
                <w:szCs w:val="19"/>
              </w:rPr>
              <w:t>S  Simulation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cs="Arial"/>
                <w:b/>
                <w:bCs/>
                <w:color w:val="C0C0C0"/>
                <w:sz w:val="19"/>
                <w:szCs w:val="19"/>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Expert Witness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cs="Arial"/>
                <w:b/>
                <w:bCs/>
                <w:color w:val="C0C0C0"/>
                <w:sz w:val="19"/>
                <w:szCs w:val="19"/>
              </w:rPr>
            </w:pPr>
            <w:r w:rsidRPr="003032D8">
              <w:rPr>
                <w:rFonts w:ascii="TitilliumText25L" w:hAnsi="TitilliumText25L" w:cs="Arial"/>
                <w:b/>
                <w:bCs/>
                <w:color w:val="C0C0C0"/>
                <w:sz w:val="19"/>
                <w:szCs w:val="19"/>
              </w:rPr>
              <w:t>PL  Prior Learning (evidence required)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cs="Arial"/>
                <w:b/>
                <w:bCs/>
                <w:color w:val="C0C0C0"/>
                <w:sz w:val="19"/>
                <w:szCs w:val="19"/>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Written 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cs="Arial"/>
                <w:b/>
                <w:bCs/>
                <w:color w:val="C0C0C0"/>
                <w:sz w:val="19"/>
                <w:szCs w:val="19"/>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Oral Questions</w:t>
            </w:r>
          </w:p>
        </w:tc>
      </w:tr>
    </w:tbl>
    <w:p w:rsidR="00BE3BE3" w:rsidRPr="003032D8" w:rsidRDefault="00BE3BE3" w:rsidP="00BE3BE3">
      <w:pPr>
        <w:widowControl w:val="0"/>
        <w:autoSpaceDE w:val="0"/>
        <w:autoSpaceDN w:val="0"/>
        <w:adjustRightInd w:val="0"/>
        <w:spacing w:after="0" w:line="200" w:lineRule="exact"/>
        <w:rPr>
          <w:rFonts w:ascii="TitilliumText25L" w:hAnsi="TitilliumText25L"/>
          <w:sz w:val="20"/>
          <w:szCs w:val="20"/>
        </w:rPr>
      </w:pPr>
    </w:p>
    <w:p w:rsidR="00BE3BE3" w:rsidRPr="003032D8" w:rsidRDefault="00BE3BE3" w:rsidP="00BE3BE3">
      <w:pPr>
        <w:widowControl w:val="0"/>
        <w:tabs>
          <w:tab w:val="left" w:pos="14380"/>
        </w:tabs>
        <w:autoSpaceDE w:val="0"/>
        <w:autoSpaceDN w:val="0"/>
        <w:adjustRightInd w:val="0"/>
        <w:spacing w:before="34" w:after="0" w:line="240" w:lineRule="auto"/>
        <w:ind w:left="3844"/>
        <w:rPr>
          <w:rFonts w:ascii="TitilliumText25L" w:hAnsi="TitilliumText25L" w:cs="Arial"/>
          <w:color w:val="000000"/>
          <w:sz w:val="24"/>
          <w:szCs w:val="24"/>
        </w:rPr>
        <w:sectPr w:rsidR="00BE3BE3" w:rsidRPr="003032D8" w:rsidSect="00D65937">
          <w:pgSz w:w="16840" w:h="11900" w:orient="landscape"/>
          <w:pgMar w:top="993" w:right="920" w:bottom="985" w:left="1300" w:header="720" w:footer="720" w:gutter="0"/>
          <w:cols w:space="720"/>
          <w:noEndnote/>
          <w:docGrid w:linePitch="299"/>
        </w:sect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BE3BE3" w:rsidRPr="003032D8" w:rsidTr="00D65937">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outlineLvl w:val="1"/>
              <w:rPr>
                <w:rFonts w:ascii="TitilliumText25L" w:hAnsi="TitilliumText25L" w:cs="Arial"/>
                <w:sz w:val="36"/>
                <w:szCs w:val="36"/>
              </w:rPr>
            </w:pPr>
            <w:bookmarkStart w:id="65" w:name="_Toc355270949"/>
            <w:bookmarkStart w:id="66" w:name="_Toc366850094"/>
            <w:r w:rsidRPr="003032D8">
              <w:rPr>
                <w:rFonts w:ascii="TitilliumText25L" w:hAnsi="TitilliumText25L" w:cs="Arial"/>
                <w:sz w:val="36"/>
                <w:szCs w:val="36"/>
              </w:rPr>
              <w:lastRenderedPageBreak/>
              <w:t>Section 2</w:t>
            </w:r>
            <w:r w:rsidRPr="003032D8">
              <w:rPr>
                <w:rFonts w:ascii="TitilliumText25L" w:hAnsi="TitilliumText25L" w:cs="Arial"/>
                <w:sz w:val="36"/>
                <w:szCs w:val="36"/>
              </w:rPr>
              <w:tab/>
            </w:r>
            <w:r w:rsidRPr="003032D8">
              <w:rPr>
                <w:rFonts w:ascii="TitilliumText25L" w:hAnsi="TitilliumText25L" w:cs="Arial"/>
                <w:sz w:val="36"/>
                <w:szCs w:val="36"/>
              </w:rPr>
              <w:tab/>
              <w:t>Prepare equipment for intra-operative blood salvage collection</w:t>
            </w:r>
            <w:bookmarkEnd w:id="65"/>
            <w:bookmarkEnd w:id="66"/>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40C2ED"/>
            <w:vAlign w:val="center"/>
          </w:tcPr>
          <w:p w:rsidR="00BE3BE3" w:rsidRPr="003032D8" w:rsidRDefault="00BE3BE3" w:rsidP="00D65937">
            <w:pPr>
              <w:spacing w:after="0" w:line="240" w:lineRule="auto"/>
              <w:ind w:left="170"/>
              <w:outlineLvl w:val="2"/>
              <w:rPr>
                <w:rFonts w:ascii="TitilliumText25L" w:hAnsi="TitilliumText25L" w:cs="Arial"/>
                <w:b/>
                <w:color w:val="C60C30"/>
                <w:sz w:val="24"/>
                <w:szCs w:val="24"/>
              </w:rPr>
            </w:pPr>
            <w:bookmarkStart w:id="67" w:name="_Toc355270950"/>
            <w:bookmarkStart w:id="68" w:name="_Toc366850095"/>
            <w:r w:rsidRPr="003032D8">
              <w:rPr>
                <w:rFonts w:ascii="TitilliumText25L" w:hAnsi="TitilliumText25L" w:cs="Arial"/>
                <w:b/>
                <w:color w:val="FFFFFF"/>
                <w:w w:val="99"/>
                <w:sz w:val="28"/>
                <w:szCs w:val="28"/>
              </w:rPr>
              <w:t>Knowledge</w:t>
            </w:r>
            <w:r w:rsidRPr="003032D8">
              <w:rPr>
                <w:rFonts w:ascii="TitilliumText25L" w:hAnsi="TitilliumText25L" w:cs="Arial"/>
                <w:b/>
                <w:color w:val="FFFFFF"/>
                <w:spacing w:val="-21"/>
                <w:w w:val="99"/>
                <w:sz w:val="28"/>
                <w:szCs w:val="28"/>
              </w:rPr>
              <w:t xml:space="preserve"> </w:t>
            </w:r>
            <w:r w:rsidRPr="003032D8">
              <w:rPr>
                <w:rFonts w:ascii="TitilliumText25L" w:hAnsi="TitilliumText25L" w:cs="Arial"/>
                <w:b/>
                <w:color w:val="FFFFFF"/>
                <w:sz w:val="28"/>
                <w:szCs w:val="28"/>
              </w:rPr>
              <w:t>and</w:t>
            </w:r>
            <w:r w:rsidRPr="003032D8">
              <w:rPr>
                <w:rFonts w:ascii="TitilliumText25L" w:hAnsi="TitilliumText25L" w:cs="Arial"/>
                <w:b/>
                <w:color w:val="FFFFFF"/>
                <w:spacing w:val="-4"/>
                <w:sz w:val="28"/>
                <w:szCs w:val="28"/>
              </w:rPr>
              <w:t xml:space="preserve"> </w:t>
            </w:r>
            <w:r w:rsidRPr="003032D8">
              <w:rPr>
                <w:rFonts w:ascii="TitilliumText25L" w:hAnsi="TitilliumText25L" w:cs="Arial"/>
                <w:b/>
                <w:color w:val="FFFFFF"/>
                <w:sz w:val="28"/>
                <w:szCs w:val="28"/>
              </w:rPr>
              <w:t>Unders</w:t>
            </w:r>
            <w:r w:rsidRPr="003032D8">
              <w:rPr>
                <w:rFonts w:ascii="TitilliumText25L" w:hAnsi="TitilliumText25L" w:cs="Arial"/>
                <w:b/>
                <w:color w:val="FFFFFF"/>
                <w:spacing w:val="-7"/>
                <w:sz w:val="28"/>
                <w:szCs w:val="28"/>
              </w:rPr>
              <w:t>t</w:t>
            </w:r>
            <w:r w:rsidRPr="003032D8">
              <w:rPr>
                <w:rFonts w:ascii="TitilliumText25L" w:hAnsi="TitilliumText25L" w:cs="Arial"/>
                <w:b/>
                <w:color w:val="FFFFFF"/>
                <w:spacing w:val="1"/>
                <w:sz w:val="28"/>
                <w:szCs w:val="28"/>
              </w:rPr>
              <w:t>a</w:t>
            </w:r>
            <w:r w:rsidRPr="003032D8">
              <w:rPr>
                <w:rFonts w:ascii="TitilliumText25L" w:hAnsi="TitilliumText25L" w:cs="Arial"/>
                <w:b/>
                <w:color w:val="FFFFFF"/>
                <w:sz w:val="28"/>
                <w:szCs w:val="28"/>
              </w:rPr>
              <w:t>nding</w:t>
            </w:r>
            <w:bookmarkEnd w:id="67"/>
            <w:bookmarkEnd w:id="68"/>
          </w:p>
        </w:tc>
        <w:tc>
          <w:tcPr>
            <w:tcW w:w="3572" w:type="dxa"/>
            <w:gridSpan w:val="6"/>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before="35" w:after="0" w:line="240" w:lineRule="auto"/>
              <w:ind w:left="508"/>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40C2ED"/>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73"/>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The trainee demonstrated knowledge and understanding of: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182"/>
              <w:rPr>
                <w:rFonts w:ascii="TitilliumText25L" w:hAnsi="TitilliumText25L" w:cs="Arial"/>
                <w:b/>
                <w:bCs/>
                <w:color w:val="282828"/>
              </w:rPr>
            </w:pPr>
            <w:r w:rsidRPr="003032D8">
              <w:rPr>
                <w:rFonts w:ascii="TitilliumText25L" w:hAnsi="TitilliumText25L" w:cs="Arial"/>
                <w:b/>
                <w:bCs/>
                <w:color w:val="282828"/>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227"/>
              <w:rPr>
                <w:rFonts w:ascii="TitilliumText25L" w:hAnsi="TitilliumText25L" w:cs="Arial"/>
                <w:b/>
                <w:bCs/>
                <w:color w:val="282828"/>
              </w:rPr>
            </w:pPr>
            <w:r w:rsidRPr="003032D8">
              <w:rPr>
                <w:rFonts w:ascii="TitilliumText25L" w:hAnsi="TitilliumText25L" w:cs="Arial"/>
                <w:b/>
                <w:bCs/>
                <w:color w:val="282828"/>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451"/>
              <w:rPr>
                <w:rFonts w:ascii="TitilliumText25L" w:hAnsi="TitilliumText25L" w:cs="Arial"/>
                <w:b/>
                <w:bCs/>
                <w:color w:val="282828"/>
              </w:rPr>
            </w:pPr>
            <w:r w:rsidRPr="003032D8">
              <w:rPr>
                <w:rFonts w:ascii="TitilliumText25L" w:hAnsi="TitilliumText25L" w:cs="Arial"/>
                <w:b/>
                <w:bCs/>
                <w:color w:val="282828"/>
              </w:rPr>
              <w:t>Date</w:t>
            </w:r>
          </w:p>
        </w:tc>
      </w:tr>
      <w:tr w:rsidR="00BE3BE3" w:rsidRPr="003032D8" w:rsidTr="00D65937">
        <w:trPr>
          <w:trHeight w:hRule="exact" w:val="71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role of the suction equipment in relation to Intraoperative Cell Salvage (ICS).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3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purpose of the collection set equipment.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7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rationale behind setting an appropriate vacuum level.</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need for an appropriate anticoagulant and its correct preparation.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reason for setting up the collection equipment.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rationale for expiry time on the set up equipment.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73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role of the individual in preparing equipment for ICS and how this relates to other members of the theatre team.</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8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importance of reporting all information to the relevant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72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How to recognise hazards, errors and malfunctions of equipment and the appropriate action to take.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bl>
    <w:p w:rsidR="00BE3BE3" w:rsidRPr="003032D8" w:rsidRDefault="00BE3BE3" w:rsidP="00BE3BE3">
      <w:pPr>
        <w:widowControl w:val="0"/>
        <w:autoSpaceDE w:val="0"/>
        <w:autoSpaceDN w:val="0"/>
        <w:adjustRightInd w:val="0"/>
        <w:spacing w:before="13" w:after="0" w:line="260" w:lineRule="exact"/>
        <w:rPr>
          <w:rFonts w:ascii="TitilliumText25L" w:hAnsi="TitilliumText25L"/>
          <w:sz w:val="26"/>
          <w:szCs w:val="26"/>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cs="Arial"/>
                <w:b/>
                <w:bCs/>
                <w:color w:val="C0C0C0"/>
                <w:sz w:val="19"/>
                <w:szCs w:val="19"/>
              </w:rPr>
            </w:pPr>
            <w:r w:rsidRPr="003032D8">
              <w:rPr>
                <w:rFonts w:ascii="TitilliumText25L" w:hAnsi="TitilliumText25L" w:cs="Arial"/>
                <w:b/>
                <w:bCs/>
                <w:color w:val="C0C0C0"/>
                <w:sz w:val="19"/>
                <w:szCs w:val="19"/>
              </w:rPr>
              <w:t>DO  Direct Observation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cs="Arial"/>
                <w:b/>
                <w:bCs/>
                <w:color w:val="C0C0C0"/>
                <w:sz w:val="19"/>
                <w:szCs w:val="19"/>
              </w:rPr>
            </w:pPr>
            <w:r w:rsidRPr="003032D8">
              <w:rPr>
                <w:rFonts w:ascii="TitilliumText25L" w:hAnsi="TitilliumText25L" w:cs="Arial"/>
                <w:b/>
                <w:bCs/>
                <w:color w:val="C0C0C0"/>
                <w:sz w:val="19"/>
                <w:szCs w:val="19"/>
              </w:rPr>
              <w:t>S  Simulation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cs="Arial"/>
                <w:b/>
                <w:bCs/>
                <w:color w:val="C0C0C0"/>
                <w:sz w:val="19"/>
                <w:szCs w:val="19"/>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Expert Witness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cs="Arial"/>
                <w:b/>
                <w:bCs/>
                <w:color w:val="C0C0C0"/>
                <w:sz w:val="19"/>
                <w:szCs w:val="19"/>
              </w:rPr>
            </w:pPr>
            <w:r w:rsidRPr="003032D8">
              <w:rPr>
                <w:rFonts w:ascii="TitilliumText25L" w:hAnsi="TitilliumText25L" w:cs="Arial"/>
                <w:b/>
                <w:bCs/>
                <w:color w:val="C0C0C0"/>
                <w:sz w:val="19"/>
                <w:szCs w:val="19"/>
              </w:rPr>
              <w:t>PL  Prior Learning (evidence required)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cs="Arial"/>
                <w:b/>
                <w:bCs/>
                <w:color w:val="C0C0C0"/>
                <w:sz w:val="19"/>
                <w:szCs w:val="19"/>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Written 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cs="Arial"/>
                <w:b/>
                <w:bCs/>
                <w:color w:val="C0C0C0"/>
                <w:sz w:val="19"/>
                <w:szCs w:val="19"/>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Oral Questions</w:t>
            </w:r>
          </w:p>
        </w:tc>
      </w:tr>
    </w:tbl>
    <w:p w:rsidR="00BE3BE3" w:rsidRPr="003032D8" w:rsidRDefault="00BE3BE3" w:rsidP="00BE3BE3">
      <w:pPr>
        <w:widowControl w:val="0"/>
        <w:autoSpaceDE w:val="0"/>
        <w:autoSpaceDN w:val="0"/>
        <w:adjustRightInd w:val="0"/>
        <w:spacing w:before="41" w:after="0" w:line="496" w:lineRule="exact"/>
        <w:ind w:left="3935"/>
        <w:rPr>
          <w:rFonts w:ascii="TitilliumText25L" w:hAnsi="TitilliumText25L" w:cs="Arial"/>
          <w:b/>
          <w:bCs/>
          <w:color w:val="CCCBCC"/>
          <w:position w:val="-2"/>
          <w:sz w:val="44"/>
          <w:szCs w:val="44"/>
        </w:rPr>
      </w:pPr>
    </w:p>
    <w:p w:rsidR="00BE3BE3" w:rsidRPr="003032D8" w:rsidRDefault="00BE3BE3" w:rsidP="00BE3BE3">
      <w:pPr>
        <w:spacing w:line="240" w:lineRule="auto"/>
        <w:rPr>
          <w:rFonts w:ascii="TitilliumText25L" w:hAnsi="TitilliumText25L"/>
        </w:rPr>
      </w:pPr>
      <w:r w:rsidRPr="003032D8">
        <w:rPr>
          <w:rFonts w:ascii="TitilliumText25L" w:hAnsi="TitilliumText25L"/>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BE3BE3" w:rsidRPr="003032D8" w:rsidTr="00D65937">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sz w:val="36"/>
                <w:szCs w:val="36"/>
              </w:rPr>
            </w:pPr>
            <w:bookmarkStart w:id="69" w:name="_Toc355001638"/>
            <w:r w:rsidRPr="003032D8">
              <w:rPr>
                <w:rFonts w:ascii="TitilliumText25L" w:hAnsi="TitilliumText25L" w:cs="Arial"/>
                <w:sz w:val="36"/>
                <w:szCs w:val="36"/>
              </w:rPr>
              <w:t>Section 2</w:t>
            </w:r>
            <w:r w:rsidRPr="003032D8">
              <w:rPr>
                <w:rFonts w:ascii="TitilliumText25L" w:hAnsi="TitilliumText25L" w:cs="Arial"/>
                <w:sz w:val="36"/>
                <w:szCs w:val="36"/>
              </w:rPr>
              <w:tab/>
            </w:r>
            <w:r w:rsidRPr="003032D8">
              <w:rPr>
                <w:rFonts w:ascii="TitilliumText25L" w:hAnsi="TitilliumText25L" w:cs="Arial"/>
                <w:sz w:val="36"/>
                <w:szCs w:val="36"/>
              </w:rPr>
              <w:tab/>
              <w:t>Pre</w:t>
            </w:r>
            <w:r w:rsidRPr="003032D8">
              <w:rPr>
                <w:rFonts w:ascii="TitilliumText25L" w:hAnsi="TitilliumText25L" w:cs="Arial"/>
                <w:spacing w:val="-10"/>
                <w:sz w:val="36"/>
                <w:szCs w:val="36"/>
              </w:rPr>
              <w:t>p</w:t>
            </w:r>
            <w:r w:rsidRPr="003032D8">
              <w:rPr>
                <w:rFonts w:ascii="TitilliumText25L" w:hAnsi="TitilliumText25L" w:cs="Arial"/>
                <w:sz w:val="36"/>
                <w:szCs w:val="36"/>
              </w:rPr>
              <w:t>are equ</w:t>
            </w:r>
            <w:r w:rsidRPr="003032D8">
              <w:rPr>
                <w:rFonts w:ascii="TitilliumText25L" w:hAnsi="TitilliumText25L" w:cs="Arial"/>
                <w:spacing w:val="-1"/>
                <w:sz w:val="36"/>
                <w:szCs w:val="36"/>
              </w:rPr>
              <w:t>i</w:t>
            </w:r>
            <w:r w:rsidRPr="003032D8">
              <w:rPr>
                <w:rFonts w:ascii="TitilliumText25L" w:hAnsi="TitilliumText25L" w:cs="Arial"/>
                <w:sz w:val="36"/>
                <w:szCs w:val="36"/>
              </w:rPr>
              <w:t>pment for intra-operative blood salvage collection</w:t>
            </w:r>
            <w:bookmarkEnd w:id="69"/>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40C2ED"/>
            <w:vAlign w:val="center"/>
          </w:tcPr>
          <w:p w:rsidR="00BE3BE3" w:rsidRPr="003032D8" w:rsidRDefault="00BE3BE3" w:rsidP="00D65937">
            <w:pPr>
              <w:spacing w:after="0" w:line="240" w:lineRule="auto"/>
              <w:ind w:left="170"/>
              <w:outlineLvl w:val="2"/>
              <w:rPr>
                <w:rFonts w:ascii="TitilliumText25L" w:hAnsi="TitilliumText25L" w:cs="Arial"/>
                <w:b/>
                <w:color w:val="C60C30"/>
                <w:sz w:val="24"/>
                <w:szCs w:val="24"/>
              </w:rPr>
            </w:pPr>
            <w:bookmarkStart w:id="70" w:name="_Toc355270951"/>
            <w:bookmarkStart w:id="71" w:name="_Toc366850096"/>
            <w:r w:rsidRPr="003032D8">
              <w:rPr>
                <w:rFonts w:ascii="TitilliumText25L" w:hAnsi="TitilliumText25L" w:cs="Arial"/>
                <w:b/>
                <w:color w:val="FFFFFF"/>
                <w:w w:val="99"/>
                <w:sz w:val="28"/>
                <w:szCs w:val="28"/>
              </w:rPr>
              <w:t>Performance</w:t>
            </w:r>
            <w:r w:rsidRPr="003032D8">
              <w:rPr>
                <w:rFonts w:ascii="TitilliumText25L" w:hAnsi="TitilliumText25L" w:cs="Arial"/>
                <w:b/>
                <w:color w:val="FFFFFF"/>
                <w:spacing w:val="-21"/>
                <w:w w:val="99"/>
                <w:sz w:val="28"/>
                <w:szCs w:val="28"/>
              </w:rPr>
              <w:t xml:space="preserve"> </w:t>
            </w:r>
            <w:r w:rsidRPr="003032D8">
              <w:rPr>
                <w:rFonts w:ascii="TitilliumText25L" w:hAnsi="TitilliumText25L" w:cs="Arial"/>
                <w:b/>
                <w:color w:val="FFFFFF"/>
                <w:sz w:val="28"/>
                <w:szCs w:val="28"/>
              </w:rPr>
              <w:t>Criteria</w:t>
            </w:r>
            <w:bookmarkEnd w:id="70"/>
            <w:bookmarkEnd w:id="71"/>
          </w:p>
        </w:tc>
        <w:tc>
          <w:tcPr>
            <w:tcW w:w="3572" w:type="dxa"/>
            <w:gridSpan w:val="6"/>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before="35" w:after="0" w:line="240" w:lineRule="auto"/>
              <w:ind w:left="508"/>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40C2ED"/>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481"/>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The trainee demonstrated, in a clinical setting, that they 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182"/>
              <w:rPr>
                <w:rFonts w:ascii="TitilliumText25L" w:hAnsi="TitilliumText25L" w:cs="Arial"/>
                <w:b/>
                <w:bCs/>
                <w:color w:val="282828"/>
              </w:rPr>
            </w:pPr>
            <w:r w:rsidRPr="003032D8">
              <w:rPr>
                <w:rFonts w:ascii="TitilliumText25L" w:hAnsi="TitilliumText25L" w:cs="Arial"/>
                <w:b/>
                <w:bCs/>
                <w:color w:val="282828"/>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30" w:lineRule="exact"/>
              <w:ind w:left="170" w:right="227"/>
              <w:rPr>
                <w:rFonts w:ascii="TitilliumText25L" w:hAnsi="TitilliumText25L" w:cs="Arial"/>
                <w:b/>
                <w:bCs/>
                <w:color w:val="282828"/>
              </w:rPr>
            </w:pPr>
            <w:r w:rsidRPr="003032D8">
              <w:rPr>
                <w:rFonts w:ascii="TitilliumText25L" w:hAnsi="TitilliumText25L" w:cs="Arial"/>
                <w:b/>
                <w:bCs/>
                <w:color w:val="282828"/>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451"/>
              <w:rPr>
                <w:rFonts w:ascii="TitilliumText25L" w:hAnsi="TitilliumText25L" w:cs="Arial"/>
                <w:b/>
                <w:bCs/>
                <w:color w:val="282828"/>
              </w:rPr>
            </w:pPr>
            <w:r w:rsidRPr="003032D8">
              <w:rPr>
                <w:rFonts w:ascii="TitilliumText25L" w:hAnsi="TitilliumText25L" w:cs="Arial"/>
                <w:b/>
                <w:bCs/>
                <w:color w:val="282828"/>
              </w:rPr>
              <w:t>Date</w:t>
            </w:r>
          </w:p>
        </w:tc>
      </w:tr>
      <w:tr w:rsidR="00BE3BE3" w:rsidRPr="003032D8" w:rsidTr="00D65937">
        <w:trPr>
          <w:trHeight w:hRule="exact" w:val="65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Ensure all members of the theatre team are aware that intra-operative cell salvage is planned.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124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cs="Arial"/>
                <w:bCs/>
                <w:color w:val="282828"/>
              </w:rPr>
            </w:pPr>
            <w:r w:rsidRPr="003032D8">
              <w:rPr>
                <w:rFonts w:ascii="TitilliumText25L" w:hAnsi="TitilliumText25L" w:cs="Arial"/>
                <w:bCs/>
                <w:color w:val="282828"/>
              </w:rPr>
              <w:t xml:space="preserve">Select and set up collection equipment correctly following manufacturer's instructions: </w:t>
            </w:r>
          </w:p>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a.  ensuring the correct equipment is safe to use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b.  using aseptic technique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c.  prepare the anticoagulant in accordance with national guidelines and local policy</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73"/>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Inform the relevant member of staff that the collection equipment is fully prepared as necessary.</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bl>
    <w:p w:rsidR="00BE3BE3" w:rsidRPr="003032D8" w:rsidRDefault="00BE3BE3" w:rsidP="00BE3BE3">
      <w:pPr>
        <w:widowControl w:val="0"/>
        <w:autoSpaceDE w:val="0"/>
        <w:autoSpaceDN w:val="0"/>
        <w:adjustRightInd w:val="0"/>
        <w:spacing w:before="13" w:after="0" w:line="220" w:lineRule="exact"/>
        <w:rPr>
          <w:rFonts w:ascii="TitilliumText25L" w:hAnsi="TitilliumText25L"/>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 xml:space="preserve">ning </w:t>
            </w:r>
            <w:r w:rsidRPr="003032D8">
              <w:rPr>
                <w:rFonts w:ascii="TitilliumText25L" w:hAnsi="TitilliumText25L" w:cs="Arial"/>
                <w:b/>
                <w:bCs/>
                <w:color w:val="C0C0C0"/>
                <w:sz w:val="19"/>
                <w:szCs w:val="19"/>
              </w:rPr>
              <w:t>(</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widowControl w:val="0"/>
        <w:autoSpaceDE w:val="0"/>
        <w:autoSpaceDN w:val="0"/>
        <w:adjustRightInd w:val="0"/>
        <w:spacing w:before="3" w:after="0" w:line="170" w:lineRule="exact"/>
        <w:rPr>
          <w:rFonts w:ascii="TitilliumText25L" w:hAnsi="TitilliumText25L"/>
          <w:sz w:val="17"/>
          <w:szCs w:val="17"/>
        </w:rPr>
      </w:pPr>
    </w:p>
    <w:p w:rsidR="00BE3BE3" w:rsidRPr="003032D8" w:rsidRDefault="00BE3BE3" w:rsidP="00BE3BE3">
      <w:pPr>
        <w:spacing w:line="240" w:lineRule="auto"/>
        <w:rPr>
          <w:rFonts w:ascii="TitilliumText25L" w:hAnsi="TitilliumText25L"/>
        </w:rPr>
      </w:pPr>
      <w:r w:rsidRPr="003032D8">
        <w:rPr>
          <w:rFonts w:ascii="TitilliumText25L" w:hAnsi="TitilliumText25L"/>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BE3BE3" w:rsidRPr="003032D8" w:rsidTr="00D65937">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outlineLvl w:val="1"/>
              <w:rPr>
                <w:rFonts w:ascii="TitilliumText25L" w:hAnsi="TitilliumText25L" w:cs="Arial"/>
                <w:sz w:val="36"/>
                <w:szCs w:val="36"/>
              </w:rPr>
            </w:pPr>
            <w:bookmarkStart w:id="72" w:name="_Toc355270952"/>
            <w:bookmarkStart w:id="73" w:name="_Toc366850097"/>
            <w:r w:rsidRPr="003032D8">
              <w:rPr>
                <w:rFonts w:ascii="TitilliumText25L" w:hAnsi="TitilliumText25L" w:cs="Arial"/>
                <w:sz w:val="36"/>
                <w:szCs w:val="36"/>
              </w:rPr>
              <w:t>Section 3</w:t>
            </w:r>
            <w:r w:rsidRPr="003032D8">
              <w:rPr>
                <w:rFonts w:ascii="TitilliumText25L" w:hAnsi="TitilliumText25L" w:cs="Arial"/>
                <w:sz w:val="36"/>
                <w:szCs w:val="36"/>
              </w:rPr>
              <w:tab/>
            </w:r>
            <w:r w:rsidRPr="003032D8">
              <w:rPr>
                <w:rFonts w:ascii="TitilliumText25L" w:hAnsi="TitilliumText25L" w:cs="Arial"/>
                <w:sz w:val="36"/>
                <w:szCs w:val="36"/>
              </w:rPr>
              <w:tab/>
              <w:t>Operate equipment for intra-operative blood salvage collection</w:t>
            </w:r>
            <w:bookmarkEnd w:id="72"/>
            <w:bookmarkEnd w:id="73"/>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964169"/>
            <w:vAlign w:val="center"/>
          </w:tcPr>
          <w:p w:rsidR="00BE3BE3" w:rsidRPr="003032D8" w:rsidRDefault="00BE3BE3" w:rsidP="00D65937">
            <w:pPr>
              <w:spacing w:after="0" w:line="240" w:lineRule="auto"/>
              <w:ind w:left="170"/>
              <w:outlineLvl w:val="2"/>
              <w:rPr>
                <w:rFonts w:ascii="TitilliumText25L" w:hAnsi="TitilliumText25L" w:cs="Arial"/>
                <w:b/>
                <w:color w:val="C60C30"/>
                <w:sz w:val="24"/>
                <w:szCs w:val="24"/>
              </w:rPr>
            </w:pPr>
            <w:bookmarkStart w:id="74" w:name="_Toc355270953"/>
            <w:bookmarkStart w:id="75" w:name="_Toc366850098"/>
            <w:r w:rsidRPr="003032D8">
              <w:rPr>
                <w:rFonts w:ascii="TitilliumText25L" w:hAnsi="TitilliumText25L" w:cs="Arial"/>
                <w:b/>
                <w:color w:val="FFFFFF"/>
                <w:w w:val="99"/>
                <w:sz w:val="28"/>
                <w:szCs w:val="28"/>
              </w:rPr>
              <w:t>Knowledge</w:t>
            </w:r>
            <w:r w:rsidRPr="003032D8">
              <w:rPr>
                <w:rFonts w:ascii="TitilliumText25L" w:hAnsi="TitilliumText25L" w:cs="Arial"/>
                <w:b/>
                <w:color w:val="FFFFFF"/>
                <w:spacing w:val="-21"/>
                <w:w w:val="99"/>
                <w:sz w:val="28"/>
                <w:szCs w:val="28"/>
              </w:rPr>
              <w:t xml:space="preserve"> </w:t>
            </w:r>
            <w:r w:rsidRPr="003032D8">
              <w:rPr>
                <w:rFonts w:ascii="TitilliumText25L" w:hAnsi="TitilliumText25L" w:cs="Arial"/>
                <w:b/>
                <w:color w:val="FFFFFF"/>
                <w:sz w:val="28"/>
                <w:szCs w:val="28"/>
              </w:rPr>
              <w:t>and</w:t>
            </w:r>
            <w:r w:rsidRPr="003032D8">
              <w:rPr>
                <w:rFonts w:ascii="TitilliumText25L" w:hAnsi="TitilliumText25L" w:cs="Arial"/>
                <w:b/>
                <w:color w:val="FFFFFF"/>
                <w:spacing w:val="-4"/>
                <w:sz w:val="28"/>
                <w:szCs w:val="28"/>
              </w:rPr>
              <w:t xml:space="preserve"> </w:t>
            </w:r>
            <w:r w:rsidRPr="003032D8">
              <w:rPr>
                <w:rFonts w:ascii="TitilliumText25L" w:hAnsi="TitilliumText25L" w:cs="Arial"/>
                <w:b/>
                <w:color w:val="FFFFFF"/>
                <w:sz w:val="28"/>
                <w:szCs w:val="28"/>
              </w:rPr>
              <w:t>Unders</w:t>
            </w:r>
            <w:r w:rsidRPr="003032D8">
              <w:rPr>
                <w:rFonts w:ascii="TitilliumText25L" w:hAnsi="TitilliumText25L" w:cs="Arial"/>
                <w:b/>
                <w:color w:val="FFFFFF"/>
                <w:spacing w:val="-7"/>
                <w:sz w:val="28"/>
                <w:szCs w:val="28"/>
              </w:rPr>
              <w:t>t</w:t>
            </w:r>
            <w:r w:rsidRPr="003032D8">
              <w:rPr>
                <w:rFonts w:ascii="TitilliumText25L" w:hAnsi="TitilliumText25L" w:cs="Arial"/>
                <w:b/>
                <w:color w:val="FFFFFF"/>
                <w:spacing w:val="1"/>
                <w:sz w:val="28"/>
                <w:szCs w:val="28"/>
              </w:rPr>
              <w:t>a</w:t>
            </w:r>
            <w:r w:rsidRPr="003032D8">
              <w:rPr>
                <w:rFonts w:ascii="TitilliumText25L" w:hAnsi="TitilliumText25L" w:cs="Arial"/>
                <w:b/>
                <w:color w:val="FFFFFF"/>
                <w:sz w:val="28"/>
                <w:szCs w:val="28"/>
              </w:rPr>
              <w:t>nding</w:t>
            </w:r>
            <w:bookmarkEnd w:id="74"/>
            <w:bookmarkEnd w:id="75"/>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35" w:after="0" w:line="240" w:lineRule="auto"/>
              <w:ind w:left="170"/>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964169"/>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673"/>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The trainee demonstrated knowledge and understanding of: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Date</w:t>
            </w:r>
          </w:p>
        </w:tc>
      </w:tr>
      <w:tr w:rsidR="00BE3BE3" w:rsidRPr="003032D8" w:rsidTr="00D65937">
        <w:trPr>
          <w:trHeight w:hRule="exact" w:val="70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indications and contraindications to the use of Intraoperative Cell Salvage (ICS).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3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When and for whom collections for ICS could be started.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96"/>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importance of labelling the collection equipment with unique patient identification.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importance of priming the collection equipment with anticoagulant to prevent blood clotting.</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role of suction equipment in relation to ICS.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rationale behind setting an appropriate vacuum level.</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1"/>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components of whole 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functions of red cells in the delivery of oxygen to body tissues.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45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differences between salvaged red cells and whole 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739"/>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effects of citrate or heparin anticoagulant on salvaged blood and the appropriate rate/ratio of anticoagulant.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r w:rsidR="00BE3BE3" w:rsidRPr="003032D8" w:rsidTr="00D65937">
        <w:trPr>
          <w:trHeight w:hRule="exact" w:val="61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possible contents of the collection reservoir during surgery, including potential contaminants.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p>
        </w:tc>
      </w:tr>
    </w:tbl>
    <w:p w:rsidR="00BE3BE3" w:rsidRPr="003032D8" w:rsidRDefault="00BE3BE3" w:rsidP="00BE3BE3">
      <w:pPr>
        <w:widowControl w:val="0"/>
        <w:autoSpaceDE w:val="0"/>
        <w:autoSpaceDN w:val="0"/>
        <w:adjustRightInd w:val="0"/>
        <w:spacing w:before="13" w:after="0" w:line="240" w:lineRule="exact"/>
        <w:rPr>
          <w:rFonts w:ascii="TitilliumText25L" w:hAnsi="TitilliumText25L"/>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 xml:space="preserve">ning </w:t>
            </w:r>
            <w:r w:rsidRPr="003032D8">
              <w:rPr>
                <w:rFonts w:ascii="TitilliumText25L" w:hAnsi="TitilliumText25L" w:cs="Arial"/>
                <w:b/>
                <w:bCs/>
                <w:color w:val="C0C0C0"/>
                <w:sz w:val="19"/>
                <w:szCs w:val="19"/>
              </w:rPr>
              <w:t>(</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spacing w:line="240" w:lineRule="auto"/>
        <w:rPr>
          <w:rFonts w:ascii="TitilliumText25L" w:hAnsi="TitilliumText25L"/>
        </w:r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BE3BE3" w:rsidRPr="003032D8" w:rsidTr="00D65937">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sz w:val="36"/>
                <w:szCs w:val="36"/>
              </w:rPr>
            </w:pPr>
            <w:r w:rsidRPr="003032D8">
              <w:rPr>
                <w:rFonts w:ascii="TitilliumText25L" w:hAnsi="TitilliumText25L" w:cs="Arial"/>
                <w:sz w:val="36"/>
                <w:szCs w:val="36"/>
              </w:rPr>
              <w:t>Section 3</w:t>
            </w:r>
            <w:r w:rsidRPr="003032D8">
              <w:rPr>
                <w:rFonts w:ascii="TitilliumText25L" w:hAnsi="TitilliumText25L" w:cs="Arial"/>
                <w:sz w:val="36"/>
                <w:szCs w:val="36"/>
              </w:rPr>
              <w:tab/>
            </w:r>
            <w:r w:rsidRPr="003032D8">
              <w:rPr>
                <w:rFonts w:ascii="TitilliumText25L" w:hAnsi="TitilliumText25L" w:cs="Arial"/>
                <w:sz w:val="36"/>
                <w:szCs w:val="36"/>
              </w:rPr>
              <w:tab/>
              <w:t>Operate equ</w:t>
            </w:r>
            <w:r w:rsidRPr="003032D8">
              <w:rPr>
                <w:rFonts w:ascii="TitilliumText25L" w:hAnsi="TitilliumText25L" w:cs="Arial"/>
                <w:spacing w:val="-2"/>
                <w:sz w:val="36"/>
                <w:szCs w:val="36"/>
              </w:rPr>
              <w:t>i</w:t>
            </w:r>
            <w:r w:rsidRPr="003032D8">
              <w:rPr>
                <w:rFonts w:ascii="TitilliumText25L" w:hAnsi="TitilliumText25L" w:cs="Arial"/>
                <w:sz w:val="36"/>
                <w:szCs w:val="36"/>
              </w:rPr>
              <w:t>pment for intra-operative blood salvage collection</w:t>
            </w:r>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964169"/>
            <w:vAlign w:val="center"/>
          </w:tcPr>
          <w:p w:rsidR="00BE3BE3" w:rsidRPr="003032D8" w:rsidRDefault="00BE3BE3" w:rsidP="00D65937">
            <w:pPr>
              <w:widowControl w:val="0"/>
              <w:autoSpaceDE w:val="0"/>
              <w:autoSpaceDN w:val="0"/>
              <w:adjustRightInd w:val="0"/>
              <w:spacing w:before="36" w:after="0" w:line="240" w:lineRule="auto"/>
              <w:ind w:left="170"/>
              <w:rPr>
                <w:rFonts w:ascii="TitilliumText25L" w:hAnsi="TitilliumText25L"/>
                <w:sz w:val="24"/>
                <w:szCs w:val="24"/>
              </w:rPr>
            </w:pPr>
            <w:r w:rsidRPr="003032D8">
              <w:rPr>
                <w:rFonts w:ascii="TitilliumText25L" w:hAnsi="TitilliumText25L" w:cs="Arial"/>
                <w:b/>
                <w:color w:val="FFFFFF"/>
                <w:sz w:val="28"/>
                <w:szCs w:val="28"/>
              </w:rPr>
              <w:t>Knowledge and Understanding Cont</w:t>
            </w:r>
            <w:r w:rsidRPr="003032D8">
              <w:rPr>
                <w:rFonts w:ascii="TitilliumText25L" w:hAnsi="TitilliumText25L" w:cs="Arial"/>
                <w:b/>
                <w:bCs/>
                <w:color w:val="FDFDFD"/>
                <w:sz w:val="28"/>
                <w:szCs w:val="28"/>
              </w:rPr>
              <w:t>...</w:t>
            </w:r>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35" w:after="0" w:line="240" w:lineRule="auto"/>
              <w:ind w:left="170"/>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964169"/>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481"/>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The trainee demonstrated knowledge and understanding of: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182"/>
              <w:rPr>
                <w:rFonts w:ascii="TitilliumText25L" w:hAnsi="TitilliumText25L" w:cs="Arial"/>
                <w:b/>
                <w:bCs/>
                <w:color w:val="282828"/>
              </w:rPr>
            </w:pPr>
            <w:r w:rsidRPr="003032D8">
              <w:rPr>
                <w:rFonts w:ascii="TitilliumText25L" w:hAnsi="TitilliumText25L" w:cs="Arial"/>
                <w:b/>
                <w:bCs/>
                <w:color w:val="282828"/>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30" w:lineRule="exact"/>
              <w:ind w:left="170" w:right="227"/>
              <w:rPr>
                <w:rFonts w:ascii="TitilliumText25L" w:hAnsi="TitilliumText25L" w:cs="Arial"/>
                <w:b/>
                <w:bCs/>
                <w:color w:val="282828"/>
              </w:rPr>
            </w:pPr>
            <w:r w:rsidRPr="003032D8">
              <w:rPr>
                <w:rFonts w:ascii="TitilliumText25L" w:hAnsi="TitilliumText25L" w:cs="Arial"/>
                <w:b/>
                <w:bCs/>
                <w:color w:val="282828"/>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451"/>
              <w:rPr>
                <w:rFonts w:ascii="TitilliumText25L" w:hAnsi="TitilliumText25L" w:cs="Arial"/>
                <w:b/>
                <w:bCs/>
                <w:color w:val="282828"/>
              </w:rPr>
            </w:pPr>
            <w:r w:rsidRPr="003032D8">
              <w:rPr>
                <w:rFonts w:ascii="TitilliumText25L" w:hAnsi="TitilliumText25L" w:cs="Arial"/>
                <w:b/>
                <w:bCs/>
                <w:color w:val="282828"/>
              </w:rPr>
              <w:t>Date</w:t>
            </w:r>
          </w:p>
        </w:tc>
      </w:tr>
      <w:tr w:rsidR="00BE3BE3" w:rsidRPr="003032D8" w:rsidTr="00D65937">
        <w:trPr>
          <w:trHeight w:hRule="exact" w:val="70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importance of immediately reporting sudden, unexpected increases in blood loss to the appropriate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r>
      <w:tr w:rsidR="00BE3BE3" w:rsidRPr="003032D8" w:rsidTr="00D65937">
        <w:trPr>
          <w:trHeight w:hRule="exact" w:val="43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advantages and risks of swab washing.</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r>
      <w:tr w:rsidR="00BE3BE3" w:rsidRPr="003032D8" w:rsidTr="00D65937">
        <w:trPr>
          <w:trHeight w:hRule="exact" w:val="469"/>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process of salvaging blood from swabs.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rationale for weighing all swabs during ICS.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How to estimate blood loss during ICS.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r>
      <w:tr w:rsidR="00BE3BE3" w:rsidRPr="003032D8" w:rsidTr="00D65937">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rationale for and calculation of expiry time of the salvaged 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r>
      <w:tr w:rsidR="00BE3BE3" w:rsidRPr="003032D8" w:rsidTr="00D65937">
        <w:trPr>
          <w:trHeight w:hRule="exact" w:val="67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The role of the individual in collecting salvaged blood and how this relates to other members of the theatre team.</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r>
      <w:tr w:rsidR="00BE3BE3" w:rsidRPr="003032D8" w:rsidTr="00D65937">
        <w:trPr>
          <w:trHeight w:hRule="exact" w:val="673"/>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How to recognise hazards, errors and malfunctions of equipment and the appropriate action to take.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line="240" w:lineRule="auto"/>
              <w:ind w:left="170"/>
              <w:rPr>
                <w:rFonts w:ascii="TitilliumText25L" w:hAnsi="TitilliumText25L" w:cs="Arial"/>
                <w:bCs/>
                <w:color w:val="282828"/>
              </w:rPr>
            </w:pPr>
          </w:p>
        </w:tc>
      </w:tr>
    </w:tbl>
    <w:p w:rsidR="00BE3BE3" w:rsidRPr="003032D8" w:rsidRDefault="00BE3BE3" w:rsidP="00BE3BE3">
      <w:pPr>
        <w:widowControl w:val="0"/>
        <w:autoSpaceDE w:val="0"/>
        <w:autoSpaceDN w:val="0"/>
        <w:adjustRightInd w:val="0"/>
        <w:spacing w:before="6" w:after="0" w:line="260" w:lineRule="exact"/>
        <w:rPr>
          <w:rFonts w:ascii="TitilliumText25L" w:hAnsi="TitilliumText25L"/>
          <w:b/>
          <w:sz w:val="26"/>
          <w:szCs w:val="26"/>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ning</w:t>
            </w:r>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spacing w:line="240" w:lineRule="auto"/>
        <w:rPr>
          <w:rFonts w:ascii="TitilliumText25L" w:hAnsi="TitilliumText25L"/>
        </w:rPr>
      </w:pPr>
      <w:r w:rsidRPr="003032D8">
        <w:rPr>
          <w:rFonts w:ascii="TitilliumText25L" w:hAnsi="TitilliumText25L"/>
        </w:rPr>
        <w:br w:type="page"/>
      </w:r>
    </w:p>
    <w:tbl>
      <w:tblPr>
        <w:tblW w:w="0" w:type="auto"/>
        <w:tblInd w:w="151" w:type="dxa"/>
        <w:tblLayout w:type="fixed"/>
        <w:tblCellMar>
          <w:left w:w="0" w:type="dxa"/>
          <w:right w:w="0" w:type="dxa"/>
        </w:tblCellMar>
        <w:tblLook w:val="0000" w:firstRow="0" w:lastRow="0" w:firstColumn="0" w:lastColumn="0" w:noHBand="0" w:noVBand="0"/>
      </w:tblPr>
      <w:tblGrid>
        <w:gridCol w:w="7329"/>
        <w:gridCol w:w="628"/>
        <w:gridCol w:w="583"/>
        <w:gridCol w:w="600"/>
        <w:gridCol w:w="600"/>
        <w:gridCol w:w="594"/>
        <w:gridCol w:w="567"/>
        <w:gridCol w:w="1611"/>
        <w:gridCol w:w="1441"/>
      </w:tblGrid>
      <w:tr w:rsidR="00BE3BE3" w:rsidRPr="003032D8" w:rsidTr="00D65937">
        <w:trPr>
          <w:trHeight w:hRule="exact" w:val="898"/>
        </w:trPr>
        <w:tc>
          <w:tcPr>
            <w:tcW w:w="13953"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rPr>
                <w:rFonts w:ascii="TitilliumText25L" w:hAnsi="TitilliumText25L" w:cs="Arial"/>
                <w:sz w:val="36"/>
                <w:szCs w:val="36"/>
              </w:rPr>
            </w:pPr>
            <w:r w:rsidRPr="003032D8">
              <w:rPr>
                <w:rFonts w:ascii="TitilliumText25L" w:hAnsi="TitilliumText25L" w:cs="Arial"/>
                <w:sz w:val="36"/>
                <w:szCs w:val="36"/>
              </w:rPr>
              <w:t>Section 3</w:t>
            </w:r>
            <w:r w:rsidRPr="003032D8">
              <w:rPr>
                <w:rFonts w:ascii="TitilliumText25L" w:hAnsi="TitilliumText25L" w:cs="Arial"/>
                <w:sz w:val="36"/>
                <w:szCs w:val="36"/>
              </w:rPr>
              <w:tab/>
            </w:r>
            <w:r w:rsidRPr="003032D8">
              <w:rPr>
                <w:rFonts w:ascii="TitilliumText25L" w:hAnsi="TitilliumText25L" w:cs="Arial"/>
                <w:sz w:val="36"/>
                <w:szCs w:val="36"/>
              </w:rPr>
              <w:tab/>
              <w:t>Operate equ</w:t>
            </w:r>
            <w:r w:rsidRPr="003032D8">
              <w:rPr>
                <w:rFonts w:ascii="TitilliumText25L" w:hAnsi="TitilliumText25L" w:cs="Arial"/>
                <w:spacing w:val="-2"/>
                <w:sz w:val="36"/>
                <w:szCs w:val="36"/>
              </w:rPr>
              <w:t>i</w:t>
            </w:r>
            <w:r w:rsidRPr="003032D8">
              <w:rPr>
                <w:rFonts w:ascii="TitilliumText25L" w:hAnsi="TitilliumText25L" w:cs="Arial"/>
                <w:sz w:val="36"/>
                <w:szCs w:val="36"/>
              </w:rPr>
              <w:t>pment for intra-operative blood salvage collection</w:t>
            </w:r>
          </w:p>
        </w:tc>
      </w:tr>
      <w:tr w:rsidR="00BE3BE3" w:rsidRPr="003032D8" w:rsidTr="00D65937">
        <w:trPr>
          <w:trHeight w:hRule="exact" w:val="416"/>
        </w:trPr>
        <w:tc>
          <w:tcPr>
            <w:tcW w:w="7329" w:type="dxa"/>
            <w:tcBorders>
              <w:top w:val="single" w:sz="7" w:space="0" w:color="282828"/>
              <w:left w:val="single" w:sz="7" w:space="0" w:color="282828"/>
              <w:bottom w:val="single" w:sz="7" w:space="0" w:color="282828"/>
              <w:right w:val="single" w:sz="7" w:space="0" w:color="282828"/>
            </w:tcBorders>
            <w:shd w:val="clear" w:color="auto" w:fill="964169"/>
            <w:vAlign w:val="center"/>
          </w:tcPr>
          <w:p w:rsidR="00BE3BE3" w:rsidRPr="003032D8" w:rsidRDefault="00BE3BE3" w:rsidP="00D65937">
            <w:pPr>
              <w:spacing w:after="0" w:line="240" w:lineRule="auto"/>
              <w:ind w:left="170"/>
              <w:outlineLvl w:val="2"/>
              <w:rPr>
                <w:rFonts w:ascii="TitilliumText25L" w:hAnsi="TitilliumText25L" w:cs="Arial"/>
                <w:b/>
                <w:color w:val="C60C30"/>
                <w:sz w:val="24"/>
                <w:szCs w:val="24"/>
              </w:rPr>
            </w:pPr>
            <w:bookmarkStart w:id="76" w:name="_Toc355270954"/>
            <w:bookmarkStart w:id="77" w:name="_Toc366850099"/>
            <w:r w:rsidRPr="003032D8">
              <w:rPr>
                <w:rFonts w:ascii="TitilliumText25L" w:hAnsi="TitilliumText25L" w:cs="Arial"/>
                <w:b/>
                <w:color w:val="FFFFFF"/>
                <w:w w:val="99"/>
                <w:sz w:val="28"/>
                <w:szCs w:val="28"/>
              </w:rPr>
              <w:t>Performance</w:t>
            </w:r>
            <w:r w:rsidRPr="003032D8">
              <w:rPr>
                <w:rFonts w:ascii="TitilliumText25L" w:hAnsi="TitilliumText25L" w:cs="Arial"/>
                <w:b/>
                <w:color w:val="FFFFFF"/>
                <w:spacing w:val="-21"/>
                <w:w w:val="99"/>
                <w:sz w:val="28"/>
                <w:szCs w:val="28"/>
              </w:rPr>
              <w:t xml:space="preserve"> </w:t>
            </w:r>
            <w:r w:rsidRPr="003032D8">
              <w:rPr>
                <w:rFonts w:ascii="TitilliumText25L" w:hAnsi="TitilliumText25L" w:cs="Arial"/>
                <w:b/>
                <w:color w:val="FFFFFF"/>
                <w:sz w:val="28"/>
                <w:szCs w:val="28"/>
              </w:rPr>
              <w:t>Criteria</w:t>
            </w:r>
            <w:bookmarkEnd w:id="76"/>
            <w:bookmarkEnd w:id="77"/>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35" w:after="0" w:line="240" w:lineRule="auto"/>
              <w:ind w:left="170"/>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964169"/>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481"/>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The trainee demonstrated, in a clinical setting, that they 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182"/>
              <w:rPr>
                <w:rFonts w:ascii="TitilliumText25L" w:hAnsi="TitilliumText25L" w:cs="Arial"/>
                <w:b/>
                <w:bCs/>
                <w:color w:val="282828"/>
              </w:rPr>
            </w:pPr>
            <w:r w:rsidRPr="003032D8">
              <w:rPr>
                <w:rFonts w:ascii="TitilliumText25L" w:hAnsi="TitilliumText25L" w:cs="Arial"/>
                <w:b/>
                <w:bCs/>
                <w:color w:val="282828"/>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r w:rsidRPr="003032D8">
              <w:rPr>
                <w:rFonts w:ascii="TitilliumText25L" w:hAnsi="TitilliumText25L" w:cs="Arial"/>
                <w:b/>
                <w:bCs/>
                <w:color w:val="282828"/>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
                <w:bCs/>
                <w:color w:val="282828"/>
              </w:rPr>
            </w:pPr>
            <w:proofErr w:type="spellStart"/>
            <w:r w:rsidRPr="003032D8">
              <w:rPr>
                <w:rFonts w:ascii="TitilliumText25L" w:hAnsi="TitilliumText25L" w:cs="Arial"/>
                <w:b/>
                <w:bCs/>
                <w:color w:val="282828"/>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30" w:lineRule="exact"/>
              <w:ind w:left="170" w:right="227"/>
              <w:rPr>
                <w:rFonts w:ascii="TitilliumText25L" w:hAnsi="TitilliumText25L" w:cs="Arial"/>
                <w:b/>
                <w:bCs/>
                <w:color w:val="282828"/>
              </w:rPr>
            </w:pPr>
            <w:r w:rsidRPr="003032D8">
              <w:rPr>
                <w:rFonts w:ascii="TitilliumText25L" w:hAnsi="TitilliumText25L" w:cs="Arial"/>
                <w:b/>
                <w:bCs/>
                <w:color w:val="282828"/>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451"/>
              <w:rPr>
                <w:rFonts w:ascii="TitilliumText25L" w:hAnsi="TitilliumText25L" w:cs="Arial"/>
                <w:b/>
                <w:bCs/>
                <w:color w:val="282828"/>
              </w:rPr>
            </w:pPr>
            <w:r w:rsidRPr="003032D8">
              <w:rPr>
                <w:rFonts w:ascii="TitilliumText25L" w:hAnsi="TitilliumText25L" w:cs="Arial"/>
                <w:b/>
                <w:bCs/>
                <w:color w:val="282828"/>
              </w:rPr>
              <w:t>Date</w:t>
            </w:r>
          </w:p>
        </w:tc>
      </w:tr>
      <w:tr w:rsidR="00BE3BE3" w:rsidRPr="003032D8" w:rsidTr="00D65937">
        <w:trPr>
          <w:trHeight w:hRule="exact" w:val="481"/>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Confirm decision to collect blood with the relevant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454"/>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Accurately label the collection reservoir with patient’s details.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680"/>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Correctly prime the collection equipment with an appropriate volume of anticoagulant solution following manufacturer's instructions.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454"/>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Start the collection using an appropriate vacuum level.</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680"/>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Deliver or regulate the correct volume of anticoagulant in relation to blood loss.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680"/>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Monitor the progress of the procedure and immediately report any problems to the appropriate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906"/>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Monitor the volume of salvaged blood being collected and immediately report sudden, unexpected increases in the rate of blood loss to the appropriate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680"/>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Estimate and record the volume of blood collected on completion of the collection procedure.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511"/>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Report completion of the collection to the appropriate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396"/>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Clear and dispose of waste in accordance with local guidelines.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r w:rsidR="00BE3BE3" w:rsidRPr="003032D8" w:rsidTr="00D65937">
        <w:trPr>
          <w:trHeight w:hRule="exact" w:val="445"/>
        </w:trPr>
        <w:tc>
          <w:tcPr>
            <w:tcW w:w="732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cs="Arial"/>
                <w:bCs/>
                <w:color w:val="282828"/>
              </w:rPr>
            </w:pPr>
            <w:r w:rsidRPr="003032D8">
              <w:rPr>
                <w:rFonts w:ascii="TitilliumText25L" w:hAnsi="TitilliumText25L" w:cs="Arial"/>
                <w:bCs/>
                <w:color w:val="282828"/>
              </w:rPr>
              <w:t>Complete and sign all relevant documentation.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bCs/>
                <w:color w:val="282828"/>
              </w:rPr>
            </w:pPr>
          </w:p>
        </w:tc>
      </w:tr>
    </w:tbl>
    <w:p w:rsidR="00BE3BE3" w:rsidRPr="003032D8" w:rsidRDefault="00BE3BE3" w:rsidP="00BE3BE3">
      <w:pPr>
        <w:spacing w:after="0" w:line="240" w:lineRule="auto"/>
        <w:rPr>
          <w:rFonts w:ascii="TitilliumText25L" w:hAnsi="TitilliumText25L"/>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ning</w:t>
            </w:r>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spacing w:after="0"/>
        <w:rPr>
          <w:rFonts w:ascii="TitilliumText25L" w:hAnsi="TitilliumText25L" w:cs="Arial"/>
          <w:color w:val="000000"/>
          <w:sz w:val="17"/>
          <w:szCs w:val="17"/>
        </w:r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BE3BE3" w:rsidRPr="003032D8" w:rsidTr="00D65937">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outlineLvl w:val="1"/>
              <w:rPr>
                <w:rFonts w:ascii="TitilliumText25L" w:hAnsi="TitilliumText25L" w:cs="Arial"/>
                <w:sz w:val="24"/>
                <w:szCs w:val="24"/>
              </w:rPr>
            </w:pPr>
            <w:bookmarkStart w:id="78" w:name="_Toc355270955"/>
            <w:bookmarkStart w:id="79" w:name="_Toc366850100"/>
            <w:r w:rsidRPr="003032D8">
              <w:rPr>
                <w:rFonts w:ascii="TitilliumText25L" w:hAnsi="TitilliumText25L" w:cs="Arial"/>
                <w:sz w:val="36"/>
                <w:szCs w:val="36"/>
              </w:rPr>
              <w:t>Section 4</w:t>
            </w:r>
            <w:r w:rsidRPr="003032D8">
              <w:rPr>
                <w:rFonts w:ascii="TitilliumText25L" w:hAnsi="TitilliumText25L" w:cs="Arial"/>
                <w:sz w:val="36"/>
                <w:szCs w:val="36"/>
              </w:rPr>
              <w:tab/>
            </w:r>
            <w:r w:rsidRPr="003032D8">
              <w:rPr>
                <w:rFonts w:ascii="TitilliumText25L" w:hAnsi="TitilliumText25L" w:cs="Arial"/>
                <w:sz w:val="36"/>
                <w:szCs w:val="36"/>
              </w:rPr>
              <w:tab/>
              <w:t>Pre</w:t>
            </w:r>
            <w:r w:rsidRPr="003032D8">
              <w:rPr>
                <w:rFonts w:ascii="TitilliumText25L" w:hAnsi="TitilliumText25L" w:cs="Arial"/>
                <w:spacing w:val="-9"/>
                <w:sz w:val="36"/>
                <w:szCs w:val="36"/>
              </w:rPr>
              <w:t>p</w:t>
            </w:r>
            <w:r w:rsidRPr="003032D8">
              <w:rPr>
                <w:rFonts w:ascii="TitilliumText25L" w:hAnsi="TitilliumText25L" w:cs="Arial"/>
                <w:sz w:val="36"/>
                <w:szCs w:val="36"/>
              </w:rPr>
              <w:t>are equipment for processing intra-operative salvage blood</w:t>
            </w:r>
            <w:bookmarkEnd w:id="78"/>
            <w:bookmarkEnd w:id="79"/>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F39934"/>
            <w:vAlign w:val="center"/>
          </w:tcPr>
          <w:p w:rsidR="00BE3BE3" w:rsidRPr="003032D8" w:rsidRDefault="00BE3BE3" w:rsidP="00D65937">
            <w:pPr>
              <w:spacing w:after="0" w:line="240" w:lineRule="auto"/>
              <w:ind w:left="170"/>
              <w:outlineLvl w:val="2"/>
              <w:rPr>
                <w:rFonts w:ascii="TitilliumText25L" w:hAnsi="TitilliumText25L" w:cs="Arial"/>
                <w:b/>
                <w:color w:val="C60C30"/>
                <w:sz w:val="24"/>
                <w:szCs w:val="24"/>
              </w:rPr>
            </w:pPr>
            <w:bookmarkStart w:id="80" w:name="_Toc355270956"/>
            <w:bookmarkStart w:id="81" w:name="_Toc366850101"/>
            <w:r w:rsidRPr="003032D8">
              <w:rPr>
                <w:rFonts w:ascii="TitilliumText25L" w:hAnsi="TitilliumText25L" w:cs="Arial"/>
                <w:b/>
                <w:color w:val="FFFFFF"/>
                <w:w w:val="99"/>
                <w:sz w:val="28"/>
                <w:szCs w:val="28"/>
              </w:rPr>
              <w:t>Knowledge</w:t>
            </w:r>
            <w:r w:rsidRPr="003032D8">
              <w:rPr>
                <w:rFonts w:ascii="TitilliumText25L" w:hAnsi="TitilliumText25L" w:cs="Arial"/>
                <w:b/>
                <w:color w:val="FFFFFF"/>
                <w:spacing w:val="-21"/>
                <w:w w:val="99"/>
                <w:sz w:val="28"/>
                <w:szCs w:val="28"/>
              </w:rPr>
              <w:t xml:space="preserve"> </w:t>
            </w:r>
            <w:r w:rsidRPr="003032D8">
              <w:rPr>
                <w:rFonts w:ascii="TitilliumText25L" w:hAnsi="TitilliumText25L" w:cs="Arial"/>
                <w:b/>
                <w:color w:val="FFFFFF"/>
                <w:sz w:val="28"/>
                <w:szCs w:val="28"/>
              </w:rPr>
              <w:t>and</w:t>
            </w:r>
            <w:r w:rsidRPr="003032D8">
              <w:rPr>
                <w:rFonts w:ascii="TitilliumText25L" w:hAnsi="TitilliumText25L" w:cs="Arial"/>
                <w:b/>
                <w:color w:val="FFFFFF"/>
                <w:spacing w:val="-4"/>
                <w:sz w:val="28"/>
                <w:szCs w:val="28"/>
              </w:rPr>
              <w:t xml:space="preserve"> </w:t>
            </w:r>
            <w:r w:rsidRPr="003032D8">
              <w:rPr>
                <w:rFonts w:ascii="TitilliumText25L" w:hAnsi="TitilliumText25L" w:cs="Arial"/>
                <w:b/>
                <w:color w:val="FFFFFF"/>
                <w:sz w:val="28"/>
                <w:szCs w:val="28"/>
              </w:rPr>
              <w:t>Unders</w:t>
            </w:r>
            <w:r w:rsidRPr="003032D8">
              <w:rPr>
                <w:rFonts w:ascii="TitilliumText25L" w:hAnsi="TitilliumText25L" w:cs="Arial"/>
                <w:b/>
                <w:color w:val="FFFFFF"/>
                <w:spacing w:val="-7"/>
                <w:sz w:val="28"/>
                <w:szCs w:val="28"/>
              </w:rPr>
              <w:t>t</w:t>
            </w:r>
            <w:r w:rsidRPr="003032D8">
              <w:rPr>
                <w:rFonts w:ascii="TitilliumText25L" w:hAnsi="TitilliumText25L" w:cs="Arial"/>
                <w:b/>
                <w:color w:val="FFFFFF"/>
                <w:spacing w:val="1"/>
                <w:sz w:val="28"/>
                <w:szCs w:val="28"/>
              </w:rPr>
              <w:t>a</w:t>
            </w:r>
            <w:r w:rsidRPr="003032D8">
              <w:rPr>
                <w:rFonts w:ascii="TitilliumText25L" w:hAnsi="TitilliumText25L" w:cs="Arial"/>
                <w:b/>
                <w:color w:val="FFFFFF"/>
                <w:sz w:val="28"/>
                <w:szCs w:val="28"/>
              </w:rPr>
              <w:t>nding</w:t>
            </w:r>
            <w:bookmarkEnd w:id="80"/>
            <w:bookmarkEnd w:id="81"/>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F39934"/>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481"/>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b/>
                <w:bCs/>
                <w:color w:val="282828"/>
              </w:rPr>
              <w:t>The</w:t>
            </w:r>
            <w:r w:rsidRPr="003032D8">
              <w:rPr>
                <w:rFonts w:ascii="TitilliumText25L" w:hAnsi="TitilliumText25L" w:cs="Arial"/>
                <w:b/>
                <w:bCs/>
                <w:color w:val="282828"/>
                <w:spacing w:val="-9"/>
              </w:rPr>
              <w:t xml:space="preserve"> </w:t>
            </w:r>
            <w:r w:rsidRPr="003032D8">
              <w:rPr>
                <w:rFonts w:ascii="TitilliumText25L" w:hAnsi="TitilliumText25L" w:cs="Arial"/>
                <w:b/>
                <w:bCs/>
                <w:color w:val="282828"/>
              </w:rPr>
              <w:t>trainee</w:t>
            </w:r>
            <w:r w:rsidRPr="003032D8">
              <w:rPr>
                <w:rFonts w:ascii="TitilliumText25L" w:hAnsi="TitilliumText25L" w:cs="Arial"/>
                <w:b/>
                <w:bCs/>
                <w:color w:val="282828"/>
                <w:spacing w:val="-7"/>
              </w:rPr>
              <w:t xml:space="preserve"> </w:t>
            </w:r>
            <w:r w:rsidRPr="003032D8">
              <w:rPr>
                <w:rFonts w:ascii="TitilliumText25L" w:hAnsi="TitilliumText25L" w:cs="Arial"/>
                <w:b/>
                <w:bCs/>
                <w:color w:val="282828"/>
              </w:rPr>
              <w:t>demonstrated</w:t>
            </w:r>
            <w:r w:rsidRPr="003032D8">
              <w:rPr>
                <w:rFonts w:ascii="TitilliumText25L" w:hAnsi="TitilliumText25L" w:cs="Arial"/>
                <w:b/>
                <w:bCs/>
                <w:color w:val="282828"/>
                <w:spacing w:val="-13"/>
              </w:rPr>
              <w:t xml:space="preserve"> </w:t>
            </w:r>
            <w:r w:rsidRPr="003032D8">
              <w:rPr>
                <w:rFonts w:ascii="TitilliumText25L" w:hAnsi="TitilliumText25L" w:cs="Arial"/>
                <w:b/>
                <w:bCs/>
                <w:color w:val="282828"/>
              </w:rPr>
              <w:t>kn</w:t>
            </w:r>
            <w:r w:rsidRPr="003032D8">
              <w:rPr>
                <w:rFonts w:ascii="TitilliumText25L" w:hAnsi="TitilliumText25L" w:cs="Arial"/>
                <w:b/>
                <w:bCs/>
                <w:color w:val="282828"/>
                <w:spacing w:val="-1"/>
              </w:rPr>
              <w:t>o</w:t>
            </w:r>
            <w:r w:rsidRPr="003032D8">
              <w:rPr>
                <w:rFonts w:ascii="TitilliumText25L" w:hAnsi="TitilliumText25L" w:cs="Arial"/>
                <w:b/>
                <w:bCs/>
                <w:color w:val="282828"/>
                <w:spacing w:val="2"/>
              </w:rPr>
              <w:t>w</w:t>
            </w:r>
            <w:r w:rsidRPr="003032D8">
              <w:rPr>
                <w:rFonts w:ascii="TitilliumText25L" w:hAnsi="TitilliumText25L" w:cs="Arial"/>
                <w:b/>
                <w:bCs/>
                <w:color w:val="282828"/>
              </w:rPr>
              <w:t>l</w:t>
            </w:r>
            <w:r w:rsidRPr="003032D8">
              <w:rPr>
                <w:rFonts w:ascii="TitilliumText25L" w:hAnsi="TitilliumText25L" w:cs="Arial"/>
                <w:b/>
                <w:bCs/>
                <w:color w:val="282828"/>
                <w:spacing w:val="-1"/>
              </w:rPr>
              <w:t>e</w:t>
            </w:r>
            <w:r w:rsidRPr="003032D8">
              <w:rPr>
                <w:rFonts w:ascii="TitilliumText25L" w:hAnsi="TitilliumText25L" w:cs="Arial"/>
                <w:b/>
                <w:bCs/>
                <w:color w:val="282828"/>
              </w:rPr>
              <w:t>dge</w:t>
            </w:r>
            <w:r w:rsidRPr="003032D8">
              <w:rPr>
                <w:rFonts w:ascii="TitilliumText25L" w:hAnsi="TitilliumText25L" w:cs="Arial"/>
                <w:b/>
                <w:bCs/>
                <w:color w:val="282828"/>
                <w:spacing w:val="-2"/>
              </w:rPr>
              <w:t xml:space="preserve"> </w:t>
            </w:r>
            <w:r w:rsidRPr="003032D8">
              <w:rPr>
                <w:rFonts w:ascii="TitilliumText25L" w:hAnsi="TitilliumText25L" w:cs="Arial"/>
                <w:b/>
                <w:bCs/>
                <w:color w:val="282828"/>
              </w:rPr>
              <w:t>and</w:t>
            </w:r>
            <w:r w:rsidRPr="003032D8">
              <w:rPr>
                <w:rFonts w:ascii="TitilliumText25L" w:hAnsi="TitilliumText25L" w:cs="Arial"/>
                <w:b/>
                <w:bCs/>
                <w:color w:val="282828"/>
                <w:spacing w:val="-4"/>
              </w:rPr>
              <w:t xml:space="preserve"> </w:t>
            </w:r>
            <w:r w:rsidRPr="003032D8">
              <w:rPr>
                <w:rFonts w:ascii="TitilliumText25L" w:hAnsi="TitilliumText25L" w:cs="Arial"/>
                <w:b/>
                <w:bCs/>
                <w:color w:val="282828"/>
              </w:rPr>
              <w:t>understanding</w:t>
            </w:r>
            <w:r w:rsidRPr="003032D8">
              <w:rPr>
                <w:rFonts w:ascii="TitilliumText25L" w:hAnsi="TitilliumText25L" w:cs="Arial"/>
                <w:b/>
                <w:bCs/>
                <w:color w:val="282828"/>
                <w:spacing w:val="-13"/>
              </w:rPr>
              <w:t xml:space="preserve"> </w:t>
            </w:r>
            <w:r w:rsidRPr="003032D8">
              <w:rPr>
                <w:rFonts w:ascii="TitilliumText25L" w:hAnsi="TitilliumText25L" w:cs="Arial"/>
                <w:b/>
                <w:bCs/>
                <w:color w:val="282828"/>
              </w:rPr>
              <w:t>of: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b/>
                <w:bCs/>
                <w:color w:val="282828"/>
                <w:sz w:val="20"/>
                <w:szCs w:val="20"/>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182"/>
              <w:rPr>
                <w:rFonts w:ascii="TitilliumText25L" w:hAnsi="TitilliumText25L"/>
                <w:sz w:val="24"/>
                <w:szCs w:val="24"/>
              </w:rPr>
            </w:pPr>
            <w:r w:rsidRPr="003032D8">
              <w:rPr>
                <w:rFonts w:ascii="TitilliumText25L" w:hAnsi="TitilliumText25L" w:cs="Arial"/>
                <w:b/>
                <w:bCs/>
                <w:color w:val="282828"/>
                <w:sz w:val="20"/>
                <w:szCs w:val="20"/>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roofErr w:type="spellStart"/>
            <w:r w:rsidRPr="003032D8">
              <w:rPr>
                <w:rFonts w:ascii="TitilliumText25L" w:hAnsi="TitilliumText25L" w:cs="Arial"/>
                <w:b/>
                <w:bCs/>
                <w:color w:val="282828"/>
                <w:sz w:val="20"/>
                <w:szCs w:val="20"/>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b/>
                <w:bCs/>
                <w:color w:val="282828"/>
                <w:sz w:val="20"/>
                <w:szCs w:val="20"/>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b/>
                <w:bCs/>
                <w:color w:val="282828"/>
                <w:sz w:val="20"/>
                <w:szCs w:val="20"/>
              </w:rPr>
              <w:t>Q</w:t>
            </w: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roofErr w:type="spellStart"/>
            <w:r w:rsidRPr="003032D8">
              <w:rPr>
                <w:rFonts w:ascii="TitilliumText25L" w:hAnsi="TitilliumText25L" w:cs="Arial"/>
                <w:b/>
                <w:bCs/>
                <w:color w:val="282828"/>
                <w:sz w:val="20"/>
                <w:szCs w:val="20"/>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30" w:lineRule="exact"/>
              <w:ind w:left="170" w:right="227"/>
              <w:rPr>
                <w:rFonts w:ascii="TitilliumText25L" w:hAnsi="TitilliumText25L"/>
                <w:sz w:val="24"/>
                <w:szCs w:val="24"/>
              </w:rPr>
            </w:pPr>
            <w:r w:rsidRPr="003032D8">
              <w:rPr>
                <w:rFonts w:ascii="TitilliumText25L" w:hAnsi="TitilliumText25L" w:cs="Arial"/>
                <w:b/>
                <w:bCs/>
                <w:color w:val="282828"/>
                <w:sz w:val="20"/>
                <w:szCs w:val="20"/>
              </w:rPr>
              <w:t>As</w:t>
            </w:r>
            <w:r w:rsidRPr="003032D8">
              <w:rPr>
                <w:rFonts w:ascii="TitilliumText25L" w:hAnsi="TitilliumText25L" w:cs="Arial"/>
                <w:b/>
                <w:bCs/>
                <w:color w:val="282828"/>
                <w:spacing w:val="-1"/>
                <w:sz w:val="20"/>
                <w:szCs w:val="20"/>
              </w:rPr>
              <w:t>s</w:t>
            </w:r>
            <w:r w:rsidRPr="003032D8">
              <w:rPr>
                <w:rFonts w:ascii="TitilliumText25L" w:hAnsi="TitilliumText25L" w:cs="Arial"/>
                <w:b/>
                <w:bCs/>
                <w:color w:val="282828"/>
                <w:sz w:val="20"/>
                <w:szCs w:val="20"/>
              </w:rPr>
              <w:t>ess</w:t>
            </w:r>
            <w:r w:rsidRPr="003032D8">
              <w:rPr>
                <w:rFonts w:ascii="TitilliumText25L" w:hAnsi="TitilliumText25L" w:cs="Arial"/>
                <w:b/>
                <w:bCs/>
                <w:color w:val="282828"/>
                <w:spacing w:val="-1"/>
                <w:sz w:val="20"/>
                <w:szCs w:val="20"/>
              </w:rPr>
              <w:t>o</w:t>
            </w:r>
            <w:r w:rsidRPr="003032D8">
              <w:rPr>
                <w:rFonts w:ascii="TitilliumText25L" w:hAnsi="TitilliumText25L" w:cs="Arial"/>
                <w:b/>
                <w:bCs/>
                <w:color w:val="282828"/>
                <w:sz w:val="20"/>
                <w:szCs w:val="20"/>
              </w:rPr>
              <w:t>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451"/>
              <w:rPr>
                <w:rFonts w:ascii="TitilliumText25L" w:hAnsi="TitilliumText25L"/>
                <w:sz w:val="24"/>
                <w:szCs w:val="24"/>
              </w:rPr>
            </w:pPr>
            <w:r w:rsidRPr="003032D8">
              <w:rPr>
                <w:rFonts w:ascii="TitilliumText25L" w:hAnsi="TitilliumText25L" w:cs="Arial"/>
                <w:b/>
                <w:bCs/>
                <w:color w:val="282828"/>
                <w:sz w:val="20"/>
                <w:szCs w:val="20"/>
              </w:rPr>
              <w:t>Da</w:t>
            </w:r>
            <w:r w:rsidRPr="003032D8">
              <w:rPr>
                <w:rFonts w:ascii="TitilliumText25L" w:hAnsi="TitilliumText25L" w:cs="Arial"/>
                <w:b/>
                <w:bCs/>
                <w:color w:val="282828"/>
                <w:spacing w:val="-1"/>
                <w:sz w:val="20"/>
                <w:szCs w:val="20"/>
              </w:rPr>
              <w:t>t</w:t>
            </w:r>
            <w:r w:rsidRPr="003032D8">
              <w:rPr>
                <w:rFonts w:ascii="TitilliumText25L" w:hAnsi="TitilliumText25L" w:cs="Arial"/>
                <w:b/>
                <w:bCs/>
                <w:color w:val="282828"/>
                <w:sz w:val="20"/>
                <w:szCs w:val="20"/>
              </w:rPr>
              <w:t>e</w:t>
            </w:r>
          </w:p>
        </w:tc>
      </w:tr>
      <w:tr w:rsidR="00BE3BE3" w:rsidRPr="003032D8" w:rsidTr="00D65937">
        <w:trPr>
          <w:trHeight w:hRule="exact" w:val="70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indica</w:t>
            </w:r>
            <w:r w:rsidRPr="003032D8">
              <w:rPr>
                <w:rFonts w:ascii="TitilliumText25L" w:hAnsi="TitilliumText25L" w:cs="Arial"/>
                <w:color w:val="282828"/>
                <w:spacing w:val="-1"/>
              </w:rPr>
              <w:t>ti</w:t>
            </w:r>
            <w:r w:rsidRPr="003032D8">
              <w:rPr>
                <w:rFonts w:ascii="TitilliumText25L" w:hAnsi="TitilliumText25L" w:cs="Arial"/>
                <w:color w:val="282828"/>
              </w:rPr>
              <w:t>ons</w:t>
            </w:r>
            <w:r w:rsidRPr="003032D8">
              <w:rPr>
                <w:rFonts w:ascii="TitilliumText25L" w:hAnsi="TitilliumText25L" w:cs="Arial"/>
                <w:color w:val="282828"/>
                <w:spacing w:val="-5"/>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co</w:t>
            </w:r>
            <w:r w:rsidRPr="003032D8">
              <w:rPr>
                <w:rFonts w:ascii="TitilliumText25L" w:hAnsi="TitilliumText25L" w:cs="Arial"/>
                <w:color w:val="282828"/>
                <w:spacing w:val="-1"/>
              </w:rPr>
              <w:t>n</w:t>
            </w:r>
            <w:r w:rsidRPr="003032D8">
              <w:rPr>
                <w:rFonts w:ascii="TitilliumText25L" w:hAnsi="TitilliumText25L" w:cs="Arial"/>
                <w:color w:val="282828"/>
              </w:rPr>
              <w:t>traindicatio</w:t>
            </w:r>
            <w:r w:rsidRPr="003032D8">
              <w:rPr>
                <w:rFonts w:ascii="TitilliumText25L" w:hAnsi="TitilliumText25L" w:cs="Arial"/>
                <w:color w:val="282828"/>
                <w:spacing w:val="-1"/>
              </w:rPr>
              <w:t>n</w:t>
            </w:r>
            <w:r w:rsidRPr="003032D8">
              <w:rPr>
                <w:rFonts w:ascii="TitilliumText25L" w:hAnsi="TitilliumText25L" w:cs="Arial"/>
                <w:color w:val="282828"/>
              </w:rPr>
              <w:t>s</w:t>
            </w:r>
            <w:r w:rsidRPr="003032D8">
              <w:rPr>
                <w:rFonts w:ascii="TitilliumText25L" w:hAnsi="TitilliumText25L" w:cs="Arial"/>
                <w:color w:val="282828"/>
                <w:spacing w:val="-2"/>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use</w:t>
            </w:r>
            <w:r w:rsidRPr="003032D8">
              <w:rPr>
                <w:rFonts w:ascii="TitilliumText25L" w:hAnsi="TitilliumText25L" w:cs="Arial"/>
                <w:color w:val="282828"/>
                <w:spacing w:val="-4"/>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Intraoperative</w:t>
            </w:r>
            <w:r w:rsidRPr="003032D8">
              <w:rPr>
                <w:rFonts w:ascii="TitilliumText25L" w:hAnsi="TitilliumText25L" w:cs="Arial"/>
                <w:color w:val="282828"/>
                <w:spacing w:val="-12"/>
              </w:rPr>
              <w:t xml:space="preserve"> </w:t>
            </w:r>
            <w:r w:rsidRPr="003032D8">
              <w:rPr>
                <w:rFonts w:ascii="TitilliumText25L" w:hAnsi="TitilliumText25L" w:cs="Arial"/>
                <w:color w:val="282828"/>
              </w:rPr>
              <w:t>Cell Salvage</w:t>
            </w:r>
            <w:r w:rsidRPr="003032D8">
              <w:rPr>
                <w:rFonts w:ascii="TitilliumText25L" w:hAnsi="TitilliumText25L" w:cs="Arial"/>
                <w:color w:val="282828"/>
                <w:spacing w:val="-13"/>
              </w:rPr>
              <w:t xml:space="preserve"> </w:t>
            </w:r>
            <w:r w:rsidRPr="003032D8">
              <w:rPr>
                <w:rFonts w:ascii="TitilliumText25L" w:hAnsi="TitilliumText25L" w:cs="Arial"/>
                <w:color w:val="282828"/>
              </w:rPr>
              <w:t>(ICS).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915"/>
              <w:rPr>
                <w:rFonts w:ascii="TitilliumText25L" w:hAnsi="TitilliumText25L"/>
                <w:sz w:val="24"/>
                <w:szCs w:val="24"/>
              </w:rPr>
            </w:pPr>
            <w:r w:rsidRPr="003032D8">
              <w:rPr>
                <w:rFonts w:ascii="TitilliumText25L" w:hAnsi="TitilliumText25L" w:cs="Arial"/>
                <w:color w:val="282828"/>
              </w:rPr>
              <w:t>Factors</w:t>
            </w:r>
            <w:r w:rsidRPr="003032D8">
              <w:rPr>
                <w:rFonts w:ascii="TitilliumText25L" w:hAnsi="TitilliumText25L" w:cs="Arial"/>
                <w:color w:val="282828"/>
                <w:spacing w:val="-13"/>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b</w:t>
            </w:r>
            <w:r w:rsidRPr="003032D8">
              <w:rPr>
                <w:rFonts w:ascii="TitilliumText25L" w:hAnsi="TitilliumText25L" w:cs="Arial"/>
                <w:color w:val="282828"/>
              </w:rPr>
              <w:t>e</w:t>
            </w:r>
            <w:r w:rsidRPr="003032D8">
              <w:rPr>
                <w:rFonts w:ascii="TitilliumText25L" w:hAnsi="TitilliumText25L" w:cs="Arial"/>
                <w:color w:val="282828"/>
                <w:spacing w:val="-1"/>
              </w:rPr>
              <w:t xml:space="preserve"> </w:t>
            </w:r>
            <w:r w:rsidRPr="003032D8">
              <w:rPr>
                <w:rFonts w:ascii="TitilliumText25L" w:hAnsi="TitilliumText25L" w:cs="Arial"/>
                <w:color w:val="282828"/>
              </w:rPr>
              <w:t>consider</w:t>
            </w:r>
            <w:r w:rsidRPr="003032D8">
              <w:rPr>
                <w:rFonts w:ascii="TitilliumText25L" w:hAnsi="TitilliumText25L" w:cs="Arial"/>
                <w:color w:val="282828"/>
                <w:spacing w:val="-1"/>
              </w:rPr>
              <w:t>e</w:t>
            </w:r>
            <w:r w:rsidRPr="003032D8">
              <w:rPr>
                <w:rFonts w:ascii="TitilliumText25L" w:hAnsi="TitilliumText25L" w:cs="Arial"/>
                <w:color w:val="282828"/>
              </w:rPr>
              <w:t>d</w:t>
            </w:r>
            <w:r w:rsidRPr="003032D8">
              <w:rPr>
                <w:rFonts w:ascii="TitilliumText25L" w:hAnsi="TitilliumText25L" w:cs="Arial"/>
                <w:color w:val="282828"/>
                <w:spacing w:val="-8"/>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decision</w:t>
            </w:r>
            <w:r w:rsidRPr="003032D8">
              <w:rPr>
                <w:rFonts w:ascii="TitilliumText25L" w:hAnsi="TitilliumText25L" w:cs="Arial"/>
                <w:color w:val="282828"/>
                <w:spacing w:val="-7"/>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set</w:t>
            </w:r>
            <w:r w:rsidRPr="003032D8">
              <w:rPr>
                <w:rFonts w:ascii="TitilliumText25L" w:hAnsi="TitilliumText25L" w:cs="Arial"/>
                <w:color w:val="282828"/>
                <w:spacing w:val="-3"/>
              </w:rPr>
              <w:t xml:space="preserve"> </w:t>
            </w:r>
            <w:r w:rsidRPr="003032D8">
              <w:rPr>
                <w:rFonts w:ascii="TitilliumText25L" w:hAnsi="TitilliumText25L" w:cs="Arial"/>
                <w:color w:val="282828"/>
                <w:spacing w:val="-1"/>
              </w:rPr>
              <w:t>u</w:t>
            </w:r>
            <w:r w:rsidRPr="003032D8">
              <w:rPr>
                <w:rFonts w:ascii="TitilliumText25L" w:hAnsi="TitilliumText25L" w:cs="Arial"/>
                <w:color w:val="282828"/>
              </w:rPr>
              <w:t>p</w:t>
            </w:r>
            <w:r w:rsidRPr="003032D8">
              <w:rPr>
                <w:rFonts w:ascii="TitilliumText25L" w:hAnsi="TitilliumText25L" w:cs="Arial"/>
                <w:color w:val="282828"/>
                <w:spacing w:val="-1"/>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processing equipment.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66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123"/>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types,</w:t>
            </w:r>
            <w:r w:rsidRPr="003032D8">
              <w:rPr>
                <w:rFonts w:ascii="TitilliumText25L" w:hAnsi="TitilliumText25L" w:cs="Arial"/>
                <w:color w:val="282828"/>
                <w:spacing w:val="-5"/>
              </w:rPr>
              <w:t xml:space="preserve"> </w:t>
            </w:r>
            <w:r w:rsidRPr="003032D8">
              <w:rPr>
                <w:rFonts w:ascii="TitilliumText25L" w:hAnsi="TitilliumText25L" w:cs="Arial"/>
                <w:color w:val="282828"/>
              </w:rPr>
              <w:t>purpose</w:t>
            </w:r>
            <w:r w:rsidRPr="003032D8">
              <w:rPr>
                <w:rFonts w:ascii="TitilliumText25L" w:hAnsi="TitilliumText25L" w:cs="Arial"/>
                <w:color w:val="282828"/>
                <w:spacing w:val="-7"/>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spacing w:val="-1"/>
              </w:rPr>
              <w:t>f</w:t>
            </w:r>
            <w:r w:rsidRPr="003032D8">
              <w:rPr>
                <w:rFonts w:ascii="TitilliumText25L" w:hAnsi="TitilliumText25L" w:cs="Arial"/>
                <w:color w:val="282828"/>
              </w:rPr>
              <w:t>unctions</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t</w:t>
            </w:r>
            <w:r w:rsidRPr="003032D8">
              <w:rPr>
                <w:rFonts w:ascii="TitilliumText25L" w:hAnsi="TitilliumText25L" w:cs="Arial"/>
                <w:color w:val="282828"/>
              </w:rPr>
              <w:t>he</w:t>
            </w:r>
            <w:r w:rsidRPr="003032D8">
              <w:rPr>
                <w:rFonts w:ascii="TitilliumText25L" w:hAnsi="TitilliumText25L" w:cs="Arial"/>
                <w:color w:val="282828"/>
                <w:spacing w:val="-2"/>
              </w:rPr>
              <w:t xml:space="preserve"> </w:t>
            </w:r>
            <w:r w:rsidRPr="003032D8">
              <w:rPr>
                <w:rFonts w:ascii="TitilliumText25L" w:hAnsi="TitilliumText25L" w:cs="Arial"/>
                <w:color w:val="282828"/>
              </w:rPr>
              <w:t>ICS</w:t>
            </w:r>
            <w:r w:rsidRPr="003032D8">
              <w:rPr>
                <w:rFonts w:ascii="TitilliumText25L" w:hAnsi="TitilliumText25L" w:cs="Arial"/>
                <w:color w:val="282828"/>
                <w:spacing w:val="-3"/>
              </w:rPr>
              <w:t xml:space="preserve"> </w:t>
            </w:r>
            <w:r w:rsidRPr="003032D8">
              <w:rPr>
                <w:rFonts w:ascii="TitilliumText25L" w:hAnsi="TitilliumText25L" w:cs="Arial"/>
                <w:color w:val="282828"/>
              </w:rPr>
              <w:t>ma</w:t>
            </w:r>
            <w:r w:rsidRPr="003032D8">
              <w:rPr>
                <w:rFonts w:ascii="TitilliumText25L" w:hAnsi="TitilliumText25L" w:cs="Arial"/>
                <w:color w:val="282828"/>
                <w:spacing w:val="2"/>
              </w:rPr>
              <w:t>c</w:t>
            </w:r>
            <w:r w:rsidRPr="003032D8">
              <w:rPr>
                <w:rFonts w:ascii="TitilliumText25L" w:hAnsi="TitilliumText25L" w:cs="Arial"/>
                <w:color w:val="282828"/>
              </w:rPr>
              <w:t>hines</w:t>
            </w:r>
            <w:r w:rsidRPr="003032D8">
              <w:rPr>
                <w:rFonts w:ascii="TitilliumText25L" w:hAnsi="TitilliumText25L" w:cs="Arial"/>
                <w:color w:val="282828"/>
                <w:spacing w:val="-3"/>
              </w:rPr>
              <w:t xml:space="preserve"> </w:t>
            </w:r>
            <w:r w:rsidRPr="003032D8">
              <w:rPr>
                <w:rFonts w:ascii="TitilliumText25L" w:hAnsi="TitilliumText25L" w:cs="Arial"/>
                <w:color w:val="282828"/>
              </w:rPr>
              <w:t>used</w:t>
            </w:r>
            <w:r w:rsidRPr="003032D8">
              <w:rPr>
                <w:rFonts w:ascii="TitilliumText25L" w:hAnsi="TitilliumText25L" w:cs="Arial"/>
                <w:color w:val="282828"/>
                <w:spacing w:val="-5"/>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your</w:t>
            </w:r>
            <w:r w:rsidRPr="003032D8">
              <w:rPr>
                <w:rFonts w:ascii="TitilliumText25L" w:hAnsi="TitilliumText25L" w:cs="Arial"/>
                <w:color w:val="282828"/>
                <w:spacing w:val="-4"/>
              </w:rPr>
              <w:t xml:space="preserve"> </w:t>
            </w:r>
            <w:r w:rsidRPr="003032D8">
              <w:rPr>
                <w:rFonts w:ascii="TitilliumText25L" w:hAnsi="TitilliumText25L" w:cs="Arial"/>
                <w:color w:val="282828"/>
              </w:rPr>
              <w:t>work</w:t>
            </w:r>
            <w:r w:rsidRPr="003032D8">
              <w:rPr>
                <w:rFonts w:ascii="TitilliumText25L" w:hAnsi="TitilliumText25L" w:cs="Arial"/>
                <w:color w:val="282828"/>
                <w:spacing w:val="-4"/>
              </w:rPr>
              <w:t xml:space="preserve"> </w:t>
            </w:r>
            <w:r w:rsidRPr="003032D8">
              <w:rPr>
                <w:rFonts w:ascii="TitilliumText25L" w:hAnsi="TitilliumText25L" w:cs="Arial"/>
                <w:color w:val="282828"/>
              </w:rPr>
              <w:t>area.</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469"/>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purpose</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processing</w:t>
            </w:r>
            <w:r w:rsidRPr="003032D8">
              <w:rPr>
                <w:rFonts w:ascii="TitilliumText25L" w:hAnsi="TitilliumText25L" w:cs="Arial"/>
                <w:color w:val="282828"/>
                <w:spacing w:val="-10"/>
              </w:rPr>
              <w:t xml:space="preserve"> </w:t>
            </w:r>
            <w:r w:rsidRPr="003032D8">
              <w:rPr>
                <w:rFonts w:ascii="TitilliumText25L" w:hAnsi="TitilliumText25L" w:cs="Arial"/>
                <w:color w:val="282828"/>
              </w:rPr>
              <w:t>set</w:t>
            </w:r>
            <w:r w:rsidRPr="003032D8">
              <w:rPr>
                <w:rFonts w:ascii="TitilliumText25L" w:hAnsi="TitilliumText25L" w:cs="Arial"/>
                <w:color w:val="282828"/>
                <w:spacing w:val="-3"/>
              </w:rPr>
              <w:t xml:space="preserve"> </w:t>
            </w:r>
            <w:r w:rsidRPr="003032D8">
              <w:rPr>
                <w:rFonts w:ascii="TitilliumText25L" w:hAnsi="TitilliumText25L" w:cs="Arial"/>
                <w:color w:val="282828"/>
                <w:spacing w:val="-1"/>
              </w:rPr>
              <w:t>e</w:t>
            </w:r>
            <w:r w:rsidRPr="003032D8">
              <w:rPr>
                <w:rFonts w:ascii="TitilliumText25L" w:hAnsi="TitilliumText25L" w:cs="Arial"/>
                <w:color w:val="282828"/>
              </w:rPr>
              <w:t>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rationale</w:t>
            </w:r>
            <w:r w:rsidRPr="003032D8">
              <w:rPr>
                <w:rFonts w:ascii="TitilliumText25L" w:hAnsi="TitilliumText25L" w:cs="Arial"/>
                <w:color w:val="282828"/>
                <w:spacing w:val="-8"/>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expiry</w:t>
            </w:r>
            <w:r w:rsidRPr="003032D8">
              <w:rPr>
                <w:rFonts w:ascii="TitilliumText25L" w:hAnsi="TitilliumText25L" w:cs="Arial"/>
                <w:color w:val="282828"/>
                <w:spacing w:val="-5"/>
              </w:rPr>
              <w:t xml:space="preserve"> </w:t>
            </w:r>
            <w:r w:rsidRPr="003032D8">
              <w:rPr>
                <w:rFonts w:ascii="TitilliumText25L" w:hAnsi="TitilliumText25L" w:cs="Arial"/>
                <w:color w:val="282828"/>
                <w:spacing w:val="1"/>
              </w:rPr>
              <w:t>t</w:t>
            </w:r>
            <w:r w:rsidRPr="003032D8">
              <w:rPr>
                <w:rFonts w:ascii="TitilliumText25L" w:hAnsi="TitilliumText25L" w:cs="Arial"/>
                <w:color w:val="282828"/>
              </w:rPr>
              <w:t>ime</w:t>
            </w:r>
            <w:r w:rsidRPr="003032D8">
              <w:rPr>
                <w:rFonts w:ascii="TitilliumText25L" w:hAnsi="TitilliumText25L" w:cs="Arial"/>
                <w:color w:val="282828"/>
                <w:spacing w:val="-3"/>
              </w:rPr>
              <w:t xml:space="preserve"> </w:t>
            </w:r>
            <w:r w:rsidRPr="003032D8">
              <w:rPr>
                <w:rFonts w:ascii="TitilliumText25L" w:hAnsi="TitilliumText25L" w:cs="Arial"/>
                <w:color w:val="282828"/>
              </w:rPr>
              <w:t>on</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set</w:t>
            </w:r>
            <w:r w:rsidRPr="003032D8">
              <w:rPr>
                <w:rFonts w:ascii="TitilliumText25L" w:hAnsi="TitilliumText25L" w:cs="Arial"/>
                <w:color w:val="282828"/>
                <w:spacing w:val="-3"/>
              </w:rPr>
              <w:t xml:space="preserve"> </w:t>
            </w:r>
            <w:r w:rsidRPr="003032D8">
              <w:rPr>
                <w:rFonts w:ascii="TitilliumText25L" w:hAnsi="TitilliumText25L" w:cs="Arial"/>
                <w:color w:val="282828"/>
              </w:rPr>
              <w:t>up</w:t>
            </w:r>
            <w:r w:rsidRPr="003032D8">
              <w:rPr>
                <w:rFonts w:ascii="TitilliumText25L" w:hAnsi="TitilliumText25L" w:cs="Arial"/>
                <w:color w:val="282828"/>
                <w:spacing w:val="-2"/>
              </w:rPr>
              <w:t xml:space="preserve"> </w:t>
            </w:r>
            <w:r w:rsidRPr="003032D8">
              <w:rPr>
                <w:rFonts w:ascii="TitilliumText25L" w:hAnsi="TitilliumText25L" w:cs="Arial"/>
                <w:color w:val="282828"/>
              </w:rPr>
              <w:t>equi</w:t>
            </w:r>
            <w:r w:rsidRPr="003032D8">
              <w:rPr>
                <w:rFonts w:ascii="TitilliumText25L" w:hAnsi="TitilliumText25L" w:cs="Arial"/>
                <w:color w:val="282828"/>
                <w:spacing w:val="-1"/>
              </w:rPr>
              <w:t>p</w:t>
            </w:r>
            <w:r w:rsidRPr="003032D8">
              <w:rPr>
                <w:rFonts w:ascii="TitilliumText25L" w:hAnsi="TitilliumText25L" w:cs="Arial"/>
                <w:color w:val="282828"/>
              </w:rPr>
              <w:t>ment.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choice</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intravenous</w:t>
            </w:r>
            <w:r w:rsidRPr="003032D8">
              <w:rPr>
                <w:rFonts w:ascii="TitilliumText25L" w:hAnsi="TitilliumText25L" w:cs="Arial"/>
                <w:color w:val="282828"/>
                <w:spacing w:val="-10"/>
              </w:rPr>
              <w:t xml:space="preserve"> </w:t>
            </w:r>
            <w:r w:rsidRPr="003032D8">
              <w:rPr>
                <w:rFonts w:ascii="TitilliumText25L" w:hAnsi="TitilliumText25L" w:cs="Arial"/>
                <w:color w:val="282828"/>
              </w:rPr>
              <w:t>normal</w:t>
            </w:r>
            <w:r w:rsidRPr="003032D8">
              <w:rPr>
                <w:rFonts w:ascii="TitilliumText25L" w:hAnsi="TitilliumText25L" w:cs="Arial"/>
                <w:color w:val="282828"/>
                <w:spacing w:val="-6"/>
              </w:rPr>
              <w:t xml:space="preserve"> </w:t>
            </w:r>
            <w:r w:rsidRPr="003032D8">
              <w:rPr>
                <w:rFonts w:ascii="TitilliumText25L" w:hAnsi="TitilliumText25L" w:cs="Arial"/>
                <w:color w:val="282828"/>
              </w:rPr>
              <w:t>saline</w:t>
            </w:r>
            <w:r w:rsidRPr="003032D8">
              <w:rPr>
                <w:rFonts w:ascii="TitilliumText25L" w:hAnsi="TitilliumText25L" w:cs="Arial"/>
                <w:color w:val="282828"/>
                <w:spacing w:val="-5"/>
              </w:rPr>
              <w:t xml:space="preserve"> </w:t>
            </w:r>
            <w:r w:rsidRPr="003032D8">
              <w:rPr>
                <w:rFonts w:ascii="TitilliumText25L" w:hAnsi="TitilliumText25L" w:cs="Arial"/>
                <w:color w:val="282828"/>
              </w:rPr>
              <w:t>0.9%</w:t>
            </w:r>
            <w:r w:rsidRPr="003032D8">
              <w:rPr>
                <w:rFonts w:ascii="TitilliumText25L" w:hAnsi="TitilliumText25L" w:cs="Arial"/>
                <w:color w:val="282828"/>
                <w:spacing w:val="-5"/>
              </w:rPr>
              <w:t xml:space="preserve"> </w:t>
            </w:r>
            <w:r w:rsidRPr="003032D8">
              <w:rPr>
                <w:rFonts w:ascii="TitilliumText25L" w:hAnsi="TitilliumText25L" w:cs="Arial"/>
                <w:color w:val="282828"/>
                <w:spacing w:val="-1"/>
              </w:rPr>
              <w:t>a</w:t>
            </w:r>
            <w:r w:rsidRPr="003032D8">
              <w:rPr>
                <w:rFonts w:ascii="TitilliumText25L" w:hAnsi="TitilliumText25L" w:cs="Arial"/>
                <w:color w:val="282828"/>
              </w:rPr>
              <w:t>s the</w:t>
            </w:r>
            <w:r w:rsidRPr="003032D8">
              <w:rPr>
                <w:rFonts w:ascii="TitilliumText25L" w:hAnsi="TitilliumText25L" w:cs="Arial"/>
                <w:color w:val="282828"/>
                <w:spacing w:val="-3"/>
              </w:rPr>
              <w:t xml:space="preserve"> </w:t>
            </w:r>
            <w:r w:rsidRPr="003032D8">
              <w:rPr>
                <w:rFonts w:ascii="TitilliumText25L" w:hAnsi="TitilliumText25L" w:cs="Arial"/>
                <w:color w:val="282828"/>
              </w:rPr>
              <w:t>wash</w:t>
            </w:r>
            <w:r w:rsidRPr="003032D8">
              <w:rPr>
                <w:rFonts w:ascii="TitilliumText25L" w:hAnsi="TitilliumText25L" w:cs="Arial"/>
                <w:color w:val="282828"/>
                <w:spacing w:val="-5"/>
              </w:rPr>
              <w:t xml:space="preserve"> </w:t>
            </w:r>
            <w:r w:rsidRPr="003032D8">
              <w:rPr>
                <w:rFonts w:ascii="TitilliumText25L" w:hAnsi="TitilliumText25L" w:cs="Arial"/>
                <w:color w:val="282828"/>
              </w:rPr>
              <w:t>fluid.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90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97"/>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possi</w:t>
            </w:r>
            <w:r w:rsidRPr="003032D8">
              <w:rPr>
                <w:rFonts w:ascii="TitilliumText25L" w:hAnsi="TitilliumText25L" w:cs="Arial"/>
                <w:color w:val="282828"/>
                <w:spacing w:val="-1"/>
              </w:rPr>
              <w:t>bl</w:t>
            </w:r>
            <w:r w:rsidRPr="003032D8">
              <w:rPr>
                <w:rFonts w:ascii="TitilliumText25L" w:hAnsi="TitilliumText25L" w:cs="Arial"/>
                <w:color w:val="282828"/>
              </w:rPr>
              <w:t>e</w:t>
            </w:r>
            <w:r w:rsidRPr="003032D8">
              <w:rPr>
                <w:rFonts w:ascii="TitilliumText25L" w:hAnsi="TitilliumText25L" w:cs="Arial"/>
                <w:color w:val="282828"/>
                <w:spacing w:val="-5"/>
              </w:rPr>
              <w:t xml:space="preserve"> </w:t>
            </w:r>
            <w:r w:rsidRPr="003032D8">
              <w:rPr>
                <w:rFonts w:ascii="TitilliumText25L" w:hAnsi="TitilliumText25L" w:cs="Arial"/>
                <w:color w:val="282828"/>
              </w:rPr>
              <w:t>contents</w:t>
            </w:r>
            <w:r w:rsidRPr="003032D8">
              <w:rPr>
                <w:rFonts w:ascii="TitilliumText25L" w:hAnsi="TitilliumText25L" w:cs="Arial"/>
                <w:color w:val="282828"/>
                <w:spacing w:val="-8"/>
              </w:rPr>
              <w:t xml:space="preserve"> </w:t>
            </w:r>
            <w:r w:rsidRPr="003032D8">
              <w:rPr>
                <w:rFonts w:ascii="TitilliumText25L" w:hAnsi="TitilliumText25L" w:cs="Arial"/>
                <w:color w:val="282828"/>
                <w:spacing w:val="-1"/>
              </w:rPr>
              <w:t>o</w:t>
            </w:r>
            <w:r w:rsidRPr="003032D8">
              <w:rPr>
                <w:rFonts w:ascii="TitilliumText25L" w:hAnsi="TitilliumText25L" w:cs="Arial"/>
                <w:color w:val="282828"/>
              </w:rPr>
              <w:t>f</w:t>
            </w:r>
            <w:r w:rsidRPr="003032D8">
              <w:rPr>
                <w:rFonts w:ascii="TitilliumText25L" w:hAnsi="TitilliumText25L" w:cs="Arial"/>
                <w:color w:val="282828"/>
                <w:spacing w:val="-1"/>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coll</w:t>
            </w:r>
            <w:r w:rsidRPr="003032D8">
              <w:rPr>
                <w:rFonts w:ascii="TitilliumText25L" w:hAnsi="TitilliumText25L" w:cs="Arial"/>
                <w:color w:val="282828"/>
                <w:spacing w:val="-1"/>
              </w:rPr>
              <w:t>e</w:t>
            </w:r>
            <w:r w:rsidRPr="003032D8">
              <w:rPr>
                <w:rFonts w:ascii="TitilliumText25L" w:hAnsi="TitilliumText25L" w:cs="Arial"/>
                <w:color w:val="282828"/>
              </w:rPr>
              <w:t>ction</w:t>
            </w:r>
            <w:r w:rsidRPr="003032D8">
              <w:rPr>
                <w:rFonts w:ascii="TitilliumText25L" w:hAnsi="TitilliumText25L" w:cs="Arial"/>
                <w:color w:val="282828"/>
                <w:spacing w:val="-3"/>
              </w:rPr>
              <w:t xml:space="preserve"> </w:t>
            </w:r>
            <w:r w:rsidRPr="003032D8">
              <w:rPr>
                <w:rFonts w:ascii="TitilliumText25L" w:hAnsi="TitilliumText25L" w:cs="Arial"/>
                <w:color w:val="282828"/>
              </w:rPr>
              <w:t>reservoir</w:t>
            </w:r>
            <w:r w:rsidRPr="003032D8">
              <w:rPr>
                <w:rFonts w:ascii="TitilliumText25L" w:hAnsi="TitilliumText25L" w:cs="Arial"/>
                <w:color w:val="282828"/>
                <w:spacing w:val="-8"/>
              </w:rPr>
              <w:t xml:space="preserve"> </w:t>
            </w:r>
            <w:r w:rsidRPr="003032D8">
              <w:rPr>
                <w:rFonts w:ascii="TitilliumText25L" w:hAnsi="TitilliumText25L" w:cs="Arial"/>
                <w:color w:val="282828"/>
              </w:rPr>
              <w:t>during</w:t>
            </w:r>
            <w:r w:rsidRPr="003032D8">
              <w:rPr>
                <w:rFonts w:ascii="TitilliumText25L" w:hAnsi="TitilliumText25L" w:cs="Arial"/>
                <w:color w:val="282828"/>
                <w:spacing w:val="-6"/>
              </w:rPr>
              <w:t xml:space="preserve"> </w:t>
            </w:r>
            <w:r w:rsidRPr="003032D8">
              <w:rPr>
                <w:rFonts w:ascii="TitilliumText25L" w:hAnsi="TitilliumText25L" w:cs="Arial"/>
                <w:color w:val="282828"/>
              </w:rPr>
              <w:t>surg</w:t>
            </w:r>
            <w:r w:rsidRPr="003032D8">
              <w:rPr>
                <w:rFonts w:ascii="TitilliumText25L" w:hAnsi="TitilliumText25L" w:cs="Arial"/>
                <w:color w:val="282828"/>
                <w:spacing w:val="-1"/>
              </w:rPr>
              <w:t>e</w:t>
            </w:r>
            <w:r w:rsidRPr="003032D8">
              <w:rPr>
                <w:rFonts w:ascii="TitilliumText25L" w:hAnsi="TitilliumText25L" w:cs="Arial"/>
                <w:color w:val="282828"/>
              </w:rPr>
              <w:t>ry,</w:t>
            </w:r>
            <w:r w:rsidRPr="003032D8">
              <w:rPr>
                <w:rFonts w:ascii="TitilliumText25L" w:hAnsi="TitilliumText25L" w:cs="Arial"/>
                <w:color w:val="282828"/>
                <w:spacing w:val="-4"/>
              </w:rPr>
              <w:t xml:space="preserve"> </w:t>
            </w:r>
            <w:r w:rsidRPr="003032D8">
              <w:rPr>
                <w:rFonts w:ascii="TitilliumText25L" w:hAnsi="TitilliumText25L" w:cs="Arial"/>
                <w:color w:val="282828"/>
              </w:rPr>
              <w:t>including potential c</w:t>
            </w:r>
            <w:r w:rsidRPr="003032D8">
              <w:rPr>
                <w:rFonts w:ascii="TitilliumText25L" w:hAnsi="TitilliumText25L" w:cs="Arial"/>
                <w:color w:val="282828"/>
                <w:spacing w:val="-1"/>
              </w:rPr>
              <w:t>o</w:t>
            </w:r>
            <w:r w:rsidRPr="003032D8">
              <w:rPr>
                <w:rFonts w:ascii="TitilliumText25L" w:hAnsi="TitilliumText25L" w:cs="Arial"/>
                <w:color w:val="282828"/>
              </w:rPr>
              <w:t>ntaminants,</w:t>
            </w:r>
            <w:r w:rsidRPr="003032D8">
              <w:rPr>
                <w:rFonts w:ascii="TitilliumText25L" w:hAnsi="TitilliumText25L" w:cs="Arial"/>
                <w:color w:val="282828"/>
                <w:spacing w:val="-1"/>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relation</w:t>
            </w:r>
            <w:r w:rsidRPr="003032D8">
              <w:rPr>
                <w:rFonts w:ascii="TitilliumText25L" w:hAnsi="TitilliumText25L" w:cs="Arial"/>
                <w:color w:val="282828"/>
                <w:spacing w:val="-7"/>
              </w:rPr>
              <w:t xml:space="preserve"> </w:t>
            </w:r>
            <w:r w:rsidRPr="003032D8">
              <w:rPr>
                <w:rFonts w:ascii="TitilliumText25L" w:hAnsi="TitilliumText25L" w:cs="Arial"/>
                <w:color w:val="282828"/>
              </w:rPr>
              <w:t>to</w:t>
            </w:r>
            <w:r w:rsidRPr="003032D8">
              <w:rPr>
                <w:rFonts w:ascii="TitilliumText25L" w:hAnsi="TitilliumText25L" w:cs="Arial"/>
                <w:color w:val="282828"/>
                <w:spacing w:val="-3"/>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decisi</w:t>
            </w:r>
            <w:r w:rsidRPr="003032D8">
              <w:rPr>
                <w:rFonts w:ascii="TitilliumText25L" w:hAnsi="TitilliumText25L" w:cs="Arial"/>
                <w:color w:val="282828"/>
                <w:spacing w:val="-1"/>
              </w:rPr>
              <w:t>o</w:t>
            </w:r>
            <w:r w:rsidRPr="003032D8">
              <w:rPr>
                <w:rFonts w:ascii="TitilliumText25L" w:hAnsi="TitilliumText25L" w:cs="Arial"/>
                <w:color w:val="282828"/>
              </w:rPr>
              <w:t>n</w:t>
            </w:r>
            <w:r w:rsidRPr="003032D8">
              <w:rPr>
                <w:rFonts w:ascii="TitilliumText25L" w:hAnsi="TitilliumText25L" w:cs="Arial"/>
                <w:color w:val="282828"/>
                <w:spacing w:val="-5"/>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set</w:t>
            </w:r>
            <w:r w:rsidRPr="003032D8">
              <w:rPr>
                <w:rFonts w:ascii="TitilliumText25L" w:hAnsi="TitilliumText25L" w:cs="Arial"/>
                <w:color w:val="282828"/>
                <w:spacing w:val="-3"/>
              </w:rPr>
              <w:t xml:space="preserve"> </w:t>
            </w:r>
            <w:r w:rsidRPr="003032D8">
              <w:rPr>
                <w:rFonts w:ascii="TitilliumText25L" w:hAnsi="TitilliumText25L" w:cs="Arial"/>
                <w:color w:val="282828"/>
              </w:rPr>
              <w:t>up</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t</w:t>
            </w:r>
            <w:r w:rsidRPr="003032D8">
              <w:rPr>
                <w:rFonts w:ascii="TitilliumText25L" w:hAnsi="TitilliumText25L" w:cs="Arial"/>
                <w:color w:val="282828"/>
              </w:rPr>
              <w:t>o</w:t>
            </w:r>
            <w:r w:rsidRPr="003032D8">
              <w:rPr>
                <w:rFonts w:ascii="TitilliumText25L" w:hAnsi="TitilliumText25L" w:cs="Arial"/>
                <w:color w:val="282828"/>
                <w:spacing w:val="-1"/>
              </w:rPr>
              <w:t xml:space="preserve"> </w:t>
            </w:r>
            <w:r w:rsidRPr="003032D8">
              <w:rPr>
                <w:rFonts w:ascii="TitilliumText25L" w:hAnsi="TitilliumText25L" w:cs="Arial"/>
                <w:color w:val="282828"/>
              </w:rPr>
              <w:t>process</w:t>
            </w:r>
            <w:r w:rsidRPr="003032D8">
              <w:rPr>
                <w:rFonts w:ascii="TitilliumText25L" w:hAnsi="TitilliumText25L" w:cs="Arial"/>
                <w:color w:val="282828"/>
                <w:spacing w:val="-7"/>
              </w:rPr>
              <w:t xml:space="preserve"> </w:t>
            </w:r>
            <w:r w:rsidRPr="003032D8">
              <w:rPr>
                <w:rFonts w:ascii="TitilliumText25L" w:hAnsi="TitilliumText25L" w:cs="Arial"/>
                <w:color w:val="282828"/>
              </w:rPr>
              <w:t>salvaged 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advantages</w:t>
            </w:r>
            <w:r w:rsidRPr="003032D8">
              <w:rPr>
                <w:rFonts w:ascii="TitilliumText25L" w:hAnsi="TitilliumText25L" w:cs="Arial"/>
                <w:color w:val="282828"/>
                <w:spacing w:val="-10"/>
              </w:rPr>
              <w:t xml:space="preserve"> </w:t>
            </w:r>
            <w:r w:rsidRPr="003032D8">
              <w:rPr>
                <w:rFonts w:ascii="TitilliumText25L" w:hAnsi="TitilliumText25L" w:cs="Arial"/>
                <w:color w:val="282828"/>
              </w:rPr>
              <w:t>or</w:t>
            </w:r>
            <w:r w:rsidRPr="003032D8">
              <w:rPr>
                <w:rFonts w:ascii="TitilliumText25L" w:hAnsi="TitilliumText25L" w:cs="Arial"/>
                <w:color w:val="282828"/>
                <w:spacing w:val="-2"/>
              </w:rPr>
              <w:t xml:space="preserve"> </w:t>
            </w:r>
            <w:r w:rsidRPr="003032D8">
              <w:rPr>
                <w:rFonts w:ascii="TitilliumText25L" w:hAnsi="TitilliumText25L" w:cs="Arial"/>
                <w:color w:val="282828"/>
              </w:rPr>
              <w:t>risks</w:t>
            </w:r>
            <w:r w:rsidRPr="003032D8">
              <w:rPr>
                <w:rFonts w:ascii="TitilliumText25L" w:hAnsi="TitilliumText25L" w:cs="Arial"/>
                <w:color w:val="282828"/>
                <w:spacing w:val="-5"/>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swab</w:t>
            </w:r>
            <w:r w:rsidRPr="003032D8">
              <w:rPr>
                <w:rFonts w:ascii="TitilliumText25L" w:hAnsi="TitilliumText25L" w:cs="Arial"/>
                <w:color w:val="282828"/>
                <w:spacing w:val="-5"/>
              </w:rPr>
              <w:t xml:space="preserve"> </w:t>
            </w:r>
            <w:r w:rsidRPr="003032D8">
              <w:rPr>
                <w:rFonts w:ascii="TitilliumText25L" w:hAnsi="TitilliumText25L" w:cs="Arial"/>
                <w:color w:val="282828"/>
              </w:rPr>
              <w:t>washing.</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45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color w:val="282828"/>
              </w:rPr>
              <w:t>How</w:t>
            </w:r>
            <w:r w:rsidRPr="003032D8">
              <w:rPr>
                <w:rFonts w:ascii="TitilliumText25L" w:hAnsi="TitilliumText25L" w:cs="Arial"/>
                <w:color w:val="282828"/>
                <w:spacing w:val="-10"/>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estimate</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loss</w:t>
            </w:r>
            <w:r w:rsidRPr="003032D8">
              <w:rPr>
                <w:rFonts w:ascii="TitilliumText25L" w:hAnsi="TitilliumText25L" w:cs="Arial"/>
                <w:color w:val="282828"/>
                <w:spacing w:val="-4"/>
              </w:rPr>
              <w:t xml:space="preserve"> </w:t>
            </w:r>
            <w:r w:rsidRPr="003032D8">
              <w:rPr>
                <w:rFonts w:ascii="TitilliumText25L" w:hAnsi="TitilliumText25L" w:cs="Arial"/>
                <w:color w:val="282828"/>
              </w:rPr>
              <w:t>ICS.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rationale</w:t>
            </w:r>
            <w:r w:rsidRPr="003032D8">
              <w:rPr>
                <w:rFonts w:ascii="TitilliumText25L" w:hAnsi="TitilliumText25L" w:cs="Arial"/>
                <w:color w:val="282828"/>
                <w:spacing w:val="-8"/>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calculation</w:t>
            </w:r>
            <w:r w:rsidRPr="003032D8">
              <w:rPr>
                <w:rFonts w:ascii="TitilliumText25L" w:hAnsi="TitilliumText25L" w:cs="Arial"/>
                <w:color w:val="282828"/>
                <w:spacing w:val="-9"/>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ex</w:t>
            </w:r>
            <w:r w:rsidRPr="003032D8">
              <w:rPr>
                <w:rFonts w:ascii="TitilliumText25L" w:hAnsi="TitilliumText25L" w:cs="Arial"/>
                <w:color w:val="282828"/>
              </w:rPr>
              <w:t>piry</w:t>
            </w:r>
            <w:r w:rsidRPr="003032D8">
              <w:rPr>
                <w:rFonts w:ascii="TitilliumText25L" w:hAnsi="TitilliumText25L" w:cs="Arial"/>
                <w:color w:val="282828"/>
                <w:spacing w:val="-1"/>
              </w:rPr>
              <w:t xml:space="preserve"> </w:t>
            </w:r>
            <w:r w:rsidRPr="003032D8">
              <w:rPr>
                <w:rFonts w:ascii="TitilliumText25L" w:hAnsi="TitilliumText25L" w:cs="Arial"/>
                <w:color w:val="282828"/>
              </w:rPr>
              <w:t>time</w:t>
            </w:r>
            <w:r w:rsidRPr="003032D8">
              <w:rPr>
                <w:rFonts w:ascii="TitilliumText25L" w:hAnsi="TitilliumText25L" w:cs="Arial"/>
                <w:color w:val="282828"/>
                <w:spacing w:val="-4"/>
              </w:rPr>
              <w:t xml:space="preserve"> </w:t>
            </w:r>
            <w:r w:rsidRPr="003032D8">
              <w:rPr>
                <w:rFonts w:ascii="TitilliumText25L" w:hAnsi="TitilliumText25L" w:cs="Arial"/>
                <w:color w:val="282828"/>
              </w:rPr>
              <w:t>of the</w:t>
            </w:r>
            <w:r w:rsidRPr="003032D8">
              <w:rPr>
                <w:rFonts w:ascii="TitilliumText25L" w:hAnsi="TitilliumText25L" w:cs="Arial"/>
                <w:color w:val="282828"/>
                <w:spacing w:val="-3"/>
              </w:rPr>
              <w:t xml:space="preserve"> </w:t>
            </w:r>
            <w:r w:rsidRPr="003032D8">
              <w:rPr>
                <w:rFonts w:ascii="TitilliumText25L" w:hAnsi="TitilliumText25L" w:cs="Arial"/>
                <w:color w:val="282828"/>
              </w:rPr>
              <w:t>salvaged</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r w:rsidR="00BE3BE3" w:rsidRPr="003032D8" w:rsidTr="00D65937">
        <w:trPr>
          <w:trHeight w:hRule="exact" w:val="67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ight="11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role</w:t>
            </w:r>
            <w:r w:rsidRPr="003032D8">
              <w:rPr>
                <w:rFonts w:ascii="TitilliumText25L" w:hAnsi="TitilliumText25L" w:cs="Arial"/>
                <w:color w:val="282828"/>
                <w:spacing w:val="-3"/>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t</w:t>
            </w:r>
            <w:r w:rsidRPr="003032D8">
              <w:rPr>
                <w:rFonts w:ascii="TitilliumText25L" w:hAnsi="TitilliumText25L" w:cs="Arial"/>
                <w:color w:val="282828"/>
              </w:rPr>
              <w:t>he</w:t>
            </w:r>
            <w:r w:rsidRPr="003032D8">
              <w:rPr>
                <w:rFonts w:ascii="TitilliumText25L" w:hAnsi="TitilliumText25L" w:cs="Arial"/>
                <w:color w:val="282828"/>
                <w:spacing w:val="-2"/>
              </w:rPr>
              <w:t xml:space="preserve"> </w:t>
            </w:r>
            <w:r w:rsidRPr="003032D8">
              <w:rPr>
                <w:rFonts w:ascii="TitilliumText25L" w:hAnsi="TitilliumText25L" w:cs="Arial"/>
                <w:color w:val="282828"/>
              </w:rPr>
              <w:t>individual</w:t>
            </w:r>
            <w:r w:rsidRPr="003032D8">
              <w:rPr>
                <w:rFonts w:ascii="TitilliumText25L" w:hAnsi="TitilliumText25L" w:cs="Arial"/>
                <w:color w:val="282828"/>
                <w:spacing w:val="-8"/>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preparing</w:t>
            </w:r>
            <w:r w:rsidRPr="003032D8">
              <w:rPr>
                <w:rFonts w:ascii="TitilliumText25L" w:hAnsi="TitilliumText25L" w:cs="Arial"/>
                <w:color w:val="282828"/>
                <w:spacing w:val="-9"/>
              </w:rPr>
              <w:t xml:space="preserve"> </w:t>
            </w:r>
            <w:r w:rsidRPr="003032D8">
              <w:rPr>
                <w:rFonts w:ascii="TitilliumText25L" w:hAnsi="TitilliumText25L" w:cs="Arial"/>
                <w:color w:val="282828"/>
              </w:rPr>
              <w:t>equipment</w:t>
            </w:r>
            <w:r w:rsidRPr="003032D8">
              <w:rPr>
                <w:rFonts w:ascii="TitilliumText25L" w:hAnsi="TitilliumText25L" w:cs="Arial"/>
                <w:color w:val="282828"/>
                <w:spacing w:val="-9"/>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processi</w:t>
            </w:r>
            <w:r w:rsidRPr="003032D8">
              <w:rPr>
                <w:rFonts w:ascii="TitilliumText25L" w:hAnsi="TitilliumText25L" w:cs="Arial"/>
                <w:color w:val="282828"/>
                <w:spacing w:val="-1"/>
              </w:rPr>
              <w:t>n</w:t>
            </w:r>
            <w:r w:rsidRPr="003032D8">
              <w:rPr>
                <w:rFonts w:ascii="TitilliumText25L" w:hAnsi="TitilliumText25L" w:cs="Arial"/>
                <w:color w:val="282828"/>
              </w:rPr>
              <w:t>g</w:t>
            </w:r>
            <w:r w:rsidRPr="003032D8">
              <w:rPr>
                <w:rFonts w:ascii="TitilliumText25L" w:hAnsi="TitilliumText25L" w:cs="Arial"/>
                <w:color w:val="282828"/>
                <w:spacing w:val="-7"/>
              </w:rPr>
              <w:t xml:space="preserve"> </w:t>
            </w:r>
            <w:r w:rsidRPr="003032D8">
              <w:rPr>
                <w:rFonts w:ascii="TitilliumText25L" w:hAnsi="TitilliumText25L" w:cs="Arial"/>
                <w:color w:val="282828"/>
              </w:rPr>
              <w:t>salvaged</w:t>
            </w:r>
            <w:r w:rsidRPr="003032D8">
              <w:rPr>
                <w:rFonts w:ascii="TitilliumText25L" w:hAnsi="TitilliumText25L" w:cs="Arial"/>
                <w:color w:val="282828"/>
                <w:spacing w:val="-8"/>
              </w:rPr>
              <w:t xml:space="preserve"> </w:t>
            </w:r>
            <w:r w:rsidRPr="003032D8">
              <w:rPr>
                <w:rFonts w:ascii="TitilliumText25L" w:hAnsi="TitilliumText25L" w:cs="Arial"/>
                <w:color w:val="282828"/>
              </w:rPr>
              <w:t>blood and</w:t>
            </w:r>
            <w:r w:rsidRPr="003032D8">
              <w:rPr>
                <w:rFonts w:ascii="TitilliumText25L" w:hAnsi="TitilliumText25L" w:cs="Arial"/>
                <w:color w:val="282828"/>
                <w:spacing w:val="-3"/>
              </w:rPr>
              <w:t xml:space="preserve"> </w:t>
            </w:r>
            <w:r w:rsidRPr="003032D8">
              <w:rPr>
                <w:rFonts w:ascii="TitilliumText25L" w:hAnsi="TitilliumText25L" w:cs="Arial"/>
                <w:color w:val="282828"/>
                <w:spacing w:val="-1"/>
              </w:rPr>
              <w:t>h</w:t>
            </w:r>
            <w:r w:rsidRPr="003032D8">
              <w:rPr>
                <w:rFonts w:ascii="TitilliumText25L" w:hAnsi="TitilliumText25L" w:cs="Arial"/>
                <w:color w:val="282828"/>
              </w:rPr>
              <w:t>ow</w:t>
            </w:r>
            <w:r w:rsidRPr="003032D8">
              <w:rPr>
                <w:rFonts w:ascii="TitilliumText25L" w:hAnsi="TitilliumText25L" w:cs="Arial"/>
                <w:color w:val="282828"/>
                <w:spacing w:val="-1"/>
              </w:rPr>
              <w:t xml:space="preserve"> </w:t>
            </w:r>
            <w:r w:rsidRPr="003032D8">
              <w:rPr>
                <w:rFonts w:ascii="TitilliumText25L" w:hAnsi="TitilliumText25L" w:cs="Arial"/>
                <w:color w:val="282828"/>
              </w:rPr>
              <w:t>this</w:t>
            </w:r>
            <w:r w:rsidRPr="003032D8">
              <w:rPr>
                <w:rFonts w:ascii="TitilliumText25L" w:hAnsi="TitilliumText25L" w:cs="Arial"/>
                <w:color w:val="282828"/>
                <w:spacing w:val="-3"/>
              </w:rPr>
              <w:t xml:space="preserve"> </w:t>
            </w:r>
            <w:r w:rsidRPr="003032D8">
              <w:rPr>
                <w:rFonts w:ascii="TitilliumText25L" w:hAnsi="TitilliumText25L" w:cs="Arial"/>
                <w:color w:val="282828"/>
              </w:rPr>
              <w:t>rela</w:t>
            </w:r>
            <w:r w:rsidRPr="003032D8">
              <w:rPr>
                <w:rFonts w:ascii="TitilliumText25L" w:hAnsi="TitilliumText25L" w:cs="Arial"/>
                <w:color w:val="282828"/>
                <w:spacing w:val="-1"/>
              </w:rPr>
              <w:t>t</w:t>
            </w:r>
            <w:r w:rsidRPr="003032D8">
              <w:rPr>
                <w:rFonts w:ascii="TitilliumText25L" w:hAnsi="TitilliumText25L" w:cs="Arial"/>
                <w:color w:val="282828"/>
              </w:rPr>
              <w:t>es</w:t>
            </w:r>
            <w:r w:rsidRPr="003032D8">
              <w:rPr>
                <w:rFonts w:ascii="TitilliumText25L" w:hAnsi="TitilliumText25L" w:cs="Arial"/>
                <w:color w:val="282828"/>
                <w:spacing w:val="-3"/>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other</w:t>
            </w:r>
            <w:r w:rsidRPr="003032D8">
              <w:rPr>
                <w:rFonts w:ascii="TitilliumText25L" w:hAnsi="TitilliumText25L" w:cs="Arial"/>
                <w:color w:val="282828"/>
                <w:spacing w:val="-6"/>
              </w:rPr>
              <w:t xml:space="preserve"> </w:t>
            </w:r>
            <w:r w:rsidRPr="003032D8">
              <w:rPr>
                <w:rFonts w:ascii="TitilliumText25L" w:hAnsi="TitilliumText25L" w:cs="Arial"/>
                <w:color w:val="282828"/>
              </w:rPr>
              <w:t>members</w:t>
            </w:r>
            <w:r w:rsidRPr="003032D8">
              <w:rPr>
                <w:rFonts w:ascii="TitilliumText25L" w:hAnsi="TitilliumText25L" w:cs="Arial"/>
                <w:color w:val="282828"/>
                <w:spacing w:val="-8"/>
              </w:rPr>
              <w:t xml:space="preserve"> </w:t>
            </w:r>
            <w:r w:rsidRPr="003032D8">
              <w:rPr>
                <w:rFonts w:ascii="TitilliumText25L" w:hAnsi="TitilliumText25L" w:cs="Arial"/>
                <w:color w:val="282828"/>
              </w:rPr>
              <w:t>of the</w:t>
            </w:r>
            <w:r w:rsidRPr="003032D8">
              <w:rPr>
                <w:rFonts w:ascii="TitilliumText25L" w:hAnsi="TitilliumText25L" w:cs="Arial"/>
                <w:color w:val="282828"/>
                <w:spacing w:val="-3"/>
              </w:rPr>
              <w:t xml:space="preserve"> </w:t>
            </w:r>
            <w:r w:rsidRPr="003032D8">
              <w:rPr>
                <w:rFonts w:ascii="TitilliumText25L" w:hAnsi="TitilliumText25L" w:cs="Arial"/>
                <w:color w:val="282828"/>
              </w:rPr>
              <w:t>theatre</w:t>
            </w:r>
            <w:r w:rsidRPr="003032D8">
              <w:rPr>
                <w:rFonts w:ascii="TitilliumText25L" w:hAnsi="TitilliumText25L" w:cs="Arial"/>
                <w:color w:val="282828"/>
                <w:spacing w:val="-6"/>
              </w:rPr>
              <w:t xml:space="preserve"> </w:t>
            </w:r>
            <w:r w:rsidRPr="003032D8">
              <w:rPr>
                <w:rFonts w:ascii="TitilliumText25L" w:hAnsi="TitilliumText25L" w:cs="Arial"/>
                <w:color w:val="282828"/>
                <w:spacing w:val="-1"/>
              </w:rPr>
              <w:t>t</w:t>
            </w:r>
            <w:r w:rsidRPr="003032D8">
              <w:rPr>
                <w:rFonts w:ascii="TitilliumText25L" w:hAnsi="TitilliumText25L" w:cs="Arial"/>
                <w:color w:val="282828"/>
              </w:rPr>
              <w:t>eam.</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70"/>
              <w:rPr>
                <w:rFonts w:ascii="TitilliumText25L" w:hAnsi="TitilliumText25L"/>
                <w:sz w:val="24"/>
                <w:szCs w:val="24"/>
              </w:rPr>
            </w:pPr>
          </w:p>
        </w:tc>
      </w:tr>
    </w:tbl>
    <w:p w:rsidR="00BE3BE3" w:rsidRPr="003032D8" w:rsidRDefault="00BE3BE3" w:rsidP="00BE3BE3">
      <w:pPr>
        <w:widowControl w:val="0"/>
        <w:autoSpaceDE w:val="0"/>
        <w:autoSpaceDN w:val="0"/>
        <w:adjustRightInd w:val="0"/>
        <w:spacing w:before="6" w:after="0" w:line="220" w:lineRule="exact"/>
        <w:rPr>
          <w:rFonts w:ascii="TitilliumText25L" w:hAnsi="TitilliumText25L"/>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ning</w:t>
            </w:r>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spacing w:line="240" w:lineRule="auto"/>
        <w:rPr>
          <w:rFonts w:ascii="TitilliumText25L" w:hAnsi="TitilliumText25L"/>
        </w:rPr>
      </w:pPr>
      <w:r w:rsidRPr="003032D8">
        <w:rPr>
          <w:rFonts w:ascii="TitilliumText25L" w:hAnsi="TitilliumText25L"/>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BE3BE3" w:rsidRPr="003032D8" w:rsidTr="00D65937">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sz w:val="36"/>
                <w:szCs w:val="36"/>
              </w:rPr>
            </w:pPr>
            <w:bookmarkStart w:id="82" w:name="_Toc355001646"/>
            <w:r w:rsidRPr="003032D8">
              <w:rPr>
                <w:rFonts w:ascii="TitilliumText25L" w:hAnsi="TitilliumText25L" w:cs="Arial"/>
                <w:sz w:val="36"/>
                <w:szCs w:val="36"/>
              </w:rPr>
              <w:t>Section 4</w:t>
            </w:r>
            <w:r w:rsidRPr="003032D8">
              <w:rPr>
                <w:rFonts w:ascii="TitilliumText25L" w:hAnsi="TitilliumText25L" w:cs="Arial"/>
                <w:sz w:val="36"/>
                <w:szCs w:val="36"/>
              </w:rPr>
              <w:tab/>
            </w:r>
            <w:r w:rsidRPr="003032D8">
              <w:rPr>
                <w:rFonts w:ascii="TitilliumText25L" w:hAnsi="TitilliumText25L" w:cs="Arial"/>
                <w:sz w:val="36"/>
                <w:szCs w:val="36"/>
              </w:rPr>
              <w:tab/>
              <w:t>Pre</w:t>
            </w:r>
            <w:r w:rsidRPr="003032D8">
              <w:rPr>
                <w:rFonts w:ascii="TitilliumText25L" w:hAnsi="TitilliumText25L" w:cs="Arial"/>
                <w:spacing w:val="-9"/>
                <w:sz w:val="36"/>
                <w:szCs w:val="36"/>
              </w:rPr>
              <w:t>p</w:t>
            </w:r>
            <w:r w:rsidRPr="003032D8">
              <w:rPr>
                <w:rFonts w:ascii="TitilliumText25L" w:hAnsi="TitilliumText25L" w:cs="Arial"/>
                <w:sz w:val="36"/>
                <w:szCs w:val="36"/>
              </w:rPr>
              <w:t>are equipment for processing intra-operative salvage blood</w:t>
            </w:r>
            <w:bookmarkEnd w:id="82"/>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F39934"/>
          </w:tcPr>
          <w:p w:rsidR="00BE3BE3" w:rsidRPr="003032D8" w:rsidRDefault="00BE3BE3" w:rsidP="00D65937">
            <w:pPr>
              <w:widowControl w:val="0"/>
              <w:autoSpaceDE w:val="0"/>
              <w:autoSpaceDN w:val="0"/>
              <w:adjustRightInd w:val="0"/>
              <w:spacing w:before="36" w:after="0" w:line="240" w:lineRule="auto"/>
              <w:ind w:left="106"/>
              <w:rPr>
                <w:rFonts w:ascii="TitilliumText25L" w:hAnsi="TitilliumText25L"/>
                <w:sz w:val="24"/>
                <w:szCs w:val="24"/>
              </w:rPr>
            </w:pPr>
            <w:r w:rsidRPr="003032D8">
              <w:rPr>
                <w:rFonts w:ascii="TitilliumText25L" w:hAnsi="TitilliumText25L" w:cs="Arial"/>
                <w:b/>
                <w:bCs/>
                <w:color w:val="FDFDFD"/>
                <w:w w:val="99"/>
                <w:sz w:val="28"/>
                <w:szCs w:val="28"/>
              </w:rPr>
              <w:t>Knowledge</w:t>
            </w:r>
            <w:r w:rsidRPr="003032D8">
              <w:rPr>
                <w:rFonts w:ascii="TitilliumText25L" w:hAnsi="TitilliumText25L" w:cs="Arial"/>
                <w:b/>
                <w:bCs/>
                <w:color w:val="FDFDFD"/>
                <w:spacing w:val="-20"/>
                <w:w w:val="99"/>
                <w:sz w:val="28"/>
                <w:szCs w:val="28"/>
              </w:rPr>
              <w:t xml:space="preserve"> </w:t>
            </w:r>
            <w:r w:rsidRPr="003032D8">
              <w:rPr>
                <w:rFonts w:ascii="TitilliumText25L" w:hAnsi="TitilliumText25L" w:cs="Arial"/>
                <w:b/>
                <w:bCs/>
                <w:color w:val="FDFDFD"/>
                <w:sz w:val="28"/>
                <w:szCs w:val="28"/>
              </w:rPr>
              <w:t>and</w:t>
            </w:r>
            <w:r w:rsidRPr="003032D8">
              <w:rPr>
                <w:rFonts w:ascii="TitilliumText25L" w:hAnsi="TitilliumText25L" w:cs="Arial"/>
                <w:b/>
                <w:bCs/>
                <w:color w:val="FDFDFD"/>
                <w:spacing w:val="-3"/>
                <w:sz w:val="28"/>
                <w:szCs w:val="28"/>
              </w:rPr>
              <w:t xml:space="preserve"> </w:t>
            </w:r>
            <w:r w:rsidRPr="003032D8">
              <w:rPr>
                <w:rFonts w:ascii="TitilliumText25L" w:hAnsi="TitilliumText25L" w:cs="Arial"/>
                <w:b/>
                <w:bCs/>
                <w:color w:val="FDFDFD"/>
                <w:sz w:val="28"/>
                <w:szCs w:val="28"/>
              </w:rPr>
              <w:t>Unders</w:t>
            </w:r>
            <w:r w:rsidRPr="003032D8">
              <w:rPr>
                <w:rFonts w:ascii="TitilliumText25L" w:hAnsi="TitilliumText25L" w:cs="Arial"/>
                <w:b/>
                <w:bCs/>
                <w:color w:val="FDFDFD"/>
                <w:spacing w:val="-7"/>
                <w:sz w:val="28"/>
                <w:szCs w:val="28"/>
              </w:rPr>
              <w:t>t</w:t>
            </w:r>
            <w:r w:rsidRPr="003032D8">
              <w:rPr>
                <w:rFonts w:ascii="TitilliumText25L" w:hAnsi="TitilliumText25L" w:cs="Arial"/>
                <w:b/>
                <w:bCs/>
                <w:color w:val="FDFDFD"/>
                <w:sz w:val="28"/>
                <w:szCs w:val="28"/>
              </w:rPr>
              <w:t>anding</w:t>
            </w:r>
            <w:r w:rsidRPr="003032D8">
              <w:rPr>
                <w:rFonts w:ascii="TitilliumText25L" w:hAnsi="TitilliumText25L" w:cs="Arial"/>
                <w:b/>
                <w:bCs/>
                <w:color w:val="FDFDFD"/>
                <w:spacing w:val="-6"/>
                <w:sz w:val="28"/>
                <w:szCs w:val="28"/>
              </w:rPr>
              <w:t xml:space="preserve"> </w:t>
            </w:r>
            <w:r w:rsidRPr="003032D8">
              <w:rPr>
                <w:rFonts w:ascii="TitilliumText25L" w:hAnsi="TitilliumText25L" w:cs="Arial"/>
                <w:b/>
                <w:bCs/>
                <w:color w:val="FDFDFD"/>
                <w:sz w:val="28"/>
                <w:szCs w:val="28"/>
              </w:rPr>
              <w:t>Cont...</w:t>
            </w:r>
          </w:p>
        </w:tc>
        <w:tc>
          <w:tcPr>
            <w:tcW w:w="3572" w:type="dxa"/>
            <w:gridSpan w:val="6"/>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before="35" w:after="0" w:line="240" w:lineRule="auto"/>
              <w:ind w:left="508"/>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F39934"/>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481"/>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06"/>
              <w:rPr>
                <w:rFonts w:ascii="TitilliumText25L" w:hAnsi="TitilliumText25L"/>
                <w:sz w:val="24"/>
                <w:szCs w:val="24"/>
              </w:rPr>
            </w:pPr>
            <w:r w:rsidRPr="003032D8">
              <w:rPr>
                <w:rFonts w:ascii="TitilliumText25L" w:hAnsi="TitilliumText25L" w:cs="Arial"/>
                <w:b/>
                <w:bCs/>
                <w:color w:val="282828"/>
              </w:rPr>
              <w:t>The</w:t>
            </w:r>
            <w:r w:rsidRPr="003032D8">
              <w:rPr>
                <w:rFonts w:ascii="TitilliumText25L" w:hAnsi="TitilliumText25L" w:cs="Arial"/>
                <w:b/>
                <w:bCs/>
                <w:color w:val="282828"/>
                <w:spacing w:val="-9"/>
              </w:rPr>
              <w:t xml:space="preserve"> </w:t>
            </w:r>
            <w:r w:rsidRPr="003032D8">
              <w:rPr>
                <w:rFonts w:ascii="TitilliumText25L" w:hAnsi="TitilliumText25L" w:cs="Arial"/>
                <w:b/>
                <w:bCs/>
                <w:color w:val="282828"/>
              </w:rPr>
              <w:t>trainee</w:t>
            </w:r>
            <w:r w:rsidRPr="003032D8">
              <w:rPr>
                <w:rFonts w:ascii="TitilliumText25L" w:hAnsi="TitilliumText25L" w:cs="Arial"/>
                <w:b/>
                <w:bCs/>
                <w:color w:val="282828"/>
                <w:spacing w:val="-7"/>
              </w:rPr>
              <w:t xml:space="preserve"> </w:t>
            </w:r>
            <w:r w:rsidRPr="003032D8">
              <w:rPr>
                <w:rFonts w:ascii="TitilliumText25L" w:hAnsi="TitilliumText25L" w:cs="Arial"/>
                <w:b/>
                <w:bCs/>
                <w:color w:val="282828"/>
              </w:rPr>
              <w:t>demonstrated</w:t>
            </w:r>
            <w:r w:rsidRPr="003032D8">
              <w:rPr>
                <w:rFonts w:ascii="TitilliumText25L" w:hAnsi="TitilliumText25L" w:cs="Arial"/>
                <w:b/>
                <w:bCs/>
                <w:color w:val="282828"/>
                <w:spacing w:val="-13"/>
              </w:rPr>
              <w:t xml:space="preserve"> </w:t>
            </w:r>
            <w:r w:rsidRPr="003032D8">
              <w:rPr>
                <w:rFonts w:ascii="TitilliumText25L" w:hAnsi="TitilliumText25L" w:cs="Arial"/>
                <w:b/>
                <w:bCs/>
                <w:color w:val="282828"/>
              </w:rPr>
              <w:t>kn</w:t>
            </w:r>
            <w:r w:rsidRPr="003032D8">
              <w:rPr>
                <w:rFonts w:ascii="TitilliumText25L" w:hAnsi="TitilliumText25L" w:cs="Arial"/>
                <w:b/>
                <w:bCs/>
                <w:color w:val="282828"/>
                <w:spacing w:val="-1"/>
              </w:rPr>
              <w:t>o</w:t>
            </w:r>
            <w:r w:rsidRPr="003032D8">
              <w:rPr>
                <w:rFonts w:ascii="TitilliumText25L" w:hAnsi="TitilliumText25L" w:cs="Arial"/>
                <w:b/>
                <w:bCs/>
                <w:color w:val="282828"/>
                <w:spacing w:val="2"/>
              </w:rPr>
              <w:t>w</w:t>
            </w:r>
            <w:r w:rsidRPr="003032D8">
              <w:rPr>
                <w:rFonts w:ascii="TitilliumText25L" w:hAnsi="TitilliumText25L" w:cs="Arial"/>
                <w:b/>
                <w:bCs/>
                <w:color w:val="282828"/>
              </w:rPr>
              <w:t>l</w:t>
            </w:r>
            <w:r w:rsidRPr="003032D8">
              <w:rPr>
                <w:rFonts w:ascii="TitilliumText25L" w:hAnsi="TitilliumText25L" w:cs="Arial"/>
                <w:b/>
                <w:bCs/>
                <w:color w:val="282828"/>
                <w:spacing w:val="-1"/>
              </w:rPr>
              <w:t>e</w:t>
            </w:r>
            <w:r w:rsidRPr="003032D8">
              <w:rPr>
                <w:rFonts w:ascii="TitilliumText25L" w:hAnsi="TitilliumText25L" w:cs="Arial"/>
                <w:b/>
                <w:bCs/>
                <w:color w:val="282828"/>
              </w:rPr>
              <w:t>dge</w:t>
            </w:r>
            <w:r w:rsidRPr="003032D8">
              <w:rPr>
                <w:rFonts w:ascii="TitilliumText25L" w:hAnsi="TitilliumText25L" w:cs="Arial"/>
                <w:b/>
                <w:bCs/>
                <w:color w:val="282828"/>
                <w:spacing w:val="-2"/>
              </w:rPr>
              <w:t xml:space="preserve"> </w:t>
            </w:r>
            <w:r w:rsidRPr="003032D8">
              <w:rPr>
                <w:rFonts w:ascii="TitilliumText25L" w:hAnsi="TitilliumText25L" w:cs="Arial"/>
                <w:b/>
                <w:bCs/>
                <w:color w:val="282828"/>
              </w:rPr>
              <w:t>and</w:t>
            </w:r>
            <w:r w:rsidRPr="003032D8">
              <w:rPr>
                <w:rFonts w:ascii="TitilliumText25L" w:hAnsi="TitilliumText25L" w:cs="Arial"/>
                <w:b/>
                <w:bCs/>
                <w:color w:val="282828"/>
                <w:spacing w:val="-4"/>
              </w:rPr>
              <w:t xml:space="preserve"> </w:t>
            </w:r>
            <w:r w:rsidRPr="003032D8">
              <w:rPr>
                <w:rFonts w:ascii="TitilliumText25L" w:hAnsi="TitilliumText25L" w:cs="Arial"/>
                <w:b/>
                <w:bCs/>
                <w:color w:val="282828"/>
              </w:rPr>
              <w:t>understanding</w:t>
            </w:r>
            <w:r w:rsidRPr="003032D8">
              <w:rPr>
                <w:rFonts w:ascii="TitilliumText25L" w:hAnsi="TitilliumText25L" w:cs="Arial"/>
                <w:b/>
                <w:bCs/>
                <w:color w:val="282828"/>
                <w:spacing w:val="-13"/>
              </w:rPr>
              <w:t xml:space="preserve"> </w:t>
            </w:r>
            <w:r w:rsidRPr="003032D8">
              <w:rPr>
                <w:rFonts w:ascii="TitilliumText25L" w:hAnsi="TitilliumText25L" w:cs="Arial"/>
                <w:b/>
                <w:bCs/>
                <w:color w:val="282828"/>
              </w:rPr>
              <w:t>of: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54"/>
              <w:rPr>
                <w:rFonts w:ascii="TitilliumText25L" w:hAnsi="TitilliumText25L"/>
                <w:sz w:val="24"/>
                <w:szCs w:val="24"/>
              </w:rPr>
            </w:pPr>
            <w:r w:rsidRPr="003032D8">
              <w:rPr>
                <w:rFonts w:ascii="TitilliumText25L" w:hAnsi="TitilliumText25L" w:cs="Arial"/>
                <w:b/>
                <w:bCs/>
                <w:color w:val="282828"/>
                <w:sz w:val="20"/>
                <w:szCs w:val="20"/>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80" w:right="182"/>
              <w:rPr>
                <w:rFonts w:ascii="TitilliumText25L" w:hAnsi="TitilliumText25L"/>
                <w:sz w:val="24"/>
                <w:szCs w:val="24"/>
              </w:rPr>
            </w:pPr>
            <w:r w:rsidRPr="003032D8">
              <w:rPr>
                <w:rFonts w:ascii="TitilliumText25L" w:hAnsi="TitilliumText25L" w:cs="Arial"/>
                <w:b/>
                <w:bCs/>
                <w:color w:val="282828"/>
                <w:sz w:val="20"/>
                <w:szCs w:val="20"/>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29"/>
              <w:rPr>
                <w:rFonts w:ascii="TitilliumText25L" w:hAnsi="TitilliumText25L"/>
                <w:sz w:val="24"/>
                <w:szCs w:val="24"/>
              </w:rPr>
            </w:pPr>
            <w:proofErr w:type="spellStart"/>
            <w:r w:rsidRPr="003032D8">
              <w:rPr>
                <w:rFonts w:ascii="TitilliumText25L" w:hAnsi="TitilliumText25L" w:cs="Arial"/>
                <w:b/>
                <w:bCs/>
                <w:color w:val="282828"/>
                <w:sz w:val="20"/>
                <w:szCs w:val="20"/>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62"/>
              <w:rPr>
                <w:rFonts w:ascii="TitilliumText25L" w:hAnsi="TitilliumText25L"/>
                <w:sz w:val="24"/>
                <w:szCs w:val="24"/>
              </w:rPr>
            </w:pPr>
            <w:r w:rsidRPr="003032D8">
              <w:rPr>
                <w:rFonts w:ascii="TitilliumText25L" w:hAnsi="TitilliumText25L" w:cs="Arial"/>
                <w:b/>
                <w:bCs/>
                <w:color w:val="282828"/>
                <w:sz w:val="20"/>
                <w:szCs w:val="20"/>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14"/>
              <w:rPr>
                <w:rFonts w:ascii="TitilliumText25L" w:hAnsi="TitilliumText25L"/>
                <w:sz w:val="24"/>
                <w:szCs w:val="24"/>
              </w:rPr>
            </w:pPr>
            <w:proofErr w:type="spellStart"/>
            <w:r w:rsidRPr="003032D8">
              <w:rPr>
                <w:rFonts w:ascii="TitilliumText25L" w:hAnsi="TitilliumText25L" w:cs="Arial"/>
                <w:b/>
                <w:bCs/>
                <w:color w:val="282828"/>
                <w:sz w:val="20"/>
                <w:szCs w:val="20"/>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18"/>
              <w:rPr>
                <w:rFonts w:ascii="TitilliumText25L" w:hAnsi="TitilliumText25L"/>
                <w:sz w:val="24"/>
                <w:szCs w:val="24"/>
              </w:rPr>
            </w:pPr>
            <w:proofErr w:type="spellStart"/>
            <w:r w:rsidRPr="003032D8">
              <w:rPr>
                <w:rFonts w:ascii="TitilliumText25L" w:hAnsi="TitilliumText25L" w:cs="Arial"/>
                <w:b/>
                <w:bCs/>
                <w:color w:val="282828"/>
                <w:sz w:val="20"/>
                <w:szCs w:val="20"/>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30" w:lineRule="exact"/>
              <w:ind w:left="225" w:right="227"/>
              <w:rPr>
                <w:rFonts w:ascii="TitilliumText25L" w:hAnsi="TitilliumText25L"/>
                <w:sz w:val="24"/>
                <w:szCs w:val="24"/>
              </w:rPr>
            </w:pPr>
            <w:r w:rsidRPr="003032D8">
              <w:rPr>
                <w:rFonts w:ascii="TitilliumText25L" w:hAnsi="TitilliumText25L" w:cs="Arial"/>
                <w:b/>
                <w:bCs/>
                <w:color w:val="282828"/>
                <w:sz w:val="20"/>
                <w:szCs w:val="20"/>
              </w:rPr>
              <w:t>As</w:t>
            </w:r>
            <w:r w:rsidRPr="003032D8">
              <w:rPr>
                <w:rFonts w:ascii="TitilliumText25L" w:hAnsi="TitilliumText25L" w:cs="Arial"/>
                <w:b/>
                <w:bCs/>
                <w:color w:val="282828"/>
                <w:spacing w:val="-1"/>
                <w:sz w:val="20"/>
                <w:szCs w:val="20"/>
              </w:rPr>
              <w:t>s</w:t>
            </w:r>
            <w:r w:rsidRPr="003032D8">
              <w:rPr>
                <w:rFonts w:ascii="TitilliumText25L" w:hAnsi="TitilliumText25L" w:cs="Arial"/>
                <w:b/>
                <w:bCs/>
                <w:color w:val="282828"/>
                <w:sz w:val="20"/>
                <w:szCs w:val="20"/>
              </w:rPr>
              <w:t>ess</w:t>
            </w:r>
            <w:r w:rsidRPr="003032D8">
              <w:rPr>
                <w:rFonts w:ascii="TitilliumText25L" w:hAnsi="TitilliumText25L" w:cs="Arial"/>
                <w:b/>
                <w:bCs/>
                <w:color w:val="282828"/>
                <w:spacing w:val="-1"/>
                <w:sz w:val="20"/>
                <w:szCs w:val="20"/>
              </w:rPr>
              <w:t>o</w:t>
            </w:r>
            <w:r w:rsidRPr="003032D8">
              <w:rPr>
                <w:rFonts w:ascii="TitilliumText25L" w:hAnsi="TitilliumText25L" w:cs="Arial"/>
                <w:b/>
                <w:bCs/>
                <w:color w:val="282828"/>
                <w:sz w:val="20"/>
                <w:szCs w:val="20"/>
              </w:rPr>
              <w:t>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449" w:right="451"/>
              <w:rPr>
                <w:rFonts w:ascii="TitilliumText25L" w:hAnsi="TitilliumText25L"/>
                <w:sz w:val="24"/>
                <w:szCs w:val="24"/>
              </w:rPr>
            </w:pPr>
            <w:r w:rsidRPr="003032D8">
              <w:rPr>
                <w:rFonts w:ascii="TitilliumText25L" w:hAnsi="TitilliumText25L" w:cs="Arial"/>
                <w:b/>
                <w:bCs/>
                <w:color w:val="282828"/>
                <w:sz w:val="20"/>
                <w:szCs w:val="20"/>
              </w:rPr>
              <w:t>Da</w:t>
            </w:r>
            <w:r w:rsidRPr="003032D8">
              <w:rPr>
                <w:rFonts w:ascii="TitilliumText25L" w:hAnsi="TitilliumText25L" w:cs="Arial"/>
                <w:b/>
                <w:bCs/>
                <w:color w:val="282828"/>
                <w:spacing w:val="-1"/>
                <w:sz w:val="20"/>
                <w:szCs w:val="20"/>
              </w:rPr>
              <w:t>t</w:t>
            </w:r>
            <w:r w:rsidRPr="003032D8">
              <w:rPr>
                <w:rFonts w:ascii="TitilliumText25L" w:hAnsi="TitilliumText25L" w:cs="Arial"/>
                <w:b/>
                <w:bCs/>
                <w:color w:val="282828"/>
                <w:sz w:val="20"/>
                <w:szCs w:val="20"/>
              </w:rPr>
              <w:t>e</w:t>
            </w:r>
          </w:p>
        </w:tc>
      </w:tr>
      <w:tr w:rsidR="00BE3BE3" w:rsidRPr="003032D8" w:rsidTr="00D65937">
        <w:trPr>
          <w:trHeight w:hRule="exact" w:val="65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06" w:right="601"/>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importance</w:t>
            </w:r>
            <w:r w:rsidRPr="003032D8">
              <w:rPr>
                <w:rFonts w:ascii="TitilliumText25L" w:hAnsi="TitilliumText25L" w:cs="Arial"/>
                <w:color w:val="282828"/>
                <w:spacing w:val="-10"/>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sel</w:t>
            </w:r>
            <w:r w:rsidRPr="003032D8">
              <w:rPr>
                <w:rFonts w:ascii="TitilliumText25L" w:hAnsi="TitilliumText25L" w:cs="Arial"/>
                <w:color w:val="282828"/>
                <w:spacing w:val="-1"/>
              </w:rPr>
              <w:t>e</w:t>
            </w:r>
            <w:r w:rsidRPr="003032D8">
              <w:rPr>
                <w:rFonts w:ascii="TitilliumText25L" w:hAnsi="TitilliumText25L" w:cs="Arial"/>
                <w:color w:val="282828"/>
              </w:rPr>
              <w:t>cting</w:t>
            </w:r>
            <w:r w:rsidRPr="003032D8">
              <w:rPr>
                <w:rFonts w:ascii="TitilliumText25L" w:hAnsi="TitilliumText25L" w:cs="Arial"/>
                <w:color w:val="282828"/>
                <w:spacing w:val="-3"/>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cor</w:t>
            </w:r>
            <w:r w:rsidRPr="003032D8">
              <w:rPr>
                <w:rFonts w:ascii="TitilliumText25L" w:hAnsi="TitilliumText25L" w:cs="Arial"/>
                <w:color w:val="282828"/>
                <w:spacing w:val="-1"/>
              </w:rPr>
              <w:t>r</w:t>
            </w:r>
            <w:r w:rsidRPr="003032D8">
              <w:rPr>
                <w:rFonts w:ascii="TitilliumText25L" w:hAnsi="TitilliumText25L" w:cs="Arial"/>
                <w:color w:val="282828"/>
              </w:rPr>
              <w:t>ect</w:t>
            </w:r>
            <w:r w:rsidRPr="003032D8">
              <w:rPr>
                <w:rFonts w:ascii="TitilliumText25L" w:hAnsi="TitilliumText25L" w:cs="Arial"/>
                <w:color w:val="282828"/>
                <w:spacing w:val="-3"/>
              </w:rPr>
              <w:t xml:space="preserve"> </w:t>
            </w:r>
            <w:r w:rsidRPr="003032D8">
              <w:rPr>
                <w:rFonts w:ascii="TitilliumText25L" w:hAnsi="TitilliumText25L" w:cs="Arial"/>
                <w:color w:val="282828"/>
              </w:rPr>
              <w:t>machine</w:t>
            </w:r>
            <w:r w:rsidRPr="003032D8">
              <w:rPr>
                <w:rFonts w:ascii="TitilliumText25L" w:hAnsi="TitilliumText25L" w:cs="Arial"/>
                <w:color w:val="282828"/>
                <w:spacing w:val="-9"/>
              </w:rPr>
              <w:t xml:space="preserve"> </w:t>
            </w:r>
            <w:r w:rsidRPr="003032D8">
              <w:rPr>
                <w:rFonts w:ascii="TitilliumText25L" w:hAnsi="TitilliumText25L" w:cs="Arial"/>
                <w:color w:val="282828"/>
              </w:rPr>
              <w:t>programm</w:t>
            </w:r>
            <w:r w:rsidRPr="003032D8">
              <w:rPr>
                <w:rFonts w:ascii="TitilliumText25L" w:hAnsi="TitilliumText25L" w:cs="Arial"/>
                <w:color w:val="282828"/>
                <w:spacing w:val="1"/>
              </w:rPr>
              <w:t>e</w:t>
            </w:r>
            <w:r w:rsidRPr="003032D8">
              <w:rPr>
                <w:rFonts w:ascii="TitilliumText25L" w:hAnsi="TitilliumText25L" w:cs="Arial"/>
                <w:color w:val="282828"/>
              </w:rPr>
              <w:t>,</w:t>
            </w:r>
            <w:r w:rsidRPr="003032D8">
              <w:rPr>
                <w:rFonts w:ascii="TitilliumText25L" w:hAnsi="TitilliumText25L" w:cs="Arial"/>
                <w:color w:val="282828"/>
                <w:spacing w:val="-9"/>
              </w:rPr>
              <w:t xml:space="preserve"> </w:t>
            </w:r>
            <w:r w:rsidRPr="003032D8">
              <w:rPr>
                <w:rFonts w:ascii="TitilliumText25L" w:hAnsi="TitilliumText25L" w:cs="Arial"/>
                <w:color w:val="282828"/>
              </w:rPr>
              <w:t>where applicable,</w:t>
            </w:r>
            <w:r w:rsidRPr="003032D8">
              <w:rPr>
                <w:rFonts w:ascii="TitilliumText25L" w:hAnsi="TitilliumText25L" w:cs="Arial"/>
                <w:color w:val="282828"/>
                <w:spacing w:val="-1"/>
              </w:rPr>
              <w:t xml:space="preserve"> </w:t>
            </w:r>
            <w:r w:rsidRPr="003032D8">
              <w:rPr>
                <w:rFonts w:ascii="TitilliumText25L" w:hAnsi="TitilliumText25L" w:cs="Arial"/>
                <w:color w:val="282828"/>
              </w:rPr>
              <w:t>ready</w:t>
            </w:r>
            <w:r w:rsidRPr="003032D8">
              <w:rPr>
                <w:rFonts w:ascii="TitilliumText25L" w:hAnsi="TitilliumText25L" w:cs="Arial"/>
                <w:color w:val="282828"/>
                <w:spacing w:val="-5"/>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use.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r>
      <w:tr w:rsidR="00BE3BE3" w:rsidRPr="003032D8" w:rsidTr="00D65937">
        <w:trPr>
          <w:trHeight w:hRule="exact" w:val="67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ind w:left="106" w:right="111"/>
              <w:rPr>
                <w:rFonts w:ascii="TitilliumText25L" w:hAnsi="TitilliumText25L"/>
                <w:sz w:val="24"/>
                <w:szCs w:val="24"/>
              </w:rPr>
            </w:pPr>
            <w:r w:rsidRPr="003032D8">
              <w:rPr>
                <w:rFonts w:ascii="TitilliumText25L" w:hAnsi="TitilliumText25L" w:cs="Arial"/>
                <w:color w:val="282828"/>
              </w:rPr>
              <w:t>How</w:t>
            </w:r>
            <w:r w:rsidRPr="003032D8">
              <w:rPr>
                <w:rFonts w:ascii="TitilliumText25L" w:hAnsi="TitilliumText25L" w:cs="Arial"/>
                <w:color w:val="282828"/>
                <w:spacing w:val="-10"/>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recognise</w:t>
            </w:r>
            <w:r w:rsidRPr="003032D8">
              <w:rPr>
                <w:rFonts w:ascii="TitilliumText25L" w:hAnsi="TitilliumText25L" w:cs="Arial"/>
                <w:color w:val="282828"/>
                <w:spacing w:val="-9"/>
              </w:rPr>
              <w:t xml:space="preserve"> </w:t>
            </w:r>
            <w:r w:rsidRPr="003032D8">
              <w:rPr>
                <w:rFonts w:ascii="TitilliumText25L" w:hAnsi="TitilliumText25L" w:cs="Arial"/>
                <w:color w:val="282828"/>
              </w:rPr>
              <w:t>haza</w:t>
            </w:r>
            <w:r w:rsidRPr="003032D8">
              <w:rPr>
                <w:rFonts w:ascii="TitilliumText25L" w:hAnsi="TitilliumText25L" w:cs="Arial"/>
                <w:color w:val="282828"/>
                <w:spacing w:val="-1"/>
              </w:rPr>
              <w:t>r</w:t>
            </w:r>
            <w:r w:rsidRPr="003032D8">
              <w:rPr>
                <w:rFonts w:ascii="TitilliumText25L" w:hAnsi="TitilliumText25L" w:cs="Arial"/>
                <w:color w:val="282828"/>
              </w:rPr>
              <w:t>ds,</w:t>
            </w:r>
            <w:r w:rsidRPr="003032D8">
              <w:rPr>
                <w:rFonts w:ascii="TitilliumText25L" w:hAnsi="TitilliumText25L" w:cs="Arial"/>
                <w:color w:val="282828"/>
                <w:spacing w:val="-4"/>
              </w:rPr>
              <w:t xml:space="preserve"> </w:t>
            </w:r>
            <w:r w:rsidRPr="003032D8">
              <w:rPr>
                <w:rFonts w:ascii="TitilliumText25L" w:hAnsi="TitilliumText25L" w:cs="Arial"/>
                <w:color w:val="282828"/>
              </w:rPr>
              <w:t>errors</w:t>
            </w:r>
            <w:r w:rsidRPr="003032D8">
              <w:rPr>
                <w:rFonts w:ascii="TitilliumText25L" w:hAnsi="TitilliumText25L" w:cs="Arial"/>
                <w:color w:val="282828"/>
                <w:spacing w:val="-5"/>
              </w:rPr>
              <w:t xml:space="preserve"> </w:t>
            </w:r>
            <w:r w:rsidRPr="003032D8">
              <w:rPr>
                <w:rFonts w:ascii="TitilliumText25L" w:hAnsi="TitilliumText25L" w:cs="Arial"/>
                <w:color w:val="282828"/>
                <w:spacing w:val="-1"/>
              </w:rPr>
              <w:t>a</w:t>
            </w:r>
            <w:r w:rsidRPr="003032D8">
              <w:rPr>
                <w:rFonts w:ascii="TitilliumText25L" w:hAnsi="TitilliumText25L" w:cs="Arial"/>
                <w:color w:val="282828"/>
              </w:rPr>
              <w:t>nd</w:t>
            </w:r>
            <w:r w:rsidRPr="003032D8">
              <w:rPr>
                <w:rFonts w:ascii="TitilliumText25L" w:hAnsi="TitilliumText25L" w:cs="Arial"/>
                <w:color w:val="282828"/>
                <w:spacing w:val="-1"/>
              </w:rPr>
              <w:t xml:space="preserve"> </w:t>
            </w:r>
            <w:r w:rsidRPr="003032D8">
              <w:rPr>
                <w:rFonts w:ascii="TitilliumText25L" w:hAnsi="TitilliumText25L" w:cs="Arial"/>
                <w:color w:val="282828"/>
              </w:rPr>
              <w:t>malfunctions</w:t>
            </w:r>
            <w:r w:rsidRPr="003032D8">
              <w:rPr>
                <w:rFonts w:ascii="TitilliumText25L" w:hAnsi="TitilliumText25L" w:cs="Arial"/>
                <w:color w:val="282828"/>
                <w:spacing w:val="-11"/>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equi</w:t>
            </w:r>
            <w:r w:rsidRPr="003032D8">
              <w:rPr>
                <w:rFonts w:ascii="TitilliumText25L" w:hAnsi="TitilliumText25L" w:cs="Arial"/>
                <w:color w:val="282828"/>
                <w:spacing w:val="-1"/>
              </w:rPr>
              <w:t>pm</w:t>
            </w:r>
            <w:r w:rsidRPr="003032D8">
              <w:rPr>
                <w:rFonts w:ascii="TitilliumText25L" w:hAnsi="TitilliumText25L" w:cs="Arial"/>
                <w:color w:val="282828"/>
              </w:rPr>
              <w:t>ent</w:t>
            </w:r>
            <w:r w:rsidRPr="003032D8">
              <w:rPr>
                <w:rFonts w:ascii="TitilliumText25L" w:hAnsi="TitilliumText25L" w:cs="Arial"/>
                <w:color w:val="282828"/>
                <w:spacing w:val="-4"/>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the appropriate</w:t>
            </w:r>
            <w:r w:rsidRPr="003032D8">
              <w:rPr>
                <w:rFonts w:ascii="TitilliumText25L" w:hAnsi="TitilliumText25L" w:cs="Arial"/>
                <w:color w:val="282828"/>
                <w:spacing w:val="-1"/>
              </w:rPr>
              <w:t xml:space="preserve"> </w:t>
            </w:r>
            <w:r w:rsidRPr="003032D8">
              <w:rPr>
                <w:rFonts w:ascii="TitilliumText25L" w:hAnsi="TitilliumText25L" w:cs="Arial"/>
                <w:color w:val="282828"/>
              </w:rPr>
              <w:t>action</w:t>
            </w:r>
            <w:r w:rsidRPr="003032D8">
              <w:rPr>
                <w:rFonts w:ascii="TitilliumText25L" w:hAnsi="TitilliumText25L" w:cs="Arial"/>
                <w:color w:val="282828"/>
                <w:spacing w:val="-5"/>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take.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beforeAutospacing="1" w:after="100" w:afterAutospacing="1" w:line="240" w:lineRule="auto"/>
              <w:rPr>
                <w:rFonts w:ascii="TitilliumText25L" w:hAnsi="TitilliumText25L"/>
                <w:sz w:val="24"/>
                <w:szCs w:val="24"/>
              </w:rPr>
            </w:pPr>
          </w:p>
        </w:tc>
      </w:tr>
    </w:tbl>
    <w:p w:rsidR="00BE3BE3" w:rsidRPr="003032D8" w:rsidRDefault="00BE3BE3" w:rsidP="00BE3BE3">
      <w:pPr>
        <w:widowControl w:val="0"/>
        <w:autoSpaceDE w:val="0"/>
        <w:autoSpaceDN w:val="0"/>
        <w:adjustRightInd w:val="0"/>
        <w:spacing w:before="11" w:after="0" w:line="260" w:lineRule="exact"/>
        <w:rPr>
          <w:rFonts w:ascii="TitilliumText25L" w:hAnsi="TitilliumText25L"/>
          <w:sz w:val="26"/>
          <w:szCs w:val="26"/>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 xml:space="preserve">ning </w:t>
            </w:r>
            <w:r w:rsidRPr="003032D8">
              <w:rPr>
                <w:rFonts w:ascii="TitilliumText25L" w:hAnsi="TitilliumText25L" w:cs="Arial"/>
                <w:b/>
                <w:bCs/>
                <w:color w:val="C0C0C0"/>
                <w:sz w:val="19"/>
                <w:szCs w:val="19"/>
              </w:rPr>
              <w:t>(</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widowControl w:val="0"/>
        <w:autoSpaceDE w:val="0"/>
        <w:autoSpaceDN w:val="0"/>
        <w:adjustRightInd w:val="0"/>
        <w:spacing w:before="3" w:after="0" w:line="170" w:lineRule="exact"/>
        <w:rPr>
          <w:rFonts w:ascii="TitilliumText25L" w:hAnsi="TitilliumText25L"/>
          <w:sz w:val="17"/>
          <w:szCs w:val="17"/>
        </w:rPr>
      </w:pPr>
    </w:p>
    <w:p w:rsidR="00BE3BE3" w:rsidRPr="003032D8" w:rsidRDefault="00BE3BE3" w:rsidP="00BE3BE3">
      <w:pPr>
        <w:rPr>
          <w:rFonts w:ascii="TitilliumText25L" w:hAnsi="TitilliumText25L" w:cs="Arial"/>
          <w:color w:val="000000"/>
          <w:sz w:val="17"/>
          <w:szCs w:val="17"/>
        </w:rPr>
      </w:pPr>
      <w:r w:rsidRPr="003032D8">
        <w:rPr>
          <w:rFonts w:ascii="TitilliumText25L" w:hAnsi="TitilliumText25L" w:cs="Arial"/>
          <w:b/>
          <w:bCs/>
          <w:color w:val="CCCBCC"/>
          <w:position w:val="-2"/>
          <w:sz w:val="44"/>
          <w:szCs w:val="44"/>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BE3BE3" w:rsidRPr="003032D8" w:rsidTr="00D65937">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sz w:val="28"/>
                <w:szCs w:val="28"/>
              </w:rPr>
            </w:pPr>
            <w:r w:rsidRPr="003032D8">
              <w:rPr>
                <w:rFonts w:ascii="TitilliumText25L" w:hAnsi="TitilliumText25L" w:cs="Arial"/>
                <w:sz w:val="36"/>
                <w:szCs w:val="36"/>
              </w:rPr>
              <w:t>Section 4</w:t>
            </w:r>
            <w:r w:rsidRPr="003032D8">
              <w:rPr>
                <w:rFonts w:ascii="TitilliumText25L" w:hAnsi="TitilliumText25L" w:cs="Arial"/>
                <w:sz w:val="36"/>
                <w:szCs w:val="36"/>
              </w:rPr>
              <w:tab/>
            </w:r>
            <w:r w:rsidRPr="003032D8">
              <w:rPr>
                <w:rFonts w:ascii="TitilliumText25L" w:hAnsi="TitilliumText25L" w:cs="Arial"/>
                <w:sz w:val="36"/>
                <w:szCs w:val="36"/>
              </w:rPr>
              <w:tab/>
              <w:t>Prepare equipment for processing intra-operative salvage blood</w:t>
            </w:r>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F39934"/>
            <w:vAlign w:val="center"/>
          </w:tcPr>
          <w:p w:rsidR="00BE3BE3" w:rsidRPr="003032D8" w:rsidRDefault="00BE3BE3" w:rsidP="00D65937">
            <w:pPr>
              <w:spacing w:after="0" w:line="240" w:lineRule="auto"/>
              <w:ind w:left="170"/>
              <w:outlineLvl w:val="2"/>
              <w:rPr>
                <w:rFonts w:ascii="TitilliumText25L" w:hAnsi="TitilliumText25L" w:cs="Arial"/>
                <w:b/>
                <w:color w:val="C60C30"/>
                <w:sz w:val="24"/>
                <w:szCs w:val="24"/>
              </w:rPr>
            </w:pPr>
            <w:bookmarkStart w:id="83" w:name="_Toc355270957"/>
            <w:bookmarkStart w:id="84" w:name="_Toc366850102"/>
            <w:r w:rsidRPr="003032D8">
              <w:rPr>
                <w:rFonts w:ascii="TitilliumText25L" w:hAnsi="TitilliumText25L" w:cs="Arial"/>
                <w:b/>
                <w:color w:val="FFFFFF"/>
                <w:w w:val="99"/>
                <w:sz w:val="28"/>
                <w:szCs w:val="28"/>
              </w:rPr>
              <w:t>Performance</w:t>
            </w:r>
            <w:r w:rsidRPr="003032D8">
              <w:rPr>
                <w:rFonts w:ascii="TitilliumText25L" w:hAnsi="TitilliumText25L" w:cs="Arial"/>
                <w:b/>
                <w:color w:val="FFFFFF"/>
                <w:spacing w:val="-21"/>
                <w:w w:val="99"/>
                <w:sz w:val="28"/>
                <w:szCs w:val="28"/>
              </w:rPr>
              <w:t xml:space="preserve"> </w:t>
            </w:r>
            <w:r w:rsidRPr="003032D8">
              <w:rPr>
                <w:rFonts w:ascii="TitilliumText25L" w:hAnsi="TitilliumText25L" w:cs="Arial"/>
                <w:b/>
                <w:color w:val="FFFFFF"/>
                <w:sz w:val="28"/>
                <w:szCs w:val="28"/>
              </w:rPr>
              <w:t>Criteria</w:t>
            </w:r>
            <w:bookmarkEnd w:id="83"/>
            <w:bookmarkEnd w:id="84"/>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35" w:after="0" w:line="240" w:lineRule="auto"/>
              <w:ind w:left="170"/>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F39934"/>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09"/>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06"/>
              <w:rPr>
                <w:rFonts w:ascii="TitilliumText25L" w:hAnsi="TitilliumText25L"/>
                <w:sz w:val="24"/>
                <w:szCs w:val="24"/>
              </w:rPr>
            </w:pPr>
            <w:r w:rsidRPr="003032D8">
              <w:rPr>
                <w:rFonts w:ascii="TitilliumText25L" w:hAnsi="TitilliumText25L" w:cs="Arial"/>
                <w:b/>
                <w:bCs/>
                <w:color w:val="282828"/>
              </w:rPr>
              <w:t>The</w:t>
            </w:r>
            <w:r w:rsidRPr="003032D8">
              <w:rPr>
                <w:rFonts w:ascii="TitilliumText25L" w:hAnsi="TitilliumText25L" w:cs="Arial"/>
                <w:b/>
                <w:bCs/>
                <w:color w:val="282828"/>
                <w:spacing w:val="-9"/>
              </w:rPr>
              <w:t xml:space="preserve"> </w:t>
            </w:r>
            <w:r w:rsidRPr="003032D8">
              <w:rPr>
                <w:rFonts w:ascii="TitilliumText25L" w:hAnsi="TitilliumText25L" w:cs="Arial"/>
                <w:b/>
                <w:bCs/>
                <w:color w:val="282828"/>
              </w:rPr>
              <w:t>trainee</w:t>
            </w:r>
            <w:r w:rsidRPr="003032D8">
              <w:rPr>
                <w:rFonts w:ascii="TitilliumText25L" w:hAnsi="TitilliumText25L" w:cs="Arial"/>
                <w:b/>
                <w:bCs/>
                <w:color w:val="282828"/>
                <w:spacing w:val="-7"/>
              </w:rPr>
              <w:t xml:space="preserve"> </w:t>
            </w:r>
            <w:r w:rsidRPr="003032D8">
              <w:rPr>
                <w:rFonts w:ascii="TitilliumText25L" w:hAnsi="TitilliumText25L" w:cs="Arial"/>
                <w:b/>
                <w:bCs/>
                <w:color w:val="282828"/>
              </w:rPr>
              <w:t>demonstrated,</w:t>
            </w:r>
            <w:r w:rsidRPr="003032D8">
              <w:rPr>
                <w:rFonts w:ascii="TitilliumText25L" w:hAnsi="TitilliumText25L" w:cs="Arial"/>
                <w:b/>
                <w:bCs/>
                <w:color w:val="282828"/>
                <w:spacing w:val="-14"/>
              </w:rPr>
              <w:t xml:space="preserve"> </w:t>
            </w:r>
            <w:r w:rsidRPr="003032D8">
              <w:rPr>
                <w:rFonts w:ascii="TitilliumText25L" w:hAnsi="TitilliumText25L" w:cs="Arial"/>
                <w:b/>
                <w:bCs/>
                <w:color w:val="282828"/>
              </w:rPr>
              <w:t>in a</w:t>
            </w:r>
            <w:r w:rsidRPr="003032D8">
              <w:rPr>
                <w:rFonts w:ascii="TitilliumText25L" w:hAnsi="TitilliumText25L" w:cs="Arial"/>
                <w:b/>
                <w:bCs/>
                <w:color w:val="282828"/>
                <w:spacing w:val="-1"/>
              </w:rPr>
              <w:t xml:space="preserve"> </w:t>
            </w:r>
            <w:r w:rsidRPr="003032D8">
              <w:rPr>
                <w:rFonts w:ascii="TitilliumText25L" w:hAnsi="TitilliumText25L" w:cs="Arial"/>
                <w:b/>
                <w:bCs/>
                <w:color w:val="282828"/>
              </w:rPr>
              <w:t>cl</w:t>
            </w:r>
            <w:r w:rsidRPr="003032D8">
              <w:rPr>
                <w:rFonts w:ascii="TitilliumText25L" w:hAnsi="TitilliumText25L" w:cs="Arial"/>
                <w:b/>
                <w:bCs/>
                <w:color w:val="282828"/>
                <w:spacing w:val="-1"/>
              </w:rPr>
              <w:t>i</w:t>
            </w:r>
            <w:r w:rsidRPr="003032D8">
              <w:rPr>
                <w:rFonts w:ascii="TitilliumText25L" w:hAnsi="TitilliumText25L" w:cs="Arial"/>
                <w:b/>
                <w:bCs/>
                <w:color w:val="282828"/>
              </w:rPr>
              <w:t>nical</w:t>
            </w:r>
            <w:r w:rsidRPr="003032D8">
              <w:rPr>
                <w:rFonts w:ascii="TitilliumText25L" w:hAnsi="TitilliumText25L" w:cs="Arial"/>
                <w:b/>
                <w:bCs/>
                <w:color w:val="282828"/>
                <w:spacing w:val="-2"/>
              </w:rPr>
              <w:t xml:space="preserve"> </w:t>
            </w:r>
            <w:r w:rsidRPr="003032D8">
              <w:rPr>
                <w:rFonts w:ascii="TitilliumText25L" w:hAnsi="TitilliumText25L" w:cs="Arial"/>
                <w:b/>
                <w:bCs/>
                <w:color w:val="282828"/>
              </w:rPr>
              <w:t>setting,</w:t>
            </w:r>
            <w:r w:rsidRPr="003032D8">
              <w:rPr>
                <w:rFonts w:ascii="TitilliumText25L" w:hAnsi="TitilliumText25L" w:cs="Arial"/>
                <w:b/>
                <w:bCs/>
                <w:color w:val="282828"/>
                <w:spacing w:val="-7"/>
              </w:rPr>
              <w:t xml:space="preserve"> </w:t>
            </w:r>
            <w:r w:rsidRPr="003032D8">
              <w:rPr>
                <w:rFonts w:ascii="TitilliumText25L" w:hAnsi="TitilliumText25L" w:cs="Arial"/>
                <w:b/>
                <w:bCs/>
                <w:color w:val="282828"/>
              </w:rPr>
              <w:t>that</w:t>
            </w:r>
            <w:r w:rsidRPr="003032D8">
              <w:rPr>
                <w:rFonts w:ascii="TitilliumText25L" w:hAnsi="TitilliumText25L" w:cs="Arial"/>
                <w:b/>
                <w:bCs/>
                <w:color w:val="282828"/>
                <w:spacing w:val="-4"/>
              </w:rPr>
              <w:t xml:space="preserve"> </w:t>
            </w:r>
            <w:r w:rsidRPr="003032D8">
              <w:rPr>
                <w:rFonts w:ascii="TitilliumText25L" w:hAnsi="TitilliumText25L" w:cs="Arial"/>
                <w:b/>
                <w:bCs/>
                <w:color w:val="282828"/>
              </w:rPr>
              <w:t>th</w:t>
            </w:r>
            <w:r w:rsidRPr="003032D8">
              <w:rPr>
                <w:rFonts w:ascii="TitilliumText25L" w:hAnsi="TitilliumText25L" w:cs="Arial"/>
                <w:b/>
                <w:bCs/>
                <w:color w:val="282828"/>
                <w:spacing w:val="2"/>
              </w:rPr>
              <w:t>e</w:t>
            </w:r>
            <w:r w:rsidRPr="003032D8">
              <w:rPr>
                <w:rFonts w:ascii="TitilliumText25L" w:hAnsi="TitilliumText25L" w:cs="Arial"/>
                <w:b/>
                <w:bCs/>
                <w:color w:val="282828"/>
              </w:rPr>
              <w:t>y</w:t>
            </w:r>
            <w:r w:rsidRPr="003032D8">
              <w:rPr>
                <w:rFonts w:ascii="TitilliumText25L" w:hAnsi="TitilliumText25L" w:cs="Arial"/>
                <w:b/>
                <w:bCs/>
                <w:color w:val="282828"/>
                <w:spacing w:val="-3"/>
              </w:rPr>
              <w:t xml:space="preserve"> </w:t>
            </w:r>
            <w:r w:rsidRPr="003032D8">
              <w:rPr>
                <w:rFonts w:ascii="TitilliumText25L" w:hAnsi="TitilliumText25L" w:cs="Arial"/>
                <w:b/>
                <w:bCs/>
                <w:color w:val="282828"/>
              </w:rPr>
              <w:t>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54"/>
              <w:rPr>
                <w:rFonts w:ascii="TitilliumText25L" w:hAnsi="TitilliumText25L"/>
                <w:sz w:val="24"/>
                <w:szCs w:val="24"/>
              </w:rPr>
            </w:pPr>
            <w:r w:rsidRPr="003032D8">
              <w:rPr>
                <w:rFonts w:ascii="TitilliumText25L" w:hAnsi="TitilliumText25L" w:cs="Arial"/>
                <w:b/>
                <w:bCs/>
                <w:color w:val="282828"/>
                <w:sz w:val="20"/>
                <w:szCs w:val="20"/>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80" w:right="182"/>
              <w:rPr>
                <w:rFonts w:ascii="TitilliumText25L" w:hAnsi="TitilliumText25L"/>
                <w:sz w:val="24"/>
                <w:szCs w:val="24"/>
              </w:rPr>
            </w:pPr>
            <w:r w:rsidRPr="003032D8">
              <w:rPr>
                <w:rFonts w:ascii="TitilliumText25L" w:hAnsi="TitilliumText25L" w:cs="Arial"/>
                <w:b/>
                <w:bCs/>
                <w:color w:val="282828"/>
                <w:sz w:val="20"/>
                <w:szCs w:val="20"/>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29"/>
              <w:rPr>
                <w:rFonts w:ascii="TitilliumText25L" w:hAnsi="TitilliumText25L"/>
                <w:sz w:val="24"/>
                <w:szCs w:val="24"/>
              </w:rPr>
            </w:pPr>
            <w:proofErr w:type="spellStart"/>
            <w:r w:rsidRPr="003032D8">
              <w:rPr>
                <w:rFonts w:ascii="TitilliumText25L" w:hAnsi="TitilliumText25L" w:cs="Arial"/>
                <w:b/>
                <w:bCs/>
                <w:color w:val="282828"/>
                <w:sz w:val="20"/>
                <w:szCs w:val="20"/>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62"/>
              <w:rPr>
                <w:rFonts w:ascii="TitilliumText25L" w:hAnsi="TitilliumText25L"/>
                <w:sz w:val="24"/>
                <w:szCs w:val="24"/>
              </w:rPr>
            </w:pPr>
            <w:r w:rsidRPr="003032D8">
              <w:rPr>
                <w:rFonts w:ascii="TitilliumText25L" w:hAnsi="TitilliumText25L" w:cs="Arial"/>
                <w:b/>
                <w:bCs/>
                <w:color w:val="282828"/>
                <w:sz w:val="20"/>
                <w:szCs w:val="20"/>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14"/>
              <w:rPr>
                <w:rFonts w:ascii="TitilliumText25L" w:hAnsi="TitilliumText25L"/>
                <w:sz w:val="24"/>
                <w:szCs w:val="24"/>
              </w:rPr>
            </w:pPr>
            <w:proofErr w:type="spellStart"/>
            <w:r w:rsidRPr="003032D8">
              <w:rPr>
                <w:rFonts w:ascii="TitilliumText25L" w:hAnsi="TitilliumText25L" w:cs="Arial"/>
                <w:b/>
                <w:bCs/>
                <w:color w:val="282828"/>
                <w:sz w:val="20"/>
                <w:szCs w:val="20"/>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18"/>
              <w:rPr>
                <w:rFonts w:ascii="TitilliumText25L" w:hAnsi="TitilliumText25L"/>
                <w:sz w:val="24"/>
                <w:szCs w:val="24"/>
              </w:rPr>
            </w:pPr>
            <w:proofErr w:type="spellStart"/>
            <w:r w:rsidRPr="003032D8">
              <w:rPr>
                <w:rFonts w:ascii="TitilliumText25L" w:hAnsi="TitilliumText25L" w:cs="Arial"/>
                <w:b/>
                <w:bCs/>
                <w:color w:val="282828"/>
                <w:sz w:val="20"/>
                <w:szCs w:val="20"/>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4" w:after="0" w:line="240" w:lineRule="auto"/>
              <w:ind w:left="225" w:right="227"/>
              <w:rPr>
                <w:rFonts w:ascii="TitilliumText25L" w:hAnsi="TitilliumText25L"/>
                <w:sz w:val="24"/>
                <w:szCs w:val="24"/>
              </w:rPr>
            </w:pPr>
            <w:r w:rsidRPr="003032D8">
              <w:rPr>
                <w:rFonts w:ascii="TitilliumText25L" w:hAnsi="TitilliumText25L" w:cs="Arial"/>
                <w:b/>
                <w:bCs/>
                <w:color w:val="282828"/>
                <w:sz w:val="20"/>
                <w:szCs w:val="20"/>
              </w:rPr>
              <w:t>As</w:t>
            </w:r>
            <w:r w:rsidRPr="003032D8">
              <w:rPr>
                <w:rFonts w:ascii="TitilliumText25L" w:hAnsi="TitilliumText25L" w:cs="Arial"/>
                <w:b/>
                <w:bCs/>
                <w:color w:val="282828"/>
                <w:spacing w:val="-1"/>
                <w:sz w:val="20"/>
                <w:szCs w:val="20"/>
              </w:rPr>
              <w:t>s</w:t>
            </w:r>
            <w:r w:rsidRPr="003032D8">
              <w:rPr>
                <w:rFonts w:ascii="TitilliumText25L" w:hAnsi="TitilliumText25L" w:cs="Arial"/>
                <w:b/>
                <w:bCs/>
                <w:color w:val="282828"/>
                <w:sz w:val="20"/>
                <w:szCs w:val="20"/>
              </w:rPr>
              <w:t>ess</w:t>
            </w:r>
            <w:r w:rsidRPr="003032D8">
              <w:rPr>
                <w:rFonts w:ascii="TitilliumText25L" w:hAnsi="TitilliumText25L" w:cs="Arial"/>
                <w:b/>
                <w:bCs/>
                <w:color w:val="282828"/>
                <w:spacing w:val="-1"/>
                <w:sz w:val="20"/>
                <w:szCs w:val="20"/>
              </w:rPr>
              <w:t>o</w:t>
            </w:r>
            <w:r w:rsidRPr="003032D8">
              <w:rPr>
                <w:rFonts w:ascii="TitilliumText25L" w:hAnsi="TitilliumText25L" w:cs="Arial"/>
                <w:b/>
                <w:bCs/>
                <w:color w:val="282828"/>
                <w:sz w:val="20"/>
                <w:szCs w:val="20"/>
              </w:rPr>
              <w:t>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449" w:right="451"/>
              <w:rPr>
                <w:rFonts w:ascii="TitilliumText25L" w:hAnsi="TitilliumText25L"/>
                <w:sz w:val="24"/>
                <w:szCs w:val="24"/>
              </w:rPr>
            </w:pPr>
            <w:r w:rsidRPr="003032D8">
              <w:rPr>
                <w:rFonts w:ascii="TitilliumText25L" w:hAnsi="TitilliumText25L" w:cs="Arial"/>
                <w:b/>
                <w:bCs/>
                <w:color w:val="282828"/>
                <w:sz w:val="20"/>
                <w:szCs w:val="20"/>
              </w:rPr>
              <w:t>Da</w:t>
            </w:r>
            <w:r w:rsidRPr="003032D8">
              <w:rPr>
                <w:rFonts w:ascii="TitilliumText25L" w:hAnsi="TitilliumText25L" w:cs="Arial"/>
                <w:b/>
                <w:bCs/>
                <w:color w:val="282828"/>
                <w:spacing w:val="-1"/>
                <w:sz w:val="20"/>
                <w:szCs w:val="20"/>
              </w:rPr>
              <w:t>t</w:t>
            </w:r>
            <w:r w:rsidRPr="003032D8">
              <w:rPr>
                <w:rFonts w:ascii="TitilliumText25L" w:hAnsi="TitilliumText25L" w:cs="Arial"/>
                <w:b/>
                <w:bCs/>
                <w:color w:val="282828"/>
                <w:sz w:val="20"/>
                <w:szCs w:val="20"/>
              </w:rPr>
              <w:t>e</w:t>
            </w:r>
          </w:p>
        </w:tc>
      </w:tr>
      <w:tr w:rsidR="00BE3BE3" w:rsidRPr="003032D8" w:rsidTr="00D65937">
        <w:trPr>
          <w:trHeight w:hRule="exact" w:val="737"/>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06" w:right="170"/>
              <w:rPr>
                <w:rFonts w:ascii="TitilliumText25L" w:hAnsi="TitilliumText25L"/>
                <w:sz w:val="24"/>
                <w:szCs w:val="24"/>
              </w:rPr>
            </w:pPr>
            <w:r w:rsidRPr="003032D8">
              <w:rPr>
                <w:rFonts w:ascii="TitilliumText25L" w:hAnsi="TitilliumText25L" w:cs="Arial"/>
                <w:color w:val="282828"/>
              </w:rPr>
              <w:t>Check</w:t>
            </w:r>
            <w:r w:rsidRPr="003032D8">
              <w:rPr>
                <w:rFonts w:ascii="TitilliumText25L" w:hAnsi="TitilliumText25L" w:cs="Arial"/>
                <w:color w:val="282828"/>
                <w:spacing w:val="-12"/>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confirm</w:t>
            </w:r>
            <w:r w:rsidRPr="003032D8">
              <w:rPr>
                <w:rFonts w:ascii="TitilliumText25L" w:hAnsi="TitilliumText25L" w:cs="Arial"/>
                <w:color w:val="282828"/>
                <w:spacing w:val="-7"/>
              </w:rPr>
              <w:t xml:space="preserve"> </w:t>
            </w:r>
            <w:r w:rsidRPr="003032D8">
              <w:rPr>
                <w:rFonts w:ascii="TitilliumText25L" w:hAnsi="TitilliumText25L" w:cs="Arial"/>
                <w:color w:val="282828"/>
              </w:rPr>
              <w:t>with</w:t>
            </w:r>
            <w:r w:rsidRPr="003032D8">
              <w:rPr>
                <w:rFonts w:ascii="TitilliumText25L" w:hAnsi="TitilliumText25L" w:cs="Arial"/>
                <w:color w:val="282828"/>
                <w:spacing w:val="-4"/>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relevant</w:t>
            </w:r>
            <w:r w:rsidRPr="003032D8">
              <w:rPr>
                <w:rFonts w:ascii="TitilliumText25L" w:hAnsi="TitilliumText25L" w:cs="Arial"/>
                <w:color w:val="282828"/>
                <w:spacing w:val="-7"/>
              </w:rPr>
              <w:t xml:space="preserve"> </w:t>
            </w:r>
            <w:r w:rsidRPr="003032D8">
              <w:rPr>
                <w:rFonts w:ascii="TitilliumText25L" w:hAnsi="TitilliumText25L" w:cs="Arial"/>
                <w:color w:val="282828"/>
              </w:rPr>
              <w:t>member</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spacing w:val="2"/>
              </w:rPr>
              <w:t>s</w:t>
            </w:r>
            <w:r w:rsidRPr="003032D8">
              <w:rPr>
                <w:rFonts w:ascii="TitilliumText25L" w:hAnsi="TitilliumText25L" w:cs="Arial"/>
                <w:color w:val="282828"/>
              </w:rPr>
              <w:t>taff</w:t>
            </w:r>
            <w:r w:rsidRPr="003032D8">
              <w:rPr>
                <w:rFonts w:ascii="TitilliumText25L" w:hAnsi="TitilliumText25L" w:cs="Arial"/>
                <w:color w:val="282828"/>
                <w:spacing w:val="-1"/>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suit</w:t>
            </w:r>
            <w:r w:rsidRPr="003032D8">
              <w:rPr>
                <w:rFonts w:ascii="TitilliumText25L" w:hAnsi="TitilliumText25L" w:cs="Arial"/>
                <w:color w:val="282828"/>
                <w:spacing w:val="-1"/>
              </w:rPr>
              <w:t>a</w:t>
            </w:r>
            <w:r w:rsidRPr="003032D8">
              <w:rPr>
                <w:rFonts w:ascii="TitilliumText25L" w:hAnsi="TitilliumText25L" w:cs="Arial"/>
                <w:color w:val="282828"/>
              </w:rPr>
              <w:t>bility</w:t>
            </w:r>
            <w:r w:rsidRPr="003032D8">
              <w:rPr>
                <w:rFonts w:ascii="TitilliumText25L" w:hAnsi="TitilliumText25L" w:cs="Arial"/>
                <w:color w:val="282828"/>
                <w:spacing w:val="-3"/>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the salvaged blood</w:t>
            </w:r>
            <w:r w:rsidRPr="003032D8">
              <w:rPr>
                <w:rFonts w:ascii="TitilliumText25L" w:hAnsi="TitilliumText25L" w:cs="Arial"/>
                <w:color w:val="282828"/>
                <w:spacing w:val="-5"/>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processing.</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88" w:after="0" w:line="240" w:lineRule="auto"/>
              <w:ind w:left="106"/>
              <w:rPr>
                <w:rFonts w:ascii="TitilliumText25L" w:hAnsi="TitilliumText25L"/>
                <w:sz w:val="24"/>
                <w:szCs w:val="24"/>
              </w:rPr>
            </w:pPr>
            <w:r w:rsidRPr="003032D8">
              <w:rPr>
                <w:rFonts w:ascii="TitilliumText25L" w:hAnsi="TitilliumText25L" w:cs="Arial"/>
                <w:color w:val="282828"/>
              </w:rPr>
              <w:t>Maintain</w:t>
            </w:r>
            <w:r w:rsidRPr="003032D8">
              <w:rPr>
                <w:rFonts w:ascii="TitilliumText25L" w:hAnsi="TitilliumText25L" w:cs="Arial"/>
                <w:color w:val="282828"/>
                <w:spacing w:val="-14"/>
              </w:rPr>
              <w:t xml:space="preserve"> </w:t>
            </w:r>
            <w:r w:rsidRPr="003032D8">
              <w:rPr>
                <w:rFonts w:ascii="TitilliumText25L" w:hAnsi="TitilliumText25L" w:cs="Arial"/>
                <w:color w:val="282828"/>
              </w:rPr>
              <w:t>str</w:t>
            </w:r>
            <w:r w:rsidRPr="003032D8">
              <w:rPr>
                <w:rFonts w:ascii="TitilliumText25L" w:hAnsi="TitilliumText25L" w:cs="Arial"/>
                <w:color w:val="282828"/>
                <w:spacing w:val="-1"/>
              </w:rPr>
              <w:t>i</w:t>
            </w:r>
            <w:r w:rsidRPr="003032D8">
              <w:rPr>
                <w:rFonts w:ascii="TitilliumText25L" w:hAnsi="TitilliumText25L" w:cs="Arial"/>
                <w:color w:val="282828"/>
              </w:rPr>
              <w:t>ct</w:t>
            </w:r>
            <w:r w:rsidRPr="003032D8">
              <w:rPr>
                <w:rFonts w:ascii="TitilliumText25L" w:hAnsi="TitilliumText25L" w:cs="Arial"/>
                <w:color w:val="282828"/>
                <w:spacing w:val="-2"/>
              </w:rPr>
              <w:t xml:space="preserve"> </w:t>
            </w:r>
            <w:r w:rsidRPr="003032D8">
              <w:rPr>
                <w:rFonts w:ascii="TitilliumText25L" w:hAnsi="TitilliumText25L" w:cs="Arial"/>
                <w:color w:val="282828"/>
              </w:rPr>
              <w:t>asepsis</w:t>
            </w:r>
            <w:r w:rsidRPr="003032D8">
              <w:rPr>
                <w:rFonts w:ascii="TitilliumText25L" w:hAnsi="TitilliumText25L" w:cs="Arial"/>
                <w:color w:val="282828"/>
                <w:spacing w:val="-7"/>
              </w:rPr>
              <w:t xml:space="preserve"> </w:t>
            </w:r>
            <w:r w:rsidRPr="003032D8">
              <w:rPr>
                <w:rFonts w:ascii="TitilliumText25L" w:hAnsi="TitilliumText25L" w:cs="Arial"/>
                <w:color w:val="282828"/>
              </w:rPr>
              <w:t>at</w:t>
            </w:r>
            <w:r w:rsidRPr="003032D8">
              <w:rPr>
                <w:rFonts w:ascii="TitilliumText25L" w:hAnsi="TitilliumText25L" w:cs="Arial"/>
                <w:color w:val="282828"/>
                <w:spacing w:val="-3"/>
              </w:rPr>
              <w:t xml:space="preserve"> </w:t>
            </w:r>
            <w:r w:rsidRPr="003032D8">
              <w:rPr>
                <w:rFonts w:ascii="TitilliumText25L" w:hAnsi="TitilliumText25L" w:cs="Arial"/>
                <w:color w:val="282828"/>
              </w:rPr>
              <w:t>all</w:t>
            </w:r>
            <w:r w:rsidRPr="003032D8">
              <w:rPr>
                <w:rFonts w:ascii="TitilliumText25L" w:hAnsi="TitilliumText25L" w:cs="Arial"/>
                <w:color w:val="282828"/>
                <w:spacing w:val="-2"/>
              </w:rPr>
              <w:t xml:space="preserve"> </w:t>
            </w:r>
            <w:r w:rsidRPr="003032D8">
              <w:rPr>
                <w:rFonts w:ascii="TitilliumText25L" w:hAnsi="TitilliumText25L" w:cs="Arial"/>
                <w:color w:val="282828"/>
              </w:rPr>
              <w:t>times.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27"/>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88" w:after="0" w:line="240" w:lineRule="auto"/>
              <w:ind w:left="106"/>
              <w:rPr>
                <w:rFonts w:ascii="TitilliumText25L" w:hAnsi="TitilliumText25L"/>
                <w:sz w:val="24"/>
                <w:szCs w:val="24"/>
              </w:rPr>
            </w:pPr>
            <w:r w:rsidRPr="003032D8">
              <w:rPr>
                <w:rFonts w:ascii="TitilliumText25L" w:hAnsi="TitilliumText25L" w:cs="Arial"/>
                <w:color w:val="282828"/>
              </w:rPr>
              <w:t>Check</w:t>
            </w:r>
            <w:r w:rsidRPr="003032D8">
              <w:rPr>
                <w:rFonts w:ascii="TitilliumText25L" w:hAnsi="TitilliumText25L" w:cs="Arial"/>
                <w:color w:val="282828"/>
                <w:spacing w:val="-12"/>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confirm</w:t>
            </w:r>
            <w:r w:rsidRPr="003032D8">
              <w:rPr>
                <w:rFonts w:ascii="TitilliumText25L" w:hAnsi="TitilliumText25L" w:cs="Arial"/>
                <w:color w:val="282828"/>
                <w:spacing w:val="-7"/>
              </w:rPr>
              <w:t xml:space="preserve"> </w:t>
            </w:r>
            <w:r w:rsidRPr="003032D8">
              <w:rPr>
                <w:rFonts w:ascii="TitilliumText25L" w:hAnsi="TitilliumText25L" w:cs="Arial"/>
                <w:color w:val="282828"/>
              </w:rPr>
              <w:t>that</w:t>
            </w:r>
            <w:r w:rsidRPr="003032D8">
              <w:rPr>
                <w:rFonts w:ascii="TitilliumText25L" w:hAnsi="TitilliumText25L" w:cs="Arial"/>
                <w:color w:val="282828"/>
                <w:spacing w:val="-3"/>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correct</w:t>
            </w:r>
            <w:r w:rsidRPr="003032D8">
              <w:rPr>
                <w:rFonts w:ascii="TitilliumText25L" w:hAnsi="TitilliumText25L" w:cs="Arial"/>
                <w:color w:val="282828"/>
                <w:spacing w:val="-6"/>
              </w:rPr>
              <w:t xml:space="preserve"> </w:t>
            </w:r>
            <w:r w:rsidRPr="003032D8">
              <w:rPr>
                <w:rFonts w:ascii="TitilliumText25L" w:hAnsi="TitilliumText25L" w:cs="Arial"/>
                <w:color w:val="282828"/>
                <w:spacing w:val="-1"/>
              </w:rPr>
              <w:t>p</w:t>
            </w:r>
            <w:r w:rsidRPr="003032D8">
              <w:rPr>
                <w:rFonts w:ascii="TitilliumText25L" w:hAnsi="TitilliumText25L" w:cs="Arial"/>
                <w:color w:val="282828"/>
              </w:rPr>
              <w:t>rocessing</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e</w:t>
            </w:r>
            <w:r w:rsidRPr="003032D8">
              <w:rPr>
                <w:rFonts w:ascii="TitilliumText25L" w:hAnsi="TitilliumText25L" w:cs="Arial"/>
                <w:color w:val="282828"/>
              </w:rPr>
              <w:t>quipment</w:t>
            </w:r>
            <w:r w:rsidRPr="003032D8">
              <w:rPr>
                <w:rFonts w:ascii="TitilliumText25L" w:hAnsi="TitilliumText25L" w:cs="Arial"/>
                <w:color w:val="282828"/>
                <w:spacing w:val="-1"/>
              </w:rPr>
              <w:t xml:space="preserve"> </w:t>
            </w:r>
            <w:r w:rsidRPr="003032D8">
              <w:rPr>
                <w:rFonts w:ascii="TitilliumText25L" w:hAnsi="TitilliumText25L" w:cs="Arial"/>
                <w:color w:val="282828"/>
              </w:rPr>
              <w:t>is</w:t>
            </w:r>
            <w:r w:rsidRPr="003032D8">
              <w:rPr>
                <w:rFonts w:ascii="TitilliumText25L" w:hAnsi="TitilliumText25L" w:cs="Arial"/>
                <w:color w:val="282828"/>
                <w:spacing w:val="-2"/>
              </w:rPr>
              <w:t xml:space="preserve"> </w:t>
            </w:r>
            <w:r w:rsidRPr="003032D8">
              <w:rPr>
                <w:rFonts w:ascii="TitilliumText25L" w:hAnsi="TitilliumText25L" w:cs="Arial"/>
                <w:color w:val="282828"/>
              </w:rPr>
              <w:t>safe</w:t>
            </w:r>
            <w:r w:rsidRPr="003032D8">
              <w:rPr>
                <w:rFonts w:ascii="TitilliumText25L" w:hAnsi="TitilliumText25L" w:cs="Arial"/>
                <w:color w:val="282828"/>
                <w:spacing w:val="-4"/>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use.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74" w:after="0" w:line="240" w:lineRule="auto"/>
              <w:ind w:left="106" w:right="585"/>
              <w:rPr>
                <w:rFonts w:ascii="TitilliumText25L" w:hAnsi="TitilliumText25L"/>
                <w:sz w:val="24"/>
                <w:szCs w:val="24"/>
              </w:rPr>
            </w:pPr>
            <w:r w:rsidRPr="003032D8">
              <w:rPr>
                <w:rFonts w:ascii="TitilliumText25L" w:hAnsi="TitilliumText25L" w:cs="Arial"/>
                <w:color w:val="282828"/>
              </w:rPr>
              <w:t>Load</w:t>
            </w:r>
            <w:r w:rsidRPr="003032D8">
              <w:rPr>
                <w:rFonts w:ascii="TitilliumText25L" w:hAnsi="TitilliumText25L" w:cs="Arial"/>
                <w:color w:val="282828"/>
                <w:spacing w:val="-10"/>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processing</w:t>
            </w:r>
            <w:r w:rsidRPr="003032D8">
              <w:rPr>
                <w:rFonts w:ascii="TitilliumText25L" w:hAnsi="TitilliumText25L" w:cs="Arial"/>
                <w:color w:val="282828"/>
                <w:spacing w:val="-11"/>
              </w:rPr>
              <w:t xml:space="preserve"> </w:t>
            </w:r>
            <w:r w:rsidRPr="003032D8">
              <w:rPr>
                <w:rFonts w:ascii="TitilliumText25L" w:hAnsi="TitilliumText25L" w:cs="Arial"/>
                <w:color w:val="282828"/>
              </w:rPr>
              <w:t>e</w:t>
            </w:r>
            <w:r w:rsidRPr="003032D8">
              <w:rPr>
                <w:rFonts w:ascii="TitilliumText25L" w:hAnsi="TitilliumText25L" w:cs="Arial"/>
                <w:color w:val="282828"/>
                <w:spacing w:val="-1"/>
              </w:rPr>
              <w:t>q</w:t>
            </w:r>
            <w:r w:rsidRPr="003032D8">
              <w:rPr>
                <w:rFonts w:ascii="TitilliumText25L" w:hAnsi="TitilliumText25L" w:cs="Arial"/>
                <w:color w:val="282828"/>
              </w:rPr>
              <w:t>uipment</w:t>
            </w:r>
            <w:r w:rsidRPr="003032D8">
              <w:rPr>
                <w:rFonts w:ascii="TitilliumText25L" w:hAnsi="TitilliumText25L" w:cs="Arial"/>
                <w:color w:val="282828"/>
                <w:spacing w:val="-1"/>
              </w:rPr>
              <w:t xml:space="preserve"> </w:t>
            </w:r>
            <w:r w:rsidRPr="003032D8">
              <w:rPr>
                <w:rFonts w:ascii="TitilliumText25L" w:hAnsi="TitilliumText25L" w:cs="Arial"/>
                <w:color w:val="282828"/>
              </w:rPr>
              <w:t>into</w:t>
            </w:r>
            <w:r w:rsidRPr="003032D8">
              <w:rPr>
                <w:rFonts w:ascii="TitilliumText25L" w:hAnsi="TitilliumText25L" w:cs="Arial"/>
                <w:color w:val="282828"/>
                <w:spacing w:val="-3"/>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machine</w:t>
            </w:r>
            <w:r w:rsidRPr="003032D8">
              <w:rPr>
                <w:rFonts w:ascii="TitilliumText25L" w:hAnsi="TitilliumText25L" w:cs="Arial"/>
                <w:color w:val="282828"/>
                <w:spacing w:val="-8"/>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conn</w:t>
            </w:r>
            <w:r w:rsidRPr="003032D8">
              <w:rPr>
                <w:rFonts w:ascii="TitilliumText25L" w:hAnsi="TitilliumText25L" w:cs="Arial"/>
                <w:color w:val="282828"/>
                <w:spacing w:val="-1"/>
              </w:rPr>
              <w:t>e</w:t>
            </w:r>
            <w:r w:rsidRPr="003032D8">
              <w:rPr>
                <w:rFonts w:ascii="TitilliumText25L" w:hAnsi="TitilliumText25L" w:cs="Arial"/>
                <w:color w:val="282828"/>
              </w:rPr>
              <w:t>ct</w:t>
            </w:r>
            <w:r w:rsidRPr="003032D8">
              <w:rPr>
                <w:rFonts w:ascii="TitilliumText25L" w:hAnsi="TitilliumText25L" w:cs="Arial"/>
                <w:color w:val="282828"/>
                <w:spacing w:val="-4"/>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the collec</w:t>
            </w:r>
            <w:r w:rsidRPr="003032D8">
              <w:rPr>
                <w:rFonts w:ascii="TitilliumText25L" w:hAnsi="TitilliumText25L" w:cs="Arial"/>
                <w:color w:val="282828"/>
                <w:spacing w:val="-1"/>
              </w:rPr>
              <w:t>t</w:t>
            </w:r>
            <w:r w:rsidRPr="003032D8">
              <w:rPr>
                <w:rFonts w:ascii="TitilliumText25L" w:hAnsi="TitilliumText25L" w:cs="Arial"/>
                <w:color w:val="282828"/>
              </w:rPr>
              <w:t>ion e</w:t>
            </w:r>
            <w:r w:rsidRPr="003032D8">
              <w:rPr>
                <w:rFonts w:ascii="TitilliumText25L" w:hAnsi="TitilliumText25L" w:cs="Arial"/>
                <w:color w:val="282828"/>
                <w:spacing w:val="-1"/>
              </w:rPr>
              <w:t>q</w:t>
            </w:r>
            <w:r w:rsidRPr="003032D8">
              <w:rPr>
                <w:rFonts w:ascii="TitilliumText25L" w:hAnsi="TitilliumText25L" w:cs="Arial"/>
                <w:color w:val="282828"/>
              </w:rPr>
              <w:t>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74" w:after="0" w:line="240" w:lineRule="auto"/>
              <w:ind w:left="106"/>
              <w:rPr>
                <w:rFonts w:ascii="TitilliumText25L" w:hAnsi="TitilliumText25L"/>
                <w:sz w:val="24"/>
                <w:szCs w:val="24"/>
              </w:rPr>
            </w:pPr>
            <w:r w:rsidRPr="003032D8">
              <w:rPr>
                <w:rFonts w:ascii="TitilliumText25L" w:hAnsi="TitilliumText25L" w:cs="Arial"/>
                <w:color w:val="282828"/>
              </w:rPr>
              <w:t>Check</w:t>
            </w:r>
            <w:r w:rsidRPr="003032D8">
              <w:rPr>
                <w:rFonts w:ascii="TitilliumText25L" w:hAnsi="TitilliumText25L" w:cs="Arial"/>
                <w:color w:val="282828"/>
                <w:spacing w:val="-12"/>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confirm</w:t>
            </w:r>
            <w:r w:rsidRPr="003032D8">
              <w:rPr>
                <w:rFonts w:ascii="TitilliumText25L" w:hAnsi="TitilliumText25L" w:cs="Arial"/>
                <w:color w:val="282828"/>
                <w:spacing w:val="-7"/>
              </w:rPr>
              <w:t xml:space="preserve"> </w:t>
            </w:r>
            <w:r w:rsidRPr="003032D8">
              <w:rPr>
                <w:rFonts w:ascii="TitilliumText25L" w:hAnsi="TitilliumText25L" w:cs="Arial"/>
                <w:color w:val="282828"/>
              </w:rPr>
              <w:t>that</w:t>
            </w:r>
            <w:r w:rsidRPr="003032D8">
              <w:rPr>
                <w:rFonts w:ascii="TitilliumText25L" w:hAnsi="TitilliumText25L" w:cs="Arial"/>
                <w:color w:val="282828"/>
                <w:spacing w:val="-3"/>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wash</w:t>
            </w:r>
            <w:r w:rsidRPr="003032D8">
              <w:rPr>
                <w:rFonts w:ascii="TitilliumText25L" w:hAnsi="TitilliumText25L" w:cs="Arial"/>
                <w:color w:val="282828"/>
                <w:spacing w:val="-5"/>
              </w:rPr>
              <w:t xml:space="preserve"> </w:t>
            </w:r>
            <w:r w:rsidRPr="003032D8">
              <w:rPr>
                <w:rFonts w:ascii="TitilliumText25L" w:hAnsi="TitilliumText25L" w:cs="Arial"/>
                <w:color w:val="282828"/>
              </w:rPr>
              <w:t>fluid</w:t>
            </w:r>
            <w:r w:rsidRPr="003032D8">
              <w:rPr>
                <w:rFonts w:ascii="TitilliumText25L" w:hAnsi="TitilliumText25L" w:cs="Arial"/>
                <w:color w:val="282828"/>
                <w:spacing w:val="-4"/>
              </w:rPr>
              <w:t xml:space="preserve"> </w:t>
            </w:r>
            <w:r w:rsidRPr="003032D8">
              <w:rPr>
                <w:rFonts w:ascii="TitilliumText25L" w:hAnsi="TitilliumText25L" w:cs="Arial"/>
                <w:color w:val="282828"/>
              </w:rPr>
              <w:t>is</w:t>
            </w:r>
            <w:r w:rsidRPr="003032D8">
              <w:rPr>
                <w:rFonts w:ascii="TitilliumText25L" w:hAnsi="TitilliumText25L" w:cs="Arial"/>
                <w:color w:val="282828"/>
                <w:spacing w:val="-1"/>
              </w:rPr>
              <w:t xml:space="preserve"> </w:t>
            </w:r>
            <w:r w:rsidRPr="003032D8">
              <w:rPr>
                <w:rFonts w:ascii="TitilliumText25L" w:hAnsi="TitilliumText25L" w:cs="Arial"/>
                <w:color w:val="282828"/>
              </w:rPr>
              <w:t>intrave</w:t>
            </w:r>
            <w:r w:rsidRPr="003032D8">
              <w:rPr>
                <w:rFonts w:ascii="TitilliumText25L" w:hAnsi="TitilliumText25L" w:cs="Arial"/>
                <w:color w:val="282828"/>
                <w:spacing w:val="-1"/>
              </w:rPr>
              <w:t>n</w:t>
            </w:r>
            <w:r w:rsidRPr="003032D8">
              <w:rPr>
                <w:rFonts w:ascii="TitilliumText25L" w:hAnsi="TitilliumText25L" w:cs="Arial"/>
                <w:color w:val="282828"/>
              </w:rPr>
              <w:t>ous</w:t>
            </w:r>
            <w:r w:rsidRPr="003032D8">
              <w:rPr>
                <w:rFonts w:ascii="TitilliumText25L" w:hAnsi="TitilliumText25L" w:cs="Arial"/>
                <w:color w:val="282828"/>
                <w:spacing w:val="-6"/>
              </w:rPr>
              <w:t xml:space="preserve"> </w:t>
            </w:r>
            <w:r w:rsidRPr="003032D8">
              <w:rPr>
                <w:rFonts w:ascii="TitilliumText25L" w:hAnsi="TitilliumText25L" w:cs="Arial"/>
                <w:color w:val="282828"/>
              </w:rPr>
              <w:t>normal</w:t>
            </w:r>
            <w:r w:rsidRPr="003032D8">
              <w:rPr>
                <w:rFonts w:ascii="TitilliumText25L" w:hAnsi="TitilliumText25L" w:cs="Arial"/>
                <w:color w:val="282828"/>
                <w:spacing w:val="-6"/>
              </w:rPr>
              <w:t xml:space="preserve"> </w:t>
            </w:r>
            <w:r w:rsidRPr="003032D8">
              <w:rPr>
                <w:rFonts w:ascii="TitilliumText25L" w:hAnsi="TitilliumText25L" w:cs="Arial"/>
                <w:color w:val="282828"/>
              </w:rPr>
              <w:t>saline</w:t>
            </w:r>
            <w:r w:rsidRPr="003032D8">
              <w:rPr>
                <w:rFonts w:ascii="TitilliumText25L" w:hAnsi="TitilliumText25L" w:cs="Arial"/>
                <w:color w:val="282828"/>
                <w:spacing w:val="-5"/>
              </w:rPr>
              <w:t xml:space="preserve"> </w:t>
            </w:r>
            <w:r w:rsidRPr="003032D8">
              <w:rPr>
                <w:rFonts w:ascii="TitilliumText25L" w:hAnsi="TitilliumText25L" w:cs="Arial"/>
                <w:color w:val="282828"/>
              </w:rPr>
              <w:t>0.9% before</w:t>
            </w:r>
            <w:r w:rsidRPr="003032D8">
              <w:rPr>
                <w:rFonts w:ascii="TitilliumText25L" w:hAnsi="TitilliumText25L" w:cs="Arial"/>
                <w:color w:val="282828"/>
                <w:spacing w:val="-12"/>
              </w:rPr>
              <w:t xml:space="preserve"> </w:t>
            </w:r>
            <w:r w:rsidRPr="003032D8">
              <w:rPr>
                <w:rFonts w:ascii="TitilliumText25L" w:hAnsi="TitilliumText25L" w:cs="Arial"/>
                <w:color w:val="282828"/>
              </w:rPr>
              <w:t>priming</w:t>
            </w:r>
            <w:r w:rsidRPr="003032D8">
              <w:rPr>
                <w:rFonts w:ascii="TitilliumText25L" w:hAnsi="TitilliumText25L" w:cs="Arial"/>
                <w:color w:val="282828"/>
                <w:spacing w:val="-7"/>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system.</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88" w:after="0" w:line="240" w:lineRule="auto"/>
              <w:ind w:left="106"/>
              <w:rPr>
                <w:rFonts w:ascii="TitilliumText25L" w:hAnsi="TitilliumText25L"/>
                <w:sz w:val="24"/>
                <w:szCs w:val="24"/>
              </w:rPr>
            </w:pPr>
            <w:r w:rsidRPr="003032D8">
              <w:rPr>
                <w:rFonts w:ascii="TitilliumText25L" w:hAnsi="TitilliumText25L" w:cs="Arial"/>
                <w:color w:val="282828"/>
              </w:rPr>
              <w:t>Set</w:t>
            </w:r>
            <w:r w:rsidRPr="003032D8">
              <w:rPr>
                <w:rFonts w:ascii="TitilliumText25L" w:hAnsi="TitilliumText25L" w:cs="Arial"/>
                <w:color w:val="282828"/>
                <w:spacing w:val="-9"/>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correct</w:t>
            </w:r>
            <w:r w:rsidRPr="003032D8">
              <w:rPr>
                <w:rFonts w:ascii="TitilliumText25L" w:hAnsi="TitilliumText25L" w:cs="Arial"/>
                <w:color w:val="282828"/>
                <w:spacing w:val="-6"/>
              </w:rPr>
              <w:t xml:space="preserve"> </w:t>
            </w:r>
            <w:r w:rsidRPr="003032D8">
              <w:rPr>
                <w:rFonts w:ascii="TitilliumText25L" w:hAnsi="TitilliumText25L" w:cs="Arial"/>
                <w:color w:val="282828"/>
              </w:rPr>
              <w:t>machine</w:t>
            </w:r>
            <w:r w:rsidRPr="003032D8">
              <w:rPr>
                <w:rFonts w:ascii="TitilliumText25L" w:hAnsi="TitilliumText25L" w:cs="Arial"/>
                <w:color w:val="282828"/>
                <w:spacing w:val="-9"/>
              </w:rPr>
              <w:t xml:space="preserve"> </w:t>
            </w:r>
            <w:r w:rsidRPr="003032D8">
              <w:rPr>
                <w:rFonts w:ascii="TitilliumText25L" w:hAnsi="TitilliumText25L" w:cs="Arial"/>
                <w:color w:val="282828"/>
              </w:rPr>
              <w:t>programme</w:t>
            </w:r>
            <w:r w:rsidRPr="003032D8">
              <w:rPr>
                <w:rFonts w:ascii="TitilliumText25L" w:hAnsi="TitilliumText25L" w:cs="Arial"/>
                <w:color w:val="282828"/>
                <w:spacing w:val="-8"/>
              </w:rPr>
              <w:t xml:space="preserve"> </w:t>
            </w:r>
            <w:r w:rsidRPr="003032D8">
              <w:rPr>
                <w:rFonts w:ascii="TitilliumText25L" w:hAnsi="TitilliumText25L" w:cs="Arial"/>
                <w:color w:val="282828"/>
              </w:rPr>
              <w:t>ready</w:t>
            </w:r>
            <w:r w:rsidRPr="003032D8">
              <w:rPr>
                <w:rFonts w:ascii="TitilliumText25L" w:hAnsi="TitilliumText25L" w:cs="Arial"/>
                <w:color w:val="282828"/>
                <w:spacing w:val="-5"/>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use.</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72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after="0" w:line="240" w:lineRule="auto"/>
              <w:ind w:left="106" w:right="464"/>
              <w:rPr>
                <w:rFonts w:ascii="TitilliumText25L" w:hAnsi="TitilliumText25L"/>
                <w:sz w:val="24"/>
                <w:szCs w:val="24"/>
              </w:rPr>
            </w:pPr>
            <w:r w:rsidRPr="003032D8">
              <w:rPr>
                <w:rFonts w:ascii="TitilliumText25L" w:hAnsi="TitilliumText25L" w:cs="Arial"/>
                <w:color w:val="282828"/>
              </w:rPr>
              <w:t>Inform</w:t>
            </w:r>
            <w:r w:rsidRPr="003032D8">
              <w:rPr>
                <w:rFonts w:ascii="TitilliumText25L" w:hAnsi="TitilliumText25L" w:cs="Arial"/>
                <w:color w:val="282828"/>
                <w:spacing w:val="-1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relevant</w:t>
            </w:r>
            <w:r w:rsidRPr="003032D8">
              <w:rPr>
                <w:rFonts w:ascii="TitilliumText25L" w:hAnsi="TitilliumText25L" w:cs="Arial"/>
                <w:color w:val="282828"/>
                <w:spacing w:val="-7"/>
              </w:rPr>
              <w:t xml:space="preserve"> </w:t>
            </w:r>
            <w:r w:rsidRPr="003032D8">
              <w:rPr>
                <w:rFonts w:ascii="TitilliumText25L" w:hAnsi="TitilliumText25L" w:cs="Arial"/>
                <w:color w:val="282828"/>
              </w:rPr>
              <w:t>m</w:t>
            </w:r>
            <w:r w:rsidRPr="003032D8">
              <w:rPr>
                <w:rFonts w:ascii="TitilliumText25L" w:hAnsi="TitilliumText25L" w:cs="Arial"/>
                <w:color w:val="282828"/>
                <w:spacing w:val="1"/>
              </w:rPr>
              <w:t>e</w:t>
            </w:r>
            <w:r w:rsidRPr="003032D8">
              <w:rPr>
                <w:rFonts w:ascii="TitilliumText25L" w:hAnsi="TitilliumText25L" w:cs="Arial"/>
                <w:color w:val="282828"/>
              </w:rPr>
              <w:t>mber</w:t>
            </w:r>
            <w:r w:rsidRPr="003032D8">
              <w:rPr>
                <w:rFonts w:ascii="TitilliumText25L" w:hAnsi="TitilliumText25L" w:cs="Arial"/>
                <w:color w:val="282828"/>
                <w:spacing w:val="-2"/>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staff</w:t>
            </w:r>
            <w:r w:rsidRPr="003032D8">
              <w:rPr>
                <w:rFonts w:ascii="TitilliumText25L" w:hAnsi="TitilliumText25L" w:cs="Arial"/>
                <w:color w:val="282828"/>
                <w:spacing w:val="-4"/>
              </w:rPr>
              <w:t xml:space="preserve"> </w:t>
            </w:r>
            <w:r w:rsidRPr="003032D8">
              <w:rPr>
                <w:rFonts w:ascii="TitilliumText25L" w:hAnsi="TitilliumText25L" w:cs="Arial"/>
                <w:color w:val="282828"/>
              </w:rPr>
              <w:t>that</w:t>
            </w:r>
            <w:r w:rsidRPr="003032D8">
              <w:rPr>
                <w:rFonts w:ascii="TitilliumText25L" w:hAnsi="TitilliumText25L" w:cs="Arial"/>
                <w:color w:val="282828"/>
                <w:spacing w:val="-3"/>
              </w:rPr>
              <w:t xml:space="preserve"> </w:t>
            </w:r>
            <w:r w:rsidRPr="003032D8">
              <w:rPr>
                <w:rFonts w:ascii="TitilliumText25L" w:hAnsi="TitilliumText25L" w:cs="Arial"/>
                <w:color w:val="282828"/>
              </w:rPr>
              <w:t>processing</w:t>
            </w:r>
            <w:r w:rsidRPr="003032D8">
              <w:rPr>
                <w:rFonts w:ascii="TitilliumText25L" w:hAnsi="TitilliumText25L" w:cs="Arial"/>
                <w:color w:val="282828"/>
                <w:spacing w:val="-10"/>
              </w:rPr>
              <w:t xml:space="preserve"> </w:t>
            </w:r>
            <w:r w:rsidRPr="003032D8">
              <w:rPr>
                <w:rFonts w:ascii="TitilliumText25L" w:hAnsi="TitilliumText25L" w:cs="Arial"/>
                <w:color w:val="282828"/>
              </w:rPr>
              <w:t>equipment</w:t>
            </w:r>
            <w:r w:rsidRPr="003032D8">
              <w:rPr>
                <w:rFonts w:ascii="TitilliumText25L" w:hAnsi="TitilliumText25L" w:cs="Arial"/>
                <w:color w:val="282828"/>
                <w:spacing w:val="-9"/>
              </w:rPr>
              <w:t xml:space="preserve"> </w:t>
            </w:r>
            <w:r w:rsidRPr="003032D8">
              <w:rPr>
                <w:rFonts w:ascii="TitilliumText25L" w:hAnsi="TitilliumText25L" w:cs="Arial"/>
                <w:color w:val="282828"/>
              </w:rPr>
              <w:t>is</w:t>
            </w:r>
            <w:r w:rsidRPr="003032D8">
              <w:rPr>
                <w:rFonts w:ascii="TitilliumText25L" w:hAnsi="TitilliumText25L" w:cs="Arial"/>
                <w:color w:val="282828"/>
                <w:spacing w:val="-1"/>
              </w:rPr>
              <w:t xml:space="preserve"> </w:t>
            </w:r>
            <w:r w:rsidRPr="003032D8">
              <w:rPr>
                <w:rFonts w:ascii="TitilliumText25L" w:hAnsi="TitilliumText25L" w:cs="Arial"/>
                <w:color w:val="282828"/>
              </w:rPr>
              <w:t>fully prepared as</w:t>
            </w:r>
            <w:r w:rsidRPr="003032D8">
              <w:rPr>
                <w:rFonts w:ascii="TitilliumText25L" w:hAnsi="TitilliumText25L" w:cs="Arial"/>
                <w:color w:val="282828"/>
                <w:spacing w:val="-2"/>
              </w:rPr>
              <w:t xml:space="preserve"> </w:t>
            </w:r>
            <w:r w:rsidRPr="003032D8">
              <w:rPr>
                <w:rFonts w:ascii="TitilliumText25L" w:hAnsi="TitilliumText25L" w:cs="Arial"/>
                <w:color w:val="282828"/>
              </w:rPr>
              <w:t>necessary.</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bl>
    <w:p w:rsidR="00BE3BE3" w:rsidRPr="003032D8" w:rsidRDefault="00BE3BE3" w:rsidP="00BE3BE3">
      <w:pPr>
        <w:widowControl w:val="0"/>
        <w:autoSpaceDE w:val="0"/>
        <w:autoSpaceDN w:val="0"/>
        <w:adjustRightInd w:val="0"/>
        <w:spacing w:after="0" w:line="200" w:lineRule="exact"/>
        <w:rPr>
          <w:rFonts w:ascii="TitilliumText25L" w:hAnsi="TitilliumText25L"/>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ning</w:t>
            </w:r>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spacing w:line="240" w:lineRule="auto"/>
        <w:rPr>
          <w:rFonts w:ascii="TitilliumText25L" w:hAnsi="TitilliumText25L"/>
        </w:rPr>
      </w:pPr>
      <w:r w:rsidRPr="003032D8">
        <w:rPr>
          <w:rFonts w:ascii="TitilliumText25L" w:hAnsi="TitilliumText25L"/>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BE3BE3" w:rsidRPr="003032D8" w:rsidTr="00D65937">
        <w:trPr>
          <w:trHeight w:hRule="exact" w:val="1303"/>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outlineLvl w:val="1"/>
              <w:rPr>
                <w:rFonts w:ascii="TitilliumText25L" w:hAnsi="TitilliumText25L" w:cs="Arial"/>
                <w:sz w:val="24"/>
                <w:szCs w:val="24"/>
              </w:rPr>
            </w:pPr>
            <w:bookmarkStart w:id="85" w:name="_Toc355270958"/>
            <w:bookmarkStart w:id="86" w:name="_Toc366850103"/>
            <w:r w:rsidRPr="003032D8">
              <w:rPr>
                <w:rFonts w:ascii="TitilliumText25L" w:hAnsi="TitilliumText25L" w:cs="Arial"/>
                <w:sz w:val="36"/>
                <w:szCs w:val="36"/>
              </w:rPr>
              <w:t>Section 5</w:t>
            </w:r>
            <w:r w:rsidRPr="003032D8">
              <w:rPr>
                <w:rFonts w:ascii="TitilliumText25L" w:hAnsi="TitilliumText25L" w:cs="Arial"/>
                <w:sz w:val="36"/>
                <w:szCs w:val="36"/>
              </w:rPr>
              <w:tab/>
            </w:r>
            <w:r w:rsidRPr="003032D8">
              <w:rPr>
                <w:rFonts w:ascii="TitilliumText25L" w:hAnsi="TitilliumText25L" w:cs="Arial"/>
                <w:sz w:val="36"/>
                <w:szCs w:val="36"/>
              </w:rPr>
              <w:tab/>
              <w:t>Operate and</w:t>
            </w:r>
            <w:r w:rsidRPr="003032D8">
              <w:rPr>
                <w:rFonts w:ascii="TitilliumText25L" w:hAnsi="TitilliumText25L" w:cs="Arial"/>
                <w:spacing w:val="-2"/>
                <w:sz w:val="36"/>
                <w:szCs w:val="36"/>
              </w:rPr>
              <w:t xml:space="preserve"> </w:t>
            </w:r>
            <w:r w:rsidRPr="003032D8">
              <w:rPr>
                <w:rFonts w:ascii="TitilliumText25L" w:hAnsi="TitilliumText25L" w:cs="Arial"/>
                <w:sz w:val="36"/>
                <w:szCs w:val="36"/>
              </w:rPr>
              <w:t>monitor equipment for processing intra-operative salvage blood and complete salvaged blood processing</w:t>
            </w:r>
            <w:bookmarkEnd w:id="85"/>
            <w:bookmarkEnd w:id="86"/>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96C449"/>
            <w:vAlign w:val="center"/>
          </w:tcPr>
          <w:p w:rsidR="00BE3BE3" w:rsidRPr="003032D8" w:rsidRDefault="00BE3BE3" w:rsidP="00D65937">
            <w:pPr>
              <w:spacing w:after="0" w:line="240" w:lineRule="auto"/>
              <w:ind w:left="170"/>
              <w:outlineLvl w:val="2"/>
              <w:rPr>
                <w:rFonts w:ascii="TitilliumText25L" w:hAnsi="TitilliumText25L" w:cs="Arial"/>
                <w:b/>
                <w:color w:val="C60C30"/>
                <w:sz w:val="28"/>
                <w:szCs w:val="28"/>
              </w:rPr>
            </w:pPr>
            <w:bookmarkStart w:id="87" w:name="_Toc355270959"/>
            <w:bookmarkStart w:id="88" w:name="_Toc366850104"/>
            <w:r w:rsidRPr="003032D8">
              <w:rPr>
                <w:rFonts w:ascii="TitilliumText25L" w:hAnsi="TitilliumText25L" w:cs="Arial"/>
                <w:color w:val="FFFFFF"/>
                <w:sz w:val="28"/>
                <w:szCs w:val="28"/>
              </w:rPr>
              <w:t>Knowledge and Understandin</w:t>
            </w:r>
            <w:r w:rsidRPr="003032D8">
              <w:rPr>
                <w:rFonts w:ascii="TitilliumText25L" w:hAnsi="TitilliumText25L" w:cs="Arial"/>
                <w:b/>
                <w:color w:val="FFFFFF"/>
                <w:sz w:val="28"/>
                <w:szCs w:val="28"/>
              </w:rPr>
              <w:t>g</w:t>
            </w:r>
            <w:bookmarkEnd w:id="87"/>
            <w:bookmarkEnd w:id="88"/>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35" w:after="0" w:line="240" w:lineRule="auto"/>
              <w:ind w:left="170"/>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96C449"/>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509"/>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r w:rsidRPr="003032D8">
              <w:rPr>
                <w:rFonts w:ascii="TitilliumText25L" w:hAnsi="TitilliumText25L" w:cs="Arial"/>
                <w:b/>
                <w:bCs/>
                <w:color w:val="282828"/>
              </w:rPr>
              <w:t>The</w:t>
            </w:r>
            <w:r w:rsidRPr="003032D8">
              <w:rPr>
                <w:rFonts w:ascii="TitilliumText25L" w:hAnsi="TitilliumText25L" w:cs="Arial"/>
                <w:b/>
                <w:bCs/>
                <w:color w:val="282828"/>
                <w:spacing w:val="-9"/>
              </w:rPr>
              <w:t xml:space="preserve"> </w:t>
            </w:r>
            <w:r w:rsidRPr="003032D8">
              <w:rPr>
                <w:rFonts w:ascii="TitilliumText25L" w:hAnsi="TitilliumText25L" w:cs="Arial"/>
                <w:b/>
                <w:bCs/>
                <w:color w:val="282828"/>
              </w:rPr>
              <w:t>trainee</w:t>
            </w:r>
            <w:r w:rsidRPr="003032D8">
              <w:rPr>
                <w:rFonts w:ascii="TitilliumText25L" w:hAnsi="TitilliumText25L" w:cs="Arial"/>
                <w:b/>
                <w:bCs/>
                <w:color w:val="282828"/>
                <w:spacing w:val="-7"/>
              </w:rPr>
              <w:t xml:space="preserve"> </w:t>
            </w:r>
            <w:r w:rsidRPr="003032D8">
              <w:rPr>
                <w:rFonts w:ascii="TitilliumText25L" w:hAnsi="TitilliumText25L" w:cs="Arial"/>
                <w:b/>
                <w:bCs/>
                <w:color w:val="282828"/>
              </w:rPr>
              <w:t>demonstrated</w:t>
            </w:r>
            <w:r w:rsidRPr="003032D8">
              <w:rPr>
                <w:rFonts w:ascii="TitilliumText25L" w:hAnsi="TitilliumText25L" w:cs="Arial"/>
                <w:b/>
                <w:bCs/>
                <w:color w:val="282828"/>
                <w:spacing w:val="-13"/>
              </w:rPr>
              <w:t xml:space="preserve"> </w:t>
            </w:r>
            <w:r w:rsidRPr="003032D8">
              <w:rPr>
                <w:rFonts w:ascii="TitilliumText25L" w:hAnsi="TitilliumText25L" w:cs="Arial"/>
                <w:b/>
                <w:bCs/>
                <w:color w:val="282828"/>
              </w:rPr>
              <w:t>kn</w:t>
            </w:r>
            <w:r w:rsidRPr="003032D8">
              <w:rPr>
                <w:rFonts w:ascii="TitilliumText25L" w:hAnsi="TitilliumText25L" w:cs="Arial"/>
                <w:b/>
                <w:bCs/>
                <w:color w:val="282828"/>
                <w:spacing w:val="-1"/>
              </w:rPr>
              <w:t>o</w:t>
            </w:r>
            <w:r w:rsidRPr="003032D8">
              <w:rPr>
                <w:rFonts w:ascii="TitilliumText25L" w:hAnsi="TitilliumText25L" w:cs="Arial"/>
                <w:b/>
                <w:bCs/>
                <w:color w:val="282828"/>
                <w:spacing w:val="2"/>
              </w:rPr>
              <w:t>w</w:t>
            </w:r>
            <w:r w:rsidRPr="003032D8">
              <w:rPr>
                <w:rFonts w:ascii="TitilliumText25L" w:hAnsi="TitilliumText25L" w:cs="Arial"/>
                <w:b/>
                <w:bCs/>
                <w:color w:val="282828"/>
              </w:rPr>
              <w:t>l</w:t>
            </w:r>
            <w:r w:rsidRPr="003032D8">
              <w:rPr>
                <w:rFonts w:ascii="TitilliumText25L" w:hAnsi="TitilliumText25L" w:cs="Arial"/>
                <w:b/>
                <w:bCs/>
                <w:color w:val="282828"/>
                <w:spacing w:val="-1"/>
              </w:rPr>
              <w:t>e</w:t>
            </w:r>
            <w:r w:rsidRPr="003032D8">
              <w:rPr>
                <w:rFonts w:ascii="TitilliumText25L" w:hAnsi="TitilliumText25L" w:cs="Arial"/>
                <w:b/>
                <w:bCs/>
                <w:color w:val="282828"/>
              </w:rPr>
              <w:t>dge</w:t>
            </w:r>
            <w:r w:rsidRPr="003032D8">
              <w:rPr>
                <w:rFonts w:ascii="TitilliumText25L" w:hAnsi="TitilliumText25L" w:cs="Arial"/>
                <w:b/>
                <w:bCs/>
                <w:color w:val="282828"/>
                <w:spacing w:val="-2"/>
              </w:rPr>
              <w:t xml:space="preserve"> </w:t>
            </w:r>
            <w:r w:rsidRPr="003032D8">
              <w:rPr>
                <w:rFonts w:ascii="TitilliumText25L" w:hAnsi="TitilliumText25L" w:cs="Arial"/>
                <w:b/>
                <w:bCs/>
                <w:color w:val="282828"/>
              </w:rPr>
              <w:t>and</w:t>
            </w:r>
            <w:r w:rsidRPr="003032D8">
              <w:rPr>
                <w:rFonts w:ascii="TitilliumText25L" w:hAnsi="TitilliumText25L" w:cs="Arial"/>
                <w:b/>
                <w:bCs/>
                <w:color w:val="282828"/>
                <w:spacing w:val="-4"/>
              </w:rPr>
              <w:t xml:space="preserve"> </w:t>
            </w:r>
            <w:r w:rsidRPr="003032D8">
              <w:rPr>
                <w:rFonts w:ascii="TitilliumText25L" w:hAnsi="TitilliumText25L" w:cs="Arial"/>
                <w:b/>
                <w:bCs/>
                <w:color w:val="282828"/>
              </w:rPr>
              <w:t>understanding</w:t>
            </w:r>
            <w:r w:rsidRPr="003032D8">
              <w:rPr>
                <w:rFonts w:ascii="TitilliumText25L" w:hAnsi="TitilliumText25L" w:cs="Arial"/>
                <w:b/>
                <w:bCs/>
                <w:color w:val="282828"/>
                <w:spacing w:val="-13"/>
              </w:rPr>
              <w:t xml:space="preserve"> </w:t>
            </w:r>
            <w:r w:rsidRPr="003032D8">
              <w:rPr>
                <w:rFonts w:ascii="TitilliumText25L" w:hAnsi="TitilliumText25L" w:cs="Arial"/>
                <w:b/>
                <w:bCs/>
                <w:color w:val="282828"/>
              </w:rPr>
              <w:t>of: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r w:rsidRPr="003032D8">
              <w:rPr>
                <w:rFonts w:ascii="TitilliumText25L" w:hAnsi="TitilliumText25L" w:cs="Arial"/>
                <w:b/>
                <w:bCs/>
                <w:color w:val="282828"/>
                <w:sz w:val="20"/>
                <w:szCs w:val="20"/>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ight="182"/>
              <w:rPr>
                <w:rFonts w:ascii="TitilliumText25L" w:hAnsi="TitilliumText25L"/>
                <w:sz w:val="24"/>
                <w:szCs w:val="24"/>
              </w:rPr>
            </w:pPr>
            <w:r w:rsidRPr="003032D8">
              <w:rPr>
                <w:rFonts w:ascii="TitilliumText25L" w:hAnsi="TitilliumText25L" w:cs="Arial"/>
                <w:b/>
                <w:bCs/>
                <w:color w:val="282828"/>
                <w:sz w:val="20"/>
                <w:szCs w:val="20"/>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roofErr w:type="spellStart"/>
            <w:r w:rsidRPr="003032D8">
              <w:rPr>
                <w:rFonts w:ascii="TitilliumText25L" w:hAnsi="TitilliumText25L" w:cs="Arial"/>
                <w:b/>
                <w:bCs/>
                <w:color w:val="282828"/>
                <w:sz w:val="20"/>
                <w:szCs w:val="20"/>
              </w:rPr>
              <w:t>EW</w:t>
            </w:r>
            <w:proofErr w:type="spellEnd"/>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r w:rsidRPr="003032D8">
              <w:rPr>
                <w:rFonts w:ascii="TitilliumText25L" w:hAnsi="TitilliumText25L" w:cs="Arial"/>
                <w:b/>
                <w:bCs/>
                <w:color w:val="282828"/>
                <w:sz w:val="20"/>
                <w:szCs w:val="20"/>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roofErr w:type="spellStart"/>
            <w:r w:rsidRPr="003032D8">
              <w:rPr>
                <w:rFonts w:ascii="TitilliumText25L" w:hAnsi="TitilliumText25L" w:cs="Arial"/>
                <w:b/>
                <w:bCs/>
                <w:color w:val="282828"/>
                <w:sz w:val="20"/>
                <w:szCs w:val="20"/>
              </w:rPr>
              <w:t>WQ</w:t>
            </w:r>
            <w:proofErr w:type="spellEnd"/>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roofErr w:type="spellStart"/>
            <w:r w:rsidRPr="003032D8">
              <w:rPr>
                <w:rFonts w:ascii="TitilliumText25L" w:hAnsi="TitilliumText25L" w:cs="Arial"/>
                <w:b/>
                <w:bCs/>
                <w:color w:val="282828"/>
                <w:sz w:val="20"/>
                <w:szCs w:val="20"/>
              </w:rPr>
              <w:t>OQ</w:t>
            </w:r>
            <w:proofErr w:type="spellEnd"/>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4" w:after="0" w:line="240" w:lineRule="auto"/>
              <w:ind w:left="170" w:right="227"/>
              <w:rPr>
                <w:rFonts w:ascii="TitilliumText25L" w:hAnsi="TitilliumText25L"/>
                <w:sz w:val="24"/>
                <w:szCs w:val="24"/>
              </w:rPr>
            </w:pPr>
            <w:r w:rsidRPr="003032D8">
              <w:rPr>
                <w:rFonts w:ascii="TitilliumText25L" w:hAnsi="TitilliumText25L" w:cs="Arial"/>
                <w:b/>
                <w:bCs/>
                <w:color w:val="282828"/>
                <w:sz w:val="20"/>
                <w:szCs w:val="20"/>
              </w:rPr>
              <w:t>As</w:t>
            </w:r>
            <w:r w:rsidRPr="003032D8">
              <w:rPr>
                <w:rFonts w:ascii="TitilliumText25L" w:hAnsi="TitilliumText25L" w:cs="Arial"/>
                <w:b/>
                <w:bCs/>
                <w:color w:val="282828"/>
                <w:spacing w:val="-1"/>
                <w:sz w:val="20"/>
                <w:szCs w:val="20"/>
              </w:rPr>
              <w:t>s</w:t>
            </w:r>
            <w:r w:rsidRPr="003032D8">
              <w:rPr>
                <w:rFonts w:ascii="TitilliumText25L" w:hAnsi="TitilliumText25L" w:cs="Arial"/>
                <w:b/>
                <w:bCs/>
                <w:color w:val="282828"/>
                <w:sz w:val="20"/>
                <w:szCs w:val="20"/>
              </w:rPr>
              <w:t>ess</w:t>
            </w:r>
            <w:r w:rsidRPr="003032D8">
              <w:rPr>
                <w:rFonts w:ascii="TitilliumText25L" w:hAnsi="TitilliumText25L" w:cs="Arial"/>
                <w:b/>
                <w:bCs/>
                <w:color w:val="282828"/>
                <w:spacing w:val="-1"/>
                <w:sz w:val="20"/>
                <w:szCs w:val="20"/>
              </w:rPr>
              <w:t>o</w:t>
            </w:r>
            <w:r w:rsidRPr="003032D8">
              <w:rPr>
                <w:rFonts w:ascii="TitilliumText25L" w:hAnsi="TitilliumText25L" w:cs="Arial"/>
                <w:b/>
                <w:bCs/>
                <w:color w:val="282828"/>
                <w:sz w:val="20"/>
                <w:szCs w:val="20"/>
              </w:rPr>
              <w:t>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ight="451"/>
              <w:rPr>
                <w:rFonts w:ascii="TitilliumText25L" w:hAnsi="TitilliumText25L"/>
                <w:sz w:val="24"/>
                <w:szCs w:val="24"/>
              </w:rPr>
            </w:pPr>
            <w:r w:rsidRPr="003032D8">
              <w:rPr>
                <w:rFonts w:ascii="TitilliumText25L" w:hAnsi="TitilliumText25L" w:cs="Arial"/>
                <w:b/>
                <w:bCs/>
                <w:color w:val="282828"/>
                <w:sz w:val="20"/>
                <w:szCs w:val="20"/>
              </w:rPr>
              <w:t>Da</w:t>
            </w:r>
            <w:r w:rsidRPr="003032D8">
              <w:rPr>
                <w:rFonts w:ascii="TitilliumText25L" w:hAnsi="TitilliumText25L" w:cs="Arial"/>
                <w:b/>
                <w:bCs/>
                <w:color w:val="282828"/>
                <w:spacing w:val="-1"/>
                <w:sz w:val="20"/>
                <w:szCs w:val="20"/>
              </w:rPr>
              <w:t>t</w:t>
            </w:r>
            <w:r w:rsidRPr="003032D8">
              <w:rPr>
                <w:rFonts w:ascii="TitilliumText25L" w:hAnsi="TitilliumText25L" w:cs="Arial"/>
                <w:b/>
                <w:bCs/>
                <w:color w:val="282828"/>
                <w:sz w:val="20"/>
                <w:szCs w:val="20"/>
              </w:rPr>
              <w:t>e</w:t>
            </w:r>
          </w:p>
        </w:tc>
      </w:tr>
      <w:tr w:rsidR="00BE3BE3" w:rsidRPr="003032D8" w:rsidTr="00D65937">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74" w:after="0"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indica</w:t>
            </w:r>
            <w:r w:rsidRPr="003032D8">
              <w:rPr>
                <w:rFonts w:ascii="TitilliumText25L" w:hAnsi="TitilliumText25L" w:cs="Arial"/>
                <w:color w:val="282828"/>
                <w:spacing w:val="-1"/>
              </w:rPr>
              <w:t>ti</w:t>
            </w:r>
            <w:r w:rsidRPr="003032D8">
              <w:rPr>
                <w:rFonts w:ascii="TitilliumText25L" w:hAnsi="TitilliumText25L" w:cs="Arial"/>
                <w:color w:val="282828"/>
              </w:rPr>
              <w:t>ons</w:t>
            </w:r>
            <w:r w:rsidRPr="003032D8">
              <w:rPr>
                <w:rFonts w:ascii="TitilliumText25L" w:hAnsi="TitilliumText25L" w:cs="Arial"/>
                <w:color w:val="282828"/>
                <w:spacing w:val="-5"/>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co</w:t>
            </w:r>
            <w:r w:rsidRPr="003032D8">
              <w:rPr>
                <w:rFonts w:ascii="TitilliumText25L" w:hAnsi="TitilliumText25L" w:cs="Arial"/>
                <w:color w:val="282828"/>
                <w:spacing w:val="-1"/>
              </w:rPr>
              <w:t>n</w:t>
            </w:r>
            <w:r w:rsidRPr="003032D8">
              <w:rPr>
                <w:rFonts w:ascii="TitilliumText25L" w:hAnsi="TitilliumText25L" w:cs="Arial"/>
                <w:color w:val="282828"/>
              </w:rPr>
              <w:t>traindicatio</w:t>
            </w:r>
            <w:r w:rsidRPr="003032D8">
              <w:rPr>
                <w:rFonts w:ascii="TitilliumText25L" w:hAnsi="TitilliumText25L" w:cs="Arial"/>
                <w:color w:val="282828"/>
                <w:spacing w:val="-1"/>
              </w:rPr>
              <w:t>n</w:t>
            </w:r>
            <w:r w:rsidRPr="003032D8">
              <w:rPr>
                <w:rFonts w:ascii="TitilliumText25L" w:hAnsi="TitilliumText25L" w:cs="Arial"/>
                <w:color w:val="282828"/>
              </w:rPr>
              <w:t>s</w:t>
            </w:r>
            <w:r w:rsidRPr="003032D8">
              <w:rPr>
                <w:rFonts w:ascii="TitilliumText25L" w:hAnsi="TitilliumText25L" w:cs="Arial"/>
                <w:color w:val="282828"/>
                <w:spacing w:val="-2"/>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use</w:t>
            </w:r>
            <w:r w:rsidRPr="003032D8">
              <w:rPr>
                <w:rFonts w:ascii="TitilliumText25L" w:hAnsi="TitilliumText25L" w:cs="Arial"/>
                <w:color w:val="282828"/>
                <w:spacing w:val="-4"/>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Intraoperative</w:t>
            </w:r>
            <w:r w:rsidRPr="003032D8">
              <w:rPr>
                <w:rFonts w:ascii="TitilliumText25L" w:hAnsi="TitilliumText25L" w:cs="Arial"/>
                <w:color w:val="282828"/>
                <w:spacing w:val="-12"/>
              </w:rPr>
              <w:t xml:space="preserve"> </w:t>
            </w:r>
            <w:r w:rsidRPr="003032D8">
              <w:rPr>
                <w:rFonts w:ascii="TitilliumText25L" w:hAnsi="TitilliumText25L" w:cs="Arial"/>
                <w:color w:val="282828"/>
              </w:rPr>
              <w:t>Cell Salvage</w:t>
            </w:r>
            <w:r w:rsidRPr="003032D8">
              <w:rPr>
                <w:rFonts w:ascii="TitilliumText25L" w:hAnsi="TitilliumText25L" w:cs="Arial"/>
                <w:color w:val="282828"/>
                <w:spacing w:val="-13"/>
              </w:rPr>
              <w:t xml:space="preserve"> </w:t>
            </w:r>
            <w:r w:rsidRPr="003032D8">
              <w:rPr>
                <w:rFonts w:ascii="TitilliumText25L" w:hAnsi="TitilliumText25L" w:cs="Arial"/>
                <w:color w:val="282828"/>
              </w:rPr>
              <w:t>(ICS).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907"/>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1" w:after="0" w:line="240" w:lineRule="auto"/>
              <w:ind w:left="170" w:right="317"/>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role</w:t>
            </w:r>
            <w:r w:rsidRPr="003032D8">
              <w:rPr>
                <w:rFonts w:ascii="TitilliumText25L" w:hAnsi="TitilliumText25L" w:cs="Arial"/>
                <w:color w:val="282828"/>
                <w:spacing w:val="-3"/>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t</w:t>
            </w:r>
            <w:r w:rsidRPr="003032D8">
              <w:rPr>
                <w:rFonts w:ascii="TitilliumText25L" w:hAnsi="TitilliumText25L" w:cs="Arial"/>
                <w:color w:val="282828"/>
              </w:rPr>
              <w:t>he</w:t>
            </w:r>
            <w:r w:rsidRPr="003032D8">
              <w:rPr>
                <w:rFonts w:ascii="TitilliumText25L" w:hAnsi="TitilliumText25L" w:cs="Arial"/>
                <w:color w:val="282828"/>
                <w:spacing w:val="-2"/>
              </w:rPr>
              <w:t xml:space="preserve"> </w:t>
            </w:r>
            <w:r w:rsidRPr="003032D8">
              <w:rPr>
                <w:rFonts w:ascii="TitilliumText25L" w:hAnsi="TitilliumText25L" w:cs="Arial"/>
                <w:color w:val="282828"/>
              </w:rPr>
              <w:t>individual</w:t>
            </w:r>
            <w:r w:rsidRPr="003032D8">
              <w:rPr>
                <w:rFonts w:ascii="TitilliumText25L" w:hAnsi="TitilliumText25L" w:cs="Arial"/>
                <w:color w:val="282828"/>
                <w:spacing w:val="-8"/>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operating</w:t>
            </w:r>
            <w:r w:rsidRPr="003032D8">
              <w:rPr>
                <w:rFonts w:ascii="TitilliumText25L" w:hAnsi="TitilliumText25L" w:cs="Arial"/>
                <w:color w:val="282828"/>
                <w:spacing w:val="-9"/>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monitoring</w:t>
            </w:r>
            <w:r w:rsidRPr="003032D8">
              <w:rPr>
                <w:rFonts w:ascii="TitilliumText25L" w:hAnsi="TitilliumText25L" w:cs="Arial"/>
                <w:color w:val="282828"/>
                <w:spacing w:val="-9"/>
              </w:rPr>
              <w:t xml:space="preserve"> </w:t>
            </w:r>
            <w:r w:rsidRPr="003032D8">
              <w:rPr>
                <w:rFonts w:ascii="TitilliumText25L" w:hAnsi="TitilliumText25L" w:cs="Arial"/>
                <w:color w:val="282828"/>
              </w:rPr>
              <w:t>equipment</w:t>
            </w:r>
            <w:r w:rsidRPr="003032D8">
              <w:rPr>
                <w:rFonts w:ascii="TitilliumText25L" w:hAnsi="TitilliumText25L" w:cs="Arial"/>
                <w:color w:val="282828"/>
                <w:spacing w:val="-9"/>
              </w:rPr>
              <w:t xml:space="preserve"> </w:t>
            </w:r>
            <w:r w:rsidRPr="003032D8">
              <w:rPr>
                <w:rFonts w:ascii="TitilliumText25L" w:hAnsi="TitilliumText25L" w:cs="Arial"/>
                <w:color w:val="282828"/>
                <w:w w:val="99"/>
              </w:rPr>
              <w:t>for processing</w:t>
            </w:r>
            <w:r w:rsidRPr="003032D8">
              <w:rPr>
                <w:rFonts w:ascii="TitilliumText25L" w:hAnsi="TitilliumText25L" w:cs="Arial"/>
                <w:color w:val="282828"/>
                <w:spacing w:val="-2"/>
              </w:rPr>
              <w:t xml:space="preserve"> </w:t>
            </w:r>
            <w:r w:rsidRPr="003032D8">
              <w:rPr>
                <w:rFonts w:ascii="TitilliumText25L" w:hAnsi="TitilliumText25L" w:cs="Arial"/>
                <w:color w:val="282828"/>
              </w:rPr>
              <w:t>salvaged</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completing</w:t>
            </w:r>
            <w:r w:rsidRPr="003032D8">
              <w:rPr>
                <w:rFonts w:ascii="TitilliumText25L" w:hAnsi="TitilliumText25L" w:cs="Arial"/>
                <w:color w:val="282828"/>
                <w:spacing w:val="-10"/>
              </w:rPr>
              <w:t xml:space="preserve"> </w:t>
            </w:r>
            <w:r w:rsidRPr="003032D8">
              <w:rPr>
                <w:rFonts w:ascii="TitilliumText25L" w:hAnsi="TitilliumText25L" w:cs="Arial"/>
                <w:color w:val="282828"/>
              </w:rPr>
              <w:t>salvag</w:t>
            </w:r>
            <w:r w:rsidRPr="003032D8">
              <w:rPr>
                <w:rFonts w:ascii="TitilliumText25L" w:hAnsi="TitilliumText25L" w:cs="Arial"/>
                <w:color w:val="282828"/>
                <w:spacing w:val="-1"/>
              </w:rPr>
              <w:t>e</w:t>
            </w:r>
            <w:r w:rsidRPr="003032D8">
              <w:rPr>
                <w:rFonts w:ascii="TitilliumText25L" w:hAnsi="TitilliumText25L" w:cs="Arial"/>
                <w:color w:val="282828"/>
              </w:rPr>
              <w:t>d</w:t>
            </w:r>
            <w:r w:rsidRPr="003032D8">
              <w:rPr>
                <w:rFonts w:ascii="TitilliumText25L" w:hAnsi="TitilliumText25L" w:cs="Arial"/>
                <w:color w:val="282828"/>
                <w:spacing w:val="-6"/>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processing</w:t>
            </w:r>
            <w:r w:rsidRPr="003032D8">
              <w:rPr>
                <w:rFonts w:ascii="TitilliumText25L" w:hAnsi="TitilliumText25L" w:cs="Arial"/>
                <w:color w:val="282828"/>
                <w:spacing w:val="-10"/>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how this</w:t>
            </w:r>
            <w:r w:rsidRPr="003032D8">
              <w:rPr>
                <w:rFonts w:ascii="TitilliumText25L" w:hAnsi="TitilliumText25L" w:cs="Arial"/>
                <w:color w:val="282828"/>
                <w:spacing w:val="-3"/>
              </w:rPr>
              <w:t xml:space="preserve"> </w:t>
            </w:r>
            <w:r w:rsidRPr="003032D8">
              <w:rPr>
                <w:rFonts w:ascii="TitilliumText25L" w:hAnsi="TitilliumText25L" w:cs="Arial"/>
                <w:color w:val="282828"/>
              </w:rPr>
              <w:t>relates</w:t>
            </w:r>
            <w:r w:rsidRPr="003032D8">
              <w:rPr>
                <w:rFonts w:ascii="TitilliumText25L" w:hAnsi="TitilliumText25L" w:cs="Arial"/>
                <w:color w:val="282828"/>
                <w:spacing w:val="-6"/>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other</w:t>
            </w:r>
            <w:r w:rsidRPr="003032D8">
              <w:rPr>
                <w:rFonts w:ascii="TitilliumText25L" w:hAnsi="TitilliumText25L" w:cs="Arial"/>
                <w:color w:val="282828"/>
                <w:spacing w:val="-6"/>
              </w:rPr>
              <w:t xml:space="preserve"> </w:t>
            </w:r>
            <w:r w:rsidRPr="003032D8">
              <w:rPr>
                <w:rFonts w:ascii="TitilliumText25L" w:hAnsi="TitilliumText25L" w:cs="Arial"/>
                <w:color w:val="282828"/>
              </w:rPr>
              <w:t>members</w:t>
            </w:r>
            <w:r w:rsidRPr="003032D8">
              <w:rPr>
                <w:rFonts w:ascii="TitilliumText25L" w:hAnsi="TitilliumText25L" w:cs="Arial"/>
                <w:color w:val="282828"/>
                <w:spacing w:val="-8"/>
              </w:rPr>
              <w:t xml:space="preserve"> </w:t>
            </w:r>
            <w:r w:rsidRPr="003032D8">
              <w:rPr>
                <w:rFonts w:ascii="TitilliumText25L" w:hAnsi="TitilliumText25L" w:cs="Arial"/>
                <w:color w:val="282828"/>
              </w:rPr>
              <w:t>of the</w:t>
            </w:r>
            <w:r w:rsidRPr="003032D8">
              <w:rPr>
                <w:rFonts w:ascii="TitilliumText25L" w:hAnsi="TitilliumText25L" w:cs="Arial"/>
                <w:color w:val="282828"/>
                <w:spacing w:val="-3"/>
              </w:rPr>
              <w:t xml:space="preserve"> </w:t>
            </w:r>
            <w:r w:rsidRPr="003032D8">
              <w:rPr>
                <w:rFonts w:ascii="TitilliumText25L" w:hAnsi="TitilliumText25L" w:cs="Arial"/>
                <w:color w:val="282828"/>
              </w:rPr>
              <w:t>theatre</w:t>
            </w:r>
            <w:r w:rsidRPr="003032D8">
              <w:rPr>
                <w:rFonts w:ascii="TitilliumText25L" w:hAnsi="TitilliumText25L" w:cs="Arial"/>
                <w:color w:val="282828"/>
                <w:spacing w:val="-7"/>
              </w:rPr>
              <w:t xml:space="preserve"> </w:t>
            </w:r>
            <w:r w:rsidRPr="003032D8">
              <w:rPr>
                <w:rFonts w:ascii="TitilliumText25L" w:hAnsi="TitilliumText25L" w:cs="Arial"/>
                <w:color w:val="282828"/>
              </w:rPr>
              <w:t>team.</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452"/>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86" w:after="0"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components</w:t>
            </w:r>
            <w:r w:rsidRPr="003032D8">
              <w:rPr>
                <w:rFonts w:ascii="TitilliumText25L" w:hAnsi="TitilliumText25L" w:cs="Arial"/>
                <w:color w:val="282828"/>
                <w:spacing w:val="-11"/>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whole</w:t>
            </w:r>
            <w:r w:rsidRPr="003032D8">
              <w:rPr>
                <w:rFonts w:ascii="TitilliumText25L" w:hAnsi="TitilliumText25L" w:cs="Arial"/>
                <w:color w:val="282828"/>
                <w:spacing w:val="-5"/>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and</w:t>
            </w:r>
            <w:r w:rsidRPr="003032D8">
              <w:rPr>
                <w:rFonts w:ascii="TitilliumText25L" w:hAnsi="TitilliumText25L" w:cs="Arial"/>
                <w:color w:val="282828"/>
                <w:spacing w:val="-4"/>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basis</w:t>
            </w:r>
            <w:r w:rsidRPr="003032D8">
              <w:rPr>
                <w:rFonts w:ascii="TitilliumText25L" w:hAnsi="TitilliumText25L" w:cs="Arial"/>
                <w:color w:val="282828"/>
                <w:spacing w:val="-5"/>
              </w:rPr>
              <w:t xml:space="preserve"> </w:t>
            </w:r>
            <w:r w:rsidRPr="003032D8">
              <w:rPr>
                <w:rFonts w:ascii="TitilliumText25L" w:hAnsi="TitilliumText25L" w:cs="Arial"/>
                <w:color w:val="282828"/>
              </w:rPr>
              <w:t>of</w:t>
            </w:r>
            <w:r w:rsidRPr="003032D8">
              <w:rPr>
                <w:rFonts w:ascii="TitilliumText25L" w:hAnsi="TitilliumText25L" w:cs="Arial"/>
                <w:color w:val="282828"/>
                <w:spacing w:val="-3"/>
              </w:rPr>
              <w:t xml:space="preserve"> </w:t>
            </w:r>
            <w:r w:rsidRPr="003032D8">
              <w:rPr>
                <w:rFonts w:ascii="TitilliumText25L" w:hAnsi="TitilliumText25L" w:cs="Arial"/>
                <w:color w:val="282828"/>
              </w:rPr>
              <w:t>centrifugal</w:t>
            </w:r>
            <w:r w:rsidRPr="003032D8">
              <w:rPr>
                <w:rFonts w:ascii="TitilliumText25L" w:hAnsi="TitilliumText25L" w:cs="Arial"/>
                <w:color w:val="282828"/>
                <w:spacing w:val="-10"/>
              </w:rPr>
              <w:t xml:space="preserve"> </w:t>
            </w:r>
            <w:r w:rsidRPr="003032D8">
              <w:rPr>
                <w:rFonts w:ascii="TitilliumText25L" w:hAnsi="TitilliumText25L" w:cs="Arial"/>
                <w:color w:val="282828"/>
              </w:rPr>
              <w:t>separation.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88" w:after="0"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functio</w:t>
            </w:r>
            <w:r w:rsidRPr="003032D8">
              <w:rPr>
                <w:rFonts w:ascii="TitilliumText25L" w:hAnsi="TitilliumText25L" w:cs="Arial"/>
                <w:color w:val="282828"/>
                <w:spacing w:val="-1"/>
              </w:rPr>
              <w:t>n</w:t>
            </w:r>
            <w:r w:rsidRPr="003032D8">
              <w:rPr>
                <w:rFonts w:ascii="TitilliumText25L" w:hAnsi="TitilliumText25L" w:cs="Arial"/>
                <w:color w:val="282828"/>
              </w:rPr>
              <w:t>s</w:t>
            </w:r>
            <w:r w:rsidRPr="003032D8">
              <w:rPr>
                <w:rFonts w:ascii="TitilliumText25L" w:hAnsi="TitilliumText25L" w:cs="Arial"/>
                <w:color w:val="282828"/>
                <w:spacing w:val="-6"/>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red</w:t>
            </w:r>
            <w:r w:rsidRPr="003032D8">
              <w:rPr>
                <w:rFonts w:ascii="TitilliumText25L" w:hAnsi="TitilliumText25L" w:cs="Arial"/>
                <w:color w:val="282828"/>
                <w:spacing w:val="-3"/>
              </w:rPr>
              <w:t xml:space="preserve"> </w:t>
            </w:r>
            <w:r w:rsidRPr="003032D8">
              <w:rPr>
                <w:rFonts w:ascii="TitilliumText25L" w:hAnsi="TitilliumText25L" w:cs="Arial"/>
                <w:color w:val="282828"/>
              </w:rPr>
              <w:t>cells</w:t>
            </w:r>
            <w:r w:rsidRPr="003032D8">
              <w:rPr>
                <w:rFonts w:ascii="TitilliumText25L" w:hAnsi="TitilliumText25L" w:cs="Arial"/>
                <w:color w:val="282828"/>
                <w:spacing w:val="-4"/>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delivery</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oxyg</w:t>
            </w:r>
            <w:r w:rsidRPr="003032D8">
              <w:rPr>
                <w:rFonts w:ascii="TitilliumText25L" w:hAnsi="TitilliumText25L" w:cs="Arial"/>
                <w:color w:val="282828"/>
                <w:spacing w:val="1"/>
              </w:rPr>
              <w:t>e</w:t>
            </w:r>
            <w:r w:rsidRPr="003032D8">
              <w:rPr>
                <w:rFonts w:ascii="TitilliumText25L" w:hAnsi="TitilliumText25L" w:cs="Arial"/>
                <w:color w:val="282828"/>
              </w:rPr>
              <w:t>n</w:t>
            </w:r>
            <w:r w:rsidRPr="003032D8">
              <w:rPr>
                <w:rFonts w:ascii="TitilliumText25L" w:hAnsi="TitilliumText25L" w:cs="Arial"/>
                <w:color w:val="282828"/>
                <w:spacing w:val="-4"/>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body</w:t>
            </w:r>
            <w:r w:rsidRPr="003032D8">
              <w:rPr>
                <w:rFonts w:ascii="TitilliumText25L" w:hAnsi="TitilliumText25L" w:cs="Arial"/>
                <w:color w:val="282828"/>
                <w:spacing w:val="-4"/>
              </w:rPr>
              <w:t xml:space="preserve"> </w:t>
            </w:r>
            <w:r w:rsidRPr="003032D8">
              <w:rPr>
                <w:rFonts w:ascii="TitilliumText25L" w:hAnsi="TitilliumText25L" w:cs="Arial"/>
                <w:color w:val="282828"/>
              </w:rPr>
              <w:t>tissues.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88" w:after="0"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differe</w:t>
            </w:r>
            <w:r w:rsidRPr="003032D8">
              <w:rPr>
                <w:rFonts w:ascii="TitilliumText25L" w:hAnsi="TitilliumText25L" w:cs="Arial"/>
                <w:color w:val="282828"/>
                <w:spacing w:val="-1"/>
              </w:rPr>
              <w:t>n</w:t>
            </w:r>
            <w:r w:rsidRPr="003032D8">
              <w:rPr>
                <w:rFonts w:ascii="TitilliumText25L" w:hAnsi="TitilliumText25L" w:cs="Arial"/>
                <w:color w:val="282828"/>
              </w:rPr>
              <w:t>ces</w:t>
            </w:r>
            <w:r w:rsidRPr="003032D8">
              <w:rPr>
                <w:rFonts w:ascii="TitilliumText25L" w:hAnsi="TitilliumText25L" w:cs="Arial"/>
                <w:color w:val="282828"/>
                <w:spacing w:val="-6"/>
              </w:rPr>
              <w:t xml:space="preserve"> </w:t>
            </w:r>
            <w:r w:rsidRPr="003032D8">
              <w:rPr>
                <w:rFonts w:ascii="TitilliumText25L" w:hAnsi="TitilliumText25L" w:cs="Arial"/>
                <w:color w:val="282828"/>
              </w:rPr>
              <w:t>betwe</w:t>
            </w:r>
            <w:r w:rsidRPr="003032D8">
              <w:rPr>
                <w:rFonts w:ascii="TitilliumText25L" w:hAnsi="TitilliumText25L" w:cs="Arial"/>
                <w:color w:val="282828"/>
                <w:spacing w:val="-1"/>
              </w:rPr>
              <w:t>e</w:t>
            </w:r>
            <w:r w:rsidRPr="003032D8">
              <w:rPr>
                <w:rFonts w:ascii="TitilliumText25L" w:hAnsi="TitilliumText25L" w:cs="Arial"/>
                <w:color w:val="282828"/>
              </w:rPr>
              <w:t>n</w:t>
            </w:r>
            <w:r w:rsidRPr="003032D8">
              <w:rPr>
                <w:rFonts w:ascii="TitilliumText25L" w:hAnsi="TitilliumText25L" w:cs="Arial"/>
                <w:color w:val="282828"/>
                <w:spacing w:val="-5"/>
              </w:rPr>
              <w:t xml:space="preserve"> </w:t>
            </w:r>
            <w:r w:rsidRPr="003032D8">
              <w:rPr>
                <w:rFonts w:ascii="TitilliumText25L" w:hAnsi="TitilliumText25L" w:cs="Arial"/>
                <w:color w:val="282828"/>
              </w:rPr>
              <w:t>salvaged</w:t>
            </w:r>
            <w:r w:rsidRPr="003032D8">
              <w:rPr>
                <w:rFonts w:ascii="TitilliumText25L" w:hAnsi="TitilliumText25L" w:cs="Arial"/>
                <w:color w:val="282828"/>
                <w:spacing w:val="-8"/>
              </w:rPr>
              <w:t xml:space="preserve"> </w:t>
            </w:r>
            <w:r w:rsidRPr="003032D8">
              <w:rPr>
                <w:rFonts w:ascii="TitilliumText25L" w:hAnsi="TitilliumText25L" w:cs="Arial"/>
                <w:color w:val="282828"/>
              </w:rPr>
              <w:t>red</w:t>
            </w:r>
            <w:r w:rsidRPr="003032D8">
              <w:rPr>
                <w:rFonts w:ascii="TitilliumText25L" w:hAnsi="TitilliumText25L" w:cs="Arial"/>
                <w:color w:val="282828"/>
                <w:spacing w:val="-3"/>
              </w:rPr>
              <w:t xml:space="preserve"> </w:t>
            </w:r>
            <w:r w:rsidRPr="003032D8">
              <w:rPr>
                <w:rFonts w:ascii="TitilliumText25L" w:hAnsi="TitilliumText25L" w:cs="Arial"/>
                <w:color w:val="282828"/>
              </w:rPr>
              <w:t>cells</w:t>
            </w:r>
            <w:r w:rsidRPr="003032D8">
              <w:rPr>
                <w:rFonts w:ascii="TitilliumText25L" w:hAnsi="TitilliumText25L" w:cs="Arial"/>
                <w:color w:val="282828"/>
                <w:spacing w:val="-5"/>
              </w:rPr>
              <w:t xml:space="preserve"> </w:t>
            </w:r>
            <w:r w:rsidRPr="003032D8">
              <w:rPr>
                <w:rFonts w:ascii="TitilliumText25L" w:hAnsi="TitilliumText25L" w:cs="Arial"/>
                <w:color w:val="282828"/>
              </w:rPr>
              <w:t>and</w:t>
            </w:r>
            <w:r w:rsidRPr="003032D8">
              <w:rPr>
                <w:rFonts w:ascii="TitilliumText25L" w:hAnsi="TitilliumText25L" w:cs="Arial"/>
                <w:color w:val="282828"/>
                <w:spacing w:val="-4"/>
              </w:rPr>
              <w:t xml:space="preserve"> </w:t>
            </w:r>
            <w:r w:rsidRPr="003032D8">
              <w:rPr>
                <w:rFonts w:ascii="TitilliumText25L" w:hAnsi="TitilliumText25L" w:cs="Arial"/>
                <w:color w:val="282828"/>
              </w:rPr>
              <w:t>whole</w:t>
            </w:r>
            <w:r w:rsidRPr="003032D8">
              <w:rPr>
                <w:rFonts w:ascii="TitilliumText25L" w:hAnsi="TitilliumText25L" w:cs="Arial"/>
                <w:color w:val="282828"/>
                <w:spacing w:val="-5"/>
              </w:rPr>
              <w:t xml:space="preserve"> </w:t>
            </w:r>
            <w:r w:rsidRPr="003032D8">
              <w:rPr>
                <w:rFonts w:ascii="TitilliumText25L" w:hAnsi="TitilliumText25L" w:cs="Arial"/>
                <w:color w:val="282828"/>
              </w:rPr>
              <w:t>blo</w:t>
            </w:r>
            <w:r w:rsidRPr="003032D8">
              <w:rPr>
                <w:rFonts w:ascii="TitilliumText25L" w:hAnsi="TitilliumText25L" w:cs="Arial"/>
                <w:color w:val="282828"/>
                <w:spacing w:val="-1"/>
              </w:rPr>
              <w:t>o</w:t>
            </w:r>
            <w:r w:rsidRPr="003032D8">
              <w:rPr>
                <w:rFonts w:ascii="TitilliumText25L" w:hAnsi="TitilliumText25L" w:cs="Arial"/>
                <w:color w:val="282828"/>
              </w:rPr>
              <w:t>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74" w:after="0" w:line="240" w:lineRule="auto"/>
              <w:ind w:left="170" w:right="267"/>
              <w:rPr>
                <w:rFonts w:ascii="TitilliumText25L" w:hAnsi="TitilliumText25L"/>
                <w:sz w:val="24"/>
                <w:szCs w:val="24"/>
              </w:rPr>
            </w:pPr>
            <w:r w:rsidRPr="003032D8">
              <w:rPr>
                <w:rFonts w:ascii="TitilliumText25L" w:hAnsi="TitilliumText25L" w:cs="Arial"/>
                <w:color w:val="282828"/>
              </w:rPr>
              <w:t>Factors</w:t>
            </w:r>
            <w:r w:rsidRPr="003032D8">
              <w:rPr>
                <w:rFonts w:ascii="TitilliumText25L" w:hAnsi="TitilliumText25L" w:cs="Arial"/>
                <w:color w:val="282828"/>
                <w:spacing w:val="-13"/>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b</w:t>
            </w:r>
            <w:r w:rsidRPr="003032D8">
              <w:rPr>
                <w:rFonts w:ascii="TitilliumText25L" w:hAnsi="TitilliumText25L" w:cs="Arial"/>
                <w:color w:val="282828"/>
              </w:rPr>
              <w:t>e</w:t>
            </w:r>
            <w:r w:rsidRPr="003032D8">
              <w:rPr>
                <w:rFonts w:ascii="TitilliumText25L" w:hAnsi="TitilliumText25L" w:cs="Arial"/>
                <w:color w:val="282828"/>
                <w:spacing w:val="-1"/>
              </w:rPr>
              <w:t xml:space="preserve"> </w:t>
            </w:r>
            <w:r w:rsidRPr="003032D8">
              <w:rPr>
                <w:rFonts w:ascii="TitilliumText25L" w:hAnsi="TitilliumText25L" w:cs="Arial"/>
                <w:color w:val="282828"/>
              </w:rPr>
              <w:t>consider</w:t>
            </w:r>
            <w:r w:rsidRPr="003032D8">
              <w:rPr>
                <w:rFonts w:ascii="TitilliumText25L" w:hAnsi="TitilliumText25L" w:cs="Arial"/>
                <w:color w:val="282828"/>
                <w:spacing w:val="-1"/>
              </w:rPr>
              <w:t>e</w:t>
            </w:r>
            <w:r w:rsidRPr="003032D8">
              <w:rPr>
                <w:rFonts w:ascii="TitilliumText25L" w:hAnsi="TitilliumText25L" w:cs="Arial"/>
                <w:color w:val="282828"/>
              </w:rPr>
              <w:t>d</w:t>
            </w:r>
            <w:r w:rsidRPr="003032D8">
              <w:rPr>
                <w:rFonts w:ascii="TitilliumText25L" w:hAnsi="TitilliumText25L" w:cs="Arial"/>
                <w:color w:val="282828"/>
                <w:spacing w:val="-8"/>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decision</w:t>
            </w:r>
            <w:r w:rsidRPr="003032D8">
              <w:rPr>
                <w:rFonts w:ascii="TitilliumText25L" w:hAnsi="TitilliumText25L" w:cs="Arial"/>
                <w:color w:val="282828"/>
                <w:spacing w:val="-7"/>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proceed</w:t>
            </w:r>
            <w:r w:rsidRPr="003032D8">
              <w:rPr>
                <w:rFonts w:ascii="TitilliumText25L" w:hAnsi="TitilliumText25L" w:cs="Arial"/>
                <w:color w:val="282828"/>
                <w:spacing w:val="-7"/>
              </w:rPr>
              <w:t xml:space="preserve"> </w:t>
            </w:r>
            <w:r w:rsidRPr="003032D8">
              <w:rPr>
                <w:rFonts w:ascii="TitilliumText25L" w:hAnsi="TitilliumText25L" w:cs="Arial"/>
                <w:color w:val="282828"/>
              </w:rPr>
              <w:t>with</w:t>
            </w:r>
            <w:r w:rsidRPr="003032D8">
              <w:rPr>
                <w:rFonts w:ascii="TitilliumText25L" w:hAnsi="TitilliumText25L" w:cs="Arial"/>
                <w:color w:val="282828"/>
                <w:spacing w:val="-4"/>
              </w:rPr>
              <w:t xml:space="preserve"> </w:t>
            </w:r>
            <w:r w:rsidRPr="003032D8">
              <w:rPr>
                <w:rFonts w:ascii="TitilliumText25L" w:hAnsi="TitilliumText25L" w:cs="Arial"/>
                <w:color w:val="282828"/>
              </w:rPr>
              <w:t>processing</w:t>
            </w:r>
            <w:r w:rsidRPr="003032D8">
              <w:rPr>
                <w:rFonts w:ascii="TitilliumText25L" w:hAnsi="TitilliumText25L" w:cs="Arial"/>
                <w:color w:val="282828"/>
                <w:spacing w:val="-11"/>
              </w:rPr>
              <w:t xml:space="preserve"> </w:t>
            </w:r>
            <w:r w:rsidRPr="003032D8">
              <w:rPr>
                <w:rFonts w:ascii="TitilliumText25L" w:hAnsi="TitilliumText25L" w:cs="Arial"/>
                <w:color w:val="282828"/>
              </w:rPr>
              <w:t>the reservoir contents.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397"/>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types,</w:t>
            </w:r>
            <w:r w:rsidRPr="003032D8">
              <w:rPr>
                <w:rFonts w:ascii="TitilliumText25L" w:hAnsi="TitilliumText25L" w:cs="Arial"/>
                <w:color w:val="282828"/>
                <w:spacing w:val="-5"/>
              </w:rPr>
              <w:t xml:space="preserve"> </w:t>
            </w:r>
            <w:r w:rsidRPr="003032D8">
              <w:rPr>
                <w:rFonts w:ascii="TitilliumText25L" w:hAnsi="TitilliumText25L" w:cs="Arial"/>
                <w:color w:val="282828"/>
              </w:rPr>
              <w:t>purpose</w:t>
            </w:r>
            <w:r w:rsidRPr="003032D8">
              <w:rPr>
                <w:rFonts w:ascii="TitilliumText25L" w:hAnsi="TitilliumText25L" w:cs="Arial"/>
                <w:color w:val="282828"/>
                <w:spacing w:val="-7"/>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spacing w:val="-1"/>
              </w:rPr>
              <w:t>f</w:t>
            </w:r>
            <w:r w:rsidRPr="003032D8">
              <w:rPr>
                <w:rFonts w:ascii="TitilliumText25L" w:hAnsi="TitilliumText25L" w:cs="Arial"/>
                <w:color w:val="282828"/>
              </w:rPr>
              <w:t>unction</w:t>
            </w:r>
            <w:r w:rsidRPr="003032D8">
              <w:rPr>
                <w:rFonts w:ascii="TitilliumText25L" w:hAnsi="TitilliumText25L" w:cs="Arial"/>
                <w:color w:val="282828"/>
                <w:spacing w:val="-6"/>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I</w:t>
            </w:r>
            <w:r w:rsidRPr="003032D8">
              <w:rPr>
                <w:rFonts w:ascii="TitilliumText25L" w:hAnsi="TitilliumText25L" w:cs="Arial"/>
                <w:color w:val="282828"/>
              </w:rPr>
              <w:t>CS</w:t>
            </w:r>
            <w:r w:rsidRPr="003032D8">
              <w:rPr>
                <w:rFonts w:ascii="TitilliumText25L" w:hAnsi="TitilliumText25L" w:cs="Arial"/>
                <w:color w:val="282828"/>
                <w:spacing w:val="-3"/>
              </w:rPr>
              <w:t xml:space="preserve"> </w:t>
            </w:r>
            <w:r w:rsidRPr="003032D8">
              <w:rPr>
                <w:rFonts w:ascii="TitilliumText25L" w:hAnsi="TitilliumText25L" w:cs="Arial"/>
                <w:color w:val="282828"/>
              </w:rPr>
              <w:t>machin</w:t>
            </w:r>
            <w:r w:rsidRPr="003032D8">
              <w:rPr>
                <w:rFonts w:ascii="TitilliumText25L" w:hAnsi="TitilliumText25L" w:cs="Arial"/>
                <w:color w:val="282828"/>
                <w:spacing w:val="1"/>
              </w:rPr>
              <w:t>e</w:t>
            </w:r>
            <w:r w:rsidRPr="003032D8">
              <w:rPr>
                <w:rFonts w:ascii="TitilliumText25L" w:hAnsi="TitilliumText25L" w:cs="Arial"/>
                <w:color w:val="282828"/>
              </w:rPr>
              <w:t>s</w:t>
            </w:r>
            <w:r w:rsidRPr="003032D8">
              <w:rPr>
                <w:rFonts w:ascii="TitilliumText25L" w:hAnsi="TitilliumText25L" w:cs="Arial"/>
                <w:color w:val="282828"/>
                <w:spacing w:val="-5"/>
              </w:rPr>
              <w:t xml:space="preserve"> </w:t>
            </w:r>
            <w:r w:rsidRPr="003032D8">
              <w:rPr>
                <w:rFonts w:ascii="TitilliumText25L" w:hAnsi="TitilliumText25L" w:cs="Arial"/>
                <w:color w:val="282828"/>
              </w:rPr>
              <w:t>within</w:t>
            </w:r>
            <w:r w:rsidRPr="003032D8">
              <w:rPr>
                <w:rFonts w:ascii="TitilliumText25L" w:hAnsi="TitilliumText25L" w:cs="Arial"/>
                <w:color w:val="282828"/>
                <w:spacing w:val="-5"/>
              </w:rPr>
              <w:t xml:space="preserve"> </w:t>
            </w:r>
            <w:r w:rsidRPr="003032D8">
              <w:rPr>
                <w:rFonts w:ascii="TitilliumText25L" w:hAnsi="TitilliumText25L" w:cs="Arial"/>
                <w:color w:val="282828"/>
              </w:rPr>
              <w:t>your</w:t>
            </w:r>
            <w:r w:rsidRPr="003032D8">
              <w:rPr>
                <w:rFonts w:ascii="TitilliumText25L" w:hAnsi="TitilliumText25L" w:cs="Arial"/>
                <w:color w:val="282828"/>
                <w:spacing w:val="-4"/>
              </w:rPr>
              <w:t xml:space="preserve"> </w:t>
            </w:r>
            <w:r w:rsidRPr="003032D8">
              <w:rPr>
                <w:rFonts w:ascii="TitilliumText25L" w:hAnsi="TitilliumText25L" w:cs="Arial"/>
                <w:color w:val="282828"/>
              </w:rPr>
              <w:t>work</w:t>
            </w:r>
            <w:r w:rsidRPr="003032D8">
              <w:rPr>
                <w:rFonts w:ascii="TitilliumText25L" w:hAnsi="TitilliumText25L" w:cs="Arial"/>
                <w:color w:val="282828"/>
                <w:spacing w:val="-4"/>
              </w:rPr>
              <w:t xml:space="preserve"> </w:t>
            </w:r>
            <w:r w:rsidRPr="003032D8">
              <w:rPr>
                <w:rFonts w:ascii="TitilliumText25L" w:hAnsi="TitilliumText25L" w:cs="Arial"/>
                <w:color w:val="282828"/>
              </w:rPr>
              <w:t>area.</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66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7" w:after="0"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rationale</w:t>
            </w:r>
            <w:r w:rsidRPr="003032D8">
              <w:rPr>
                <w:rFonts w:ascii="TitilliumText25L" w:hAnsi="TitilliumText25L" w:cs="Arial"/>
                <w:color w:val="282828"/>
                <w:spacing w:val="-8"/>
              </w:rPr>
              <w:t xml:space="preserve"> </w:t>
            </w:r>
            <w:r w:rsidRPr="003032D8">
              <w:rPr>
                <w:rFonts w:ascii="TitilliumText25L" w:hAnsi="TitilliumText25L" w:cs="Arial"/>
                <w:color w:val="282828"/>
              </w:rPr>
              <w:t>behind</w:t>
            </w:r>
            <w:r w:rsidRPr="003032D8">
              <w:rPr>
                <w:rFonts w:ascii="TitilliumText25L" w:hAnsi="TitilliumText25L" w:cs="Arial"/>
                <w:color w:val="282828"/>
                <w:spacing w:val="-6"/>
              </w:rPr>
              <w:t xml:space="preserve"> </w:t>
            </w:r>
            <w:r w:rsidRPr="003032D8">
              <w:rPr>
                <w:rFonts w:ascii="TitilliumText25L" w:hAnsi="TitilliumText25L" w:cs="Arial"/>
                <w:color w:val="282828"/>
              </w:rPr>
              <w:t>the</w:t>
            </w:r>
            <w:r w:rsidRPr="003032D8">
              <w:rPr>
                <w:rFonts w:ascii="TitilliumText25L" w:hAnsi="TitilliumText25L" w:cs="Arial"/>
                <w:color w:val="282828"/>
                <w:spacing w:val="-4"/>
              </w:rPr>
              <w:t xml:space="preserve"> </w:t>
            </w:r>
            <w:r w:rsidRPr="003032D8">
              <w:rPr>
                <w:rFonts w:ascii="TitilliumText25L" w:hAnsi="TitilliumText25L" w:cs="Arial"/>
                <w:color w:val="282828"/>
              </w:rPr>
              <w:t>choices</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3"/>
              </w:rPr>
              <w:t xml:space="preserve"> </w:t>
            </w:r>
            <w:r w:rsidRPr="003032D8">
              <w:rPr>
                <w:rFonts w:ascii="TitilliumText25L" w:hAnsi="TitilliumText25L" w:cs="Arial"/>
                <w:color w:val="282828"/>
              </w:rPr>
              <w:t>machine</w:t>
            </w:r>
            <w:r w:rsidRPr="003032D8">
              <w:rPr>
                <w:rFonts w:ascii="TitilliumText25L" w:hAnsi="TitilliumText25L" w:cs="Arial"/>
                <w:color w:val="282828"/>
                <w:spacing w:val="-8"/>
              </w:rPr>
              <w:t xml:space="preserve"> </w:t>
            </w:r>
            <w:r w:rsidRPr="003032D8">
              <w:rPr>
                <w:rFonts w:ascii="TitilliumText25L" w:hAnsi="TitilliumText25L" w:cs="Arial"/>
                <w:color w:val="282828"/>
              </w:rPr>
              <w:t>programme</w:t>
            </w:r>
            <w:r w:rsidRPr="003032D8">
              <w:rPr>
                <w:rFonts w:ascii="TitilliumText25L" w:hAnsi="TitilliumText25L" w:cs="Arial"/>
                <w:color w:val="282828"/>
                <w:spacing w:val="-10"/>
              </w:rPr>
              <w:t xml:space="preserve"> </w:t>
            </w:r>
            <w:r w:rsidRPr="003032D8">
              <w:rPr>
                <w:rFonts w:ascii="TitilliumText25L" w:hAnsi="TitilliumText25L" w:cs="Arial"/>
                <w:color w:val="282828"/>
              </w:rPr>
              <w:t>for ICS machines</w:t>
            </w:r>
            <w:r w:rsidRPr="003032D8">
              <w:rPr>
                <w:rFonts w:ascii="TitilliumText25L" w:hAnsi="TitilliumText25L" w:cs="Arial"/>
                <w:color w:val="282828"/>
                <w:spacing w:val="-15"/>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use</w:t>
            </w:r>
            <w:r w:rsidRPr="003032D8">
              <w:rPr>
                <w:rFonts w:ascii="TitilliumText25L" w:hAnsi="TitilliumText25L" w:cs="Arial"/>
                <w:color w:val="282828"/>
                <w:spacing w:val="-3"/>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4"/>
              </w:rPr>
              <w:t xml:space="preserve"> </w:t>
            </w:r>
            <w:r w:rsidRPr="003032D8">
              <w:rPr>
                <w:rFonts w:ascii="TitilliumText25L" w:hAnsi="TitilliumText25L" w:cs="Arial"/>
                <w:color w:val="282828"/>
              </w:rPr>
              <w:t>work</w:t>
            </w:r>
            <w:r w:rsidRPr="003032D8">
              <w:rPr>
                <w:rFonts w:ascii="TitilliumText25L" w:hAnsi="TitilliumText25L" w:cs="Arial"/>
                <w:color w:val="282828"/>
                <w:spacing w:val="-4"/>
              </w:rPr>
              <w:t xml:space="preserve"> </w:t>
            </w:r>
            <w:r w:rsidRPr="003032D8">
              <w:rPr>
                <w:rFonts w:ascii="TitilliumText25L" w:hAnsi="TitilliumText25L" w:cs="Arial"/>
                <w:color w:val="282828"/>
              </w:rPr>
              <w:t>area.</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88" w:after="0" w:line="240" w:lineRule="auto"/>
              <w:ind w:left="170"/>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purpose</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collection</w:t>
            </w:r>
            <w:r w:rsidRPr="003032D8">
              <w:rPr>
                <w:rFonts w:ascii="TitilliumText25L" w:hAnsi="TitilliumText25L" w:cs="Arial"/>
                <w:color w:val="282828"/>
                <w:spacing w:val="-8"/>
              </w:rPr>
              <w:t xml:space="preserve"> </w:t>
            </w:r>
            <w:r w:rsidRPr="003032D8">
              <w:rPr>
                <w:rFonts w:ascii="TitilliumText25L" w:hAnsi="TitilliumText25L" w:cs="Arial"/>
                <w:color w:val="282828"/>
              </w:rPr>
              <w:t>equi</w:t>
            </w:r>
            <w:r w:rsidRPr="003032D8">
              <w:rPr>
                <w:rFonts w:ascii="TitilliumText25L" w:hAnsi="TitilliumText25L" w:cs="Arial"/>
                <w:color w:val="282828"/>
                <w:spacing w:val="-1"/>
              </w:rPr>
              <w:t>pm</w:t>
            </w:r>
            <w:r w:rsidRPr="003032D8">
              <w:rPr>
                <w:rFonts w:ascii="TitilliumText25L" w:hAnsi="TitilliumText25L" w:cs="Arial"/>
                <w:color w:val="282828"/>
              </w:rPr>
              <w:t>ent</w:t>
            </w:r>
            <w:r w:rsidRPr="003032D8">
              <w:rPr>
                <w:rFonts w:ascii="TitilliumText25L" w:hAnsi="TitilliumText25L" w:cs="Arial"/>
                <w:color w:val="282828"/>
                <w:spacing w:val="-4"/>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processing</w:t>
            </w:r>
            <w:r w:rsidRPr="003032D8">
              <w:rPr>
                <w:rFonts w:ascii="TitilliumText25L" w:hAnsi="TitilliumText25L" w:cs="Arial"/>
                <w:color w:val="282828"/>
                <w:spacing w:val="-11"/>
              </w:rPr>
              <w:t xml:space="preserve"> </w:t>
            </w:r>
            <w:r w:rsidRPr="003032D8">
              <w:rPr>
                <w:rFonts w:ascii="TitilliumText25L" w:hAnsi="TitilliumText25L" w:cs="Arial"/>
                <w:color w:val="282828"/>
              </w:rPr>
              <w:t>e</w:t>
            </w:r>
            <w:r w:rsidRPr="003032D8">
              <w:rPr>
                <w:rFonts w:ascii="TitilliumText25L" w:hAnsi="TitilliumText25L" w:cs="Arial"/>
                <w:color w:val="282828"/>
                <w:spacing w:val="-1"/>
              </w:rPr>
              <w:t>q</w:t>
            </w:r>
            <w:r w:rsidRPr="003032D8">
              <w:rPr>
                <w:rFonts w:ascii="TitilliumText25L" w:hAnsi="TitilliumText25L" w:cs="Arial"/>
                <w:color w:val="282828"/>
              </w:rPr>
              <w:t>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r w:rsidR="00BE3BE3" w:rsidRPr="003032D8" w:rsidTr="00D65937">
        <w:trPr>
          <w:trHeight w:hRule="exact" w:val="72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00" w:after="0" w:line="240" w:lineRule="auto"/>
              <w:ind w:left="170" w:right="145"/>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effects</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citrate</w:t>
            </w:r>
            <w:r w:rsidRPr="003032D8">
              <w:rPr>
                <w:rFonts w:ascii="TitilliumText25L" w:hAnsi="TitilliumText25L" w:cs="Arial"/>
                <w:color w:val="282828"/>
                <w:spacing w:val="-5"/>
              </w:rPr>
              <w:t xml:space="preserve"> </w:t>
            </w:r>
            <w:r w:rsidRPr="003032D8">
              <w:rPr>
                <w:rFonts w:ascii="TitilliumText25L" w:hAnsi="TitilliumText25L" w:cs="Arial"/>
                <w:color w:val="282828"/>
              </w:rPr>
              <w:t>or</w:t>
            </w:r>
            <w:r w:rsidRPr="003032D8">
              <w:rPr>
                <w:rFonts w:ascii="TitilliumText25L" w:hAnsi="TitilliumText25L" w:cs="Arial"/>
                <w:color w:val="282828"/>
                <w:spacing w:val="-3"/>
              </w:rPr>
              <w:t xml:space="preserve"> </w:t>
            </w:r>
            <w:r w:rsidRPr="003032D8">
              <w:rPr>
                <w:rFonts w:ascii="TitilliumText25L" w:hAnsi="TitilliumText25L" w:cs="Arial"/>
                <w:color w:val="282828"/>
              </w:rPr>
              <w:t>heparin</w:t>
            </w:r>
            <w:r w:rsidRPr="003032D8">
              <w:rPr>
                <w:rFonts w:ascii="TitilliumText25L" w:hAnsi="TitilliumText25L" w:cs="Arial"/>
                <w:color w:val="282828"/>
                <w:spacing w:val="-7"/>
              </w:rPr>
              <w:t xml:space="preserve"> </w:t>
            </w:r>
            <w:r w:rsidRPr="003032D8">
              <w:rPr>
                <w:rFonts w:ascii="TitilliumText25L" w:hAnsi="TitilliumText25L" w:cs="Arial"/>
                <w:color w:val="282828"/>
              </w:rPr>
              <w:t>anticoagulant</w:t>
            </w:r>
            <w:r w:rsidRPr="003032D8">
              <w:rPr>
                <w:rFonts w:ascii="TitilliumText25L" w:hAnsi="TitilliumText25L" w:cs="Arial"/>
                <w:color w:val="282828"/>
                <w:spacing w:val="-12"/>
              </w:rPr>
              <w:t xml:space="preserve"> </w:t>
            </w:r>
            <w:r w:rsidRPr="003032D8">
              <w:rPr>
                <w:rFonts w:ascii="TitilliumText25L" w:hAnsi="TitilliumText25L" w:cs="Arial"/>
                <w:color w:val="282828"/>
                <w:spacing w:val="-1"/>
              </w:rPr>
              <w:t>o</w:t>
            </w:r>
            <w:r w:rsidRPr="003032D8">
              <w:rPr>
                <w:rFonts w:ascii="TitilliumText25L" w:hAnsi="TitilliumText25L" w:cs="Arial"/>
                <w:color w:val="282828"/>
              </w:rPr>
              <w:t>n</w:t>
            </w:r>
            <w:r w:rsidRPr="003032D8">
              <w:rPr>
                <w:rFonts w:ascii="TitilliumText25L" w:hAnsi="TitilliumText25L" w:cs="Arial"/>
                <w:color w:val="282828"/>
                <w:spacing w:val="-1"/>
              </w:rPr>
              <w:t xml:space="preserve"> </w:t>
            </w:r>
            <w:r w:rsidRPr="003032D8">
              <w:rPr>
                <w:rFonts w:ascii="TitilliumText25L" w:hAnsi="TitilliumText25L" w:cs="Arial"/>
                <w:color w:val="282828"/>
              </w:rPr>
              <w:t>salvaged</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t</w:t>
            </w:r>
            <w:r w:rsidRPr="003032D8">
              <w:rPr>
                <w:rFonts w:ascii="TitilliumText25L" w:hAnsi="TitilliumText25L" w:cs="Arial"/>
                <w:color w:val="282828"/>
                <w:spacing w:val="-1"/>
              </w:rPr>
              <w:t>h</w:t>
            </w:r>
            <w:r w:rsidRPr="003032D8">
              <w:rPr>
                <w:rFonts w:ascii="TitilliumText25L" w:hAnsi="TitilliumText25L" w:cs="Arial"/>
                <w:color w:val="282828"/>
              </w:rPr>
              <w:t>e importance of</w:t>
            </w:r>
            <w:r w:rsidRPr="003032D8">
              <w:rPr>
                <w:rFonts w:ascii="TitilliumText25L" w:hAnsi="TitilliumText25L" w:cs="Arial"/>
                <w:color w:val="282828"/>
                <w:spacing w:val="-2"/>
              </w:rPr>
              <w:t xml:space="preserve"> </w:t>
            </w:r>
            <w:r w:rsidRPr="003032D8">
              <w:rPr>
                <w:rFonts w:ascii="TitilliumText25L" w:hAnsi="TitilliumText25L" w:cs="Arial"/>
                <w:color w:val="282828"/>
              </w:rPr>
              <w:t>documenting</w:t>
            </w:r>
            <w:r w:rsidRPr="003032D8">
              <w:rPr>
                <w:rFonts w:ascii="TitilliumText25L" w:hAnsi="TitilliumText25L" w:cs="Arial"/>
                <w:color w:val="282828"/>
                <w:spacing w:val="-11"/>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amount</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antic</w:t>
            </w:r>
            <w:r w:rsidRPr="003032D8">
              <w:rPr>
                <w:rFonts w:ascii="TitilliumText25L" w:hAnsi="TitilliumText25L" w:cs="Arial"/>
                <w:color w:val="282828"/>
                <w:spacing w:val="-1"/>
              </w:rPr>
              <w:t>o</w:t>
            </w:r>
            <w:r w:rsidRPr="003032D8">
              <w:rPr>
                <w:rFonts w:ascii="TitilliumText25L" w:hAnsi="TitilliumText25L" w:cs="Arial"/>
                <w:color w:val="282828"/>
              </w:rPr>
              <w:t>agulant</w:t>
            </w:r>
            <w:r w:rsidRPr="003032D8">
              <w:rPr>
                <w:rFonts w:ascii="TitilliumText25L" w:hAnsi="TitilliumText25L" w:cs="Arial"/>
                <w:color w:val="282828"/>
                <w:spacing w:val="-4"/>
              </w:rPr>
              <w:t xml:space="preserve"> </w:t>
            </w:r>
            <w:r w:rsidRPr="003032D8">
              <w:rPr>
                <w:rFonts w:ascii="TitilliumText25L" w:hAnsi="TitilliumText25L" w:cs="Arial"/>
                <w:color w:val="282828"/>
              </w:rPr>
              <w:t>us</w:t>
            </w:r>
            <w:r w:rsidRPr="003032D8">
              <w:rPr>
                <w:rFonts w:ascii="TitilliumText25L" w:hAnsi="TitilliumText25L" w:cs="Arial"/>
                <w:color w:val="282828"/>
                <w:spacing w:val="-1"/>
              </w:rPr>
              <w:t>e</w:t>
            </w:r>
            <w:r w:rsidRPr="003032D8">
              <w:rPr>
                <w:rFonts w:ascii="TitilliumText25L" w:hAnsi="TitilliumText25L" w:cs="Arial"/>
                <w:color w:val="282828"/>
              </w:rPr>
              <w:t>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70"/>
              <w:rPr>
                <w:rFonts w:ascii="TitilliumText25L" w:hAnsi="TitilliumText25L"/>
                <w:sz w:val="24"/>
                <w:szCs w:val="24"/>
              </w:rPr>
            </w:pPr>
          </w:p>
        </w:tc>
      </w:tr>
    </w:tbl>
    <w:p w:rsidR="00BE3BE3" w:rsidRPr="003032D8" w:rsidRDefault="00BE3BE3" w:rsidP="00BE3BE3">
      <w:pPr>
        <w:widowControl w:val="0"/>
        <w:autoSpaceDE w:val="0"/>
        <w:autoSpaceDN w:val="0"/>
        <w:adjustRightInd w:val="0"/>
        <w:spacing w:before="12" w:after="0" w:line="280" w:lineRule="exact"/>
        <w:rPr>
          <w:rFonts w:ascii="TitilliumText25L" w:hAnsi="TitilliumText25L"/>
          <w:sz w:val="28"/>
          <w:szCs w:val="28"/>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ning</w:t>
            </w:r>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widowControl w:val="0"/>
        <w:autoSpaceDE w:val="0"/>
        <w:autoSpaceDN w:val="0"/>
        <w:adjustRightInd w:val="0"/>
        <w:spacing w:before="3" w:after="0" w:line="170" w:lineRule="exact"/>
        <w:rPr>
          <w:rFonts w:ascii="TitilliumText25L" w:hAnsi="TitilliumText25L"/>
          <w:sz w:val="17"/>
          <w:szCs w:val="17"/>
        </w:rPr>
      </w:pPr>
    </w:p>
    <w:tbl>
      <w:tblPr>
        <w:tblW w:w="0" w:type="auto"/>
        <w:tblInd w:w="117" w:type="dxa"/>
        <w:tblLayout w:type="fixed"/>
        <w:tblCellMar>
          <w:left w:w="0" w:type="dxa"/>
          <w:right w:w="0" w:type="dxa"/>
        </w:tblCellMar>
        <w:tblLook w:val="0000" w:firstRow="0" w:lastRow="0" w:firstColumn="0" w:lastColumn="0" w:noHBand="0" w:noVBand="0"/>
      </w:tblPr>
      <w:tblGrid>
        <w:gridCol w:w="7393"/>
        <w:gridCol w:w="630"/>
        <w:gridCol w:w="586"/>
        <w:gridCol w:w="602"/>
        <w:gridCol w:w="539"/>
        <w:gridCol w:w="632"/>
        <w:gridCol w:w="476"/>
        <w:gridCol w:w="1617"/>
        <w:gridCol w:w="1447"/>
      </w:tblGrid>
      <w:tr w:rsidR="00BE3BE3" w:rsidRPr="003032D8" w:rsidTr="00D65937">
        <w:trPr>
          <w:trHeight w:hRule="exact" w:val="1324"/>
        </w:trPr>
        <w:tc>
          <w:tcPr>
            <w:tcW w:w="13922"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sz w:val="36"/>
                <w:szCs w:val="36"/>
              </w:rPr>
            </w:pPr>
            <w:r w:rsidRPr="003032D8">
              <w:rPr>
                <w:rFonts w:ascii="TitilliumText25L" w:hAnsi="TitilliumText25L" w:cs="Arial"/>
                <w:sz w:val="36"/>
                <w:szCs w:val="36"/>
              </w:rPr>
              <w:t>Section 5</w:t>
            </w:r>
            <w:r w:rsidRPr="003032D8">
              <w:rPr>
                <w:rFonts w:ascii="TitilliumText25L" w:hAnsi="TitilliumText25L" w:cs="Arial"/>
                <w:sz w:val="36"/>
                <w:szCs w:val="36"/>
              </w:rPr>
              <w:tab/>
            </w:r>
            <w:r w:rsidRPr="003032D8">
              <w:rPr>
                <w:rFonts w:ascii="TitilliumText25L" w:hAnsi="TitilliumText25L" w:cs="Arial"/>
                <w:sz w:val="36"/>
                <w:szCs w:val="36"/>
              </w:rPr>
              <w:tab/>
              <w:t>Operate and</w:t>
            </w:r>
            <w:r w:rsidRPr="003032D8">
              <w:rPr>
                <w:rFonts w:ascii="TitilliumText25L" w:hAnsi="TitilliumText25L" w:cs="Arial"/>
                <w:spacing w:val="-2"/>
                <w:sz w:val="36"/>
                <w:szCs w:val="36"/>
              </w:rPr>
              <w:t xml:space="preserve"> </w:t>
            </w:r>
            <w:r w:rsidRPr="003032D8">
              <w:rPr>
                <w:rFonts w:ascii="TitilliumText25L" w:hAnsi="TitilliumText25L" w:cs="Arial"/>
                <w:sz w:val="36"/>
                <w:szCs w:val="36"/>
              </w:rPr>
              <w:t>monitor equipment for processing intra-operative salvage blood and complete salvaged blood processing</w:t>
            </w:r>
          </w:p>
        </w:tc>
      </w:tr>
      <w:tr w:rsidR="00BE3BE3" w:rsidRPr="003032D8" w:rsidTr="00D65937">
        <w:trPr>
          <w:trHeight w:hRule="exact" w:val="421"/>
        </w:trPr>
        <w:tc>
          <w:tcPr>
            <w:tcW w:w="7393" w:type="dxa"/>
            <w:tcBorders>
              <w:top w:val="single" w:sz="7" w:space="0" w:color="282828"/>
              <w:left w:val="single" w:sz="7" w:space="0" w:color="282828"/>
              <w:bottom w:val="single" w:sz="7" w:space="0" w:color="282828"/>
              <w:right w:val="single" w:sz="7" w:space="0" w:color="282828"/>
            </w:tcBorders>
            <w:shd w:val="clear" w:color="auto" w:fill="96C449"/>
            <w:vAlign w:val="center"/>
          </w:tcPr>
          <w:p w:rsidR="00BE3BE3" w:rsidRPr="003032D8" w:rsidRDefault="00BE3BE3" w:rsidP="00D65937">
            <w:pPr>
              <w:widowControl w:val="0"/>
              <w:autoSpaceDE w:val="0"/>
              <w:autoSpaceDN w:val="0"/>
              <w:adjustRightInd w:val="0"/>
              <w:spacing w:before="38" w:after="0" w:line="240" w:lineRule="auto"/>
              <w:ind w:left="106"/>
              <w:rPr>
                <w:rFonts w:ascii="TitilliumText25L" w:hAnsi="TitilliumText25L"/>
                <w:sz w:val="24"/>
                <w:szCs w:val="24"/>
              </w:rPr>
            </w:pPr>
            <w:r w:rsidRPr="003032D8">
              <w:rPr>
                <w:rFonts w:ascii="TitilliumText25L" w:hAnsi="TitilliumText25L" w:cs="Arial"/>
                <w:b/>
                <w:bCs/>
                <w:color w:val="FDFDFD"/>
                <w:w w:val="99"/>
                <w:sz w:val="28"/>
                <w:szCs w:val="28"/>
              </w:rPr>
              <w:t>Knowledge</w:t>
            </w:r>
            <w:r w:rsidRPr="003032D8">
              <w:rPr>
                <w:rFonts w:ascii="TitilliumText25L" w:hAnsi="TitilliumText25L" w:cs="Arial"/>
                <w:b/>
                <w:bCs/>
                <w:color w:val="FDFDFD"/>
                <w:spacing w:val="-20"/>
                <w:w w:val="99"/>
                <w:sz w:val="28"/>
                <w:szCs w:val="28"/>
              </w:rPr>
              <w:t xml:space="preserve"> </w:t>
            </w:r>
            <w:r w:rsidRPr="003032D8">
              <w:rPr>
                <w:rFonts w:ascii="TitilliumText25L" w:hAnsi="TitilliumText25L" w:cs="Arial"/>
                <w:b/>
                <w:bCs/>
                <w:color w:val="FDFDFD"/>
                <w:sz w:val="28"/>
                <w:szCs w:val="28"/>
              </w:rPr>
              <w:t>and</w:t>
            </w:r>
            <w:r w:rsidRPr="003032D8">
              <w:rPr>
                <w:rFonts w:ascii="TitilliumText25L" w:hAnsi="TitilliumText25L" w:cs="Arial"/>
                <w:b/>
                <w:bCs/>
                <w:color w:val="FDFDFD"/>
                <w:spacing w:val="-3"/>
                <w:sz w:val="28"/>
                <w:szCs w:val="28"/>
              </w:rPr>
              <w:t xml:space="preserve"> </w:t>
            </w:r>
            <w:r w:rsidRPr="003032D8">
              <w:rPr>
                <w:rFonts w:ascii="TitilliumText25L" w:hAnsi="TitilliumText25L" w:cs="Arial"/>
                <w:b/>
                <w:bCs/>
                <w:color w:val="FDFDFD"/>
                <w:sz w:val="28"/>
                <w:szCs w:val="28"/>
              </w:rPr>
              <w:t>Unders</w:t>
            </w:r>
            <w:r w:rsidRPr="003032D8">
              <w:rPr>
                <w:rFonts w:ascii="TitilliumText25L" w:hAnsi="TitilliumText25L" w:cs="Arial"/>
                <w:b/>
                <w:bCs/>
                <w:color w:val="FDFDFD"/>
                <w:spacing w:val="-7"/>
                <w:sz w:val="28"/>
                <w:szCs w:val="28"/>
              </w:rPr>
              <w:t>t</w:t>
            </w:r>
            <w:r w:rsidRPr="003032D8">
              <w:rPr>
                <w:rFonts w:ascii="TitilliumText25L" w:hAnsi="TitilliumText25L" w:cs="Arial"/>
                <w:b/>
                <w:bCs/>
                <w:color w:val="FDFDFD"/>
                <w:sz w:val="28"/>
                <w:szCs w:val="28"/>
              </w:rPr>
              <w:t>anding</w:t>
            </w:r>
            <w:r w:rsidRPr="003032D8">
              <w:rPr>
                <w:rFonts w:ascii="TitilliumText25L" w:hAnsi="TitilliumText25L" w:cs="Arial"/>
                <w:b/>
                <w:bCs/>
                <w:color w:val="FDFDFD"/>
                <w:spacing w:val="-6"/>
                <w:sz w:val="28"/>
                <w:szCs w:val="28"/>
              </w:rPr>
              <w:t xml:space="preserve"> </w:t>
            </w:r>
            <w:r w:rsidRPr="003032D8">
              <w:rPr>
                <w:rFonts w:ascii="TitilliumText25L" w:hAnsi="TitilliumText25L" w:cs="Arial"/>
                <w:b/>
                <w:bCs/>
                <w:color w:val="FDFDFD"/>
                <w:sz w:val="28"/>
                <w:szCs w:val="28"/>
              </w:rPr>
              <w:t>Cont...</w:t>
            </w:r>
          </w:p>
        </w:tc>
        <w:tc>
          <w:tcPr>
            <w:tcW w:w="3465" w:type="dxa"/>
            <w:gridSpan w:val="6"/>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37" w:after="0" w:line="240" w:lineRule="auto"/>
              <w:ind w:left="486"/>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064" w:type="dxa"/>
            <w:gridSpan w:val="2"/>
            <w:tcBorders>
              <w:top w:val="single" w:sz="7" w:space="0" w:color="282828"/>
              <w:left w:val="single" w:sz="7" w:space="0" w:color="282828"/>
              <w:bottom w:val="single" w:sz="7" w:space="0" w:color="282828"/>
              <w:right w:val="single" w:sz="7" w:space="0" w:color="282828"/>
            </w:tcBorders>
            <w:shd w:val="clear" w:color="auto" w:fill="96C449"/>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14"/>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06"/>
              <w:rPr>
                <w:rFonts w:ascii="TitilliumText25L" w:hAnsi="TitilliumText25L"/>
                <w:sz w:val="24"/>
                <w:szCs w:val="24"/>
              </w:rPr>
            </w:pPr>
            <w:r w:rsidRPr="003032D8">
              <w:rPr>
                <w:rFonts w:ascii="TitilliumText25L" w:hAnsi="TitilliumText25L" w:cs="Arial"/>
                <w:b/>
                <w:bCs/>
                <w:color w:val="282828"/>
              </w:rPr>
              <w:t>The</w:t>
            </w:r>
            <w:r w:rsidRPr="003032D8">
              <w:rPr>
                <w:rFonts w:ascii="TitilliumText25L" w:hAnsi="TitilliumText25L" w:cs="Arial"/>
                <w:b/>
                <w:bCs/>
                <w:color w:val="282828"/>
                <w:spacing w:val="-9"/>
              </w:rPr>
              <w:t xml:space="preserve"> </w:t>
            </w:r>
            <w:r w:rsidRPr="003032D8">
              <w:rPr>
                <w:rFonts w:ascii="TitilliumText25L" w:hAnsi="TitilliumText25L" w:cs="Arial"/>
                <w:b/>
                <w:bCs/>
                <w:color w:val="282828"/>
              </w:rPr>
              <w:t>trainee</w:t>
            </w:r>
            <w:r w:rsidRPr="003032D8">
              <w:rPr>
                <w:rFonts w:ascii="TitilliumText25L" w:hAnsi="TitilliumText25L" w:cs="Arial"/>
                <w:b/>
                <w:bCs/>
                <w:color w:val="282828"/>
                <w:spacing w:val="-7"/>
              </w:rPr>
              <w:t xml:space="preserve"> </w:t>
            </w:r>
            <w:r w:rsidRPr="003032D8">
              <w:rPr>
                <w:rFonts w:ascii="TitilliumText25L" w:hAnsi="TitilliumText25L" w:cs="Arial"/>
                <w:b/>
                <w:bCs/>
                <w:color w:val="282828"/>
              </w:rPr>
              <w:t>demonstrated</w:t>
            </w:r>
            <w:r w:rsidRPr="003032D8">
              <w:rPr>
                <w:rFonts w:ascii="TitilliumText25L" w:hAnsi="TitilliumText25L" w:cs="Arial"/>
                <w:b/>
                <w:bCs/>
                <w:color w:val="282828"/>
                <w:spacing w:val="-13"/>
              </w:rPr>
              <w:t xml:space="preserve"> </w:t>
            </w:r>
            <w:r w:rsidRPr="003032D8">
              <w:rPr>
                <w:rFonts w:ascii="TitilliumText25L" w:hAnsi="TitilliumText25L" w:cs="Arial"/>
                <w:b/>
                <w:bCs/>
                <w:color w:val="282828"/>
              </w:rPr>
              <w:t>kn</w:t>
            </w:r>
            <w:r w:rsidRPr="003032D8">
              <w:rPr>
                <w:rFonts w:ascii="TitilliumText25L" w:hAnsi="TitilliumText25L" w:cs="Arial"/>
                <w:b/>
                <w:bCs/>
                <w:color w:val="282828"/>
                <w:spacing w:val="-1"/>
              </w:rPr>
              <w:t>o</w:t>
            </w:r>
            <w:r w:rsidRPr="003032D8">
              <w:rPr>
                <w:rFonts w:ascii="TitilliumText25L" w:hAnsi="TitilliumText25L" w:cs="Arial"/>
                <w:b/>
                <w:bCs/>
                <w:color w:val="282828"/>
                <w:spacing w:val="2"/>
              </w:rPr>
              <w:t>w</w:t>
            </w:r>
            <w:r w:rsidRPr="003032D8">
              <w:rPr>
                <w:rFonts w:ascii="TitilliumText25L" w:hAnsi="TitilliumText25L" w:cs="Arial"/>
                <w:b/>
                <w:bCs/>
                <w:color w:val="282828"/>
              </w:rPr>
              <w:t>l</w:t>
            </w:r>
            <w:r w:rsidRPr="003032D8">
              <w:rPr>
                <w:rFonts w:ascii="TitilliumText25L" w:hAnsi="TitilliumText25L" w:cs="Arial"/>
                <w:b/>
                <w:bCs/>
                <w:color w:val="282828"/>
                <w:spacing w:val="-1"/>
              </w:rPr>
              <w:t>e</w:t>
            </w:r>
            <w:r w:rsidRPr="003032D8">
              <w:rPr>
                <w:rFonts w:ascii="TitilliumText25L" w:hAnsi="TitilliumText25L" w:cs="Arial"/>
                <w:b/>
                <w:bCs/>
                <w:color w:val="282828"/>
              </w:rPr>
              <w:t>dge</w:t>
            </w:r>
            <w:r w:rsidRPr="003032D8">
              <w:rPr>
                <w:rFonts w:ascii="TitilliumText25L" w:hAnsi="TitilliumText25L" w:cs="Arial"/>
                <w:b/>
                <w:bCs/>
                <w:color w:val="282828"/>
                <w:spacing w:val="-2"/>
              </w:rPr>
              <w:t xml:space="preserve"> </w:t>
            </w:r>
            <w:r w:rsidRPr="003032D8">
              <w:rPr>
                <w:rFonts w:ascii="TitilliumText25L" w:hAnsi="TitilliumText25L" w:cs="Arial"/>
                <w:b/>
                <w:bCs/>
                <w:color w:val="282828"/>
              </w:rPr>
              <w:t>and</w:t>
            </w:r>
            <w:r w:rsidRPr="003032D8">
              <w:rPr>
                <w:rFonts w:ascii="TitilliumText25L" w:hAnsi="TitilliumText25L" w:cs="Arial"/>
                <w:b/>
                <w:bCs/>
                <w:color w:val="282828"/>
                <w:spacing w:val="-4"/>
              </w:rPr>
              <w:t xml:space="preserve"> </w:t>
            </w:r>
            <w:r w:rsidRPr="003032D8">
              <w:rPr>
                <w:rFonts w:ascii="TitilliumText25L" w:hAnsi="TitilliumText25L" w:cs="Arial"/>
                <w:b/>
                <w:bCs/>
                <w:color w:val="282828"/>
              </w:rPr>
              <w:t>understanding</w:t>
            </w:r>
            <w:r w:rsidRPr="003032D8">
              <w:rPr>
                <w:rFonts w:ascii="TitilliumText25L" w:hAnsi="TitilliumText25L" w:cs="Arial"/>
                <w:b/>
                <w:bCs/>
                <w:color w:val="282828"/>
                <w:spacing w:val="-13"/>
              </w:rPr>
              <w:t xml:space="preserve"> </w:t>
            </w:r>
            <w:r w:rsidRPr="003032D8">
              <w:rPr>
                <w:rFonts w:ascii="TitilliumText25L" w:hAnsi="TitilliumText25L" w:cs="Arial"/>
                <w:b/>
                <w:bCs/>
                <w:color w:val="282828"/>
              </w:rPr>
              <w:t>of:</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55"/>
              <w:rPr>
                <w:rFonts w:ascii="TitilliumText25L" w:hAnsi="TitilliumText25L"/>
                <w:sz w:val="24"/>
                <w:szCs w:val="24"/>
              </w:rPr>
            </w:pPr>
            <w:r w:rsidRPr="003032D8">
              <w:rPr>
                <w:rFonts w:ascii="TitilliumText25L" w:hAnsi="TitilliumText25L" w:cs="Arial"/>
                <w:b/>
                <w:bCs/>
                <w:color w:val="282828"/>
                <w:sz w:val="20"/>
                <w:szCs w:val="20"/>
              </w:rPr>
              <w:t>DO</w:t>
            </w: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81" w:right="183"/>
              <w:rPr>
                <w:rFonts w:ascii="TitilliumText25L" w:hAnsi="TitilliumText25L"/>
                <w:sz w:val="24"/>
                <w:szCs w:val="24"/>
              </w:rPr>
            </w:pPr>
            <w:r w:rsidRPr="003032D8">
              <w:rPr>
                <w:rFonts w:ascii="TitilliumText25L" w:hAnsi="TitilliumText25L" w:cs="Arial"/>
                <w:b/>
                <w:bCs/>
                <w:color w:val="282828"/>
                <w:sz w:val="20"/>
                <w:szCs w:val="20"/>
              </w:rPr>
              <w:t>S</w:t>
            </w: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30"/>
              <w:rPr>
                <w:rFonts w:ascii="TitilliumText25L" w:hAnsi="TitilliumText25L"/>
                <w:sz w:val="24"/>
                <w:szCs w:val="24"/>
              </w:rPr>
            </w:pPr>
            <w:proofErr w:type="spellStart"/>
            <w:r w:rsidRPr="003032D8">
              <w:rPr>
                <w:rFonts w:ascii="TitilliumText25L" w:hAnsi="TitilliumText25L" w:cs="Arial"/>
                <w:b/>
                <w:bCs/>
                <w:color w:val="282828"/>
                <w:sz w:val="20"/>
                <w:szCs w:val="20"/>
              </w:rPr>
              <w:t>EW</w:t>
            </w:r>
            <w:proofErr w:type="spellEnd"/>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63"/>
              <w:rPr>
                <w:rFonts w:ascii="TitilliumText25L" w:hAnsi="TitilliumText25L"/>
                <w:sz w:val="24"/>
                <w:szCs w:val="24"/>
              </w:rPr>
            </w:pPr>
            <w:r w:rsidRPr="003032D8">
              <w:rPr>
                <w:rFonts w:ascii="TitilliumText25L" w:hAnsi="TitilliumText25L" w:cs="Arial"/>
                <w:b/>
                <w:bCs/>
                <w:color w:val="282828"/>
                <w:sz w:val="20"/>
                <w:szCs w:val="20"/>
              </w:rPr>
              <w:t>PL</w:t>
            </w: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63"/>
              <w:rPr>
                <w:rFonts w:ascii="TitilliumText25L" w:hAnsi="TitilliumText25L"/>
                <w:sz w:val="24"/>
                <w:szCs w:val="24"/>
              </w:rPr>
            </w:pPr>
            <w:proofErr w:type="spellStart"/>
            <w:r w:rsidRPr="003032D8">
              <w:rPr>
                <w:rFonts w:ascii="TitilliumText25L" w:hAnsi="TitilliumText25L" w:cs="Arial"/>
                <w:b/>
                <w:bCs/>
                <w:color w:val="282828"/>
                <w:sz w:val="20"/>
                <w:szCs w:val="20"/>
              </w:rPr>
              <w:t>WQ</w:t>
            </w:r>
            <w:proofErr w:type="spellEnd"/>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19"/>
              <w:rPr>
                <w:rFonts w:ascii="TitilliumText25L" w:hAnsi="TitilliumText25L"/>
                <w:sz w:val="24"/>
                <w:szCs w:val="24"/>
              </w:rPr>
            </w:pPr>
            <w:proofErr w:type="spellStart"/>
            <w:r w:rsidRPr="003032D8">
              <w:rPr>
                <w:rFonts w:ascii="TitilliumText25L" w:hAnsi="TitilliumText25L" w:cs="Arial"/>
                <w:b/>
                <w:bCs/>
                <w:color w:val="282828"/>
                <w:sz w:val="20"/>
                <w:szCs w:val="20"/>
              </w:rPr>
              <w:t>OQ</w:t>
            </w:r>
            <w:proofErr w:type="spellEnd"/>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6" w:after="0" w:line="240" w:lineRule="auto"/>
              <w:ind w:left="228" w:right="230"/>
              <w:rPr>
                <w:rFonts w:ascii="TitilliumText25L" w:hAnsi="TitilliumText25L" w:cs="Arial"/>
                <w:color w:val="000000"/>
                <w:sz w:val="20"/>
                <w:szCs w:val="20"/>
              </w:rPr>
            </w:pPr>
            <w:r w:rsidRPr="003032D8">
              <w:rPr>
                <w:rFonts w:ascii="TitilliumText25L" w:hAnsi="TitilliumText25L" w:cs="Arial"/>
                <w:b/>
                <w:bCs/>
                <w:color w:val="282828"/>
                <w:sz w:val="20"/>
                <w:szCs w:val="20"/>
              </w:rPr>
              <w:t>As</w:t>
            </w:r>
            <w:r w:rsidRPr="003032D8">
              <w:rPr>
                <w:rFonts w:ascii="TitilliumText25L" w:hAnsi="TitilliumText25L" w:cs="Arial"/>
                <w:b/>
                <w:bCs/>
                <w:color w:val="282828"/>
                <w:spacing w:val="-1"/>
                <w:sz w:val="20"/>
                <w:szCs w:val="20"/>
              </w:rPr>
              <w:t>s</w:t>
            </w:r>
            <w:r w:rsidRPr="003032D8">
              <w:rPr>
                <w:rFonts w:ascii="TitilliumText25L" w:hAnsi="TitilliumText25L" w:cs="Arial"/>
                <w:b/>
                <w:bCs/>
                <w:color w:val="282828"/>
                <w:sz w:val="20"/>
                <w:szCs w:val="20"/>
              </w:rPr>
              <w:t>ess</w:t>
            </w:r>
            <w:r w:rsidRPr="003032D8">
              <w:rPr>
                <w:rFonts w:ascii="TitilliumText25L" w:hAnsi="TitilliumText25L" w:cs="Arial"/>
                <w:b/>
                <w:bCs/>
                <w:color w:val="282828"/>
                <w:spacing w:val="-1"/>
                <w:sz w:val="20"/>
                <w:szCs w:val="20"/>
              </w:rPr>
              <w:t>o</w:t>
            </w:r>
            <w:r w:rsidRPr="003032D8">
              <w:rPr>
                <w:rFonts w:ascii="TitilliumText25L" w:hAnsi="TitilliumText25L" w:cs="Arial"/>
                <w:b/>
                <w:bCs/>
                <w:color w:val="282828"/>
                <w:sz w:val="20"/>
                <w:szCs w:val="20"/>
              </w:rPr>
              <w:t>r’s</w:t>
            </w:r>
          </w:p>
          <w:p w:rsidR="00BE3BE3" w:rsidRPr="003032D8" w:rsidRDefault="00BE3BE3" w:rsidP="00D65937">
            <w:pPr>
              <w:widowControl w:val="0"/>
              <w:autoSpaceDE w:val="0"/>
              <w:autoSpaceDN w:val="0"/>
              <w:adjustRightInd w:val="0"/>
              <w:spacing w:after="0" w:line="229" w:lineRule="exact"/>
              <w:ind w:left="447" w:right="449"/>
              <w:rPr>
                <w:rFonts w:ascii="TitilliumText25L" w:hAnsi="TitilliumText25L"/>
                <w:sz w:val="24"/>
                <w:szCs w:val="24"/>
              </w:rPr>
            </w:pPr>
            <w:r w:rsidRPr="003032D8">
              <w:rPr>
                <w:rFonts w:ascii="TitilliumText25L" w:hAnsi="TitilliumText25L" w:cs="Arial"/>
                <w:b/>
                <w:bCs/>
                <w:color w:val="282828"/>
                <w:sz w:val="20"/>
                <w:szCs w:val="20"/>
              </w:rPr>
              <w:t>Initials</w:t>
            </w: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2" w:after="0" w:line="130" w:lineRule="exact"/>
              <w:rPr>
                <w:rFonts w:ascii="TitilliumText25L" w:hAnsi="TitilliumText25L"/>
                <w:sz w:val="13"/>
                <w:szCs w:val="13"/>
              </w:rPr>
            </w:pPr>
          </w:p>
          <w:p w:rsidR="00BE3BE3" w:rsidRPr="003032D8" w:rsidRDefault="00BE3BE3" w:rsidP="00D65937">
            <w:pPr>
              <w:widowControl w:val="0"/>
              <w:autoSpaceDE w:val="0"/>
              <w:autoSpaceDN w:val="0"/>
              <w:adjustRightInd w:val="0"/>
              <w:spacing w:after="0" w:line="240" w:lineRule="auto"/>
              <w:ind w:left="452" w:right="454"/>
              <w:rPr>
                <w:rFonts w:ascii="TitilliumText25L" w:hAnsi="TitilliumText25L"/>
                <w:sz w:val="24"/>
                <w:szCs w:val="24"/>
              </w:rPr>
            </w:pPr>
            <w:r w:rsidRPr="003032D8">
              <w:rPr>
                <w:rFonts w:ascii="TitilliumText25L" w:hAnsi="TitilliumText25L" w:cs="Arial"/>
                <w:b/>
                <w:bCs/>
                <w:color w:val="282828"/>
                <w:sz w:val="20"/>
                <w:szCs w:val="20"/>
              </w:rPr>
              <w:t>Da</w:t>
            </w:r>
            <w:r w:rsidRPr="003032D8">
              <w:rPr>
                <w:rFonts w:ascii="TitilliumText25L" w:hAnsi="TitilliumText25L" w:cs="Arial"/>
                <w:b/>
                <w:bCs/>
                <w:color w:val="282828"/>
                <w:spacing w:val="-1"/>
                <w:sz w:val="20"/>
                <w:szCs w:val="20"/>
              </w:rPr>
              <w:t>t</w:t>
            </w:r>
            <w:r w:rsidRPr="003032D8">
              <w:rPr>
                <w:rFonts w:ascii="TitilliumText25L" w:hAnsi="TitilliumText25L" w:cs="Arial"/>
                <w:b/>
                <w:bCs/>
                <w:color w:val="282828"/>
                <w:sz w:val="20"/>
                <w:szCs w:val="20"/>
              </w:rPr>
              <w:t>e</w:t>
            </w:r>
          </w:p>
        </w:tc>
      </w:tr>
      <w:tr w:rsidR="00BE3BE3" w:rsidRPr="003032D8" w:rsidTr="00D65937">
        <w:trPr>
          <w:trHeight w:hRule="exact" w:val="625"/>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53" w:after="0" w:line="252" w:lineRule="exact"/>
              <w:ind w:left="106" w:right="127"/>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possi</w:t>
            </w:r>
            <w:r w:rsidRPr="003032D8">
              <w:rPr>
                <w:rFonts w:ascii="TitilliumText25L" w:hAnsi="TitilliumText25L" w:cs="Arial"/>
                <w:color w:val="282828"/>
                <w:spacing w:val="-1"/>
              </w:rPr>
              <w:t>bl</w:t>
            </w:r>
            <w:r w:rsidRPr="003032D8">
              <w:rPr>
                <w:rFonts w:ascii="TitilliumText25L" w:hAnsi="TitilliumText25L" w:cs="Arial"/>
                <w:color w:val="282828"/>
              </w:rPr>
              <w:t>e</w:t>
            </w:r>
            <w:r w:rsidRPr="003032D8">
              <w:rPr>
                <w:rFonts w:ascii="TitilliumText25L" w:hAnsi="TitilliumText25L" w:cs="Arial"/>
                <w:color w:val="282828"/>
                <w:spacing w:val="-5"/>
              </w:rPr>
              <w:t xml:space="preserve"> </w:t>
            </w:r>
            <w:r w:rsidRPr="003032D8">
              <w:rPr>
                <w:rFonts w:ascii="TitilliumText25L" w:hAnsi="TitilliumText25L" w:cs="Arial"/>
                <w:color w:val="282828"/>
              </w:rPr>
              <w:t>contents</w:t>
            </w:r>
            <w:r w:rsidRPr="003032D8">
              <w:rPr>
                <w:rFonts w:ascii="TitilliumText25L" w:hAnsi="TitilliumText25L" w:cs="Arial"/>
                <w:color w:val="282828"/>
                <w:spacing w:val="-8"/>
              </w:rPr>
              <w:t xml:space="preserve"> </w:t>
            </w:r>
            <w:r w:rsidRPr="003032D8">
              <w:rPr>
                <w:rFonts w:ascii="TitilliumText25L" w:hAnsi="TitilliumText25L" w:cs="Arial"/>
                <w:color w:val="282828"/>
                <w:spacing w:val="-1"/>
              </w:rPr>
              <w:t>o</w:t>
            </w:r>
            <w:r w:rsidRPr="003032D8">
              <w:rPr>
                <w:rFonts w:ascii="TitilliumText25L" w:hAnsi="TitilliumText25L" w:cs="Arial"/>
                <w:color w:val="282828"/>
              </w:rPr>
              <w:t>f</w:t>
            </w:r>
            <w:r w:rsidRPr="003032D8">
              <w:rPr>
                <w:rFonts w:ascii="TitilliumText25L" w:hAnsi="TitilliumText25L" w:cs="Arial"/>
                <w:color w:val="282828"/>
                <w:spacing w:val="-1"/>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coll</w:t>
            </w:r>
            <w:r w:rsidRPr="003032D8">
              <w:rPr>
                <w:rFonts w:ascii="TitilliumText25L" w:hAnsi="TitilliumText25L" w:cs="Arial"/>
                <w:color w:val="282828"/>
                <w:spacing w:val="-1"/>
              </w:rPr>
              <w:t>e</w:t>
            </w:r>
            <w:r w:rsidRPr="003032D8">
              <w:rPr>
                <w:rFonts w:ascii="TitilliumText25L" w:hAnsi="TitilliumText25L" w:cs="Arial"/>
                <w:color w:val="282828"/>
              </w:rPr>
              <w:t>ction</w:t>
            </w:r>
            <w:r w:rsidRPr="003032D8">
              <w:rPr>
                <w:rFonts w:ascii="TitilliumText25L" w:hAnsi="TitilliumText25L" w:cs="Arial"/>
                <w:color w:val="282828"/>
                <w:spacing w:val="-3"/>
              </w:rPr>
              <w:t xml:space="preserve"> </w:t>
            </w:r>
            <w:r w:rsidRPr="003032D8">
              <w:rPr>
                <w:rFonts w:ascii="TitilliumText25L" w:hAnsi="TitilliumText25L" w:cs="Arial"/>
                <w:color w:val="282828"/>
              </w:rPr>
              <w:t>reservoir</w:t>
            </w:r>
            <w:r w:rsidRPr="003032D8">
              <w:rPr>
                <w:rFonts w:ascii="TitilliumText25L" w:hAnsi="TitilliumText25L" w:cs="Arial"/>
                <w:color w:val="282828"/>
                <w:spacing w:val="-8"/>
              </w:rPr>
              <w:t xml:space="preserve"> </w:t>
            </w:r>
            <w:r w:rsidRPr="003032D8">
              <w:rPr>
                <w:rFonts w:ascii="TitilliumText25L" w:hAnsi="TitilliumText25L" w:cs="Arial"/>
                <w:color w:val="282828"/>
              </w:rPr>
              <w:t>during</w:t>
            </w:r>
            <w:r w:rsidRPr="003032D8">
              <w:rPr>
                <w:rFonts w:ascii="TitilliumText25L" w:hAnsi="TitilliumText25L" w:cs="Arial"/>
                <w:color w:val="282828"/>
                <w:spacing w:val="-6"/>
              </w:rPr>
              <w:t xml:space="preserve"> </w:t>
            </w:r>
            <w:r w:rsidRPr="003032D8">
              <w:rPr>
                <w:rFonts w:ascii="TitilliumText25L" w:hAnsi="TitilliumText25L" w:cs="Arial"/>
                <w:color w:val="282828"/>
              </w:rPr>
              <w:t>surg</w:t>
            </w:r>
            <w:r w:rsidRPr="003032D8">
              <w:rPr>
                <w:rFonts w:ascii="TitilliumText25L" w:hAnsi="TitilliumText25L" w:cs="Arial"/>
                <w:color w:val="282828"/>
                <w:spacing w:val="-1"/>
              </w:rPr>
              <w:t>e</w:t>
            </w:r>
            <w:r w:rsidRPr="003032D8">
              <w:rPr>
                <w:rFonts w:ascii="TitilliumText25L" w:hAnsi="TitilliumText25L" w:cs="Arial"/>
                <w:color w:val="282828"/>
              </w:rPr>
              <w:t>ry,</w:t>
            </w:r>
            <w:r w:rsidRPr="003032D8">
              <w:rPr>
                <w:rFonts w:ascii="TitilliumText25L" w:hAnsi="TitilliumText25L" w:cs="Arial"/>
                <w:color w:val="282828"/>
                <w:spacing w:val="-4"/>
              </w:rPr>
              <w:t xml:space="preserve"> </w:t>
            </w:r>
            <w:r w:rsidRPr="003032D8">
              <w:rPr>
                <w:rFonts w:ascii="TitilliumText25L" w:hAnsi="TitilliumText25L" w:cs="Arial"/>
                <w:color w:val="282828"/>
              </w:rPr>
              <w:t>including potential c</w:t>
            </w:r>
            <w:r w:rsidRPr="003032D8">
              <w:rPr>
                <w:rFonts w:ascii="TitilliumText25L" w:hAnsi="TitilliumText25L" w:cs="Arial"/>
                <w:color w:val="282828"/>
                <w:spacing w:val="-1"/>
              </w:rPr>
              <w:t>o</w:t>
            </w:r>
            <w:r w:rsidRPr="003032D8">
              <w:rPr>
                <w:rFonts w:ascii="TitilliumText25L" w:hAnsi="TitilliumText25L" w:cs="Arial"/>
                <w:color w:val="282828"/>
              </w:rPr>
              <w:t>ntaminants.</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choice</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intravenous</w:t>
            </w:r>
            <w:r w:rsidRPr="003032D8">
              <w:rPr>
                <w:rFonts w:ascii="TitilliumText25L" w:hAnsi="TitilliumText25L" w:cs="Arial"/>
                <w:color w:val="282828"/>
                <w:spacing w:val="-10"/>
              </w:rPr>
              <w:t xml:space="preserve"> </w:t>
            </w:r>
            <w:proofErr w:type="spellStart"/>
            <w:r w:rsidRPr="003032D8">
              <w:rPr>
                <w:rFonts w:ascii="TitilliumText25L" w:hAnsi="TitilliumText25L" w:cs="Arial"/>
                <w:color w:val="282828"/>
                <w:spacing w:val="-3"/>
              </w:rPr>
              <w:t>normotonic</w:t>
            </w:r>
            <w:proofErr w:type="spellEnd"/>
            <w:r w:rsidRPr="003032D8">
              <w:rPr>
                <w:rFonts w:ascii="TitilliumText25L" w:hAnsi="TitilliumText25L" w:cs="Arial"/>
                <w:color w:val="282828"/>
                <w:spacing w:val="-3"/>
              </w:rPr>
              <w:t xml:space="preserve"> </w:t>
            </w:r>
            <w:r w:rsidRPr="003032D8">
              <w:rPr>
                <w:rFonts w:ascii="TitilliumText25L" w:hAnsi="TitilliumText25L" w:cs="Arial"/>
                <w:color w:val="282828"/>
              </w:rPr>
              <w:t>wash</w:t>
            </w:r>
            <w:r w:rsidRPr="003032D8">
              <w:rPr>
                <w:rFonts w:ascii="TitilliumText25L" w:hAnsi="TitilliumText25L" w:cs="Arial"/>
                <w:color w:val="282828"/>
                <w:spacing w:val="-5"/>
              </w:rPr>
              <w:t xml:space="preserve"> </w:t>
            </w:r>
            <w:r w:rsidRPr="003032D8">
              <w:rPr>
                <w:rFonts w:ascii="TitilliumText25L" w:hAnsi="TitilliumText25L" w:cs="Arial"/>
                <w:color w:val="282828"/>
              </w:rPr>
              <w:t>fluid.</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importance</w:t>
            </w:r>
            <w:r w:rsidRPr="003032D8">
              <w:rPr>
                <w:rFonts w:ascii="TitilliumText25L" w:hAnsi="TitilliumText25L" w:cs="Arial"/>
                <w:color w:val="282828"/>
                <w:spacing w:val="-10"/>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using</w:t>
            </w:r>
            <w:r w:rsidRPr="003032D8">
              <w:rPr>
                <w:rFonts w:ascii="TitilliumText25L" w:hAnsi="TitilliumText25L" w:cs="Arial"/>
                <w:color w:val="282828"/>
                <w:spacing w:val="-6"/>
              </w:rPr>
              <w:t xml:space="preserve"> </w:t>
            </w:r>
            <w:r w:rsidRPr="003032D8">
              <w:rPr>
                <w:rFonts w:ascii="TitilliumText25L" w:hAnsi="TitilliumText25L" w:cs="Arial"/>
                <w:color w:val="282828"/>
              </w:rPr>
              <w:t>an</w:t>
            </w:r>
            <w:r w:rsidRPr="003032D8">
              <w:rPr>
                <w:rFonts w:ascii="TitilliumText25L" w:hAnsi="TitilliumText25L" w:cs="Arial"/>
                <w:color w:val="282828"/>
                <w:spacing w:val="-2"/>
              </w:rPr>
              <w:t xml:space="preserve"> </w:t>
            </w:r>
            <w:r w:rsidRPr="003032D8">
              <w:rPr>
                <w:rFonts w:ascii="TitilliumText25L" w:hAnsi="TitilliumText25L" w:cs="Arial"/>
                <w:color w:val="282828"/>
              </w:rPr>
              <w:t>appropriate</w:t>
            </w:r>
            <w:r w:rsidRPr="003032D8">
              <w:rPr>
                <w:rFonts w:ascii="TitilliumText25L" w:hAnsi="TitilliumText25L" w:cs="Arial"/>
                <w:color w:val="282828"/>
                <w:spacing w:val="-10"/>
              </w:rPr>
              <w:t xml:space="preserve"> </w:t>
            </w:r>
            <w:r w:rsidRPr="003032D8">
              <w:rPr>
                <w:rFonts w:ascii="TitilliumText25L" w:hAnsi="TitilliumText25L" w:cs="Arial"/>
                <w:color w:val="282828"/>
              </w:rPr>
              <w:t>wash</w:t>
            </w:r>
            <w:r w:rsidRPr="003032D8">
              <w:rPr>
                <w:rFonts w:ascii="TitilliumText25L" w:hAnsi="TitilliumText25L" w:cs="Arial"/>
                <w:color w:val="282828"/>
                <w:spacing w:val="-5"/>
              </w:rPr>
              <w:t xml:space="preserve"> </w:t>
            </w:r>
            <w:r w:rsidRPr="003032D8">
              <w:rPr>
                <w:rFonts w:ascii="TitilliumText25L" w:hAnsi="TitilliumText25L" w:cs="Arial"/>
                <w:color w:val="282828"/>
              </w:rPr>
              <w:t>volume.</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6"/>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advantages</w:t>
            </w:r>
            <w:r w:rsidRPr="003032D8">
              <w:rPr>
                <w:rFonts w:ascii="TitilliumText25L" w:hAnsi="TitilliumText25L" w:cs="Arial"/>
                <w:color w:val="282828"/>
                <w:spacing w:val="-10"/>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risks</w:t>
            </w:r>
            <w:r w:rsidRPr="003032D8">
              <w:rPr>
                <w:rFonts w:ascii="TitilliumText25L" w:hAnsi="TitilliumText25L" w:cs="Arial"/>
                <w:color w:val="282828"/>
                <w:spacing w:val="-4"/>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swab</w:t>
            </w:r>
            <w:r w:rsidRPr="003032D8">
              <w:rPr>
                <w:rFonts w:ascii="TitilliumText25L" w:hAnsi="TitilliumText25L" w:cs="Arial"/>
                <w:color w:val="282828"/>
                <w:spacing w:val="-5"/>
              </w:rPr>
              <w:t xml:space="preserve"> </w:t>
            </w:r>
            <w:r w:rsidRPr="003032D8">
              <w:rPr>
                <w:rFonts w:ascii="TitilliumText25L" w:hAnsi="TitilliumText25L" w:cs="Arial"/>
                <w:color w:val="282828"/>
              </w:rPr>
              <w:t>washing.</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process</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salvagi</w:t>
            </w:r>
            <w:r w:rsidRPr="003032D8">
              <w:rPr>
                <w:rFonts w:ascii="TitilliumText25L" w:hAnsi="TitilliumText25L" w:cs="Arial"/>
                <w:color w:val="282828"/>
                <w:spacing w:val="-1"/>
              </w:rPr>
              <w:t>n</w:t>
            </w:r>
            <w:r w:rsidRPr="003032D8">
              <w:rPr>
                <w:rFonts w:ascii="TitilliumText25L" w:hAnsi="TitilliumText25L" w:cs="Arial"/>
                <w:color w:val="282828"/>
              </w:rPr>
              <w:t>g</w:t>
            </w:r>
            <w:r w:rsidRPr="003032D8">
              <w:rPr>
                <w:rFonts w:ascii="TitilliumText25L" w:hAnsi="TitilliumText25L" w:cs="Arial"/>
                <w:color w:val="282828"/>
                <w:spacing w:val="-6"/>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from</w:t>
            </w:r>
            <w:r w:rsidRPr="003032D8">
              <w:rPr>
                <w:rFonts w:ascii="TitilliumText25L" w:hAnsi="TitilliumText25L" w:cs="Arial"/>
                <w:color w:val="282828"/>
                <w:spacing w:val="-4"/>
              </w:rPr>
              <w:t xml:space="preserve"> </w:t>
            </w:r>
            <w:r w:rsidRPr="003032D8">
              <w:rPr>
                <w:rFonts w:ascii="TitilliumText25L" w:hAnsi="TitilliumText25L" w:cs="Arial"/>
                <w:color w:val="282828"/>
              </w:rPr>
              <w:t>swabs.</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rationale</w:t>
            </w:r>
            <w:r w:rsidRPr="003032D8">
              <w:rPr>
                <w:rFonts w:ascii="TitilliumText25L" w:hAnsi="TitilliumText25L" w:cs="Arial"/>
                <w:color w:val="282828"/>
                <w:spacing w:val="-8"/>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weighing</w:t>
            </w:r>
            <w:r w:rsidRPr="003032D8">
              <w:rPr>
                <w:rFonts w:ascii="TitilliumText25L" w:hAnsi="TitilliumText25L" w:cs="Arial"/>
                <w:color w:val="282828"/>
                <w:spacing w:val="-8"/>
              </w:rPr>
              <w:t xml:space="preserve"> </w:t>
            </w:r>
            <w:r w:rsidRPr="003032D8">
              <w:rPr>
                <w:rFonts w:ascii="TitilliumText25L" w:hAnsi="TitilliumText25L" w:cs="Arial"/>
                <w:color w:val="282828"/>
              </w:rPr>
              <w:t>all</w:t>
            </w:r>
            <w:r w:rsidRPr="003032D8">
              <w:rPr>
                <w:rFonts w:ascii="TitilliumText25L" w:hAnsi="TitilliumText25L" w:cs="Arial"/>
                <w:color w:val="282828"/>
                <w:spacing w:val="-2"/>
              </w:rPr>
              <w:t xml:space="preserve"> </w:t>
            </w:r>
            <w:r w:rsidRPr="003032D8">
              <w:rPr>
                <w:rFonts w:ascii="TitilliumText25L" w:hAnsi="TitilliumText25L" w:cs="Arial"/>
                <w:color w:val="282828"/>
              </w:rPr>
              <w:t>swabs</w:t>
            </w:r>
            <w:r w:rsidRPr="003032D8">
              <w:rPr>
                <w:rFonts w:ascii="TitilliumText25L" w:hAnsi="TitilliumText25L" w:cs="Arial"/>
                <w:color w:val="282828"/>
                <w:spacing w:val="-6"/>
              </w:rPr>
              <w:t xml:space="preserve"> </w:t>
            </w:r>
            <w:r w:rsidRPr="003032D8">
              <w:rPr>
                <w:rFonts w:ascii="TitilliumText25L" w:hAnsi="TitilliumText25L" w:cs="Arial"/>
                <w:color w:val="282828"/>
              </w:rPr>
              <w:t>during</w:t>
            </w:r>
            <w:r w:rsidRPr="003032D8">
              <w:rPr>
                <w:rFonts w:ascii="TitilliumText25L" w:hAnsi="TitilliumText25L" w:cs="Arial"/>
                <w:color w:val="282828"/>
                <w:spacing w:val="-6"/>
              </w:rPr>
              <w:t xml:space="preserve"> </w:t>
            </w:r>
            <w:r w:rsidRPr="003032D8">
              <w:rPr>
                <w:rFonts w:ascii="TitilliumText25L" w:hAnsi="TitilliumText25L" w:cs="Arial"/>
                <w:color w:val="282828"/>
              </w:rPr>
              <w:t>ICS.</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How</w:t>
            </w:r>
            <w:r w:rsidRPr="003032D8">
              <w:rPr>
                <w:rFonts w:ascii="TitilliumText25L" w:hAnsi="TitilliumText25L" w:cs="Arial"/>
                <w:color w:val="282828"/>
                <w:spacing w:val="-10"/>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estimate</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loss</w:t>
            </w:r>
            <w:r w:rsidRPr="003032D8">
              <w:rPr>
                <w:rFonts w:ascii="TitilliumText25L" w:hAnsi="TitilliumText25L" w:cs="Arial"/>
                <w:color w:val="282828"/>
                <w:spacing w:val="-4"/>
              </w:rPr>
              <w:t xml:space="preserve"> </w:t>
            </w:r>
            <w:r w:rsidRPr="003032D8">
              <w:rPr>
                <w:rFonts w:ascii="TitilliumText25L" w:hAnsi="TitilliumText25L" w:cs="Arial"/>
                <w:color w:val="282828"/>
              </w:rPr>
              <w:t>during</w:t>
            </w:r>
            <w:r w:rsidRPr="003032D8">
              <w:rPr>
                <w:rFonts w:ascii="TitilliumText25L" w:hAnsi="TitilliumText25L" w:cs="Arial"/>
                <w:color w:val="282828"/>
                <w:spacing w:val="-6"/>
              </w:rPr>
              <w:t xml:space="preserve"> </w:t>
            </w:r>
            <w:r w:rsidRPr="003032D8">
              <w:rPr>
                <w:rFonts w:ascii="TitilliumText25L" w:hAnsi="TitilliumText25L" w:cs="Arial"/>
                <w:color w:val="282828"/>
                <w:spacing w:val="-1"/>
              </w:rPr>
              <w:t>I</w:t>
            </w:r>
            <w:r w:rsidRPr="003032D8">
              <w:rPr>
                <w:rFonts w:ascii="TitilliumText25L" w:hAnsi="TitilliumText25L" w:cs="Arial"/>
                <w:color w:val="282828"/>
              </w:rPr>
              <w:t>CS.</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6"/>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potenti</w:t>
            </w:r>
            <w:r w:rsidRPr="003032D8">
              <w:rPr>
                <w:rFonts w:ascii="TitilliumText25L" w:hAnsi="TitilliumText25L" w:cs="Arial"/>
                <w:color w:val="282828"/>
                <w:spacing w:val="-1"/>
              </w:rPr>
              <w:t>a</w:t>
            </w:r>
            <w:r w:rsidRPr="003032D8">
              <w:rPr>
                <w:rFonts w:ascii="TitilliumText25L" w:hAnsi="TitilliumText25L" w:cs="Arial"/>
                <w:color w:val="282828"/>
              </w:rPr>
              <w:t>l</w:t>
            </w:r>
            <w:r w:rsidRPr="003032D8">
              <w:rPr>
                <w:rFonts w:ascii="TitilliumText25L" w:hAnsi="TitilliumText25L" w:cs="Arial"/>
                <w:color w:val="282828"/>
                <w:spacing w:val="-6"/>
              </w:rPr>
              <w:t xml:space="preserve"> </w:t>
            </w:r>
            <w:r w:rsidRPr="003032D8">
              <w:rPr>
                <w:rFonts w:ascii="TitilliumText25L" w:hAnsi="TitilliumText25L" w:cs="Arial"/>
                <w:color w:val="282828"/>
              </w:rPr>
              <w:t>compositi</w:t>
            </w:r>
            <w:r w:rsidRPr="003032D8">
              <w:rPr>
                <w:rFonts w:ascii="TitilliumText25L" w:hAnsi="TitilliumText25L" w:cs="Arial"/>
                <w:color w:val="282828"/>
                <w:spacing w:val="-1"/>
              </w:rPr>
              <w:t>o</w:t>
            </w:r>
            <w:r w:rsidRPr="003032D8">
              <w:rPr>
                <w:rFonts w:ascii="TitilliumText25L" w:hAnsi="TitilliumText25L" w:cs="Arial"/>
                <w:color w:val="282828"/>
              </w:rPr>
              <w:t>n</w:t>
            </w:r>
            <w:r w:rsidRPr="003032D8">
              <w:rPr>
                <w:rFonts w:ascii="TitilliumText25L" w:hAnsi="TitilliumText25L" w:cs="Arial"/>
                <w:color w:val="282828"/>
                <w:spacing w:val="-8"/>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con</w:t>
            </w:r>
            <w:r w:rsidRPr="003032D8">
              <w:rPr>
                <w:rFonts w:ascii="TitilliumText25L" w:hAnsi="TitilliumText25L" w:cs="Arial"/>
                <w:color w:val="282828"/>
                <w:spacing w:val="-1"/>
              </w:rPr>
              <w:t>t</w:t>
            </w:r>
            <w:r w:rsidRPr="003032D8">
              <w:rPr>
                <w:rFonts w:ascii="TitilliumText25L" w:hAnsi="TitilliumText25L" w:cs="Arial"/>
                <w:color w:val="282828"/>
              </w:rPr>
              <w:t>ents</w:t>
            </w:r>
            <w:r w:rsidRPr="003032D8">
              <w:rPr>
                <w:rFonts w:ascii="TitilliumText25L" w:hAnsi="TitilliumText25L" w:cs="Arial"/>
                <w:color w:val="282828"/>
                <w:spacing w:val="-3"/>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spacing w:val="-1"/>
              </w:rPr>
              <w:t>r</w:t>
            </w:r>
            <w:r w:rsidRPr="003032D8">
              <w:rPr>
                <w:rFonts w:ascii="TitilliumText25L" w:hAnsi="TitilliumText25L" w:cs="Arial"/>
                <w:color w:val="282828"/>
              </w:rPr>
              <w:t>e-infusion</w:t>
            </w:r>
            <w:r w:rsidRPr="003032D8">
              <w:rPr>
                <w:rFonts w:ascii="TitilliumText25L" w:hAnsi="TitilliumText25L" w:cs="Arial"/>
                <w:color w:val="282828"/>
                <w:spacing w:val="-1"/>
              </w:rPr>
              <w:t xml:space="preserve"> b</w:t>
            </w:r>
            <w:r w:rsidRPr="003032D8">
              <w:rPr>
                <w:rFonts w:ascii="TitilliumText25L" w:hAnsi="TitilliumText25L" w:cs="Arial"/>
                <w:color w:val="282828"/>
              </w:rPr>
              <w:t>ag.</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How</w:t>
            </w:r>
            <w:r w:rsidRPr="003032D8">
              <w:rPr>
                <w:rFonts w:ascii="TitilliumText25L" w:hAnsi="TitilliumText25L" w:cs="Arial"/>
                <w:color w:val="282828"/>
                <w:spacing w:val="-10"/>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re-infusion</w:t>
            </w:r>
            <w:r w:rsidRPr="003032D8">
              <w:rPr>
                <w:rFonts w:ascii="TitilliumText25L" w:hAnsi="TitilliumText25L" w:cs="Arial"/>
                <w:color w:val="282828"/>
                <w:spacing w:val="-9"/>
              </w:rPr>
              <w:t xml:space="preserve"> </w:t>
            </w:r>
            <w:r w:rsidRPr="003032D8">
              <w:rPr>
                <w:rFonts w:ascii="TitilliumText25L" w:hAnsi="TitilliumText25L" w:cs="Arial"/>
                <w:color w:val="282828"/>
              </w:rPr>
              <w:t>bag</w:t>
            </w:r>
            <w:r w:rsidRPr="003032D8">
              <w:rPr>
                <w:rFonts w:ascii="TitilliumText25L" w:hAnsi="TitilliumText25L" w:cs="Arial"/>
                <w:color w:val="282828"/>
                <w:spacing w:val="-4"/>
              </w:rPr>
              <w:t xml:space="preserve"> </w:t>
            </w:r>
            <w:r w:rsidRPr="003032D8">
              <w:rPr>
                <w:rFonts w:ascii="TitilliumText25L" w:hAnsi="TitilliumText25L" w:cs="Arial"/>
                <w:color w:val="282828"/>
              </w:rPr>
              <w:t>should</w:t>
            </w:r>
            <w:r w:rsidRPr="003032D8">
              <w:rPr>
                <w:rFonts w:ascii="TitilliumText25L" w:hAnsi="TitilliumText25L" w:cs="Arial"/>
                <w:color w:val="282828"/>
                <w:spacing w:val="-6"/>
              </w:rPr>
              <w:t xml:space="preserve"> </w:t>
            </w:r>
            <w:r w:rsidRPr="003032D8">
              <w:rPr>
                <w:rFonts w:ascii="TitilliumText25L" w:hAnsi="TitilliumText25L" w:cs="Arial"/>
                <w:color w:val="282828"/>
              </w:rPr>
              <w:t>be</w:t>
            </w:r>
            <w:r w:rsidRPr="003032D8">
              <w:rPr>
                <w:rFonts w:ascii="TitilliumText25L" w:hAnsi="TitilliumText25L" w:cs="Arial"/>
                <w:color w:val="282828"/>
                <w:spacing w:val="-2"/>
              </w:rPr>
              <w:t xml:space="preserve"> </w:t>
            </w:r>
            <w:r w:rsidRPr="003032D8">
              <w:rPr>
                <w:rFonts w:ascii="TitilliumText25L" w:hAnsi="TitilliumText25L" w:cs="Arial"/>
                <w:color w:val="282828"/>
              </w:rPr>
              <w:t>l</w:t>
            </w:r>
            <w:r w:rsidRPr="003032D8">
              <w:rPr>
                <w:rFonts w:ascii="TitilliumText25L" w:hAnsi="TitilliumText25L" w:cs="Arial"/>
                <w:color w:val="282828"/>
                <w:spacing w:val="-1"/>
              </w:rPr>
              <w:t>a</w:t>
            </w:r>
            <w:r w:rsidRPr="003032D8">
              <w:rPr>
                <w:rFonts w:ascii="TitilliumText25L" w:hAnsi="TitilliumText25L" w:cs="Arial"/>
                <w:color w:val="282828"/>
              </w:rPr>
              <w:t>belled.</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rationale</w:t>
            </w:r>
            <w:r w:rsidRPr="003032D8">
              <w:rPr>
                <w:rFonts w:ascii="TitilliumText25L" w:hAnsi="TitilliumText25L" w:cs="Arial"/>
                <w:color w:val="282828"/>
                <w:spacing w:val="-8"/>
              </w:rPr>
              <w:t xml:space="preserve"> </w:t>
            </w:r>
            <w:r w:rsidRPr="003032D8">
              <w:rPr>
                <w:rFonts w:ascii="TitilliumText25L" w:hAnsi="TitilliumText25L" w:cs="Arial"/>
                <w:color w:val="282828"/>
              </w:rPr>
              <w:t>for</w:t>
            </w:r>
            <w:r w:rsidRPr="003032D8">
              <w:rPr>
                <w:rFonts w:ascii="TitilliumText25L" w:hAnsi="TitilliumText25L" w:cs="Arial"/>
                <w:color w:val="282828"/>
                <w:spacing w:val="-2"/>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calculation</w:t>
            </w:r>
            <w:r w:rsidRPr="003032D8">
              <w:rPr>
                <w:rFonts w:ascii="TitilliumText25L" w:hAnsi="TitilliumText25L" w:cs="Arial"/>
                <w:color w:val="282828"/>
                <w:spacing w:val="-9"/>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ex</w:t>
            </w:r>
            <w:r w:rsidRPr="003032D8">
              <w:rPr>
                <w:rFonts w:ascii="TitilliumText25L" w:hAnsi="TitilliumText25L" w:cs="Arial"/>
                <w:color w:val="282828"/>
              </w:rPr>
              <w:t>piry</w:t>
            </w:r>
            <w:r w:rsidRPr="003032D8">
              <w:rPr>
                <w:rFonts w:ascii="TitilliumText25L" w:hAnsi="TitilliumText25L" w:cs="Arial"/>
                <w:color w:val="282828"/>
                <w:spacing w:val="-1"/>
              </w:rPr>
              <w:t xml:space="preserve"> </w:t>
            </w:r>
            <w:r w:rsidRPr="003032D8">
              <w:rPr>
                <w:rFonts w:ascii="TitilliumText25L" w:hAnsi="TitilliumText25L" w:cs="Arial"/>
                <w:color w:val="282828"/>
              </w:rPr>
              <w:t>time</w:t>
            </w:r>
            <w:r w:rsidRPr="003032D8">
              <w:rPr>
                <w:rFonts w:ascii="TitilliumText25L" w:hAnsi="TitilliumText25L" w:cs="Arial"/>
                <w:color w:val="282828"/>
                <w:spacing w:val="-4"/>
              </w:rPr>
              <w:t xml:space="preserve"> </w:t>
            </w:r>
            <w:r w:rsidRPr="003032D8">
              <w:rPr>
                <w:rFonts w:ascii="TitilliumText25L" w:hAnsi="TitilliumText25L" w:cs="Arial"/>
                <w:color w:val="282828"/>
              </w:rPr>
              <w:t>of the</w:t>
            </w:r>
            <w:r w:rsidRPr="003032D8">
              <w:rPr>
                <w:rFonts w:ascii="TitilliumText25L" w:hAnsi="TitilliumText25L" w:cs="Arial"/>
                <w:color w:val="282828"/>
                <w:spacing w:val="-3"/>
              </w:rPr>
              <w:t xml:space="preserve"> </w:t>
            </w:r>
            <w:r w:rsidRPr="003032D8">
              <w:rPr>
                <w:rFonts w:ascii="TitilliumText25L" w:hAnsi="TitilliumText25L" w:cs="Arial"/>
                <w:color w:val="282828"/>
              </w:rPr>
              <w:t>salvaged</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23"/>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47" w:after="0" w:line="240" w:lineRule="auto"/>
              <w:ind w:left="106" w:right="506"/>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types</w:t>
            </w:r>
            <w:r w:rsidRPr="003032D8">
              <w:rPr>
                <w:rFonts w:ascii="TitilliumText25L" w:hAnsi="TitilliumText25L" w:cs="Arial"/>
                <w:color w:val="282828"/>
                <w:spacing w:val="-5"/>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filters</w:t>
            </w:r>
            <w:r w:rsidRPr="003032D8">
              <w:rPr>
                <w:rFonts w:ascii="TitilliumText25L" w:hAnsi="TitilliumText25L" w:cs="Arial"/>
                <w:color w:val="282828"/>
                <w:spacing w:val="-5"/>
              </w:rPr>
              <w:t xml:space="preserve"> </w:t>
            </w:r>
            <w:r w:rsidRPr="003032D8">
              <w:rPr>
                <w:rFonts w:ascii="TitilliumText25L" w:hAnsi="TitilliumText25L" w:cs="Arial"/>
                <w:color w:val="282828"/>
                <w:spacing w:val="-1"/>
              </w:rPr>
              <w:t>u</w:t>
            </w:r>
            <w:r w:rsidRPr="003032D8">
              <w:rPr>
                <w:rFonts w:ascii="TitilliumText25L" w:hAnsi="TitilliumText25L" w:cs="Arial"/>
                <w:color w:val="282828"/>
                <w:spacing w:val="1"/>
              </w:rPr>
              <w:t>s</w:t>
            </w:r>
            <w:r w:rsidRPr="003032D8">
              <w:rPr>
                <w:rFonts w:ascii="TitilliumText25L" w:hAnsi="TitilliumText25L" w:cs="Arial"/>
                <w:color w:val="282828"/>
              </w:rPr>
              <w:t>ed</w:t>
            </w:r>
            <w:r w:rsidRPr="003032D8">
              <w:rPr>
                <w:rFonts w:ascii="TitilliumText25L" w:hAnsi="TitilliumText25L" w:cs="Arial"/>
                <w:color w:val="282828"/>
                <w:spacing w:val="-2"/>
              </w:rPr>
              <w:t xml:space="preserve"> </w:t>
            </w:r>
            <w:r w:rsidRPr="003032D8">
              <w:rPr>
                <w:rFonts w:ascii="TitilliumText25L" w:hAnsi="TitilliumText25L" w:cs="Arial"/>
                <w:color w:val="282828"/>
              </w:rPr>
              <w:t>when</w:t>
            </w:r>
            <w:r w:rsidRPr="003032D8">
              <w:rPr>
                <w:rFonts w:ascii="TitilliumText25L" w:hAnsi="TitilliumText25L" w:cs="Arial"/>
                <w:color w:val="282828"/>
                <w:spacing w:val="-5"/>
              </w:rPr>
              <w:t xml:space="preserve"> </w:t>
            </w:r>
            <w:r w:rsidRPr="003032D8">
              <w:rPr>
                <w:rFonts w:ascii="TitilliumText25L" w:hAnsi="TitilliumText25L" w:cs="Arial"/>
                <w:color w:val="282828"/>
              </w:rPr>
              <w:t>re-infusing</w:t>
            </w:r>
            <w:r w:rsidRPr="003032D8">
              <w:rPr>
                <w:rFonts w:ascii="TitilliumText25L" w:hAnsi="TitilliumText25L" w:cs="Arial"/>
                <w:color w:val="282828"/>
                <w:spacing w:val="-9"/>
              </w:rPr>
              <w:t xml:space="preserve"> </w:t>
            </w:r>
            <w:r w:rsidRPr="003032D8">
              <w:rPr>
                <w:rFonts w:ascii="TitilliumText25L" w:hAnsi="TitilliumText25L" w:cs="Arial"/>
                <w:color w:val="282828"/>
              </w:rPr>
              <w:t>ICS</w:t>
            </w:r>
            <w:r w:rsidRPr="003032D8">
              <w:rPr>
                <w:rFonts w:ascii="TitilliumText25L" w:hAnsi="TitilliumText25L" w:cs="Arial"/>
                <w:color w:val="282828"/>
                <w:spacing w:val="-3"/>
              </w:rPr>
              <w:t xml:space="preserve"> </w:t>
            </w:r>
            <w:r w:rsidRPr="003032D8">
              <w:rPr>
                <w:rFonts w:ascii="TitilliumText25L" w:hAnsi="TitilliumText25L" w:cs="Arial"/>
                <w:color w:val="282828"/>
              </w:rPr>
              <w:t>bl</w:t>
            </w:r>
            <w:r w:rsidRPr="003032D8">
              <w:rPr>
                <w:rFonts w:ascii="TitilliumText25L" w:hAnsi="TitilliumText25L" w:cs="Arial"/>
                <w:color w:val="282828"/>
                <w:spacing w:val="-1"/>
              </w:rPr>
              <w:t>o</w:t>
            </w:r>
            <w:r w:rsidRPr="003032D8">
              <w:rPr>
                <w:rFonts w:ascii="TitilliumText25L" w:hAnsi="TitilliumText25L" w:cs="Arial"/>
                <w:color w:val="282828"/>
              </w:rPr>
              <w:t>od</w:t>
            </w:r>
            <w:r w:rsidRPr="003032D8">
              <w:rPr>
                <w:rFonts w:ascii="TitilliumText25L" w:hAnsi="TitilliumText25L" w:cs="Arial"/>
                <w:color w:val="282828"/>
                <w:spacing w:val="-2"/>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spacing w:val="-1"/>
              </w:rPr>
              <w:t>p</w:t>
            </w:r>
            <w:r w:rsidRPr="003032D8">
              <w:rPr>
                <w:rFonts w:ascii="TitilliumText25L" w:hAnsi="TitilliumText25L" w:cs="Arial"/>
                <w:color w:val="282828"/>
              </w:rPr>
              <w:t>otential limitations.</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The</w:t>
            </w:r>
            <w:r w:rsidRPr="003032D8">
              <w:rPr>
                <w:rFonts w:ascii="TitilliumText25L" w:hAnsi="TitilliumText25L" w:cs="Arial"/>
                <w:color w:val="282828"/>
                <w:spacing w:val="-9"/>
              </w:rPr>
              <w:t xml:space="preserve"> </w:t>
            </w:r>
            <w:r w:rsidRPr="003032D8">
              <w:rPr>
                <w:rFonts w:ascii="TitilliumText25L" w:hAnsi="TitilliumText25L" w:cs="Arial"/>
                <w:color w:val="282828"/>
              </w:rPr>
              <w:t>principles</w:t>
            </w:r>
            <w:r w:rsidRPr="003032D8">
              <w:rPr>
                <w:rFonts w:ascii="TitilliumText25L" w:hAnsi="TitilliumText25L" w:cs="Arial"/>
                <w:color w:val="282828"/>
                <w:spacing w:val="-8"/>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methods</w:t>
            </w:r>
            <w:r w:rsidRPr="003032D8">
              <w:rPr>
                <w:rFonts w:ascii="TitilliumText25L" w:hAnsi="TitilliumText25L" w:cs="Arial"/>
                <w:color w:val="282828"/>
                <w:spacing w:val="-8"/>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was</w:t>
            </w:r>
            <w:r w:rsidRPr="003032D8">
              <w:rPr>
                <w:rFonts w:ascii="TitilliumText25L" w:hAnsi="TitilliumText25L" w:cs="Arial"/>
                <w:color w:val="282828"/>
                <w:spacing w:val="-1"/>
              </w:rPr>
              <w:t>t</w:t>
            </w:r>
            <w:r w:rsidRPr="003032D8">
              <w:rPr>
                <w:rFonts w:ascii="TitilliumText25L" w:hAnsi="TitilliumText25L" w:cs="Arial"/>
                <w:color w:val="282828"/>
              </w:rPr>
              <w:t>e</w:t>
            </w:r>
            <w:r w:rsidRPr="003032D8">
              <w:rPr>
                <w:rFonts w:ascii="TitilliumText25L" w:hAnsi="TitilliumText25L" w:cs="Arial"/>
                <w:color w:val="282828"/>
                <w:spacing w:val="-4"/>
              </w:rPr>
              <w:t xml:space="preserve"> </w:t>
            </w:r>
            <w:r w:rsidRPr="003032D8">
              <w:rPr>
                <w:rFonts w:ascii="TitilliumText25L" w:hAnsi="TitilliumText25L" w:cs="Arial"/>
                <w:color w:val="282828"/>
              </w:rPr>
              <w:t>disposal</w:t>
            </w:r>
            <w:r w:rsidRPr="003032D8">
              <w:rPr>
                <w:rFonts w:ascii="TitilliumText25L" w:hAnsi="TitilliumText25L" w:cs="Arial"/>
                <w:color w:val="282828"/>
                <w:spacing w:val="-7"/>
              </w:rPr>
              <w:t xml:space="preserve"> </w:t>
            </w:r>
            <w:r w:rsidRPr="003032D8">
              <w:rPr>
                <w:rFonts w:ascii="TitilliumText25L" w:hAnsi="TitilliumText25L" w:cs="Arial"/>
                <w:color w:val="282828"/>
                <w:spacing w:val="-1"/>
              </w:rPr>
              <w:t>r</w:t>
            </w:r>
            <w:r w:rsidRPr="003032D8">
              <w:rPr>
                <w:rFonts w:ascii="TitilliumText25L" w:hAnsi="TitilliumText25L" w:cs="Arial"/>
                <w:color w:val="282828"/>
              </w:rPr>
              <w:t>elated</w:t>
            </w:r>
            <w:r w:rsidRPr="003032D8">
              <w:rPr>
                <w:rFonts w:ascii="TitilliumText25L" w:hAnsi="TitilliumText25L" w:cs="Arial"/>
                <w:color w:val="282828"/>
                <w:spacing w:val="-1"/>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equipment.</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16"/>
        </w:trPr>
        <w:tc>
          <w:tcPr>
            <w:tcW w:w="73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48" w:after="0" w:line="252" w:lineRule="exact"/>
              <w:ind w:left="106" w:right="141"/>
              <w:rPr>
                <w:rFonts w:ascii="TitilliumText25L" w:hAnsi="TitilliumText25L"/>
                <w:sz w:val="24"/>
                <w:szCs w:val="24"/>
              </w:rPr>
            </w:pPr>
            <w:r w:rsidRPr="003032D8">
              <w:rPr>
                <w:rFonts w:ascii="TitilliumText25L" w:hAnsi="TitilliumText25L" w:cs="Arial"/>
                <w:color w:val="282828"/>
              </w:rPr>
              <w:t>How</w:t>
            </w:r>
            <w:r w:rsidRPr="003032D8">
              <w:rPr>
                <w:rFonts w:ascii="TitilliumText25L" w:hAnsi="TitilliumText25L" w:cs="Arial"/>
                <w:color w:val="282828"/>
                <w:spacing w:val="-10"/>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recognise</w:t>
            </w:r>
            <w:r w:rsidRPr="003032D8">
              <w:rPr>
                <w:rFonts w:ascii="TitilliumText25L" w:hAnsi="TitilliumText25L" w:cs="Arial"/>
                <w:color w:val="282828"/>
                <w:spacing w:val="-9"/>
              </w:rPr>
              <w:t xml:space="preserve"> </w:t>
            </w:r>
            <w:r w:rsidRPr="003032D8">
              <w:rPr>
                <w:rFonts w:ascii="TitilliumText25L" w:hAnsi="TitilliumText25L" w:cs="Arial"/>
                <w:color w:val="282828"/>
              </w:rPr>
              <w:t>haza</w:t>
            </w:r>
            <w:r w:rsidRPr="003032D8">
              <w:rPr>
                <w:rFonts w:ascii="TitilliumText25L" w:hAnsi="TitilliumText25L" w:cs="Arial"/>
                <w:color w:val="282828"/>
                <w:spacing w:val="-1"/>
              </w:rPr>
              <w:t>r</w:t>
            </w:r>
            <w:r w:rsidRPr="003032D8">
              <w:rPr>
                <w:rFonts w:ascii="TitilliumText25L" w:hAnsi="TitilliumText25L" w:cs="Arial"/>
                <w:color w:val="282828"/>
              </w:rPr>
              <w:t>ds,</w:t>
            </w:r>
            <w:r w:rsidRPr="003032D8">
              <w:rPr>
                <w:rFonts w:ascii="TitilliumText25L" w:hAnsi="TitilliumText25L" w:cs="Arial"/>
                <w:color w:val="282828"/>
                <w:spacing w:val="-4"/>
              </w:rPr>
              <w:t xml:space="preserve"> </w:t>
            </w:r>
            <w:r w:rsidRPr="003032D8">
              <w:rPr>
                <w:rFonts w:ascii="TitilliumText25L" w:hAnsi="TitilliumText25L" w:cs="Arial"/>
                <w:color w:val="282828"/>
              </w:rPr>
              <w:t>errors</w:t>
            </w:r>
            <w:r w:rsidRPr="003032D8">
              <w:rPr>
                <w:rFonts w:ascii="TitilliumText25L" w:hAnsi="TitilliumText25L" w:cs="Arial"/>
                <w:color w:val="282828"/>
                <w:spacing w:val="-5"/>
              </w:rPr>
              <w:t xml:space="preserve"> </w:t>
            </w:r>
            <w:r w:rsidRPr="003032D8">
              <w:rPr>
                <w:rFonts w:ascii="TitilliumText25L" w:hAnsi="TitilliumText25L" w:cs="Arial"/>
                <w:color w:val="282828"/>
                <w:spacing w:val="-1"/>
              </w:rPr>
              <w:t>a</w:t>
            </w:r>
            <w:r w:rsidRPr="003032D8">
              <w:rPr>
                <w:rFonts w:ascii="TitilliumText25L" w:hAnsi="TitilliumText25L" w:cs="Arial"/>
                <w:color w:val="282828"/>
              </w:rPr>
              <w:t>nd</w:t>
            </w:r>
            <w:r w:rsidRPr="003032D8">
              <w:rPr>
                <w:rFonts w:ascii="TitilliumText25L" w:hAnsi="TitilliumText25L" w:cs="Arial"/>
                <w:color w:val="282828"/>
                <w:spacing w:val="-1"/>
              </w:rPr>
              <w:t xml:space="preserve"> </w:t>
            </w:r>
            <w:r w:rsidRPr="003032D8">
              <w:rPr>
                <w:rFonts w:ascii="TitilliumText25L" w:hAnsi="TitilliumText25L" w:cs="Arial"/>
                <w:color w:val="282828"/>
              </w:rPr>
              <w:t>malfunctions</w:t>
            </w:r>
            <w:r w:rsidRPr="003032D8">
              <w:rPr>
                <w:rFonts w:ascii="TitilliumText25L" w:hAnsi="TitilliumText25L" w:cs="Arial"/>
                <w:color w:val="282828"/>
                <w:spacing w:val="-11"/>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equi</w:t>
            </w:r>
            <w:r w:rsidRPr="003032D8">
              <w:rPr>
                <w:rFonts w:ascii="TitilliumText25L" w:hAnsi="TitilliumText25L" w:cs="Arial"/>
                <w:color w:val="282828"/>
                <w:spacing w:val="-1"/>
              </w:rPr>
              <w:t>pm</w:t>
            </w:r>
            <w:r w:rsidRPr="003032D8">
              <w:rPr>
                <w:rFonts w:ascii="TitilliumText25L" w:hAnsi="TitilliumText25L" w:cs="Arial"/>
                <w:color w:val="282828"/>
              </w:rPr>
              <w:t>ent</w:t>
            </w:r>
            <w:r w:rsidRPr="003032D8">
              <w:rPr>
                <w:rFonts w:ascii="TitilliumText25L" w:hAnsi="TitilliumText25L" w:cs="Arial"/>
                <w:color w:val="282828"/>
                <w:spacing w:val="-4"/>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the appropriate</w:t>
            </w:r>
            <w:r w:rsidRPr="003032D8">
              <w:rPr>
                <w:rFonts w:ascii="TitilliumText25L" w:hAnsi="TitilliumText25L" w:cs="Arial"/>
                <w:color w:val="282828"/>
                <w:spacing w:val="-1"/>
              </w:rPr>
              <w:t xml:space="preserve"> </w:t>
            </w:r>
            <w:r w:rsidRPr="003032D8">
              <w:rPr>
                <w:rFonts w:ascii="TitilliumText25L" w:hAnsi="TitilliumText25L" w:cs="Arial"/>
                <w:color w:val="282828"/>
              </w:rPr>
              <w:t>action</w:t>
            </w:r>
            <w:r w:rsidRPr="003032D8">
              <w:rPr>
                <w:rFonts w:ascii="TitilliumText25L" w:hAnsi="TitilliumText25L" w:cs="Arial"/>
                <w:color w:val="282828"/>
                <w:spacing w:val="-5"/>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take.</w:t>
            </w:r>
          </w:p>
        </w:tc>
        <w:tc>
          <w:tcPr>
            <w:tcW w:w="6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bl>
    <w:p w:rsidR="00BE3BE3" w:rsidRPr="003032D8" w:rsidRDefault="00BE3BE3" w:rsidP="00BE3BE3">
      <w:pPr>
        <w:widowControl w:val="0"/>
        <w:autoSpaceDE w:val="0"/>
        <w:autoSpaceDN w:val="0"/>
        <w:adjustRightInd w:val="0"/>
        <w:spacing w:after="0" w:line="200" w:lineRule="exact"/>
        <w:rPr>
          <w:rFonts w:ascii="TitilliumText25L" w:hAnsi="TitilliumText25L"/>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ning</w:t>
            </w:r>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spacing w:line="240" w:lineRule="auto"/>
        <w:rPr>
          <w:rFonts w:ascii="TitilliumText25L" w:hAnsi="TitilliumText25L"/>
        </w:rPr>
      </w:pPr>
      <w:r w:rsidRPr="003032D8">
        <w:rPr>
          <w:rFonts w:ascii="TitilliumText25L" w:hAnsi="TitilliumText25L"/>
        </w:rPr>
        <w:br w:type="page"/>
      </w: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41"/>
        <w:gridCol w:w="567"/>
        <w:gridCol w:w="496"/>
        <w:gridCol w:w="1612"/>
        <w:gridCol w:w="1497"/>
      </w:tblGrid>
      <w:tr w:rsidR="00BE3BE3" w:rsidRPr="003032D8" w:rsidTr="00D65937">
        <w:trPr>
          <w:trHeight w:hRule="exact" w:val="1310"/>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spacing w:before="100" w:beforeAutospacing="1" w:after="100" w:afterAutospacing="1" w:line="240" w:lineRule="auto"/>
              <w:ind w:left="170"/>
              <w:rPr>
                <w:rFonts w:ascii="TitilliumText25L" w:hAnsi="TitilliumText25L" w:cs="Arial"/>
                <w:b/>
                <w:sz w:val="28"/>
                <w:szCs w:val="28"/>
              </w:rPr>
            </w:pPr>
            <w:r w:rsidRPr="003032D8">
              <w:rPr>
                <w:rFonts w:ascii="TitilliumText25L" w:hAnsi="TitilliumText25L" w:cs="Arial"/>
                <w:sz w:val="36"/>
                <w:szCs w:val="36"/>
              </w:rPr>
              <w:t>Section 5</w:t>
            </w:r>
            <w:r w:rsidRPr="003032D8">
              <w:rPr>
                <w:rFonts w:ascii="TitilliumText25L" w:hAnsi="TitilliumText25L" w:cs="Arial"/>
                <w:sz w:val="36"/>
                <w:szCs w:val="36"/>
              </w:rPr>
              <w:tab/>
            </w:r>
            <w:r w:rsidRPr="003032D8">
              <w:rPr>
                <w:rFonts w:ascii="TitilliumText25L" w:hAnsi="TitilliumText25L" w:cs="Arial"/>
                <w:sz w:val="36"/>
                <w:szCs w:val="36"/>
              </w:rPr>
              <w:tab/>
              <w:t>Operate and monitor equipment for processing intra-operative salvage blood and complete salvaged blood processing</w:t>
            </w:r>
          </w:p>
        </w:tc>
      </w:tr>
      <w:tr w:rsidR="00BE3BE3" w:rsidRPr="003032D8" w:rsidTr="00D65937">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96C449"/>
            <w:vAlign w:val="center"/>
          </w:tcPr>
          <w:p w:rsidR="00BE3BE3" w:rsidRPr="003032D8" w:rsidRDefault="00BE3BE3" w:rsidP="00D65937">
            <w:pPr>
              <w:spacing w:after="0" w:line="240" w:lineRule="auto"/>
              <w:ind w:left="170"/>
              <w:outlineLvl w:val="2"/>
              <w:rPr>
                <w:rFonts w:ascii="TitilliumText25L" w:hAnsi="TitilliumText25L" w:cs="Arial"/>
                <w:b/>
                <w:color w:val="C60C30"/>
                <w:sz w:val="24"/>
                <w:szCs w:val="24"/>
              </w:rPr>
            </w:pPr>
            <w:bookmarkStart w:id="89" w:name="_Toc355270960"/>
            <w:bookmarkStart w:id="90" w:name="_Toc366850105"/>
            <w:r w:rsidRPr="003032D8">
              <w:rPr>
                <w:rFonts w:ascii="TitilliumText25L" w:hAnsi="TitilliumText25L" w:cs="Arial"/>
                <w:b/>
                <w:color w:val="FFFFFF"/>
                <w:w w:val="99"/>
                <w:sz w:val="28"/>
                <w:szCs w:val="28"/>
              </w:rPr>
              <w:t>Performance</w:t>
            </w:r>
            <w:r w:rsidRPr="003032D8">
              <w:rPr>
                <w:rFonts w:ascii="TitilliumText25L" w:hAnsi="TitilliumText25L" w:cs="Arial"/>
                <w:b/>
                <w:color w:val="FFFFFF"/>
                <w:spacing w:val="-21"/>
                <w:w w:val="99"/>
                <w:sz w:val="28"/>
                <w:szCs w:val="28"/>
              </w:rPr>
              <w:t xml:space="preserve"> </w:t>
            </w:r>
            <w:r w:rsidRPr="003032D8">
              <w:rPr>
                <w:rFonts w:ascii="TitilliumText25L" w:hAnsi="TitilliumText25L" w:cs="Arial"/>
                <w:b/>
                <w:color w:val="FFFFFF"/>
                <w:sz w:val="28"/>
                <w:szCs w:val="28"/>
              </w:rPr>
              <w:t>Criteria</w:t>
            </w:r>
            <w:bookmarkEnd w:id="89"/>
            <w:bookmarkEnd w:id="90"/>
          </w:p>
        </w:tc>
        <w:tc>
          <w:tcPr>
            <w:tcW w:w="3515" w:type="dxa"/>
            <w:gridSpan w:val="6"/>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35" w:after="0" w:line="240" w:lineRule="auto"/>
              <w:ind w:left="479"/>
              <w:rPr>
                <w:rFonts w:ascii="TitilliumText25L" w:hAnsi="TitilliumText25L"/>
                <w:sz w:val="24"/>
                <w:szCs w:val="24"/>
              </w:rPr>
            </w:pPr>
            <w:r w:rsidRPr="003032D8">
              <w:rPr>
                <w:rFonts w:ascii="TitilliumText25L" w:hAnsi="TitilliumText25L" w:cs="Arial"/>
                <w:color w:val="282828"/>
                <w:sz w:val="28"/>
                <w:szCs w:val="28"/>
              </w:rPr>
              <w:t>Assess</w:t>
            </w:r>
            <w:r w:rsidRPr="003032D8">
              <w:rPr>
                <w:rFonts w:ascii="TitilliumText25L" w:hAnsi="TitilliumText25L" w:cs="Arial"/>
                <w:color w:val="282828"/>
                <w:spacing w:val="-1"/>
                <w:sz w:val="28"/>
                <w:szCs w:val="28"/>
              </w:rPr>
              <w:t>m</w:t>
            </w:r>
            <w:r w:rsidRPr="003032D8">
              <w:rPr>
                <w:rFonts w:ascii="TitilliumText25L" w:hAnsi="TitilliumText25L" w:cs="Arial"/>
                <w:color w:val="282828"/>
                <w:sz w:val="28"/>
                <w:szCs w:val="28"/>
              </w:rPr>
              <w:t>ent</w:t>
            </w:r>
            <w:r w:rsidRPr="003032D8">
              <w:rPr>
                <w:rFonts w:ascii="TitilliumText25L" w:hAnsi="TitilliumText25L" w:cs="Arial"/>
                <w:color w:val="282828"/>
                <w:spacing w:val="-9"/>
                <w:sz w:val="28"/>
                <w:szCs w:val="28"/>
              </w:rPr>
              <w:t xml:space="preserve"> </w:t>
            </w:r>
            <w:r w:rsidRPr="003032D8">
              <w:rPr>
                <w:rFonts w:ascii="TitilliumText25L" w:hAnsi="TitilliumText25L" w:cs="Arial"/>
                <w:color w:val="282828"/>
                <w:sz w:val="28"/>
                <w:szCs w:val="28"/>
              </w:rPr>
              <w:t>Method</w:t>
            </w:r>
          </w:p>
        </w:tc>
        <w:tc>
          <w:tcPr>
            <w:tcW w:w="3109" w:type="dxa"/>
            <w:gridSpan w:val="2"/>
            <w:tcBorders>
              <w:top w:val="single" w:sz="7" w:space="0" w:color="282828"/>
              <w:left w:val="single" w:sz="7" w:space="0" w:color="282828"/>
              <w:bottom w:val="single" w:sz="7" w:space="0" w:color="282828"/>
              <w:right w:val="single" w:sz="7" w:space="0" w:color="282828"/>
            </w:tcBorders>
            <w:shd w:val="clear" w:color="auto" w:fill="96C449"/>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09"/>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06"/>
              <w:rPr>
                <w:rFonts w:ascii="TitilliumText25L" w:hAnsi="TitilliumText25L"/>
                <w:sz w:val="24"/>
                <w:szCs w:val="24"/>
              </w:rPr>
            </w:pPr>
            <w:r w:rsidRPr="003032D8">
              <w:rPr>
                <w:rFonts w:ascii="TitilliumText25L" w:hAnsi="TitilliumText25L" w:cs="Arial"/>
                <w:b/>
                <w:bCs/>
                <w:color w:val="282828"/>
              </w:rPr>
              <w:t>The</w:t>
            </w:r>
            <w:r w:rsidRPr="003032D8">
              <w:rPr>
                <w:rFonts w:ascii="TitilliumText25L" w:hAnsi="TitilliumText25L" w:cs="Arial"/>
                <w:b/>
                <w:bCs/>
                <w:color w:val="282828"/>
                <w:spacing w:val="-9"/>
              </w:rPr>
              <w:t xml:space="preserve"> </w:t>
            </w:r>
            <w:r w:rsidRPr="003032D8">
              <w:rPr>
                <w:rFonts w:ascii="TitilliumText25L" w:hAnsi="TitilliumText25L" w:cs="Arial"/>
                <w:b/>
                <w:bCs/>
                <w:color w:val="282828"/>
              </w:rPr>
              <w:t>trainee</w:t>
            </w:r>
            <w:r w:rsidRPr="003032D8">
              <w:rPr>
                <w:rFonts w:ascii="TitilliumText25L" w:hAnsi="TitilliumText25L" w:cs="Arial"/>
                <w:b/>
                <w:bCs/>
                <w:color w:val="282828"/>
                <w:spacing w:val="-7"/>
              </w:rPr>
              <w:t xml:space="preserve"> </w:t>
            </w:r>
            <w:r w:rsidRPr="003032D8">
              <w:rPr>
                <w:rFonts w:ascii="TitilliumText25L" w:hAnsi="TitilliumText25L" w:cs="Arial"/>
                <w:b/>
                <w:bCs/>
                <w:color w:val="282828"/>
              </w:rPr>
              <w:t>demonstrated,</w:t>
            </w:r>
            <w:r w:rsidRPr="003032D8">
              <w:rPr>
                <w:rFonts w:ascii="TitilliumText25L" w:hAnsi="TitilliumText25L" w:cs="Arial"/>
                <w:b/>
                <w:bCs/>
                <w:color w:val="282828"/>
                <w:spacing w:val="-14"/>
              </w:rPr>
              <w:t xml:space="preserve"> </w:t>
            </w:r>
            <w:r w:rsidRPr="003032D8">
              <w:rPr>
                <w:rFonts w:ascii="TitilliumText25L" w:hAnsi="TitilliumText25L" w:cs="Arial"/>
                <w:b/>
                <w:bCs/>
                <w:color w:val="282828"/>
              </w:rPr>
              <w:t>in a</w:t>
            </w:r>
            <w:r w:rsidRPr="003032D8">
              <w:rPr>
                <w:rFonts w:ascii="TitilliumText25L" w:hAnsi="TitilliumText25L" w:cs="Arial"/>
                <w:b/>
                <w:bCs/>
                <w:color w:val="282828"/>
                <w:spacing w:val="-1"/>
              </w:rPr>
              <w:t xml:space="preserve"> </w:t>
            </w:r>
            <w:r w:rsidRPr="003032D8">
              <w:rPr>
                <w:rFonts w:ascii="TitilliumText25L" w:hAnsi="TitilliumText25L" w:cs="Arial"/>
                <w:b/>
                <w:bCs/>
                <w:color w:val="282828"/>
              </w:rPr>
              <w:t>cl</w:t>
            </w:r>
            <w:r w:rsidRPr="003032D8">
              <w:rPr>
                <w:rFonts w:ascii="TitilliumText25L" w:hAnsi="TitilliumText25L" w:cs="Arial"/>
                <w:b/>
                <w:bCs/>
                <w:color w:val="282828"/>
                <w:spacing w:val="-1"/>
              </w:rPr>
              <w:t>i</w:t>
            </w:r>
            <w:r w:rsidRPr="003032D8">
              <w:rPr>
                <w:rFonts w:ascii="TitilliumText25L" w:hAnsi="TitilliumText25L" w:cs="Arial"/>
                <w:b/>
                <w:bCs/>
                <w:color w:val="282828"/>
              </w:rPr>
              <w:t>nical</w:t>
            </w:r>
            <w:r w:rsidRPr="003032D8">
              <w:rPr>
                <w:rFonts w:ascii="TitilliumText25L" w:hAnsi="TitilliumText25L" w:cs="Arial"/>
                <w:b/>
                <w:bCs/>
                <w:color w:val="282828"/>
                <w:spacing w:val="-2"/>
              </w:rPr>
              <w:t xml:space="preserve"> </w:t>
            </w:r>
            <w:r w:rsidRPr="003032D8">
              <w:rPr>
                <w:rFonts w:ascii="TitilliumText25L" w:hAnsi="TitilliumText25L" w:cs="Arial"/>
                <w:b/>
                <w:bCs/>
                <w:color w:val="282828"/>
              </w:rPr>
              <w:t>setting,</w:t>
            </w:r>
            <w:r w:rsidRPr="003032D8">
              <w:rPr>
                <w:rFonts w:ascii="TitilliumText25L" w:hAnsi="TitilliumText25L" w:cs="Arial"/>
                <w:b/>
                <w:bCs/>
                <w:color w:val="282828"/>
                <w:spacing w:val="-7"/>
              </w:rPr>
              <w:t xml:space="preserve"> </w:t>
            </w:r>
            <w:r w:rsidRPr="003032D8">
              <w:rPr>
                <w:rFonts w:ascii="TitilliumText25L" w:hAnsi="TitilliumText25L" w:cs="Arial"/>
                <w:b/>
                <w:bCs/>
                <w:color w:val="282828"/>
              </w:rPr>
              <w:t>that</w:t>
            </w:r>
            <w:r w:rsidRPr="003032D8">
              <w:rPr>
                <w:rFonts w:ascii="TitilliumText25L" w:hAnsi="TitilliumText25L" w:cs="Arial"/>
                <w:b/>
                <w:bCs/>
                <w:color w:val="282828"/>
                <w:spacing w:val="-4"/>
              </w:rPr>
              <w:t xml:space="preserve"> </w:t>
            </w:r>
            <w:r w:rsidRPr="003032D8">
              <w:rPr>
                <w:rFonts w:ascii="TitilliumText25L" w:hAnsi="TitilliumText25L" w:cs="Arial"/>
                <w:b/>
                <w:bCs/>
                <w:color w:val="282828"/>
              </w:rPr>
              <w:t>th</w:t>
            </w:r>
            <w:r w:rsidRPr="003032D8">
              <w:rPr>
                <w:rFonts w:ascii="TitilliumText25L" w:hAnsi="TitilliumText25L" w:cs="Arial"/>
                <w:b/>
                <w:bCs/>
                <w:color w:val="282828"/>
                <w:spacing w:val="2"/>
              </w:rPr>
              <w:t>e</w:t>
            </w:r>
            <w:r w:rsidRPr="003032D8">
              <w:rPr>
                <w:rFonts w:ascii="TitilliumText25L" w:hAnsi="TitilliumText25L" w:cs="Arial"/>
                <w:b/>
                <w:bCs/>
                <w:color w:val="282828"/>
              </w:rPr>
              <w:t>y</w:t>
            </w:r>
            <w:r w:rsidRPr="003032D8">
              <w:rPr>
                <w:rFonts w:ascii="TitilliumText25L" w:hAnsi="TitilliumText25L" w:cs="Arial"/>
                <w:b/>
                <w:bCs/>
                <w:color w:val="282828"/>
                <w:spacing w:val="-3"/>
              </w:rPr>
              <w:t xml:space="preserve"> </w:t>
            </w:r>
            <w:r w:rsidRPr="003032D8">
              <w:rPr>
                <w:rFonts w:ascii="TitilliumText25L" w:hAnsi="TitilliumText25L" w:cs="Arial"/>
                <w:b/>
                <w:bCs/>
                <w:color w:val="282828"/>
              </w:rPr>
              <w:t>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54"/>
              <w:rPr>
                <w:rFonts w:ascii="TitilliumText25L" w:hAnsi="TitilliumText25L"/>
                <w:sz w:val="24"/>
                <w:szCs w:val="24"/>
              </w:rPr>
            </w:pPr>
            <w:r w:rsidRPr="003032D8">
              <w:rPr>
                <w:rFonts w:ascii="TitilliumText25L" w:hAnsi="TitilliumText25L" w:cs="Arial"/>
                <w:b/>
                <w:bCs/>
                <w:color w:val="282828"/>
                <w:sz w:val="20"/>
                <w:szCs w:val="20"/>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80" w:right="182"/>
              <w:rPr>
                <w:rFonts w:ascii="TitilliumText25L" w:hAnsi="TitilliumText25L"/>
                <w:sz w:val="24"/>
                <w:szCs w:val="24"/>
              </w:rPr>
            </w:pPr>
            <w:r w:rsidRPr="003032D8">
              <w:rPr>
                <w:rFonts w:ascii="TitilliumText25L" w:hAnsi="TitilliumText25L" w:cs="Arial"/>
                <w:b/>
                <w:bCs/>
                <w:color w:val="282828"/>
                <w:sz w:val="20"/>
                <w:szCs w:val="20"/>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29"/>
              <w:rPr>
                <w:rFonts w:ascii="TitilliumText25L" w:hAnsi="TitilliumText25L"/>
                <w:sz w:val="24"/>
                <w:szCs w:val="24"/>
              </w:rPr>
            </w:pPr>
            <w:proofErr w:type="spellStart"/>
            <w:r w:rsidRPr="003032D8">
              <w:rPr>
                <w:rFonts w:ascii="TitilliumText25L" w:hAnsi="TitilliumText25L" w:cs="Arial"/>
                <w:b/>
                <w:bCs/>
                <w:color w:val="282828"/>
                <w:sz w:val="20"/>
                <w:szCs w:val="20"/>
              </w:rPr>
              <w:t>EW</w:t>
            </w:r>
            <w:proofErr w:type="spellEnd"/>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62"/>
              <w:rPr>
                <w:rFonts w:ascii="TitilliumText25L" w:hAnsi="TitilliumText25L"/>
                <w:sz w:val="24"/>
                <w:szCs w:val="24"/>
              </w:rPr>
            </w:pPr>
            <w:r w:rsidRPr="003032D8">
              <w:rPr>
                <w:rFonts w:ascii="TitilliumText25L" w:hAnsi="TitilliumText25L" w:cs="Arial"/>
                <w:b/>
                <w:bCs/>
                <w:color w:val="282828"/>
                <w:sz w:val="20"/>
                <w:szCs w:val="20"/>
              </w:rPr>
              <w:t>PL</w:t>
            </w: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7" w:after="0" w:line="230" w:lineRule="exact"/>
              <w:ind w:right="131"/>
              <w:rPr>
                <w:rFonts w:ascii="TitilliumText25L" w:hAnsi="TitilliumText25L"/>
                <w:sz w:val="24"/>
                <w:szCs w:val="24"/>
              </w:rPr>
            </w:pPr>
            <w:proofErr w:type="spellStart"/>
            <w:r w:rsidRPr="003032D8">
              <w:rPr>
                <w:rFonts w:ascii="TitilliumText25L" w:hAnsi="TitilliumText25L" w:cs="Arial"/>
                <w:b/>
                <w:bCs/>
                <w:color w:val="282828"/>
                <w:sz w:val="20"/>
                <w:szCs w:val="20"/>
              </w:rPr>
              <w:t>WQ</w:t>
            </w:r>
            <w:proofErr w:type="spellEnd"/>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118"/>
              <w:rPr>
                <w:rFonts w:ascii="TitilliumText25L" w:hAnsi="TitilliumText25L"/>
                <w:sz w:val="24"/>
                <w:szCs w:val="24"/>
              </w:rPr>
            </w:pPr>
            <w:proofErr w:type="spellStart"/>
            <w:r w:rsidRPr="003032D8">
              <w:rPr>
                <w:rFonts w:ascii="TitilliumText25L" w:hAnsi="TitilliumText25L" w:cs="Arial"/>
                <w:b/>
                <w:bCs/>
                <w:color w:val="282828"/>
                <w:sz w:val="20"/>
                <w:szCs w:val="20"/>
              </w:rPr>
              <w:t>OQ</w:t>
            </w:r>
            <w:proofErr w:type="spellEnd"/>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4" w:after="0" w:line="240" w:lineRule="auto"/>
              <w:ind w:left="225" w:right="227"/>
              <w:rPr>
                <w:rFonts w:ascii="TitilliumText25L" w:hAnsi="TitilliumText25L"/>
                <w:sz w:val="24"/>
                <w:szCs w:val="24"/>
              </w:rPr>
            </w:pPr>
            <w:r w:rsidRPr="003032D8">
              <w:rPr>
                <w:rFonts w:ascii="TitilliumText25L" w:hAnsi="TitilliumText25L" w:cs="Arial"/>
                <w:b/>
                <w:bCs/>
                <w:color w:val="282828"/>
                <w:sz w:val="20"/>
                <w:szCs w:val="20"/>
              </w:rPr>
              <w:t>As</w:t>
            </w:r>
            <w:r w:rsidRPr="003032D8">
              <w:rPr>
                <w:rFonts w:ascii="TitilliumText25L" w:hAnsi="TitilliumText25L" w:cs="Arial"/>
                <w:b/>
                <w:bCs/>
                <w:color w:val="282828"/>
                <w:spacing w:val="-1"/>
                <w:sz w:val="20"/>
                <w:szCs w:val="20"/>
              </w:rPr>
              <w:t>s</w:t>
            </w:r>
            <w:r w:rsidRPr="003032D8">
              <w:rPr>
                <w:rFonts w:ascii="TitilliumText25L" w:hAnsi="TitilliumText25L" w:cs="Arial"/>
                <w:b/>
                <w:bCs/>
                <w:color w:val="282828"/>
                <w:sz w:val="20"/>
                <w:szCs w:val="20"/>
              </w:rPr>
              <w:t>ess</w:t>
            </w:r>
            <w:r w:rsidRPr="003032D8">
              <w:rPr>
                <w:rFonts w:ascii="TitilliumText25L" w:hAnsi="TitilliumText25L" w:cs="Arial"/>
                <w:b/>
                <w:bCs/>
                <w:color w:val="282828"/>
                <w:spacing w:val="-1"/>
                <w:sz w:val="20"/>
                <w:szCs w:val="20"/>
              </w:rPr>
              <w:t>o</w:t>
            </w:r>
            <w:r w:rsidRPr="003032D8">
              <w:rPr>
                <w:rFonts w:ascii="TitilliumText25L" w:hAnsi="TitilliumText25L" w:cs="Arial"/>
                <w:b/>
                <w:bCs/>
                <w:color w:val="282828"/>
                <w:sz w:val="20"/>
                <w:szCs w:val="20"/>
              </w:rPr>
              <w:t>r’s Initials</w:t>
            </w: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ind w:left="478" w:right="479"/>
              <w:rPr>
                <w:rFonts w:ascii="TitilliumText25L" w:hAnsi="TitilliumText25L"/>
                <w:sz w:val="24"/>
                <w:szCs w:val="24"/>
              </w:rPr>
            </w:pPr>
            <w:r w:rsidRPr="003032D8">
              <w:rPr>
                <w:rFonts w:ascii="TitilliumText25L" w:hAnsi="TitilliumText25L" w:cs="Arial"/>
                <w:b/>
                <w:bCs/>
                <w:color w:val="282828"/>
                <w:sz w:val="20"/>
                <w:szCs w:val="20"/>
              </w:rPr>
              <w:t>Da</w:t>
            </w:r>
            <w:r w:rsidRPr="003032D8">
              <w:rPr>
                <w:rFonts w:ascii="TitilliumText25L" w:hAnsi="TitilliumText25L" w:cs="Arial"/>
                <w:b/>
                <w:bCs/>
                <w:color w:val="282828"/>
                <w:spacing w:val="-1"/>
                <w:sz w:val="20"/>
                <w:szCs w:val="20"/>
              </w:rPr>
              <w:t>t</w:t>
            </w:r>
            <w:r w:rsidRPr="003032D8">
              <w:rPr>
                <w:rFonts w:ascii="TitilliumText25L" w:hAnsi="TitilliumText25L" w:cs="Arial"/>
                <w:b/>
                <w:bCs/>
                <w:color w:val="282828"/>
                <w:sz w:val="20"/>
                <w:szCs w:val="20"/>
              </w:rPr>
              <w:t>e</w:t>
            </w:r>
          </w:p>
        </w:tc>
      </w:tr>
      <w:tr w:rsidR="00BE3BE3" w:rsidRPr="003032D8" w:rsidTr="00D65937">
        <w:trPr>
          <w:trHeight w:hRule="exact" w:val="648"/>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59" w:after="0" w:line="240" w:lineRule="auto"/>
              <w:ind w:left="106" w:right="174"/>
              <w:rPr>
                <w:rFonts w:ascii="TitilliumText25L" w:hAnsi="TitilliumText25L"/>
                <w:sz w:val="24"/>
                <w:szCs w:val="24"/>
              </w:rPr>
            </w:pPr>
            <w:r w:rsidRPr="003032D8">
              <w:rPr>
                <w:rFonts w:ascii="TitilliumText25L" w:hAnsi="TitilliumText25L" w:cs="Arial"/>
                <w:color w:val="282828"/>
              </w:rPr>
              <w:t>Confirm</w:t>
            </w:r>
            <w:r w:rsidRPr="003032D8">
              <w:rPr>
                <w:rFonts w:ascii="TitilliumText25L" w:hAnsi="TitilliumText25L" w:cs="Arial"/>
                <w:color w:val="282828"/>
                <w:spacing w:val="-13"/>
              </w:rPr>
              <w:t xml:space="preserve"> </w:t>
            </w:r>
            <w:r w:rsidRPr="003032D8">
              <w:rPr>
                <w:rFonts w:ascii="TitilliumText25L" w:hAnsi="TitilliumText25L" w:cs="Arial"/>
                <w:color w:val="282828"/>
              </w:rPr>
              <w:t>decision</w:t>
            </w:r>
            <w:r w:rsidRPr="003032D8">
              <w:rPr>
                <w:rFonts w:ascii="TitilliumText25L" w:hAnsi="TitilliumText25L" w:cs="Arial"/>
                <w:color w:val="282828"/>
                <w:spacing w:val="-7"/>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pr</w:t>
            </w:r>
            <w:r w:rsidRPr="003032D8">
              <w:rPr>
                <w:rFonts w:ascii="TitilliumText25L" w:hAnsi="TitilliumText25L" w:cs="Arial"/>
                <w:color w:val="282828"/>
                <w:spacing w:val="-1"/>
              </w:rPr>
              <w:t>oc</w:t>
            </w:r>
            <w:r w:rsidRPr="003032D8">
              <w:rPr>
                <w:rFonts w:ascii="TitilliumText25L" w:hAnsi="TitilliumText25L" w:cs="Arial"/>
                <w:color w:val="282828"/>
              </w:rPr>
              <w:t>ess</w:t>
            </w:r>
            <w:r w:rsidRPr="003032D8">
              <w:rPr>
                <w:rFonts w:ascii="TitilliumText25L" w:hAnsi="TitilliumText25L" w:cs="Arial"/>
                <w:color w:val="282828"/>
                <w:spacing w:val="-2"/>
              </w:rPr>
              <w:t xml:space="preserve"> </w:t>
            </w:r>
            <w:r w:rsidRPr="003032D8">
              <w:rPr>
                <w:rFonts w:ascii="TitilliumText25L" w:hAnsi="TitilliumText25L" w:cs="Arial"/>
                <w:color w:val="282828"/>
              </w:rPr>
              <w:t>salvag</w:t>
            </w:r>
            <w:r w:rsidRPr="003032D8">
              <w:rPr>
                <w:rFonts w:ascii="TitilliumText25L" w:hAnsi="TitilliumText25L" w:cs="Arial"/>
                <w:color w:val="282828"/>
                <w:spacing w:val="-1"/>
              </w:rPr>
              <w:t>e</w:t>
            </w:r>
            <w:r w:rsidRPr="003032D8">
              <w:rPr>
                <w:rFonts w:ascii="TitilliumText25L" w:hAnsi="TitilliumText25L" w:cs="Arial"/>
                <w:color w:val="282828"/>
              </w:rPr>
              <w:t>d</w:t>
            </w:r>
            <w:r w:rsidRPr="003032D8">
              <w:rPr>
                <w:rFonts w:ascii="TitilliumText25L" w:hAnsi="TitilliumText25L" w:cs="Arial"/>
                <w:color w:val="282828"/>
                <w:spacing w:val="-6"/>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with</w:t>
            </w:r>
            <w:r w:rsidRPr="003032D8">
              <w:rPr>
                <w:rFonts w:ascii="TitilliumText25L" w:hAnsi="TitilliumText25L" w:cs="Arial"/>
                <w:color w:val="282828"/>
                <w:spacing w:val="-5"/>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relevant</w:t>
            </w:r>
            <w:r w:rsidRPr="003032D8">
              <w:rPr>
                <w:rFonts w:ascii="TitilliumText25L" w:hAnsi="TitilliumText25L" w:cs="Arial"/>
                <w:color w:val="282828"/>
                <w:spacing w:val="-7"/>
              </w:rPr>
              <w:t xml:space="preserve"> </w:t>
            </w:r>
            <w:r w:rsidRPr="003032D8">
              <w:rPr>
                <w:rFonts w:ascii="TitilliumText25L" w:hAnsi="TitilliumText25L" w:cs="Arial"/>
                <w:color w:val="282828"/>
              </w:rPr>
              <w:t>member</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24"/>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47" w:after="0" w:line="240" w:lineRule="auto"/>
              <w:ind w:left="106" w:right="220"/>
              <w:rPr>
                <w:rFonts w:ascii="TitilliumText25L" w:hAnsi="TitilliumText25L"/>
                <w:sz w:val="24"/>
                <w:szCs w:val="24"/>
              </w:rPr>
            </w:pPr>
            <w:r w:rsidRPr="003032D8">
              <w:rPr>
                <w:rFonts w:ascii="TitilliumText25L" w:hAnsi="TitilliumText25L" w:cs="Arial"/>
                <w:color w:val="282828"/>
              </w:rPr>
              <w:t>Use</w:t>
            </w:r>
            <w:r w:rsidRPr="003032D8">
              <w:rPr>
                <w:rFonts w:ascii="TitilliumText25L" w:hAnsi="TitilliumText25L" w:cs="Arial"/>
                <w:color w:val="282828"/>
                <w:spacing w:val="-9"/>
              </w:rPr>
              <w:t xml:space="preserve"> </w:t>
            </w:r>
            <w:r w:rsidRPr="003032D8">
              <w:rPr>
                <w:rFonts w:ascii="TitilliumText25L" w:hAnsi="TitilliumText25L" w:cs="Arial"/>
                <w:color w:val="282828"/>
              </w:rPr>
              <w:t>intravenous</w:t>
            </w:r>
            <w:r w:rsidRPr="003032D8">
              <w:rPr>
                <w:rFonts w:ascii="TitilliumText25L" w:hAnsi="TitilliumText25L" w:cs="Arial"/>
                <w:color w:val="282828"/>
                <w:spacing w:val="-10"/>
              </w:rPr>
              <w:t xml:space="preserve"> </w:t>
            </w:r>
            <w:proofErr w:type="spellStart"/>
            <w:r w:rsidRPr="003032D8">
              <w:rPr>
                <w:rFonts w:ascii="TitilliumText25L" w:hAnsi="TitilliumText25L" w:cs="Arial"/>
                <w:color w:val="282828"/>
                <w:spacing w:val="-3"/>
              </w:rPr>
              <w:t>normotonic</w:t>
            </w:r>
            <w:proofErr w:type="spellEnd"/>
            <w:r w:rsidRPr="003032D8">
              <w:rPr>
                <w:rFonts w:ascii="TitilliumText25L" w:hAnsi="TitilliumText25L" w:cs="Arial"/>
                <w:color w:val="282828"/>
                <w:spacing w:val="-3"/>
              </w:rPr>
              <w:t xml:space="preserve"> </w:t>
            </w:r>
            <w:r w:rsidRPr="003032D8">
              <w:rPr>
                <w:rFonts w:ascii="TitilliumText25L" w:hAnsi="TitilliumText25L" w:cs="Arial"/>
                <w:color w:val="282828"/>
              </w:rPr>
              <w:t>wash</w:t>
            </w:r>
            <w:r w:rsidRPr="003032D8">
              <w:rPr>
                <w:rFonts w:ascii="TitilliumText25L" w:hAnsi="TitilliumText25L" w:cs="Arial"/>
                <w:color w:val="282828"/>
                <w:spacing w:val="-5"/>
              </w:rPr>
              <w:t xml:space="preserve"> </w:t>
            </w:r>
            <w:r w:rsidRPr="003032D8">
              <w:rPr>
                <w:rFonts w:ascii="TitilliumText25L" w:hAnsi="TitilliumText25L" w:cs="Arial"/>
                <w:color w:val="282828"/>
              </w:rPr>
              <w:t>fluid</w:t>
            </w:r>
            <w:r w:rsidRPr="003032D8">
              <w:rPr>
                <w:rFonts w:ascii="TitilliumText25L" w:hAnsi="TitilliumText25L" w:cs="Arial"/>
                <w:color w:val="282828"/>
                <w:spacing w:val="-4"/>
              </w:rPr>
              <w:t xml:space="preserve"> </w:t>
            </w:r>
            <w:r w:rsidRPr="003032D8">
              <w:rPr>
                <w:rFonts w:ascii="TitilliumText25L" w:hAnsi="TitilliumText25L" w:cs="Arial"/>
                <w:color w:val="282828"/>
              </w:rPr>
              <w:t>as</w:t>
            </w:r>
            <w:r w:rsidRPr="003032D8">
              <w:rPr>
                <w:rFonts w:ascii="TitilliumText25L" w:hAnsi="TitilliumText25L" w:cs="Arial"/>
                <w:color w:val="282828"/>
                <w:spacing w:val="-2"/>
              </w:rPr>
              <w:t xml:space="preserve"> </w:t>
            </w:r>
            <w:r w:rsidRPr="003032D8">
              <w:rPr>
                <w:rFonts w:ascii="TitilliumText25L" w:hAnsi="TitilliumText25L" w:cs="Arial"/>
                <w:color w:val="282828"/>
              </w:rPr>
              <w:t>r</w:t>
            </w:r>
            <w:r w:rsidRPr="003032D8">
              <w:rPr>
                <w:rFonts w:ascii="TitilliumText25L" w:hAnsi="TitilliumText25L" w:cs="Arial"/>
                <w:color w:val="282828"/>
                <w:spacing w:val="-1"/>
              </w:rPr>
              <w:t>e</w:t>
            </w:r>
            <w:r w:rsidRPr="003032D8">
              <w:rPr>
                <w:rFonts w:ascii="TitilliumText25L" w:hAnsi="TitilliumText25L" w:cs="Arial"/>
                <w:color w:val="282828"/>
              </w:rPr>
              <w:t>commended</w:t>
            </w:r>
            <w:r w:rsidRPr="003032D8">
              <w:rPr>
                <w:rFonts w:ascii="TitilliumText25L" w:hAnsi="TitilliumText25L" w:cs="Arial"/>
                <w:color w:val="282828"/>
                <w:spacing w:val="-1"/>
              </w:rPr>
              <w:t xml:space="preserve"> </w:t>
            </w:r>
            <w:r w:rsidRPr="003032D8">
              <w:rPr>
                <w:rFonts w:ascii="TitilliumText25L" w:hAnsi="TitilliumText25L" w:cs="Arial"/>
                <w:color w:val="282828"/>
              </w:rPr>
              <w:t>by the man</w:t>
            </w:r>
            <w:r w:rsidRPr="003032D8">
              <w:rPr>
                <w:rFonts w:ascii="TitilliumText25L" w:hAnsi="TitilliumText25L" w:cs="Arial"/>
                <w:color w:val="282828"/>
                <w:spacing w:val="1"/>
              </w:rPr>
              <w:t>u</w:t>
            </w:r>
            <w:r w:rsidRPr="003032D8">
              <w:rPr>
                <w:rFonts w:ascii="TitilliumText25L" w:hAnsi="TitilliumText25L" w:cs="Arial"/>
                <w:color w:val="282828"/>
              </w:rPr>
              <w:t>facturer.</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74" w:after="0" w:line="240" w:lineRule="auto"/>
              <w:ind w:left="106" w:right="918"/>
              <w:rPr>
                <w:rFonts w:ascii="TitilliumText25L" w:hAnsi="TitilliumText25L"/>
                <w:sz w:val="24"/>
                <w:szCs w:val="24"/>
              </w:rPr>
            </w:pPr>
            <w:r w:rsidRPr="003032D8">
              <w:rPr>
                <w:rFonts w:ascii="TitilliumText25L" w:hAnsi="TitilliumText25L" w:cs="Arial"/>
                <w:color w:val="282828"/>
              </w:rPr>
              <w:t>Monitor</w:t>
            </w:r>
            <w:r w:rsidRPr="003032D8">
              <w:rPr>
                <w:rFonts w:ascii="TitilliumText25L" w:hAnsi="TitilliumText25L" w:cs="Arial"/>
                <w:color w:val="282828"/>
                <w:spacing w:val="-13"/>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progress</w:t>
            </w:r>
            <w:r w:rsidRPr="003032D8">
              <w:rPr>
                <w:rFonts w:ascii="TitilliumText25L" w:hAnsi="TitilliumText25L" w:cs="Arial"/>
                <w:color w:val="282828"/>
                <w:spacing w:val="-8"/>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t</w:t>
            </w:r>
            <w:r w:rsidRPr="003032D8">
              <w:rPr>
                <w:rFonts w:ascii="TitilliumText25L" w:hAnsi="TitilliumText25L" w:cs="Arial"/>
                <w:color w:val="282828"/>
              </w:rPr>
              <w:t>he</w:t>
            </w:r>
            <w:r w:rsidRPr="003032D8">
              <w:rPr>
                <w:rFonts w:ascii="TitilliumText25L" w:hAnsi="TitilliumText25L" w:cs="Arial"/>
                <w:color w:val="282828"/>
                <w:spacing w:val="-2"/>
              </w:rPr>
              <w:t xml:space="preserve"> </w:t>
            </w:r>
            <w:r w:rsidRPr="003032D8">
              <w:rPr>
                <w:rFonts w:ascii="TitilliumText25L" w:hAnsi="TitilliumText25L" w:cs="Arial"/>
                <w:color w:val="282828"/>
              </w:rPr>
              <w:t>processing</w:t>
            </w:r>
            <w:r w:rsidRPr="003032D8">
              <w:rPr>
                <w:rFonts w:ascii="TitilliumText25L" w:hAnsi="TitilliumText25L" w:cs="Arial"/>
                <w:color w:val="282828"/>
                <w:spacing w:val="-10"/>
              </w:rPr>
              <w:t xml:space="preserve"> </w:t>
            </w:r>
            <w:r w:rsidRPr="003032D8">
              <w:rPr>
                <w:rFonts w:ascii="TitilliumText25L" w:hAnsi="TitilliumText25L" w:cs="Arial"/>
                <w:color w:val="282828"/>
              </w:rPr>
              <w:t>procedu</w:t>
            </w:r>
            <w:r w:rsidRPr="003032D8">
              <w:rPr>
                <w:rFonts w:ascii="TitilliumText25L" w:hAnsi="TitilliumText25L" w:cs="Arial"/>
                <w:color w:val="282828"/>
                <w:spacing w:val="-1"/>
              </w:rPr>
              <w:t>r</w:t>
            </w:r>
            <w:r w:rsidRPr="003032D8">
              <w:rPr>
                <w:rFonts w:ascii="TitilliumText25L" w:hAnsi="TitilliumText25L" w:cs="Arial"/>
                <w:color w:val="282828"/>
              </w:rPr>
              <w:t>e</w:t>
            </w:r>
            <w:r w:rsidRPr="003032D8">
              <w:rPr>
                <w:rFonts w:ascii="TitilliumText25L" w:hAnsi="TitilliumText25L" w:cs="Arial"/>
                <w:color w:val="282828"/>
                <w:spacing w:val="-7"/>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report</w:t>
            </w:r>
            <w:r w:rsidRPr="003032D8">
              <w:rPr>
                <w:rFonts w:ascii="TitilliumText25L" w:hAnsi="TitilliumText25L" w:cs="Arial"/>
                <w:color w:val="282828"/>
                <w:spacing w:val="-5"/>
              </w:rPr>
              <w:t xml:space="preserve"> </w:t>
            </w:r>
            <w:r w:rsidRPr="003032D8">
              <w:rPr>
                <w:rFonts w:ascii="TitilliumText25L" w:hAnsi="TitilliumText25L" w:cs="Arial"/>
                <w:color w:val="282828"/>
              </w:rPr>
              <w:t>any problems to</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appropriate</w:t>
            </w:r>
            <w:r w:rsidRPr="003032D8">
              <w:rPr>
                <w:rFonts w:ascii="TitilliumText25L" w:hAnsi="TitilliumText25L" w:cs="Arial"/>
                <w:color w:val="282828"/>
                <w:spacing w:val="-10"/>
              </w:rPr>
              <w:t xml:space="preserve"> </w:t>
            </w:r>
            <w:r w:rsidRPr="003032D8">
              <w:rPr>
                <w:rFonts w:ascii="TitilliumText25L" w:hAnsi="TitilliumText25L" w:cs="Arial"/>
                <w:color w:val="282828"/>
              </w:rPr>
              <w:t>member</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Correctly</w:t>
            </w:r>
            <w:r w:rsidRPr="003032D8">
              <w:rPr>
                <w:rFonts w:ascii="TitilliumText25L" w:hAnsi="TitilliumText25L" w:cs="Arial"/>
                <w:color w:val="282828"/>
                <w:spacing w:val="-14"/>
              </w:rPr>
              <w:t xml:space="preserve"> </w:t>
            </w:r>
            <w:r w:rsidRPr="003032D8">
              <w:rPr>
                <w:rFonts w:ascii="TitilliumText25L" w:hAnsi="TitilliumText25L" w:cs="Arial"/>
                <w:color w:val="282828"/>
              </w:rPr>
              <w:t>record</w:t>
            </w:r>
            <w:r w:rsidRPr="003032D8">
              <w:rPr>
                <w:rFonts w:ascii="TitilliumText25L" w:hAnsi="TitilliumText25L" w:cs="Arial"/>
                <w:color w:val="282828"/>
                <w:spacing w:val="-6"/>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volume</w:t>
            </w:r>
            <w:r w:rsidRPr="003032D8">
              <w:rPr>
                <w:rFonts w:ascii="TitilliumText25L" w:hAnsi="TitilliumText25L" w:cs="Arial"/>
                <w:color w:val="282828"/>
                <w:spacing w:val="-6"/>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processed</w:t>
            </w:r>
            <w:r w:rsidRPr="003032D8">
              <w:rPr>
                <w:rFonts w:ascii="TitilliumText25L" w:hAnsi="TitilliumText25L" w:cs="Arial"/>
                <w:color w:val="282828"/>
                <w:spacing w:val="-9"/>
              </w:rPr>
              <w:t xml:space="preserve"> </w:t>
            </w:r>
            <w:r w:rsidRPr="003032D8">
              <w:rPr>
                <w:rFonts w:ascii="TitilliumText25L" w:hAnsi="TitilliumText25L" w:cs="Arial"/>
                <w:color w:val="282828"/>
              </w:rPr>
              <w:t>s</w:t>
            </w:r>
            <w:r w:rsidRPr="003032D8">
              <w:rPr>
                <w:rFonts w:ascii="TitilliumText25L" w:hAnsi="TitilliumText25L" w:cs="Arial"/>
                <w:color w:val="282828"/>
                <w:spacing w:val="-1"/>
              </w:rPr>
              <w:t>a</w:t>
            </w:r>
            <w:r w:rsidRPr="003032D8">
              <w:rPr>
                <w:rFonts w:ascii="TitilliumText25L" w:hAnsi="TitilliumText25L" w:cs="Arial"/>
                <w:color w:val="282828"/>
              </w:rPr>
              <w:t>lvaged</w:t>
            </w:r>
            <w:r w:rsidRPr="003032D8">
              <w:rPr>
                <w:rFonts w:ascii="TitilliumText25L" w:hAnsi="TitilliumText25L" w:cs="Arial"/>
                <w:color w:val="282828"/>
                <w:spacing w:val="-1"/>
              </w:rPr>
              <w:t xml:space="preserve"> </w:t>
            </w:r>
            <w:r w:rsidRPr="003032D8">
              <w:rPr>
                <w:rFonts w:ascii="TitilliumText25L" w:hAnsi="TitilliumText25L" w:cs="Arial"/>
                <w:color w:val="282828"/>
              </w:rPr>
              <w:t>cells</w:t>
            </w:r>
            <w:r w:rsidRPr="003032D8">
              <w:rPr>
                <w:rFonts w:ascii="TitilliumText25L" w:hAnsi="TitilliumText25L" w:cs="Arial"/>
                <w:color w:val="282828"/>
                <w:spacing w:val="-4"/>
              </w:rPr>
              <w:t xml:space="preserve"> </w:t>
            </w:r>
            <w:r w:rsidRPr="003032D8">
              <w:rPr>
                <w:rFonts w:ascii="TitilliumText25L" w:hAnsi="TitilliumText25L" w:cs="Arial"/>
                <w:color w:val="282828"/>
              </w:rPr>
              <w:t>for</w:t>
            </w:r>
            <w:r w:rsidRPr="003032D8">
              <w:rPr>
                <w:rFonts w:ascii="TitilliumText25L" w:hAnsi="TitilliumText25L" w:cs="Arial"/>
                <w:color w:val="282828"/>
                <w:spacing w:val="-3"/>
              </w:rPr>
              <w:t xml:space="preserve"> </w:t>
            </w:r>
            <w:r w:rsidRPr="003032D8">
              <w:rPr>
                <w:rFonts w:ascii="TitilliumText25L" w:hAnsi="TitilliumText25L" w:cs="Arial"/>
                <w:color w:val="282828"/>
              </w:rPr>
              <w:t>re-infusion.</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23"/>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47" w:after="0" w:line="240" w:lineRule="auto"/>
              <w:ind w:left="106" w:right="307"/>
              <w:rPr>
                <w:rFonts w:ascii="TitilliumText25L" w:hAnsi="TitilliumText25L"/>
                <w:sz w:val="24"/>
                <w:szCs w:val="24"/>
              </w:rPr>
            </w:pPr>
            <w:r w:rsidRPr="003032D8">
              <w:rPr>
                <w:rFonts w:ascii="TitilliumText25L" w:hAnsi="TitilliumText25L" w:cs="Arial"/>
                <w:color w:val="282828"/>
              </w:rPr>
              <w:t>Report</w:t>
            </w:r>
            <w:r w:rsidRPr="003032D8">
              <w:rPr>
                <w:rFonts w:ascii="TitilliumText25L" w:hAnsi="TitilliumText25L" w:cs="Arial"/>
                <w:color w:val="282828"/>
                <w:spacing w:val="-12"/>
              </w:rPr>
              <w:t xml:space="preserve"> </w:t>
            </w:r>
            <w:r w:rsidRPr="003032D8">
              <w:rPr>
                <w:rFonts w:ascii="TitilliumText25L" w:hAnsi="TitilliumText25L" w:cs="Arial"/>
                <w:color w:val="282828"/>
              </w:rPr>
              <w:t>completion</w:t>
            </w:r>
            <w:r w:rsidRPr="003032D8">
              <w:rPr>
                <w:rFonts w:ascii="TitilliumText25L" w:hAnsi="TitilliumText25L" w:cs="Arial"/>
                <w:color w:val="282828"/>
                <w:spacing w:val="-10"/>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t</w:t>
            </w:r>
            <w:r w:rsidRPr="003032D8">
              <w:rPr>
                <w:rFonts w:ascii="TitilliumText25L" w:hAnsi="TitilliumText25L" w:cs="Arial"/>
                <w:color w:val="282828"/>
                <w:spacing w:val="-1"/>
              </w:rPr>
              <w:t>h</w:t>
            </w:r>
            <w:r w:rsidRPr="003032D8">
              <w:rPr>
                <w:rFonts w:ascii="TitilliumText25L" w:hAnsi="TitilliumText25L" w:cs="Arial"/>
                <w:color w:val="282828"/>
              </w:rPr>
              <w:t>e</w:t>
            </w:r>
            <w:r w:rsidRPr="003032D8">
              <w:rPr>
                <w:rFonts w:ascii="TitilliumText25L" w:hAnsi="TitilliumText25L" w:cs="Arial"/>
                <w:color w:val="282828"/>
                <w:spacing w:val="-1"/>
              </w:rPr>
              <w:t xml:space="preserve"> </w:t>
            </w:r>
            <w:r w:rsidRPr="003032D8">
              <w:rPr>
                <w:rFonts w:ascii="TitilliumText25L" w:hAnsi="TitilliumText25L" w:cs="Arial"/>
                <w:color w:val="282828"/>
              </w:rPr>
              <w:t>processi</w:t>
            </w:r>
            <w:r w:rsidRPr="003032D8">
              <w:rPr>
                <w:rFonts w:ascii="TitilliumText25L" w:hAnsi="TitilliumText25L" w:cs="Arial"/>
                <w:color w:val="282828"/>
                <w:spacing w:val="-1"/>
              </w:rPr>
              <w:t>n</w:t>
            </w:r>
            <w:r w:rsidRPr="003032D8">
              <w:rPr>
                <w:rFonts w:ascii="TitilliumText25L" w:hAnsi="TitilliumText25L" w:cs="Arial"/>
                <w:color w:val="282828"/>
              </w:rPr>
              <w:t>g</w:t>
            </w:r>
            <w:r w:rsidRPr="003032D8">
              <w:rPr>
                <w:rFonts w:ascii="TitilliumText25L" w:hAnsi="TitilliumText25L" w:cs="Arial"/>
                <w:color w:val="282828"/>
                <w:spacing w:val="-7"/>
              </w:rPr>
              <w:t xml:space="preserve"> </w:t>
            </w:r>
            <w:r w:rsidRPr="003032D8">
              <w:rPr>
                <w:rFonts w:ascii="TitilliumText25L" w:hAnsi="TitilliumText25L" w:cs="Arial"/>
                <w:color w:val="282828"/>
              </w:rPr>
              <w:t>procedure</w:t>
            </w:r>
            <w:r w:rsidRPr="003032D8">
              <w:rPr>
                <w:rFonts w:ascii="TitilliumText25L" w:hAnsi="TitilliumText25L" w:cs="Arial"/>
                <w:color w:val="282828"/>
                <w:spacing w:val="-10"/>
              </w:rPr>
              <w:t xml:space="preserve"> </w:t>
            </w:r>
            <w:r w:rsidRPr="003032D8">
              <w:rPr>
                <w:rFonts w:ascii="TitilliumText25L" w:hAnsi="TitilliumText25L" w:cs="Arial"/>
                <w:color w:val="282828"/>
              </w:rPr>
              <w:t>to</w:t>
            </w:r>
            <w:r w:rsidRPr="003032D8">
              <w:rPr>
                <w:rFonts w:ascii="TitilliumText25L" w:hAnsi="TitilliumText25L" w:cs="Arial"/>
                <w:color w:val="282828"/>
                <w:spacing w:val="-2"/>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relevant</w:t>
            </w:r>
            <w:r w:rsidRPr="003032D8">
              <w:rPr>
                <w:rFonts w:ascii="TitilliumText25L" w:hAnsi="TitilliumText25L" w:cs="Arial"/>
                <w:color w:val="282828"/>
                <w:spacing w:val="-7"/>
              </w:rPr>
              <w:t xml:space="preserve"> </w:t>
            </w:r>
            <w:r w:rsidRPr="003032D8">
              <w:rPr>
                <w:rFonts w:ascii="TitilliumText25L" w:hAnsi="TitilliumText25L" w:cs="Arial"/>
                <w:color w:val="282828"/>
              </w:rPr>
              <w:t>member</w:t>
            </w:r>
            <w:r w:rsidRPr="003032D8">
              <w:rPr>
                <w:rFonts w:ascii="TitilliumText25L" w:hAnsi="TitilliumText25L" w:cs="Arial"/>
                <w:color w:val="282828"/>
                <w:spacing w:val="-7"/>
              </w:rPr>
              <w:t xml:space="preserve"> </w:t>
            </w:r>
            <w:r w:rsidRPr="003032D8">
              <w:rPr>
                <w:rFonts w:ascii="TitilliumText25L" w:hAnsi="TitilliumText25L" w:cs="Arial"/>
                <w:color w:val="282828"/>
              </w:rPr>
              <w:t xml:space="preserve">of </w:t>
            </w:r>
            <w:r w:rsidRPr="003032D8">
              <w:rPr>
                <w:rFonts w:ascii="TitilliumText25L" w:hAnsi="TitilliumText25L" w:cs="Arial"/>
                <w:color w:val="282828"/>
                <w:w w:val="99"/>
              </w:rPr>
              <w:t>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851"/>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34" w:after="0" w:line="239" w:lineRule="auto"/>
              <w:ind w:left="106" w:right="268"/>
              <w:rPr>
                <w:rFonts w:ascii="TitilliumText25L" w:hAnsi="TitilliumText25L"/>
                <w:sz w:val="24"/>
                <w:szCs w:val="24"/>
              </w:rPr>
            </w:pPr>
            <w:r w:rsidRPr="003032D8">
              <w:rPr>
                <w:rFonts w:ascii="TitilliumText25L" w:hAnsi="TitilliumText25L" w:cs="Arial"/>
                <w:color w:val="282828"/>
              </w:rPr>
              <w:t>Through a safe patient identification process, clearly</w:t>
            </w:r>
            <w:r w:rsidRPr="003032D8">
              <w:rPr>
                <w:rFonts w:ascii="TitilliumText25L" w:hAnsi="TitilliumText25L" w:cs="Arial"/>
                <w:color w:val="282828"/>
                <w:spacing w:val="-12"/>
              </w:rPr>
              <w:t xml:space="preserve"> </w:t>
            </w:r>
            <w:r w:rsidRPr="003032D8">
              <w:rPr>
                <w:rFonts w:ascii="TitilliumText25L" w:hAnsi="TitilliumText25L" w:cs="Arial"/>
                <w:color w:val="282828"/>
              </w:rPr>
              <w:t>label</w:t>
            </w:r>
            <w:r w:rsidRPr="003032D8">
              <w:rPr>
                <w:rFonts w:ascii="TitilliumText25L" w:hAnsi="TitilliumText25L" w:cs="Arial"/>
                <w:color w:val="282828"/>
                <w:spacing w:val="-4"/>
              </w:rPr>
              <w:t xml:space="preserve"> </w:t>
            </w:r>
            <w:r w:rsidRPr="003032D8">
              <w:rPr>
                <w:rFonts w:ascii="TitilliumText25L" w:hAnsi="TitilliumText25L" w:cs="Arial"/>
                <w:color w:val="282828"/>
              </w:rPr>
              <w:t>salvaged</w:t>
            </w:r>
            <w:r w:rsidRPr="003032D8">
              <w:rPr>
                <w:rFonts w:ascii="TitilliumText25L" w:hAnsi="TitilliumText25L" w:cs="Arial"/>
                <w:color w:val="282828"/>
                <w:spacing w:val="-8"/>
              </w:rPr>
              <w:t xml:space="preserve"> </w:t>
            </w:r>
            <w:r w:rsidRPr="003032D8">
              <w:rPr>
                <w:rFonts w:ascii="TitilliumText25L" w:hAnsi="TitilliumText25L" w:cs="Arial"/>
                <w:color w:val="282828"/>
              </w:rPr>
              <w:t>blood</w:t>
            </w:r>
            <w:r w:rsidRPr="003032D8">
              <w:rPr>
                <w:rFonts w:ascii="TitilliumText25L" w:hAnsi="TitilliumText25L" w:cs="Arial"/>
                <w:color w:val="282828"/>
                <w:spacing w:val="-5"/>
              </w:rPr>
              <w:t xml:space="preserve"> </w:t>
            </w:r>
            <w:r w:rsidRPr="003032D8">
              <w:rPr>
                <w:rFonts w:ascii="TitilliumText25L" w:hAnsi="TitilliumText25L" w:cs="Arial"/>
                <w:color w:val="282828"/>
              </w:rPr>
              <w:t>re-infusion</w:t>
            </w:r>
            <w:r w:rsidRPr="003032D8">
              <w:rPr>
                <w:rFonts w:ascii="TitilliumText25L" w:hAnsi="TitilliumText25L" w:cs="Arial"/>
                <w:color w:val="282828"/>
                <w:spacing w:val="-9"/>
              </w:rPr>
              <w:t xml:space="preserve"> </w:t>
            </w:r>
            <w:r w:rsidRPr="003032D8">
              <w:rPr>
                <w:rFonts w:ascii="TitilliumText25L" w:hAnsi="TitilliumText25L" w:cs="Arial"/>
                <w:color w:val="282828"/>
              </w:rPr>
              <w:t>bags</w:t>
            </w:r>
            <w:r w:rsidRPr="003032D8">
              <w:rPr>
                <w:rFonts w:ascii="TitilliumText25L" w:hAnsi="TitilliumText25L" w:cs="Arial"/>
                <w:color w:val="282828"/>
                <w:spacing w:val="-4"/>
              </w:rPr>
              <w:t xml:space="preserve"> </w:t>
            </w:r>
            <w:r w:rsidRPr="003032D8">
              <w:rPr>
                <w:rFonts w:ascii="TitilliumText25L" w:hAnsi="TitilliumText25L" w:cs="Arial"/>
                <w:color w:val="282828"/>
              </w:rPr>
              <w:t>wi</w:t>
            </w:r>
            <w:r w:rsidRPr="003032D8">
              <w:rPr>
                <w:rFonts w:ascii="TitilliumText25L" w:hAnsi="TitilliumText25L" w:cs="Arial"/>
                <w:color w:val="282828"/>
                <w:spacing w:val="-1"/>
              </w:rPr>
              <w:t>t</w:t>
            </w:r>
            <w:r w:rsidRPr="003032D8">
              <w:rPr>
                <w:rFonts w:ascii="TitilliumText25L" w:hAnsi="TitilliumText25L" w:cs="Arial"/>
                <w:color w:val="282828"/>
              </w:rPr>
              <w:t>h</w:t>
            </w:r>
            <w:r w:rsidRPr="003032D8">
              <w:rPr>
                <w:rFonts w:ascii="TitilliumText25L" w:hAnsi="TitilliumText25L" w:cs="Arial"/>
                <w:color w:val="282828"/>
                <w:spacing w:val="-2"/>
              </w:rPr>
              <w:t xml:space="preserve"> </w:t>
            </w:r>
            <w:r w:rsidRPr="003032D8">
              <w:rPr>
                <w:rFonts w:ascii="TitilliumText25L" w:hAnsi="TitilliumText25L" w:cs="Arial"/>
                <w:color w:val="282828"/>
              </w:rPr>
              <w:t>patient's</w:t>
            </w:r>
            <w:r w:rsidRPr="003032D8">
              <w:rPr>
                <w:rFonts w:ascii="TitilliumText25L" w:hAnsi="TitilliumText25L" w:cs="Arial"/>
                <w:color w:val="282828"/>
                <w:spacing w:val="-7"/>
              </w:rPr>
              <w:t xml:space="preserve"> </w:t>
            </w:r>
            <w:r w:rsidRPr="003032D8">
              <w:rPr>
                <w:rFonts w:ascii="TitilliumText25L" w:hAnsi="TitilliumText25L" w:cs="Arial"/>
                <w:color w:val="282828"/>
                <w:spacing w:val="-1"/>
              </w:rPr>
              <w:t>n</w:t>
            </w:r>
            <w:r w:rsidRPr="003032D8">
              <w:rPr>
                <w:rFonts w:ascii="TitilliumText25L" w:hAnsi="TitilliumText25L" w:cs="Arial"/>
                <w:color w:val="282828"/>
              </w:rPr>
              <w:t>ame,</w:t>
            </w:r>
            <w:r w:rsidRPr="003032D8">
              <w:rPr>
                <w:rFonts w:ascii="TitilliumText25L" w:hAnsi="TitilliumText25L" w:cs="Arial"/>
                <w:color w:val="282828"/>
                <w:spacing w:val="-1"/>
              </w:rPr>
              <w:t xml:space="preserve"> </w:t>
            </w:r>
            <w:r w:rsidRPr="003032D8">
              <w:rPr>
                <w:rFonts w:ascii="TitilliumText25L" w:hAnsi="TitilliumText25L" w:cs="Arial"/>
                <w:color w:val="282828"/>
              </w:rPr>
              <w:t>hospital n</w:t>
            </w:r>
            <w:r w:rsidRPr="003032D8">
              <w:rPr>
                <w:rFonts w:ascii="TitilliumText25L" w:hAnsi="TitilliumText25L" w:cs="Arial"/>
                <w:color w:val="282828"/>
                <w:spacing w:val="-1"/>
              </w:rPr>
              <w:t>u</w:t>
            </w:r>
            <w:r w:rsidRPr="003032D8">
              <w:rPr>
                <w:rFonts w:ascii="TitilliumText25L" w:hAnsi="TitilliumText25L" w:cs="Arial"/>
                <w:color w:val="282828"/>
              </w:rPr>
              <w:t>mber,</w:t>
            </w:r>
            <w:r w:rsidRPr="003032D8">
              <w:rPr>
                <w:rFonts w:ascii="TitilliumText25L" w:hAnsi="TitilliumText25L" w:cs="Arial"/>
                <w:color w:val="282828"/>
                <w:spacing w:val="-1"/>
              </w:rPr>
              <w:t xml:space="preserve"> </w:t>
            </w:r>
            <w:r w:rsidRPr="003032D8">
              <w:rPr>
                <w:rFonts w:ascii="TitilliumText25L" w:hAnsi="TitilliumText25L" w:cs="Arial"/>
                <w:color w:val="282828"/>
              </w:rPr>
              <w:t>date</w:t>
            </w:r>
            <w:r w:rsidRPr="003032D8">
              <w:rPr>
                <w:rFonts w:ascii="TitilliumText25L" w:hAnsi="TitilliumText25L" w:cs="Arial"/>
                <w:color w:val="282828"/>
                <w:spacing w:val="-4"/>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birth,</w:t>
            </w:r>
            <w:r w:rsidRPr="003032D8">
              <w:rPr>
                <w:rFonts w:ascii="TitilliumText25L" w:hAnsi="TitilliumText25L" w:cs="Arial"/>
                <w:color w:val="282828"/>
                <w:spacing w:val="-4"/>
              </w:rPr>
              <w:t xml:space="preserve"> </w:t>
            </w:r>
            <w:r w:rsidRPr="003032D8">
              <w:rPr>
                <w:rFonts w:ascii="TitilliumText25L" w:hAnsi="TitilliumText25L" w:cs="Arial"/>
                <w:color w:val="282828"/>
              </w:rPr>
              <w:t>'use</w:t>
            </w:r>
            <w:r w:rsidRPr="003032D8">
              <w:rPr>
                <w:rFonts w:ascii="TitilliumText25L" w:hAnsi="TitilliumText25L" w:cs="Arial"/>
                <w:color w:val="282828"/>
                <w:spacing w:val="-5"/>
              </w:rPr>
              <w:t xml:space="preserve"> </w:t>
            </w:r>
            <w:r w:rsidRPr="003032D8">
              <w:rPr>
                <w:rFonts w:ascii="TitilliumText25L" w:hAnsi="TitilliumText25L" w:cs="Arial"/>
                <w:color w:val="282828"/>
              </w:rPr>
              <w:t>by'</w:t>
            </w:r>
            <w:r w:rsidRPr="003032D8">
              <w:rPr>
                <w:rFonts w:ascii="TitilliumText25L" w:hAnsi="TitilliumText25L" w:cs="Arial"/>
                <w:color w:val="282828"/>
                <w:spacing w:val="-2"/>
              </w:rPr>
              <w:t xml:space="preserve"> </w:t>
            </w:r>
            <w:r w:rsidRPr="003032D8">
              <w:rPr>
                <w:rFonts w:ascii="TitilliumText25L" w:hAnsi="TitilliumText25L" w:cs="Arial"/>
                <w:color w:val="282828"/>
              </w:rPr>
              <w:t>time</w:t>
            </w:r>
            <w:r w:rsidRPr="003032D8">
              <w:rPr>
                <w:rFonts w:ascii="TitilliumText25L" w:hAnsi="TitilliumText25L" w:cs="Arial"/>
                <w:color w:val="282828"/>
                <w:spacing w:val="-4"/>
              </w:rPr>
              <w:t xml:space="preserve"> </w:t>
            </w:r>
            <w:r w:rsidRPr="003032D8">
              <w:rPr>
                <w:rFonts w:ascii="TitilliumText25L" w:hAnsi="TitilliumText25L" w:cs="Arial"/>
                <w:color w:val="282828"/>
              </w:rPr>
              <w:t>a</w:t>
            </w:r>
            <w:r w:rsidRPr="003032D8">
              <w:rPr>
                <w:rFonts w:ascii="TitilliumText25L" w:hAnsi="TitilliumText25L" w:cs="Arial"/>
                <w:color w:val="282828"/>
                <w:spacing w:val="1"/>
              </w:rPr>
              <w:t>n</w:t>
            </w:r>
            <w:r w:rsidRPr="003032D8">
              <w:rPr>
                <w:rFonts w:ascii="TitilliumText25L" w:hAnsi="TitilliumText25L" w:cs="Arial"/>
                <w:color w:val="282828"/>
              </w:rPr>
              <w:t>d</w:t>
            </w:r>
            <w:r w:rsidRPr="003032D8">
              <w:rPr>
                <w:rFonts w:ascii="TitilliumText25L" w:hAnsi="TitilliumText25L" w:cs="Arial"/>
                <w:color w:val="282828"/>
                <w:spacing w:val="-1"/>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volume</w:t>
            </w:r>
            <w:r w:rsidRPr="003032D8">
              <w:rPr>
                <w:rFonts w:ascii="TitilliumText25L" w:hAnsi="TitilliumText25L" w:cs="Arial"/>
                <w:color w:val="282828"/>
                <w:spacing w:val="-6"/>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salvaged</w:t>
            </w:r>
            <w:r w:rsidRPr="003032D8">
              <w:rPr>
                <w:rFonts w:ascii="TitilliumText25L" w:hAnsi="TitilliumText25L" w:cs="Arial"/>
                <w:color w:val="282828"/>
                <w:spacing w:val="-8"/>
              </w:rPr>
              <w:t xml:space="preserve"> </w:t>
            </w:r>
            <w:r w:rsidRPr="003032D8">
              <w:rPr>
                <w:rFonts w:ascii="TitilliumText25L" w:hAnsi="TitilliumText25L" w:cs="Arial"/>
                <w:color w:val="282828"/>
              </w:rPr>
              <w:t>cells.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397"/>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60" w:after="0" w:line="240" w:lineRule="auto"/>
              <w:ind w:left="106"/>
              <w:rPr>
                <w:rFonts w:ascii="TitilliumText25L" w:hAnsi="TitilliumText25L"/>
                <w:sz w:val="24"/>
                <w:szCs w:val="24"/>
              </w:rPr>
            </w:pPr>
            <w:r w:rsidRPr="003032D8">
              <w:rPr>
                <w:rFonts w:ascii="TitilliumText25L" w:hAnsi="TitilliumText25L" w:cs="Arial"/>
                <w:color w:val="282828"/>
              </w:rPr>
              <w:t>Keep</w:t>
            </w:r>
            <w:r w:rsidRPr="003032D8">
              <w:rPr>
                <w:rFonts w:ascii="TitilliumText25L" w:hAnsi="TitilliumText25L" w:cs="Arial"/>
                <w:color w:val="282828"/>
                <w:spacing w:val="-11"/>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processed</w:t>
            </w:r>
            <w:r w:rsidRPr="003032D8">
              <w:rPr>
                <w:rFonts w:ascii="TitilliumText25L" w:hAnsi="TitilliumText25L" w:cs="Arial"/>
                <w:color w:val="282828"/>
                <w:spacing w:val="-9"/>
              </w:rPr>
              <w:t xml:space="preserve"> </w:t>
            </w:r>
            <w:r w:rsidRPr="003032D8">
              <w:rPr>
                <w:rFonts w:ascii="TitilliumText25L" w:hAnsi="TitilliumText25L" w:cs="Arial"/>
                <w:color w:val="282828"/>
                <w:spacing w:val="-1"/>
              </w:rPr>
              <w:t>b</w:t>
            </w:r>
            <w:r w:rsidRPr="003032D8">
              <w:rPr>
                <w:rFonts w:ascii="TitilliumText25L" w:hAnsi="TitilliumText25L" w:cs="Arial"/>
                <w:color w:val="282828"/>
              </w:rPr>
              <w:t>l</w:t>
            </w:r>
            <w:r w:rsidRPr="003032D8">
              <w:rPr>
                <w:rFonts w:ascii="TitilliumText25L" w:hAnsi="TitilliumText25L" w:cs="Arial"/>
                <w:color w:val="282828"/>
                <w:spacing w:val="-1"/>
              </w:rPr>
              <w:t>o</w:t>
            </w:r>
            <w:r w:rsidRPr="003032D8">
              <w:rPr>
                <w:rFonts w:ascii="TitilliumText25L" w:hAnsi="TitilliumText25L" w:cs="Arial"/>
                <w:color w:val="282828"/>
              </w:rPr>
              <w:t>od</w:t>
            </w:r>
            <w:r w:rsidRPr="003032D8">
              <w:rPr>
                <w:rFonts w:ascii="TitilliumText25L" w:hAnsi="TitilliumText25L" w:cs="Arial"/>
                <w:color w:val="282828"/>
                <w:spacing w:val="-1"/>
              </w:rPr>
              <w:t xml:space="preserve"> </w:t>
            </w:r>
            <w:r w:rsidRPr="003032D8">
              <w:rPr>
                <w:rFonts w:ascii="TitilliumText25L" w:hAnsi="TitilliumText25L" w:cs="Arial"/>
                <w:color w:val="282828"/>
              </w:rPr>
              <w:t>with</w:t>
            </w:r>
            <w:r w:rsidRPr="003032D8">
              <w:rPr>
                <w:rFonts w:ascii="TitilliumText25L" w:hAnsi="TitilliumText25L" w:cs="Arial"/>
                <w:color w:val="282828"/>
                <w:spacing w:val="-4"/>
              </w:rPr>
              <w:t xml:space="preserve"> </w:t>
            </w:r>
            <w:r w:rsidRPr="003032D8">
              <w:rPr>
                <w:rFonts w:ascii="TitilliumText25L" w:hAnsi="TitilliumText25L" w:cs="Arial"/>
                <w:color w:val="282828"/>
              </w:rPr>
              <w:t>the</w:t>
            </w:r>
            <w:r w:rsidRPr="003032D8">
              <w:rPr>
                <w:rFonts w:ascii="TitilliumText25L" w:hAnsi="TitilliumText25L" w:cs="Arial"/>
                <w:color w:val="282828"/>
                <w:spacing w:val="-3"/>
              </w:rPr>
              <w:t xml:space="preserve"> </w:t>
            </w:r>
            <w:r w:rsidRPr="003032D8">
              <w:rPr>
                <w:rFonts w:ascii="TitilliumText25L" w:hAnsi="TitilliumText25L" w:cs="Arial"/>
                <w:color w:val="282828"/>
              </w:rPr>
              <w:t>patient.</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74" w:after="0" w:line="240" w:lineRule="auto"/>
              <w:ind w:left="106" w:right="684"/>
              <w:rPr>
                <w:rFonts w:ascii="TitilliumText25L" w:hAnsi="TitilliumText25L"/>
                <w:sz w:val="24"/>
                <w:szCs w:val="24"/>
              </w:rPr>
            </w:pPr>
            <w:r w:rsidRPr="003032D8">
              <w:rPr>
                <w:rFonts w:ascii="TitilliumText25L" w:hAnsi="TitilliumText25L" w:cs="Arial"/>
                <w:color w:val="282828"/>
              </w:rPr>
              <w:t>Clear</w:t>
            </w:r>
            <w:r w:rsidRPr="003032D8">
              <w:rPr>
                <w:rFonts w:ascii="TitilliumText25L" w:hAnsi="TitilliumText25L" w:cs="Arial"/>
                <w:color w:val="282828"/>
                <w:spacing w:val="-11"/>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dispose</w:t>
            </w:r>
            <w:r w:rsidRPr="003032D8">
              <w:rPr>
                <w:rFonts w:ascii="TitilliumText25L" w:hAnsi="TitilliumText25L" w:cs="Arial"/>
                <w:color w:val="282828"/>
                <w:spacing w:val="-7"/>
              </w:rPr>
              <w:t xml:space="preserve"> </w:t>
            </w:r>
            <w:r w:rsidRPr="003032D8">
              <w:rPr>
                <w:rFonts w:ascii="TitilliumText25L" w:hAnsi="TitilliumText25L" w:cs="Arial"/>
                <w:color w:val="282828"/>
              </w:rPr>
              <w:t>of</w:t>
            </w:r>
            <w:r w:rsidRPr="003032D8">
              <w:rPr>
                <w:rFonts w:ascii="TitilliumText25L" w:hAnsi="TitilliumText25L" w:cs="Arial"/>
                <w:color w:val="282828"/>
                <w:spacing w:val="-2"/>
              </w:rPr>
              <w:t xml:space="preserve"> </w:t>
            </w:r>
            <w:r w:rsidRPr="003032D8">
              <w:rPr>
                <w:rFonts w:ascii="TitilliumText25L" w:hAnsi="TitilliumText25L" w:cs="Arial"/>
                <w:color w:val="282828"/>
              </w:rPr>
              <w:t>w</w:t>
            </w:r>
            <w:r w:rsidRPr="003032D8">
              <w:rPr>
                <w:rFonts w:ascii="TitilliumText25L" w:hAnsi="TitilliumText25L" w:cs="Arial"/>
                <w:color w:val="282828"/>
                <w:spacing w:val="-1"/>
              </w:rPr>
              <w:t>a</w:t>
            </w:r>
            <w:r w:rsidRPr="003032D8">
              <w:rPr>
                <w:rFonts w:ascii="TitilliumText25L" w:hAnsi="TitilliumText25L" w:cs="Arial"/>
                <w:color w:val="282828"/>
              </w:rPr>
              <w:t>ste</w:t>
            </w:r>
            <w:r w:rsidRPr="003032D8">
              <w:rPr>
                <w:rFonts w:ascii="TitilliumText25L" w:hAnsi="TitilliumText25L" w:cs="Arial"/>
                <w:color w:val="282828"/>
                <w:spacing w:val="-1"/>
              </w:rPr>
              <w:t xml:space="preserve"> </w:t>
            </w:r>
            <w:r w:rsidRPr="003032D8">
              <w:rPr>
                <w:rFonts w:ascii="TitilliumText25L" w:hAnsi="TitilliumText25L" w:cs="Arial"/>
                <w:color w:val="282828"/>
              </w:rPr>
              <w:t>as</w:t>
            </w:r>
            <w:r w:rsidRPr="003032D8">
              <w:rPr>
                <w:rFonts w:ascii="TitilliumText25L" w:hAnsi="TitilliumText25L" w:cs="Arial"/>
                <w:color w:val="282828"/>
                <w:spacing w:val="-2"/>
              </w:rPr>
              <w:t xml:space="preserve"> </w:t>
            </w:r>
            <w:r w:rsidRPr="003032D8">
              <w:rPr>
                <w:rFonts w:ascii="TitilliumText25L" w:hAnsi="TitilliumText25L" w:cs="Arial"/>
                <w:color w:val="282828"/>
              </w:rPr>
              <w:t>appr</w:t>
            </w:r>
            <w:r w:rsidRPr="003032D8">
              <w:rPr>
                <w:rFonts w:ascii="TitilliumText25L" w:hAnsi="TitilliumText25L" w:cs="Arial"/>
                <w:color w:val="282828"/>
                <w:spacing w:val="-1"/>
              </w:rPr>
              <w:t>o</w:t>
            </w:r>
            <w:r w:rsidRPr="003032D8">
              <w:rPr>
                <w:rFonts w:ascii="TitilliumText25L" w:hAnsi="TitilliumText25L" w:cs="Arial"/>
                <w:color w:val="282828"/>
              </w:rPr>
              <w:t>priate</w:t>
            </w:r>
            <w:r w:rsidRPr="003032D8">
              <w:rPr>
                <w:rFonts w:ascii="TitilliumText25L" w:hAnsi="TitilliumText25L" w:cs="Arial"/>
                <w:color w:val="282828"/>
                <w:spacing w:val="-4"/>
              </w:rPr>
              <w:t xml:space="preserve"> </w:t>
            </w:r>
            <w:r w:rsidRPr="003032D8">
              <w:rPr>
                <w:rFonts w:ascii="TitilliumText25L" w:hAnsi="TitilliumText25L" w:cs="Arial"/>
                <w:color w:val="282828"/>
              </w:rPr>
              <w:t>in</w:t>
            </w:r>
            <w:r w:rsidRPr="003032D8">
              <w:rPr>
                <w:rFonts w:ascii="TitilliumText25L" w:hAnsi="TitilliumText25L" w:cs="Arial"/>
                <w:color w:val="282828"/>
                <w:spacing w:val="-2"/>
              </w:rPr>
              <w:t xml:space="preserve"> </w:t>
            </w:r>
            <w:r w:rsidRPr="003032D8">
              <w:rPr>
                <w:rFonts w:ascii="TitilliumText25L" w:hAnsi="TitilliumText25L" w:cs="Arial"/>
                <w:color w:val="282828"/>
              </w:rPr>
              <w:t>accordance</w:t>
            </w:r>
            <w:r w:rsidRPr="003032D8">
              <w:rPr>
                <w:rFonts w:ascii="TitilliumText25L" w:hAnsi="TitilliumText25L" w:cs="Arial"/>
                <w:color w:val="282828"/>
                <w:spacing w:val="-10"/>
              </w:rPr>
              <w:t xml:space="preserve"> </w:t>
            </w:r>
            <w:r w:rsidRPr="003032D8">
              <w:rPr>
                <w:rFonts w:ascii="TitilliumText25L" w:hAnsi="TitilliumText25L" w:cs="Arial"/>
                <w:color w:val="282828"/>
              </w:rPr>
              <w:t>wi</w:t>
            </w:r>
            <w:r w:rsidRPr="003032D8">
              <w:rPr>
                <w:rFonts w:ascii="TitilliumText25L" w:hAnsi="TitilliumText25L" w:cs="Arial"/>
                <w:color w:val="282828"/>
                <w:spacing w:val="-1"/>
              </w:rPr>
              <w:t>t</w:t>
            </w:r>
            <w:r w:rsidRPr="003032D8">
              <w:rPr>
                <w:rFonts w:ascii="TitilliumText25L" w:hAnsi="TitilliumText25L" w:cs="Arial"/>
                <w:color w:val="282828"/>
              </w:rPr>
              <w:t>h</w:t>
            </w:r>
            <w:r w:rsidRPr="003032D8">
              <w:rPr>
                <w:rFonts w:ascii="TitilliumText25L" w:hAnsi="TitilliumText25L" w:cs="Arial"/>
                <w:color w:val="282828"/>
                <w:spacing w:val="-2"/>
              </w:rPr>
              <w:t xml:space="preserve"> </w:t>
            </w:r>
            <w:r w:rsidRPr="003032D8">
              <w:rPr>
                <w:rFonts w:ascii="TitilliumText25L" w:hAnsi="TitilliumText25L" w:cs="Arial"/>
                <w:color w:val="282828"/>
              </w:rPr>
              <w:t>local guidelines.</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445"/>
        </w:trPr>
        <w:tc>
          <w:tcPr>
            <w:tcW w:w="736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84" w:after="0" w:line="240" w:lineRule="auto"/>
              <w:ind w:left="106"/>
              <w:rPr>
                <w:rFonts w:ascii="TitilliumText25L" w:hAnsi="TitilliumText25L"/>
                <w:sz w:val="24"/>
                <w:szCs w:val="24"/>
              </w:rPr>
            </w:pPr>
            <w:r w:rsidRPr="003032D8">
              <w:rPr>
                <w:rFonts w:ascii="TitilliumText25L" w:hAnsi="TitilliumText25L" w:cs="Arial"/>
                <w:color w:val="282828"/>
              </w:rPr>
              <w:t>Complete</w:t>
            </w:r>
            <w:r w:rsidRPr="003032D8">
              <w:rPr>
                <w:rFonts w:ascii="TitilliumText25L" w:hAnsi="TitilliumText25L" w:cs="Arial"/>
                <w:color w:val="282828"/>
                <w:spacing w:val="-15"/>
              </w:rPr>
              <w:t xml:space="preserve"> </w:t>
            </w:r>
            <w:r w:rsidRPr="003032D8">
              <w:rPr>
                <w:rFonts w:ascii="TitilliumText25L" w:hAnsi="TitilliumText25L" w:cs="Arial"/>
                <w:color w:val="282828"/>
              </w:rPr>
              <w:t>and</w:t>
            </w:r>
            <w:r w:rsidRPr="003032D8">
              <w:rPr>
                <w:rFonts w:ascii="TitilliumText25L" w:hAnsi="TitilliumText25L" w:cs="Arial"/>
                <w:color w:val="282828"/>
                <w:spacing w:val="-3"/>
              </w:rPr>
              <w:t xml:space="preserve"> </w:t>
            </w:r>
            <w:r w:rsidRPr="003032D8">
              <w:rPr>
                <w:rFonts w:ascii="TitilliumText25L" w:hAnsi="TitilliumText25L" w:cs="Arial"/>
                <w:color w:val="282828"/>
              </w:rPr>
              <w:t>sign</w:t>
            </w:r>
            <w:r w:rsidRPr="003032D8">
              <w:rPr>
                <w:rFonts w:ascii="TitilliumText25L" w:hAnsi="TitilliumText25L" w:cs="Arial"/>
                <w:color w:val="282828"/>
                <w:spacing w:val="-4"/>
              </w:rPr>
              <w:t xml:space="preserve"> </w:t>
            </w:r>
            <w:r w:rsidRPr="003032D8">
              <w:rPr>
                <w:rFonts w:ascii="TitilliumText25L" w:hAnsi="TitilliumText25L" w:cs="Arial"/>
                <w:color w:val="282828"/>
              </w:rPr>
              <w:t>all</w:t>
            </w:r>
            <w:r w:rsidRPr="003032D8">
              <w:rPr>
                <w:rFonts w:ascii="TitilliumText25L" w:hAnsi="TitilliumText25L" w:cs="Arial"/>
                <w:color w:val="282828"/>
                <w:spacing w:val="-2"/>
              </w:rPr>
              <w:t xml:space="preserve"> </w:t>
            </w:r>
            <w:r w:rsidRPr="003032D8">
              <w:rPr>
                <w:rFonts w:ascii="TitilliumText25L" w:hAnsi="TitilliumText25L" w:cs="Arial"/>
                <w:color w:val="282828"/>
                <w:spacing w:val="-1"/>
              </w:rPr>
              <w:t>r</w:t>
            </w:r>
            <w:r w:rsidRPr="003032D8">
              <w:rPr>
                <w:rFonts w:ascii="TitilliumText25L" w:hAnsi="TitilliumText25L" w:cs="Arial"/>
                <w:color w:val="282828"/>
              </w:rPr>
              <w:t>elevant</w:t>
            </w:r>
            <w:r w:rsidRPr="003032D8">
              <w:rPr>
                <w:rFonts w:ascii="TitilliumText25L" w:hAnsi="TitilliumText25L" w:cs="Arial"/>
                <w:color w:val="282828"/>
                <w:spacing w:val="-1"/>
              </w:rPr>
              <w:t xml:space="preserve"> </w:t>
            </w:r>
            <w:r w:rsidRPr="003032D8">
              <w:rPr>
                <w:rFonts w:ascii="TitilliumText25L" w:hAnsi="TitilliumText25L" w:cs="Arial"/>
                <w:color w:val="282828"/>
              </w:rPr>
              <w:t>documentation.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bl>
    <w:p w:rsidR="00BE3BE3" w:rsidRPr="003032D8" w:rsidRDefault="00BE3BE3" w:rsidP="00BE3BE3">
      <w:pPr>
        <w:widowControl w:val="0"/>
        <w:autoSpaceDE w:val="0"/>
        <w:autoSpaceDN w:val="0"/>
        <w:adjustRightInd w:val="0"/>
        <w:spacing w:before="10" w:after="0" w:line="200" w:lineRule="exact"/>
        <w:rPr>
          <w:rFonts w:ascii="TitilliumText25L" w:hAnsi="TitilliumText25L"/>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BE3BE3" w:rsidRPr="003032D8" w:rsidTr="00D65937">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1"/>
              <w:rPr>
                <w:rFonts w:ascii="TitilliumText25L" w:hAnsi="TitilliumText25L"/>
                <w:sz w:val="24"/>
                <w:szCs w:val="24"/>
              </w:rPr>
            </w:pPr>
            <w:r w:rsidRPr="003032D8">
              <w:rPr>
                <w:rFonts w:ascii="TitilliumText25L" w:hAnsi="TitilliumText25L" w:cs="Arial"/>
                <w:b/>
                <w:bCs/>
                <w:color w:val="C0C0C0"/>
                <w:sz w:val="19"/>
                <w:szCs w:val="19"/>
              </w:rPr>
              <w:t xml:space="preserve">DO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Dir</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ct</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Obse</w:t>
            </w:r>
            <w:r w:rsidRPr="003032D8">
              <w:rPr>
                <w:rFonts w:ascii="TitilliumText25L" w:hAnsi="TitilliumText25L" w:cs="Arial"/>
                <w:b/>
                <w:bCs/>
                <w:color w:val="C0C0C0"/>
                <w:spacing w:val="2"/>
                <w:sz w:val="19"/>
                <w:szCs w:val="19"/>
              </w:rPr>
              <w:t>r</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187"/>
              <w:rPr>
                <w:rFonts w:ascii="TitilliumText25L" w:hAnsi="TitilliumText25L"/>
                <w:sz w:val="24"/>
                <w:szCs w:val="24"/>
              </w:rPr>
            </w:pPr>
            <w:r w:rsidRPr="003032D8">
              <w:rPr>
                <w:rFonts w:ascii="TitilliumText25L" w:hAnsi="TitilliumText25L" w:cs="Arial"/>
                <w:b/>
                <w:bCs/>
                <w:color w:val="C0C0C0"/>
                <w:sz w:val="19"/>
                <w:szCs w:val="19"/>
              </w:rPr>
              <w:t xml:space="preserve">S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S</w:t>
            </w:r>
            <w:r w:rsidRPr="003032D8">
              <w:rPr>
                <w:rFonts w:ascii="TitilliumText25L" w:hAnsi="TitilliumText25L" w:cs="Arial"/>
                <w:b/>
                <w:bCs/>
                <w:color w:val="C0C0C0"/>
                <w:spacing w:val="1"/>
                <w:sz w:val="19"/>
                <w:szCs w:val="19"/>
              </w:rPr>
              <w:t>i</w:t>
            </w:r>
            <w:r w:rsidRPr="003032D8">
              <w:rPr>
                <w:rFonts w:ascii="TitilliumText25L" w:hAnsi="TitilliumText25L" w:cs="Arial"/>
                <w:b/>
                <w:bCs/>
                <w:color w:val="C0C0C0"/>
                <w:sz w:val="19"/>
                <w:szCs w:val="19"/>
              </w:rPr>
              <w:t>m</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lati</w:t>
            </w:r>
            <w:r w:rsidRPr="003032D8">
              <w:rPr>
                <w:rFonts w:ascii="TitilliumText25L" w:hAnsi="TitilliumText25L" w:cs="Arial"/>
                <w:b/>
                <w:bCs/>
                <w:color w:val="C0C0C0"/>
                <w:spacing w:val="1"/>
                <w:sz w:val="19"/>
                <w:szCs w:val="19"/>
              </w:rPr>
              <w:t>o</w:t>
            </w:r>
            <w:r w:rsidRPr="003032D8">
              <w:rPr>
                <w:rFonts w:ascii="TitilliumText25L" w:hAnsi="TitilliumText25L" w:cs="Arial"/>
                <w:b/>
                <w:bCs/>
                <w:color w:val="C0C0C0"/>
                <w:sz w:val="19"/>
                <w:szCs w:val="19"/>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56"/>
              <w:rPr>
                <w:rFonts w:ascii="TitilliumText25L" w:hAnsi="TitilliumText25L"/>
                <w:sz w:val="24"/>
                <w:szCs w:val="24"/>
              </w:rPr>
            </w:pPr>
            <w:proofErr w:type="spellStart"/>
            <w:r w:rsidRPr="003032D8">
              <w:rPr>
                <w:rFonts w:ascii="TitilliumText25L" w:hAnsi="TitilliumText25L" w:cs="Arial"/>
                <w:b/>
                <w:bCs/>
                <w:color w:val="C0C0C0"/>
                <w:sz w:val="19"/>
                <w:szCs w:val="19"/>
              </w:rPr>
              <w:t>EW</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Ex</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z w:val="19"/>
                <w:szCs w:val="19"/>
              </w:rPr>
              <w:t>ert</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Wit</w:t>
            </w:r>
            <w:r w:rsidRPr="003032D8">
              <w:rPr>
                <w:rFonts w:ascii="TitilliumText25L" w:hAnsi="TitilliumText25L" w:cs="Arial"/>
                <w:b/>
                <w:bCs/>
                <w:color w:val="C0C0C0"/>
                <w:spacing w:val="1"/>
                <w:sz w:val="19"/>
                <w:szCs w:val="19"/>
              </w:rPr>
              <w:t>n</w:t>
            </w:r>
            <w:r w:rsidRPr="003032D8">
              <w:rPr>
                <w:rFonts w:ascii="TitilliumText25L" w:hAnsi="TitilliumText25L" w:cs="Arial"/>
                <w:b/>
                <w:bCs/>
                <w:color w:val="C0C0C0"/>
                <w:sz w:val="19"/>
                <w:szCs w:val="19"/>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14" w:lineRule="exact"/>
              <w:ind w:left="379"/>
              <w:rPr>
                <w:rFonts w:ascii="TitilliumText25L" w:hAnsi="TitilliumText25L"/>
                <w:sz w:val="24"/>
                <w:szCs w:val="24"/>
              </w:rPr>
            </w:pPr>
            <w:r w:rsidRPr="003032D8">
              <w:rPr>
                <w:rFonts w:ascii="TitilliumText25L" w:hAnsi="TitilliumText25L" w:cs="Arial"/>
                <w:b/>
                <w:bCs/>
                <w:color w:val="C0C0C0"/>
                <w:sz w:val="19"/>
                <w:szCs w:val="19"/>
              </w:rPr>
              <w:t xml:space="preserve">PL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pacing w:val="1"/>
                <w:sz w:val="19"/>
                <w:szCs w:val="19"/>
              </w:rPr>
              <w:t>P</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io</w:t>
            </w:r>
            <w:r w:rsidRPr="003032D8">
              <w:rPr>
                <w:rFonts w:ascii="TitilliumText25L" w:hAnsi="TitilliumText25L" w:cs="Arial"/>
                <w:b/>
                <w:bCs/>
                <w:color w:val="C0C0C0"/>
                <w:sz w:val="19"/>
                <w:szCs w:val="19"/>
              </w:rPr>
              <w:t>r</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pacing w:val="1"/>
                <w:sz w:val="19"/>
                <w:szCs w:val="19"/>
              </w:rPr>
              <w:t>Lea</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pacing w:val="1"/>
                <w:sz w:val="19"/>
                <w:szCs w:val="19"/>
              </w:rPr>
              <w:t>ning</w:t>
            </w:r>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2"/>
                <w:sz w:val="19"/>
                <w:szCs w:val="19"/>
              </w:rPr>
              <w:t>e</w:t>
            </w:r>
            <w:r w:rsidRPr="003032D8">
              <w:rPr>
                <w:rFonts w:ascii="TitilliumText25L" w:hAnsi="TitilliumText25L" w:cs="Arial"/>
                <w:b/>
                <w:bCs/>
                <w:color w:val="C0C0C0"/>
                <w:spacing w:val="-3"/>
                <w:sz w:val="19"/>
                <w:szCs w:val="19"/>
              </w:rPr>
              <w:t>v</w:t>
            </w:r>
            <w:r w:rsidRPr="003032D8">
              <w:rPr>
                <w:rFonts w:ascii="TitilliumText25L" w:hAnsi="TitilliumText25L" w:cs="Arial"/>
                <w:b/>
                <w:bCs/>
                <w:color w:val="C0C0C0"/>
                <w:sz w:val="19"/>
                <w:szCs w:val="19"/>
              </w:rPr>
              <w:t>idence</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re</w:t>
            </w:r>
            <w:r w:rsidRPr="003032D8">
              <w:rPr>
                <w:rFonts w:ascii="TitilliumText25L" w:hAnsi="TitilliumText25L" w:cs="Arial"/>
                <w:b/>
                <w:bCs/>
                <w:color w:val="C0C0C0"/>
                <w:spacing w:val="2"/>
                <w:sz w:val="19"/>
                <w:szCs w:val="19"/>
              </w:rPr>
              <w:t>q</w:t>
            </w:r>
            <w:r w:rsidRPr="003032D8">
              <w:rPr>
                <w:rFonts w:ascii="TitilliumText25L" w:hAnsi="TitilliumText25L" w:cs="Arial"/>
                <w:b/>
                <w:bCs/>
                <w:color w:val="C0C0C0"/>
                <w:spacing w:val="1"/>
                <w:sz w:val="19"/>
                <w:szCs w:val="19"/>
              </w:rPr>
              <w:t>u</w:t>
            </w:r>
            <w:r w:rsidRPr="003032D8">
              <w:rPr>
                <w:rFonts w:ascii="TitilliumText25L" w:hAnsi="TitilliumText25L" w:cs="Arial"/>
                <w:b/>
                <w:bCs/>
                <w:color w:val="C0C0C0"/>
                <w:sz w:val="19"/>
                <w:szCs w:val="19"/>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223"/>
              <w:rPr>
                <w:rFonts w:ascii="TitilliumText25L" w:hAnsi="TitilliumText25L"/>
                <w:sz w:val="24"/>
                <w:szCs w:val="24"/>
              </w:rPr>
            </w:pPr>
            <w:proofErr w:type="spellStart"/>
            <w:r w:rsidRPr="003032D8">
              <w:rPr>
                <w:rFonts w:ascii="TitilliumText25L" w:hAnsi="TitilliumText25L" w:cs="Arial"/>
                <w:b/>
                <w:bCs/>
                <w:color w:val="C0C0C0"/>
                <w:sz w:val="19"/>
                <w:szCs w:val="19"/>
              </w:rPr>
              <w:t>WQ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3"/>
                <w:sz w:val="19"/>
                <w:szCs w:val="19"/>
              </w:rPr>
              <w:t xml:space="preserve"> </w:t>
            </w:r>
            <w:r w:rsidRPr="003032D8">
              <w:rPr>
                <w:rFonts w:ascii="TitilliumText25L" w:hAnsi="TitilliumText25L" w:cs="Arial"/>
                <w:b/>
                <w:bCs/>
                <w:color w:val="C0C0C0"/>
                <w:sz w:val="19"/>
                <w:szCs w:val="19"/>
              </w:rPr>
              <w:t>W</w:t>
            </w:r>
            <w:r w:rsidRPr="003032D8">
              <w:rPr>
                <w:rFonts w:ascii="TitilliumText25L" w:hAnsi="TitilliumText25L" w:cs="Arial"/>
                <w:b/>
                <w:bCs/>
                <w:color w:val="C0C0C0"/>
                <w:spacing w:val="-1"/>
                <w:sz w:val="19"/>
                <w:szCs w:val="19"/>
              </w:rPr>
              <w:t>r</w:t>
            </w:r>
            <w:r w:rsidRPr="003032D8">
              <w:rPr>
                <w:rFonts w:ascii="TitilliumText25L" w:hAnsi="TitilliumText25L" w:cs="Arial"/>
                <w:b/>
                <w:bCs/>
                <w:color w:val="C0C0C0"/>
                <w:sz w:val="19"/>
                <w:szCs w:val="19"/>
              </w:rPr>
              <w:t>itten</w:t>
            </w:r>
            <w:r w:rsidRPr="003032D8">
              <w:rPr>
                <w:rFonts w:ascii="TitilliumText25L" w:hAnsi="TitilliumText25L" w:cs="Arial"/>
                <w:b/>
                <w:bCs/>
                <w:color w:val="C0C0C0"/>
                <w:spacing w:val="-1"/>
                <w:sz w:val="19"/>
                <w:szCs w:val="19"/>
              </w:rPr>
              <w:t xml:space="preserve"> </w:t>
            </w:r>
            <w:r w:rsidRPr="003032D8">
              <w:rPr>
                <w:rFonts w:ascii="TitilliumText25L" w:hAnsi="TitilliumText25L" w:cs="Arial"/>
                <w:b/>
                <w:bCs/>
                <w:color w:val="C0C0C0"/>
                <w:sz w:val="19"/>
                <w:szCs w:val="19"/>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BE3BE3" w:rsidRPr="003032D8" w:rsidRDefault="00BE3BE3" w:rsidP="00D65937">
            <w:pPr>
              <w:widowControl w:val="0"/>
              <w:autoSpaceDE w:val="0"/>
              <w:autoSpaceDN w:val="0"/>
              <w:adjustRightInd w:val="0"/>
              <w:spacing w:after="0" w:line="240" w:lineRule="auto"/>
              <w:ind w:left="400"/>
              <w:rPr>
                <w:rFonts w:ascii="TitilliumText25L" w:hAnsi="TitilliumText25L"/>
                <w:sz w:val="24"/>
                <w:szCs w:val="24"/>
              </w:rPr>
            </w:pPr>
            <w:proofErr w:type="spellStart"/>
            <w:r w:rsidRPr="003032D8">
              <w:rPr>
                <w:rFonts w:ascii="TitilliumText25L" w:hAnsi="TitilliumText25L" w:cs="Arial"/>
                <w:b/>
                <w:bCs/>
                <w:color w:val="C0C0C0"/>
                <w:sz w:val="19"/>
                <w:szCs w:val="19"/>
              </w:rPr>
              <w:t>OQ</w:t>
            </w:r>
            <w:proofErr w:type="spellEnd"/>
            <w:r w:rsidRPr="003032D8">
              <w:rPr>
                <w:rFonts w:ascii="TitilliumText25L" w:hAnsi="TitilliumText25L" w:cs="Arial"/>
                <w:b/>
                <w:bCs/>
                <w:color w:val="C0C0C0"/>
                <w:sz w:val="19"/>
                <w:szCs w:val="19"/>
              </w:rPr>
              <w:t xml:space="preserve"> </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Oral</w:t>
            </w:r>
            <w:r w:rsidRPr="003032D8">
              <w:rPr>
                <w:rFonts w:ascii="TitilliumText25L" w:hAnsi="TitilliumText25L" w:cs="Arial"/>
                <w:b/>
                <w:bCs/>
                <w:color w:val="C0C0C0"/>
                <w:spacing w:val="-4"/>
                <w:sz w:val="19"/>
                <w:szCs w:val="19"/>
              </w:rPr>
              <w:t xml:space="preserve"> </w:t>
            </w:r>
            <w:r w:rsidRPr="003032D8">
              <w:rPr>
                <w:rFonts w:ascii="TitilliumText25L" w:hAnsi="TitilliumText25L" w:cs="Arial"/>
                <w:b/>
                <w:bCs/>
                <w:color w:val="C0C0C0"/>
                <w:sz w:val="19"/>
                <w:szCs w:val="19"/>
              </w:rPr>
              <w:t>Qu</w:t>
            </w:r>
            <w:r w:rsidRPr="003032D8">
              <w:rPr>
                <w:rFonts w:ascii="TitilliumText25L" w:hAnsi="TitilliumText25L" w:cs="Arial"/>
                <w:b/>
                <w:bCs/>
                <w:color w:val="C0C0C0"/>
                <w:spacing w:val="1"/>
                <w:sz w:val="19"/>
                <w:szCs w:val="19"/>
              </w:rPr>
              <w:t>e</w:t>
            </w:r>
            <w:r w:rsidRPr="003032D8">
              <w:rPr>
                <w:rFonts w:ascii="TitilliumText25L" w:hAnsi="TitilliumText25L" w:cs="Arial"/>
                <w:b/>
                <w:bCs/>
                <w:color w:val="C0C0C0"/>
                <w:sz w:val="19"/>
                <w:szCs w:val="19"/>
              </w:rPr>
              <w:t>stions</w:t>
            </w:r>
          </w:p>
        </w:tc>
      </w:tr>
    </w:tbl>
    <w:p w:rsidR="00BE3BE3" w:rsidRPr="003032D8" w:rsidRDefault="00BE3BE3" w:rsidP="00BE3BE3">
      <w:pPr>
        <w:widowControl w:val="0"/>
        <w:autoSpaceDE w:val="0"/>
        <w:autoSpaceDN w:val="0"/>
        <w:adjustRightInd w:val="0"/>
        <w:spacing w:after="0" w:line="200" w:lineRule="exact"/>
        <w:rPr>
          <w:rFonts w:ascii="TitilliumText25L" w:hAnsi="TitilliumText25L"/>
          <w:sz w:val="20"/>
          <w:szCs w:val="20"/>
        </w:rPr>
      </w:pPr>
    </w:p>
    <w:p w:rsidR="00BE3BE3" w:rsidRPr="003032D8" w:rsidRDefault="00BE3BE3" w:rsidP="00BE3BE3">
      <w:pPr>
        <w:widowControl w:val="0"/>
        <w:tabs>
          <w:tab w:val="left" w:pos="14240"/>
        </w:tabs>
        <w:autoSpaceDE w:val="0"/>
        <w:autoSpaceDN w:val="0"/>
        <w:adjustRightInd w:val="0"/>
        <w:spacing w:before="34" w:after="0" w:line="240" w:lineRule="auto"/>
        <w:ind w:left="3844"/>
        <w:rPr>
          <w:rFonts w:ascii="TitilliumText25L" w:hAnsi="TitilliumText25L" w:cs="Arial"/>
          <w:color w:val="000000"/>
          <w:sz w:val="24"/>
          <w:szCs w:val="24"/>
        </w:rPr>
        <w:sectPr w:rsidR="00BE3BE3" w:rsidRPr="003032D8" w:rsidSect="00D65937">
          <w:pgSz w:w="16840" w:h="11900" w:orient="landscape"/>
          <w:pgMar w:top="993" w:right="920" w:bottom="280" w:left="1300" w:header="720" w:footer="720" w:gutter="0"/>
          <w:cols w:space="720"/>
          <w:noEndnote/>
        </w:sectPr>
      </w:pPr>
    </w:p>
    <w:p w:rsidR="00BE3BE3" w:rsidRPr="003032D8" w:rsidRDefault="00BE3BE3" w:rsidP="00BE3BE3">
      <w:pPr>
        <w:spacing w:before="360" w:after="120" w:line="240" w:lineRule="auto"/>
        <w:outlineLvl w:val="1"/>
        <w:rPr>
          <w:rFonts w:ascii="TitilliumText25L" w:hAnsi="TitilliumText25L" w:cs="Arial"/>
          <w:color w:val="000000"/>
          <w:sz w:val="36"/>
          <w:szCs w:val="36"/>
          <w:u w:val="single"/>
        </w:rPr>
      </w:pPr>
      <w:bookmarkStart w:id="91" w:name="_Toc355270961"/>
      <w:bookmarkStart w:id="92" w:name="_Toc366850106"/>
      <w:r w:rsidRPr="003032D8">
        <w:rPr>
          <w:rFonts w:ascii="TitilliumText25L" w:hAnsi="TitilliumText25L" w:cs="Arial"/>
          <w:sz w:val="36"/>
          <w:szCs w:val="36"/>
          <w:u w:val="single"/>
        </w:rPr>
        <w:lastRenderedPageBreak/>
        <w:t>Reflective Lea</w:t>
      </w:r>
      <w:r w:rsidRPr="003032D8">
        <w:rPr>
          <w:rFonts w:ascii="TitilliumText25L" w:hAnsi="TitilliumText25L" w:cs="Arial"/>
          <w:spacing w:val="1"/>
          <w:sz w:val="36"/>
          <w:szCs w:val="36"/>
          <w:u w:val="single"/>
        </w:rPr>
        <w:t>r</w:t>
      </w:r>
      <w:r w:rsidRPr="003032D8">
        <w:rPr>
          <w:rFonts w:ascii="TitilliumText25L" w:hAnsi="TitilliumText25L" w:cs="Arial"/>
          <w:sz w:val="36"/>
          <w:szCs w:val="36"/>
          <w:u w:val="single"/>
        </w:rPr>
        <w:t>ning Record</w:t>
      </w:r>
      <w:bookmarkEnd w:id="91"/>
      <w:bookmarkEnd w:id="92"/>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3010"/>
        <w:gridCol w:w="3036"/>
        <w:gridCol w:w="3010"/>
      </w:tblGrid>
      <w:tr w:rsidR="00BE3BE3" w:rsidRPr="003032D8" w:rsidTr="00D65937">
        <w:trPr>
          <w:trHeight w:hRule="exact" w:val="383"/>
        </w:trPr>
        <w:tc>
          <w:tcPr>
            <w:tcW w:w="301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before="55" w:after="0" w:line="240" w:lineRule="auto"/>
              <w:ind w:left="55"/>
              <w:rPr>
                <w:rFonts w:ascii="TitilliumText25L" w:hAnsi="TitilliumText25L"/>
                <w:sz w:val="24"/>
                <w:szCs w:val="24"/>
              </w:rPr>
            </w:pPr>
            <w:r w:rsidRPr="003032D8">
              <w:rPr>
                <w:rFonts w:ascii="TitilliumText25L" w:hAnsi="TitilliumText25L" w:cs="Arial"/>
                <w:b/>
                <w:bCs/>
                <w:color w:val="282828"/>
              </w:rPr>
              <w:t>Procedure:</w:t>
            </w:r>
          </w:p>
        </w:tc>
        <w:tc>
          <w:tcPr>
            <w:tcW w:w="3036"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before="55" w:after="0" w:line="240" w:lineRule="auto"/>
              <w:ind w:left="55"/>
              <w:rPr>
                <w:rFonts w:ascii="TitilliumText25L" w:hAnsi="TitilliumText25L"/>
                <w:sz w:val="24"/>
                <w:szCs w:val="24"/>
              </w:rPr>
            </w:pPr>
            <w:r w:rsidRPr="003032D8">
              <w:rPr>
                <w:rFonts w:ascii="TitilliumText25L" w:hAnsi="TitilliumText25L" w:cs="Arial"/>
                <w:b/>
                <w:bCs/>
                <w:color w:val="282828"/>
              </w:rPr>
              <w:t>Date:</w:t>
            </w:r>
          </w:p>
        </w:tc>
        <w:tc>
          <w:tcPr>
            <w:tcW w:w="301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before="55" w:after="0" w:line="240" w:lineRule="auto"/>
              <w:ind w:left="55"/>
              <w:rPr>
                <w:rFonts w:ascii="TitilliumText25L" w:hAnsi="TitilliumText25L"/>
                <w:sz w:val="24"/>
                <w:szCs w:val="24"/>
              </w:rPr>
            </w:pPr>
            <w:r w:rsidRPr="003032D8">
              <w:rPr>
                <w:rFonts w:ascii="TitilliumText25L" w:hAnsi="TitilliumText25L" w:cs="Arial"/>
                <w:b/>
                <w:bCs/>
                <w:color w:val="282828"/>
              </w:rPr>
              <w:t>Case</w:t>
            </w:r>
            <w:r w:rsidRPr="003032D8">
              <w:rPr>
                <w:rFonts w:ascii="TitilliumText25L" w:hAnsi="TitilliumText25L" w:cs="Arial"/>
                <w:b/>
                <w:bCs/>
                <w:color w:val="282828"/>
                <w:spacing w:val="-11"/>
              </w:rPr>
              <w:t xml:space="preserve"> </w:t>
            </w:r>
            <w:r w:rsidRPr="003032D8">
              <w:rPr>
                <w:rFonts w:ascii="TitilliumText25L" w:hAnsi="TitilliumText25L" w:cs="Arial"/>
                <w:b/>
                <w:bCs/>
                <w:color w:val="282828"/>
              </w:rPr>
              <w:t>Log</w:t>
            </w:r>
            <w:r w:rsidRPr="003032D8">
              <w:rPr>
                <w:rFonts w:ascii="TitilliumText25L" w:hAnsi="TitilliumText25L" w:cs="Arial"/>
                <w:b/>
                <w:bCs/>
                <w:color w:val="282828"/>
                <w:spacing w:val="-4"/>
              </w:rPr>
              <w:t xml:space="preserve"> </w:t>
            </w:r>
            <w:r w:rsidRPr="003032D8">
              <w:rPr>
                <w:rFonts w:ascii="TitilliumText25L" w:hAnsi="TitilliumText25L" w:cs="Arial"/>
                <w:b/>
                <w:bCs/>
                <w:color w:val="282828"/>
              </w:rPr>
              <w:t>Number:</w:t>
            </w:r>
          </w:p>
        </w:tc>
      </w:tr>
      <w:tr w:rsidR="00BE3BE3" w:rsidRPr="003032D8" w:rsidTr="00D65937">
        <w:trPr>
          <w:trHeight w:hRule="exact" w:val="1532"/>
        </w:trPr>
        <w:tc>
          <w:tcPr>
            <w:tcW w:w="9056" w:type="dxa"/>
            <w:gridSpan w:val="3"/>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before="55" w:after="0" w:line="240" w:lineRule="auto"/>
              <w:ind w:left="55"/>
              <w:rPr>
                <w:rFonts w:ascii="TitilliumText25L" w:hAnsi="TitilliumText25L"/>
                <w:sz w:val="24"/>
                <w:szCs w:val="24"/>
              </w:rPr>
            </w:pPr>
            <w:r w:rsidRPr="003032D8">
              <w:rPr>
                <w:rFonts w:ascii="TitilliumText25L" w:hAnsi="TitilliumText25L" w:cs="Arial"/>
                <w:b/>
                <w:bCs/>
                <w:color w:val="282828"/>
              </w:rPr>
              <w:t>Additional</w:t>
            </w:r>
            <w:r w:rsidRPr="003032D8">
              <w:rPr>
                <w:rFonts w:ascii="TitilliumText25L" w:hAnsi="TitilliumText25L" w:cs="Arial"/>
                <w:b/>
                <w:bCs/>
                <w:color w:val="282828"/>
                <w:spacing w:val="-15"/>
              </w:rPr>
              <w:t xml:space="preserve"> </w:t>
            </w:r>
            <w:r w:rsidRPr="003032D8">
              <w:rPr>
                <w:rFonts w:ascii="TitilliumText25L" w:hAnsi="TitilliumText25L" w:cs="Arial"/>
                <w:b/>
                <w:bCs/>
                <w:color w:val="282828"/>
              </w:rPr>
              <w:t>Information:</w:t>
            </w:r>
          </w:p>
        </w:tc>
      </w:tr>
    </w:tbl>
    <w:p w:rsidR="00BE3BE3" w:rsidRPr="003032D8" w:rsidRDefault="00BE3BE3" w:rsidP="00BE3BE3">
      <w:pPr>
        <w:widowControl w:val="0"/>
        <w:autoSpaceDE w:val="0"/>
        <w:autoSpaceDN w:val="0"/>
        <w:adjustRightInd w:val="0"/>
        <w:spacing w:before="5" w:after="0" w:line="160" w:lineRule="exact"/>
        <w:rPr>
          <w:rFonts w:ascii="TitilliumText25L" w:hAnsi="TitilliumText25L"/>
          <w:sz w:val="16"/>
          <w:szCs w:val="16"/>
        </w:rPr>
      </w:pPr>
    </w:p>
    <w:p w:rsidR="00BE3BE3" w:rsidRPr="003032D8" w:rsidRDefault="00BE3BE3" w:rsidP="00BE3BE3">
      <w:pPr>
        <w:widowControl w:val="0"/>
        <w:autoSpaceDE w:val="0"/>
        <w:autoSpaceDN w:val="0"/>
        <w:adjustRightInd w:val="0"/>
        <w:spacing w:after="0" w:line="200" w:lineRule="exact"/>
        <w:rPr>
          <w:rFonts w:ascii="TitilliumText25L" w:hAnsi="TitilliumText25L"/>
          <w:sz w:val="20"/>
          <w:szCs w:val="20"/>
        </w:rPr>
      </w:pPr>
    </w:p>
    <w:p w:rsidR="00BE3BE3" w:rsidRPr="003032D8" w:rsidRDefault="003032D8" w:rsidP="00BE3BE3">
      <w:pPr>
        <w:widowControl w:val="0"/>
        <w:autoSpaceDE w:val="0"/>
        <w:autoSpaceDN w:val="0"/>
        <w:adjustRightInd w:val="0"/>
        <w:spacing w:before="31" w:after="0" w:line="248" w:lineRule="exact"/>
        <w:ind w:left="189" w:firstLine="531"/>
        <w:rPr>
          <w:rFonts w:ascii="TitilliumText25L" w:hAnsi="TitilliumText25L" w:cs="Arial"/>
          <w:color w:val="000000"/>
        </w:rPr>
      </w:pPr>
      <w:r w:rsidRPr="003032D8">
        <w:rPr>
          <w:noProof/>
        </w:rPr>
        <w:pict>
          <v:shape id="Freeform 21" o:spid="_x0000_s1037" style="position:absolute;left:0;text-align:left;margin-left:70.85pt;margin-top:-2.05pt;width:453.55pt;height:119.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1,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" o:allowincell="f" path="m,2392r15,-14l15,14r9041,l9056,2378r-9041,l9070,2392,9070,,,,,2392xe" fillcolor="#282828" stroked="f">
            <v:path arrowok="t" o:connecttype="custom" o:connectlocs="0,1518920;9525,1510030;9525,8890;5750560,8890;5750560,1510030;9525,1510030;5759450,1518920;5759450,0;0,0;0,1518920" o:connectangles="0,0,0,0,0,0,0,0,0,0"/>
            <w10:wrap anchorx="page"/>
          </v:shape>
        </w:pict>
      </w:r>
      <w:r w:rsidRPr="003032D8">
        <w:rPr>
          <w:noProof/>
        </w:rPr>
        <w:pict>
          <v:polyline id="Freeform 22" o:spid="_x0000_s103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6pt,116.85pt,71.6pt,116.8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" o:allowincell="f" filled="f" strokecolor="#282828" strokeweight=".1pt">
            <v:path arrowok="t" o:connecttype="custom" o:connectlocs="0,0;0,0" o:connectangles="0,0"/>
            <w10:wrap anchorx="page"/>
          </v:polyline>
        </w:pict>
      </w:r>
      <w:r w:rsidR="00BE3BE3" w:rsidRPr="003032D8">
        <w:rPr>
          <w:rFonts w:ascii="TitilliumText25L" w:hAnsi="TitilliumText25L" w:cs="Arial"/>
          <w:b/>
          <w:bCs/>
          <w:color w:val="282828"/>
          <w:position w:val="-1"/>
        </w:rPr>
        <w:t>What</w:t>
      </w:r>
      <w:r w:rsidR="00BE3BE3" w:rsidRPr="003032D8">
        <w:rPr>
          <w:rFonts w:ascii="TitilliumText25L" w:hAnsi="TitilliumText25L" w:cs="Arial"/>
          <w:b/>
          <w:bCs/>
          <w:color w:val="282828"/>
          <w:spacing w:val="-11"/>
          <w:position w:val="-1"/>
        </w:rPr>
        <w:t xml:space="preserve"> </w:t>
      </w:r>
      <w:r w:rsidR="00BE3BE3" w:rsidRPr="003032D8">
        <w:rPr>
          <w:rFonts w:ascii="TitilliumText25L" w:hAnsi="TitilliumText25L" w:cs="Arial"/>
          <w:b/>
          <w:bCs/>
          <w:color w:val="282828"/>
          <w:position w:val="-1"/>
        </w:rPr>
        <w:t>have</w:t>
      </w:r>
      <w:r w:rsidR="00BE3BE3" w:rsidRPr="003032D8">
        <w:rPr>
          <w:rFonts w:ascii="TitilliumText25L" w:hAnsi="TitilliumText25L" w:cs="Arial"/>
          <w:b/>
          <w:bCs/>
          <w:color w:val="282828"/>
          <w:spacing w:val="-5"/>
          <w:position w:val="-1"/>
        </w:rPr>
        <w:t xml:space="preserve"> </w:t>
      </w:r>
      <w:r w:rsidR="00BE3BE3" w:rsidRPr="003032D8">
        <w:rPr>
          <w:rFonts w:ascii="TitilliumText25L" w:hAnsi="TitilliumText25L" w:cs="Arial"/>
          <w:b/>
          <w:bCs/>
          <w:color w:val="282828"/>
          <w:position w:val="-1"/>
        </w:rPr>
        <w:t>I learnt</w:t>
      </w:r>
      <w:r w:rsidR="00BE3BE3" w:rsidRPr="003032D8">
        <w:rPr>
          <w:rFonts w:ascii="TitilliumText25L" w:hAnsi="TitilliumText25L" w:cs="Arial"/>
          <w:b/>
          <w:bCs/>
          <w:color w:val="282828"/>
          <w:spacing w:val="-5"/>
          <w:position w:val="-1"/>
        </w:rPr>
        <w:t xml:space="preserve"> </w:t>
      </w:r>
      <w:r w:rsidR="00BE3BE3" w:rsidRPr="003032D8">
        <w:rPr>
          <w:rFonts w:ascii="TitilliumText25L" w:hAnsi="TitilliumText25L" w:cs="Arial"/>
          <w:b/>
          <w:bCs/>
          <w:color w:val="282828"/>
          <w:position w:val="-1"/>
        </w:rPr>
        <w:t>from</w:t>
      </w:r>
      <w:r w:rsidR="00BE3BE3" w:rsidRPr="003032D8">
        <w:rPr>
          <w:rFonts w:ascii="TitilliumText25L" w:hAnsi="TitilliumText25L" w:cs="Arial"/>
          <w:b/>
          <w:bCs/>
          <w:color w:val="282828"/>
          <w:spacing w:val="-4"/>
          <w:position w:val="-1"/>
        </w:rPr>
        <w:t xml:space="preserve"> </w:t>
      </w:r>
      <w:r w:rsidR="00BE3BE3" w:rsidRPr="003032D8">
        <w:rPr>
          <w:rFonts w:ascii="TitilliumText25L" w:hAnsi="TitilliumText25L" w:cs="Arial"/>
          <w:b/>
          <w:bCs/>
          <w:color w:val="282828"/>
          <w:position w:val="-1"/>
        </w:rPr>
        <w:t>this</w:t>
      </w:r>
      <w:r w:rsidR="00BE3BE3" w:rsidRPr="003032D8">
        <w:rPr>
          <w:rFonts w:ascii="TitilliumText25L" w:hAnsi="TitilliumText25L" w:cs="Arial"/>
          <w:b/>
          <w:bCs/>
          <w:color w:val="282828"/>
          <w:spacing w:val="-4"/>
          <w:position w:val="-1"/>
        </w:rPr>
        <w:t xml:space="preserve"> </w:t>
      </w:r>
      <w:r w:rsidR="00BE3BE3" w:rsidRPr="003032D8">
        <w:rPr>
          <w:rFonts w:ascii="TitilliumText25L" w:hAnsi="TitilliumText25L" w:cs="Arial"/>
          <w:b/>
          <w:bCs/>
          <w:color w:val="282828"/>
          <w:position w:val="-1"/>
        </w:rPr>
        <w:t>procedure?</w:t>
      </w: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before="6" w:after="0" w:line="240" w:lineRule="exact"/>
        <w:rPr>
          <w:rFonts w:ascii="TitilliumText25L" w:hAnsi="TitilliumText25L" w:cs="Arial"/>
          <w:color w:val="000000"/>
          <w:sz w:val="24"/>
          <w:szCs w:val="24"/>
        </w:rPr>
      </w:pPr>
    </w:p>
    <w:p w:rsidR="00BE3BE3" w:rsidRPr="003032D8" w:rsidRDefault="003032D8" w:rsidP="00BE3BE3">
      <w:pPr>
        <w:widowControl w:val="0"/>
        <w:autoSpaceDE w:val="0"/>
        <w:autoSpaceDN w:val="0"/>
        <w:adjustRightInd w:val="0"/>
        <w:spacing w:before="31" w:after="0" w:line="240" w:lineRule="auto"/>
        <w:ind w:left="189" w:firstLine="531"/>
        <w:rPr>
          <w:rFonts w:ascii="TitilliumText25L" w:hAnsi="TitilliumText25L" w:cs="Arial"/>
          <w:color w:val="000000"/>
        </w:rPr>
      </w:pPr>
      <w:r w:rsidRPr="003032D8">
        <w:rPr>
          <w:noProof/>
        </w:rPr>
        <w:pict>
          <v:shape id="Freeform 23" o:spid="_x0000_s1035" style="position:absolute;left:0;text-align:left;margin-left:70.85pt;margin-top:-2.05pt;width:453.55pt;height:119.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1,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" o:allowincell="f" path="m,2392r15,-15l15,14r9041,l9056,2377r-9041,l9070,2392,9070,,,,,2392xe" fillcolor="#282828" stroked="f">
            <v:path arrowok="t" o:connecttype="custom" o:connectlocs="0,1518920;9525,1509395;9525,8890;5750560,8890;5750560,1509395;9525,1509395;5759450,1518920;5759450,0;0,0;0,1518920" o:connectangles="0,0,0,0,0,0,0,0,0,0"/>
            <w10:wrap anchorx="page"/>
          </v:shape>
        </w:pict>
      </w:r>
      <w:r w:rsidRPr="003032D8">
        <w:rPr>
          <w:noProof/>
        </w:rPr>
        <w:pict>
          <v:polyline id="Freeform 24" o:spid="_x0000_s1034"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6pt,116.8pt,71.6pt,116.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" o:allowincell="f" filled="f" strokecolor="#282828" strokeweight=".1pt">
            <v:path arrowok="t" o:connecttype="custom" o:connectlocs="0,0;0,0" o:connectangles="0,0"/>
            <w10:wrap anchorx="page"/>
          </v:polyline>
        </w:pict>
      </w:r>
      <w:r w:rsidR="00BE3BE3" w:rsidRPr="003032D8">
        <w:rPr>
          <w:rFonts w:ascii="TitilliumText25L" w:hAnsi="TitilliumText25L" w:cs="Arial"/>
          <w:b/>
          <w:bCs/>
          <w:color w:val="282828"/>
        </w:rPr>
        <w:t>How</w:t>
      </w:r>
      <w:r w:rsidR="00BE3BE3" w:rsidRPr="003032D8">
        <w:rPr>
          <w:rFonts w:ascii="TitilliumText25L" w:hAnsi="TitilliumText25L" w:cs="Arial"/>
          <w:b/>
          <w:bCs/>
          <w:color w:val="282828"/>
          <w:spacing w:val="-8"/>
        </w:rPr>
        <w:t xml:space="preserve"> </w:t>
      </w:r>
      <w:r w:rsidR="00BE3BE3" w:rsidRPr="003032D8">
        <w:rPr>
          <w:rFonts w:ascii="TitilliumText25L" w:hAnsi="TitilliumText25L" w:cs="Arial"/>
          <w:b/>
          <w:bCs/>
          <w:color w:val="282828"/>
        </w:rPr>
        <w:t>can</w:t>
      </w:r>
      <w:r w:rsidR="00BE3BE3" w:rsidRPr="003032D8">
        <w:rPr>
          <w:rFonts w:ascii="TitilliumText25L" w:hAnsi="TitilliumText25L" w:cs="Arial"/>
          <w:b/>
          <w:bCs/>
          <w:color w:val="282828"/>
          <w:spacing w:val="-3"/>
        </w:rPr>
        <w:t xml:space="preserve"> </w:t>
      </w:r>
      <w:r w:rsidR="00BE3BE3" w:rsidRPr="003032D8">
        <w:rPr>
          <w:rFonts w:ascii="TitilliumText25L" w:hAnsi="TitilliumText25L" w:cs="Arial"/>
          <w:b/>
          <w:bCs/>
          <w:color w:val="282828"/>
        </w:rPr>
        <w:t xml:space="preserve">I </w:t>
      </w:r>
      <w:r w:rsidR="00BE3BE3" w:rsidRPr="003032D8">
        <w:rPr>
          <w:rFonts w:ascii="TitilliumText25L" w:hAnsi="TitilliumText25L" w:cs="Arial"/>
          <w:b/>
          <w:bCs/>
          <w:color w:val="282828"/>
          <w:spacing w:val="-1"/>
        </w:rPr>
        <w:t>a</w:t>
      </w:r>
      <w:r w:rsidR="00BE3BE3" w:rsidRPr="003032D8">
        <w:rPr>
          <w:rFonts w:ascii="TitilliumText25L" w:hAnsi="TitilliumText25L" w:cs="Arial"/>
          <w:b/>
          <w:bCs/>
          <w:color w:val="282828"/>
        </w:rPr>
        <w:t>pp</w:t>
      </w:r>
      <w:r w:rsidR="00BE3BE3" w:rsidRPr="003032D8">
        <w:rPr>
          <w:rFonts w:ascii="TitilliumText25L" w:hAnsi="TitilliumText25L" w:cs="Arial"/>
          <w:b/>
          <w:bCs/>
          <w:color w:val="282828"/>
          <w:spacing w:val="1"/>
        </w:rPr>
        <w:t>l</w:t>
      </w:r>
      <w:r w:rsidR="00BE3BE3" w:rsidRPr="003032D8">
        <w:rPr>
          <w:rFonts w:ascii="TitilliumText25L" w:hAnsi="TitilliumText25L" w:cs="Arial"/>
          <w:b/>
          <w:bCs/>
          <w:color w:val="282828"/>
        </w:rPr>
        <w:t>y</w:t>
      </w:r>
      <w:r w:rsidR="00BE3BE3" w:rsidRPr="003032D8">
        <w:rPr>
          <w:rFonts w:ascii="TitilliumText25L" w:hAnsi="TitilliumText25L" w:cs="Arial"/>
          <w:b/>
          <w:bCs/>
          <w:color w:val="282828"/>
          <w:spacing w:val="-3"/>
        </w:rPr>
        <w:t xml:space="preserve"> </w:t>
      </w:r>
      <w:r w:rsidR="00BE3BE3" w:rsidRPr="003032D8">
        <w:rPr>
          <w:rFonts w:ascii="TitilliumText25L" w:hAnsi="TitilliumText25L" w:cs="Arial"/>
          <w:b/>
          <w:bCs/>
          <w:color w:val="282828"/>
        </w:rPr>
        <w:t>this</w:t>
      </w:r>
      <w:r w:rsidR="00BE3BE3" w:rsidRPr="003032D8">
        <w:rPr>
          <w:rFonts w:ascii="TitilliumText25L" w:hAnsi="TitilliumText25L" w:cs="Arial"/>
          <w:b/>
          <w:bCs/>
          <w:color w:val="282828"/>
          <w:spacing w:val="-4"/>
        </w:rPr>
        <w:t xml:space="preserve"> </w:t>
      </w:r>
      <w:r w:rsidR="00BE3BE3" w:rsidRPr="003032D8">
        <w:rPr>
          <w:rFonts w:ascii="TitilliumText25L" w:hAnsi="TitilliumText25L" w:cs="Arial"/>
          <w:b/>
          <w:bCs/>
          <w:color w:val="282828"/>
        </w:rPr>
        <w:t xml:space="preserve">to </w:t>
      </w:r>
      <w:r w:rsidR="00BE3BE3" w:rsidRPr="003032D8">
        <w:rPr>
          <w:rFonts w:ascii="TitilliumText25L" w:hAnsi="TitilliumText25L" w:cs="Arial"/>
          <w:b/>
          <w:bCs/>
          <w:color w:val="282828"/>
          <w:spacing w:val="1"/>
        </w:rPr>
        <w:t>m</w:t>
      </w:r>
      <w:r w:rsidR="00BE3BE3" w:rsidRPr="003032D8">
        <w:rPr>
          <w:rFonts w:ascii="TitilliumText25L" w:hAnsi="TitilliumText25L" w:cs="Arial"/>
          <w:b/>
          <w:bCs/>
          <w:color w:val="282828"/>
        </w:rPr>
        <w:t>y</w:t>
      </w:r>
      <w:r w:rsidR="00BE3BE3" w:rsidRPr="003032D8">
        <w:rPr>
          <w:rFonts w:ascii="TitilliumText25L" w:hAnsi="TitilliumText25L" w:cs="Arial"/>
          <w:b/>
          <w:bCs/>
          <w:color w:val="282828"/>
          <w:spacing w:val="-4"/>
        </w:rPr>
        <w:t xml:space="preserve"> </w:t>
      </w:r>
      <w:r w:rsidR="00BE3BE3" w:rsidRPr="003032D8">
        <w:rPr>
          <w:rFonts w:ascii="TitilliumText25L" w:hAnsi="TitilliumText25L" w:cs="Arial"/>
          <w:b/>
          <w:bCs/>
          <w:color w:val="282828"/>
        </w:rPr>
        <w:t>future</w:t>
      </w:r>
      <w:r w:rsidR="00BE3BE3" w:rsidRPr="003032D8">
        <w:rPr>
          <w:rFonts w:ascii="TitilliumText25L" w:hAnsi="TitilliumText25L" w:cs="Arial"/>
          <w:b/>
          <w:bCs/>
          <w:color w:val="282828"/>
          <w:spacing w:val="-4"/>
        </w:rPr>
        <w:t xml:space="preserve"> </w:t>
      </w:r>
      <w:r w:rsidR="00BE3BE3" w:rsidRPr="003032D8">
        <w:rPr>
          <w:rFonts w:ascii="TitilliumText25L" w:hAnsi="TitilliumText25L" w:cs="Arial"/>
          <w:b/>
          <w:bCs/>
          <w:color w:val="282828"/>
          <w:spacing w:val="2"/>
        </w:rPr>
        <w:t>w</w:t>
      </w:r>
      <w:r w:rsidR="00BE3BE3" w:rsidRPr="003032D8">
        <w:rPr>
          <w:rFonts w:ascii="TitilliumText25L" w:hAnsi="TitilliumText25L" w:cs="Arial"/>
          <w:b/>
          <w:bCs/>
          <w:color w:val="282828"/>
        </w:rPr>
        <w:t>ork?</w:t>
      </w: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before="15" w:after="0" w:line="260" w:lineRule="exact"/>
        <w:rPr>
          <w:rFonts w:ascii="TitilliumText25L" w:hAnsi="TitilliumText25L" w:cs="Arial"/>
          <w:color w:val="000000"/>
          <w:sz w:val="26"/>
          <w:szCs w:val="26"/>
        </w:rPr>
      </w:pPr>
    </w:p>
    <w:p w:rsidR="00BE3BE3" w:rsidRPr="003032D8" w:rsidRDefault="003032D8" w:rsidP="00BE3BE3">
      <w:pPr>
        <w:widowControl w:val="0"/>
        <w:tabs>
          <w:tab w:val="left" w:pos="4720"/>
        </w:tabs>
        <w:autoSpaceDE w:val="0"/>
        <w:autoSpaceDN w:val="0"/>
        <w:adjustRightInd w:val="0"/>
        <w:spacing w:after="0" w:line="240" w:lineRule="auto"/>
        <w:ind w:left="189" w:firstLine="531"/>
        <w:rPr>
          <w:rFonts w:ascii="TitilliumText25L" w:hAnsi="TitilliumText25L" w:cs="Arial"/>
          <w:color w:val="000000"/>
        </w:rPr>
      </w:pPr>
      <w:r w:rsidRPr="003032D8">
        <w:rPr>
          <w:noProof/>
        </w:rPr>
        <w:pict>
          <v:group id="Group 25" o:spid="_x0000_s1031" style="position:absolute;left:0;text-align:left;margin-left:70.35pt;margin-top:-4.1pt;width:454.55pt;height:120.6pt;z-index:-251661312;mso-position-horizontal-relative:page" coordorigin="1407,-82" coordsize="909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" o:allowincell="f">
            <v:shape id="Freeform 26" o:spid="_x0000_s1032" style="position:absolute;left:1417;top:-72;width:4536;height:2392;visibility:visible;mso-wrap-style:square;v-text-anchor:top" coordsize="4536,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TwMIA&#10;AADbAAAADwAAAGRycy9kb3ducmV2LnhtbESPQYvCMBSE74L/ITxhb5papSzVKOKusAcRdMXzo3m2&#10;xealNKlt/70RFvY4zMw3zHrbm0o8qXGlZQXzWQSCOLO65FzB9fcw/QThPLLGyjIpGMjBdjMerTHV&#10;tuMzPS8+FwHCLkUFhfd1KqXLCjLoZrYmDt7dNgZ9kE0udYNdgJtKxlGUSIMlh4UCa9oXlD0urVGw&#10;OH7vhlss29Np+dVVybmcYzso9THpdysQnnr/H/5r/2gFcQLvL+EH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pPAwgAAANsAAAAPAAAAAAAAAAAAAAAAAJgCAABkcnMvZG93&#10;bnJldi54bWxQSwUGAAAAAAQABAD1AAAAhwMAAAAA&#10;" path="m,2392r15,-15l15,14r4505,l4520,2377r-4505,l4536,2392,4536,,,,,2392xe" fillcolor="#282828" stroked="f">
              <v:path arrowok="t" o:connecttype="custom" o:connectlocs="0,2392;15,2377;15,14;4520,14;4520,2377;15,2377;4536,2392;4536,0;0,0;0,2392" o:connectangles="0,0,0,0,0,0,0,0,0,0"/>
            </v:shape>
            <v:shape id="Freeform 27" o:spid="_x0000_s1033" style="position:absolute;left:5953;top:-72;width:4535;height:2392;visibility:visible;mso-wrap-style:square;v-text-anchor:top" coordsize="453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kXhcQA&#10;AADbAAAADwAAAGRycy9kb3ducmV2LnhtbESPQYvCMBSE78L+h/AWvIimelCpTWVXEDx4WK0I3h7N&#10;sy02L6WJbf33G2Fhj8PMfMMk28HUoqPWVZYVzGcRCOLc6ooLBZdsP12DcB5ZY22ZFLzIwTb9GCUY&#10;a9vzibqzL0SAsItRQel9E0vp8pIMupltiIN3t61BH2RbSN1iH+CmlosoWkqDFYeFEhvalZQ/zk+j&#10;oPhe9c/+h+Q1m5zyy+vohu7mlBp/Dl8bEJ4G/x/+ax+0gsUK3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5F4XEAAAA2wAAAA8AAAAAAAAAAAAAAAAAmAIAAGRycy9k&#10;b3ducmV2LnhtbFBLBQYAAAAABAAEAPUAAACJAwAAAAA=&#10;" path="m,2392r14,-15l14,14r4506,l4520,2377r-4506,l4534,2392,4534,,,,,2392xe" fillcolor="#282828" stroked="f">
              <v:path arrowok="t" o:connecttype="custom" o:connectlocs="0,2392;14,2377;14,14;4520,14;4520,2377;14,2377;4534,2392;4534,0;0,0;0,2392" o:connectangles="0,0,0,0,0,0,0,0,0,0"/>
            </v:shape>
            <w10:wrap anchorx="page"/>
          </v:group>
        </w:pict>
      </w:r>
      <w:r w:rsidRPr="003032D8">
        <w:rPr>
          <w:noProof/>
        </w:rPr>
        <w:pict>
          <v:polyline id="Freeform 28" o:spid="_x0000_s1030"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6pt,115.25pt,71.6pt,115.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" o:allowincell="f" filled="f" strokecolor="#282828" strokeweight=".1pt">
            <v:path arrowok="t" o:connecttype="custom" o:connectlocs="0,0;0,0" o:connectangles="0,0"/>
            <w10:wrap anchorx="page"/>
          </v:polyline>
        </w:pict>
      </w:r>
      <w:r w:rsidRPr="003032D8">
        <w:rPr>
          <w:noProof/>
        </w:rPr>
        <w:pict>
          <v:polyline id="Freeform 29" o:spid="_x0000_s1029"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8.35pt,115.25pt,298.35pt,115.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" o:allowincell="f" filled="f" strokecolor="#282828" strokeweight=".1pt">
            <v:path arrowok="t" o:connecttype="custom" o:connectlocs="0,0;0,0" o:connectangles="0,0"/>
            <w10:wrap anchorx="page"/>
          </v:polyline>
        </w:pict>
      </w:r>
      <w:r w:rsidR="00BE3BE3" w:rsidRPr="003032D8">
        <w:rPr>
          <w:rFonts w:ascii="TitilliumText25L" w:hAnsi="TitilliumText25L" w:cs="Arial"/>
          <w:b/>
          <w:bCs/>
          <w:color w:val="282828"/>
        </w:rPr>
        <w:t>What</w:t>
      </w:r>
      <w:r w:rsidR="00BE3BE3" w:rsidRPr="003032D8">
        <w:rPr>
          <w:rFonts w:ascii="TitilliumText25L" w:hAnsi="TitilliumText25L" w:cs="Arial"/>
          <w:b/>
          <w:bCs/>
          <w:color w:val="282828"/>
          <w:spacing w:val="-11"/>
        </w:rPr>
        <w:t xml:space="preserve"> </w:t>
      </w:r>
      <w:r w:rsidR="00BE3BE3" w:rsidRPr="003032D8">
        <w:rPr>
          <w:rFonts w:ascii="TitilliumText25L" w:hAnsi="TitilliumText25L" w:cs="Arial"/>
          <w:b/>
          <w:bCs/>
          <w:color w:val="282828"/>
          <w:spacing w:val="2"/>
        </w:rPr>
        <w:t>w</w:t>
      </w:r>
      <w:r w:rsidR="00BE3BE3" w:rsidRPr="003032D8">
        <w:rPr>
          <w:rFonts w:ascii="TitilliumText25L" w:hAnsi="TitilliumText25L" w:cs="Arial"/>
          <w:b/>
          <w:bCs/>
          <w:color w:val="282828"/>
          <w:spacing w:val="-1"/>
        </w:rPr>
        <w:t>e</w:t>
      </w:r>
      <w:r w:rsidR="00BE3BE3" w:rsidRPr="003032D8">
        <w:rPr>
          <w:rFonts w:ascii="TitilliumText25L" w:hAnsi="TitilliumText25L" w:cs="Arial"/>
          <w:b/>
          <w:bCs/>
          <w:color w:val="282828"/>
        </w:rPr>
        <w:t>nt</w:t>
      </w:r>
      <w:r w:rsidR="00BE3BE3" w:rsidRPr="003032D8">
        <w:rPr>
          <w:rFonts w:ascii="TitilliumText25L" w:hAnsi="TitilliumText25L" w:cs="Arial"/>
          <w:b/>
          <w:bCs/>
          <w:color w:val="282828"/>
          <w:spacing w:val="-3"/>
        </w:rPr>
        <w:t xml:space="preserve"> </w:t>
      </w:r>
      <w:r w:rsidR="00BE3BE3" w:rsidRPr="003032D8">
        <w:rPr>
          <w:rFonts w:ascii="TitilliumText25L" w:hAnsi="TitilliumText25L" w:cs="Arial"/>
          <w:b/>
          <w:bCs/>
          <w:color w:val="282828"/>
          <w:spacing w:val="2"/>
        </w:rPr>
        <w:t>w</w:t>
      </w:r>
      <w:r w:rsidR="00BE3BE3" w:rsidRPr="003032D8">
        <w:rPr>
          <w:rFonts w:ascii="TitilliumText25L" w:hAnsi="TitilliumText25L" w:cs="Arial"/>
          <w:b/>
          <w:bCs/>
          <w:color w:val="282828"/>
          <w:spacing w:val="-1"/>
        </w:rPr>
        <w:t>e</w:t>
      </w:r>
      <w:r w:rsidR="00BE3BE3" w:rsidRPr="003032D8">
        <w:rPr>
          <w:rFonts w:ascii="TitilliumText25L" w:hAnsi="TitilliumText25L" w:cs="Arial"/>
          <w:b/>
          <w:bCs/>
          <w:color w:val="282828"/>
        </w:rPr>
        <w:t>ll?</w:t>
      </w:r>
      <w:r w:rsidR="00BE3BE3" w:rsidRPr="003032D8">
        <w:rPr>
          <w:rFonts w:ascii="TitilliumText25L" w:hAnsi="TitilliumText25L" w:cs="Arial"/>
          <w:b/>
          <w:bCs/>
          <w:color w:val="282828"/>
        </w:rPr>
        <w:tab/>
      </w:r>
      <w:r w:rsidR="00BE3BE3" w:rsidRPr="003032D8">
        <w:rPr>
          <w:rFonts w:ascii="TitilliumText25L" w:hAnsi="TitilliumText25L" w:cs="Arial"/>
          <w:b/>
          <w:bCs/>
          <w:color w:val="282828"/>
        </w:rPr>
        <w:tab/>
        <w:t>What</w:t>
      </w:r>
      <w:r w:rsidR="00BE3BE3" w:rsidRPr="003032D8">
        <w:rPr>
          <w:rFonts w:ascii="TitilliumText25L" w:hAnsi="TitilliumText25L" w:cs="Arial"/>
          <w:b/>
          <w:bCs/>
          <w:color w:val="282828"/>
          <w:spacing w:val="-5"/>
        </w:rPr>
        <w:t xml:space="preserve"> </w:t>
      </w:r>
      <w:r w:rsidR="00BE3BE3" w:rsidRPr="003032D8">
        <w:rPr>
          <w:rFonts w:ascii="TitilliumText25L" w:hAnsi="TitilliumText25L" w:cs="Arial"/>
          <w:b/>
          <w:bCs/>
          <w:color w:val="282828"/>
        </w:rPr>
        <w:t>could</w:t>
      </w:r>
      <w:r w:rsidR="00BE3BE3" w:rsidRPr="003032D8">
        <w:rPr>
          <w:rFonts w:ascii="TitilliumText25L" w:hAnsi="TitilliumText25L" w:cs="Arial"/>
          <w:b/>
          <w:bCs/>
          <w:color w:val="282828"/>
          <w:spacing w:val="-4"/>
        </w:rPr>
        <w:t xml:space="preserve"> </w:t>
      </w:r>
      <w:r w:rsidR="00BE3BE3" w:rsidRPr="003032D8">
        <w:rPr>
          <w:rFonts w:ascii="TitilliumText25L" w:hAnsi="TitilliumText25L" w:cs="Arial"/>
          <w:b/>
          <w:bCs/>
          <w:color w:val="282828"/>
        </w:rPr>
        <w:t>I have</w:t>
      </w:r>
      <w:r w:rsidR="00BE3BE3" w:rsidRPr="003032D8">
        <w:rPr>
          <w:rFonts w:ascii="TitilliumText25L" w:hAnsi="TitilliumText25L" w:cs="Arial"/>
          <w:b/>
          <w:bCs/>
          <w:color w:val="282828"/>
          <w:spacing w:val="-5"/>
        </w:rPr>
        <w:t xml:space="preserve"> </w:t>
      </w:r>
      <w:r w:rsidR="00BE3BE3" w:rsidRPr="003032D8">
        <w:rPr>
          <w:rFonts w:ascii="TitilliumText25L" w:hAnsi="TitilliumText25L" w:cs="Arial"/>
          <w:b/>
          <w:bCs/>
          <w:color w:val="282828"/>
        </w:rPr>
        <w:t>done</w:t>
      </w:r>
      <w:r w:rsidR="00BE3BE3" w:rsidRPr="003032D8">
        <w:rPr>
          <w:rFonts w:ascii="TitilliumText25L" w:hAnsi="TitilliumText25L" w:cs="Arial"/>
          <w:b/>
          <w:bCs/>
          <w:color w:val="282828"/>
          <w:spacing w:val="-5"/>
        </w:rPr>
        <w:t xml:space="preserve"> </w:t>
      </w:r>
      <w:r w:rsidR="00BE3BE3" w:rsidRPr="003032D8">
        <w:rPr>
          <w:rFonts w:ascii="TitilliumText25L" w:hAnsi="TitilliumText25L" w:cs="Arial"/>
          <w:b/>
          <w:bCs/>
          <w:color w:val="282828"/>
        </w:rPr>
        <w:t>differentl</w:t>
      </w:r>
      <w:r w:rsidR="00BE3BE3" w:rsidRPr="003032D8">
        <w:rPr>
          <w:rFonts w:ascii="TitilliumText25L" w:hAnsi="TitilliumText25L" w:cs="Arial"/>
          <w:b/>
          <w:bCs/>
          <w:color w:val="282828"/>
          <w:spacing w:val="-1"/>
        </w:rPr>
        <w:t>y</w:t>
      </w:r>
      <w:r w:rsidR="00BE3BE3" w:rsidRPr="003032D8">
        <w:rPr>
          <w:rFonts w:ascii="TitilliumText25L" w:hAnsi="TitilliumText25L" w:cs="Arial"/>
          <w:b/>
          <w:bCs/>
          <w:color w:val="282828"/>
        </w:rPr>
        <w:t>?</w:t>
      </w: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before="12" w:after="0" w:line="260" w:lineRule="exact"/>
        <w:rPr>
          <w:rFonts w:ascii="TitilliumText25L" w:hAnsi="TitilliumText25L" w:cs="Arial"/>
          <w:color w:val="000000"/>
          <w:sz w:val="26"/>
          <w:szCs w:val="26"/>
        </w:rPr>
      </w:pPr>
    </w:p>
    <w:p w:rsidR="00BE3BE3" w:rsidRPr="003032D8" w:rsidRDefault="003032D8" w:rsidP="00BE3BE3">
      <w:pPr>
        <w:widowControl w:val="0"/>
        <w:autoSpaceDE w:val="0"/>
        <w:autoSpaceDN w:val="0"/>
        <w:adjustRightInd w:val="0"/>
        <w:spacing w:after="0" w:line="240" w:lineRule="auto"/>
        <w:ind w:left="189" w:right="2463" w:firstLine="531"/>
        <w:rPr>
          <w:rFonts w:ascii="TitilliumText25L" w:hAnsi="TitilliumText25L" w:cs="Arial"/>
          <w:b/>
          <w:bCs/>
          <w:color w:val="282828"/>
        </w:rPr>
      </w:pPr>
      <w:r w:rsidRPr="003032D8">
        <w:rPr>
          <w:noProof/>
        </w:rPr>
        <w:pict>
          <v:shape id="Freeform 30" o:spid="_x0000_s1028" style="position:absolute;left:0;text-align:left;margin-left:71.6pt;margin-top:770.25pt;width:0;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94075,209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" o:allowincell="f" path="m,l,e" filled="f" strokecolor="#282828" strokeweight=".1pt">
            <v:path arrowok="t" o:connecttype="custom" o:connectlocs="0,0;0,0" o:connectangles="0,0"/>
            <w10:wrap anchorx="page" anchory="page"/>
          </v:shape>
        </w:pict>
      </w:r>
      <w:r w:rsidR="00BE3BE3" w:rsidRPr="003032D8">
        <w:rPr>
          <w:rFonts w:ascii="TitilliumText25L" w:hAnsi="TitilliumText25L" w:cs="Arial"/>
          <w:b/>
          <w:bCs/>
          <w:color w:val="282828"/>
        </w:rPr>
        <w:t>Is</w:t>
      </w:r>
      <w:r w:rsidR="00BE3BE3" w:rsidRPr="003032D8">
        <w:rPr>
          <w:rFonts w:ascii="TitilliumText25L" w:hAnsi="TitilliumText25L" w:cs="Arial"/>
          <w:b/>
          <w:bCs/>
          <w:color w:val="282828"/>
          <w:spacing w:val="-7"/>
        </w:rPr>
        <w:t xml:space="preserve"> </w:t>
      </w:r>
      <w:r w:rsidR="00BE3BE3" w:rsidRPr="003032D8">
        <w:rPr>
          <w:rFonts w:ascii="TitilliumText25L" w:hAnsi="TitilliumText25L" w:cs="Arial"/>
          <w:b/>
          <w:bCs/>
          <w:color w:val="282828"/>
        </w:rPr>
        <w:t>there</w:t>
      </w:r>
      <w:r w:rsidR="00BE3BE3" w:rsidRPr="003032D8">
        <w:rPr>
          <w:rFonts w:ascii="TitilliumText25L" w:hAnsi="TitilliumText25L" w:cs="Arial"/>
          <w:b/>
          <w:bCs/>
          <w:color w:val="282828"/>
          <w:spacing w:val="-5"/>
        </w:rPr>
        <w:t xml:space="preserve"> </w:t>
      </w:r>
      <w:r w:rsidR="00BE3BE3" w:rsidRPr="003032D8">
        <w:rPr>
          <w:rFonts w:ascii="TitilliumText25L" w:hAnsi="TitilliumText25L" w:cs="Arial"/>
          <w:b/>
          <w:bCs/>
          <w:color w:val="282828"/>
        </w:rPr>
        <w:t>a</w:t>
      </w:r>
      <w:r w:rsidR="00BE3BE3" w:rsidRPr="003032D8">
        <w:rPr>
          <w:rFonts w:ascii="TitilliumText25L" w:hAnsi="TitilliumText25L" w:cs="Arial"/>
          <w:b/>
          <w:bCs/>
          <w:color w:val="282828"/>
          <w:spacing w:val="2"/>
        </w:rPr>
        <w:t>n</w:t>
      </w:r>
      <w:r w:rsidR="00BE3BE3" w:rsidRPr="003032D8">
        <w:rPr>
          <w:rFonts w:ascii="TitilliumText25L" w:hAnsi="TitilliumText25L" w:cs="Arial"/>
          <w:b/>
          <w:bCs/>
          <w:color w:val="282828"/>
          <w:spacing w:val="-1"/>
        </w:rPr>
        <w:t>y</w:t>
      </w:r>
      <w:r w:rsidR="00BE3BE3" w:rsidRPr="003032D8">
        <w:rPr>
          <w:rFonts w:ascii="TitilliumText25L" w:hAnsi="TitilliumText25L" w:cs="Arial"/>
          <w:b/>
          <w:bCs/>
          <w:color w:val="282828"/>
        </w:rPr>
        <w:t>thing I didn’t</w:t>
      </w:r>
      <w:r w:rsidR="00BE3BE3" w:rsidRPr="003032D8">
        <w:rPr>
          <w:rFonts w:ascii="TitilliumText25L" w:hAnsi="TitilliumText25L" w:cs="Arial"/>
          <w:b/>
          <w:bCs/>
          <w:color w:val="282828"/>
          <w:spacing w:val="-4"/>
        </w:rPr>
        <w:t xml:space="preserve"> </w:t>
      </w:r>
      <w:r w:rsidR="00BE3BE3" w:rsidRPr="003032D8">
        <w:rPr>
          <w:rFonts w:ascii="TitilliumText25L" w:hAnsi="TitilliumText25L" w:cs="Arial"/>
          <w:b/>
          <w:bCs/>
          <w:color w:val="282828"/>
        </w:rPr>
        <w:t>understand</w:t>
      </w:r>
      <w:r w:rsidR="00BE3BE3" w:rsidRPr="003032D8">
        <w:rPr>
          <w:rFonts w:ascii="TitilliumText25L" w:hAnsi="TitilliumText25L" w:cs="Arial"/>
          <w:b/>
          <w:bCs/>
          <w:color w:val="282828"/>
          <w:spacing w:val="-11"/>
        </w:rPr>
        <w:t xml:space="preserve"> </w:t>
      </w:r>
      <w:r w:rsidR="00BE3BE3" w:rsidRPr="003032D8">
        <w:rPr>
          <w:rFonts w:ascii="TitilliumText25L" w:hAnsi="TitilliumText25L" w:cs="Arial"/>
          <w:b/>
          <w:bCs/>
          <w:color w:val="282828"/>
        </w:rPr>
        <w:t>or</w:t>
      </w:r>
      <w:r w:rsidR="00BE3BE3" w:rsidRPr="003032D8">
        <w:rPr>
          <w:rFonts w:ascii="TitilliumText25L" w:hAnsi="TitilliumText25L" w:cs="Arial"/>
          <w:b/>
          <w:bCs/>
          <w:color w:val="282828"/>
          <w:spacing w:val="-2"/>
        </w:rPr>
        <w:t xml:space="preserve"> </w:t>
      </w:r>
      <w:r w:rsidR="00BE3BE3" w:rsidRPr="003032D8">
        <w:rPr>
          <w:rFonts w:ascii="TitilliumText25L" w:hAnsi="TitilliumText25L" w:cs="Arial"/>
          <w:b/>
          <w:bCs/>
          <w:color w:val="282828"/>
        </w:rPr>
        <w:t>need</w:t>
      </w:r>
      <w:r w:rsidR="00BE3BE3" w:rsidRPr="003032D8">
        <w:rPr>
          <w:rFonts w:ascii="TitilliumText25L" w:hAnsi="TitilliumText25L" w:cs="Arial"/>
          <w:b/>
          <w:bCs/>
          <w:color w:val="282828"/>
          <w:spacing w:val="-5"/>
        </w:rPr>
        <w:t xml:space="preserve"> </w:t>
      </w:r>
      <w:r w:rsidR="00BE3BE3" w:rsidRPr="003032D8">
        <w:rPr>
          <w:rFonts w:ascii="TitilliumText25L" w:hAnsi="TitilliumText25L" w:cs="Arial"/>
          <w:b/>
          <w:bCs/>
          <w:color w:val="282828"/>
        </w:rPr>
        <w:t>to</w:t>
      </w:r>
      <w:r w:rsidR="00BE3BE3" w:rsidRPr="003032D8">
        <w:rPr>
          <w:rFonts w:ascii="TitilliumText25L" w:hAnsi="TitilliumText25L" w:cs="Arial"/>
          <w:b/>
          <w:bCs/>
          <w:color w:val="282828"/>
          <w:spacing w:val="-2"/>
        </w:rPr>
        <w:t xml:space="preserve"> </w:t>
      </w:r>
      <w:r w:rsidR="00BE3BE3" w:rsidRPr="003032D8">
        <w:rPr>
          <w:rFonts w:ascii="TitilliumText25L" w:hAnsi="TitilliumText25L" w:cs="Arial"/>
          <w:b/>
          <w:bCs/>
          <w:color w:val="282828"/>
        </w:rPr>
        <w:t>explore</w:t>
      </w:r>
      <w:r w:rsidR="00BE3BE3" w:rsidRPr="003032D8">
        <w:rPr>
          <w:rFonts w:ascii="TitilliumText25L" w:hAnsi="TitilliumText25L" w:cs="Arial"/>
          <w:b/>
          <w:bCs/>
          <w:color w:val="282828"/>
          <w:spacing w:val="-7"/>
        </w:rPr>
        <w:t xml:space="preserve"> </w:t>
      </w:r>
      <w:r w:rsidR="00BE3BE3" w:rsidRPr="003032D8">
        <w:rPr>
          <w:rFonts w:ascii="TitilliumText25L" w:hAnsi="TitilliumText25L" w:cs="Arial"/>
          <w:b/>
          <w:bCs/>
          <w:color w:val="282828"/>
        </w:rPr>
        <w:t>further</w:t>
      </w:r>
      <w:r w:rsidR="00BE3BE3" w:rsidRPr="003032D8">
        <w:rPr>
          <w:rFonts w:ascii="TitilliumText25L" w:hAnsi="TitilliumText25L" w:cs="Arial"/>
          <w:b/>
          <w:bCs/>
          <w:color w:val="282828"/>
          <w:spacing w:val="-6"/>
        </w:rPr>
        <w:t xml:space="preserve"> </w:t>
      </w:r>
      <w:r w:rsidR="00BE3BE3" w:rsidRPr="003032D8">
        <w:rPr>
          <w:rFonts w:ascii="TitilliumText25L" w:hAnsi="TitilliumText25L" w:cs="Arial"/>
          <w:b/>
          <w:bCs/>
          <w:color w:val="282828"/>
        </w:rPr>
        <w:t>in order</w:t>
      </w:r>
      <w:r w:rsidR="00BE3BE3" w:rsidRPr="003032D8">
        <w:rPr>
          <w:rFonts w:ascii="TitilliumText25L" w:hAnsi="TitilliumText25L" w:cs="Arial"/>
          <w:b/>
          <w:bCs/>
          <w:color w:val="282828"/>
          <w:spacing w:val="-5"/>
        </w:rPr>
        <w:t xml:space="preserve"> </w:t>
      </w:r>
      <w:r w:rsidR="00BE3BE3" w:rsidRPr="003032D8">
        <w:rPr>
          <w:rFonts w:ascii="TitilliumText25L" w:hAnsi="TitilliumText25L" w:cs="Arial"/>
          <w:b/>
          <w:bCs/>
          <w:color w:val="282828"/>
        </w:rPr>
        <w:t xml:space="preserve">to </w:t>
      </w:r>
    </w:p>
    <w:p w:rsidR="00BE3BE3" w:rsidRPr="003032D8" w:rsidRDefault="00BE3BE3" w:rsidP="00BE3BE3">
      <w:pPr>
        <w:widowControl w:val="0"/>
        <w:autoSpaceDE w:val="0"/>
        <w:autoSpaceDN w:val="0"/>
        <w:adjustRightInd w:val="0"/>
        <w:spacing w:after="0" w:line="240" w:lineRule="auto"/>
        <w:ind w:left="189" w:right="2463" w:firstLine="531"/>
        <w:rPr>
          <w:rFonts w:ascii="TitilliumText25L" w:hAnsi="TitilliumText25L" w:cs="Arial"/>
          <w:color w:val="000000"/>
        </w:rPr>
      </w:pPr>
      <w:r w:rsidRPr="003032D8">
        <w:rPr>
          <w:rFonts w:ascii="TitilliumText25L" w:hAnsi="TitilliumText25L" w:cs="Arial"/>
          <w:b/>
          <w:bCs/>
          <w:color w:val="282828"/>
        </w:rPr>
        <w:t xml:space="preserve">consolidate </w:t>
      </w:r>
      <w:r w:rsidRPr="003032D8">
        <w:rPr>
          <w:rFonts w:ascii="TitilliumText25L" w:hAnsi="TitilliumText25L" w:cs="Arial"/>
          <w:b/>
          <w:bCs/>
          <w:color w:val="282828"/>
          <w:spacing w:val="2"/>
        </w:rPr>
        <w:t>m</w:t>
      </w:r>
      <w:r w:rsidRPr="003032D8">
        <w:rPr>
          <w:rFonts w:ascii="TitilliumText25L" w:hAnsi="TitilliumText25L" w:cs="Arial"/>
          <w:b/>
          <w:bCs/>
          <w:color w:val="282828"/>
        </w:rPr>
        <w:t>y</w:t>
      </w:r>
      <w:r w:rsidRPr="003032D8">
        <w:rPr>
          <w:rFonts w:ascii="TitilliumText25L" w:hAnsi="TitilliumText25L" w:cs="Arial"/>
          <w:b/>
          <w:bCs/>
          <w:color w:val="282828"/>
          <w:spacing w:val="-4"/>
        </w:rPr>
        <w:t xml:space="preserve"> </w:t>
      </w:r>
      <w:r w:rsidRPr="003032D8">
        <w:rPr>
          <w:rFonts w:ascii="TitilliumText25L" w:hAnsi="TitilliumText25L" w:cs="Arial"/>
          <w:b/>
          <w:bCs/>
          <w:color w:val="282828"/>
        </w:rPr>
        <w:t>learni</w:t>
      </w:r>
      <w:r w:rsidRPr="003032D8">
        <w:rPr>
          <w:rFonts w:ascii="TitilliumText25L" w:hAnsi="TitilliumText25L" w:cs="Arial"/>
          <w:b/>
          <w:bCs/>
          <w:color w:val="282828"/>
          <w:spacing w:val="2"/>
        </w:rPr>
        <w:t>n</w:t>
      </w:r>
      <w:r w:rsidRPr="003032D8">
        <w:rPr>
          <w:rFonts w:ascii="TitilliumText25L" w:hAnsi="TitilliumText25L" w:cs="Arial"/>
          <w:b/>
          <w:bCs/>
          <w:color w:val="282828"/>
        </w:rPr>
        <w:t>g?</w:t>
      </w: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pPr>
    </w:p>
    <w:p w:rsidR="00BE3BE3" w:rsidRPr="003032D8" w:rsidRDefault="00BE3BE3" w:rsidP="00BE3BE3">
      <w:pPr>
        <w:widowControl w:val="0"/>
        <w:autoSpaceDE w:val="0"/>
        <w:autoSpaceDN w:val="0"/>
        <w:adjustRightInd w:val="0"/>
        <w:spacing w:before="15" w:after="0" w:line="240" w:lineRule="exact"/>
        <w:rPr>
          <w:rFonts w:ascii="TitilliumText25L" w:hAnsi="TitilliumText25L" w:cs="Arial"/>
          <w:color w:val="000000"/>
          <w:sz w:val="24"/>
          <w:szCs w:val="24"/>
        </w:rPr>
      </w:pPr>
    </w:p>
    <w:p w:rsidR="00BE3BE3" w:rsidRPr="003032D8" w:rsidRDefault="003032D8" w:rsidP="00BE3BE3">
      <w:pPr>
        <w:widowControl w:val="0"/>
        <w:autoSpaceDE w:val="0"/>
        <w:autoSpaceDN w:val="0"/>
        <w:adjustRightInd w:val="0"/>
        <w:spacing w:after="0" w:line="248" w:lineRule="exact"/>
        <w:ind w:left="3920"/>
        <w:rPr>
          <w:rFonts w:ascii="TitilliumText25L" w:hAnsi="TitilliumText25L" w:cs="Arial"/>
          <w:color w:val="000000"/>
        </w:rPr>
      </w:pPr>
      <w:r w:rsidRPr="003032D8">
        <w:rPr>
          <w:noProof/>
        </w:rPr>
        <w:pict>
          <v:shape id="Freeform 31" o:spid="_x0000_s1027" style="position:absolute;left:0;text-align:left;margin-left:70.85pt;margin-top:-111.65pt;width:453.55pt;height:13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" o:allowincell="f" path="m,2661r15,-14l15,14r9041,l9056,2647r-9041,l9070,2661,9070,,,,,2661xe" fillcolor="#282828" stroked="f">
            <v:path arrowok="t" o:connecttype="custom" o:connectlocs="0,1232535;4651,1226050;4651,6485;2807764,6485;2807764,1226050;4651,1226050;2812105,1232535;2812105,0;0,0;0,1232535" o:connectangles="0,0,0,0,0,0,0,0,0,0"/>
            <w10:wrap anchorx="page"/>
          </v:shape>
        </w:pict>
      </w:r>
      <w:r w:rsidR="00BE3BE3" w:rsidRPr="003032D8">
        <w:rPr>
          <w:rFonts w:ascii="TitilliumText25L" w:hAnsi="TitilliumText25L" w:cs="Arial"/>
          <w:b/>
          <w:bCs/>
          <w:color w:val="282828"/>
          <w:position w:val="-1"/>
        </w:rPr>
        <w:t>Signature</w:t>
      </w:r>
      <w:r w:rsidR="00BE3BE3" w:rsidRPr="003032D8">
        <w:rPr>
          <w:rFonts w:ascii="TitilliumText25L" w:hAnsi="TitilliumText25L" w:cs="Arial"/>
          <w:b/>
          <w:bCs/>
          <w:color w:val="282828"/>
          <w:spacing w:val="-15"/>
          <w:position w:val="-1"/>
        </w:rPr>
        <w:t xml:space="preserve"> </w:t>
      </w:r>
      <w:r w:rsidR="00BE3BE3" w:rsidRPr="003032D8">
        <w:rPr>
          <w:rFonts w:ascii="TitilliumText25L" w:hAnsi="TitilliumText25L" w:cs="Arial"/>
          <w:b/>
          <w:bCs/>
          <w:color w:val="282828"/>
          <w:position w:val="-1"/>
        </w:rPr>
        <w:t>of</w:t>
      </w:r>
      <w:r w:rsidR="00BE3BE3" w:rsidRPr="003032D8">
        <w:rPr>
          <w:rFonts w:ascii="TitilliumText25L" w:hAnsi="TitilliumText25L" w:cs="Arial"/>
          <w:b/>
          <w:bCs/>
          <w:color w:val="282828"/>
          <w:spacing w:val="-2"/>
          <w:position w:val="-1"/>
        </w:rPr>
        <w:t xml:space="preserve"> </w:t>
      </w:r>
      <w:r w:rsidR="00BE3BE3" w:rsidRPr="003032D8">
        <w:rPr>
          <w:rFonts w:ascii="TitilliumText25L" w:hAnsi="TitilliumText25L" w:cs="Arial"/>
          <w:b/>
          <w:bCs/>
          <w:color w:val="282828"/>
          <w:position w:val="-1"/>
        </w:rPr>
        <w:t>Learner…………………………………...</w:t>
      </w:r>
    </w:p>
    <w:p w:rsidR="00BE3BE3" w:rsidRPr="003032D8" w:rsidRDefault="00BE3BE3" w:rsidP="00BE3BE3">
      <w:pPr>
        <w:widowControl w:val="0"/>
        <w:autoSpaceDE w:val="0"/>
        <w:autoSpaceDN w:val="0"/>
        <w:adjustRightInd w:val="0"/>
        <w:spacing w:before="5" w:after="0" w:line="190" w:lineRule="exact"/>
        <w:rPr>
          <w:rFonts w:ascii="TitilliumText25L" w:hAnsi="TitilliumText25L" w:cs="Arial"/>
          <w:color w:val="000000"/>
          <w:sz w:val="19"/>
          <w:szCs w:val="19"/>
        </w:rPr>
      </w:pPr>
    </w:p>
    <w:p w:rsidR="00BE3BE3" w:rsidRPr="003032D8" w:rsidRDefault="00BE3BE3" w:rsidP="00BE3BE3">
      <w:pPr>
        <w:widowControl w:val="0"/>
        <w:autoSpaceDE w:val="0"/>
        <w:autoSpaceDN w:val="0"/>
        <w:adjustRightInd w:val="0"/>
        <w:spacing w:after="0" w:line="200" w:lineRule="exact"/>
        <w:rPr>
          <w:rFonts w:ascii="TitilliumText25L" w:hAnsi="TitilliumText25L" w:cs="Arial"/>
          <w:color w:val="000000"/>
          <w:sz w:val="20"/>
          <w:szCs w:val="20"/>
        </w:rPr>
        <w:sectPr w:rsidR="00BE3BE3" w:rsidRPr="003032D8" w:rsidSect="00D65937">
          <w:pgSz w:w="11900" w:h="16840"/>
          <w:pgMar w:top="920" w:right="280" w:bottom="1300" w:left="1100" w:header="720" w:footer="720" w:gutter="0"/>
          <w:cols w:space="720" w:equalWidth="0">
            <w:col w:w="14620"/>
          </w:cols>
          <w:noEndnote/>
          <w:docGrid w:linePitch="299"/>
        </w:sectPr>
      </w:pPr>
    </w:p>
    <w:p w:rsidR="00BE3BE3" w:rsidRPr="003032D8" w:rsidRDefault="00BE3BE3" w:rsidP="00BE3BE3">
      <w:pPr>
        <w:spacing w:before="360" w:after="120" w:line="240" w:lineRule="auto"/>
        <w:jc w:val="center"/>
        <w:outlineLvl w:val="1"/>
        <w:rPr>
          <w:rFonts w:ascii="TitilliumText25L" w:hAnsi="TitilliumText25L" w:cs="Arial"/>
          <w:sz w:val="36"/>
          <w:szCs w:val="36"/>
          <w:u w:val="single"/>
        </w:rPr>
      </w:pPr>
      <w:bookmarkStart w:id="93" w:name="_Toc355270962"/>
      <w:bookmarkStart w:id="94" w:name="_Toc366850107"/>
      <w:r w:rsidRPr="003032D8">
        <w:rPr>
          <w:rFonts w:ascii="TitilliumText25L" w:hAnsi="TitilliumText25L" w:cs="Arial"/>
          <w:sz w:val="36"/>
          <w:szCs w:val="36"/>
          <w:u w:val="single"/>
        </w:rPr>
        <w:lastRenderedPageBreak/>
        <w:t>Post Competency Assessment Case Log</w:t>
      </w:r>
      <w:bookmarkEnd w:id="93"/>
      <w:bookmarkEnd w:id="94"/>
    </w:p>
    <w:p w:rsidR="00BE3BE3" w:rsidRPr="003032D8" w:rsidRDefault="00BE3BE3" w:rsidP="00BE3BE3">
      <w:pPr>
        <w:spacing w:line="240" w:lineRule="auto"/>
        <w:rPr>
          <w:rFonts w:ascii="TitilliumText25L" w:hAnsi="TitilliumText25L"/>
          <w:b/>
          <w:sz w:val="24"/>
          <w:szCs w:val="24"/>
        </w:rPr>
      </w:pPr>
      <w:r w:rsidRPr="003032D8">
        <w:rPr>
          <w:rFonts w:ascii="TitilliumText25L" w:hAnsi="TitilliumText25L"/>
          <w:b/>
          <w:sz w:val="24"/>
          <w:szCs w:val="24"/>
        </w:rPr>
        <w:t>It</w:t>
      </w:r>
      <w:r w:rsidRPr="003032D8">
        <w:rPr>
          <w:rFonts w:ascii="TitilliumText25L" w:hAnsi="TitilliumText25L"/>
          <w:b/>
          <w:spacing w:val="-11"/>
          <w:sz w:val="24"/>
          <w:szCs w:val="24"/>
        </w:rPr>
        <w:t xml:space="preserve"> </w:t>
      </w:r>
      <w:r w:rsidRPr="003032D8">
        <w:rPr>
          <w:rFonts w:ascii="TitilliumText25L" w:hAnsi="TitilliumText25L"/>
          <w:b/>
          <w:sz w:val="24"/>
          <w:szCs w:val="24"/>
        </w:rPr>
        <w:t xml:space="preserve">is recommended that ICS </w:t>
      </w:r>
      <w:r w:rsidR="005511CB" w:rsidRPr="003032D8">
        <w:rPr>
          <w:rFonts w:ascii="TitilliumText25L" w:hAnsi="TitilliumText25L"/>
          <w:b/>
          <w:sz w:val="24"/>
          <w:szCs w:val="24"/>
        </w:rPr>
        <w:t>autotransfusionist</w:t>
      </w:r>
      <w:r w:rsidRPr="003032D8">
        <w:rPr>
          <w:rFonts w:ascii="TitilliumText25L" w:hAnsi="TitilliumText25L"/>
          <w:b/>
          <w:sz w:val="24"/>
          <w:szCs w:val="24"/>
        </w:rPr>
        <w:t>s maintain an on</w:t>
      </w:r>
      <w:r w:rsidRPr="003032D8">
        <w:rPr>
          <w:rFonts w:ascii="TitilliumText25L" w:hAnsi="TitilliumText25L"/>
          <w:b/>
          <w:spacing w:val="-2"/>
          <w:sz w:val="24"/>
          <w:szCs w:val="24"/>
        </w:rPr>
        <w:t>-</w:t>
      </w:r>
      <w:r w:rsidRPr="003032D8">
        <w:rPr>
          <w:rFonts w:ascii="TitilliumText25L" w:hAnsi="TitilliumText25L"/>
          <w:b/>
          <w:sz w:val="24"/>
          <w:szCs w:val="24"/>
        </w:rPr>
        <w:t>going</w:t>
      </w:r>
      <w:r w:rsidRPr="003032D8">
        <w:rPr>
          <w:rFonts w:ascii="TitilliumText25L" w:hAnsi="TitilliumText25L"/>
          <w:b/>
          <w:spacing w:val="1"/>
          <w:sz w:val="24"/>
          <w:szCs w:val="24"/>
        </w:rPr>
        <w:t xml:space="preserve"> </w:t>
      </w:r>
      <w:r w:rsidRPr="003032D8">
        <w:rPr>
          <w:rFonts w:ascii="TitilliumText25L" w:hAnsi="TitilliumText25L"/>
          <w:b/>
          <w:sz w:val="24"/>
          <w:szCs w:val="24"/>
        </w:rPr>
        <w:t>case log</w:t>
      </w:r>
      <w:r w:rsidRPr="003032D8">
        <w:rPr>
          <w:rFonts w:ascii="TitilliumText25L" w:hAnsi="TitilliumText25L"/>
          <w:b/>
          <w:spacing w:val="1"/>
          <w:sz w:val="24"/>
          <w:szCs w:val="24"/>
        </w:rPr>
        <w:t xml:space="preserve"> </w:t>
      </w:r>
      <w:r w:rsidRPr="003032D8">
        <w:rPr>
          <w:rFonts w:ascii="TitilliumText25L" w:hAnsi="TitilliumText25L"/>
          <w:b/>
          <w:sz w:val="24"/>
          <w:szCs w:val="24"/>
        </w:rPr>
        <w:t>follo</w:t>
      </w:r>
      <w:r w:rsidRPr="003032D8">
        <w:rPr>
          <w:rFonts w:ascii="TitilliumText25L" w:hAnsi="TitilliumText25L"/>
          <w:b/>
          <w:spacing w:val="2"/>
          <w:sz w:val="24"/>
          <w:szCs w:val="24"/>
        </w:rPr>
        <w:t>w</w:t>
      </w:r>
      <w:r w:rsidRPr="003032D8">
        <w:rPr>
          <w:rFonts w:ascii="TitilliumText25L" w:hAnsi="TitilliumText25L"/>
          <w:b/>
          <w:spacing w:val="1"/>
          <w:sz w:val="24"/>
          <w:szCs w:val="24"/>
        </w:rPr>
        <w:t>i</w:t>
      </w:r>
      <w:r w:rsidRPr="003032D8">
        <w:rPr>
          <w:rFonts w:ascii="TitilliumText25L" w:hAnsi="TitilliumText25L"/>
          <w:b/>
          <w:sz w:val="24"/>
          <w:szCs w:val="24"/>
        </w:rPr>
        <w:t>ng</w:t>
      </w:r>
      <w:r w:rsidRPr="003032D8">
        <w:rPr>
          <w:rFonts w:ascii="TitilliumText25L" w:hAnsi="TitilliumText25L"/>
          <w:b/>
          <w:spacing w:val="1"/>
          <w:sz w:val="24"/>
          <w:szCs w:val="24"/>
        </w:rPr>
        <w:t xml:space="preserve"> </w:t>
      </w:r>
      <w:r w:rsidRPr="003032D8">
        <w:rPr>
          <w:rFonts w:ascii="TitilliumText25L" w:hAnsi="TitilliumText25L"/>
          <w:b/>
          <w:sz w:val="24"/>
          <w:szCs w:val="24"/>
        </w:rPr>
        <w:t>successful completion</w:t>
      </w:r>
      <w:r w:rsidRPr="003032D8">
        <w:rPr>
          <w:rFonts w:ascii="TitilliumText25L" w:hAnsi="TitilliumText25L"/>
          <w:b/>
          <w:spacing w:val="1"/>
          <w:sz w:val="24"/>
          <w:szCs w:val="24"/>
        </w:rPr>
        <w:t xml:space="preserve"> </w:t>
      </w:r>
      <w:r w:rsidRPr="003032D8">
        <w:rPr>
          <w:rFonts w:ascii="TitilliumText25L" w:hAnsi="TitilliumText25L"/>
          <w:b/>
          <w:sz w:val="24"/>
          <w:szCs w:val="24"/>
        </w:rPr>
        <w:t>of</w:t>
      </w:r>
      <w:r w:rsidRPr="003032D8">
        <w:rPr>
          <w:rFonts w:ascii="TitilliumText25L" w:hAnsi="TitilliumText25L"/>
          <w:b/>
          <w:spacing w:val="1"/>
          <w:sz w:val="24"/>
          <w:szCs w:val="24"/>
        </w:rPr>
        <w:t xml:space="preserve"> </w:t>
      </w:r>
      <w:r w:rsidRPr="003032D8">
        <w:rPr>
          <w:rFonts w:ascii="TitilliumText25L" w:hAnsi="TitilliumText25L"/>
          <w:b/>
          <w:sz w:val="24"/>
          <w:szCs w:val="24"/>
        </w:rPr>
        <w:t>the</w:t>
      </w:r>
      <w:r w:rsidRPr="003032D8">
        <w:rPr>
          <w:rFonts w:ascii="TitilliumText25L" w:hAnsi="TitilliumText25L"/>
          <w:b/>
          <w:spacing w:val="1"/>
          <w:sz w:val="24"/>
          <w:szCs w:val="24"/>
        </w:rPr>
        <w:t xml:space="preserve"> </w:t>
      </w:r>
      <w:r w:rsidRPr="003032D8">
        <w:rPr>
          <w:rFonts w:ascii="TitilliumText25L" w:hAnsi="TitilliumText25L"/>
          <w:b/>
          <w:sz w:val="24"/>
          <w:szCs w:val="24"/>
        </w:rPr>
        <w:t>competency assessments. This</w:t>
      </w:r>
      <w:r w:rsidRPr="003032D8">
        <w:rPr>
          <w:rFonts w:ascii="TitilliumText25L" w:hAnsi="TitilliumText25L"/>
          <w:b/>
          <w:spacing w:val="1"/>
          <w:sz w:val="24"/>
          <w:szCs w:val="24"/>
        </w:rPr>
        <w:t xml:space="preserve"> </w:t>
      </w:r>
      <w:r w:rsidRPr="003032D8">
        <w:rPr>
          <w:rFonts w:ascii="TitilliumText25L" w:hAnsi="TitilliumText25L"/>
          <w:b/>
          <w:sz w:val="24"/>
          <w:szCs w:val="24"/>
        </w:rPr>
        <w:t>can</w:t>
      </w:r>
      <w:r w:rsidRPr="003032D8">
        <w:rPr>
          <w:rFonts w:ascii="TitilliumText25L" w:hAnsi="TitilliumText25L"/>
          <w:b/>
          <w:spacing w:val="1"/>
          <w:sz w:val="24"/>
          <w:szCs w:val="24"/>
        </w:rPr>
        <w:t xml:space="preserve"> </w:t>
      </w:r>
      <w:r w:rsidRPr="003032D8">
        <w:rPr>
          <w:rFonts w:ascii="TitilliumText25L" w:hAnsi="TitilliumText25L"/>
          <w:b/>
          <w:sz w:val="24"/>
          <w:szCs w:val="24"/>
        </w:rPr>
        <w:t>be</w:t>
      </w:r>
      <w:r w:rsidRPr="003032D8">
        <w:rPr>
          <w:rFonts w:ascii="TitilliumText25L" w:hAnsi="TitilliumText25L"/>
          <w:b/>
          <w:spacing w:val="1"/>
          <w:sz w:val="24"/>
          <w:szCs w:val="24"/>
        </w:rPr>
        <w:t xml:space="preserve"> </w:t>
      </w:r>
      <w:r w:rsidRPr="003032D8">
        <w:rPr>
          <w:rFonts w:ascii="TitilliumText25L" w:hAnsi="TitilliumText25L"/>
          <w:b/>
          <w:sz w:val="24"/>
          <w:szCs w:val="24"/>
        </w:rPr>
        <w:t>used</w:t>
      </w:r>
      <w:r w:rsidRPr="003032D8">
        <w:rPr>
          <w:rFonts w:ascii="TitilliumText25L" w:hAnsi="TitilliumText25L"/>
          <w:b/>
          <w:spacing w:val="1"/>
          <w:sz w:val="24"/>
          <w:szCs w:val="24"/>
        </w:rPr>
        <w:t xml:space="preserve"> </w:t>
      </w:r>
      <w:r w:rsidRPr="003032D8">
        <w:rPr>
          <w:rFonts w:ascii="TitilliumText25L" w:hAnsi="TitilliumText25L"/>
          <w:b/>
          <w:sz w:val="24"/>
          <w:szCs w:val="24"/>
        </w:rPr>
        <w:t>as</w:t>
      </w:r>
      <w:r w:rsidRPr="003032D8">
        <w:rPr>
          <w:rFonts w:ascii="TitilliumText25L" w:hAnsi="TitilliumText25L"/>
          <w:b/>
          <w:spacing w:val="1"/>
          <w:sz w:val="24"/>
          <w:szCs w:val="24"/>
        </w:rPr>
        <w:t xml:space="preserve"> </w:t>
      </w:r>
      <w:r w:rsidRPr="003032D8">
        <w:rPr>
          <w:rFonts w:ascii="TitilliumText25L" w:hAnsi="TitilliumText25L"/>
          <w:b/>
          <w:sz w:val="24"/>
          <w:szCs w:val="24"/>
        </w:rPr>
        <w:t>part</w:t>
      </w:r>
      <w:r w:rsidRPr="003032D8">
        <w:rPr>
          <w:rFonts w:ascii="TitilliumText25L" w:hAnsi="TitilliumText25L"/>
          <w:b/>
          <w:spacing w:val="1"/>
          <w:sz w:val="24"/>
          <w:szCs w:val="24"/>
        </w:rPr>
        <w:t xml:space="preserve"> </w:t>
      </w:r>
      <w:r w:rsidRPr="003032D8">
        <w:rPr>
          <w:rFonts w:ascii="TitilliumText25L" w:hAnsi="TitilliumText25L"/>
          <w:b/>
          <w:sz w:val="24"/>
          <w:szCs w:val="24"/>
        </w:rPr>
        <w:t>of</w:t>
      </w:r>
      <w:r w:rsidRPr="003032D8">
        <w:rPr>
          <w:rFonts w:ascii="TitilliumText25L" w:hAnsi="TitilliumText25L"/>
          <w:b/>
          <w:spacing w:val="1"/>
          <w:sz w:val="24"/>
          <w:szCs w:val="24"/>
        </w:rPr>
        <w:t xml:space="preserve"> </w:t>
      </w:r>
      <w:r w:rsidRPr="003032D8">
        <w:rPr>
          <w:rFonts w:ascii="TitilliumText25L" w:hAnsi="TitilliumText25L"/>
          <w:b/>
          <w:sz w:val="24"/>
          <w:szCs w:val="24"/>
        </w:rPr>
        <w:t>the</w:t>
      </w:r>
      <w:r w:rsidRPr="003032D8">
        <w:rPr>
          <w:rFonts w:ascii="TitilliumText25L" w:hAnsi="TitilliumText25L"/>
          <w:b/>
          <w:spacing w:val="1"/>
          <w:sz w:val="24"/>
          <w:szCs w:val="24"/>
        </w:rPr>
        <w:t xml:space="preserve"> </w:t>
      </w:r>
      <w:r w:rsidRPr="003032D8">
        <w:rPr>
          <w:rFonts w:ascii="TitilliumText25L" w:hAnsi="TitilliumText25L"/>
          <w:b/>
          <w:sz w:val="24"/>
          <w:szCs w:val="24"/>
        </w:rPr>
        <w:t>evidence</w:t>
      </w:r>
      <w:r w:rsidRPr="003032D8">
        <w:rPr>
          <w:rFonts w:ascii="TitilliumText25L" w:hAnsi="TitilliumText25L"/>
          <w:b/>
          <w:spacing w:val="1"/>
          <w:sz w:val="24"/>
          <w:szCs w:val="24"/>
        </w:rPr>
        <w:t xml:space="preserve"> </w:t>
      </w:r>
      <w:r w:rsidRPr="003032D8">
        <w:rPr>
          <w:rFonts w:ascii="TitilliumText25L" w:hAnsi="TitilliumText25L"/>
          <w:b/>
          <w:sz w:val="24"/>
          <w:szCs w:val="24"/>
        </w:rPr>
        <w:t>of</w:t>
      </w:r>
      <w:r w:rsidRPr="003032D8">
        <w:rPr>
          <w:rFonts w:ascii="TitilliumText25L" w:hAnsi="TitilliumText25L"/>
          <w:b/>
          <w:spacing w:val="1"/>
          <w:sz w:val="24"/>
          <w:szCs w:val="24"/>
        </w:rPr>
        <w:t xml:space="preserve"> </w:t>
      </w:r>
      <w:r w:rsidRPr="003032D8">
        <w:rPr>
          <w:rFonts w:ascii="TitilliumText25L" w:hAnsi="TitilliumText25L"/>
          <w:b/>
          <w:sz w:val="24"/>
          <w:szCs w:val="24"/>
        </w:rPr>
        <w:t>their</w:t>
      </w:r>
      <w:r w:rsidRPr="003032D8">
        <w:rPr>
          <w:rFonts w:ascii="TitilliumText25L" w:hAnsi="TitilliumText25L"/>
          <w:b/>
          <w:spacing w:val="1"/>
          <w:sz w:val="24"/>
          <w:szCs w:val="24"/>
        </w:rPr>
        <w:t xml:space="preserve"> </w:t>
      </w:r>
      <w:r w:rsidRPr="003032D8">
        <w:rPr>
          <w:rFonts w:ascii="TitilliumText25L" w:hAnsi="TitilliumText25L"/>
          <w:b/>
          <w:sz w:val="24"/>
          <w:szCs w:val="24"/>
        </w:rPr>
        <w:t>on-going</w:t>
      </w:r>
      <w:r w:rsidRPr="003032D8">
        <w:rPr>
          <w:rFonts w:ascii="TitilliumText25L" w:hAnsi="TitilliumText25L"/>
          <w:b/>
          <w:spacing w:val="1"/>
          <w:sz w:val="24"/>
          <w:szCs w:val="24"/>
        </w:rPr>
        <w:t xml:space="preserve"> </w:t>
      </w:r>
      <w:r w:rsidRPr="003032D8">
        <w:rPr>
          <w:rFonts w:ascii="TitilliumText25L" w:hAnsi="TitilliumText25L"/>
          <w:b/>
          <w:sz w:val="24"/>
          <w:szCs w:val="24"/>
        </w:rPr>
        <w:t>competenc</w:t>
      </w:r>
      <w:r w:rsidRPr="003032D8">
        <w:rPr>
          <w:rFonts w:ascii="TitilliumText25L" w:hAnsi="TitilliumText25L"/>
          <w:b/>
          <w:spacing w:val="-3"/>
          <w:sz w:val="24"/>
          <w:szCs w:val="24"/>
        </w:rPr>
        <w:t>y</w:t>
      </w:r>
      <w:r w:rsidRPr="003032D8">
        <w:rPr>
          <w:rFonts w:ascii="TitilliumText25L" w:hAnsi="TitilliumText25L"/>
          <w:b/>
          <w:sz w:val="24"/>
          <w:szCs w:val="24"/>
        </w:rPr>
        <w:t xml:space="preserve">. It is recommended a minimum of 10 cases be completed in a calendar year to maintain sufficient competency.  If 10 cases cannot be achieved then it is recommended that the ICS </w:t>
      </w:r>
      <w:r w:rsidR="005511CB" w:rsidRPr="003032D8">
        <w:rPr>
          <w:rFonts w:ascii="TitilliumText25L" w:hAnsi="TitilliumText25L"/>
          <w:b/>
          <w:sz w:val="24"/>
          <w:szCs w:val="24"/>
        </w:rPr>
        <w:t>autotransfusionist</w:t>
      </w:r>
      <w:r w:rsidRPr="003032D8">
        <w:rPr>
          <w:rFonts w:ascii="TitilliumText25L" w:hAnsi="TitilliumText25L"/>
          <w:b/>
          <w:sz w:val="24"/>
          <w:szCs w:val="24"/>
        </w:rPr>
        <w:t xml:space="preserve"> should be reassessed as to their practical competency by completing the Assessment Plan as outlined above.</w:t>
      </w:r>
    </w:p>
    <w:tbl>
      <w:tblPr>
        <w:tblW w:w="0" w:type="auto"/>
        <w:tblInd w:w="117" w:type="dxa"/>
        <w:tblLayout w:type="fixed"/>
        <w:tblCellMar>
          <w:left w:w="0" w:type="dxa"/>
          <w:right w:w="0" w:type="dxa"/>
        </w:tblCellMar>
        <w:tblLook w:val="0000" w:firstRow="0" w:lastRow="0" w:firstColumn="0" w:lastColumn="0" w:noHBand="0" w:noVBand="0"/>
      </w:tblPr>
      <w:tblGrid>
        <w:gridCol w:w="730"/>
        <w:gridCol w:w="1067"/>
        <w:gridCol w:w="2536"/>
        <w:gridCol w:w="1493"/>
        <w:gridCol w:w="1761"/>
        <w:gridCol w:w="1418"/>
        <w:gridCol w:w="4982"/>
      </w:tblGrid>
      <w:tr w:rsidR="00BE3BE3" w:rsidRPr="003032D8" w:rsidTr="00D65937">
        <w:trPr>
          <w:trHeight w:hRule="exact" w:val="1394"/>
        </w:trPr>
        <w:tc>
          <w:tcPr>
            <w:tcW w:w="730"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73" w:lineRule="exact"/>
              <w:ind w:left="136"/>
              <w:rPr>
                <w:rFonts w:ascii="TitilliumText25L" w:hAnsi="TitilliumText25L" w:cs="Arial"/>
                <w:color w:val="000000"/>
                <w:sz w:val="24"/>
                <w:szCs w:val="24"/>
              </w:rPr>
            </w:pPr>
            <w:r w:rsidRPr="003032D8">
              <w:rPr>
                <w:rFonts w:ascii="TitilliumText25L" w:hAnsi="TitilliumText25L" w:cs="Arial"/>
                <w:b/>
                <w:bCs/>
                <w:color w:val="282828"/>
                <w:sz w:val="24"/>
                <w:szCs w:val="24"/>
              </w:rPr>
              <w:t>Log</w:t>
            </w:r>
          </w:p>
          <w:p w:rsidR="00BE3BE3" w:rsidRPr="003032D8" w:rsidRDefault="00BE3BE3" w:rsidP="00D65937">
            <w:pPr>
              <w:widowControl w:val="0"/>
              <w:autoSpaceDE w:val="0"/>
              <w:autoSpaceDN w:val="0"/>
              <w:adjustRightInd w:val="0"/>
              <w:spacing w:after="0" w:line="240" w:lineRule="auto"/>
              <w:ind w:left="162"/>
              <w:rPr>
                <w:rFonts w:ascii="TitilliumText25L" w:hAnsi="TitilliumText25L"/>
                <w:sz w:val="24"/>
                <w:szCs w:val="24"/>
              </w:rPr>
            </w:pPr>
            <w:r w:rsidRPr="003032D8">
              <w:rPr>
                <w:rFonts w:ascii="TitilliumText25L" w:hAnsi="TitilliumText25L" w:cs="Arial"/>
                <w:b/>
                <w:bCs/>
                <w:color w:val="282828"/>
                <w:sz w:val="24"/>
                <w:szCs w:val="24"/>
              </w:rPr>
              <w:t>No.</w:t>
            </w:r>
          </w:p>
        </w:tc>
        <w:tc>
          <w:tcPr>
            <w:tcW w:w="1067"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73" w:lineRule="exact"/>
              <w:ind w:left="264"/>
              <w:rPr>
                <w:rFonts w:ascii="TitilliumText25L" w:hAnsi="TitilliumText25L"/>
                <w:sz w:val="24"/>
                <w:szCs w:val="24"/>
              </w:rPr>
            </w:pPr>
            <w:r w:rsidRPr="003032D8">
              <w:rPr>
                <w:rFonts w:ascii="TitilliumText25L" w:hAnsi="TitilliumText25L" w:cs="Arial"/>
                <w:b/>
                <w:bCs/>
                <w:color w:val="282828"/>
                <w:sz w:val="24"/>
                <w:szCs w:val="24"/>
              </w:rPr>
              <w:t>Date</w:t>
            </w:r>
          </w:p>
        </w:tc>
        <w:tc>
          <w:tcPr>
            <w:tcW w:w="2536"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73" w:lineRule="exact"/>
              <w:ind w:left="693"/>
              <w:rPr>
                <w:rFonts w:ascii="TitilliumText25L" w:hAnsi="TitilliumText25L"/>
                <w:sz w:val="24"/>
                <w:szCs w:val="24"/>
              </w:rPr>
            </w:pPr>
            <w:r w:rsidRPr="003032D8">
              <w:rPr>
                <w:rFonts w:ascii="TitilliumText25L" w:hAnsi="TitilliumText25L" w:cs="Arial"/>
                <w:b/>
                <w:bCs/>
                <w:color w:val="282828"/>
                <w:sz w:val="24"/>
                <w:szCs w:val="24"/>
              </w:rPr>
              <w:t>Operation</w:t>
            </w:r>
          </w:p>
        </w:tc>
        <w:tc>
          <w:tcPr>
            <w:tcW w:w="1493"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 w:after="0" w:line="276" w:lineRule="exact"/>
              <w:ind w:left="491" w:right="217" w:hanging="234"/>
              <w:rPr>
                <w:rFonts w:ascii="TitilliumText25L" w:hAnsi="TitilliumText25L"/>
                <w:sz w:val="24"/>
                <w:szCs w:val="24"/>
              </w:rPr>
            </w:pPr>
            <w:r w:rsidRPr="003032D8">
              <w:rPr>
                <w:rFonts w:ascii="TitilliumText25L" w:hAnsi="TitilliumText25L" w:cs="Arial"/>
                <w:b/>
                <w:bCs/>
                <w:color w:val="282828"/>
                <w:sz w:val="24"/>
                <w:szCs w:val="24"/>
              </w:rPr>
              <w:t xml:space="preserve">Machine </w:t>
            </w:r>
            <w:r w:rsidRPr="003032D8">
              <w:rPr>
                <w:rFonts w:ascii="TitilliumText25L" w:hAnsi="TitilliumText25L" w:cs="Arial"/>
                <w:b/>
                <w:bCs/>
                <w:color w:val="282828"/>
                <w:spacing w:val="2"/>
                <w:sz w:val="24"/>
                <w:szCs w:val="24"/>
              </w:rPr>
              <w:t>t</w:t>
            </w:r>
            <w:r w:rsidRPr="003032D8">
              <w:rPr>
                <w:rFonts w:ascii="TitilliumText25L" w:hAnsi="TitilliumText25L" w:cs="Arial"/>
                <w:b/>
                <w:bCs/>
                <w:color w:val="282828"/>
                <w:spacing w:val="-3"/>
                <w:sz w:val="24"/>
                <w:szCs w:val="24"/>
              </w:rPr>
              <w:t>y</w:t>
            </w:r>
            <w:r w:rsidRPr="003032D8">
              <w:rPr>
                <w:rFonts w:ascii="TitilliumText25L" w:hAnsi="TitilliumText25L" w:cs="Arial"/>
                <w:b/>
                <w:bCs/>
                <w:color w:val="282828"/>
                <w:sz w:val="24"/>
                <w:szCs w:val="24"/>
              </w:rPr>
              <w:t>pe</w:t>
            </w:r>
          </w:p>
        </w:tc>
        <w:tc>
          <w:tcPr>
            <w:tcW w:w="1761"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before="1" w:after="0" w:line="276" w:lineRule="exact"/>
              <w:ind w:left="150" w:right="148"/>
              <w:rPr>
                <w:rFonts w:ascii="TitilliumText25L" w:hAnsi="TitilliumText25L"/>
                <w:sz w:val="24"/>
                <w:szCs w:val="24"/>
              </w:rPr>
            </w:pPr>
            <w:r w:rsidRPr="003032D8">
              <w:rPr>
                <w:rFonts w:ascii="TitilliumText25L" w:hAnsi="TitilliumText25L" w:cs="Arial"/>
                <w:b/>
                <w:bCs/>
                <w:color w:val="282828"/>
                <w:sz w:val="24"/>
                <w:szCs w:val="24"/>
              </w:rPr>
              <w:t>Collect</w:t>
            </w:r>
            <w:r w:rsidRPr="003032D8">
              <w:rPr>
                <w:rFonts w:ascii="TitilliumText25L" w:hAnsi="TitilliumText25L" w:cs="Arial"/>
                <w:b/>
                <w:bCs/>
                <w:color w:val="282828"/>
                <w:spacing w:val="-10"/>
                <w:sz w:val="24"/>
                <w:szCs w:val="24"/>
              </w:rPr>
              <w:t xml:space="preserve"> </w:t>
            </w:r>
            <w:r w:rsidRPr="003032D8">
              <w:rPr>
                <w:rFonts w:ascii="TitilliumText25L" w:hAnsi="TitilliumText25L" w:cs="Arial"/>
                <w:b/>
                <w:bCs/>
                <w:color w:val="282828"/>
                <w:sz w:val="24"/>
                <w:szCs w:val="24"/>
              </w:rPr>
              <w:t>O</w:t>
            </w:r>
            <w:r w:rsidRPr="003032D8">
              <w:rPr>
                <w:rFonts w:ascii="TitilliumText25L" w:hAnsi="TitilliumText25L" w:cs="Arial"/>
                <w:b/>
                <w:bCs/>
                <w:color w:val="282828"/>
                <w:spacing w:val="-1"/>
                <w:sz w:val="24"/>
                <w:szCs w:val="24"/>
              </w:rPr>
              <w:t>n</w:t>
            </w:r>
            <w:r w:rsidRPr="003032D8">
              <w:rPr>
                <w:rFonts w:ascii="TitilliumText25L" w:hAnsi="TitilliumText25L" w:cs="Arial"/>
                <w:b/>
                <w:bCs/>
                <w:color w:val="282828"/>
                <w:sz w:val="24"/>
                <w:szCs w:val="24"/>
              </w:rPr>
              <w:t>ly (CO)</w:t>
            </w:r>
            <w:r w:rsidRPr="003032D8">
              <w:rPr>
                <w:rFonts w:ascii="TitilliumText25L" w:hAnsi="TitilliumText25L" w:cs="Arial"/>
                <w:b/>
                <w:bCs/>
                <w:color w:val="282828"/>
                <w:spacing w:val="1"/>
                <w:sz w:val="24"/>
                <w:szCs w:val="24"/>
              </w:rPr>
              <w:t xml:space="preserve"> </w:t>
            </w:r>
            <w:r w:rsidRPr="003032D8">
              <w:rPr>
                <w:rFonts w:ascii="TitilliumText25L" w:hAnsi="TitilliumText25L" w:cs="Arial"/>
                <w:b/>
                <w:bCs/>
                <w:color w:val="282828"/>
                <w:sz w:val="24"/>
                <w:szCs w:val="24"/>
              </w:rPr>
              <w:t xml:space="preserve">or  </w:t>
            </w:r>
            <w:r w:rsidRPr="003032D8">
              <w:rPr>
                <w:rFonts w:ascii="TitilliumText25L" w:hAnsi="TitilliumText25L" w:cs="Arial"/>
                <w:b/>
                <w:bCs/>
                <w:color w:val="282828"/>
                <w:spacing w:val="-1"/>
                <w:sz w:val="24"/>
                <w:szCs w:val="24"/>
              </w:rPr>
              <w:t>F</w:t>
            </w:r>
            <w:r w:rsidRPr="003032D8">
              <w:rPr>
                <w:rFonts w:ascii="TitilliumText25L" w:hAnsi="TitilliumText25L" w:cs="Arial"/>
                <w:b/>
                <w:bCs/>
                <w:color w:val="282828"/>
                <w:sz w:val="24"/>
                <w:szCs w:val="24"/>
              </w:rPr>
              <w:t>ull Processi</w:t>
            </w:r>
            <w:r w:rsidRPr="003032D8">
              <w:rPr>
                <w:rFonts w:ascii="TitilliumText25L" w:hAnsi="TitilliumText25L" w:cs="Arial"/>
                <w:b/>
                <w:bCs/>
                <w:color w:val="282828"/>
                <w:spacing w:val="1"/>
                <w:sz w:val="24"/>
                <w:szCs w:val="24"/>
              </w:rPr>
              <w:t>n</w:t>
            </w:r>
            <w:r w:rsidRPr="003032D8">
              <w:rPr>
                <w:rFonts w:ascii="TitilliumText25L" w:hAnsi="TitilliumText25L" w:cs="Arial"/>
                <w:b/>
                <w:bCs/>
                <w:color w:val="282828"/>
                <w:sz w:val="24"/>
                <w:szCs w:val="24"/>
              </w:rPr>
              <w:t>g (FP)</w:t>
            </w:r>
          </w:p>
        </w:tc>
        <w:tc>
          <w:tcPr>
            <w:tcW w:w="1418"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73" w:lineRule="exact"/>
              <w:ind w:left="226" w:right="227"/>
              <w:rPr>
                <w:rFonts w:ascii="TitilliumText25L" w:hAnsi="TitilliumText25L" w:cs="Arial"/>
                <w:color w:val="000000"/>
                <w:sz w:val="24"/>
                <w:szCs w:val="24"/>
              </w:rPr>
            </w:pPr>
            <w:r w:rsidRPr="003032D8">
              <w:rPr>
                <w:rFonts w:ascii="TitilliumText25L" w:hAnsi="TitilliumText25L" w:cs="Arial"/>
                <w:b/>
                <w:bCs/>
                <w:color w:val="282828"/>
                <w:sz w:val="24"/>
                <w:szCs w:val="24"/>
              </w:rPr>
              <w:t>Volume</w:t>
            </w:r>
          </w:p>
          <w:p w:rsidR="00BE3BE3" w:rsidRPr="003032D8" w:rsidRDefault="00BE3BE3" w:rsidP="00D65937">
            <w:pPr>
              <w:widowControl w:val="0"/>
              <w:autoSpaceDE w:val="0"/>
              <w:autoSpaceDN w:val="0"/>
              <w:adjustRightInd w:val="0"/>
              <w:spacing w:after="0" w:line="240" w:lineRule="auto"/>
              <w:ind w:left="81" w:right="85"/>
              <w:rPr>
                <w:rFonts w:ascii="TitilliumText25L" w:hAnsi="TitilliumText25L"/>
                <w:sz w:val="24"/>
                <w:szCs w:val="24"/>
              </w:rPr>
            </w:pPr>
            <w:r w:rsidRPr="003032D8">
              <w:rPr>
                <w:rFonts w:ascii="TitilliumText25L" w:hAnsi="TitilliumText25L" w:cs="Arial"/>
                <w:b/>
                <w:bCs/>
                <w:color w:val="282828"/>
                <w:sz w:val="24"/>
                <w:szCs w:val="24"/>
              </w:rPr>
              <w:t>Reinfused</w:t>
            </w:r>
          </w:p>
        </w:tc>
        <w:tc>
          <w:tcPr>
            <w:tcW w:w="4982" w:type="dxa"/>
            <w:tcBorders>
              <w:top w:val="single" w:sz="7" w:space="0" w:color="282828"/>
              <w:left w:val="single" w:sz="7" w:space="0" w:color="282828"/>
              <w:bottom w:val="single" w:sz="7" w:space="0" w:color="282828"/>
              <w:right w:val="single" w:sz="7" w:space="0" w:color="282828"/>
            </w:tcBorders>
            <w:vAlign w:val="center"/>
          </w:tcPr>
          <w:p w:rsidR="00BE3BE3" w:rsidRPr="003032D8" w:rsidRDefault="00BE3BE3" w:rsidP="00D65937">
            <w:pPr>
              <w:widowControl w:val="0"/>
              <w:autoSpaceDE w:val="0"/>
              <w:autoSpaceDN w:val="0"/>
              <w:adjustRightInd w:val="0"/>
              <w:spacing w:after="0" w:line="273" w:lineRule="exact"/>
              <w:ind w:left="1816" w:right="1833"/>
              <w:rPr>
                <w:rFonts w:ascii="TitilliumText25L" w:hAnsi="TitilliumText25L"/>
                <w:sz w:val="24"/>
                <w:szCs w:val="24"/>
              </w:rPr>
            </w:pPr>
            <w:r w:rsidRPr="003032D8">
              <w:rPr>
                <w:rFonts w:ascii="TitilliumText25L" w:hAnsi="TitilliumText25L" w:cs="Arial"/>
                <w:b/>
                <w:bCs/>
                <w:color w:val="282828"/>
                <w:sz w:val="24"/>
                <w:szCs w:val="24"/>
              </w:rPr>
              <w:t>Comments</w:t>
            </w:r>
          </w:p>
        </w:tc>
      </w:tr>
      <w:tr w:rsidR="00BE3BE3" w:rsidRPr="003032D8" w:rsidTr="00D65937">
        <w:trPr>
          <w:trHeight w:hRule="exact" w:val="568"/>
        </w:trPr>
        <w:tc>
          <w:tcPr>
            <w:tcW w:w="73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067"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536"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3"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761"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18"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82"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66"/>
        </w:trPr>
        <w:tc>
          <w:tcPr>
            <w:tcW w:w="73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067"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536"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3"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761"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18"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82"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68"/>
        </w:trPr>
        <w:tc>
          <w:tcPr>
            <w:tcW w:w="73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067"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536"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3"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761"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18"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82"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66"/>
        </w:trPr>
        <w:tc>
          <w:tcPr>
            <w:tcW w:w="73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067"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536"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3"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761"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18"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82"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68"/>
        </w:trPr>
        <w:tc>
          <w:tcPr>
            <w:tcW w:w="73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067"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536"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3"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761"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18"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82"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66"/>
        </w:trPr>
        <w:tc>
          <w:tcPr>
            <w:tcW w:w="73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067"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536"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3"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761"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18"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82"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68"/>
        </w:trPr>
        <w:tc>
          <w:tcPr>
            <w:tcW w:w="73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067"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536"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3"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761"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18"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82"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r w:rsidR="00BE3BE3" w:rsidRPr="003032D8" w:rsidTr="00D65937">
        <w:trPr>
          <w:trHeight w:hRule="exact" w:val="566"/>
        </w:trPr>
        <w:tc>
          <w:tcPr>
            <w:tcW w:w="730"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067"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2536"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93"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761"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1418"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c>
          <w:tcPr>
            <w:tcW w:w="4982" w:type="dxa"/>
            <w:tcBorders>
              <w:top w:val="single" w:sz="7" w:space="0" w:color="282828"/>
              <w:left w:val="single" w:sz="7" w:space="0" w:color="282828"/>
              <w:bottom w:val="single" w:sz="7" w:space="0" w:color="282828"/>
              <w:right w:val="single" w:sz="7" w:space="0" w:color="282828"/>
            </w:tcBorders>
          </w:tcPr>
          <w:p w:rsidR="00BE3BE3" w:rsidRPr="003032D8" w:rsidRDefault="00BE3BE3" w:rsidP="00D65937">
            <w:pPr>
              <w:widowControl w:val="0"/>
              <w:autoSpaceDE w:val="0"/>
              <w:autoSpaceDN w:val="0"/>
              <w:adjustRightInd w:val="0"/>
              <w:spacing w:after="0" w:line="240" w:lineRule="auto"/>
              <w:rPr>
                <w:rFonts w:ascii="TitilliumText25L" w:hAnsi="TitilliumText25L"/>
                <w:sz w:val="24"/>
                <w:szCs w:val="24"/>
              </w:rPr>
            </w:pPr>
          </w:p>
        </w:tc>
      </w:tr>
    </w:tbl>
    <w:p w:rsidR="00BE3BE3" w:rsidRPr="003032D8" w:rsidRDefault="00BE3BE3" w:rsidP="00BE3BE3">
      <w:pPr>
        <w:widowControl w:val="0"/>
        <w:tabs>
          <w:tab w:val="left" w:pos="14240"/>
        </w:tabs>
        <w:autoSpaceDE w:val="0"/>
        <w:autoSpaceDN w:val="0"/>
        <w:adjustRightInd w:val="0"/>
        <w:spacing w:before="34" w:after="0" w:line="240" w:lineRule="auto"/>
        <w:rPr>
          <w:rFonts w:ascii="TitilliumText25L" w:hAnsi="TitilliumText25L" w:cs="Arial"/>
          <w:color w:val="000000"/>
          <w:sz w:val="24"/>
          <w:szCs w:val="24"/>
        </w:rPr>
        <w:sectPr w:rsidR="00BE3BE3" w:rsidRPr="003032D8" w:rsidSect="00D65937">
          <w:pgSz w:w="16840" w:h="11900" w:orient="landscape"/>
          <w:pgMar w:top="709" w:right="920" w:bottom="280" w:left="1300" w:header="720" w:footer="720" w:gutter="0"/>
          <w:cols w:space="720" w:equalWidth="0">
            <w:col w:w="14620"/>
          </w:cols>
          <w:noEndnote/>
          <w:docGrid w:linePitch="299"/>
        </w:sectPr>
      </w:pPr>
    </w:p>
    <w:p w:rsidR="0038758B" w:rsidRPr="003032D8" w:rsidRDefault="0038758B" w:rsidP="0038758B">
      <w:pPr>
        <w:pStyle w:val="Heading2"/>
        <w:rPr>
          <w:rFonts w:ascii="TitilliumText25L" w:hAnsi="TitilliumText25L"/>
        </w:rPr>
      </w:pPr>
      <w:bookmarkStart w:id="95" w:name="_Appendix_V_1"/>
      <w:bookmarkStart w:id="96" w:name="_Toc366850108"/>
      <w:bookmarkEnd w:id="41"/>
      <w:bookmarkEnd w:id="95"/>
      <w:r w:rsidRPr="003032D8">
        <w:rPr>
          <w:rFonts w:ascii="TitilliumText25L" w:hAnsi="TitilliumText25L"/>
        </w:rPr>
        <w:lastRenderedPageBreak/>
        <w:t>Appendix V</w:t>
      </w:r>
      <w:bookmarkEnd w:id="96"/>
    </w:p>
    <w:p w:rsidR="0038758B" w:rsidRPr="003032D8" w:rsidRDefault="0038758B" w:rsidP="0038758B">
      <w:pPr>
        <w:pStyle w:val="Heading3"/>
        <w:spacing w:before="100" w:beforeAutospacing="1" w:after="100" w:afterAutospacing="1"/>
        <w:rPr>
          <w:rFonts w:ascii="TitilliumText25L" w:hAnsi="TitilliumText25L"/>
        </w:rPr>
      </w:pPr>
      <w:bookmarkStart w:id="97" w:name="_Use_of_Intraoperative"/>
      <w:bookmarkStart w:id="98" w:name="_Toc366850109"/>
      <w:bookmarkEnd w:id="97"/>
      <w:r w:rsidRPr="003032D8">
        <w:rPr>
          <w:rFonts w:ascii="TitilliumText25L" w:hAnsi="TitilliumText25L"/>
        </w:rPr>
        <w:t>Use of Intraoperative Cell Salvage in Obstetrics</w:t>
      </w:r>
      <w:bookmarkEnd w:id="98"/>
    </w:p>
    <w:p w:rsidR="0038758B" w:rsidRPr="003032D8" w:rsidRDefault="0038758B" w:rsidP="0038758B">
      <w:pPr>
        <w:rPr>
          <w:rFonts w:ascii="TitilliumText25L" w:hAnsi="TitilliumText25L"/>
          <w:color w:val="000007"/>
          <w:lang w:val="en-GB"/>
        </w:rPr>
      </w:pPr>
      <w:r w:rsidRPr="003032D8">
        <w:rPr>
          <w:rFonts w:ascii="TitilliumText25L" w:hAnsi="TitilliumText25L"/>
          <w:lang w:val="en-GB"/>
        </w:rPr>
        <w:t xml:space="preserve">Intraoperative cell salvage is increasingly used internationally in obstetric surgery for women at risk from </w:t>
      </w:r>
      <w:proofErr w:type="spellStart"/>
      <w:r w:rsidRPr="003032D8">
        <w:rPr>
          <w:rFonts w:ascii="TitilliumText25L" w:hAnsi="TitilliumText25L"/>
          <w:lang w:val="en-GB"/>
        </w:rPr>
        <w:t>peri</w:t>
      </w:r>
      <w:proofErr w:type="spellEnd"/>
      <w:r w:rsidRPr="003032D8">
        <w:rPr>
          <w:rFonts w:ascii="TitilliumText25L" w:hAnsi="TitilliumText25L"/>
          <w:lang w:val="en-GB"/>
        </w:rPr>
        <w:t xml:space="preserve">-partum haemorrhage during caesarean section. </w:t>
      </w:r>
      <w:r w:rsidRPr="003032D8">
        <w:rPr>
          <w:rFonts w:ascii="TitilliumText25L" w:hAnsi="TitilliumText25L"/>
          <w:color w:val="000007"/>
          <w:lang w:val="en-GB"/>
        </w:rPr>
        <w:t xml:space="preserve">In the year 2005-2006, 38% of obstetric units in Britain used </w:t>
      </w:r>
      <w:r w:rsidRPr="003032D8">
        <w:rPr>
          <w:rFonts w:ascii="TitilliumText25L" w:hAnsi="TitilliumText25L"/>
          <w:lang w:val="en-GB"/>
        </w:rPr>
        <w:t>Intraoperative cell salvage</w:t>
      </w:r>
      <w:r w:rsidRPr="003032D8">
        <w:rPr>
          <w:rFonts w:ascii="TitilliumText25L" w:hAnsi="TitilliumText25L"/>
          <w:color w:val="000007"/>
          <w:lang w:val="en-GB"/>
        </w:rPr>
        <w:t xml:space="preserve"> in Obstetric surgery.</w:t>
      </w:r>
      <w:r w:rsidRPr="003032D8">
        <w:rPr>
          <w:rFonts w:ascii="TitilliumText25L" w:hAnsi="TitilliumText25L"/>
          <w:color w:val="000007"/>
          <w:lang w:val="en-GB"/>
        </w:rPr>
        <w:fldChar w:fldCharType="begin" w:fldLock="1"/>
      </w:r>
      <w:r w:rsidRPr="003032D8">
        <w:rPr>
          <w:rFonts w:ascii="TitilliumText25L" w:hAnsi="TitilliumText25L"/>
          <w:color w:val="000007"/>
          <w:lang w:val="en-GB"/>
        </w:rPr>
        <w:instrText>ADDIN CSL_CITATION { "citationItems" : [ { "id" : "ITEM-1", "itemData" : { "author" : [ { "dropping-particle" : "", "family" : "UK Cell Salvage Action Group", "given" : "", "non-dropping-particle" : "", "parse-names" : false, "suffix" : "" } ], "id" : "ITEM-1", "issued" : { "date-parts" : [ [ "2008" ] ] }, "title" : "ICS Technical Factsheet", "type" : "article-journal" }, "uris" : [ "http://www.mendeley.com/documents/?uuid=88f5bba3-3e55-49f7-9571-b344f0c76760" ] } ], "mendeley" : { "previouslyFormattedCitation" : "&lt;sup&gt;1&lt;/sup&gt;" }, "properties" : { "noteIndex" : 0 }, "schema" : "https://github.com/citation-style-language/schema/raw/master/csl-citation.json" }</w:instrText>
      </w:r>
      <w:r w:rsidRPr="003032D8">
        <w:rPr>
          <w:rFonts w:ascii="TitilliumText25L" w:hAnsi="TitilliumText25L"/>
          <w:color w:val="000007"/>
          <w:lang w:val="en-GB"/>
        </w:rPr>
        <w:fldChar w:fldCharType="separate"/>
      </w:r>
      <w:r w:rsidRPr="003032D8">
        <w:rPr>
          <w:rFonts w:ascii="TitilliumText25L" w:hAnsi="TitilliumText25L"/>
          <w:noProof/>
          <w:color w:val="000007"/>
          <w:vertAlign w:val="superscript"/>
          <w:lang w:val="en-GB"/>
        </w:rPr>
        <w:t>1</w:t>
      </w:r>
      <w:r w:rsidRPr="003032D8">
        <w:rPr>
          <w:rFonts w:ascii="TitilliumText25L" w:hAnsi="TitilliumText25L"/>
          <w:color w:val="000007"/>
          <w:lang w:val="en-GB"/>
        </w:rPr>
        <w:fldChar w:fldCharType="end"/>
      </w:r>
    </w:p>
    <w:p w:rsidR="0038758B" w:rsidRPr="003032D8" w:rsidRDefault="0038758B" w:rsidP="0038758B">
      <w:pPr>
        <w:autoSpaceDE w:val="0"/>
        <w:autoSpaceDN w:val="0"/>
        <w:adjustRightInd w:val="0"/>
        <w:spacing w:after="240" w:line="240" w:lineRule="auto"/>
        <w:rPr>
          <w:rFonts w:ascii="TitilliumText25L" w:hAnsi="TitilliumText25L"/>
        </w:rPr>
      </w:pPr>
      <w:r w:rsidRPr="003032D8">
        <w:rPr>
          <w:rFonts w:ascii="TitilliumText25L" w:hAnsi="TitilliumText25L"/>
          <w:lang w:val="en-GB"/>
        </w:rPr>
        <w:t>Maternal haemorrhage during delivery is a significant risk in pregnancy. In the 2005 triennial Confidential Enquiry into Maternal and Child Health (CEMACH) report from the United Kingdom, maternal haemorrhage was the joint fifth leading cause of direct maternal death (causing death in 0.66 per 100 000 maternities). It should also be recognised that maternal haemorrhage may be a contributing factor to other maternal deaths, and a significant cause of maternal morbidity.</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"ISBN" : "9780953353699", "abstract" : "The overwhelming strength of successive Confidential Enquiry Reports has been the impact their findings have had on maternal and newborn health in the United Kingdom and further afield. Over the years there have been many impressive examples of how the implementation of their recommendations and guidelines have improved maternal health policies, procedures and practice and saved mothers\u2019 and babies\u2019 lives. The findings of this latest Report continue to underline its continuing importance as a vital component of maternity services in the UK.", "author" : [ { "dropping-particle" : "", "family" : "CEMACH", "given" : "", "non-dropping-particle" : "", "parse-names" : false, "suffix" : "" } ], "container-title" : "Confidential Enquiries into Maternal Deaths in the United Kingdom", "id" : "ITEM-1", "issue" : "December", "issued" : { "date-parts" : [ [ "2007" ] ] }, "page" : "1-12", "title" : "Saving Mothers\u2019 Lives 2003-2005 (Executive Summary)", "type" : "article-journal", "volume" : "7" }, "uris" : [ "http://www.mendeley.com/documents/?uuid=9d0a1a1a-4841-4214-b72d-db33695af057" ] } ], "mendeley" : { "previouslyFormattedCitation" : "&lt;sup&gt;2&lt;/sup&gt;"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2</w:t>
      </w:r>
      <w:r w:rsidRPr="003032D8">
        <w:rPr>
          <w:rFonts w:ascii="TitilliumText25L" w:hAnsi="TitilliumText25L"/>
          <w:lang w:val="en-GB"/>
        </w:rPr>
        <w:fldChar w:fldCharType="end"/>
      </w:r>
      <w:r w:rsidRPr="003032D8">
        <w:rPr>
          <w:rFonts w:ascii="TitilliumText25L" w:hAnsi="TitilliumText25L"/>
          <w:lang w:val="en-GB"/>
        </w:rPr>
        <w:t xml:space="preserve"> Obstetric haemorrhage accounts for 3 – 4% of all red cell units transfused in England and Wales, and it is likely that it accounts for a similar proportion of blood usage here in Australia.</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"DOI" : "10.1016/j.ijoa.2007.01.014", "abstract" : "In the UK, maternal mortality due to haemorrhage appears to be rising, with obstetric haemorrhage accounting for 3-4% of the red cells transfused. Allogeneic blood transfusion carries risks such as administration errors, transmitted infections and immunological reactions. The supply of blood is decreasing, partly due to the exclusion of donors who have themselves received a blood transfusion since 1980, in order to stop transmission of variant-Creutzfeldt-Jakob disease. The cost of blood is significantly increasing, partly because it is now leucocyte-depleted to minimize viral transmission. Various blood conservation techniques can reduce exposure to allogeneic blood thereby reducing risk and conserving the blood supply. These include preoperative autologous donation, acute normovolaemic haemodilution and intra-operative cell salvage. Preoperative autologous donation may produce anaemia, does not eliminate transfusion risk, cannot be used in an emergency and is not acceptable to Jehovah's Witnesses. It should be reserved for exceptional circumstances (rare blood type or unusual antibodies). Acute normovolaemic haemodilution may induce anaemia and cardiac failure and cannot be used in an emergency. It may have a limited role in combination with other techniques. Intra-operative cell salvage is more effective and useful in obstetrics than the other techniques, overcomes their shortcomings and is endorsed by CEMACH, OAA/AAGBI Guidelines, the National Blood Service and NICE.", "author" : [ { "dropping-particle" : "", "family" : "Catling", "given" : "S", "non-dropping-particle" : "", "parse-names" : false, "suffix" : "" } ], "container-title" : "International journal of obstetric anesthesia", "id" : "ITEM-1", "issue" : "3", "issued" : { "date-parts" : [ [ "2007" ] ] }, "page" : "241-249", "title" : "Blood conservation techniques in obstetrics: a UK perspective.", "type" : "article-journal", "volume" : "16" }, "uris" : [ "http://www.mendeley.com/documents/?uuid=74481885-5ef8-445d-a8a0-714d77902dab" ] } ], "mendeley" : { "previouslyFormattedCitation" : "&lt;sup&gt;3&lt;/sup&gt;"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3</w:t>
      </w:r>
      <w:r w:rsidRPr="003032D8">
        <w:rPr>
          <w:rFonts w:ascii="TitilliumText25L" w:hAnsi="TitilliumText25L"/>
          <w:lang w:val="en-GB"/>
        </w:rPr>
        <w:fldChar w:fldCharType="end"/>
      </w:r>
      <w:r w:rsidRPr="003032D8">
        <w:rPr>
          <w:rFonts w:ascii="TitilliumText25L" w:hAnsi="TitilliumText25L"/>
          <w:lang w:val="en-GB"/>
        </w:rPr>
        <w:t xml:space="preserve"> </w:t>
      </w:r>
      <w:r w:rsidRPr="003032D8">
        <w:rPr>
          <w:rFonts w:ascii="TitilliumText25L" w:hAnsi="TitilliumText25L"/>
        </w:rPr>
        <w:t xml:space="preserve">The following </w:t>
      </w:r>
      <w:proofErr w:type="spellStart"/>
      <w:r w:rsidRPr="003032D8">
        <w:rPr>
          <w:rFonts w:ascii="TitilliumText25L" w:hAnsi="TitilliumText25L"/>
          <w:lang w:val="en-GB"/>
        </w:rPr>
        <w:t>CMACE</w:t>
      </w:r>
      <w:proofErr w:type="spellEnd"/>
      <w:r w:rsidRPr="003032D8">
        <w:rPr>
          <w:rFonts w:ascii="TitilliumText25L" w:hAnsi="TitilliumText25L"/>
          <w:lang w:val="en-GB"/>
        </w:rPr>
        <w:t xml:space="preserve"> release: Saving Mothers’ Lives report – reviewing maternal deaths 2006-2008</w:t>
      </w:r>
      <w:r w:rsidRPr="003032D8">
        <w:rPr>
          <w:rFonts w:ascii="TitilliumText25L" w:hAnsi="TitilliumText25L"/>
        </w:rPr>
        <w:t xml:space="preserve"> reports that following the introduction of national clinical guidelines and standards there was a reduction in maternal deaths due to haemorrhage.</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"author" : [ { "dropping-particle" : "", "family" : "CMACE", "given" : "", "non-dropping-particle" : "", "parse-names" : false, "suffix" : "" } ], "id" : "ITEM-1", "issued" : { "date-parts" : [ [ "2011" ] ] }, "title" : "Saving Mothers\u2019 Lives Reviewing maternal deaths to make motherhood safer: 2006\u20132008", "type" : "article-journal" }, "uris" : [ "http://www.mendeley.com/documents/?uuid=448106f5-c727-4c80-bb5c-0504a3ee7b62" ] } ], "mendeley" : { "previouslyFormattedCitation" : "&lt;sup&gt;4&lt;/sup&gt;"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4</w:t>
      </w:r>
      <w:r w:rsidRPr="003032D8">
        <w:rPr>
          <w:rFonts w:ascii="TitilliumText25L" w:hAnsi="TitilliumText25L"/>
        </w:rPr>
        <w:fldChar w:fldCharType="end"/>
      </w:r>
    </w:p>
    <w:p w:rsidR="0038758B" w:rsidRPr="003032D8" w:rsidRDefault="0038758B" w:rsidP="0038758B">
      <w:pPr>
        <w:spacing w:after="0" w:line="360" w:lineRule="auto"/>
        <w:rPr>
          <w:rFonts w:ascii="TitilliumText25L" w:hAnsi="TitilliumText25L"/>
          <w:b/>
          <w:sz w:val="26"/>
          <w:szCs w:val="26"/>
          <w:u w:val="single"/>
          <w:lang w:val="en-GB"/>
        </w:rPr>
      </w:pPr>
      <w:r w:rsidRPr="003032D8">
        <w:rPr>
          <w:rFonts w:ascii="TitilliumText25L" w:hAnsi="TitilliumText25L"/>
          <w:b/>
          <w:sz w:val="26"/>
          <w:szCs w:val="26"/>
          <w:u w:val="single"/>
          <w:lang w:val="en-GB"/>
        </w:rPr>
        <w:t xml:space="preserve">The use of intraoperative cell salvage in obstetrics has been endorsed by: </w:t>
      </w:r>
    </w:p>
    <w:p w:rsidR="0038758B" w:rsidRPr="003032D8" w:rsidRDefault="0038758B" w:rsidP="0038758B">
      <w:pPr>
        <w:pStyle w:val="ListParagraph"/>
        <w:numPr>
          <w:ilvl w:val="0"/>
          <w:numId w:val="31"/>
        </w:numPr>
        <w:rPr>
          <w:rFonts w:ascii="TitilliumText25L" w:hAnsi="TitilliumText25L"/>
          <w:lang w:val="en-GB"/>
        </w:rPr>
      </w:pPr>
      <w:r w:rsidRPr="003032D8">
        <w:rPr>
          <w:rFonts w:ascii="TitilliumText25L" w:hAnsi="TitilliumText25L"/>
          <w:lang w:val="en-GB"/>
        </w:rPr>
        <w:t xml:space="preserve">Centre for Maternal and Child Enquires </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"ISBN" : "9780953353699", "abstract" : "The overwhelming strength of successive Confidential Enquiry Reports has been the impact their findings have had on maternal and newborn health in the United Kingdom and further afield. Over the years there have been many impressive examples of how the implementation of their recommendations and guidelines have improved maternal health policies, procedures and practice and saved mothers\u2019 and babies\u2019 lives. The findings of this latest Report continue to underline its continuing importance as a vital component of maternity services in the UK.", "author" : [ { "dropping-particle" : "", "family" : "CEMACH", "given" : "", "non-dropping-particle" : "", "parse-names" : false, "suffix" : "" } ], "container-title" : "Confidential Enquiries into Maternal Deaths in the United Kingdom", "id" : "ITEM-1", "issue" : "December", "issued" : { "date-parts" : [ [ "2007" ] ] }, "page" : "1-12", "title" : "Saving Mothers\u2019 Lives 2003-2005 (Executive Summary)", "type" : "article-journal", "volume" : "7" }, "uris" : [ "http://www.mendeley.com/documents/?uuid=9d0a1a1a-4841-4214-b72d-db33695af057" ] } ], "mendeley" : { "previouslyFormattedCitation" : "&lt;sup&gt;2&lt;/sup&gt;"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2</w:t>
      </w:r>
      <w:r w:rsidRPr="003032D8">
        <w:rPr>
          <w:rFonts w:ascii="TitilliumText25L" w:hAnsi="TitilliumText25L"/>
          <w:lang w:val="en-GB"/>
        </w:rPr>
        <w:fldChar w:fldCharType="end"/>
      </w:r>
    </w:p>
    <w:p w:rsidR="0038758B" w:rsidRPr="003032D8" w:rsidRDefault="0038758B" w:rsidP="0038758B">
      <w:pPr>
        <w:pStyle w:val="ListParagraph"/>
        <w:numPr>
          <w:ilvl w:val="0"/>
          <w:numId w:val="31"/>
        </w:numPr>
        <w:rPr>
          <w:rFonts w:ascii="TitilliumText25L" w:hAnsi="TitilliumText25L"/>
          <w:lang w:val="en-GB"/>
        </w:rPr>
      </w:pPr>
      <w:r w:rsidRPr="003032D8">
        <w:rPr>
          <w:rFonts w:ascii="TitilliumText25L" w:hAnsi="TitilliumText25L"/>
          <w:lang w:val="en-GB"/>
        </w:rPr>
        <w:t xml:space="preserve">Joint Association of Anaesthetists Great Britain &amp; Ireland and  Obstetric Anaesthetists Association </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"AAGBI/OAA The Association of Anaesthetists of Great Britain and Ireland Obstetric Anaesthetists\u2019 Association Guidelines", "given" : "", "non-dropping-particle" : "", "parse-names" : false, "suffix" : "" } ], "id" : "ITEM-1", "issued" : { "date-parts" : [ [ "2005" ] ] }, "title" : "Guidelines for Obstetric Anaesthetic Services Revised Edition, 25", "type" : "article-journal" }, "uris" : [ "http://www.mendeley.com/documents/?uuid=f780cb32-21b8-493b-82c5-4b19e6a92494" ] } ], "mendeley" : { "previouslyFormattedCitation" : "&lt;sup&gt;5&lt;/sup&gt;"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5</w:t>
      </w:r>
      <w:r w:rsidRPr="003032D8">
        <w:rPr>
          <w:rFonts w:ascii="TitilliumText25L" w:hAnsi="TitilliumText25L"/>
          <w:lang w:val="en-GB"/>
        </w:rPr>
        <w:fldChar w:fldCharType="end"/>
      </w:r>
    </w:p>
    <w:p w:rsidR="0038758B" w:rsidRPr="003032D8" w:rsidRDefault="0038758B" w:rsidP="0038758B">
      <w:pPr>
        <w:pStyle w:val="ListParagraph"/>
        <w:numPr>
          <w:ilvl w:val="0"/>
          <w:numId w:val="31"/>
        </w:numPr>
        <w:rPr>
          <w:rFonts w:ascii="TitilliumText25L" w:hAnsi="TitilliumText25L"/>
          <w:lang w:val="en-GB"/>
        </w:rPr>
      </w:pPr>
      <w:r w:rsidRPr="003032D8">
        <w:rPr>
          <w:rFonts w:ascii="TitilliumText25L" w:hAnsi="TitilliumText25L"/>
          <w:lang w:val="en-GB"/>
        </w:rPr>
        <w:t>National Institute for Health and Clinical Excellence (NICE)</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"National Institute for Health and Clinical Excellence(NICE)", "given" : "", "non-dropping-particle" : "", "parse-names" : false, "suffix" : "" } ], "container-title" : "2005", "id" : "ITEM-1", "issued" : { "date-parts" : [ [ "0" ] ] }, "title" : "Guideline IPG144: Intraoperative blood cell salvage in Obstetrics.", "type" : "article-journal" }, "uris" : [ "http://www.mendeley.com/documents/?uuid=2017fd27-c0c8-4ad5-a732-e6e49e0d61c7" ] } ], "mendeley" : { "previouslyFormattedCitation" : "&lt;sup&gt;6&lt;/sup&gt;"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6</w:t>
      </w:r>
      <w:r w:rsidRPr="003032D8">
        <w:rPr>
          <w:rFonts w:ascii="TitilliumText25L" w:hAnsi="TitilliumText25L"/>
          <w:lang w:val="en-GB"/>
        </w:rPr>
        <w:fldChar w:fldCharType="end"/>
      </w:r>
      <w:r w:rsidRPr="003032D8">
        <w:rPr>
          <w:rFonts w:ascii="TitilliumText25L" w:hAnsi="TitilliumText25L"/>
          <w:lang w:val="en-GB"/>
        </w:rPr>
        <w:t>.</w:t>
      </w:r>
    </w:p>
    <w:p w:rsidR="0038758B" w:rsidRPr="003032D8" w:rsidRDefault="0038758B" w:rsidP="0038758B">
      <w:pPr>
        <w:pStyle w:val="ListParagraph"/>
        <w:numPr>
          <w:ilvl w:val="0"/>
          <w:numId w:val="3"/>
        </w:numPr>
        <w:spacing w:after="0" w:line="360" w:lineRule="auto"/>
        <w:rPr>
          <w:rFonts w:ascii="TitilliumText25L" w:hAnsi="TitilliumText25L"/>
          <w:lang w:val="en-GB"/>
        </w:rPr>
      </w:pPr>
      <w:r w:rsidRPr="003032D8">
        <w:rPr>
          <w:rFonts w:ascii="TitilliumText25L" w:hAnsi="TitilliumText25L"/>
          <w:lang w:val="en-GB"/>
        </w:rPr>
        <w:t>The national Patient Blood Management Guidelines: Module 5 Obstetrics is currently under development.</w:t>
      </w:r>
    </w:p>
    <w:p w:rsidR="0038758B" w:rsidRPr="003032D8" w:rsidRDefault="0038758B" w:rsidP="0038758B">
      <w:pPr>
        <w:spacing w:after="0" w:line="360" w:lineRule="auto"/>
        <w:rPr>
          <w:rFonts w:ascii="TitilliumText25L" w:hAnsi="TitilliumText25L"/>
          <w:b/>
          <w:sz w:val="28"/>
          <w:szCs w:val="28"/>
          <w:u w:val="single"/>
          <w:lang w:val="en-GB"/>
        </w:rPr>
      </w:pPr>
      <w:r w:rsidRPr="003032D8">
        <w:rPr>
          <w:rFonts w:ascii="TitilliumText25L" w:hAnsi="TitilliumText25L"/>
          <w:b/>
          <w:sz w:val="28"/>
          <w:szCs w:val="28"/>
          <w:u w:val="single"/>
          <w:lang w:val="en-GB"/>
        </w:rPr>
        <w:t>Concerns for Intra-operative cell salvage in Obstetrics:</w:t>
      </w:r>
    </w:p>
    <w:p w:rsidR="0038758B" w:rsidRPr="003032D8" w:rsidRDefault="0038758B" w:rsidP="0038758B">
      <w:pPr>
        <w:rPr>
          <w:rFonts w:ascii="TitilliumText25L" w:hAnsi="TitilliumText25L"/>
          <w:lang w:val="en-GB"/>
        </w:rPr>
      </w:pPr>
      <w:r w:rsidRPr="003032D8">
        <w:rPr>
          <w:rFonts w:ascii="TitilliumText25L" w:hAnsi="TitilliumText25L"/>
          <w:lang w:val="en-GB"/>
        </w:rPr>
        <w:t xml:space="preserve">Early, theoretical concerns over intra-operative cell salvage for Obstetric surgery have not been borne out in clinical practice </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"UK Cell Salvage Action Group", "given" : "", "non-dropping-particle" : "", "parse-names" : false, "suffix" : "" } ], "id" : "ITEM-1", "issued" : { "date-parts" : [ [ "2008" ] ] }, "title" : "ICS Technical Factsheet", "type" : "article-journal" }, "uris" : [ "http://www.mendeley.com/documents/?uuid=88f5bba3-3e55-49f7-9571-b344f0c76760" ] } ], "mendeley" : { "previouslyFormattedCitation" : "&lt;sup&gt;1&lt;/sup&gt;"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1</w:t>
      </w:r>
      <w:r w:rsidRPr="003032D8">
        <w:rPr>
          <w:rFonts w:ascii="TitilliumText25L" w:hAnsi="TitilliumText25L"/>
          <w:lang w:val="en-GB"/>
        </w:rPr>
        <w:fldChar w:fldCharType="end"/>
      </w:r>
      <w:r w:rsidRPr="003032D8">
        <w:rPr>
          <w:rFonts w:ascii="TitilliumText25L" w:hAnsi="TitilliumText25L"/>
          <w:lang w:val="en-GB"/>
        </w:rPr>
        <w:t>These concerns include:</w:t>
      </w:r>
    </w:p>
    <w:p w:rsidR="0038758B" w:rsidRPr="003032D8" w:rsidRDefault="0038758B" w:rsidP="0038758B">
      <w:pPr>
        <w:pStyle w:val="ListParagraph"/>
        <w:numPr>
          <w:ilvl w:val="0"/>
          <w:numId w:val="3"/>
        </w:numPr>
        <w:rPr>
          <w:rFonts w:ascii="TitilliumText25L" w:hAnsi="TitilliumText25L"/>
          <w:lang w:val="en-GB"/>
        </w:rPr>
      </w:pPr>
      <w:r w:rsidRPr="003032D8">
        <w:rPr>
          <w:rFonts w:ascii="TitilliumText25L" w:hAnsi="TitilliumText25L"/>
          <w:lang w:val="en-GB"/>
        </w:rPr>
        <w:t>The risk of amniotic fluid embolism with reinfusion of fetal squames/</w:t>
      </w:r>
      <w:r w:rsidRPr="003032D8">
        <w:rPr>
          <w:rFonts w:ascii="TitilliumText25L" w:hAnsi="TitilliumText25L"/>
          <w:lang w:val="en-GB"/>
        </w:rPr>
        <w:sym w:font="Symbol" w:char="F061"/>
      </w:r>
      <w:r w:rsidRPr="003032D8">
        <w:rPr>
          <w:rFonts w:ascii="TitilliumText25L" w:hAnsi="TitilliumText25L"/>
          <w:lang w:val="en-GB"/>
        </w:rPr>
        <w:t xml:space="preserve">-fetoprotein/lipid components </w:t>
      </w:r>
    </w:p>
    <w:p w:rsidR="0038758B" w:rsidRPr="003032D8" w:rsidRDefault="0038758B" w:rsidP="0038758B">
      <w:pPr>
        <w:pStyle w:val="ListParagraph"/>
        <w:numPr>
          <w:ilvl w:val="0"/>
          <w:numId w:val="3"/>
        </w:numPr>
        <w:rPr>
          <w:rFonts w:ascii="TitilliumText25L" w:hAnsi="TitilliumText25L"/>
          <w:color w:val="000007"/>
          <w:lang w:val="en-GB"/>
        </w:rPr>
      </w:pPr>
      <w:proofErr w:type="spellStart"/>
      <w:r w:rsidRPr="003032D8">
        <w:rPr>
          <w:rFonts w:ascii="TitilliumText25L" w:hAnsi="TitilliumText25L"/>
          <w:lang w:val="en-GB"/>
        </w:rPr>
        <w:t>Allo</w:t>
      </w:r>
      <w:proofErr w:type="spellEnd"/>
      <w:r w:rsidRPr="003032D8">
        <w:rPr>
          <w:rFonts w:ascii="TitilliumText25L" w:hAnsi="TitilliumText25L"/>
          <w:lang w:val="en-GB"/>
        </w:rPr>
        <w:t>-immunisation with the exposure of an RhD negative mother to red cells of an RhD positive fetus.</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"National Institute for Health and Clinical Excellence(NICE)", "given" : "", "non-dropping-particle" : "", "parse-names" : false, "suffix" : "" } ], "container-title" : "2005", "id" : "ITEM-1", "issued" : { "date-parts" : [ [ "0" ] ] }, "title" : "Guideline IPG144: Intraoperative blood cell salvage in Obstetrics.", "type" : "article-journal" }, "uris" : [ "http://www.mendeley.com/documents/?uuid=2017fd27-c0c8-4ad5-a732-e6e49e0d61c7" ] } ], "mendeley" : { "previouslyFormattedCitation" : "&lt;sup&gt;6&lt;/sup&gt;"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6</w:t>
      </w:r>
      <w:r w:rsidRPr="003032D8">
        <w:rPr>
          <w:rFonts w:ascii="TitilliumText25L" w:hAnsi="TitilliumText25L"/>
          <w:lang w:val="en-GB"/>
        </w:rPr>
        <w:fldChar w:fldCharType="end"/>
      </w:r>
    </w:p>
    <w:p w:rsidR="0038758B" w:rsidRPr="003032D8" w:rsidRDefault="0038758B" w:rsidP="0038758B">
      <w:pPr>
        <w:spacing w:after="0" w:line="360" w:lineRule="auto"/>
        <w:rPr>
          <w:rFonts w:ascii="TitilliumText25L" w:hAnsi="TitilliumText25L"/>
          <w:b/>
          <w:sz w:val="28"/>
          <w:szCs w:val="28"/>
          <w:u w:val="single"/>
          <w:lang w:val="en-GB"/>
        </w:rPr>
      </w:pPr>
      <w:r w:rsidRPr="003032D8">
        <w:rPr>
          <w:rFonts w:ascii="TitilliumText25L" w:hAnsi="TitilliumText25L"/>
          <w:b/>
          <w:sz w:val="28"/>
          <w:szCs w:val="28"/>
          <w:u w:val="single"/>
          <w:lang w:val="en-GB"/>
        </w:rPr>
        <w:t>Amniotic fluid embolism</w:t>
      </w:r>
    </w:p>
    <w:p w:rsidR="0038758B" w:rsidRPr="003032D8" w:rsidRDefault="0038758B" w:rsidP="0038758B">
      <w:pPr>
        <w:rPr>
          <w:rFonts w:ascii="TitilliumText25L" w:hAnsi="TitilliumText25L"/>
          <w:lang w:val="en-GB"/>
        </w:rPr>
      </w:pPr>
      <w:r w:rsidRPr="003032D8">
        <w:rPr>
          <w:rFonts w:ascii="TitilliumText25L" w:hAnsi="TitilliumText25L"/>
          <w:lang w:val="en-GB"/>
        </w:rPr>
        <w:t xml:space="preserve">During intraoperative blood cell salvage in caesarean section, blood that is lost during the operation is aspirated from the surgical field and after filtering and washing reinfused into the patient. This aspirate may potentially include amniotic fluid and cells from the fetus </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"National Institute for Health and Clinical Excellence(NICE)", "given" : "", "non-dropping-particle" : "", "parse-names" : false, "suffix" : "" } ], "container-title" : "2005", "id" : "ITEM-1", "issued" : { "date-parts" : [ [ "0" ] ] }, "title" : "Guideline IPG144: Intraoperative blood cell salvage in Obstetrics.", "type" : "article-journal" }, "uris" : [ "http://www.mendeley.com/documents/?uuid=2017fd27-c0c8-4ad5-a732-e6e49e0d61c7" ] } ], "mendeley" : { "previouslyFormattedCitation" : "&lt;sup&gt;6&lt;/sup&gt;"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6</w:t>
      </w:r>
      <w:r w:rsidRPr="003032D8">
        <w:rPr>
          <w:rFonts w:ascii="TitilliumText25L" w:hAnsi="TitilliumText25L"/>
          <w:lang w:val="en-GB"/>
        </w:rPr>
        <w:fldChar w:fldCharType="end"/>
      </w:r>
      <w:r w:rsidRPr="003032D8">
        <w:rPr>
          <w:rFonts w:ascii="TitilliumText25L" w:hAnsi="TitilliumText25L"/>
          <w:lang w:val="en-GB"/>
        </w:rPr>
        <w:t>.</w:t>
      </w:r>
    </w:p>
    <w:p w:rsidR="0038758B" w:rsidRPr="003032D8" w:rsidRDefault="0038758B" w:rsidP="0038758B">
      <w:pPr>
        <w:rPr>
          <w:rFonts w:ascii="TitilliumText25L" w:hAnsi="TitilliumText25L"/>
          <w:lang w:val="en"/>
        </w:rPr>
      </w:pPr>
      <w:r w:rsidRPr="003032D8">
        <w:rPr>
          <w:rFonts w:ascii="TitilliumText25L" w:hAnsi="TitilliumText25L"/>
          <w:lang w:val="en-GB"/>
        </w:rPr>
        <w:lastRenderedPageBreak/>
        <w:t xml:space="preserve">“A leukocyte depletion filter is nearly always used in this process to reduce the amount of amniotic fluid contaminants in transfused blood to levels approaching those found in maternal blood” </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"UK Cell Salvage Action Group", "given" : "", "non-dropping-particle" : "", "parse-names" : false, "suffix" : "" } ], "id" : "ITEM-1", "issued" : { "date-parts" : [ [ "2012" ] ] }, "title" : "Use of Filters in ICS", "type" : "article-journal" }, "uris" : [ "http://www.mendeley.com/documents/?uuid=4ad6d797-9e82-405d-83a2-496405ae2f1b" ] } ], "mendeley" : { "previouslyFormattedCitation" : "&lt;sup&gt;7&lt;/sup&gt;"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7</w:t>
      </w:r>
      <w:r w:rsidRPr="003032D8">
        <w:rPr>
          <w:rFonts w:ascii="TitilliumText25L" w:hAnsi="TitilliumText25L"/>
          <w:lang w:val="en-GB"/>
        </w:rPr>
        <w:fldChar w:fldCharType="end"/>
      </w:r>
      <w:r w:rsidRPr="003032D8">
        <w:rPr>
          <w:rFonts w:ascii="TitilliumText25L" w:hAnsi="TitilliumText25L"/>
          <w:lang w:val="en-GB"/>
        </w:rPr>
        <w:t>. It is felt that the use of these filters, incorporating a small-pore microfiber web and a negative surface charge, have increased the safety of intraoperative cell salvage in obstetrics by removing the particulate contaminants felt responsible for amniotic fluid embolism associated with disseminated intravascular clotting (</w:t>
      </w:r>
      <w:proofErr w:type="spellStart"/>
      <w:r w:rsidRPr="003032D8">
        <w:rPr>
          <w:rFonts w:ascii="TitilliumText25L" w:hAnsi="TitilliumText25L"/>
          <w:lang w:val="en-GB"/>
        </w:rPr>
        <w:t>DIC</w:t>
      </w:r>
      <w:proofErr w:type="spellEnd"/>
      <w:r w:rsidRPr="003032D8">
        <w:rPr>
          <w:rFonts w:ascii="TitilliumText25L" w:hAnsi="TitilliumText25L"/>
          <w:lang w:val="en-GB"/>
        </w:rPr>
        <w:t xml:space="preserve">). </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"abstract" : "Cell salvage has been used in obstetrics to a limited degree because of a fear of amniotic fluid embolism. In this study, cell salvage was combined with blood filtration using a leukocyte depletion filter. A comparison of this washed, filtered product was then made with maternal central venous blood.", "author" : [ { "dropping-particle" : "", "family" : "Waters", "given" : "J H", "non-dropping-particle" : "", "parse-names" : false, "suffix" : "" }, { "dropping-particle" : "", "family" : "Biscotti", "given" : "C", "non-dropping-particle" : "", "parse-names" : false, "suffix" : "" }, { "dropping-particle" : "", "family" : "Potter", "given" : "P S", "non-dropping-particle" : "", "parse-names" : false, "suffix" : "" }, { "dropping-particle" : "", "family" : "Phillipson", "given" : "E", "non-dropping-particle" : "", "parse-names" : false, "suffix" : "" } ], "container-title" : "Anesthesiology", "id" : "ITEM-1", "issue" : "6", "issued" : { "date-parts" : [ [ "2000" ] ] }, "page" : "1531-1536", "title" : "Amniotic fluid removal during cell salvage in the cesarean section patient.", "type" : "article-journal", "volume" : "92" }, "uris" : [ "http://www.mendeley.com/documents/?uuid=1df20bd8-23d7-471b-9523-f8bb9195d086" ] } ], "mendeley" : { "previouslyFormattedCitation" : "&lt;sup&gt;8&lt;/sup&gt;"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8</w:t>
      </w:r>
      <w:r w:rsidRPr="003032D8">
        <w:rPr>
          <w:rFonts w:ascii="TitilliumText25L" w:hAnsi="TitilliumText25L"/>
          <w:lang w:val="en-GB"/>
        </w:rPr>
        <w:fldChar w:fldCharType="end"/>
      </w:r>
      <w:r w:rsidRPr="003032D8">
        <w:rPr>
          <w:rFonts w:ascii="TitilliumText25L" w:hAnsi="TitilliumText25L"/>
          <w:vertAlign w:val="superscript"/>
          <w:lang w:val="en-GB"/>
        </w:rPr>
        <w:t>,</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"Dzik", "given" : "", "non-dropping-particle" : "", "parse-names" : false, "suffix" : "" } ], "container-title" : "Transfusion medicine reviews", "id" : "ITEM-1", "issued" : { "date-parts" : [ [ "1993" ] ] }, "title" : "Leukodepletion blood filters: filter design and mechanisms of leukocyte removal", "type" : "article-journal" }, "uris" : [ "http://www.mendeley.com/documents/?uuid=03c20688-4c79-4bbd-95a5-6efaa2b39754" ] } ], "mendeley" : { "previouslyFormattedCitation" : "&lt;sup&gt;9&lt;/sup&gt;"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9</w:t>
      </w:r>
      <w:r w:rsidRPr="003032D8">
        <w:rPr>
          <w:rFonts w:ascii="TitilliumText25L" w:hAnsi="TitilliumText25L"/>
          <w:lang w:val="en-GB"/>
        </w:rPr>
        <w:fldChar w:fldCharType="end"/>
      </w:r>
    </w:p>
    <w:p w:rsidR="0038758B" w:rsidRPr="003032D8" w:rsidRDefault="0038758B" w:rsidP="0038758B">
      <w:pPr>
        <w:rPr>
          <w:rFonts w:ascii="TitilliumText25L" w:hAnsi="TitilliumText25L"/>
          <w:color w:val="000007"/>
          <w:lang w:val="en-GB"/>
        </w:rPr>
      </w:pPr>
      <w:r w:rsidRPr="003032D8">
        <w:rPr>
          <w:rFonts w:ascii="TitilliumText25L" w:hAnsi="TitilliumText25L"/>
        </w:rPr>
        <w:t xml:space="preserve">Leukocyte depletion filters remove products such as fetal squamous cells, lipids, amniotic fluid and vernix to produce levels either lower than or similar to those seen in maternal central blood samples at the time of uteroplacental separation </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"DOI" : "10.1097/00000542-199109001-00829", "author" : [ { "dropping-particle" : "", "family" : "Thornhill", "given" : "M L", "non-dropping-particle" : "", "parse-names" : false, "suffix" : "" }, { "dropping-particle" : "", "family" : "O\u02bcLeary", "given" : "A J", "non-dropping-particle" : "", "parse-names" : false, "suffix" : "" }, { "dropping-particle" : "", "family" : "Lussos", "given" : "S A", "non-dropping-particle" : "", "parse-names" : false, "suffix" : "" }, { "dropping-particle" : "", "family" : "Rutherford", "given" : "C", "non-dropping-particle" : "", "parse-names" : false, "suffix" : "" } ], "container-title" : "Anesthesiology", "id" : "ITEM-1", "issue" : "Supplement", "issued" : { "date-parts" : [ [ "1991" ] ] }, "page" : "A830", "title" : "AN IN-VITRO ASSESSMENT OF AMNIOTIC FLUID REMOVAL FROM HUMAN BLOOD THROUGH CELL SAVER PROCESSING", "type" : "article-journal", "volume" : "75" }, "uris" : [ "http://www.mendeley.com/documents/?uuid=8fffc04e-456b-4893-a248-c1e7bf0942ee" ] } ], "mendeley" : { "previouslyFormattedCitation" : "&lt;sup&gt;10&lt;/sup&gt;"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10</w:t>
      </w:r>
      <w:r w:rsidRPr="003032D8">
        <w:rPr>
          <w:rFonts w:ascii="TitilliumText25L" w:hAnsi="TitilliumText25L"/>
        </w:rPr>
        <w:fldChar w:fldCharType="end"/>
      </w:r>
      <w:r w:rsidRPr="003032D8">
        <w:rPr>
          <w:rFonts w:ascii="TitilliumText25L" w:hAnsi="TitilliumText25L"/>
        </w:rPr>
        <w:t xml:space="preserve">. Studies on post wash samples have found that the factors which are postulated to cause amniotic fluid embolism syndrome (e.g. </w:t>
      </w:r>
      <w:r w:rsidRPr="003032D8">
        <w:rPr>
          <w:rFonts w:ascii="Courier New" w:hAnsi="Courier New" w:cs="Courier New"/>
        </w:rPr>
        <w:t>α</w:t>
      </w:r>
      <w:r w:rsidRPr="003032D8">
        <w:rPr>
          <w:rFonts w:ascii="TitilliumText25L" w:hAnsi="TitilliumText25L"/>
        </w:rPr>
        <w:t>- fetoprotein, trophoblasts, lanugo hair, vernix caseosa and tissue factor) can be completely eliminated by using a leucodepletion filter.</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"abstract" : "Cell salvage has been used in obstetrics to a limited degree because of a fear of amniotic fluid embolism. In this study, cell salvage was combined with blood filtration using a leukocyte depletion filter. A comparison of this washed, filtered product was then made with maternal central venous blood.", "author" : [ { "dropping-particle" : "", "family" : "Waters", "given" : "J H", "non-dropping-particle" : "", "parse-names" : false, "suffix" : "" }, { "dropping-particle" : "", "family" : "Biscotti", "given" : "C", "non-dropping-particle" : "", "parse-names" : false, "suffix" : "" }, { "dropping-particle" : "", "family" : "Potter", "given" : "P S", "non-dropping-particle" : "", "parse-names" : false, "suffix" : "" }, { "dropping-particle" : "", "family" : "Phillipson", "given" : "E", "non-dropping-particle" : "", "parse-names" : false, "suffix" : "" } ], "container-title" : "Anesthesiology", "id" : "ITEM-1", "issue" : "6", "issued" : { "date-parts" : [ [ "2000" ] ] }, "page" : "1531-1536", "title" : "Amniotic fluid removal during cell salvage in the cesarean section patient.", "type" : "article-journal", "volume" : "92" }, "uris" : [ "http://www.mendeley.com/documents/?uuid=1df20bd8-23d7-471b-9523-f8bb9195d086" ] } ], "mendeley" : { "previouslyFormattedCitation" : "&lt;sup&gt;8&lt;/sup&gt;"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8</w:t>
      </w:r>
      <w:r w:rsidRPr="003032D8">
        <w:rPr>
          <w:rFonts w:ascii="TitilliumText25L" w:hAnsi="TitilliumText25L"/>
          <w:lang w:val="en-GB"/>
        </w:rPr>
        <w:fldChar w:fldCharType="end"/>
      </w:r>
    </w:p>
    <w:p w:rsidR="0038758B" w:rsidRPr="003032D8" w:rsidRDefault="0038758B" w:rsidP="0038758B">
      <w:pPr>
        <w:rPr>
          <w:rFonts w:ascii="TitilliumText25L" w:hAnsi="TitilliumText25L"/>
        </w:rPr>
      </w:pPr>
      <w:r w:rsidRPr="003032D8">
        <w:rPr>
          <w:rFonts w:ascii="TitilliumText25L" w:hAnsi="TitilliumText25L"/>
        </w:rPr>
        <w:t>The use of two separate suction devices for amniotic fluid (initially) and blood (after delivery) is still common practise. Based on the amount of evidence available at this time this practise is still recommended, even though a single suction device has been used in case reports around the world. “</w:t>
      </w:r>
      <w:r w:rsidRPr="003032D8">
        <w:rPr>
          <w:rFonts w:ascii="TitilliumText25L" w:hAnsi="TitilliumText25L"/>
          <w:lang w:val="en-GB"/>
        </w:rPr>
        <w:t>Amniotic fluid should theoretically not be aspirated into the collection reservoir, but should be removed by separate suction prior to starting cell salvage. This recommendation will reduce the initial contamination, although in vitro evidence consistently demonstrates that the cell salvage/filtration process can effectively remove amniotic fluid contaminants whatever the initial load.</w:t>
      </w:r>
      <w:r w:rsidRPr="003032D8">
        <w:rPr>
          <w:rFonts w:ascii="TitilliumText25L" w:hAnsi="TitilliumText25L"/>
        </w:rPr>
        <w:t xml:space="preserve"> </w:t>
      </w:r>
      <w:r w:rsidRPr="003032D8">
        <w:rPr>
          <w:rFonts w:ascii="TitilliumText25L" w:hAnsi="TitilliumText25L"/>
          <w:noProof/>
          <w:vertAlign w:val="superscript"/>
          <w:lang w:val="en-GB"/>
        </w:rPr>
        <w:t>6,7 .</w:t>
      </w:r>
      <w:r w:rsidRPr="003032D8">
        <w:rPr>
          <w:rFonts w:ascii="TitilliumText25L" w:hAnsi="TitilliumText25L"/>
          <w:sz w:val="14"/>
          <w:szCs w:val="14"/>
        </w:rPr>
        <w:t xml:space="preserve"> </w:t>
      </w:r>
      <w:r w:rsidRPr="003032D8">
        <w:rPr>
          <w:rFonts w:ascii="TitilliumText25L" w:hAnsi="TitilliumText25L"/>
        </w:rPr>
        <w:t xml:space="preserve">In life-threatening haemorrhage, therefore, a clinical decision to salvage red cells </w:t>
      </w:r>
      <w:r w:rsidRPr="003032D8">
        <w:rPr>
          <w:rFonts w:ascii="TitilliumText25L" w:hAnsi="TitilliumText25L"/>
          <w:bCs/>
          <w:iCs/>
        </w:rPr>
        <w:t xml:space="preserve">from the start of the procedure </w:t>
      </w:r>
      <w:r w:rsidRPr="003032D8">
        <w:rPr>
          <w:rFonts w:ascii="TitilliumText25L" w:hAnsi="TitilliumText25L"/>
        </w:rPr>
        <w:t xml:space="preserve">could be carefully considered, and is supported by current </w:t>
      </w:r>
      <w:r w:rsidRPr="003032D8">
        <w:rPr>
          <w:rFonts w:ascii="TitilliumText25L" w:hAnsi="TitilliumText25L"/>
          <w:iCs/>
        </w:rPr>
        <w:t xml:space="preserve">in vitro </w:t>
      </w:r>
      <w:r w:rsidRPr="003032D8">
        <w:rPr>
          <w:rFonts w:ascii="TitilliumText25L" w:hAnsi="TitilliumText25L"/>
        </w:rPr>
        <w:t xml:space="preserve">evidence.” </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"author" : [ { "dropping-particle" : "", "family" : "UK Cell Salvage Action Group", "given" : "", "non-dropping-particle" : "", "parse-names" : false, "suffix" : "" } ], "id" : "ITEM-1", "issued" : { "date-parts" : [ [ "2008" ] ] }, "title" : "ICS Technical Factsheet", "type" : "article-journal" }, "uris" : [ "http://www.mendeley.com/documents/?uuid=88f5bba3-3e55-49f7-9571-b344f0c76760" ] } ], "mendeley" : { "previouslyFormattedCitation" : "&lt;sup&gt;1&lt;/sup&gt;"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1</w:t>
      </w:r>
      <w:r w:rsidRPr="003032D8">
        <w:rPr>
          <w:rFonts w:ascii="TitilliumText25L" w:hAnsi="TitilliumText25L"/>
        </w:rPr>
        <w:fldChar w:fldCharType="end"/>
      </w:r>
    </w:p>
    <w:p w:rsidR="0038758B" w:rsidRPr="003032D8" w:rsidRDefault="0038758B" w:rsidP="0038758B">
      <w:pPr>
        <w:rPr>
          <w:rFonts w:ascii="TitilliumText25L" w:eastAsia="Times New Roman" w:hAnsi="TitilliumText25L"/>
          <w:bCs/>
          <w:color w:val="000000"/>
        </w:rPr>
      </w:pPr>
      <w:r w:rsidRPr="003032D8">
        <w:rPr>
          <w:rFonts w:ascii="TitilliumText25L" w:hAnsi="TitilliumText25L"/>
        </w:rPr>
        <w:t xml:space="preserve">“A randomised trial performed in 2008 compared the use of one suction device only (aspiration of all fluid into the ICS system) versus two suction devices. The trial demonstrated that following the washing and filtering processing, using a leucodepletion filter, the level of residual amniotic fluid contamination was no different </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"author" : [ { "dropping-particle" : "", "family" : "Sullivan, I., Faulds, J., &amp; Ralph", "given" : "C", "non-dropping-particle" : "", "parse-names" : false, "suffix" : "" } ], "container-title" : "British Journal of Anaesthesia", "id" : "ITEM-1", "issue" : "2", "issued" : { "date-parts" : [ [ "2008" ] ] }, "page" : "225-229", "title" : "Contamination of salvaged maternal blood by amniotic fluid and fetal red cells during elective Caesarean section", "type" : "article-journal", "volume" : "101" }, "uris" : [ "http://www.mendeley.com/documents/?uuid=fb504ce9-3b8a-4dee-9cc3-0bda794fe078" ] } ], "mendeley" : { "previouslyFormattedCitation" : "&lt;sup&gt;11&lt;/sup&gt;"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11</w:t>
      </w:r>
      <w:r w:rsidRPr="003032D8">
        <w:rPr>
          <w:rFonts w:ascii="TitilliumText25L" w:hAnsi="TitilliumText25L"/>
        </w:rPr>
        <w:fldChar w:fldCharType="end"/>
      </w:r>
    </w:p>
    <w:p w:rsidR="0038758B" w:rsidRPr="003032D8" w:rsidRDefault="0038758B" w:rsidP="0038758B">
      <w:pPr>
        <w:rPr>
          <w:rFonts w:ascii="TitilliumText25L" w:hAnsi="TitilliumText25L"/>
        </w:rPr>
      </w:pPr>
      <w:r w:rsidRPr="003032D8">
        <w:rPr>
          <w:rFonts w:ascii="TitilliumText25L" w:hAnsi="TitilliumText25L"/>
        </w:rPr>
        <w:t>This study conducted in 34 patients over a 4 month period does provide some evidence of the potential safety of using one sucker device in combination with a leucodepletion filter, in relation to the presence of some fetal products believed to be involved in the “amniotic fluid embolism” syndrome. However more evidence would be necessary before recommendation could be provided to change towards the use of one suction device in standard practise.</w:t>
      </w:r>
    </w:p>
    <w:p w:rsidR="0038758B" w:rsidRPr="003032D8" w:rsidRDefault="0038758B" w:rsidP="0038758B">
      <w:pPr>
        <w:rPr>
          <w:rFonts w:ascii="TitilliumText25L" w:hAnsi="TitilliumText25L"/>
          <w:vertAlign w:val="superscript"/>
        </w:rPr>
      </w:pPr>
      <w:r w:rsidRPr="003032D8">
        <w:rPr>
          <w:rFonts w:ascii="TitilliumText25L" w:hAnsi="TitilliumText25L"/>
        </w:rPr>
        <w:t xml:space="preserve">It is important to recognise that, although cell salvage in combination with leucodepletion filters can eliminate amniotic fluid components, it will not prevent foetal red cells being transfused as </w:t>
      </w:r>
      <w:r w:rsidR="004A6161" w:rsidRPr="003032D8">
        <w:rPr>
          <w:rFonts w:ascii="TitilliumText25L" w:hAnsi="TitilliumText25L"/>
        </w:rPr>
        <w:t xml:space="preserve">the </w:t>
      </w:r>
      <w:r w:rsidRPr="003032D8">
        <w:rPr>
          <w:rFonts w:ascii="TitilliumText25L" w:hAnsi="TitilliumText25L"/>
        </w:rPr>
        <w:t xml:space="preserve">cell salvage system is unable to differentiate between maternal and foetal red cells. Reinfusion of salvaged blood containing foetal red cells may result in maternal </w:t>
      </w:r>
      <w:proofErr w:type="spellStart"/>
      <w:r w:rsidRPr="003032D8">
        <w:rPr>
          <w:rFonts w:ascii="TitilliumText25L" w:hAnsi="TitilliumText25L"/>
        </w:rPr>
        <w:t>allo</w:t>
      </w:r>
      <w:proofErr w:type="spellEnd"/>
      <w:r w:rsidRPr="003032D8">
        <w:rPr>
          <w:rFonts w:ascii="TitilliumText25L" w:hAnsi="TitilliumText25L"/>
        </w:rPr>
        <w:t>-immunisation if there is an antigen incompatibility between maternal and foetal red cells. However, this risk is not considered to be any greater than that occurring at normal vaginal delivery</w:t>
      </w:r>
      <w:r w:rsidRPr="003032D8">
        <w:rPr>
          <w:rFonts w:ascii="TitilliumText25L" w:hAnsi="TitilliumText25L"/>
          <w:vertAlign w:val="superscript"/>
        </w:rPr>
        <w:t>15</w:t>
      </w:r>
    </w:p>
    <w:p w:rsidR="0038758B" w:rsidRPr="003032D8" w:rsidRDefault="0038758B" w:rsidP="0038758B">
      <w:pPr>
        <w:pStyle w:val="CommentText"/>
        <w:rPr>
          <w:rFonts w:ascii="TitilliumText25L" w:hAnsi="TitilliumText25L"/>
        </w:rPr>
      </w:pPr>
      <w:r w:rsidRPr="003032D8">
        <w:rPr>
          <w:rFonts w:ascii="TitilliumText25L" w:hAnsi="TitilliumText25L"/>
          <w:b/>
          <w:sz w:val="28"/>
          <w:szCs w:val="28"/>
          <w:u w:val="single"/>
        </w:rPr>
        <w:lastRenderedPageBreak/>
        <w:t xml:space="preserve">Rh immunisation and Kleihauer testing </w:t>
      </w:r>
    </w:p>
    <w:p w:rsidR="0038758B" w:rsidRPr="003032D8" w:rsidRDefault="0038758B" w:rsidP="0038758B">
      <w:pPr>
        <w:rPr>
          <w:rFonts w:ascii="TitilliumText25L" w:hAnsi="TitilliumText25L"/>
          <w:lang w:val="en-GB"/>
        </w:rPr>
      </w:pPr>
      <w:r w:rsidRPr="003032D8">
        <w:rPr>
          <w:rFonts w:ascii="TitilliumText25L" w:hAnsi="TitilliumText25L"/>
          <w:lang w:val="en-GB"/>
        </w:rPr>
        <w:t xml:space="preserve">Feto-maternal haemorrhage (FMH) may occur at any stage of pregnancy and delivery in RhD negative mothers with RhD positive fetuses, if the maternal circulation is exposed to fetal red cells. Antibodies against the fetal red cells can cause haemolytic disease of the newborn in subsequent pregnancies if untreated. Consequently all Rh negative mothers of Rh positive babies should have Kleihauer testing performed to assess if there has been a significant FMH after any at risk event during pregnancy or following delivery. </w:t>
      </w:r>
    </w:p>
    <w:p w:rsidR="0038758B" w:rsidRPr="003032D8" w:rsidRDefault="0038758B" w:rsidP="0038758B">
      <w:pPr>
        <w:rPr>
          <w:rFonts w:ascii="TitilliumText25L" w:hAnsi="TitilliumText25L"/>
          <w:lang w:val="en-GB"/>
        </w:rPr>
      </w:pPr>
      <w:r w:rsidRPr="003032D8">
        <w:rPr>
          <w:rFonts w:ascii="TitilliumText25L" w:hAnsi="TitilliumText25L"/>
          <w:lang w:val="en-GB"/>
        </w:rPr>
        <w:t>Anti D immunoglobulin is given to prevent alloimmunisation from Rh positive red cells, with the dose given dependent upon the volume of red cells detected in the maternal circulation via the Kleihauer test. Testing for FMH should occur following the use of Intra-operative cell salvage particularly as an increased number of fetal red cells may have been reinfused during the cell salvage procedure. It is possible that a higher degree of fetal red cell exposure could occur requiring a higher dose of anti-D to be administered.  A similar procedure is followed antenatally when incidents occur known to be associated with alloimmunization.”</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"abstract" : "In the UK a Kleihauer test is routinely performed on all RhD-negative women after the birth of an RhD-positive child to ensure that an adequate dose of anti-D immunoglobulin is given. The results of Kleihauer testing are interpreted to assess the volume of any feto-maternal haemorrhage and additional anti-D immunoglobulin is administered if necessary. A similar procedure is followed ante-natally when incidents occur known to be associated with alloimmunization. The performance of Kleihauer tests is difficult to standardize and there can be problems in interpreting the volume of feto-maternal haemorrhage. The use of flow cytometry to measure feto-maternal haemorrhage is reported to give more accurate and reliable results. This study compared three different Kleihauer methods and two different flow cytometry techniques all performed using the same maternal sample and within a single laboratory. The results demonstrated variability between the Kleihauer tests used and also in the flow cytometry measurements. A well-performed Kleihauer test would still appear to be useful as a screening technique for detection of feto-maternal haemorrhage. However, accurate quantitation of size of feto-maternal haemorrhage is more reliably determined by flow cytometry.", "author" : [ { "dropping-particle" : "", "family" : "Bromilow", "given" : "I M", "non-dropping-particle" : "", "parse-names" : false, "suffix" : "" }, { "dropping-particle" : "", "family" : "Duguid", "given" : "J K", "non-dropping-particle" : "", "parse-names" : false, "suffix" : "" } ], "container-title" : "Clinical and laboratory haematology", "id" : "ITEM-1", "issue" : "2", "issued" : { "date-parts" : [ [ "1997" ] ] }, "page" : "137-142", "title" : "Measurement of feto-maternal haemorrhage: a comparative study of three Kleihauer techniques and tow flow cytometry methods.", "type" : "article-journal", "volume" : "19" }, "uris" : [ "http://www.mendeley.com/documents/?uuid=10a638d7-b164-4e4c-b0fd-0752aa0df466" ] } ], "mendeley" : { "previouslyFormattedCitation" : "&lt;sup&gt;12&lt;/sup&gt;"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12</w:t>
      </w:r>
      <w:r w:rsidRPr="003032D8">
        <w:rPr>
          <w:rFonts w:ascii="TitilliumText25L" w:hAnsi="TitilliumText25L"/>
          <w:lang w:val="en-GB"/>
        </w:rPr>
        <w:fldChar w:fldCharType="end"/>
      </w:r>
    </w:p>
    <w:p w:rsidR="0038758B" w:rsidRPr="003032D8" w:rsidRDefault="0038758B" w:rsidP="0038758B">
      <w:pPr>
        <w:rPr>
          <w:rFonts w:ascii="TitilliumText25L" w:hAnsi="TitilliumText25L"/>
          <w:lang w:val="en-GB"/>
        </w:rPr>
      </w:pPr>
      <w:r w:rsidRPr="003032D8">
        <w:rPr>
          <w:rFonts w:ascii="TitilliumText25L" w:hAnsi="TitilliumText25L"/>
          <w:lang w:val="en-GB"/>
        </w:rPr>
        <w:t xml:space="preserve">The local policy for the management of Rh negative mothers who delivered should be followed for those who have undergone reinfusion of intraoperative cell salvage blood. The presence of fetal red cells in the intraoperative cell salvage blood is likely because the intraoperative cell salvage device cannot distinguish fetal from maternal red cells. </w:t>
      </w:r>
    </w:p>
    <w:p w:rsidR="0038758B" w:rsidRPr="003032D8" w:rsidRDefault="0038758B" w:rsidP="0038758B">
      <w:pPr>
        <w:rPr>
          <w:rFonts w:ascii="TitilliumText25L" w:hAnsi="TitilliumText25L"/>
          <w:lang w:val="en-GB"/>
        </w:rPr>
      </w:pPr>
      <w:r w:rsidRPr="003032D8">
        <w:rPr>
          <w:rFonts w:ascii="TitilliumText25L" w:hAnsi="TitilliumText25L"/>
          <w:lang w:val="en-GB"/>
        </w:rPr>
        <w:t>The sample for Kleihauer testing should be taken after the reinfusion of intraoperative cell salvage blood and administration of Anti-D should occur as soon as possible, within 48-72 hrs of delivery for successful immunoprophylaxis.</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"Australian Red Cross Blood Service", "given" : "", "non-dropping-particle" : "", "parse-names" : false, "suffix" : "" } ], "container-title" : "2012", "id" : "ITEM-1", "issued" : { "date-parts" : [ [ "0" ] ] }, "title" : "Guidelines for the use of Rh(D) immunoglobulin in pregnant women with Rh(D)-negative blood group, and no pre-existing Anti-D antibodies", "type" : "article-journal" }, "uris" : [ "http://www.mendeley.com/documents/?uuid=209d8b9e-c705-46d7-b667-6deebf858ffe" ] } ], "mendeley" : { "previouslyFormattedCitation" : "&lt;sup&gt;13&lt;/sup&gt;"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13</w:t>
      </w:r>
      <w:r w:rsidRPr="003032D8">
        <w:rPr>
          <w:rFonts w:ascii="TitilliumText25L" w:hAnsi="TitilliumText25L"/>
          <w:lang w:val="en-GB"/>
        </w:rPr>
        <w:fldChar w:fldCharType="end"/>
      </w:r>
    </w:p>
    <w:p w:rsidR="0038758B" w:rsidRPr="003032D8" w:rsidRDefault="0038758B" w:rsidP="0038758B">
      <w:pPr>
        <w:rPr>
          <w:rFonts w:ascii="TitilliumText25L" w:hAnsi="TitilliumText25L"/>
          <w:lang w:val="en-GB"/>
        </w:rPr>
      </w:pPr>
      <w:r w:rsidRPr="003032D8">
        <w:rPr>
          <w:rFonts w:ascii="TitilliumText25L" w:hAnsi="TitilliumText25L"/>
          <w:lang w:val="en-GB"/>
        </w:rPr>
        <w:t>In summary maternal alloimmunisation is a potential risk and therefore presents a risk of future haemolytic disease of the newborn, however this can be minimised by appropriate use of anti-D in consultation with the Obstetrician responsible for the care of the patient. Caution should be taken when Jehovah’s Witness patients have a concern with receiving anti-D immunoglobulin.</w:t>
      </w:r>
    </w:p>
    <w:p w:rsidR="0038758B" w:rsidRPr="003032D8" w:rsidRDefault="0038758B" w:rsidP="0038758B">
      <w:pPr>
        <w:spacing w:after="0"/>
        <w:rPr>
          <w:rFonts w:ascii="TitilliumText25L" w:hAnsi="TitilliumText25L"/>
          <w:sz w:val="16"/>
          <w:szCs w:val="16"/>
          <w:lang w:val="en-GB"/>
        </w:rPr>
      </w:pPr>
      <w:r w:rsidRPr="003032D8">
        <w:rPr>
          <w:rFonts w:ascii="TitilliumText25L" w:hAnsi="TitilliumText25L"/>
          <w:sz w:val="16"/>
          <w:szCs w:val="16"/>
          <w:lang w:val="en-GB"/>
        </w:rPr>
        <w:t xml:space="preserve">Refer to local protocol regarding testing for and management of FMH. Guidelines for FMH testing have also been developed by the Australian and New Zealand Society of Blood Transfusion : </w:t>
      </w:r>
      <w:hyperlink r:id="rId23" w:history="1">
        <w:r w:rsidRPr="003032D8">
          <w:rPr>
            <w:rStyle w:val="Hyperlink"/>
            <w:rFonts w:ascii="TitilliumText25L" w:hAnsi="TitilliumText25L"/>
            <w:sz w:val="16"/>
            <w:szCs w:val="16"/>
            <w:lang w:val="en-GB"/>
          </w:rPr>
          <w:t>www.anzsbt.org.au</w:t>
        </w:r>
      </w:hyperlink>
      <w:r w:rsidRPr="003032D8">
        <w:rPr>
          <w:rFonts w:ascii="TitilliumText25L" w:hAnsi="TitilliumText25L"/>
          <w:sz w:val="16"/>
          <w:szCs w:val="16"/>
          <w:lang w:val="en-GB"/>
        </w:rPr>
        <w:t xml:space="preserve"> </w:t>
      </w:r>
    </w:p>
    <w:p w:rsidR="0038758B" w:rsidRPr="003032D8" w:rsidRDefault="0038758B" w:rsidP="0038758B">
      <w:pPr>
        <w:rPr>
          <w:rFonts w:ascii="TitilliumText25L" w:hAnsi="TitilliumText25L"/>
          <w:lang w:val="en-GB"/>
        </w:rPr>
      </w:pPr>
    </w:p>
    <w:p w:rsidR="0038758B" w:rsidRPr="003032D8" w:rsidRDefault="0038758B" w:rsidP="0038758B">
      <w:pPr>
        <w:rPr>
          <w:rFonts w:ascii="TitilliumText25L" w:hAnsi="TitilliumText25L"/>
          <w:lang w:val="en-GB"/>
        </w:rPr>
      </w:pPr>
      <w:r w:rsidRPr="003032D8">
        <w:rPr>
          <w:rFonts w:ascii="TitilliumText25L" w:hAnsi="TitilliumText25L"/>
          <w:lang w:val="en-GB"/>
        </w:rPr>
        <w:t>Rebarber</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"abstract" : "We evaluated the safety of intraoperative autologous blood collection and autotransfusion during cesarean section.", "author" : [ { "dropping-particle" : "", "family" : "Rebarber", "given" : "A", "non-dropping-particle" : "", "parse-names" : false, "suffix" : "" }, { "dropping-particle" : "", "family" : "Lonser", "given" : "R", "non-dropping-particle" : "", "parse-names" : false, "suffix" : "" }, { "dropping-particle" : "", "family" : "Jackson", "given" : "S", "non-dropping-particle" : "", "parse-names" : false, "suffix" : "" }, { "dropping-particle" : "", "family" : "Copel", "given" : "J A", "non-dropping-particle" : "", "parse-names" : false, "suffix" : "" }, { "dropping-particle" : "", "family" : "Sipes", "given" : "S", "non-dropping-particle" : "", "parse-names" : false, "suffix" : "" } ], "container-title" : "American journal of obstetrics and gynecology", "id" : "ITEM-1", "issue" : "3 Pt 1", "issued" : { "date-parts" : [ [ "1998" ] ] }, "page" : "715-720", "title" : "The safety of intraoperative autologous blood collection and autotransfusion during cesarean section.", "type" : "article-journal", "volume" : "179" }, "uris" : [ "http://www.mendeley.com/documents/?uuid=f442bf49-d337-40e1-a0aa-7b05563b6cea" ] } ], "mendeley" : { "previouslyFormattedCitation" : "&lt;sup&gt;14&lt;/sup&gt;"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14</w:t>
      </w:r>
      <w:r w:rsidRPr="003032D8">
        <w:rPr>
          <w:rFonts w:ascii="TitilliumText25L" w:hAnsi="TitilliumText25L"/>
          <w:lang w:val="en-GB"/>
        </w:rPr>
        <w:fldChar w:fldCharType="end"/>
      </w:r>
      <w:r w:rsidRPr="003032D8">
        <w:rPr>
          <w:rFonts w:ascii="TitilliumText25L" w:hAnsi="TitilliumText25L"/>
          <w:lang w:val="en-GB"/>
        </w:rPr>
        <w:t xml:space="preserve"> reported the first triple-centre historical cohort study, comparing 139 patients who received cell salvaged blood during caesarean section to a group receiving allogeneic blood. There was no difference between the two groups which could be accounted to complications secondary to cell salvage </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"abstract" : "The purpose of this study was to determine whether functionally active tissue factor could be removed from blood contaminated with amniotic fluid (AF) after processing through a Haemonetics 4 Cell Saver System (Haemonetics Corporation, Braintree, MA). In Phase I, AF was collected from 29 women undergoing cesarean section. Nine experiments were performed. Forty-milliliter aliquots of pooled AF were mixed with 125 mL of packed red blood cells and processed in the Cell Saver. In Phase II, all the blood and AF lost at cesarean section was collected and processed through the Cell Saver. Pre- and postwash specimens were collected and analyzed for total tissue factor concentration and the concentration of functionally active tissue factor. In Phase I, total tissue factor concentration was reduced by 89%, and the concentration of active tissue factor was reduced to 0 after processing. In Phase II, no tissue factor was detected after processing through the Cell Saver. We have demonstrated the ability of the Haemonetics 4 Cell Saver System to remove tissue factor activity from blood contaminated with AF. Implications: Hemorrhage after childbirth may require massive transfusion. If the patient's own blood can be collected and given back to the patient, this may avoid the use of regular banked blood. Amniotic fluid, which may mix with blood lost after delivery, contains tissue factor, a substance that may activate the coagulation system and cause further bleeding. The authors found that the Haemonetics 4 Cell Saver System (Haemonetics Corporation, Braintree, MA), which collects and washes blood, can remove tissue factor from blood contaminated with amniotic fluid.", "author" : [ { "dropping-particle" : "", "family" : "Bernstein", "given" : "H H", "non-dropping-particle" : "", "parse-names" : false, "suffix" : "" }, { "dropping-particle" : "", "family" : "Rosenblatt", "given" : "M A", "non-dropping-particle" : "", "parse-names" : false, "suffix" : "" }, { "dropping-particle" : "", "family" : "Gettes", "given" : "M", "non-dropping-particle" : "", "parse-names" : false, "suffix" : "" }, { "dropping-particle" : "", "family" : "Lockwood", "given" : "C", "non-dropping-particle" : "", "parse-names" : false, "suffix" : "" } ], "container-title" : "Anesthesia and analgesia", "id" : "ITEM-1", "issue" : "4", "issued" : { "date-parts" : [ [ "1997" ] ] }, "page" : "831-833", "title" : "The ability of the Haemonetics 4 Cell Saver System to remove tissue factor from blood contaminated with amniotic fluid.", "type" : "article-journal", "volume" : "85" }, "uris" : [ "http://www.mendeley.com/documents/?uuid=895ac00b-ba73-4b78-abbe-9ff09a048cd3" ] } ], "mendeley" : { "previouslyFormattedCitation" : "&lt;sup&gt;15&lt;/sup&gt;"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15</w:t>
      </w:r>
      <w:r w:rsidRPr="003032D8">
        <w:rPr>
          <w:rFonts w:ascii="TitilliumText25L" w:hAnsi="TitilliumText25L"/>
          <w:lang w:val="en-GB"/>
        </w:rPr>
        <w:fldChar w:fldCharType="end"/>
      </w:r>
    </w:p>
    <w:p w:rsidR="0038758B" w:rsidRPr="003032D8" w:rsidRDefault="0038758B" w:rsidP="0038758B">
      <w:pPr>
        <w:rPr>
          <w:rFonts w:ascii="TitilliumText25L" w:hAnsi="TitilliumText25L"/>
          <w:lang w:val="en-GB"/>
        </w:rPr>
      </w:pPr>
      <w:r w:rsidRPr="003032D8">
        <w:rPr>
          <w:rFonts w:ascii="TitilliumText25L" w:hAnsi="TitilliumText25L"/>
          <w:lang w:val="en-GB"/>
        </w:rPr>
        <w:t>According to the National Institute for Health and Clinical Excellence (NICE): “</w:t>
      </w:r>
      <w:r w:rsidRPr="003032D8">
        <w:rPr>
          <w:rFonts w:ascii="TitilliumText25L" w:hAnsi="TitilliumText25L"/>
          <w:lang w:val="en-IE" w:eastAsia="en-IE"/>
        </w:rPr>
        <w:t xml:space="preserve">NICE considered the evidence relating to the efficacy and safety of intraoperative blood cell salvage in obstetrics in response to concerns expressed about theoretical risks associated with the procedure. These concerns were the possibility of amniotic fluid embolism and haemolytic disease in future pregnancies, when used in obstetrics.  The </w:t>
      </w:r>
      <w:r w:rsidRPr="003032D8">
        <w:rPr>
          <w:rFonts w:ascii="TitilliumText25L" w:hAnsi="TitilliumText25L"/>
          <w:lang w:val="en-IE" w:eastAsia="en-IE"/>
        </w:rPr>
        <w:lastRenderedPageBreak/>
        <w:t>evidence relating to safety of cell salvage in these procedures was considered adequate and therefore NICE does not intend to review its use in other specific clinical situations unless notified of new indications for intraoperative cell salvage in which there may be new safety concerns</w:t>
      </w:r>
      <w:r w:rsidRPr="003032D8">
        <w:rPr>
          <w:rFonts w:ascii="TitilliumText25L" w:hAnsi="TitilliumText25L"/>
          <w:lang w:val="en-GB"/>
        </w:rPr>
        <w:t xml:space="preserve">” </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"National Institute for Health and Clinical Excellence(NICE)", "given" : "", "non-dropping-particle" : "", "parse-names" : false, "suffix" : "" } ], "container-title" : "2005", "id" : "ITEM-1", "issued" : { "date-parts" : [ [ "0" ] ] }, "title" : "Guideline IPG144: Intraoperative blood cell salvage in Obstetrics.", "type" : "article-journal" }, "uris" : [ "http://www.mendeley.com/documents/?uuid=2017fd27-c0c8-4ad5-a732-e6e49e0d61c7" ] } ], "mendeley" : { "previouslyFormattedCitation" : "&lt;sup&gt;6&lt;/sup&gt;"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6</w:t>
      </w:r>
      <w:r w:rsidRPr="003032D8">
        <w:rPr>
          <w:rFonts w:ascii="TitilliumText25L" w:hAnsi="TitilliumText25L"/>
          <w:lang w:val="en-GB"/>
        </w:rPr>
        <w:fldChar w:fldCharType="end"/>
      </w:r>
    </w:p>
    <w:p w:rsidR="0038758B" w:rsidRPr="003032D8" w:rsidRDefault="0038758B" w:rsidP="0038758B">
      <w:pPr>
        <w:pStyle w:val="CommentText"/>
        <w:spacing w:after="0" w:line="360" w:lineRule="auto"/>
        <w:rPr>
          <w:rFonts w:ascii="TitilliumText25L" w:hAnsi="TitilliumText25L"/>
          <w:b/>
          <w:sz w:val="28"/>
          <w:szCs w:val="28"/>
          <w:u w:val="single"/>
        </w:rPr>
      </w:pPr>
      <w:r w:rsidRPr="003032D8">
        <w:rPr>
          <w:rFonts w:ascii="TitilliumText25L" w:hAnsi="TitilliumText25L"/>
          <w:b/>
          <w:sz w:val="28"/>
          <w:szCs w:val="28"/>
          <w:u w:val="single"/>
        </w:rPr>
        <w:t xml:space="preserve">Patient Selection </w:t>
      </w:r>
    </w:p>
    <w:p w:rsidR="0038758B" w:rsidRPr="003032D8" w:rsidRDefault="0038758B" w:rsidP="0038758B">
      <w:pPr>
        <w:rPr>
          <w:rFonts w:ascii="TitilliumText25L" w:hAnsi="TitilliumText25L"/>
          <w:lang w:val="en-GB"/>
        </w:rPr>
      </w:pPr>
      <w:r w:rsidRPr="003032D8">
        <w:rPr>
          <w:rFonts w:ascii="TitilliumText25L" w:hAnsi="TitilliumText25L"/>
          <w:lang w:val="en-GB"/>
        </w:rPr>
        <w:t xml:space="preserve">Wherever possible, the advantages and risks of intraoperative cell salvage and allogeneic blood transfusion should be discussed with the patient prior to undergoing an obstetric surgical procedure and clearly documented. In an elective case this can usually be done during the pregnancy. </w:t>
      </w:r>
    </w:p>
    <w:p w:rsidR="0038758B" w:rsidRPr="003032D8" w:rsidRDefault="0038758B" w:rsidP="0038758B">
      <w:pPr>
        <w:spacing w:after="0"/>
        <w:rPr>
          <w:rFonts w:ascii="TitilliumText25L" w:hAnsi="TitilliumText25L"/>
          <w:b/>
          <w:bCs/>
          <w:lang w:val="en-GB"/>
        </w:rPr>
      </w:pPr>
      <w:r w:rsidRPr="003032D8">
        <w:rPr>
          <w:rFonts w:ascii="TitilliumText25L" w:hAnsi="TitilliumText25L"/>
          <w:b/>
          <w:bCs/>
          <w:lang w:val="en-GB"/>
        </w:rPr>
        <w:t xml:space="preserve">Indications for Intraoperative Cell Salvage </w:t>
      </w:r>
    </w:p>
    <w:p w:rsidR="0038758B" w:rsidRPr="003032D8" w:rsidRDefault="0038758B" w:rsidP="0038758B">
      <w:pPr>
        <w:rPr>
          <w:rFonts w:ascii="TitilliumText25L" w:hAnsi="TitilliumText25L"/>
          <w:lang w:val="en-GB"/>
        </w:rPr>
      </w:pPr>
      <w:r w:rsidRPr="003032D8">
        <w:rPr>
          <w:rFonts w:ascii="TitilliumText25L" w:hAnsi="TitilliumText25L"/>
          <w:lang w:val="en-GB"/>
        </w:rPr>
        <w:t xml:space="preserve">Patient selection for intraoperative cell salvage in obstetric surgery is at the discretion of the Obstetrician and Anaesthetist caring for the patient. </w:t>
      </w:r>
    </w:p>
    <w:p w:rsidR="0038758B" w:rsidRPr="003032D8" w:rsidRDefault="0038758B" w:rsidP="0038758B">
      <w:pPr>
        <w:rPr>
          <w:rFonts w:ascii="TitilliumText25L" w:hAnsi="TitilliumText25L"/>
          <w:lang w:val="en-GB"/>
        </w:rPr>
      </w:pPr>
      <w:r w:rsidRPr="003032D8">
        <w:rPr>
          <w:rFonts w:ascii="TitilliumText25L" w:hAnsi="TitilliumText25L"/>
          <w:lang w:val="en-GB"/>
        </w:rPr>
        <w:t xml:space="preserve">The type of obstetric cases that could be considered for selection includes: </w:t>
      </w:r>
    </w:p>
    <w:p w:rsidR="0038758B" w:rsidRPr="003032D8" w:rsidRDefault="0038758B" w:rsidP="0038758B">
      <w:pPr>
        <w:spacing w:after="0" w:line="360" w:lineRule="auto"/>
        <w:ind w:firstLine="360"/>
        <w:rPr>
          <w:rFonts w:ascii="TitilliumText25L" w:hAnsi="TitilliumText25L"/>
          <w:lang w:val="en-GB"/>
        </w:rPr>
      </w:pPr>
      <w:r w:rsidRPr="003032D8">
        <w:rPr>
          <w:rFonts w:ascii="TitilliumText25L" w:hAnsi="TitilliumText25L"/>
          <w:b/>
          <w:lang w:val="en-GB"/>
        </w:rPr>
        <w:t>Emergency situations</w:t>
      </w:r>
      <w:r w:rsidRPr="003032D8">
        <w:rPr>
          <w:rFonts w:ascii="TitilliumText25L" w:hAnsi="TitilliumText25L"/>
          <w:lang w:val="en-GB"/>
        </w:rPr>
        <w:t xml:space="preserve">: </w:t>
      </w:r>
    </w:p>
    <w:p w:rsidR="0038758B" w:rsidRPr="003032D8" w:rsidRDefault="0038758B" w:rsidP="0038758B">
      <w:pPr>
        <w:pStyle w:val="ListParagraph"/>
        <w:numPr>
          <w:ilvl w:val="0"/>
          <w:numId w:val="4"/>
        </w:numPr>
        <w:spacing w:after="0" w:line="360" w:lineRule="auto"/>
        <w:ind w:left="720"/>
        <w:rPr>
          <w:rFonts w:ascii="TitilliumText25L" w:hAnsi="TitilliumText25L"/>
          <w:lang w:val="en-GB"/>
        </w:rPr>
      </w:pPr>
      <w:r w:rsidRPr="003032D8">
        <w:rPr>
          <w:rFonts w:ascii="TitilliumText25L" w:hAnsi="TitilliumText25L"/>
          <w:lang w:val="en-GB"/>
        </w:rPr>
        <w:t xml:space="preserve">Ruptured ectopic pregnancy. </w:t>
      </w:r>
    </w:p>
    <w:p w:rsidR="0038758B" w:rsidRPr="003032D8" w:rsidRDefault="0038758B" w:rsidP="0038758B">
      <w:pPr>
        <w:pStyle w:val="ListParagraph"/>
        <w:numPr>
          <w:ilvl w:val="0"/>
          <w:numId w:val="4"/>
        </w:numPr>
        <w:spacing w:after="0" w:line="360" w:lineRule="auto"/>
        <w:ind w:left="720"/>
        <w:rPr>
          <w:rFonts w:ascii="TitilliumText25L" w:hAnsi="TitilliumText25L"/>
          <w:lang w:val="en-GB"/>
        </w:rPr>
      </w:pPr>
      <w:r w:rsidRPr="003032D8">
        <w:rPr>
          <w:rFonts w:ascii="TitilliumText25L" w:hAnsi="TitilliumText25L"/>
          <w:lang w:val="en-GB"/>
        </w:rPr>
        <w:t xml:space="preserve">Post-partum haemorrhage. </w:t>
      </w:r>
    </w:p>
    <w:p w:rsidR="0038758B" w:rsidRPr="003032D8" w:rsidRDefault="0038758B" w:rsidP="0038758B">
      <w:pPr>
        <w:pStyle w:val="ListParagraph"/>
        <w:numPr>
          <w:ilvl w:val="0"/>
          <w:numId w:val="4"/>
        </w:numPr>
        <w:spacing w:after="0" w:line="360" w:lineRule="auto"/>
        <w:ind w:left="720"/>
        <w:rPr>
          <w:rFonts w:ascii="TitilliumText25L" w:hAnsi="TitilliumText25L"/>
          <w:lang w:val="en-GB"/>
        </w:rPr>
      </w:pPr>
      <w:r w:rsidRPr="003032D8">
        <w:rPr>
          <w:rFonts w:ascii="TitilliumText25L" w:hAnsi="TitilliumText25L"/>
          <w:lang w:val="en-GB"/>
        </w:rPr>
        <w:t>Return to theatre after caesarean section.</w:t>
      </w:r>
    </w:p>
    <w:p w:rsidR="0038758B" w:rsidRPr="003032D8" w:rsidRDefault="0038758B" w:rsidP="0038758B">
      <w:pPr>
        <w:spacing w:after="0" w:line="360" w:lineRule="auto"/>
        <w:ind w:firstLine="360"/>
        <w:rPr>
          <w:rFonts w:ascii="TitilliumText25L" w:hAnsi="TitilliumText25L"/>
          <w:lang w:val="en-GB"/>
        </w:rPr>
      </w:pPr>
      <w:r w:rsidRPr="003032D8">
        <w:rPr>
          <w:rFonts w:ascii="TitilliumText25L" w:hAnsi="TitilliumText25L"/>
          <w:b/>
          <w:lang w:val="en-GB"/>
        </w:rPr>
        <w:t>Elective situations</w:t>
      </w:r>
      <w:r w:rsidRPr="003032D8">
        <w:rPr>
          <w:rFonts w:ascii="TitilliumText25L" w:hAnsi="TitilliumText25L"/>
          <w:lang w:val="en-GB"/>
        </w:rPr>
        <w:t xml:space="preserve">: </w:t>
      </w:r>
    </w:p>
    <w:p w:rsidR="0038758B" w:rsidRPr="003032D8" w:rsidRDefault="0038758B" w:rsidP="0038758B">
      <w:pPr>
        <w:pStyle w:val="ListParagraph"/>
        <w:numPr>
          <w:ilvl w:val="0"/>
          <w:numId w:val="6"/>
        </w:numPr>
        <w:spacing w:after="0" w:line="360" w:lineRule="auto"/>
        <w:ind w:left="720"/>
        <w:rPr>
          <w:rFonts w:ascii="TitilliumText25L" w:hAnsi="TitilliumText25L"/>
          <w:lang w:val="en-GB"/>
        </w:rPr>
      </w:pPr>
      <w:r w:rsidRPr="003032D8">
        <w:rPr>
          <w:rFonts w:ascii="TitilliumText25L" w:hAnsi="TitilliumText25L"/>
          <w:lang w:val="en-GB"/>
        </w:rPr>
        <w:t>Patients with an anticipated blood loss of &gt;20% estimated blood volume.</w:t>
      </w:r>
    </w:p>
    <w:p w:rsidR="0038758B" w:rsidRPr="003032D8" w:rsidRDefault="0038758B" w:rsidP="0038758B">
      <w:pPr>
        <w:pStyle w:val="ListParagraph"/>
        <w:numPr>
          <w:ilvl w:val="0"/>
          <w:numId w:val="6"/>
        </w:numPr>
        <w:spacing w:after="0" w:line="360" w:lineRule="auto"/>
        <w:ind w:left="720"/>
        <w:rPr>
          <w:rFonts w:ascii="TitilliumText25L" w:hAnsi="TitilliumText25L"/>
          <w:lang w:val="en-GB"/>
        </w:rPr>
      </w:pPr>
      <w:r w:rsidRPr="003032D8">
        <w:rPr>
          <w:rFonts w:ascii="TitilliumText25L" w:hAnsi="TitilliumText25L"/>
          <w:lang w:val="en-GB"/>
        </w:rPr>
        <w:t xml:space="preserve">Placenta </w:t>
      </w:r>
      <w:proofErr w:type="spellStart"/>
      <w:r w:rsidRPr="003032D8">
        <w:rPr>
          <w:rFonts w:ascii="TitilliumText25L" w:hAnsi="TitilliumText25L"/>
          <w:lang w:val="en-GB"/>
        </w:rPr>
        <w:t>accreta</w:t>
      </w:r>
      <w:proofErr w:type="spellEnd"/>
      <w:r w:rsidRPr="003032D8">
        <w:rPr>
          <w:rFonts w:ascii="TitilliumText25L" w:hAnsi="TitilliumText25L"/>
          <w:lang w:val="en-GB"/>
        </w:rPr>
        <w:t xml:space="preserve">, Placenta </w:t>
      </w:r>
      <w:proofErr w:type="spellStart"/>
      <w:r w:rsidRPr="003032D8">
        <w:rPr>
          <w:rFonts w:ascii="TitilliumText25L" w:hAnsi="TitilliumText25L"/>
          <w:lang w:val="en-GB"/>
        </w:rPr>
        <w:t>increta</w:t>
      </w:r>
      <w:proofErr w:type="spellEnd"/>
      <w:r w:rsidRPr="003032D8">
        <w:rPr>
          <w:rFonts w:ascii="TitilliumText25L" w:hAnsi="TitilliumText25L"/>
          <w:lang w:val="en-GB"/>
        </w:rPr>
        <w:t xml:space="preserve"> and Placenta </w:t>
      </w:r>
      <w:proofErr w:type="spellStart"/>
      <w:r w:rsidRPr="003032D8">
        <w:rPr>
          <w:rFonts w:ascii="TitilliumText25L" w:hAnsi="TitilliumText25L"/>
          <w:lang w:val="en-GB"/>
        </w:rPr>
        <w:t>percreta</w:t>
      </w:r>
      <w:proofErr w:type="spellEnd"/>
      <w:r w:rsidRPr="003032D8">
        <w:rPr>
          <w:rFonts w:ascii="TitilliumText25L" w:hAnsi="TitilliumText25L"/>
          <w:lang w:val="en-GB"/>
        </w:rPr>
        <w:t xml:space="preserve">. </w:t>
      </w:r>
    </w:p>
    <w:p w:rsidR="0038758B" w:rsidRPr="003032D8" w:rsidRDefault="0038758B" w:rsidP="0038758B">
      <w:pPr>
        <w:pStyle w:val="ListParagraph"/>
        <w:numPr>
          <w:ilvl w:val="0"/>
          <w:numId w:val="6"/>
        </w:numPr>
        <w:spacing w:after="0" w:line="360" w:lineRule="auto"/>
        <w:ind w:left="720"/>
        <w:rPr>
          <w:rFonts w:ascii="TitilliumText25L" w:hAnsi="TitilliumText25L"/>
          <w:lang w:val="en-GB"/>
        </w:rPr>
      </w:pPr>
      <w:r w:rsidRPr="003032D8">
        <w:rPr>
          <w:rFonts w:ascii="TitilliumText25L" w:hAnsi="TitilliumText25L"/>
          <w:lang w:val="en-GB"/>
        </w:rPr>
        <w:t>Large uterine fibroids.</w:t>
      </w:r>
    </w:p>
    <w:p w:rsidR="0038758B" w:rsidRPr="003032D8" w:rsidRDefault="0038758B" w:rsidP="0038758B">
      <w:pPr>
        <w:spacing w:after="0" w:line="360" w:lineRule="auto"/>
        <w:ind w:firstLine="360"/>
        <w:rPr>
          <w:rFonts w:ascii="TitilliumText25L" w:hAnsi="TitilliumText25L"/>
          <w:lang w:val="en-GB"/>
        </w:rPr>
      </w:pPr>
      <w:r w:rsidRPr="003032D8">
        <w:rPr>
          <w:rFonts w:ascii="TitilliumText25L" w:hAnsi="TitilliumText25L"/>
          <w:b/>
          <w:lang w:val="en-GB"/>
        </w:rPr>
        <w:t>Other situations</w:t>
      </w:r>
      <w:r w:rsidRPr="003032D8">
        <w:rPr>
          <w:rFonts w:ascii="TitilliumText25L" w:hAnsi="TitilliumText25L"/>
          <w:lang w:val="en-GB"/>
        </w:rPr>
        <w:t xml:space="preserve">: </w:t>
      </w:r>
    </w:p>
    <w:p w:rsidR="0038758B" w:rsidRPr="003032D8" w:rsidRDefault="0038758B" w:rsidP="0038758B">
      <w:pPr>
        <w:pStyle w:val="ListParagraph"/>
        <w:numPr>
          <w:ilvl w:val="0"/>
          <w:numId w:val="5"/>
        </w:numPr>
        <w:spacing w:after="0" w:line="360" w:lineRule="auto"/>
        <w:ind w:left="720"/>
        <w:rPr>
          <w:rFonts w:ascii="TitilliumText25L" w:hAnsi="TitilliumText25L"/>
          <w:lang w:val="en-GB"/>
        </w:rPr>
      </w:pPr>
      <w:r w:rsidRPr="003032D8">
        <w:rPr>
          <w:rFonts w:ascii="TitilliumText25L" w:hAnsi="TitilliumText25L"/>
          <w:lang w:val="en-GB"/>
        </w:rPr>
        <w:t>Patients who for religious or other reasons refuse allogeneic blood and have consented to the use of intraoperative cell salvage in elective or emergency procedures.</w:t>
      </w:r>
    </w:p>
    <w:p w:rsidR="0038758B" w:rsidRPr="003032D8" w:rsidRDefault="0038758B" w:rsidP="0038758B">
      <w:pPr>
        <w:pStyle w:val="ListParagraph"/>
        <w:numPr>
          <w:ilvl w:val="0"/>
          <w:numId w:val="5"/>
        </w:numPr>
        <w:spacing w:after="0" w:line="360" w:lineRule="auto"/>
        <w:ind w:left="720"/>
        <w:rPr>
          <w:rFonts w:ascii="TitilliumText25L" w:hAnsi="TitilliumText25L"/>
          <w:lang w:val="en-GB"/>
        </w:rPr>
      </w:pPr>
      <w:r w:rsidRPr="003032D8">
        <w:rPr>
          <w:rFonts w:ascii="TitilliumText25L" w:hAnsi="TitilliumText25L"/>
          <w:lang w:val="en-GB"/>
        </w:rPr>
        <w:t xml:space="preserve">Significant anaemia or coagulopathy. </w:t>
      </w:r>
    </w:p>
    <w:p w:rsidR="0038758B" w:rsidRPr="003032D8" w:rsidRDefault="0038758B" w:rsidP="0038758B">
      <w:pPr>
        <w:rPr>
          <w:rFonts w:ascii="TitilliumText25L" w:hAnsi="TitilliumText25L"/>
        </w:rPr>
      </w:pPr>
      <w:r w:rsidRPr="003032D8">
        <w:rPr>
          <w:rFonts w:ascii="TitilliumText25L" w:hAnsi="TitilliumText25L"/>
          <w:b/>
          <w:sz w:val="28"/>
          <w:szCs w:val="28"/>
          <w:u w:val="single"/>
        </w:rPr>
        <w:t>Cell Salvage of Vaginal Bleeding</w:t>
      </w:r>
      <w:r w:rsidRPr="003032D8">
        <w:rPr>
          <w:rFonts w:ascii="TitilliumText25L" w:hAnsi="TitilliumText25L"/>
          <w:b/>
          <w:sz w:val="28"/>
          <w:szCs w:val="28"/>
          <w:u w:val="single"/>
        </w:rPr>
        <w:br/>
      </w:r>
      <w:r w:rsidRPr="003032D8">
        <w:rPr>
          <w:rFonts w:ascii="TitilliumText25L" w:hAnsi="TitilliumText25L"/>
        </w:rPr>
        <w:t xml:space="preserve">The use of cell salvage during vaginal haemorrhage is currently under investigation. There is a theoretical concern that blood salvaged from the vagina peri-partum may be contaminated with bacteria. </w:t>
      </w:r>
      <w:r w:rsidR="004A6161" w:rsidRPr="003032D8">
        <w:rPr>
          <w:rFonts w:ascii="TitilliumText25L" w:hAnsi="TitilliumText25L"/>
        </w:rPr>
        <w:t>However, t</w:t>
      </w:r>
      <w:r w:rsidRPr="003032D8">
        <w:rPr>
          <w:rFonts w:ascii="TitilliumText25L" w:hAnsi="TitilliumText25L"/>
        </w:rPr>
        <w:t>here have been case reports where this practise was used without obvious adverse outcome.</w:t>
      </w:r>
    </w:p>
    <w:p w:rsidR="0038758B" w:rsidRPr="003032D8" w:rsidRDefault="0038758B" w:rsidP="0038758B">
      <w:pPr>
        <w:rPr>
          <w:rFonts w:ascii="TitilliumText25L" w:hAnsi="TitilliumText25L"/>
        </w:rPr>
      </w:pPr>
      <w:r w:rsidRPr="003032D8">
        <w:rPr>
          <w:rFonts w:ascii="TitilliumText25L" w:hAnsi="TitilliumText25L"/>
        </w:rPr>
        <w:t>The benefit of this procedure should be weighed against the potential risk on a case by case basis by the clinician responsible for the patient. This practise may be considered for life threatening haemorrhage, for example where the patient refuses the use of allogeneic blood products. Thorough saline irrigation, the use of a leukocyte depletion filter and antibiotic prophylaxis would be recommended in this situation.</w:t>
      </w:r>
    </w:p>
    <w:p w:rsidR="0038758B" w:rsidRPr="003032D8" w:rsidRDefault="0038758B" w:rsidP="0038758B">
      <w:pPr>
        <w:pStyle w:val="CommentText"/>
        <w:spacing w:after="0" w:line="360" w:lineRule="auto"/>
        <w:rPr>
          <w:rFonts w:ascii="TitilliumText25L" w:hAnsi="TitilliumText25L"/>
          <w:b/>
          <w:sz w:val="28"/>
          <w:szCs w:val="28"/>
          <w:u w:val="single"/>
        </w:rPr>
      </w:pPr>
      <w:r w:rsidRPr="003032D8">
        <w:rPr>
          <w:rFonts w:ascii="TitilliumText25L" w:hAnsi="TitilliumText25L"/>
          <w:b/>
          <w:sz w:val="28"/>
          <w:szCs w:val="28"/>
          <w:u w:val="single"/>
        </w:rPr>
        <w:lastRenderedPageBreak/>
        <w:t>Caution concerning the use of Leukocyte depletion filters (</w:t>
      </w:r>
      <w:proofErr w:type="spellStart"/>
      <w:r w:rsidRPr="003032D8">
        <w:rPr>
          <w:rFonts w:ascii="TitilliumText25L" w:hAnsi="TitilliumText25L"/>
          <w:b/>
          <w:sz w:val="28"/>
          <w:szCs w:val="28"/>
          <w:u w:val="single"/>
        </w:rPr>
        <w:t>LDF</w:t>
      </w:r>
      <w:proofErr w:type="spellEnd"/>
      <w:r w:rsidRPr="003032D8">
        <w:rPr>
          <w:rFonts w:ascii="TitilliumText25L" w:hAnsi="TitilliumText25L"/>
          <w:b/>
          <w:sz w:val="28"/>
          <w:szCs w:val="28"/>
          <w:u w:val="single"/>
        </w:rPr>
        <w:t>):</w:t>
      </w:r>
    </w:p>
    <w:p w:rsidR="0038758B" w:rsidRPr="003032D8" w:rsidRDefault="0038758B" w:rsidP="0038758B">
      <w:pPr>
        <w:spacing w:after="0"/>
        <w:rPr>
          <w:rFonts w:ascii="TitilliumText25L" w:hAnsi="TitilliumText25L"/>
        </w:rPr>
      </w:pPr>
      <w:r w:rsidRPr="003032D8">
        <w:rPr>
          <w:rFonts w:ascii="TitilliumText25L" w:hAnsi="TitilliumText25L"/>
        </w:rPr>
        <w:t xml:space="preserve">Proper training practices and the recommendations from the specific manufacturer should be adhered to when using leukocyte depletion filters.  </w:t>
      </w:r>
    </w:p>
    <w:p w:rsidR="0038758B" w:rsidRPr="003032D8" w:rsidRDefault="0038758B" w:rsidP="0038758B">
      <w:pPr>
        <w:spacing w:after="0"/>
        <w:rPr>
          <w:rFonts w:ascii="TitilliumText25L" w:hAnsi="TitilliumText25L"/>
        </w:rPr>
      </w:pPr>
      <w:r w:rsidRPr="003032D8">
        <w:rPr>
          <w:rFonts w:ascii="TitilliumText25L" w:hAnsi="TitilliumText25L"/>
        </w:rPr>
        <w:t>Consider the following issues:</w:t>
      </w:r>
    </w:p>
    <w:p w:rsidR="0038758B" w:rsidRPr="003032D8" w:rsidRDefault="0038758B" w:rsidP="0038758B">
      <w:pPr>
        <w:pStyle w:val="CommentText"/>
        <w:numPr>
          <w:ilvl w:val="0"/>
          <w:numId w:val="11"/>
        </w:numPr>
        <w:spacing w:after="0" w:line="360" w:lineRule="auto"/>
        <w:rPr>
          <w:rFonts w:ascii="TitilliumText25L" w:hAnsi="TitilliumText25L"/>
        </w:rPr>
      </w:pPr>
      <w:r w:rsidRPr="003032D8">
        <w:rPr>
          <w:rFonts w:ascii="TitilliumText25L" w:hAnsi="TitilliumText25L"/>
        </w:rPr>
        <w:t>Some filters may require special priming prior to use.</w:t>
      </w:r>
    </w:p>
    <w:p w:rsidR="0038758B" w:rsidRPr="003032D8" w:rsidRDefault="0038758B" w:rsidP="0038758B">
      <w:pPr>
        <w:pStyle w:val="CommentText"/>
        <w:numPr>
          <w:ilvl w:val="0"/>
          <w:numId w:val="11"/>
        </w:numPr>
        <w:spacing w:after="0" w:line="360" w:lineRule="auto"/>
        <w:rPr>
          <w:rFonts w:ascii="TitilliumText25L" w:hAnsi="TitilliumText25L"/>
        </w:rPr>
      </w:pPr>
      <w:r w:rsidRPr="003032D8">
        <w:rPr>
          <w:rFonts w:ascii="TitilliumText25L" w:hAnsi="TitilliumText25L"/>
        </w:rPr>
        <w:t xml:space="preserve">Their effectiveness may become diminished as more units of blood are transfused through a single filter. </w:t>
      </w:r>
    </w:p>
    <w:p w:rsidR="0038758B" w:rsidRPr="003032D8" w:rsidRDefault="0038758B" w:rsidP="0038758B">
      <w:pPr>
        <w:pStyle w:val="CommentText"/>
        <w:numPr>
          <w:ilvl w:val="0"/>
          <w:numId w:val="11"/>
        </w:numPr>
        <w:spacing w:after="0" w:line="360" w:lineRule="auto"/>
        <w:rPr>
          <w:rFonts w:ascii="TitilliumText25L" w:hAnsi="TitilliumText25L"/>
        </w:rPr>
      </w:pPr>
      <w:r w:rsidRPr="003032D8">
        <w:rPr>
          <w:rFonts w:ascii="TitilliumText25L" w:hAnsi="TitilliumText25L"/>
        </w:rPr>
        <w:t xml:space="preserve">The effectiveness of some of these filters is also diminished as a result of the increasing infusion rate through the filter (some filters have a maximum recommended infusion rate). </w:t>
      </w:r>
    </w:p>
    <w:p w:rsidR="0038758B" w:rsidRPr="003032D8" w:rsidRDefault="0038758B" w:rsidP="0038758B">
      <w:pPr>
        <w:pStyle w:val="CommentText"/>
        <w:numPr>
          <w:ilvl w:val="0"/>
          <w:numId w:val="11"/>
        </w:numPr>
        <w:spacing w:after="0" w:line="360" w:lineRule="auto"/>
        <w:rPr>
          <w:rFonts w:ascii="TitilliumText25L" w:hAnsi="TitilliumText25L"/>
        </w:rPr>
      </w:pPr>
      <w:r w:rsidRPr="003032D8">
        <w:rPr>
          <w:rFonts w:ascii="TitilliumText25L" w:hAnsi="TitilliumText25L"/>
        </w:rPr>
        <w:t>Leukocyte depletion filters may lead to an increase in haemolysis.</w:t>
      </w:r>
    </w:p>
    <w:p w:rsidR="0038758B" w:rsidRPr="003032D8" w:rsidRDefault="0038758B" w:rsidP="0038758B">
      <w:pPr>
        <w:pStyle w:val="CommentText"/>
        <w:numPr>
          <w:ilvl w:val="0"/>
          <w:numId w:val="11"/>
        </w:numPr>
        <w:spacing w:after="0" w:line="360" w:lineRule="auto"/>
        <w:rPr>
          <w:rFonts w:ascii="TitilliumText25L" w:hAnsi="TitilliumText25L"/>
        </w:rPr>
      </w:pPr>
      <w:r w:rsidRPr="003032D8">
        <w:rPr>
          <w:rFonts w:ascii="TitilliumText25L" w:hAnsi="TitilliumText25L"/>
        </w:rPr>
        <w:t>These filters are also more prone to occlusion than other filters.</w:t>
      </w:r>
    </w:p>
    <w:p w:rsidR="0038758B" w:rsidRPr="003032D8" w:rsidRDefault="0038758B" w:rsidP="0038758B">
      <w:pPr>
        <w:spacing w:after="0" w:line="360" w:lineRule="auto"/>
        <w:rPr>
          <w:rFonts w:ascii="TitilliumText25L" w:hAnsi="TitilliumText25L"/>
          <w:b/>
          <w:sz w:val="28"/>
          <w:szCs w:val="28"/>
          <w:u w:val="single"/>
        </w:rPr>
      </w:pPr>
      <w:r w:rsidRPr="003032D8">
        <w:rPr>
          <w:rFonts w:ascii="TitilliumText25L" w:hAnsi="TitilliumText25L"/>
          <w:b/>
          <w:sz w:val="28"/>
          <w:szCs w:val="28"/>
          <w:u w:val="single"/>
        </w:rPr>
        <w:t>In summary</w:t>
      </w:r>
    </w:p>
    <w:p w:rsidR="0038758B" w:rsidRPr="003032D8" w:rsidRDefault="0038758B" w:rsidP="0038758B">
      <w:pPr>
        <w:rPr>
          <w:rFonts w:ascii="TitilliumText25L" w:hAnsi="TitilliumText25L"/>
          <w:b/>
          <w:sz w:val="28"/>
          <w:szCs w:val="28"/>
          <w:u w:val="single"/>
        </w:rPr>
      </w:pPr>
      <w:r w:rsidRPr="003032D8">
        <w:rPr>
          <w:rFonts w:ascii="TitilliumText25L" w:hAnsi="TitilliumText25L"/>
          <w:lang w:val="en-GB"/>
        </w:rPr>
        <w:t xml:space="preserve">The evidence for the safety of intraoperative cell salvage is favourable and </w:t>
      </w:r>
      <w:r w:rsidRPr="003032D8">
        <w:rPr>
          <w:rFonts w:ascii="TitilliumText25L" w:hAnsi="TitilliumText25L"/>
        </w:rPr>
        <w:t>the early theoretical concerns have not been seen in clinical practice to date</w:t>
      </w:r>
      <w:r w:rsidR="004A6161" w:rsidRPr="003032D8">
        <w:rPr>
          <w:rFonts w:ascii="TitilliumText25L" w:hAnsi="TitilliumText25L"/>
        </w:rPr>
        <w:t>.</w:t>
      </w:r>
      <w:r w:rsidRPr="003032D8">
        <w:rPr>
          <w:rFonts w:ascii="TitilliumText25L" w:hAnsi="TitilliumText25L"/>
          <w:lang w:val="en-GB"/>
        </w:rPr>
        <w:t xml:space="preserve"> </w:t>
      </w:r>
      <w:r w:rsidRPr="003032D8">
        <w:rPr>
          <w:rFonts w:ascii="TitilliumText25L" w:hAnsi="TitilliumText25L"/>
          <w:lang w:val="en-GB"/>
        </w:rPr>
        <w:br w:type="page"/>
      </w:r>
      <w:r w:rsidRPr="003032D8">
        <w:rPr>
          <w:rFonts w:ascii="TitilliumText25L" w:hAnsi="TitilliumText25L"/>
          <w:b/>
          <w:sz w:val="28"/>
          <w:szCs w:val="28"/>
          <w:u w:val="single"/>
        </w:rPr>
        <w:lastRenderedPageBreak/>
        <w:t>References</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lang w:val="en-GB"/>
        </w:rPr>
        <w:fldChar w:fldCharType="begin" w:fldLock="1"/>
      </w:r>
      <w:r w:rsidRPr="003032D8">
        <w:rPr>
          <w:rFonts w:ascii="TitilliumText25L" w:hAnsi="TitilliumText25L"/>
          <w:lang w:val="en-GB"/>
        </w:rPr>
        <w:instrText xml:space="preserve">ADDIN Mendeley Bibliography CSL_BIBLIOGRAPHY </w:instrText>
      </w:r>
      <w:r w:rsidRPr="003032D8">
        <w:rPr>
          <w:rFonts w:ascii="TitilliumText25L" w:hAnsi="TitilliumText25L"/>
          <w:lang w:val="en-GB"/>
        </w:rPr>
        <w:fldChar w:fldCharType="separate"/>
      </w:r>
      <w:r w:rsidRPr="003032D8">
        <w:rPr>
          <w:rFonts w:ascii="TitilliumText25L" w:hAnsi="TitilliumText25L" w:cs="Calibri"/>
          <w:noProof/>
          <w:sz w:val="22"/>
        </w:rPr>
        <w:t xml:space="preserve">1. </w:t>
      </w:r>
      <w:r w:rsidRPr="003032D8">
        <w:rPr>
          <w:rFonts w:ascii="TitilliumText25L" w:hAnsi="TitilliumText25L" w:cs="Calibri"/>
          <w:noProof/>
          <w:sz w:val="22"/>
        </w:rPr>
        <w:tab/>
        <w:t xml:space="preserve">UK Cell Salvage Action Group. ICS Technical Factsheet. 2008; </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2. </w:t>
      </w:r>
      <w:r w:rsidRPr="003032D8">
        <w:rPr>
          <w:rFonts w:ascii="TitilliumText25L" w:hAnsi="TitilliumText25L" w:cs="Calibri"/>
          <w:noProof/>
          <w:sz w:val="22"/>
        </w:rPr>
        <w:tab/>
        <w:t xml:space="preserve">CEMACH. Saving Mothers’ Lives 2003-2005 (Executive Summary). Confidential Enquiries into Maternal Deaths in the United Kingdom. 2007;7(December):1–12. </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3. </w:t>
      </w:r>
      <w:r w:rsidRPr="003032D8">
        <w:rPr>
          <w:rFonts w:ascii="TitilliumText25L" w:hAnsi="TitilliumText25L" w:cs="Calibri"/>
          <w:noProof/>
          <w:sz w:val="22"/>
        </w:rPr>
        <w:tab/>
        <w:t>Catling S. Blood conservation techniques in obstetrics: a UK perspective. International journal of obstetric anesthesia [Internet]. 2007;16(3):241–9. Available from: http://www.ncbi.nlm.nih.gov/pubmed/17509870</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4. </w:t>
      </w:r>
      <w:r w:rsidRPr="003032D8">
        <w:rPr>
          <w:rFonts w:ascii="TitilliumText25L" w:hAnsi="TitilliumText25L" w:cs="Calibri"/>
          <w:noProof/>
          <w:sz w:val="22"/>
        </w:rPr>
        <w:tab/>
        <w:t xml:space="preserve">CMACE. Saving Mothers’ Lives Reviewing maternal deaths to make motherhood safer: 2006–2008. 2011; </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5. </w:t>
      </w:r>
      <w:r w:rsidRPr="003032D8">
        <w:rPr>
          <w:rFonts w:ascii="TitilliumText25L" w:hAnsi="TitilliumText25L" w:cs="Calibri"/>
          <w:noProof/>
          <w:sz w:val="22"/>
        </w:rPr>
        <w:tab/>
        <w:t>AAGBI/OAA The Association of Anaesthetists of Great Britain and Ireland Obstetric Anaesthetists’ Association Guidelines. Guidelines for Obstetric Anaesthetic Services Revised Edition, 25. 2005; Available from: http://www.aagbi.org/sites/default/files/obstetric05.pdf</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6. </w:t>
      </w:r>
      <w:r w:rsidRPr="003032D8">
        <w:rPr>
          <w:rFonts w:ascii="TitilliumText25L" w:hAnsi="TitilliumText25L" w:cs="Calibri"/>
          <w:noProof/>
          <w:sz w:val="22"/>
        </w:rPr>
        <w:tab/>
        <w:t>National Institute for Health and Clinical Excellence(NICE). Guideline IPG144: Intraoperative blood cell salvage in Obstetrics. 2005 [Internet]. Available from: http://publications.nice.org.uk/intraoperative-blood-cell-salvage-in-obstetrics-ipg144</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7. </w:t>
      </w:r>
      <w:r w:rsidRPr="003032D8">
        <w:rPr>
          <w:rFonts w:ascii="TitilliumText25L" w:hAnsi="TitilliumText25L" w:cs="Calibri"/>
          <w:noProof/>
          <w:sz w:val="22"/>
        </w:rPr>
        <w:tab/>
        <w:t>UK Cell Salvage Action Group. Use of Filters in ICS. 2012; Available from: http://www.transfusionguidelines.org.uk/docs/pdfs/bbt-03_icsag-fs-07_0807-v2.pdf</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8. </w:t>
      </w:r>
      <w:r w:rsidRPr="003032D8">
        <w:rPr>
          <w:rFonts w:ascii="TitilliumText25L" w:hAnsi="TitilliumText25L" w:cs="Calibri"/>
          <w:noProof/>
          <w:sz w:val="22"/>
        </w:rPr>
        <w:tab/>
        <w:t>Waters JH, Biscotti C, Potter PS, Phillipson E. Amniotic fluid removal during cell salvage in the cesarean section patient. Anesthesiology [Internet]. 2000;92(6):1531–6. Available from: http://www.ncbi.nlm.nih.gov/pubmed/10839901</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9. </w:t>
      </w:r>
      <w:r w:rsidRPr="003032D8">
        <w:rPr>
          <w:rFonts w:ascii="TitilliumText25L" w:hAnsi="TitilliumText25L" w:cs="Calibri"/>
          <w:noProof/>
          <w:sz w:val="22"/>
        </w:rPr>
        <w:tab/>
        <w:t xml:space="preserve">Dzik. Leukodepletion blood filters: filter design and mechanisms of leukocyte removal. Transfusion medicine reviews. 1993; </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10. </w:t>
      </w:r>
      <w:r w:rsidRPr="003032D8">
        <w:rPr>
          <w:rFonts w:ascii="TitilliumText25L" w:hAnsi="TitilliumText25L" w:cs="Calibri"/>
          <w:noProof/>
          <w:sz w:val="22"/>
        </w:rPr>
        <w:tab/>
        <w:t>Thornhill ML, O'Leary AJ, Lussos SA, Rutherford C. AN IN-VITRO ASSESSMENT OF AMNIOTIC FLUID REMOVAL FROM HUMAN BLOOD THROUGH CELL SAVER PROCESSING. Anesthesiology [Internet]. 1991;75(Supplement):A830. Available from: http://content.wkhealth.com/linkback/openurl?sid=WKPTLP:landingpage&amp;an=00000542-199109001-00829</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11. </w:t>
      </w:r>
      <w:r w:rsidRPr="003032D8">
        <w:rPr>
          <w:rFonts w:ascii="TitilliumText25L" w:hAnsi="TitilliumText25L" w:cs="Calibri"/>
          <w:noProof/>
          <w:sz w:val="22"/>
        </w:rPr>
        <w:tab/>
        <w:t xml:space="preserve">Sullivan, I., Faulds, J., &amp; Ralph C. Contamination of salvaged maternal blood by amniotic fluid and fetal red cells during elective Caesarean section. British Journal of Anaesthesia. 2008;101(2):225–9. </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lastRenderedPageBreak/>
        <w:t xml:space="preserve">12. </w:t>
      </w:r>
      <w:r w:rsidRPr="003032D8">
        <w:rPr>
          <w:rFonts w:ascii="TitilliumText25L" w:hAnsi="TitilliumText25L" w:cs="Calibri"/>
          <w:noProof/>
          <w:sz w:val="22"/>
        </w:rPr>
        <w:tab/>
        <w:t>Bromilow IM, Duguid JK. Measurement of feto-maternal haemorrhage: a comparative study of three Kleihauer techniques and tow flow cytometry methods. Clinical and laboratory haematology [Internet]. 1997;19(2):137–42. Available from: http://www.ncbi.nlm.nih.gov/pubmed/9218154</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13. </w:t>
      </w:r>
      <w:r w:rsidRPr="003032D8">
        <w:rPr>
          <w:rFonts w:ascii="TitilliumText25L" w:hAnsi="TitilliumText25L" w:cs="Calibri"/>
          <w:noProof/>
          <w:sz w:val="22"/>
        </w:rPr>
        <w:tab/>
        <w:t>Australian Red Cross Blood Service. Guidelines for the use of Rh(D) immunoglobulin in pregnant women with Rh(D)-negative blood group, and no pre-existing Anti-D antibodies. 2012 [Internet]. Available from: http://www.transfusion.com.au/disease_therapeutics/pregnancy/guidelines-RhD-Ig</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14. </w:t>
      </w:r>
      <w:r w:rsidRPr="003032D8">
        <w:rPr>
          <w:rFonts w:ascii="TitilliumText25L" w:hAnsi="TitilliumText25L" w:cs="Calibri"/>
          <w:noProof/>
          <w:sz w:val="22"/>
        </w:rPr>
        <w:tab/>
        <w:t>Rebarber A, Lonser R, Jackson S, Copel JA, Sipes S. The safety of intraoperative autologous blood collection and autotransfusion during cesarean section. American journal of obstetrics and gynecology [Internet]. 1998;179(3 Pt 1):715–20. Available from: http://www.ncbi.nlm.nih.gov/pubmed/9757977</w:t>
      </w:r>
    </w:p>
    <w:p w:rsidR="0038758B" w:rsidRPr="003032D8" w:rsidRDefault="0038758B" w:rsidP="0038758B">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15. </w:t>
      </w:r>
      <w:r w:rsidRPr="003032D8">
        <w:rPr>
          <w:rFonts w:ascii="TitilliumText25L" w:hAnsi="TitilliumText25L" w:cs="Calibri"/>
          <w:noProof/>
          <w:sz w:val="22"/>
        </w:rPr>
        <w:tab/>
        <w:t xml:space="preserve">Bernstein HH, Rosenblatt MA, Gettes M, Lockwood C. The ability of the Haemonetics 4 Cell Saver System to remove tissue factor from blood contaminated with amniotic fluid. Anesthesia and analgesia [Internet]. 1997;85(4):831–3. Available from: http://www.ncbi.nlm.nih.gov/pubmed/9322464 </w:t>
      </w:r>
    </w:p>
    <w:p w:rsidR="00E7119A" w:rsidRPr="003032D8" w:rsidRDefault="0038758B" w:rsidP="00E7119A">
      <w:pPr>
        <w:pStyle w:val="NormalWeb"/>
        <w:ind w:left="640" w:hanging="640"/>
        <w:rPr>
          <w:rFonts w:ascii="TitilliumText25L" w:hAnsi="TitilliumText25L"/>
          <w:lang w:val="en-GB"/>
        </w:rPr>
        <w:sectPr w:rsidR="00E7119A" w:rsidRPr="003032D8" w:rsidSect="00085E9D">
          <w:footerReference w:type="default" r:id="rId24"/>
          <w:pgSz w:w="11906" w:h="16838" w:code="9"/>
          <w:pgMar w:top="1440" w:right="1797" w:bottom="1440" w:left="1797" w:header="720" w:footer="329" w:gutter="0"/>
          <w:pgNumType w:start="1"/>
          <w:cols w:space="720"/>
          <w:docGrid w:linePitch="299"/>
        </w:sectPr>
      </w:pPr>
      <w:r w:rsidRPr="003032D8">
        <w:rPr>
          <w:rFonts w:ascii="TitilliumText25L" w:hAnsi="TitilliumText25L"/>
          <w:lang w:val="en-GB"/>
        </w:rPr>
        <w:fldChar w:fldCharType="end"/>
      </w:r>
    </w:p>
    <w:p w:rsidR="00D81D6F" w:rsidRPr="003032D8" w:rsidRDefault="00D81D6F" w:rsidP="00E7119A">
      <w:pPr>
        <w:pStyle w:val="NormalWeb"/>
        <w:ind w:left="640" w:hanging="640"/>
        <w:rPr>
          <w:rFonts w:ascii="TitilliumText25L" w:hAnsi="TitilliumText25L" w:cs="Arial"/>
          <w:sz w:val="36"/>
          <w:szCs w:val="36"/>
        </w:rPr>
      </w:pPr>
      <w:bookmarkStart w:id="99" w:name="_Toc356995752"/>
      <w:bookmarkStart w:id="100" w:name="_Toc366850110"/>
      <w:bookmarkStart w:id="101" w:name="_Toc351386716"/>
      <w:r w:rsidRPr="003032D8">
        <w:rPr>
          <w:rFonts w:ascii="TitilliumText25L" w:hAnsi="TitilliumText25L" w:cs="Arial"/>
          <w:sz w:val="36"/>
          <w:szCs w:val="36"/>
        </w:rPr>
        <w:lastRenderedPageBreak/>
        <w:t>Appendix VI</w:t>
      </w:r>
      <w:bookmarkEnd w:id="99"/>
      <w:bookmarkEnd w:id="100"/>
    </w:p>
    <w:p w:rsidR="00D81D6F" w:rsidRPr="003032D8" w:rsidRDefault="00D81D6F" w:rsidP="00D81D6F">
      <w:pPr>
        <w:spacing w:before="120" w:after="120" w:line="240" w:lineRule="auto"/>
        <w:outlineLvl w:val="2"/>
        <w:rPr>
          <w:rFonts w:ascii="TitilliumText25L" w:hAnsi="TitilliumText25L" w:cs="Arial"/>
          <w:b/>
          <w:sz w:val="28"/>
          <w:szCs w:val="28"/>
        </w:rPr>
      </w:pPr>
      <w:bookmarkStart w:id="102" w:name="_Toc356995753"/>
      <w:bookmarkStart w:id="103" w:name="_Toc366850111"/>
      <w:r w:rsidRPr="003032D8">
        <w:rPr>
          <w:rFonts w:ascii="TitilliumText25L" w:hAnsi="TitilliumText25L" w:cs="Arial"/>
          <w:b/>
          <w:color w:val="C60C30"/>
          <w:sz w:val="28"/>
          <w:szCs w:val="28"/>
          <w:lang w:val="en-GB"/>
        </w:rPr>
        <w:t>Use of Intraoperative Cell Salvage in Malignant Disease</w:t>
      </w:r>
      <w:bookmarkEnd w:id="102"/>
      <w:bookmarkEnd w:id="103"/>
    </w:p>
    <w:p w:rsidR="00D81D6F" w:rsidRPr="003032D8" w:rsidRDefault="00D81D6F" w:rsidP="00D81D6F">
      <w:pPr>
        <w:rPr>
          <w:rFonts w:ascii="TitilliumText25L" w:hAnsi="TitilliumText25L"/>
        </w:rPr>
      </w:pPr>
      <w:r w:rsidRPr="003032D8">
        <w:rPr>
          <w:rFonts w:ascii="TitilliumText25L" w:hAnsi="TitilliumText25L"/>
        </w:rPr>
        <w:t>“The use of intraoperative cell salvage in patients undergoing surgery for malignant disease in the past, has not been recommended by manufacturers of intraoperative cell salvage devices. This is due to concern about the possibility of malignant cells being reinfused and giving rise to metastases. However, there are now a number of published reports in which the use of intraoperative cell salvage in cancer surgery has not been associated with early metastasis or a difference in biochemical recurrence and some hospitals now use intraoperative cell salvage routinely during surgery for malignant disease.“</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"author" : [ { "dropping-particle" : "", "family" : "Association of Anaesthetists Of Great Britain and Ireland", "given" : "", "non-dropping-particle" : "", "parse-names" : false, "suffix" : "" } ], "id" : "ITEM-1", "issue" : "September", "issued" : { "date-parts" : [ [ "2009" ] ] }, "title" : "AAGBI SAFETY GUIDELINE Blood Transfusion and the Anaesthetist Intraoperative Cell Salvage", "type" : "report" }, "uris" : [ "http://www.mendeley.com/documents/?uuid=0c2112ae-f396-493e-814c-679a1023aa82" ] } ], "mendeley" : { "previouslyFormattedCitation" : "&lt;sup&gt;1&lt;/sup&gt;"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1</w:t>
      </w:r>
      <w:r w:rsidRPr="003032D8">
        <w:rPr>
          <w:rFonts w:ascii="TitilliumText25L" w:hAnsi="TitilliumText25L"/>
        </w:rPr>
        <w:fldChar w:fldCharType="end"/>
      </w:r>
    </w:p>
    <w:p w:rsidR="00D81D6F" w:rsidRPr="003032D8" w:rsidRDefault="00D81D6F" w:rsidP="00D81D6F">
      <w:pPr>
        <w:rPr>
          <w:rFonts w:ascii="TitilliumText25L" w:hAnsi="TitilliumText25L"/>
          <w:lang w:val="en-GB"/>
        </w:rPr>
      </w:pPr>
      <w:r w:rsidRPr="003032D8">
        <w:rPr>
          <w:rFonts w:ascii="TitilliumText25L" w:hAnsi="TitilliumText25L"/>
          <w:lang w:val="en-GB"/>
        </w:rPr>
        <w:t>“Aspiration of blood from around the tumour site should be avoided to minimise contamination of salvaged blood with malignant cells. The salvaged blood should be reinfused through a leucodepletion filter to minimise the reinfusion of any malignant cells which may have been aspirated into the collection reservoir”.</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"author" : [ { "dropping-particle" : "", "family" : "Association of Anaesthetists Of Great Britain and Ireland", "given" : "", "non-dropping-particle" : "", "parse-names" : false, "suffix" : "" } ], "id" : "ITEM-1", "issue" : "September", "issued" : { "date-parts" : [ [ "2009" ] ] }, "title" : "AAGBI SAFETY GUIDELINE Blood Transfusion and the Anaesthetist Intraoperative Cell Salvage", "type" : "report" }, "uris" : [ "http://www.mendeley.com/documents/?uuid=0c2112ae-f396-493e-814c-679a1023aa82" ] } ], "mendeley" : { "previouslyFormattedCitation" : "&lt;sup&gt;1&lt;/sup&gt;"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1</w:t>
      </w:r>
      <w:r w:rsidRPr="003032D8">
        <w:rPr>
          <w:rFonts w:ascii="TitilliumText25L" w:hAnsi="TitilliumText25L"/>
        </w:rPr>
        <w:fldChar w:fldCharType="end"/>
      </w:r>
    </w:p>
    <w:p w:rsidR="00D81D6F" w:rsidRPr="003032D8" w:rsidRDefault="00D81D6F" w:rsidP="00D81D6F">
      <w:pPr>
        <w:rPr>
          <w:rFonts w:ascii="TitilliumText25L" w:hAnsi="TitilliumText25L" w:cs="Optima"/>
        </w:rPr>
      </w:pPr>
      <w:r w:rsidRPr="003032D8">
        <w:rPr>
          <w:rFonts w:ascii="TitilliumText25L" w:hAnsi="TitilliumText25L" w:cs="Optima"/>
        </w:rPr>
        <w:t xml:space="preserve">In contrast, there is evidence that allogeneic transfusion </w:t>
      </w:r>
      <w:r w:rsidR="004A6161" w:rsidRPr="003032D8">
        <w:rPr>
          <w:rFonts w:ascii="TitilliumText25L" w:hAnsi="TitilliumText25L" w:cs="Optima"/>
        </w:rPr>
        <w:t xml:space="preserve">may </w:t>
      </w:r>
      <w:r w:rsidRPr="003032D8">
        <w:rPr>
          <w:rFonts w:ascii="TitilliumText25L" w:hAnsi="TitilliumText25L" w:cs="Optima"/>
        </w:rPr>
        <w:t xml:space="preserve">independently </w:t>
      </w:r>
      <w:r w:rsidR="004A6161" w:rsidRPr="003032D8">
        <w:rPr>
          <w:rFonts w:ascii="TitilliumText25L" w:hAnsi="TitilliumText25L" w:cs="Optima"/>
        </w:rPr>
        <w:t xml:space="preserve">be </w:t>
      </w:r>
      <w:r w:rsidRPr="003032D8">
        <w:rPr>
          <w:rFonts w:ascii="TitilliumText25L" w:hAnsi="TitilliumText25L" w:cs="Optima"/>
        </w:rPr>
        <w:t>associated with an increased rate of both postoperative infection and disease recurrence.</w:t>
      </w:r>
      <w:r w:rsidRPr="003032D8">
        <w:rPr>
          <w:rFonts w:ascii="TitilliumText25L" w:hAnsi="TitilliumText25L" w:cs="Optima"/>
        </w:rPr>
        <w:fldChar w:fldCharType="begin" w:fldLock="1"/>
      </w:r>
      <w:r w:rsidRPr="003032D8">
        <w:rPr>
          <w:rFonts w:ascii="TitilliumText25L" w:hAnsi="TitilliumText25L" w:cs="Optima"/>
        </w:rPr>
        <w:instrText>ADDIN CSL_CITATION { "citationItems" : [ { "id" : "ITEM-1", "itemData" : { "author" : [ { "dropping-particle" : "", "family" : "Jones KR", "given" : "Weissler MC", "non-dropping-particle" : "", "parse-names" : false, "suffix" : "" } ], "container-title" : "Archives of Otolaryngology - Head and Neck Surgery", "id" : "ITEM-1", "issued" : { "date-parts" : [ [ "1990" ] ] }, "page" : "304-9", "title" : "Blood transfusion and other risk factors for recurrence of cancer of the head and neck.", "type" : "article-journal", "volume" : "16" }, "uris" : [ "http://www.mendeley.com/documents/?uuid=d68c675e-6141-4894-b4ce-d28da5f9c6ad" ] }, { "id" : "ITEM-2", "itemData" : { "author" : [ { "dropping-particle" : "al", "family" : "Kinoshita Y, Udagawa H, Tsutsumi K", "given" : "et", "non-dropping-particle" : "", "parse-names" : false, "suffix" : "" } ], "container-title" : "Surgery", "id" : "ITEM-2", "issued" : { "date-parts" : [ [ "2000" ] ] }, "title" : "Usefulness of autologous blood transfusion for avoiding allogeneic transfusion and infectious complications after esophageal cancer resection", "type" : "article-journal", "volume" : "127" }, "uris" : [ "http://www.mendeley.com/documents/?uuid=d71df794-699f-4a4e-9b6c-350a8a1b9498" ] }, { "id" : "ITEM-3", "itemData" : { "author" : [ { "dropping-particle" : "al", "family" : "Muscari", "given" : "F et", "non-dropping-particle" : "", "parse-names" : false, "suffix" : "" } ], "container-title" : "Transplant International Journal", "id" : "ITEM-3", "issue" : "11", "issued" : { "date-parts" : [ [ "2005" ] ] }, "page" : "1236-1239", "title" : "Blood salvage autotransfusion during transplantation for hepatocarcinoma: does it increase the risk of neoplastic recurrence?", "type" : "article-journal", "volume" : "18" }, "uris" : [ "http://www.mendeley.com/documents/?uuid=b42d16dd-8dcc-4375-bf62-425f85b195ff" ] }, { "id" : "ITEM-4", "itemData" : { "author" : [ { "dropping-particle" : "al", "family" : "Woolley AL", "given" : "et", "non-dropping-particle" : "", "parse-names" : false, "suffix" : "" } ], "container-title" : "Annals of OtoRhinoLaryngology", "id" : "ITEM-4", "issued" : { "date-parts" : [ [ "1992" ] ] }, "page" : "724-30", "title" : "Effect of blood transfusion on recurrence of head and neck carcinoma. Retrospective review and meta-analysis", "type" : "article-journal", "volume" : "101" }, "uris" : [ "http://www.mendeley.com/documents/?uuid=2df91906-a6d0-452a-9eb8-d9a51bbe224f" ] } ], "mendeley" : { "previouslyFormattedCitation" : "&lt;sup&gt;2\u20135&lt;/sup&gt;" }, "properties" : { "noteIndex" : 0 }, "schema" : "https://github.com/citation-style-language/schema/raw/master/csl-citation.json" }</w:instrText>
      </w:r>
      <w:r w:rsidRPr="003032D8">
        <w:rPr>
          <w:rFonts w:ascii="TitilliumText25L" w:hAnsi="TitilliumText25L" w:cs="Optima"/>
        </w:rPr>
        <w:fldChar w:fldCharType="separate"/>
      </w:r>
      <w:r w:rsidRPr="003032D8">
        <w:rPr>
          <w:rFonts w:ascii="TitilliumText25L" w:hAnsi="TitilliumText25L" w:cs="Optima"/>
          <w:noProof/>
          <w:vertAlign w:val="superscript"/>
        </w:rPr>
        <w:t>2–5</w:t>
      </w:r>
      <w:r w:rsidRPr="003032D8">
        <w:rPr>
          <w:rFonts w:ascii="TitilliumText25L" w:hAnsi="TitilliumText25L" w:cs="Optima"/>
        </w:rPr>
        <w:fldChar w:fldCharType="end"/>
      </w:r>
    </w:p>
    <w:p w:rsidR="00D81D6F" w:rsidRPr="003032D8" w:rsidRDefault="00D81D6F" w:rsidP="00D81D6F">
      <w:pPr>
        <w:rPr>
          <w:rFonts w:ascii="TitilliumText25L" w:hAnsi="TitilliumText25L"/>
        </w:rPr>
      </w:pPr>
      <w:r w:rsidRPr="003032D8">
        <w:rPr>
          <w:rFonts w:ascii="TitilliumText25L" w:hAnsi="TitilliumText25L"/>
        </w:rPr>
        <w:t>I</w:t>
      </w:r>
      <w:r w:rsidR="004A6161" w:rsidRPr="003032D8">
        <w:rPr>
          <w:rFonts w:ascii="TitilliumText25L" w:hAnsi="TitilliumText25L"/>
        </w:rPr>
        <w:t xml:space="preserve">ntraoperative </w:t>
      </w:r>
      <w:r w:rsidRPr="003032D8">
        <w:rPr>
          <w:rFonts w:ascii="TitilliumText25L" w:hAnsi="TitilliumText25L"/>
        </w:rPr>
        <w:t>C</w:t>
      </w:r>
      <w:r w:rsidR="004A6161" w:rsidRPr="003032D8">
        <w:rPr>
          <w:rFonts w:ascii="TitilliumText25L" w:hAnsi="TitilliumText25L"/>
        </w:rPr>
        <w:t xml:space="preserve">ell </w:t>
      </w:r>
      <w:r w:rsidRPr="003032D8">
        <w:rPr>
          <w:rFonts w:ascii="TitilliumText25L" w:hAnsi="TitilliumText25L"/>
        </w:rPr>
        <w:t>S</w:t>
      </w:r>
      <w:r w:rsidR="004A6161" w:rsidRPr="003032D8">
        <w:rPr>
          <w:rFonts w:ascii="TitilliumText25L" w:hAnsi="TitilliumText25L"/>
        </w:rPr>
        <w:t>alvage</w:t>
      </w:r>
      <w:r w:rsidRPr="003032D8">
        <w:rPr>
          <w:rFonts w:ascii="TitilliumText25L" w:hAnsi="TitilliumText25L"/>
        </w:rPr>
        <w:t xml:space="preserve"> in urological malignancies has been approved by NICE and is now used routinely.</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"author" : [ { "dropping-particle" : "", "family" : "National Institute for Health and Clinical Excellence(NICE)", "given" : "", "non-dropping-particle" : "", "parse-names" : false, "suffix" : "" } ], "id" : "ITEM-1", "issued" : { "date-parts" : [ [ "2008" ] ] }, "title" : "Intraoperative Red Blood Cell Salvage During Radical Prostatectomy of Radical Cystectomy", "type" : "report" }, "uris" : [ "http://www.mendeley.com/documents/?uuid=bb59d012-987f-46db-8e66-8f37cd1227ec" ] } ], "mendeley" : { "previouslyFormattedCitation" : "&lt;sup&gt;6&lt;/sup&gt;"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6</w:t>
      </w:r>
      <w:r w:rsidRPr="003032D8">
        <w:rPr>
          <w:rFonts w:ascii="TitilliumText25L" w:hAnsi="TitilliumText25L"/>
        </w:rPr>
        <w:fldChar w:fldCharType="end"/>
      </w:r>
    </w:p>
    <w:p w:rsidR="00D81D6F" w:rsidRPr="003032D8" w:rsidRDefault="00D81D6F" w:rsidP="00D81D6F">
      <w:pPr>
        <w:pStyle w:val="Heading4"/>
        <w:rPr>
          <w:rFonts w:ascii="TitilliumText25L" w:hAnsi="TitilliumText25L"/>
          <w:lang w:val="en-GB"/>
        </w:rPr>
      </w:pPr>
      <w:r w:rsidRPr="003032D8">
        <w:rPr>
          <w:rFonts w:ascii="TitilliumText25L" w:hAnsi="TitilliumText25L"/>
          <w:lang w:val="en-GB"/>
        </w:rPr>
        <w:t>Theoretical context</w:t>
      </w:r>
    </w:p>
    <w:p w:rsidR="00D81D6F" w:rsidRPr="003032D8" w:rsidRDefault="00D81D6F" w:rsidP="00D81D6F">
      <w:pPr>
        <w:rPr>
          <w:rFonts w:ascii="TitilliumText25L" w:hAnsi="TitilliumText25L"/>
          <w:lang w:val="en-GB"/>
        </w:rPr>
      </w:pPr>
      <w:r w:rsidRPr="003032D8">
        <w:rPr>
          <w:rFonts w:ascii="TitilliumText25L" w:hAnsi="TitilliumText25L"/>
          <w:lang w:val="en-GB"/>
        </w:rPr>
        <w:t xml:space="preserve">If there is concern that circulating malignant cells may lead to systemic spread then it is inadvisable to reinfuse any malignant cells. If the cancer cells are present in the final intraoperative cell salvage blood for reinfusion, they must have been contaminating the collected blood prior to processing. These cells can only be present in the blood if: </w:t>
      </w:r>
    </w:p>
    <w:p w:rsidR="00D81D6F" w:rsidRPr="003032D8" w:rsidRDefault="00D81D6F" w:rsidP="00D81D6F">
      <w:pPr>
        <w:pStyle w:val="ListParagraph"/>
        <w:numPr>
          <w:ilvl w:val="0"/>
          <w:numId w:val="33"/>
        </w:numPr>
        <w:rPr>
          <w:rFonts w:ascii="TitilliumText25L" w:hAnsi="TitilliumText25L"/>
          <w:lang w:val="en-GB"/>
        </w:rPr>
      </w:pPr>
      <w:r w:rsidRPr="003032D8">
        <w:rPr>
          <w:rFonts w:ascii="TitilliumText25L" w:hAnsi="TitilliumText25L"/>
          <w:lang w:val="en-GB"/>
        </w:rPr>
        <w:t>The tumour margins had been compromised at the time of resection making the whole operation palliative (as the likelihood of local recurrence would be high).</w:t>
      </w:r>
    </w:p>
    <w:p w:rsidR="00D81D6F" w:rsidRPr="003032D8" w:rsidRDefault="00D81D6F" w:rsidP="00D81D6F">
      <w:pPr>
        <w:pStyle w:val="ListParagraph"/>
        <w:numPr>
          <w:ilvl w:val="0"/>
          <w:numId w:val="33"/>
        </w:numPr>
        <w:rPr>
          <w:rFonts w:ascii="TitilliumText25L" w:hAnsi="TitilliumText25L"/>
          <w:lang w:val="en-GB"/>
        </w:rPr>
      </w:pPr>
      <w:r w:rsidRPr="003032D8">
        <w:rPr>
          <w:rFonts w:ascii="TitilliumText25L" w:hAnsi="TitilliumText25L"/>
          <w:lang w:val="en-GB"/>
        </w:rPr>
        <w:t xml:space="preserve">The cancer cells were already blood borne at the time of surgery as resection of blood vessels distant from the tumour margins led to spillage of cancer cells directly from the circulating systemic blood. </w:t>
      </w:r>
    </w:p>
    <w:p w:rsidR="00D81D6F" w:rsidRPr="003032D8" w:rsidRDefault="00D81D6F" w:rsidP="00D81D6F">
      <w:pPr>
        <w:pStyle w:val="ListParagraph"/>
        <w:numPr>
          <w:ilvl w:val="0"/>
          <w:numId w:val="33"/>
        </w:numPr>
        <w:rPr>
          <w:rFonts w:ascii="TitilliumText25L" w:hAnsi="TitilliumText25L"/>
          <w:lang w:val="en-GB"/>
        </w:rPr>
      </w:pPr>
      <w:r w:rsidRPr="003032D8">
        <w:rPr>
          <w:rFonts w:ascii="TitilliumText25L" w:hAnsi="TitilliumText25L"/>
          <w:lang w:val="en-GB"/>
        </w:rPr>
        <w:t>Cancer cells had already spread to the lymphatic system.</w:t>
      </w:r>
      <w:r w:rsidRPr="003032D8">
        <w:rPr>
          <w:rFonts w:ascii="TitilliumText25L" w:hAnsi="TitilliumText25L"/>
          <w:color w:val="000007"/>
          <w:sz w:val="20"/>
          <w:szCs w:val="20"/>
          <w:lang w:val="en-GB"/>
        </w:rPr>
        <w:fldChar w:fldCharType="begin" w:fldLock="1"/>
      </w:r>
      <w:r w:rsidRPr="003032D8">
        <w:rPr>
          <w:rFonts w:ascii="TitilliumText25L" w:hAnsi="TitilliumText25L"/>
          <w:color w:val="000007"/>
          <w:sz w:val="20"/>
          <w:szCs w:val="20"/>
          <w:lang w:val="en-GB"/>
        </w:rPr>
        <w:instrText>ADDIN CSL_CITATION { "citationItems" : [ { "id" : "ITEM-1", "itemData" : { "author" : [ { "dropping-particle" : "", "family" : "UK Cell Salvage Action Group", "given" : "", "non-dropping-particle" : "", "parse-names" : false, "suffix" : "" } ], "container-title" : "2008", "id" : "ITEM-1", "issued" : { "date-parts" : [ [ "0" ] ] }, "title" : "Indications and contraindications", "type" : "article-journal" }, "uris" : [ "http://www.mendeley.com/documents/?uuid=a5e739ec-da47-4d9e-8dc3-7db655853607" ] } ], "mendeley" : { "previouslyFormattedCitation" : "&lt;sup&gt;7&lt;/sup&gt;" }, "properties" : { "noteIndex" : 0 }, "schema" : "https://github.com/citation-style-language/schema/raw/master/csl-citation.json" }</w:instrText>
      </w:r>
      <w:r w:rsidRPr="003032D8">
        <w:rPr>
          <w:rFonts w:ascii="TitilliumText25L" w:hAnsi="TitilliumText25L"/>
          <w:color w:val="000007"/>
          <w:sz w:val="20"/>
          <w:szCs w:val="20"/>
          <w:lang w:val="en-GB"/>
        </w:rPr>
        <w:fldChar w:fldCharType="separate"/>
      </w:r>
      <w:r w:rsidRPr="003032D8">
        <w:rPr>
          <w:rFonts w:ascii="TitilliumText25L" w:hAnsi="TitilliumText25L"/>
          <w:noProof/>
          <w:color w:val="000007"/>
          <w:sz w:val="20"/>
          <w:szCs w:val="20"/>
          <w:vertAlign w:val="superscript"/>
          <w:lang w:val="en-GB"/>
        </w:rPr>
        <w:t>7</w:t>
      </w:r>
      <w:r w:rsidRPr="003032D8">
        <w:rPr>
          <w:rFonts w:ascii="TitilliumText25L" w:hAnsi="TitilliumText25L"/>
          <w:color w:val="000007"/>
          <w:sz w:val="20"/>
          <w:szCs w:val="20"/>
          <w:lang w:val="en-GB"/>
        </w:rPr>
        <w:fldChar w:fldCharType="end"/>
      </w:r>
    </w:p>
    <w:p w:rsidR="00D81D6F" w:rsidRPr="003032D8" w:rsidRDefault="00D81D6F" w:rsidP="00D81D6F">
      <w:pPr>
        <w:pStyle w:val="Heading4"/>
        <w:rPr>
          <w:rFonts w:ascii="TitilliumText25L" w:hAnsi="TitilliumText25L"/>
          <w:lang w:val="en-GB"/>
        </w:rPr>
      </w:pPr>
      <w:r w:rsidRPr="003032D8">
        <w:rPr>
          <w:rFonts w:ascii="TitilliumText25L" w:hAnsi="TitilliumText25L"/>
          <w:lang w:val="en-GB"/>
        </w:rPr>
        <w:t>Practical Issues</w:t>
      </w:r>
    </w:p>
    <w:p w:rsidR="00D81D6F" w:rsidRPr="003032D8" w:rsidRDefault="00D81D6F" w:rsidP="00D81D6F">
      <w:pPr>
        <w:rPr>
          <w:rFonts w:ascii="TitilliumText25L" w:hAnsi="TitilliumText25L"/>
          <w:lang w:val="en-GB"/>
        </w:rPr>
      </w:pPr>
      <w:r w:rsidRPr="003032D8">
        <w:rPr>
          <w:rFonts w:ascii="TitilliumText25L" w:hAnsi="TitilliumText25L"/>
          <w:lang w:val="en-GB"/>
        </w:rPr>
        <w:t>The use of a leucodepletion filter, with a significant reduction (up to 99.99%) in the number of nucleated (including malignant) cells present in the intraoperative cell salvage blood for reinfusion is recommended.</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"UK Cell Salvage Action Group", "given" : "", "non-dropping-particle" : "", "parse-names" : false, "suffix" : "" } ], "container-title" : "2008", "id" : "ITEM-1", "issued" : { "date-parts" : [ [ "0" ] ] }, "title" : "Indications and contraindications", "type" : "article-journal" }, "uris" : [ "http://www.mendeley.com/documents/?uuid=a5e739ec-da47-4d9e-8dc3-7db655853607" ] } ], "mendeley" : { "previouslyFormattedCitation" : "&lt;sup&gt;7&lt;/sup&gt;"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7</w:t>
      </w:r>
      <w:r w:rsidRPr="003032D8">
        <w:rPr>
          <w:rFonts w:ascii="TitilliumText25L" w:hAnsi="TitilliumText25L"/>
          <w:lang w:val="en-GB"/>
        </w:rPr>
        <w:fldChar w:fldCharType="end"/>
      </w:r>
    </w:p>
    <w:p w:rsidR="00D81D6F" w:rsidRPr="003032D8" w:rsidRDefault="00D81D6F" w:rsidP="00D81D6F">
      <w:pPr>
        <w:rPr>
          <w:rFonts w:ascii="TitilliumText25L" w:hAnsi="TitilliumText25L"/>
          <w:lang w:val="en-GB"/>
        </w:rPr>
      </w:pPr>
      <w:r w:rsidRPr="003032D8">
        <w:rPr>
          <w:rFonts w:ascii="TitilliumText25L" w:hAnsi="TitilliumText25L"/>
          <w:lang w:val="en-GB"/>
        </w:rPr>
        <w:t xml:space="preserve">The decision to use intraoperative cell salvage in the presence of malignant disease should be made by the surgeon and anaesthetist, in consultation with the patient whenever possible. </w:t>
      </w:r>
    </w:p>
    <w:p w:rsidR="00D81D6F" w:rsidRPr="003032D8" w:rsidRDefault="00D81D6F" w:rsidP="00D81D6F">
      <w:pPr>
        <w:pStyle w:val="Heading4"/>
        <w:rPr>
          <w:rFonts w:ascii="TitilliumText25L" w:hAnsi="TitilliumText25L"/>
          <w:lang w:val="en-GB"/>
        </w:rPr>
      </w:pPr>
      <w:r w:rsidRPr="003032D8">
        <w:rPr>
          <w:rFonts w:ascii="TitilliumText25L" w:hAnsi="TitilliumText25L"/>
          <w:lang w:val="en-GB"/>
        </w:rPr>
        <w:lastRenderedPageBreak/>
        <w:t>Safety Evidence</w:t>
      </w:r>
    </w:p>
    <w:p w:rsidR="00D81D6F" w:rsidRPr="003032D8" w:rsidRDefault="00D81D6F" w:rsidP="00D81D6F">
      <w:pPr>
        <w:spacing w:after="0"/>
        <w:rPr>
          <w:rFonts w:ascii="TitilliumText25L" w:hAnsi="TitilliumText25L"/>
          <w:b/>
          <w:lang w:val="en-GB"/>
        </w:rPr>
      </w:pPr>
      <w:r w:rsidRPr="003032D8">
        <w:rPr>
          <w:rFonts w:ascii="TitilliumText25L" w:hAnsi="TitilliumText25L"/>
        </w:rPr>
        <w:t>Leucodepletion filters has been shown in small non-randomized clinical studies to be an effective method for removal of malignant cells from intraoperative cell salvage blood</w:t>
      </w:r>
      <w:r w:rsidRPr="003032D8">
        <w:rPr>
          <w:rFonts w:ascii="TitilliumText25L" w:hAnsi="TitilliumText25L"/>
          <w:lang w:val="en-GB"/>
        </w:rPr>
        <w:t>.</w:t>
      </w:r>
      <w:r w:rsidRPr="003032D8">
        <w:rPr>
          <w:rFonts w:ascii="TitilliumText25L" w:eastAsia="Times New Roman" w:hAnsi="TitilliumText25L" w:cs="Arial"/>
        </w:rPr>
        <w:fldChar w:fldCharType="begin" w:fldLock="1"/>
      </w:r>
      <w:r w:rsidRPr="003032D8">
        <w:rPr>
          <w:rFonts w:ascii="TitilliumText25L" w:eastAsia="Times New Roman" w:hAnsi="TitilliumText25L" w:cs="Arial"/>
        </w:rPr>
        <w:instrText>ADDIN CSL_CITATION { "citationItems" : [ { "id" : "ITEM-1", "itemData" : { "author" : [ { "dropping-particle" : "", "family" : "Trudeau JD, Waters T", "given" : "Chipperfield K", "non-dropping-particle" : "", "parse-names" : false, "suffix" : "" } ], "container-title" : "Canadian Journal of Anaesthesia,", "id" : "ITEM-1", "issue" : "11", "issued" : { "date-parts" : [ [ "2012" ] ] }, "page" : "1058-70", "title" : "Should intraoperative cell-salvaged blood be used in patients with suspected or known malignancy?", "type" : "article-journal", "volume" : "59" }, "uris" : [ "http://www.mendeley.com/documents/?uuid=ab41b7b6-59fe-4ac3-9ec7-9bf6866816b5" ] } ], "mendeley" : { "previouslyFormattedCitation" : "&lt;sup&gt;8&lt;/sup&gt;" }, "properties" : { "noteIndex" : 0 }, "schema" : "https://github.com/citation-style-language/schema/raw/master/csl-citation.json" }</w:instrText>
      </w:r>
      <w:r w:rsidRPr="003032D8">
        <w:rPr>
          <w:rFonts w:ascii="TitilliumText25L" w:eastAsia="Times New Roman" w:hAnsi="TitilliumText25L" w:cs="Arial"/>
        </w:rPr>
        <w:fldChar w:fldCharType="separate"/>
      </w:r>
      <w:r w:rsidRPr="003032D8">
        <w:rPr>
          <w:rFonts w:ascii="TitilliumText25L" w:eastAsia="Times New Roman" w:hAnsi="TitilliumText25L" w:cs="Arial"/>
          <w:noProof/>
          <w:vertAlign w:val="superscript"/>
        </w:rPr>
        <w:t>8</w:t>
      </w:r>
      <w:r w:rsidRPr="003032D8">
        <w:rPr>
          <w:rFonts w:ascii="TitilliumText25L" w:eastAsia="Times New Roman" w:hAnsi="TitilliumText25L" w:cs="Arial"/>
        </w:rPr>
        <w:fldChar w:fldCharType="end"/>
      </w:r>
    </w:p>
    <w:p w:rsidR="00D81D6F" w:rsidRPr="003032D8" w:rsidRDefault="00D81D6F" w:rsidP="00D81D6F">
      <w:pPr>
        <w:spacing w:after="0"/>
        <w:rPr>
          <w:rFonts w:ascii="TitilliumText25L" w:eastAsia="Times New Roman" w:hAnsi="TitilliumText25L" w:cs="Arial"/>
          <w:sz w:val="20"/>
          <w:szCs w:val="20"/>
        </w:rPr>
      </w:pPr>
    </w:p>
    <w:p w:rsidR="00D81D6F" w:rsidRPr="003032D8" w:rsidRDefault="00D81D6F" w:rsidP="00D81D6F">
      <w:pPr>
        <w:rPr>
          <w:rFonts w:ascii="TitilliumText25L" w:hAnsi="TitilliumText25L" w:cs="Optima"/>
        </w:rPr>
      </w:pPr>
      <w:r w:rsidRPr="003032D8">
        <w:rPr>
          <w:rFonts w:ascii="TitilliumText25L" w:hAnsi="TitilliumText25L"/>
        </w:rPr>
        <w:t>The likely low risk of metastatic spread from intraoperative cell salvage outweighs the risk of infection and immune suppression and consequent tumour cell survival associated with allogeneic red cell transfusion.</w:t>
      </w:r>
      <w:r w:rsidRPr="003032D8">
        <w:rPr>
          <w:rFonts w:ascii="TitilliumText25L" w:hAnsi="TitilliumText25L" w:cs="Optima"/>
        </w:rPr>
        <w:t xml:space="preserve"> </w:t>
      </w:r>
      <w:r w:rsidRPr="003032D8">
        <w:rPr>
          <w:rFonts w:ascii="TitilliumText25L" w:hAnsi="TitilliumText25L" w:cs="Optima"/>
        </w:rPr>
        <w:fldChar w:fldCharType="begin" w:fldLock="1"/>
      </w:r>
      <w:r w:rsidRPr="003032D8">
        <w:rPr>
          <w:rFonts w:ascii="TitilliumText25L" w:hAnsi="TitilliumText25L" w:cs="Optima"/>
        </w:rPr>
        <w:instrText>ADDIN CSL_CITATION { "citationItems" : [ { "id" : "ITEM-1", "itemData" : { "author" : [ { "dropping-particle" : "", "family" : "Jones KR", "given" : "Weissler MC", "non-dropping-particle" : "", "parse-names" : false, "suffix" : "" } ], "container-title" : "Archives of Otolaryngology - Head and Neck Surgery", "id" : "ITEM-1", "issued" : { "date-parts" : [ [ "1990" ] ] }, "page" : "304-9", "title" : "Blood transfusion and other risk factors for recurrence of cancer of the head and neck.", "type" : "article-journal", "volume" : "16" }, "uris" : [ "http://www.mendeley.com/documents/?uuid=d68c675e-6141-4894-b4ce-d28da5f9c6ad" ] }, { "id" : "ITEM-2", "itemData" : { "author" : [ { "dropping-particle" : "al", "family" : "Kinoshita Y, Udagawa H, Tsutsumi K", "given" : "et", "non-dropping-particle" : "", "parse-names" : false, "suffix" : "" } ], "container-title" : "Surgery", "id" : "ITEM-2", "issued" : { "date-parts" : [ [ "2000" ] ] }, "title" : "Usefulness of autologous blood transfusion for avoiding allogeneic transfusion and infectious complications after esophageal cancer resection", "type" : "article-journal", "volume" : "127" }, "uris" : [ "http://www.mendeley.com/documents/?uuid=d71df794-699f-4a4e-9b6c-350a8a1b9498" ] }, { "id" : "ITEM-3", "itemData" : { "author" : [ { "dropping-particle" : "al", "family" : "Woolley AL", "given" : "et", "non-dropping-particle" : "", "parse-names" : false, "suffix" : "" } ], "container-title" : "Annals of OtoRhinoLaryngology", "id" : "ITEM-3", "issued" : { "date-parts" : [ [ "1992" ] ] }, "page" : "724-30", "title" : "Effect of blood transfusion on recurrence of head and neck carcinoma. Retrospective review and meta-analysis", "type" : "article-journal", "volume" : "101" }, "uris" : [ "http://www.mendeley.com/documents/?uuid=2df91906-a6d0-452a-9eb8-d9a51bbe224f" ] }, { "id" : "ITEM-4", "itemData" : { "author" : [ { "dropping-particle" : "al", "family" : "Takemura M", "given" : "et", "non-dropping-particle" : "", "parse-names" : false, "suffix" : "" } ], "container-title" : "Annals of Thoracic and Cardiovascular Surgery", "id" : "ITEM-4", "issued" : { "date-parts" : [ [ "2005" ] ] }, "page" : "293-330", "title" : "Effect of substituting allogeneic blood transfusion with autologous blood transfusion on outcomes after radical oesophagectomy for cancer", "type" : "article-journal", "volume" : "11" }, "uris" : [ "http://www.mendeley.com/documents/?uuid=5933c83b-64dc-4f88-8020-bf7cc290e702" ] } ], "mendeley" : { "previouslyFormattedCitation" : "&lt;sup&gt;2,3,5,9&lt;/sup&gt;" }, "properties" : { "noteIndex" : 0 }, "schema" : "https://github.com/citation-style-language/schema/raw/master/csl-citation.json" }</w:instrText>
      </w:r>
      <w:r w:rsidRPr="003032D8">
        <w:rPr>
          <w:rFonts w:ascii="TitilliumText25L" w:hAnsi="TitilliumText25L" w:cs="Optima"/>
        </w:rPr>
        <w:fldChar w:fldCharType="separate"/>
      </w:r>
      <w:r w:rsidRPr="003032D8">
        <w:rPr>
          <w:rFonts w:ascii="TitilliumText25L" w:hAnsi="TitilliumText25L" w:cs="Optima"/>
          <w:noProof/>
          <w:vertAlign w:val="superscript"/>
        </w:rPr>
        <w:t>2,3,5,9</w:t>
      </w:r>
      <w:r w:rsidRPr="003032D8">
        <w:rPr>
          <w:rFonts w:ascii="TitilliumText25L" w:hAnsi="TitilliumText25L" w:cs="Optima"/>
        </w:rPr>
        <w:fldChar w:fldCharType="end"/>
      </w:r>
    </w:p>
    <w:p w:rsidR="00D81D6F" w:rsidRPr="003032D8" w:rsidRDefault="00D81D6F" w:rsidP="00D81D6F">
      <w:pPr>
        <w:rPr>
          <w:rFonts w:ascii="TitilliumText25L" w:hAnsi="TitilliumText25L"/>
        </w:rPr>
      </w:pPr>
      <w:r w:rsidRPr="003032D8">
        <w:rPr>
          <w:rFonts w:ascii="TitilliumText25L" w:hAnsi="TitilliumText25L"/>
        </w:rPr>
        <w:t xml:space="preserve">In a retrospective database study by </w:t>
      </w:r>
      <w:proofErr w:type="spellStart"/>
      <w:r w:rsidRPr="003032D8">
        <w:rPr>
          <w:rFonts w:ascii="TitilliumText25L" w:hAnsi="TitilliumText25L"/>
        </w:rPr>
        <w:t>Nieder</w:t>
      </w:r>
      <w:proofErr w:type="spellEnd"/>
      <w:r w:rsidRPr="003032D8">
        <w:rPr>
          <w:rFonts w:ascii="TitilliumText25L" w:hAnsi="TitilliumText25L"/>
        </w:rPr>
        <w:t xml:space="preserve"> et. al. on a total of 1038 patients between 1992 and 2003, it was found that the use of intra-operative cell salvage during radical prostatectomy was not associated with a greater biochemical recurrence rate of malignancy.</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"DOI" : "10.1016/j.urology.2004.10.062", "abstract" : "To evaluate the risk of long-term biochemical recurrence for patients who receive cell-salvaged blood. Radical retropubic prostatectomy (RRP) is historically associated with the potential for significant blood loss. Different blood management strategies include blood donation, hemodilution, preoperative erythropoietin, and intraoperative cell salvage (IOCS). Oncologic surgeons have been reluctant to use IOCS because of the potential risk of tumor dissemination.", "author" : [ { "dropping-particle" : "", "family" : "Nieder", "given" : "Alan M", "non-dropping-particle" : "", "parse-names" : false, "suffix" : "" }, { "dropping-particle" : "", "family" : "Carmack", "given" : "Adrienne J K", "non-dropping-particle" : "", "parse-names" : false, "suffix" : "" }, { "dropping-particle" : "", "family" : "Sved", "given" : "Paul D", "non-dropping-particle" : "", "parse-names" : false, "suffix" : "" }, { "dropping-particle" : "", "family" : "Kim", "given" : "Sandy S", "non-dropping-particle" : "", "parse-names" : false, "suffix" : "" }, { "dropping-particle" : "", "family" : "Manoharan", "given" : "Murugesan", "non-dropping-particle" : "", "parse-names" : false, "suffix" : "" }, { "dropping-particle" : "", "family" : "Soloway", "given" : "Mark S", "non-dropping-particle" : "", "parse-names" : false, "suffix" : "" } ], "container-title" : "Urology", "id" : "ITEM-1", "issue" : "4", "issued" : { "date-parts" : [ [ "2005" ] ] }, "page" : "730-734", "title" : "Intraoperative cell salvage during radical prostatectomy is not associated with greater biochemical recurrence rate.", "type" : "article-journal", "volume" : "65" }, "uris" : [ "http://www.mendeley.com/documents/?uuid=21bb5c54-174a-4441-bd97-a2315338bf73" ] } ], "mendeley" : { "previouslyFormattedCitation" : "&lt;sup&gt;10&lt;/sup&gt;"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10</w:t>
      </w:r>
      <w:r w:rsidRPr="003032D8">
        <w:rPr>
          <w:rFonts w:ascii="TitilliumText25L" w:hAnsi="TitilliumText25L"/>
        </w:rPr>
        <w:fldChar w:fldCharType="end"/>
      </w:r>
      <w:r w:rsidRPr="003032D8">
        <w:rPr>
          <w:rFonts w:ascii="TitilliumText25L" w:hAnsi="TitilliumText25L"/>
        </w:rPr>
        <w:t xml:space="preserve"> </w:t>
      </w:r>
    </w:p>
    <w:p w:rsidR="00D81D6F" w:rsidRPr="003032D8" w:rsidRDefault="00D81D6F" w:rsidP="00D81D6F">
      <w:pPr>
        <w:rPr>
          <w:rFonts w:ascii="TitilliumText25L" w:hAnsi="TitilliumText25L"/>
        </w:rPr>
      </w:pPr>
      <w:r w:rsidRPr="003032D8">
        <w:rPr>
          <w:rFonts w:ascii="TitilliumText25L" w:hAnsi="TitilliumText25L"/>
        </w:rPr>
        <w:t xml:space="preserve">A retrospective study by </w:t>
      </w:r>
      <w:proofErr w:type="spellStart"/>
      <w:r w:rsidRPr="003032D8">
        <w:rPr>
          <w:rFonts w:ascii="TitilliumText25L" w:hAnsi="TitilliumText25L"/>
        </w:rPr>
        <w:t>Nieder</w:t>
      </w:r>
      <w:proofErr w:type="spellEnd"/>
      <w:r w:rsidRPr="003032D8">
        <w:rPr>
          <w:rFonts w:ascii="TitilliumText25L" w:hAnsi="TitilliumText25L"/>
        </w:rPr>
        <w:t xml:space="preserve"> et. al published in Urology in 2007 showed no increased risk of metastatic disease or death for those who receive cell-salvaged blood during radical cystectomy.</w:t>
      </w:r>
      <w:r w:rsidRPr="003032D8">
        <w:rPr>
          <w:rFonts w:ascii="TitilliumText25L" w:hAnsi="TitilliumText25L"/>
        </w:rPr>
        <w:fldChar w:fldCharType="begin" w:fldLock="1"/>
      </w:r>
      <w:r w:rsidRPr="003032D8">
        <w:rPr>
          <w:rFonts w:ascii="TitilliumText25L" w:hAnsi="TitilliumText25L"/>
        </w:rPr>
        <w:instrText>ADDIN CSL_CITATION { "citationItems" : [ { "id" : "ITEM-1", "itemData" : { "DOI" : "10.1016/j.urology.2007.01.060", "abstract" : "To evaluate the risk of long-term recurrence for patients who received cell-salvaged blood during radical cystectomy (RC).", "author" : [ { "dropping-particle" : "", "family" : "Nieder", "given" : "Alan M", "non-dropping-particle" : "", "parse-names" : false, "suffix" : "" }, { "dropping-particle" : "", "family" : "Manoharan", "given" : "Murugesan", "non-dropping-particle" : "", "parse-names" : false, "suffix" : "" }, { "dropping-particle" : "", "family" : "Yang", "given" : "Yulong", "non-dropping-particle" : "", "parse-names" : false, "suffix" : "" }, { "dropping-particle" : "", "family" : "Soloway", "given" : "Mark S", "non-dropping-particle" : "", "parse-names" : false, "suffix" : "" } ], "container-title" : "Urology", "id" : "ITEM-1", "issue" : "5", "issued" : { "date-parts" : [ [ "2007" ] ] }, "page" : "881-884", "title" : "Intraoperative cell salvage during radical cystectomy does not affect long-term survival.", "type" : "article-journal", "volume" : "69" }, "uris" : [ "http://www.mendeley.com/documents/?uuid=53a7ec5b-6462-4702-9eff-7639a0660987" ] } ], "mendeley" : { "previouslyFormattedCitation" : "&lt;sup&gt;11&lt;/sup&gt;" }, "properties" : { "noteIndex" : 0 }, "schema" : "https://github.com/citation-style-language/schema/raw/master/csl-citation.json" }</w:instrText>
      </w:r>
      <w:r w:rsidRPr="003032D8">
        <w:rPr>
          <w:rFonts w:ascii="TitilliumText25L" w:hAnsi="TitilliumText25L"/>
        </w:rPr>
        <w:fldChar w:fldCharType="separate"/>
      </w:r>
      <w:r w:rsidRPr="003032D8">
        <w:rPr>
          <w:rFonts w:ascii="TitilliumText25L" w:hAnsi="TitilliumText25L"/>
          <w:noProof/>
          <w:vertAlign w:val="superscript"/>
        </w:rPr>
        <w:t>11</w:t>
      </w:r>
      <w:r w:rsidRPr="003032D8">
        <w:rPr>
          <w:rFonts w:ascii="TitilliumText25L" w:hAnsi="TitilliumText25L"/>
        </w:rPr>
        <w:fldChar w:fldCharType="end"/>
      </w:r>
    </w:p>
    <w:p w:rsidR="00D81D6F" w:rsidRPr="003032D8" w:rsidRDefault="00D81D6F" w:rsidP="00D81D6F">
      <w:pPr>
        <w:rPr>
          <w:rFonts w:ascii="TitilliumText25L" w:hAnsi="TitilliumText25L" w:cs="Arial"/>
          <w:sz w:val="20"/>
          <w:szCs w:val="20"/>
        </w:rPr>
      </w:pPr>
      <w:r w:rsidRPr="003032D8">
        <w:rPr>
          <w:rFonts w:ascii="TitilliumText25L" w:hAnsi="TitilliumText25L"/>
        </w:rPr>
        <w:t xml:space="preserve">When the impact of intraoperative blood salvage on neoplastic recurrence was studied during liver transplant for hepatocellular carcinoma it was shown not to modify the risk of neoplastic recurrence </w:t>
      </w:r>
      <w:r w:rsidRPr="003032D8">
        <w:rPr>
          <w:rFonts w:ascii="TitilliumText25L" w:hAnsi="TitilliumText25L"/>
          <w:lang w:val="en"/>
        </w:rPr>
        <w:t xml:space="preserve">by </w:t>
      </w:r>
      <w:proofErr w:type="spellStart"/>
      <w:r w:rsidRPr="003032D8">
        <w:rPr>
          <w:rFonts w:ascii="TitilliumText25L" w:hAnsi="TitilliumText25L"/>
          <w:lang w:val="en"/>
        </w:rPr>
        <w:t>Muscari</w:t>
      </w:r>
      <w:proofErr w:type="spellEnd"/>
      <w:r w:rsidRPr="003032D8">
        <w:rPr>
          <w:rFonts w:ascii="TitilliumText25L" w:hAnsi="TitilliumText25L"/>
          <w:lang w:val="en"/>
        </w:rPr>
        <w:t xml:space="preserve"> et al. who published these findings in the International Transplant Journal in 2005.</w:t>
      </w:r>
      <w:r w:rsidRPr="003032D8">
        <w:rPr>
          <w:rFonts w:ascii="TitilliumText25L" w:hAnsi="TitilliumText25L"/>
          <w:lang w:val="en"/>
        </w:rPr>
        <w:fldChar w:fldCharType="begin" w:fldLock="1"/>
      </w:r>
      <w:r w:rsidRPr="003032D8">
        <w:rPr>
          <w:rFonts w:ascii="TitilliumText25L" w:hAnsi="TitilliumText25L"/>
          <w:lang w:val="en"/>
        </w:rPr>
        <w:instrText>ADDIN CSL_CITATION { "citationItems" : [ { "id" : "ITEM-1", "itemData" : { "author" : [ { "dropping-particle" : "al", "family" : "Muscari", "given" : "F et", "non-dropping-particle" : "", "parse-names" : false, "suffix" : "" } ], "container-title" : "Transplant International Journal", "id" : "ITEM-1", "issue" : "11", "issued" : { "date-parts" : [ [ "2005" ] ] }, "page" : "1236-1239", "title" : "Blood salvage autotransfusion during transplantation for hepatocarcinoma: does it increase the risk of neoplastic recurrence?", "type" : "article-journal", "volume" : "18" }, "uris" : [ "http://www.mendeley.com/documents/?uuid=b42d16dd-8dcc-4375-bf62-425f85b195ff" ] } ], "mendeley" : { "previouslyFormattedCitation" : "&lt;sup&gt;4&lt;/sup&gt;" }, "properties" : { "noteIndex" : 0 }, "schema" : "https://github.com/citation-style-language/schema/raw/master/csl-citation.json" }</w:instrText>
      </w:r>
      <w:r w:rsidRPr="003032D8">
        <w:rPr>
          <w:rFonts w:ascii="TitilliumText25L" w:hAnsi="TitilliumText25L"/>
          <w:lang w:val="en"/>
        </w:rPr>
        <w:fldChar w:fldCharType="separate"/>
      </w:r>
      <w:r w:rsidRPr="003032D8">
        <w:rPr>
          <w:rFonts w:ascii="TitilliumText25L" w:hAnsi="TitilliumText25L"/>
          <w:noProof/>
          <w:vertAlign w:val="superscript"/>
          <w:lang w:val="en"/>
        </w:rPr>
        <w:t>4</w:t>
      </w:r>
      <w:r w:rsidRPr="003032D8">
        <w:rPr>
          <w:rFonts w:ascii="TitilliumText25L" w:hAnsi="TitilliumText25L"/>
          <w:lang w:val="en"/>
        </w:rPr>
        <w:fldChar w:fldCharType="end"/>
      </w:r>
    </w:p>
    <w:p w:rsidR="00D81D6F" w:rsidRPr="003032D8" w:rsidRDefault="00D81D6F" w:rsidP="00D81D6F">
      <w:pPr>
        <w:rPr>
          <w:rFonts w:ascii="TitilliumText25L" w:hAnsi="TitilliumText25L"/>
          <w:lang w:val="en-GB"/>
        </w:rPr>
      </w:pPr>
      <w:r w:rsidRPr="003032D8">
        <w:rPr>
          <w:rFonts w:ascii="TitilliumText25L" w:hAnsi="TitilliumText25L"/>
          <w:lang w:val="en-GB"/>
        </w:rPr>
        <w:t>The NICE guidelines on this matter currently state: “The Committee noted concern about the theoretical risk of infusing viable cancer cells that might cause metastases. However, there was no evidence in reported series that this occurred, and any such theoretical risk needs to be balanced against the potential risks of allogeneic blood transfusion. The Committee did not consider it likely that further long-term research would identify metastases that might have been caused by re-infused malignant cells.”</w:t>
      </w:r>
      <w:r w:rsidRPr="003032D8">
        <w:rPr>
          <w:rFonts w:ascii="TitilliumText25L" w:hAnsi="TitilliumText25L"/>
          <w:lang w:val="en-GB"/>
        </w:rPr>
        <w:fldChar w:fldCharType="begin" w:fldLock="1"/>
      </w:r>
      <w:r w:rsidRPr="003032D8">
        <w:rPr>
          <w:rFonts w:ascii="TitilliumText25L" w:hAnsi="TitilliumText25L"/>
          <w:lang w:val="en-GB"/>
        </w:rPr>
        <w:instrText>ADDIN CSL_CITATION { "citationItems" : [ { "id" : "ITEM-1", "itemData" : { "author" : [ { "dropping-particle" : "", "family" : "National Institute for Health and Clinical Excellence(NICE)", "given" : "", "non-dropping-particle" : "", "parse-names" : false, "suffix" : "" } ], "id" : "ITEM-1", "issued" : { "date-parts" : [ [ "2008" ] ] }, "title" : "Intraoperative Red Blood Cell Salvage During Radical Prostatectomy of Radical Cystectomy", "type" : "report" }, "uris" : [ "http://www.mendeley.com/documents/?uuid=bb59d012-987f-46db-8e66-8f37cd1227ec" ] } ], "mendeley" : { "previouslyFormattedCitation" : "&lt;sup&gt;6&lt;/sup&gt;" }, "properties" : { "noteIndex" : 0 }, "schema" : "https://github.com/citation-style-language/schema/raw/master/csl-citation.json" }</w:instrText>
      </w:r>
      <w:r w:rsidRPr="003032D8">
        <w:rPr>
          <w:rFonts w:ascii="TitilliumText25L" w:hAnsi="TitilliumText25L"/>
          <w:lang w:val="en-GB"/>
        </w:rPr>
        <w:fldChar w:fldCharType="separate"/>
      </w:r>
      <w:r w:rsidRPr="003032D8">
        <w:rPr>
          <w:rFonts w:ascii="TitilliumText25L" w:hAnsi="TitilliumText25L"/>
          <w:noProof/>
          <w:vertAlign w:val="superscript"/>
          <w:lang w:val="en-GB"/>
        </w:rPr>
        <w:t>6</w:t>
      </w:r>
      <w:r w:rsidRPr="003032D8">
        <w:rPr>
          <w:rFonts w:ascii="TitilliumText25L" w:hAnsi="TitilliumText25L"/>
          <w:lang w:val="en-GB"/>
        </w:rPr>
        <w:fldChar w:fldCharType="end"/>
      </w:r>
    </w:p>
    <w:p w:rsidR="00D81D6F" w:rsidRPr="003032D8" w:rsidRDefault="00D81D6F" w:rsidP="00D81D6F">
      <w:pPr>
        <w:rPr>
          <w:rFonts w:ascii="TitilliumText25L" w:hAnsi="TitilliumText25L"/>
          <w:lang w:val="en-GB"/>
        </w:rPr>
      </w:pPr>
      <w:r w:rsidRPr="003032D8">
        <w:rPr>
          <w:rFonts w:ascii="TitilliumText25L" w:hAnsi="TitilliumText25L"/>
          <w:lang w:val="en-GB"/>
        </w:rPr>
        <w:br w:type="page"/>
      </w:r>
    </w:p>
    <w:p w:rsidR="00D81D6F" w:rsidRPr="003032D8" w:rsidRDefault="00D81D6F" w:rsidP="00D81D6F">
      <w:pPr>
        <w:rPr>
          <w:rFonts w:ascii="TitilliumText25L" w:hAnsi="TitilliumText25L"/>
          <w:b/>
          <w:sz w:val="32"/>
          <w:szCs w:val="32"/>
          <w:lang w:val="en-GB"/>
        </w:rPr>
      </w:pPr>
      <w:r w:rsidRPr="003032D8">
        <w:rPr>
          <w:rFonts w:ascii="TitilliumText25L" w:hAnsi="TitilliumText25L"/>
          <w:b/>
          <w:sz w:val="32"/>
          <w:szCs w:val="32"/>
        </w:rPr>
        <w:t>References</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lang w:val="en-GB"/>
        </w:rPr>
        <w:fldChar w:fldCharType="begin" w:fldLock="1"/>
      </w:r>
      <w:r w:rsidRPr="003032D8">
        <w:rPr>
          <w:rFonts w:ascii="TitilliumText25L" w:hAnsi="TitilliumText25L"/>
          <w:lang w:val="en-GB"/>
        </w:rPr>
        <w:instrText xml:space="preserve">ADDIN Mendeley Bibliography CSL_BIBLIOGRAPHY </w:instrText>
      </w:r>
      <w:r w:rsidRPr="003032D8">
        <w:rPr>
          <w:rFonts w:ascii="TitilliumText25L" w:hAnsi="TitilliumText25L"/>
          <w:lang w:val="en-GB"/>
        </w:rPr>
        <w:fldChar w:fldCharType="separate"/>
      </w:r>
      <w:r w:rsidRPr="003032D8">
        <w:rPr>
          <w:rFonts w:ascii="TitilliumText25L" w:hAnsi="TitilliumText25L" w:cs="Calibri"/>
          <w:noProof/>
          <w:sz w:val="22"/>
        </w:rPr>
        <w:t xml:space="preserve">1. </w:t>
      </w:r>
      <w:r w:rsidRPr="003032D8">
        <w:rPr>
          <w:rFonts w:ascii="TitilliumText25L" w:hAnsi="TitilliumText25L" w:cs="Calibri"/>
          <w:noProof/>
          <w:sz w:val="22"/>
        </w:rPr>
        <w:tab/>
        <w:t xml:space="preserve">Association of Anaesthetists Of Great Britain and Ireland. AAGBI SAFETY GUIDELINE Blood Transfusion and the Anaesthetist Intraoperative Cell Salvage. 2009.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2. </w:t>
      </w:r>
      <w:r w:rsidRPr="003032D8">
        <w:rPr>
          <w:rFonts w:ascii="TitilliumText25L" w:hAnsi="TitilliumText25L" w:cs="Calibri"/>
          <w:noProof/>
          <w:sz w:val="22"/>
        </w:rPr>
        <w:tab/>
        <w:t xml:space="preserve">Jones KR WM. Blood transfusion and other risk factors for recurrence of cancer of the head and neck. Archives of Otolaryngology - Head and Neck Surgery. 1990;16:304–9.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3. </w:t>
      </w:r>
      <w:r w:rsidRPr="003032D8">
        <w:rPr>
          <w:rFonts w:ascii="TitilliumText25L" w:hAnsi="TitilliumText25L" w:cs="Calibri"/>
          <w:noProof/>
          <w:sz w:val="22"/>
        </w:rPr>
        <w:tab/>
        <w:t xml:space="preserve">Kinoshita Y, Udagawa H, Tsutsumi K et al. Usefulness of autologous blood transfusion for avoiding allogeneic transfusion and infectious complications after esophageal cancer resection. Surgery. 2000;127.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4. </w:t>
      </w:r>
      <w:r w:rsidRPr="003032D8">
        <w:rPr>
          <w:rFonts w:ascii="TitilliumText25L" w:hAnsi="TitilliumText25L" w:cs="Calibri"/>
          <w:noProof/>
          <w:sz w:val="22"/>
        </w:rPr>
        <w:tab/>
        <w:t>Muscari F et al. Blood salvage autotransfusion during transplantation for hepatocarcinoma: does it increase the risk of neoplastic recurrence? Transplant International Journal [Internet]. 2005;18(11):1236–9. Available from: http://onlinelibrary.wiley.com/doi/10.1111/j.1432-2277.2005.00207.x/abstract</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5. </w:t>
      </w:r>
      <w:r w:rsidRPr="003032D8">
        <w:rPr>
          <w:rFonts w:ascii="TitilliumText25L" w:hAnsi="TitilliumText25L" w:cs="Calibri"/>
          <w:noProof/>
          <w:sz w:val="22"/>
        </w:rPr>
        <w:tab/>
        <w:t xml:space="preserve">Woolley AL et al. Effect of blood transfusion on recurrence of head and neck carcinoma. Retrospective review and meta-analysis. Annals of OtoRhinoLaryngology. 1992;101:724–30.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6. </w:t>
      </w:r>
      <w:r w:rsidRPr="003032D8">
        <w:rPr>
          <w:rFonts w:ascii="TitilliumText25L" w:hAnsi="TitilliumText25L" w:cs="Calibri"/>
          <w:noProof/>
          <w:sz w:val="22"/>
        </w:rPr>
        <w:tab/>
        <w:t xml:space="preserve">National Institute for Health and Clinical Excellence(NICE). Intraoperative Red Blood Cell Salvage During Radical Prostatectomy of Radical Cystectomy [Internet]. 2008. Available from: http://www.nice.org.uk/nicemedia/live/11891/40380/40380.pdf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7. </w:t>
      </w:r>
      <w:r w:rsidRPr="003032D8">
        <w:rPr>
          <w:rFonts w:ascii="TitilliumText25L" w:hAnsi="TitilliumText25L" w:cs="Calibri"/>
          <w:noProof/>
          <w:sz w:val="22"/>
        </w:rPr>
        <w:tab/>
        <w:t>UK Cell Salvage Action Group. Indications and contraindications. 2008 [Internet]. Available from: http://www.transfusionguidelines.org/docs/pdfs/bbt-03_icsag-fs-08_0808.pdf</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8. </w:t>
      </w:r>
      <w:r w:rsidRPr="003032D8">
        <w:rPr>
          <w:rFonts w:ascii="TitilliumText25L" w:hAnsi="TitilliumText25L" w:cs="Calibri"/>
          <w:noProof/>
          <w:sz w:val="22"/>
        </w:rPr>
        <w:tab/>
        <w:t>Trudeau JD, Waters T CK. Should intraoperative cell-salvaged blood be used in patients with suspected or known malignancy? Canadian Journal of Anaesthesia, [Internet]. 2012;59(11):1058–70. Available from: http://www.ncbi.nlm.nih.gov/pubmed/22996966</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9. </w:t>
      </w:r>
      <w:r w:rsidRPr="003032D8">
        <w:rPr>
          <w:rFonts w:ascii="TitilliumText25L" w:hAnsi="TitilliumText25L" w:cs="Calibri"/>
          <w:noProof/>
          <w:sz w:val="22"/>
        </w:rPr>
        <w:tab/>
        <w:t xml:space="preserve">Takemura M et al. Effect of substituting allogeneic blood transfusion with autologous blood transfusion on outcomes after radical oesophagectomy for cancer. Annals of Thoracic and Cardiovascular Surgery. 2005;11:293–330. </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10. </w:t>
      </w:r>
      <w:r w:rsidRPr="003032D8">
        <w:rPr>
          <w:rFonts w:ascii="TitilliumText25L" w:hAnsi="TitilliumText25L" w:cs="Calibri"/>
          <w:noProof/>
          <w:sz w:val="22"/>
        </w:rPr>
        <w:tab/>
        <w:t xml:space="preserve">Nieder AM, Carmack AJK, Sved PD, Kim SS, Manoharan M, Soloway MS. Intraoperative cell salvage during radical prostatectomy is not associated with </w:t>
      </w:r>
      <w:r w:rsidRPr="003032D8">
        <w:rPr>
          <w:rFonts w:ascii="TitilliumText25L" w:hAnsi="TitilliumText25L" w:cs="Calibri"/>
          <w:noProof/>
          <w:sz w:val="22"/>
        </w:rPr>
        <w:lastRenderedPageBreak/>
        <w:t>greater biochemical recurrence rate. Urology [Internet]. 2005;65(4):730–4. Available from: http://www.ncbi.nlm.nih.gov/pubmed/15833517</w:t>
      </w:r>
    </w:p>
    <w:p w:rsidR="00D81D6F" w:rsidRPr="003032D8" w:rsidRDefault="00D81D6F" w:rsidP="00D81D6F">
      <w:pPr>
        <w:pStyle w:val="NormalWeb"/>
        <w:ind w:left="640" w:hanging="640"/>
        <w:rPr>
          <w:rFonts w:ascii="TitilliumText25L" w:hAnsi="TitilliumText25L" w:cs="Calibri"/>
          <w:noProof/>
          <w:sz w:val="22"/>
        </w:rPr>
      </w:pPr>
      <w:r w:rsidRPr="003032D8">
        <w:rPr>
          <w:rFonts w:ascii="TitilliumText25L" w:hAnsi="TitilliumText25L" w:cs="Calibri"/>
          <w:noProof/>
          <w:sz w:val="22"/>
        </w:rPr>
        <w:t xml:space="preserve">11. </w:t>
      </w:r>
      <w:r w:rsidRPr="003032D8">
        <w:rPr>
          <w:rFonts w:ascii="TitilliumText25L" w:hAnsi="TitilliumText25L" w:cs="Calibri"/>
          <w:noProof/>
          <w:sz w:val="22"/>
        </w:rPr>
        <w:tab/>
        <w:t xml:space="preserve">Nieder AM, Manoharan M, Yang Y, Soloway MS. Intraoperative cell salvage during radical cystectomy does not affect long-term survival. Urology [Internet]. 2007;69(5):881–4. Available from: http://www.ncbi.nlm.nih.gov/pubmed/17482926 </w:t>
      </w:r>
    </w:p>
    <w:p w:rsidR="00BE3BE3" w:rsidRPr="003032D8" w:rsidRDefault="00D81D6F" w:rsidP="00D81D6F">
      <w:pPr>
        <w:pStyle w:val="NormalWeb"/>
        <w:ind w:left="640" w:hanging="640"/>
        <w:rPr>
          <w:rFonts w:ascii="TitilliumText25L" w:hAnsi="TitilliumText25L"/>
        </w:rPr>
      </w:pPr>
      <w:r w:rsidRPr="003032D8">
        <w:rPr>
          <w:rFonts w:ascii="TitilliumText25L" w:hAnsi="TitilliumText25L"/>
          <w:lang w:val="en-GB"/>
        </w:rPr>
        <w:fldChar w:fldCharType="end"/>
      </w:r>
      <w:r w:rsidRPr="003032D8">
        <w:rPr>
          <w:rFonts w:ascii="TitilliumText25L" w:hAnsi="TitilliumText25L" w:cs="Arial"/>
        </w:rPr>
        <w:t xml:space="preserve"> </w:t>
      </w:r>
    </w:p>
    <w:p w:rsidR="00BE3BE3" w:rsidRPr="003032D8" w:rsidRDefault="00BE3BE3" w:rsidP="00BE3BE3">
      <w:pPr>
        <w:rPr>
          <w:rFonts w:ascii="TitilliumText25L" w:hAnsi="TitilliumText25L"/>
        </w:rPr>
        <w:sectPr w:rsidR="00BE3BE3" w:rsidRPr="003032D8" w:rsidSect="00085E9D">
          <w:pgSz w:w="11906" w:h="16838" w:code="9"/>
          <w:pgMar w:top="1440" w:right="1797" w:bottom="1440" w:left="1797" w:header="720" w:footer="329" w:gutter="0"/>
          <w:pgNumType w:start="1"/>
          <w:cols w:space="720"/>
          <w:docGrid w:linePitch="299"/>
        </w:sectPr>
      </w:pPr>
      <w:bookmarkStart w:id="104" w:name="_Guidance_for_the"/>
      <w:bookmarkEnd w:id="101"/>
      <w:bookmarkEnd w:id="104"/>
    </w:p>
    <w:p w:rsidR="00BE3BE3" w:rsidRPr="003032D8" w:rsidRDefault="00BE3BE3" w:rsidP="00BE3BE3">
      <w:pPr>
        <w:pStyle w:val="Heading2"/>
        <w:rPr>
          <w:rFonts w:ascii="TitilliumText25L" w:hAnsi="TitilliumText25L"/>
        </w:rPr>
      </w:pPr>
      <w:bookmarkStart w:id="105" w:name="_Appendix_VII"/>
      <w:bookmarkStart w:id="106" w:name="_Toc366850112"/>
      <w:bookmarkStart w:id="107" w:name="_Toc351386718"/>
      <w:bookmarkEnd w:id="105"/>
      <w:r w:rsidRPr="003032D8">
        <w:rPr>
          <w:rFonts w:ascii="TitilliumText25L" w:hAnsi="TitilliumText25L"/>
        </w:rPr>
        <w:lastRenderedPageBreak/>
        <w:t>Appendix VII</w:t>
      </w:r>
      <w:bookmarkEnd w:id="106"/>
    </w:p>
    <w:p w:rsidR="00BE3BE3" w:rsidRPr="003032D8" w:rsidRDefault="00BE3BE3" w:rsidP="00BE3BE3">
      <w:pPr>
        <w:pStyle w:val="Heading3"/>
        <w:rPr>
          <w:rFonts w:ascii="TitilliumText25L" w:hAnsi="TitilliumText25L"/>
        </w:rPr>
      </w:pPr>
      <w:bookmarkStart w:id="108" w:name="_Toc366850113"/>
      <w:r w:rsidRPr="003032D8">
        <w:rPr>
          <w:rFonts w:ascii="TitilliumText25L" w:hAnsi="TitilliumText25L"/>
        </w:rPr>
        <w:t>Cell Salvage Patient Information Leaflet</w:t>
      </w:r>
      <w:bookmarkEnd w:id="107"/>
      <w:bookmarkEnd w:id="108"/>
    </w:p>
    <w:p w:rsidR="00BE3BE3" w:rsidRPr="003032D8" w:rsidRDefault="00BE3BE3" w:rsidP="00BE3BE3">
      <w:pPr>
        <w:jc w:val="center"/>
        <w:rPr>
          <w:rFonts w:ascii="TitilliumText25L" w:hAnsi="TitilliumText25L" w:cs="Arial"/>
          <w:b/>
          <w:highlight w:val="cyan"/>
        </w:rPr>
      </w:pPr>
    </w:p>
    <w:p w:rsidR="00BE3BE3" w:rsidRPr="003032D8" w:rsidRDefault="00BE3BE3" w:rsidP="00BE3BE3">
      <w:pPr>
        <w:rPr>
          <w:rFonts w:ascii="TitilliumText25L" w:hAnsi="TitilliumText25L" w:cs="Arial"/>
        </w:rPr>
      </w:pPr>
      <w:r w:rsidRPr="003032D8">
        <w:rPr>
          <w:rFonts w:ascii="TitilliumText25L" w:hAnsi="TitilliumText25L" w:cs="Arial"/>
        </w:rPr>
        <w:t xml:space="preserve">Doctor’s Name:   _______________________                   </w:t>
      </w:r>
      <w:r w:rsidRPr="003032D8">
        <w:rPr>
          <w:rFonts w:ascii="TitilliumText25L" w:hAnsi="TitilliumText25L" w:cs="Arial"/>
        </w:rPr>
        <w:tab/>
      </w:r>
      <w:r w:rsidRPr="003032D8">
        <w:rPr>
          <w:rFonts w:ascii="TitilliumText25L" w:hAnsi="TitilliumText25L" w:cs="Arial"/>
        </w:rPr>
        <w:tab/>
      </w:r>
      <w:r w:rsidRPr="003032D8">
        <w:rPr>
          <w:rFonts w:ascii="TitilliumText25L" w:hAnsi="TitilliumText25L" w:cs="Arial"/>
        </w:rPr>
        <w:tab/>
      </w:r>
    </w:p>
    <w:p w:rsidR="00BE3BE3" w:rsidRPr="003032D8" w:rsidRDefault="00BE3BE3" w:rsidP="00BE3BE3">
      <w:pPr>
        <w:rPr>
          <w:rFonts w:ascii="TitilliumText25L" w:hAnsi="TitilliumText25L" w:cs="Arial"/>
        </w:rPr>
      </w:pPr>
      <w:r w:rsidRPr="003032D8">
        <w:rPr>
          <w:rFonts w:ascii="TitilliumText25L" w:hAnsi="TitilliumText25L" w:cs="Arial"/>
        </w:rPr>
        <w:t>Patient’s Name:  _______________________</w:t>
      </w:r>
    </w:p>
    <w:p w:rsidR="00BE3BE3" w:rsidRPr="003032D8" w:rsidRDefault="00BE3BE3" w:rsidP="00BE3BE3">
      <w:pPr>
        <w:rPr>
          <w:rFonts w:ascii="TitilliumText25L" w:hAnsi="TitilliumText25L" w:cs="Arial"/>
        </w:rPr>
      </w:pPr>
      <w:r w:rsidRPr="003032D8">
        <w:rPr>
          <w:rFonts w:ascii="TitilliumText25L" w:hAnsi="TitilliumText25L" w:cs="Arial"/>
        </w:rPr>
        <w:t xml:space="preserve">Date:    </w:t>
      </w:r>
      <w:r w:rsidRPr="003032D8">
        <w:rPr>
          <w:rFonts w:ascii="TitilliumText25L" w:hAnsi="TitilliumText25L" w:cs="Arial"/>
        </w:rPr>
        <w:tab/>
        <w:t xml:space="preserve">    _______________________                                    </w:t>
      </w:r>
      <w:r w:rsidRPr="003032D8">
        <w:rPr>
          <w:rFonts w:ascii="TitilliumText25L" w:hAnsi="TitilliumText25L" w:cs="Arial"/>
        </w:rPr>
        <w:tab/>
      </w:r>
      <w:r w:rsidRPr="003032D8">
        <w:rPr>
          <w:rFonts w:ascii="TitilliumText25L" w:hAnsi="TitilliumText25L" w:cs="Arial"/>
        </w:rPr>
        <w:tab/>
      </w:r>
      <w:r w:rsidRPr="003032D8">
        <w:rPr>
          <w:rFonts w:ascii="TitilliumText25L" w:hAnsi="TitilliumText25L" w:cs="Arial"/>
        </w:rPr>
        <w:tab/>
        <w:t xml:space="preserve">                                                           </w:t>
      </w:r>
    </w:p>
    <w:p w:rsidR="00BE3BE3" w:rsidRPr="003032D8" w:rsidRDefault="00BE3BE3" w:rsidP="00BE3BE3">
      <w:pPr>
        <w:rPr>
          <w:rFonts w:ascii="TitilliumText25L" w:hAnsi="TitilliumText25L" w:cs="Arial"/>
          <w:b/>
        </w:rPr>
      </w:pPr>
      <w:r w:rsidRPr="003032D8">
        <w:rPr>
          <w:rFonts w:ascii="TitilliumText25L" w:hAnsi="TitilliumText25L" w:cs="Arial"/>
          <w:b/>
        </w:rPr>
        <w:t xml:space="preserve">Fact Sheet:  Red Blood Cell Salvage </w:t>
      </w:r>
    </w:p>
    <w:p w:rsidR="00BE3BE3" w:rsidRPr="003032D8" w:rsidRDefault="00BE3BE3" w:rsidP="00BE3BE3">
      <w:pPr>
        <w:rPr>
          <w:rFonts w:ascii="TitilliumText25L" w:hAnsi="TitilliumText25L" w:cs="Arial"/>
        </w:rPr>
      </w:pPr>
      <w:r w:rsidRPr="003032D8">
        <w:rPr>
          <w:rFonts w:ascii="TitilliumText25L" w:hAnsi="TitilliumText25L" w:cs="Arial"/>
        </w:rPr>
        <w:t xml:space="preserve">Your </w:t>
      </w:r>
      <w:r w:rsidR="00EA4ED4" w:rsidRPr="003032D8">
        <w:rPr>
          <w:rFonts w:ascii="TitilliumText25L" w:hAnsi="TitilliumText25L" w:cs="Arial"/>
        </w:rPr>
        <w:t xml:space="preserve">doctor </w:t>
      </w:r>
      <w:r w:rsidRPr="003032D8">
        <w:rPr>
          <w:rFonts w:ascii="TitilliumText25L" w:hAnsi="TitilliumText25L" w:cs="Arial"/>
        </w:rPr>
        <w:t xml:space="preserve">has  </w:t>
      </w:r>
      <w:r w:rsidR="00EA4ED4" w:rsidRPr="003032D8">
        <w:rPr>
          <w:rFonts w:ascii="TitilliumText25L" w:hAnsi="TitilliumText25L" w:cs="Arial"/>
        </w:rPr>
        <w:t xml:space="preserve">given </w:t>
      </w:r>
      <w:r w:rsidRPr="003032D8">
        <w:rPr>
          <w:rFonts w:ascii="TitilliumText25L" w:hAnsi="TitilliumText25L" w:cs="Arial"/>
        </w:rPr>
        <w:t xml:space="preserve">this fact sheet to you because you are going to have a procedure  </w:t>
      </w:r>
      <w:r w:rsidR="00EA4ED4" w:rsidRPr="003032D8">
        <w:rPr>
          <w:rFonts w:ascii="TitilliumText25L" w:hAnsi="TitilliumText25L" w:cs="Arial"/>
        </w:rPr>
        <w:t xml:space="preserve">where </w:t>
      </w:r>
      <w:r w:rsidRPr="003032D8">
        <w:rPr>
          <w:rFonts w:ascii="TitilliumText25L" w:hAnsi="TitilliumText25L" w:cs="Arial"/>
        </w:rPr>
        <w:t xml:space="preserve">there could be blood loss and if that loss is </w:t>
      </w:r>
      <w:r w:rsidR="00EA4ED4" w:rsidRPr="003032D8">
        <w:rPr>
          <w:rFonts w:ascii="TitilliumText25L" w:hAnsi="TitilliumText25L" w:cs="Arial"/>
        </w:rPr>
        <w:t>large</w:t>
      </w:r>
      <w:r w:rsidRPr="003032D8">
        <w:rPr>
          <w:rFonts w:ascii="TitilliumText25L" w:hAnsi="TitilliumText25L" w:cs="Arial"/>
        </w:rPr>
        <w:t xml:space="preserve">, you may need blood replacement. This </w:t>
      </w:r>
      <w:r w:rsidR="00EA4ED4" w:rsidRPr="003032D8">
        <w:rPr>
          <w:rFonts w:ascii="TitilliumText25L" w:hAnsi="TitilliumText25L" w:cs="Arial"/>
        </w:rPr>
        <w:t xml:space="preserve">information </w:t>
      </w:r>
      <w:r w:rsidRPr="003032D8">
        <w:rPr>
          <w:rFonts w:ascii="TitilliumText25L" w:hAnsi="TitilliumText25L" w:cs="Arial"/>
        </w:rPr>
        <w:t xml:space="preserve">gives you important information about Red Blood Cell Salvage (cell salvage) so you and your doctor can discuss </w:t>
      </w:r>
      <w:r w:rsidR="00EA4ED4" w:rsidRPr="003032D8">
        <w:rPr>
          <w:rFonts w:ascii="TitilliumText25L" w:hAnsi="TitilliumText25L" w:cs="Arial"/>
        </w:rPr>
        <w:t xml:space="preserve">any </w:t>
      </w:r>
      <w:r w:rsidRPr="003032D8">
        <w:rPr>
          <w:rFonts w:ascii="TitilliumText25L" w:hAnsi="TitilliumText25L" w:cs="Arial"/>
        </w:rPr>
        <w:t>concerns or questions. It’s all about helping you make an informed choice about whether cell salvage is appropriate for you. You may want to share this information so your partner and family can understand your choice.</w:t>
      </w:r>
    </w:p>
    <w:p w:rsidR="00BE3BE3" w:rsidRPr="003032D8" w:rsidRDefault="00BE3BE3" w:rsidP="00BE3BE3">
      <w:pPr>
        <w:rPr>
          <w:rFonts w:ascii="TitilliumText25L" w:hAnsi="TitilliumText25L" w:cs="Arial"/>
        </w:rPr>
      </w:pPr>
      <w:r w:rsidRPr="003032D8">
        <w:rPr>
          <w:rFonts w:ascii="TitilliumText25L" w:hAnsi="TitilliumText25L" w:cs="Arial"/>
        </w:rPr>
        <w:t xml:space="preserve">The reason you might choose cell salvage is that it recycles your own blood, it reduces some of the risks of blood transfusions from donors and also saves donated blood for those people where cell salvage is not possible. You may also prefer cell salvage if you have religious or personal reasons for not wanting a donor transfusion. </w:t>
      </w:r>
    </w:p>
    <w:p w:rsidR="00A039D0" w:rsidRPr="003032D8" w:rsidRDefault="00BE3BE3" w:rsidP="00BE3BE3">
      <w:pPr>
        <w:rPr>
          <w:rFonts w:ascii="TitilliumText25L" w:hAnsi="TitilliumText25L" w:cs="Arial"/>
        </w:rPr>
      </w:pPr>
      <w:r w:rsidRPr="003032D8">
        <w:rPr>
          <w:rFonts w:ascii="TitilliumText25L" w:hAnsi="TitilliumText25L" w:cs="Arial"/>
        </w:rPr>
        <w:t>Cell salvage collects your own lost blood during the procedure using gentle suction and adds an anticoagulant to stop the blood clotting. Your own salvaged red blood cells – the ones which carry oxygen – are then washed, filtered and returned back to you via an IV ‘drip’ (see diagram). Cell salvage has been used safely for more than 30 years and is subject to strict guidelines.</w:t>
      </w:r>
    </w:p>
    <w:p w:rsidR="00BE3BE3" w:rsidRPr="003032D8" w:rsidRDefault="00BE3BE3" w:rsidP="00BE3BE3">
      <w:pPr>
        <w:rPr>
          <w:rFonts w:ascii="TitilliumText25L" w:hAnsi="TitilliumText25L" w:cs="Arial"/>
        </w:rPr>
      </w:pPr>
      <w:r w:rsidRPr="003032D8">
        <w:rPr>
          <w:rFonts w:ascii="TitilliumText25L" w:hAnsi="TitilliumText25L" w:cs="Arial"/>
          <w:b/>
        </w:rPr>
        <w:t>What are my options?</w:t>
      </w:r>
      <w:r w:rsidRPr="003032D8">
        <w:rPr>
          <w:rFonts w:ascii="TitilliumText25L" w:hAnsi="TitilliumText25L" w:cs="Arial"/>
        </w:rPr>
        <w:t xml:space="preserve">  If you need blood replacement you can either receive a blood transfusion from another person (donor blood), or your own blood collected and recycled during the surgery (cell salvage). In certain situations such as bowel surgery or if you have a serious infection, cell salvage cannot be used. If you are pregnant or have cancer you can still have cell salvage. Your surgeon or anaesthetist will be able to tell you if it is an option for you. </w:t>
      </w:r>
    </w:p>
    <w:p w:rsidR="00BE3BE3" w:rsidRPr="003032D8" w:rsidRDefault="00BE3BE3" w:rsidP="00BE3BE3">
      <w:pPr>
        <w:rPr>
          <w:rFonts w:ascii="TitilliumText25L" w:hAnsi="TitilliumText25L" w:cs="Arial"/>
        </w:rPr>
      </w:pPr>
      <w:r w:rsidRPr="003032D8">
        <w:rPr>
          <w:rFonts w:ascii="TitilliumText25L" w:hAnsi="TitilliumText25L" w:cs="Arial"/>
        </w:rPr>
        <w:t>If you are iron deficient or anaemic prior to surgery this increases the likelihood that you will need a transfusion and may make recovery harder and slower for you. If your surgery is still some time in the future you can ask your doctor about testing for low iron levels and anaemia so that, if necessary, you can receive iron therapy ahead of surgery and perhaps avoid the need for blood replacement.</w:t>
      </w:r>
    </w:p>
    <w:p w:rsidR="00BE3BE3" w:rsidRPr="003032D8" w:rsidRDefault="00BE3BE3" w:rsidP="00BE3BE3">
      <w:pPr>
        <w:rPr>
          <w:rFonts w:ascii="TitilliumText25L" w:hAnsi="TitilliumText25L" w:cs="Arial"/>
        </w:rPr>
      </w:pPr>
      <w:r w:rsidRPr="003032D8">
        <w:rPr>
          <w:rFonts w:ascii="TitilliumText25L" w:hAnsi="TitilliumText25L" w:cs="Arial"/>
          <w:b/>
        </w:rPr>
        <w:t>How will receiving a blood transfusion or cell salvage affect my health outcome?</w:t>
      </w:r>
      <w:r w:rsidRPr="003032D8">
        <w:rPr>
          <w:rFonts w:ascii="TitilliumText25L" w:hAnsi="TitilliumText25L" w:cs="Arial"/>
        </w:rPr>
        <w:t xml:space="preserve"> If you lose a significant amount of blood and don’t receive blood replacement, it may be harder for your body to recover. Replacing the blood means faster recovery and feeling </w:t>
      </w:r>
      <w:r w:rsidRPr="003032D8">
        <w:rPr>
          <w:rFonts w:ascii="TitilliumText25L" w:hAnsi="TitilliumText25L" w:cs="Arial"/>
        </w:rPr>
        <w:lastRenderedPageBreak/>
        <w:t xml:space="preserve">better. Donor blood transfusions have a risk of immediate and delayed complications including fever, mild allergic reactions like a rash or serious ones like difficulty in breathing. These risks are reduced if you have cell salvage as it is your own blood. There is a small risk of infection with both donor blood and cell salvage. </w:t>
      </w:r>
    </w:p>
    <w:p w:rsidR="00BE3BE3" w:rsidRPr="003032D8" w:rsidRDefault="00BE3BE3" w:rsidP="00BE3BE3">
      <w:pPr>
        <w:rPr>
          <w:rFonts w:ascii="TitilliumText25L" w:hAnsi="TitilliumText25L" w:cs="Arial"/>
        </w:rPr>
      </w:pPr>
      <w:r w:rsidRPr="003032D8">
        <w:rPr>
          <w:rFonts w:ascii="TitilliumText25L" w:hAnsi="TitilliumText25L" w:cs="Arial"/>
          <w:b/>
        </w:rPr>
        <w:t>What is the likelihood I will suffer a complication?</w:t>
      </w:r>
      <w:r w:rsidRPr="003032D8">
        <w:rPr>
          <w:rFonts w:ascii="TitilliumText25L" w:hAnsi="TitilliumText25L" w:cs="Arial"/>
        </w:rPr>
        <w:t xml:space="preserve">  The likelihood that you will experience a complication is small and varies depending on several factors including your individual characteristics, the type of blood product transfused and which procedure you have. You should ask your doctor about your individual risks so you can give informed consent for cell salvage.</w:t>
      </w:r>
    </w:p>
    <w:p w:rsidR="00BE3BE3" w:rsidRPr="003032D8" w:rsidRDefault="00BE3BE3" w:rsidP="00BE3BE3">
      <w:pPr>
        <w:rPr>
          <w:rFonts w:ascii="TitilliumText25L" w:hAnsi="TitilliumText25L" w:cs="Arial"/>
        </w:rPr>
      </w:pPr>
      <w:r w:rsidRPr="003032D8">
        <w:rPr>
          <w:rFonts w:ascii="TitilliumText25L" w:hAnsi="TitilliumText25L" w:cs="Arial"/>
          <w:b/>
        </w:rPr>
        <w:t xml:space="preserve">Additional Information: </w:t>
      </w:r>
      <w:r w:rsidRPr="003032D8">
        <w:rPr>
          <w:rFonts w:ascii="TitilliumText25L" w:hAnsi="TitilliumText25L" w:cs="Arial"/>
        </w:rPr>
        <w:t xml:space="preserve">You can obtain additional information from your clinicians (doctor, surgeon, anaesthetist, or nurse) or at </w:t>
      </w:r>
      <w:hyperlink r:id="rId25" w:history="1">
        <w:r w:rsidRPr="003032D8">
          <w:rPr>
            <w:rStyle w:val="Hyperlink"/>
            <w:rFonts w:ascii="TitilliumText25L" w:hAnsi="TitilliumText25L" w:cs="Arial"/>
          </w:rPr>
          <w:t>www.blood.gov.au</w:t>
        </w:r>
      </w:hyperlink>
      <w:r w:rsidRPr="003032D8">
        <w:rPr>
          <w:rFonts w:ascii="TitilliumText25L" w:hAnsi="TitilliumText25L" w:cs="Arial"/>
        </w:rPr>
        <w:t>.</w:t>
      </w:r>
    </w:p>
    <w:p w:rsidR="00BE3BE3" w:rsidRPr="003032D8" w:rsidRDefault="003032D8" w:rsidP="00BE3BE3">
      <w:pPr>
        <w:pStyle w:val="Heading2"/>
        <w:jc w:val="center"/>
        <w:rPr>
          <w:rFonts w:ascii="TitilliumText25L" w:hAnsi="TitilliumText25L"/>
          <w:highlight w:val="cyan"/>
        </w:rPr>
      </w:pPr>
      <w:bookmarkStart w:id="109" w:name="_Appendix_VIII"/>
      <w:bookmarkStart w:id="110" w:name="_Toc366850114"/>
      <w:bookmarkEnd w:id="109"/>
      <w:r w:rsidRPr="003032D8">
        <w:rPr>
          <w:rFonts w:ascii="TitilliumText25L" w:hAnsi="TitilliumText25L"/>
          <w:noProof/>
          <w:lang w:eastAsia="en-AU"/>
        </w:rPr>
        <w:pict>
          <v:shape id="Picture 1" o:spid="_x0000_i1026" type="#_x0000_t75" alt="ics-diagram-new" style="width:293.55pt;height:231.25pt;visibility:visible">
            <v:imagedata r:id="rId26" o:title="ics-diagram-new"/>
          </v:shape>
        </w:pict>
      </w:r>
      <w:bookmarkEnd w:id="110"/>
    </w:p>
    <w:p w:rsidR="00BD2CDD" w:rsidRPr="003032D8" w:rsidRDefault="00BE3BE3" w:rsidP="00BE3BE3">
      <w:pPr>
        <w:pStyle w:val="PlainText"/>
        <w:jc w:val="center"/>
        <w:rPr>
          <w:rFonts w:ascii="TitilliumText25L" w:hAnsi="TitilliumText25L" w:cs="Arial"/>
          <w:sz w:val="14"/>
          <w:szCs w:val="14"/>
        </w:rPr>
      </w:pPr>
      <w:r w:rsidRPr="003032D8">
        <w:rPr>
          <w:rFonts w:ascii="TitilliumText25L" w:hAnsi="TitilliumText25L" w:cs="Arial"/>
          <w:sz w:val="14"/>
          <w:szCs w:val="14"/>
        </w:rPr>
        <w:t xml:space="preserve">Diagram used with permission from the University Hospital of South Manchester NHS Foundation Trust, </w:t>
      </w:r>
    </w:p>
    <w:p w:rsidR="00BE3BE3" w:rsidRPr="003032D8" w:rsidRDefault="00BE3BE3" w:rsidP="00BE3BE3">
      <w:pPr>
        <w:pStyle w:val="PlainText"/>
        <w:jc w:val="center"/>
        <w:rPr>
          <w:rFonts w:ascii="TitilliumText25L" w:hAnsi="TitilliumText25L" w:cs="Arial"/>
          <w:sz w:val="14"/>
          <w:szCs w:val="14"/>
        </w:rPr>
      </w:pPr>
      <w:r w:rsidRPr="003032D8">
        <w:rPr>
          <w:rFonts w:ascii="TitilliumText25L" w:hAnsi="TitilliumText25L" w:cs="Arial"/>
          <w:sz w:val="14"/>
          <w:szCs w:val="14"/>
        </w:rPr>
        <w:t>Department of Medical Illustration</w:t>
      </w:r>
    </w:p>
    <w:p w:rsidR="00BE3BE3" w:rsidRPr="003032D8" w:rsidRDefault="00BE3BE3" w:rsidP="00BE3BE3">
      <w:pPr>
        <w:jc w:val="center"/>
        <w:rPr>
          <w:rFonts w:ascii="TitilliumText25L" w:hAnsi="TitilliumText25L"/>
          <w:highlight w:val="cyan"/>
        </w:rPr>
      </w:pPr>
    </w:p>
    <w:p w:rsidR="00BE3BE3" w:rsidRPr="003032D8" w:rsidRDefault="00BE3BE3" w:rsidP="00BE3BE3">
      <w:pPr>
        <w:widowControl w:val="0"/>
        <w:autoSpaceDE w:val="0"/>
        <w:autoSpaceDN w:val="0"/>
        <w:adjustRightInd w:val="0"/>
        <w:spacing w:after="240"/>
        <w:rPr>
          <w:rFonts w:ascii="TitilliumText25L" w:eastAsia="MS Mincho" w:hAnsi="TitilliumText25L" w:cs="Arial"/>
          <w:bCs/>
          <w:sz w:val="14"/>
          <w:szCs w:val="14"/>
          <w:lang w:val="en-US" w:eastAsia="en-US"/>
        </w:rPr>
      </w:pPr>
    </w:p>
    <w:p w:rsidR="00BE3BE3" w:rsidRPr="003032D8" w:rsidRDefault="00BE3BE3" w:rsidP="00BE3BE3">
      <w:pPr>
        <w:widowControl w:val="0"/>
        <w:autoSpaceDE w:val="0"/>
        <w:autoSpaceDN w:val="0"/>
        <w:adjustRightInd w:val="0"/>
        <w:spacing w:after="240"/>
        <w:rPr>
          <w:rFonts w:ascii="TitilliumText25L" w:eastAsia="MS Mincho" w:hAnsi="TitilliumText25L" w:cs="Arial"/>
          <w:bCs/>
          <w:sz w:val="14"/>
          <w:szCs w:val="14"/>
          <w:lang w:val="en-US" w:eastAsia="en-US"/>
        </w:rPr>
      </w:pPr>
    </w:p>
    <w:p w:rsidR="00BE3BE3" w:rsidRPr="003032D8" w:rsidRDefault="00BE3BE3" w:rsidP="00BE3BE3">
      <w:pPr>
        <w:widowControl w:val="0"/>
        <w:autoSpaceDE w:val="0"/>
        <w:autoSpaceDN w:val="0"/>
        <w:adjustRightInd w:val="0"/>
        <w:spacing w:after="240"/>
        <w:rPr>
          <w:rFonts w:ascii="TitilliumText25L" w:eastAsia="MS Mincho" w:hAnsi="TitilliumText25L" w:cs="Arial"/>
          <w:bCs/>
          <w:sz w:val="14"/>
          <w:szCs w:val="14"/>
          <w:lang w:val="en-US" w:eastAsia="en-US"/>
        </w:rPr>
      </w:pPr>
    </w:p>
    <w:p w:rsidR="00BE3BE3" w:rsidRPr="003032D8" w:rsidRDefault="00BE3BE3" w:rsidP="00BE3BE3">
      <w:pPr>
        <w:widowControl w:val="0"/>
        <w:autoSpaceDE w:val="0"/>
        <w:autoSpaceDN w:val="0"/>
        <w:adjustRightInd w:val="0"/>
        <w:spacing w:after="240"/>
        <w:rPr>
          <w:rFonts w:ascii="TitilliumText25L" w:eastAsia="MS Mincho" w:hAnsi="TitilliumText25L" w:cs="Arial"/>
          <w:bCs/>
          <w:sz w:val="14"/>
          <w:szCs w:val="14"/>
          <w:lang w:val="en-US" w:eastAsia="en-US"/>
        </w:rPr>
      </w:pPr>
    </w:p>
    <w:p w:rsidR="00BE3BE3" w:rsidRPr="003032D8" w:rsidRDefault="00BE3BE3" w:rsidP="00BE3BE3">
      <w:pPr>
        <w:widowControl w:val="0"/>
        <w:autoSpaceDE w:val="0"/>
        <w:autoSpaceDN w:val="0"/>
        <w:adjustRightInd w:val="0"/>
        <w:spacing w:after="240"/>
        <w:rPr>
          <w:rFonts w:ascii="TitilliumText25L" w:eastAsia="MS Mincho" w:hAnsi="TitilliumText25L" w:cs="Arial"/>
          <w:bCs/>
          <w:sz w:val="14"/>
          <w:szCs w:val="14"/>
          <w:lang w:val="en-US" w:eastAsia="en-US"/>
        </w:rPr>
      </w:pPr>
    </w:p>
    <w:p w:rsidR="00BE3BE3" w:rsidRPr="003032D8" w:rsidRDefault="00BE3BE3" w:rsidP="00BE3BE3">
      <w:pPr>
        <w:widowControl w:val="0"/>
        <w:autoSpaceDE w:val="0"/>
        <w:autoSpaceDN w:val="0"/>
        <w:adjustRightInd w:val="0"/>
        <w:spacing w:after="240"/>
        <w:rPr>
          <w:rFonts w:ascii="TitilliumText25L" w:eastAsia="MS Mincho" w:hAnsi="TitilliumText25L" w:cs="Arial"/>
          <w:bCs/>
          <w:sz w:val="14"/>
          <w:szCs w:val="14"/>
          <w:lang w:val="en-US" w:eastAsia="en-US"/>
        </w:rPr>
      </w:pPr>
    </w:p>
    <w:p w:rsidR="00BE3BE3" w:rsidRPr="003032D8" w:rsidRDefault="00BE3BE3" w:rsidP="00BE3BE3">
      <w:pPr>
        <w:widowControl w:val="0"/>
        <w:autoSpaceDE w:val="0"/>
        <w:autoSpaceDN w:val="0"/>
        <w:adjustRightInd w:val="0"/>
        <w:spacing w:after="240"/>
        <w:rPr>
          <w:rFonts w:ascii="TitilliumText25L" w:eastAsia="MS Mincho" w:hAnsi="TitilliumText25L" w:cs="Arial"/>
          <w:bCs/>
          <w:sz w:val="14"/>
          <w:szCs w:val="14"/>
          <w:lang w:val="en-US" w:eastAsia="en-US"/>
        </w:rPr>
      </w:pPr>
    </w:p>
    <w:p w:rsidR="00BE3BE3" w:rsidRPr="003032D8" w:rsidRDefault="00BE3BE3" w:rsidP="00BE3BE3">
      <w:pPr>
        <w:widowControl w:val="0"/>
        <w:autoSpaceDE w:val="0"/>
        <w:autoSpaceDN w:val="0"/>
        <w:adjustRightInd w:val="0"/>
        <w:spacing w:after="240"/>
        <w:rPr>
          <w:rFonts w:ascii="TitilliumText25L" w:eastAsia="MS Mincho" w:hAnsi="TitilliumText25L" w:cs="Arial"/>
          <w:b/>
          <w:sz w:val="14"/>
          <w:szCs w:val="14"/>
          <w:lang w:val="en-US" w:eastAsia="en-US"/>
        </w:rPr>
      </w:pPr>
      <w:r w:rsidRPr="003032D8">
        <w:rPr>
          <w:rFonts w:ascii="TitilliumText25L" w:eastAsia="MS Mincho" w:hAnsi="TitilliumText25L" w:cs="Arial"/>
          <w:bCs/>
          <w:sz w:val="14"/>
          <w:szCs w:val="14"/>
          <w:lang w:val="en-US" w:eastAsia="en-US"/>
        </w:rPr>
        <w:t xml:space="preserve">Ref:  </w:t>
      </w:r>
      <w:proofErr w:type="spellStart"/>
      <w:r w:rsidRPr="003032D8">
        <w:rPr>
          <w:rFonts w:ascii="TitilliumText25L" w:eastAsia="MS Mincho" w:hAnsi="TitilliumText25L" w:cs="Arial"/>
          <w:bCs/>
          <w:sz w:val="14"/>
          <w:szCs w:val="14"/>
          <w:lang w:val="en-US" w:eastAsia="en-US"/>
        </w:rPr>
        <w:t>Esper</w:t>
      </w:r>
      <w:proofErr w:type="spellEnd"/>
      <w:r w:rsidRPr="003032D8">
        <w:rPr>
          <w:rFonts w:ascii="TitilliumText25L" w:eastAsia="MS Mincho" w:hAnsi="TitilliumText25L" w:cs="Arial"/>
          <w:bCs/>
          <w:sz w:val="14"/>
          <w:szCs w:val="14"/>
          <w:lang w:val="en-US" w:eastAsia="en-US"/>
        </w:rPr>
        <w:t>, S et al. Intra-operative cell salvage: a fresh look at the indications and contraindications. Blood Transfusion 2011 April; 9</w:t>
      </w:r>
    </w:p>
    <w:p w:rsidR="00BE3BE3" w:rsidRPr="003032D8" w:rsidRDefault="00BE3BE3" w:rsidP="00BE3BE3">
      <w:pPr>
        <w:pStyle w:val="Heading2"/>
        <w:rPr>
          <w:rFonts w:ascii="TitilliumText25L" w:hAnsi="TitilliumText25L"/>
          <w:highlight w:val="cyan"/>
        </w:rPr>
        <w:sectPr w:rsidR="00BE3BE3" w:rsidRPr="003032D8" w:rsidSect="00E7119A">
          <w:pgSz w:w="11906" w:h="16838" w:code="9"/>
          <w:pgMar w:top="1440" w:right="1797" w:bottom="1440" w:left="1797" w:header="720" w:footer="329" w:gutter="0"/>
          <w:pgNumType w:start="1"/>
          <w:cols w:space="720"/>
          <w:docGrid w:linePitch="299"/>
        </w:sectPr>
      </w:pPr>
    </w:p>
    <w:p w:rsidR="00BE3BE3" w:rsidRPr="003032D8" w:rsidRDefault="00BE3BE3" w:rsidP="00BE3BE3">
      <w:pPr>
        <w:pStyle w:val="Heading2"/>
        <w:rPr>
          <w:rFonts w:ascii="TitilliumText25L" w:hAnsi="TitilliumText25L"/>
        </w:rPr>
      </w:pPr>
      <w:bookmarkStart w:id="111" w:name="_Appendix_VIII_1"/>
      <w:bookmarkStart w:id="112" w:name="_Toc351386719"/>
      <w:bookmarkStart w:id="113" w:name="_Toc366850115"/>
      <w:bookmarkEnd w:id="111"/>
      <w:r w:rsidRPr="003032D8">
        <w:rPr>
          <w:rFonts w:ascii="TitilliumText25L" w:hAnsi="TitilliumText25L"/>
        </w:rPr>
        <w:lastRenderedPageBreak/>
        <w:t>Appendix V</w:t>
      </w:r>
      <w:bookmarkEnd w:id="112"/>
      <w:r w:rsidRPr="003032D8">
        <w:rPr>
          <w:rFonts w:ascii="TitilliumText25L" w:hAnsi="TitilliumText25L"/>
        </w:rPr>
        <w:t>III</w:t>
      </w:r>
      <w:bookmarkEnd w:id="113"/>
    </w:p>
    <w:p w:rsidR="00BE3BE3" w:rsidRPr="003032D8" w:rsidRDefault="00BE3BE3" w:rsidP="00BE3BE3">
      <w:pPr>
        <w:pStyle w:val="Heading3"/>
        <w:rPr>
          <w:rFonts w:ascii="TitilliumText25L" w:hAnsi="TitilliumText25L"/>
        </w:rPr>
      </w:pPr>
      <w:bookmarkStart w:id="114" w:name="_Toc351386720"/>
      <w:bookmarkStart w:id="115" w:name="_Toc366850116"/>
      <w:r w:rsidRPr="003032D8">
        <w:rPr>
          <w:rFonts w:ascii="TitilliumText25L" w:hAnsi="TitilliumText25L"/>
        </w:rPr>
        <w:t>Manufacturers’ Guidelines</w:t>
      </w:r>
      <w:bookmarkEnd w:id="114"/>
      <w:bookmarkEnd w:id="115"/>
    </w:p>
    <w:p w:rsidR="00BE3BE3" w:rsidRPr="003032D8" w:rsidRDefault="00BE3BE3" w:rsidP="00BE3BE3">
      <w:pPr>
        <w:rPr>
          <w:rFonts w:ascii="TitilliumText25L" w:hAnsi="TitilliumText25L"/>
        </w:rPr>
      </w:pPr>
      <w:r w:rsidRPr="003032D8">
        <w:rPr>
          <w:rFonts w:ascii="TitilliumText25L" w:hAnsi="TitilliumText25L"/>
        </w:rPr>
        <w:t>The organisation should attach a copy of the manufacturers’ guidelines to this section</w:t>
      </w:r>
    </w:p>
    <w:p w:rsidR="00BE3BE3" w:rsidRPr="003032D8" w:rsidRDefault="00BE3BE3" w:rsidP="00BE3BE3">
      <w:pPr>
        <w:pStyle w:val="Heading2"/>
        <w:rPr>
          <w:rFonts w:ascii="TitilliumText25L" w:hAnsi="TitilliumText25L"/>
          <w:highlight w:val="cyan"/>
        </w:rPr>
        <w:sectPr w:rsidR="00BE3BE3" w:rsidRPr="003032D8" w:rsidSect="00E7119A">
          <w:pgSz w:w="11906" w:h="16838" w:code="9"/>
          <w:pgMar w:top="1440" w:right="1797" w:bottom="1440" w:left="1797" w:header="720" w:footer="329" w:gutter="0"/>
          <w:pgNumType w:start="1"/>
          <w:cols w:space="720"/>
          <w:docGrid w:linePitch="299"/>
        </w:sectPr>
      </w:pPr>
      <w:bookmarkStart w:id="116" w:name="_Appendix_IX"/>
      <w:bookmarkEnd w:id="116"/>
    </w:p>
    <w:p w:rsidR="00BE3BE3" w:rsidRPr="003032D8" w:rsidRDefault="00BE3BE3" w:rsidP="00BE3BE3">
      <w:pPr>
        <w:pStyle w:val="Heading2"/>
        <w:rPr>
          <w:rFonts w:ascii="TitilliumText25L" w:hAnsi="TitilliumText25L"/>
        </w:rPr>
      </w:pPr>
      <w:bookmarkStart w:id="117" w:name="_Appendix_IX_1"/>
      <w:bookmarkStart w:id="118" w:name="_Toc351386721"/>
      <w:bookmarkStart w:id="119" w:name="_Toc366850117"/>
      <w:bookmarkEnd w:id="117"/>
      <w:r w:rsidRPr="003032D8">
        <w:rPr>
          <w:rFonts w:ascii="TitilliumText25L" w:hAnsi="TitilliumText25L"/>
        </w:rPr>
        <w:lastRenderedPageBreak/>
        <w:t xml:space="preserve">Appendix </w:t>
      </w:r>
      <w:bookmarkEnd w:id="118"/>
      <w:r w:rsidRPr="003032D8">
        <w:rPr>
          <w:rFonts w:ascii="TitilliumText25L" w:hAnsi="TitilliumText25L"/>
        </w:rPr>
        <w:t>IX</w:t>
      </w:r>
      <w:bookmarkEnd w:id="119"/>
    </w:p>
    <w:p w:rsidR="00BE3BE3" w:rsidRPr="003032D8" w:rsidRDefault="00BE3BE3" w:rsidP="00BE3BE3">
      <w:pPr>
        <w:pStyle w:val="Heading3"/>
        <w:rPr>
          <w:rFonts w:ascii="TitilliumText25L" w:hAnsi="TitilliumText25L"/>
        </w:rPr>
      </w:pPr>
      <w:bookmarkStart w:id="120" w:name="_Toc351386722"/>
      <w:bookmarkStart w:id="121" w:name="_Toc366850118"/>
      <w:r w:rsidRPr="003032D8">
        <w:rPr>
          <w:rFonts w:ascii="TitilliumText25L" w:hAnsi="TitilliumText25L"/>
        </w:rPr>
        <w:t>Autologous Transfusion Label</w:t>
      </w:r>
      <w:bookmarkEnd w:id="120"/>
      <w:bookmarkEnd w:id="121"/>
    </w:p>
    <w:p w:rsidR="00BE3BE3" w:rsidRPr="003032D8" w:rsidRDefault="00BE3BE3" w:rsidP="00BE3BE3">
      <w:pPr>
        <w:rPr>
          <w:rFonts w:ascii="TitilliumText25L" w:hAnsi="TitilliumText25L" w:cs="Arial"/>
        </w:rPr>
      </w:pPr>
      <w:r w:rsidRPr="003032D8">
        <w:rPr>
          <w:rFonts w:ascii="TitilliumText25L" w:hAnsi="TitilliumText25L" w:cs="Arial"/>
        </w:rPr>
        <w:t xml:space="preserve">An autologous transfusion label is available from some automated cell saver manufacturers. It should include the following information. </w:t>
      </w:r>
    </w:p>
    <w:p w:rsidR="00BE3BE3" w:rsidRPr="003032D8" w:rsidRDefault="00BE3BE3" w:rsidP="00BE3BE3">
      <w:pPr>
        <w:rPr>
          <w:rFonts w:ascii="TitilliumText25L" w:hAnsi="TitilliumText25L" w:cs="Arial"/>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8"/>
      </w:tblGrid>
      <w:tr w:rsidR="00BE3BE3" w:rsidRPr="003032D8" w:rsidTr="00193EEB">
        <w:tc>
          <w:tcPr>
            <w:tcW w:w="4341" w:type="dxa"/>
            <w:shd w:val="clear" w:color="auto" w:fill="auto"/>
          </w:tcPr>
          <w:p w:rsidR="00BE3BE3" w:rsidRPr="003032D8" w:rsidRDefault="00BE3BE3" w:rsidP="00193EEB">
            <w:pPr>
              <w:spacing w:after="0" w:line="240" w:lineRule="auto"/>
              <w:jc w:val="center"/>
              <w:rPr>
                <w:rFonts w:ascii="TitilliumText25L" w:hAnsi="TitilliumText25L"/>
                <w:b/>
                <w:sz w:val="32"/>
                <w:szCs w:val="32"/>
                <w:u w:val="single"/>
              </w:rPr>
            </w:pPr>
            <w:r w:rsidRPr="003032D8">
              <w:rPr>
                <w:rFonts w:ascii="TitilliumText25L" w:hAnsi="TitilliumText25L"/>
                <w:b/>
                <w:sz w:val="32"/>
                <w:szCs w:val="32"/>
                <w:u w:val="single"/>
              </w:rPr>
              <w:t>Intraoperative cell salvage</w:t>
            </w:r>
          </w:p>
          <w:p w:rsidR="00BE3BE3" w:rsidRPr="003032D8" w:rsidRDefault="00BE3BE3" w:rsidP="00193EEB">
            <w:pPr>
              <w:spacing w:after="0" w:line="240" w:lineRule="auto"/>
              <w:rPr>
                <w:rFonts w:ascii="TitilliumText25L" w:hAnsi="TitilliumText25L"/>
              </w:rPr>
            </w:pPr>
          </w:p>
          <w:p w:rsidR="00BE3BE3" w:rsidRPr="003032D8" w:rsidRDefault="00BE3BE3" w:rsidP="00193EEB">
            <w:pPr>
              <w:spacing w:after="0" w:line="240" w:lineRule="auto"/>
              <w:rPr>
                <w:rFonts w:ascii="TitilliumText25L" w:hAnsi="TitilliumText25L"/>
              </w:rPr>
            </w:pPr>
          </w:p>
          <w:p w:rsidR="00BE3BE3" w:rsidRPr="003032D8" w:rsidRDefault="00BE3BE3" w:rsidP="00193EEB">
            <w:pPr>
              <w:spacing w:after="0" w:line="240" w:lineRule="auto"/>
              <w:rPr>
                <w:rFonts w:ascii="TitilliumText25L" w:hAnsi="TitilliumText25L"/>
              </w:rPr>
            </w:pPr>
            <w:r w:rsidRPr="003032D8">
              <w:rPr>
                <w:rFonts w:ascii="TitilliumText25L" w:hAnsi="TitilliumText25L"/>
              </w:rPr>
              <w:t>Patient ID/</w:t>
            </w:r>
            <w:proofErr w:type="spellStart"/>
            <w:r w:rsidRPr="003032D8">
              <w:rPr>
                <w:rFonts w:ascii="TitilliumText25L" w:hAnsi="TitilliumText25L"/>
              </w:rPr>
              <w:t>MRN</w:t>
            </w:r>
            <w:proofErr w:type="spellEnd"/>
            <w:r w:rsidRPr="003032D8">
              <w:rPr>
                <w:rFonts w:ascii="TitilliumText25L" w:hAnsi="TitilliumText25L"/>
              </w:rPr>
              <w:t xml:space="preserve"> number/Hospital Number_______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Last Name________________________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First Name__________________________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DOB__________________________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Operator/Autotransfusionist name__________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Anaesthetist___________________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Surgeon_________________________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Collection Site/Theatre_______________________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Infusion started________________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Expires/Reinfuse by: </w:t>
            </w:r>
            <w:proofErr w:type="spellStart"/>
            <w:r w:rsidRPr="003032D8">
              <w:rPr>
                <w:rFonts w:ascii="TitilliumText25L" w:hAnsi="TitilliumText25L"/>
              </w:rPr>
              <w:t>Date_______Time</w:t>
            </w:r>
            <w:proofErr w:type="spellEnd"/>
            <w:r w:rsidRPr="003032D8">
              <w:rPr>
                <w:rFonts w:ascii="TitilliumText25L" w:hAnsi="TitilliumText25L"/>
              </w:rPr>
              <w:t>_____</w:t>
            </w:r>
          </w:p>
          <w:p w:rsidR="00BE3BE3" w:rsidRPr="003032D8" w:rsidRDefault="00BE3BE3" w:rsidP="00193EEB">
            <w:pPr>
              <w:spacing w:after="0" w:line="240" w:lineRule="auto"/>
              <w:rPr>
                <w:rFonts w:ascii="TitilliumText25L" w:hAnsi="TitilliumText25L"/>
              </w:rPr>
            </w:pP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Intraoperative Cell Salvage </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               Washed </w:t>
            </w:r>
            <w:r w:rsidRPr="003032D8">
              <w:rPr>
                <w:rFonts w:ascii="TitilliumText25L" w:hAnsi="TitilliumText25L"/>
              </w:rPr>
              <w:sym w:font="Wingdings" w:char="F06F"/>
            </w: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               Unwashed </w:t>
            </w:r>
            <w:r w:rsidRPr="003032D8">
              <w:rPr>
                <w:rFonts w:ascii="TitilliumText25L" w:hAnsi="TitilliumText25L"/>
              </w:rPr>
              <w:sym w:font="Wingdings" w:char="F06F"/>
            </w: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 </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Total volume for reinfusion  _______ </w:t>
            </w:r>
            <w:proofErr w:type="spellStart"/>
            <w:r w:rsidRPr="003032D8">
              <w:rPr>
                <w:rFonts w:ascii="TitilliumText25L" w:hAnsi="TitilliumText25L"/>
              </w:rPr>
              <w:t>mls</w:t>
            </w:r>
            <w:proofErr w:type="spellEnd"/>
          </w:p>
          <w:p w:rsidR="00BE3BE3" w:rsidRPr="003032D8" w:rsidRDefault="00BE3BE3" w:rsidP="00193EEB">
            <w:pPr>
              <w:spacing w:after="0" w:line="240" w:lineRule="auto"/>
              <w:rPr>
                <w:rFonts w:ascii="TitilliumText25L" w:hAnsi="TitilliumText25L"/>
              </w:rPr>
            </w:pPr>
            <w:r w:rsidRPr="003032D8">
              <w:rPr>
                <w:rFonts w:ascii="TitilliumText25L" w:hAnsi="TitilliumText25L"/>
              </w:rPr>
              <w:t>-----------------------------------------------------------</w:t>
            </w:r>
          </w:p>
          <w:p w:rsidR="00BE3BE3" w:rsidRPr="003032D8" w:rsidRDefault="00BE3BE3" w:rsidP="00193EEB">
            <w:pPr>
              <w:spacing w:after="0" w:line="240" w:lineRule="auto"/>
              <w:rPr>
                <w:rFonts w:ascii="TitilliumText25L" w:hAnsi="TitilliumText25L"/>
                <w:color w:val="FF0000"/>
              </w:rPr>
            </w:pPr>
            <w:r w:rsidRPr="003032D8">
              <w:rPr>
                <w:rFonts w:ascii="TitilliumText25L" w:hAnsi="TitilliumText25L"/>
                <w:color w:val="FF0000"/>
              </w:rPr>
              <w:t>(This section to be completed and affixed to patient’s clinical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tblGrid>
            <w:tr w:rsidR="00BE3BE3" w:rsidRPr="003032D8" w:rsidTr="00193EEB">
              <w:trPr>
                <w:trHeight w:val="3587"/>
              </w:trPr>
              <w:tc>
                <w:tcPr>
                  <w:tcW w:w="4792" w:type="dxa"/>
                  <w:shd w:val="clear" w:color="auto" w:fill="auto"/>
                </w:tcPr>
                <w:p w:rsidR="00BE3BE3" w:rsidRPr="003032D8" w:rsidRDefault="00BE3BE3" w:rsidP="00193EEB">
                  <w:pPr>
                    <w:spacing w:after="0" w:line="240" w:lineRule="auto"/>
                    <w:jc w:val="center"/>
                    <w:rPr>
                      <w:rFonts w:ascii="TitilliumText25L" w:hAnsi="TitilliumText25L"/>
                      <w:b/>
                      <w:u w:val="single"/>
                    </w:rPr>
                  </w:pPr>
                  <w:r w:rsidRPr="003032D8">
                    <w:rPr>
                      <w:rFonts w:ascii="TitilliumText25L" w:hAnsi="TitilliumText25L"/>
                      <w:b/>
                      <w:u w:val="single"/>
                    </w:rPr>
                    <w:t>Intraoperative Cell Salvage</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Patient ID_______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Full Name________</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Intra-op cell salvage: </w:t>
                  </w: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               Washed </w:t>
                  </w:r>
                  <w:r w:rsidRPr="003032D8">
                    <w:rPr>
                      <w:rFonts w:ascii="TitilliumText25L" w:hAnsi="TitilliumText25L"/>
                    </w:rPr>
                    <w:sym w:font="Wingdings" w:char="F06F"/>
                  </w: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               Unwashed </w:t>
                  </w:r>
                  <w:r w:rsidRPr="003032D8">
                    <w:rPr>
                      <w:rFonts w:ascii="TitilliumText25L" w:hAnsi="TitilliumText25L"/>
                    </w:rPr>
                    <w:sym w:font="Wingdings" w:char="F06F"/>
                  </w:r>
                </w:p>
                <w:p w:rsidR="00BE3BE3" w:rsidRPr="003032D8" w:rsidRDefault="00BE3BE3" w:rsidP="00193EEB">
                  <w:pPr>
                    <w:spacing w:after="0" w:line="240" w:lineRule="auto"/>
                    <w:rPr>
                      <w:rFonts w:ascii="TitilliumText25L" w:hAnsi="TitilliumText25L"/>
                    </w:rPr>
                  </w:pPr>
                </w:p>
                <w:p w:rsidR="00BE3BE3" w:rsidRPr="003032D8" w:rsidRDefault="00BE3BE3" w:rsidP="00193EEB">
                  <w:pPr>
                    <w:spacing w:after="0" w:line="240" w:lineRule="auto"/>
                    <w:rPr>
                      <w:rFonts w:ascii="TitilliumText25L" w:hAnsi="TitilliumText25L"/>
                    </w:rPr>
                  </w:pPr>
                  <w:r w:rsidRPr="003032D8">
                    <w:rPr>
                      <w:rFonts w:ascii="TitilliumText25L" w:hAnsi="TitilliumText25L"/>
                    </w:rPr>
                    <w:t>Total volume for reinfusion   _______</w:t>
                  </w:r>
                  <w:proofErr w:type="spellStart"/>
                  <w:r w:rsidRPr="003032D8">
                    <w:rPr>
                      <w:rFonts w:ascii="TitilliumText25L" w:hAnsi="TitilliumText25L"/>
                    </w:rPr>
                    <w:t>mls</w:t>
                  </w:r>
                  <w:proofErr w:type="spellEnd"/>
                </w:p>
                <w:p w:rsidR="00BE3BE3" w:rsidRPr="003032D8" w:rsidRDefault="00BE3BE3" w:rsidP="00193EEB">
                  <w:pPr>
                    <w:spacing w:after="0" w:line="240" w:lineRule="auto"/>
                    <w:rPr>
                      <w:rFonts w:ascii="TitilliumText25L" w:hAnsi="TitilliumText25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499"/>
                  </w:tblGrid>
                  <w:tr w:rsidR="00BE3BE3" w:rsidRPr="003032D8" w:rsidTr="00193EEB">
                    <w:tc>
                      <w:tcPr>
                        <w:tcW w:w="2280"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Checked by:</w:t>
                        </w:r>
                      </w:p>
                    </w:tc>
                    <w:tc>
                      <w:tcPr>
                        <w:tcW w:w="2281"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280"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Administered by:</w:t>
                        </w:r>
                      </w:p>
                    </w:tc>
                    <w:tc>
                      <w:tcPr>
                        <w:tcW w:w="2281" w:type="dxa"/>
                        <w:shd w:val="clear" w:color="auto" w:fill="auto"/>
                      </w:tcPr>
                      <w:p w:rsidR="00BE3BE3" w:rsidRPr="003032D8" w:rsidRDefault="00BE3BE3" w:rsidP="00193EEB">
                        <w:pPr>
                          <w:spacing w:after="0" w:line="240" w:lineRule="auto"/>
                          <w:rPr>
                            <w:rFonts w:ascii="TitilliumText25L" w:hAnsi="TitilliumText25L"/>
                          </w:rPr>
                        </w:pPr>
                      </w:p>
                    </w:tc>
                  </w:tr>
                  <w:tr w:rsidR="00BE3BE3" w:rsidRPr="003032D8" w:rsidTr="00193EEB">
                    <w:tc>
                      <w:tcPr>
                        <w:tcW w:w="2280" w:type="dxa"/>
                        <w:shd w:val="clear" w:color="auto" w:fill="auto"/>
                      </w:tcPr>
                      <w:p w:rsidR="00BE3BE3" w:rsidRPr="003032D8" w:rsidRDefault="00BE3BE3" w:rsidP="00193EEB">
                        <w:pPr>
                          <w:spacing w:after="0" w:line="240" w:lineRule="auto"/>
                          <w:rPr>
                            <w:rFonts w:ascii="TitilliumText25L" w:hAnsi="TitilliumText25L"/>
                          </w:rPr>
                        </w:pPr>
                        <w:r w:rsidRPr="003032D8">
                          <w:rPr>
                            <w:rFonts w:ascii="TitilliumText25L" w:hAnsi="TitilliumText25L"/>
                          </w:rPr>
                          <w:t>Transfusion started:</w:t>
                        </w:r>
                      </w:p>
                    </w:tc>
                    <w:tc>
                      <w:tcPr>
                        <w:tcW w:w="2281" w:type="dxa"/>
                        <w:shd w:val="clear" w:color="auto" w:fill="auto"/>
                      </w:tcPr>
                      <w:p w:rsidR="00BE3BE3" w:rsidRPr="003032D8" w:rsidRDefault="00BE3BE3" w:rsidP="00193EEB">
                        <w:pPr>
                          <w:spacing w:after="0" w:line="240" w:lineRule="auto"/>
                          <w:rPr>
                            <w:rFonts w:ascii="TitilliumText25L" w:hAnsi="TitilliumText25L"/>
                          </w:rPr>
                        </w:pPr>
                        <w:proofErr w:type="spellStart"/>
                        <w:r w:rsidRPr="003032D8">
                          <w:rPr>
                            <w:rFonts w:ascii="TitilliumText25L" w:hAnsi="TitilliumText25L"/>
                          </w:rPr>
                          <w:t>Date_______Time</w:t>
                        </w:r>
                        <w:proofErr w:type="spellEnd"/>
                        <w:r w:rsidRPr="003032D8">
                          <w:rPr>
                            <w:rFonts w:ascii="TitilliumText25L" w:hAnsi="TitilliumText25L"/>
                          </w:rPr>
                          <w:t>_____</w:t>
                        </w:r>
                      </w:p>
                    </w:tc>
                  </w:tr>
                </w:tbl>
                <w:p w:rsidR="00BE3BE3" w:rsidRPr="003032D8" w:rsidRDefault="00BE3BE3" w:rsidP="00193EEB">
                  <w:pPr>
                    <w:spacing w:after="0" w:line="240" w:lineRule="auto"/>
                    <w:rPr>
                      <w:rFonts w:ascii="TitilliumText25L" w:hAnsi="TitilliumText25L"/>
                    </w:rPr>
                  </w:pPr>
                </w:p>
                <w:p w:rsidR="00BE3BE3" w:rsidRPr="003032D8" w:rsidRDefault="00BE3BE3" w:rsidP="00193EEB">
                  <w:pPr>
                    <w:spacing w:after="0" w:line="240" w:lineRule="auto"/>
                    <w:rPr>
                      <w:rFonts w:ascii="TitilliumText25L" w:hAnsi="TitilliumText25L"/>
                    </w:rPr>
                  </w:pPr>
                </w:p>
                <w:p w:rsidR="00BE3BE3" w:rsidRPr="003032D8" w:rsidRDefault="00BE3BE3" w:rsidP="00193EEB">
                  <w:pPr>
                    <w:spacing w:after="0" w:line="240" w:lineRule="auto"/>
                    <w:rPr>
                      <w:rFonts w:ascii="TitilliumText25L" w:hAnsi="TitilliumText25L"/>
                    </w:rPr>
                  </w:pPr>
                  <w:r w:rsidRPr="003032D8">
                    <w:rPr>
                      <w:rFonts w:ascii="TitilliumText25L" w:hAnsi="TitilliumText25L"/>
                    </w:rPr>
                    <w:t xml:space="preserve">       </w:t>
                  </w:r>
                </w:p>
              </w:tc>
            </w:tr>
          </w:tbl>
          <w:p w:rsidR="00BE3BE3" w:rsidRPr="003032D8" w:rsidRDefault="00BE3BE3" w:rsidP="00193EEB">
            <w:pPr>
              <w:spacing w:after="0" w:line="240" w:lineRule="auto"/>
              <w:rPr>
                <w:rFonts w:ascii="TitilliumText25L" w:hAnsi="TitilliumText25L"/>
              </w:rPr>
            </w:pPr>
          </w:p>
        </w:tc>
      </w:tr>
    </w:tbl>
    <w:p w:rsidR="00BE3BE3" w:rsidRPr="003032D8" w:rsidRDefault="00BE3BE3" w:rsidP="00BE3BE3">
      <w:pPr>
        <w:pStyle w:val="Heading2"/>
        <w:rPr>
          <w:rFonts w:ascii="TitilliumText25L" w:hAnsi="TitilliumText25L"/>
          <w:highlight w:val="cyan"/>
        </w:rPr>
        <w:sectPr w:rsidR="00BE3BE3" w:rsidRPr="003032D8" w:rsidSect="00E7119A">
          <w:pgSz w:w="11906" w:h="16838" w:code="9"/>
          <w:pgMar w:top="993" w:right="1797" w:bottom="851" w:left="1797" w:header="720" w:footer="329" w:gutter="0"/>
          <w:pgNumType w:start="1"/>
          <w:cols w:space="720"/>
          <w:docGrid w:linePitch="299"/>
        </w:sectPr>
      </w:pPr>
    </w:p>
    <w:p w:rsidR="00BE3BE3" w:rsidRPr="003032D8" w:rsidRDefault="00BE3BE3" w:rsidP="00BE3BE3">
      <w:pPr>
        <w:pStyle w:val="Heading2"/>
        <w:rPr>
          <w:rFonts w:ascii="TitilliumText25L" w:hAnsi="TitilliumText25L"/>
        </w:rPr>
      </w:pPr>
      <w:bookmarkStart w:id="122" w:name="_Appendix_X"/>
      <w:bookmarkStart w:id="123" w:name="_Toc351386723"/>
      <w:bookmarkStart w:id="124" w:name="_Toc366850119"/>
      <w:bookmarkEnd w:id="122"/>
      <w:r w:rsidRPr="003032D8">
        <w:rPr>
          <w:rFonts w:ascii="TitilliumText25L" w:hAnsi="TitilliumText25L"/>
        </w:rPr>
        <w:lastRenderedPageBreak/>
        <w:t xml:space="preserve">Appendix </w:t>
      </w:r>
      <w:bookmarkEnd w:id="123"/>
      <w:r w:rsidRPr="003032D8">
        <w:rPr>
          <w:rFonts w:ascii="TitilliumText25L" w:hAnsi="TitilliumText25L"/>
        </w:rPr>
        <w:t>X</w:t>
      </w:r>
      <w:bookmarkEnd w:id="124"/>
      <w:r w:rsidRPr="003032D8">
        <w:rPr>
          <w:rFonts w:ascii="TitilliumText25L" w:hAnsi="TitilliumText25L"/>
        </w:rPr>
        <w:t xml:space="preserve"> </w:t>
      </w:r>
    </w:p>
    <w:p w:rsidR="00BE3BE3" w:rsidRPr="003032D8" w:rsidRDefault="00BE3BE3" w:rsidP="00BE3BE3">
      <w:pPr>
        <w:pStyle w:val="Heading3"/>
        <w:rPr>
          <w:rFonts w:ascii="TitilliumText25L" w:hAnsi="TitilliumText25L"/>
        </w:rPr>
      </w:pPr>
      <w:bookmarkStart w:id="125" w:name="_Toc351386724"/>
      <w:bookmarkStart w:id="126" w:name="_Toc366850120"/>
      <w:r w:rsidRPr="003032D8">
        <w:rPr>
          <w:rFonts w:ascii="TitilliumText25L" w:hAnsi="TitilliumText25L"/>
        </w:rPr>
        <w:t>Fault log</w:t>
      </w:r>
      <w:bookmarkEnd w:id="125"/>
      <w:bookmarkEnd w:id="126"/>
    </w:p>
    <w:p w:rsidR="00BE3BE3" w:rsidRPr="003032D8" w:rsidRDefault="00BE3BE3" w:rsidP="00BE3BE3">
      <w:pPr>
        <w:spacing w:before="360" w:after="360"/>
        <w:jc w:val="center"/>
        <w:rPr>
          <w:rFonts w:ascii="TitilliumText25L" w:hAnsi="TitilliumText25L" w:cs="Arial"/>
          <w:b/>
          <w:sz w:val="28"/>
          <w:szCs w:val="28"/>
        </w:rPr>
      </w:pPr>
      <w:r w:rsidRPr="003032D8">
        <w:rPr>
          <w:rFonts w:ascii="TitilliumText25L" w:hAnsi="TitilliumText25L" w:cs="Arial"/>
          <w:b/>
          <w:sz w:val="28"/>
          <w:szCs w:val="28"/>
        </w:rPr>
        <w:t>Intraoperative Cell Salvage Device Fault Log</w:t>
      </w:r>
    </w:p>
    <w:p w:rsidR="00BE3BE3" w:rsidRPr="003032D8" w:rsidRDefault="00BE3BE3" w:rsidP="00BE3BE3">
      <w:pPr>
        <w:rPr>
          <w:rFonts w:ascii="TitilliumText25L" w:hAnsi="TitilliumText25L" w:cs="Arial"/>
          <w:b/>
        </w:rPr>
      </w:pPr>
      <w:r w:rsidRPr="003032D8">
        <w:rPr>
          <w:rFonts w:ascii="TitilliumText25L" w:hAnsi="TitilliumText25L" w:cs="Arial"/>
          <w:b/>
        </w:rPr>
        <w:t xml:space="preserve">Device: </w:t>
      </w:r>
      <w:r w:rsidRPr="003032D8">
        <w:rPr>
          <w:rFonts w:ascii="TitilliumText25L" w:hAnsi="TitilliumText25L" w:cs="Arial"/>
          <w:b/>
        </w:rPr>
        <w:tab/>
        <w:t>___________________________________</w:t>
      </w:r>
    </w:p>
    <w:p w:rsidR="00BE3BE3" w:rsidRPr="003032D8" w:rsidRDefault="00BE3BE3" w:rsidP="00BE3BE3">
      <w:pPr>
        <w:spacing w:after="360"/>
        <w:ind w:left="1701" w:hanging="1701"/>
        <w:rPr>
          <w:rFonts w:ascii="TitilliumText25L" w:hAnsi="TitilliumText25L" w:cs="Arial"/>
          <w:b/>
        </w:rPr>
      </w:pPr>
      <w:r w:rsidRPr="003032D8">
        <w:rPr>
          <w:rFonts w:ascii="TitilliumText25L" w:hAnsi="TitilliumText25L" w:cs="Arial"/>
          <w:b/>
        </w:rPr>
        <w:t>Serial Number:</w:t>
      </w:r>
      <w:r w:rsidRPr="003032D8">
        <w:rPr>
          <w:rFonts w:ascii="TitilliumText25L" w:hAnsi="TitilliumText25L" w:cs="Arial"/>
          <w:b/>
        </w:rPr>
        <w:tab/>
        <w:t>_________________________________</w:t>
      </w:r>
    </w:p>
    <w:p w:rsidR="004A6161" w:rsidRPr="003032D8" w:rsidRDefault="004A6161" w:rsidP="00BE3BE3">
      <w:pPr>
        <w:spacing w:after="360"/>
        <w:ind w:left="1701" w:hanging="1701"/>
        <w:rPr>
          <w:rFonts w:ascii="TitilliumText25L" w:hAnsi="TitilliumText25L" w:cs="Arial"/>
          <w:b/>
        </w:rPr>
      </w:pPr>
      <w:r w:rsidRPr="003032D8">
        <w:rPr>
          <w:rFonts w:ascii="TitilliumText25L" w:hAnsi="TitilliumText25L" w:cs="Arial"/>
          <w:b/>
        </w:rPr>
        <w:t>Autotransfusionist: ______________________________</w:t>
      </w:r>
    </w:p>
    <w:p w:rsidR="00845832" w:rsidRPr="003032D8" w:rsidRDefault="00845832" w:rsidP="00BE3BE3">
      <w:pPr>
        <w:spacing w:after="360"/>
        <w:ind w:left="1701" w:hanging="1701"/>
        <w:rPr>
          <w:rFonts w:ascii="TitilliumText25L" w:hAnsi="TitilliumText25L" w:cs="Arial"/>
          <w:b/>
        </w:rPr>
      </w:pPr>
    </w:p>
    <w:tbl>
      <w:tblPr>
        <w:tblW w:w="10206"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8"/>
        <w:gridCol w:w="2977"/>
        <w:gridCol w:w="1984"/>
        <w:gridCol w:w="2268"/>
        <w:gridCol w:w="1559"/>
      </w:tblGrid>
      <w:tr w:rsidR="00492A10" w:rsidRPr="003032D8" w:rsidTr="00193EEB">
        <w:trPr>
          <w:trHeight w:val="790"/>
        </w:trPr>
        <w:tc>
          <w:tcPr>
            <w:tcW w:w="1418" w:type="dxa"/>
            <w:shd w:val="clear" w:color="auto" w:fill="auto"/>
            <w:vAlign w:val="center"/>
          </w:tcPr>
          <w:p w:rsidR="00BE3BE3" w:rsidRPr="003032D8" w:rsidRDefault="00BE3BE3" w:rsidP="00193EEB">
            <w:pPr>
              <w:spacing w:after="0" w:line="240" w:lineRule="auto"/>
              <w:ind w:left="-250"/>
              <w:jc w:val="center"/>
              <w:rPr>
                <w:rFonts w:ascii="TitilliumText25L" w:hAnsi="TitilliumText25L" w:cs="Arial"/>
                <w:b/>
              </w:rPr>
            </w:pPr>
            <w:r w:rsidRPr="003032D8">
              <w:rPr>
                <w:rFonts w:ascii="TitilliumText25L" w:hAnsi="TitilliumText25L" w:cs="Arial"/>
                <w:b/>
              </w:rPr>
              <w:t>Date</w:t>
            </w:r>
          </w:p>
        </w:tc>
        <w:tc>
          <w:tcPr>
            <w:tcW w:w="2977" w:type="dxa"/>
            <w:shd w:val="clear" w:color="auto" w:fill="auto"/>
            <w:vAlign w:val="center"/>
          </w:tcPr>
          <w:p w:rsidR="00BE3BE3" w:rsidRPr="003032D8" w:rsidRDefault="00BE3BE3" w:rsidP="00193EEB">
            <w:pPr>
              <w:spacing w:after="0" w:line="240" w:lineRule="auto"/>
              <w:jc w:val="center"/>
              <w:rPr>
                <w:rFonts w:ascii="TitilliumText25L" w:hAnsi="TitilliumText25L" w:cs="Arial"/>
                <w:b/>
              </w:rPr>
            </w:pPr>
            <w:r w:rsidRPr="003032D8">
              <w:rPr>
                <w:rFonts w:ascii="TitilliumText25L" w:hAnsi="TitilliumText25L" w:cs="Arial"/>
                <w:b/>
              </w:rPr>
              <w:t>Nature of fault</w:t>
            </w:r>
          </w:p>
        </w:tc>
        <w:tc>
          <w:tcPr>
            <w:tcW w:w="1984" w:type="dxa"/>
            <w:shd w:val="clear" w:color="auto" w:fill="auto"/>
            <w:vAlign w:val="center"/>
          </w:tcPr>
          <w:p w:rsidR="00BE3BE3" w:rsidRPr="003032D8" w:rsidRDefault="00BE3BE3" w:rsidP="00193EEB">
            <w:pPr>
              <w:spacing w:after="0" w:line="240" w:lineRule="auto"/>
              <w:jc w:val="center"/>
              <w:rPr>
                <w:rFonts w:ascii="TitilliumText25L" w:hAnsi="TitilliumText25L" w:cs="Arial"/>
                <w:b/>
              </w:rPr>
            </w:pPr>
            <w:r w:rsidRPr="003032D8">
              <w:rPr>
                <w:rFonts w:ascii="TitilliumText25L" w:hAnsi="TitilliumText25L" w:cs="Arial"/>
                <w:b/>
              </w:rPr>
              <w:t>Manufacturer contacted (Y/N)</w:t>
            </w:r>
          </w:p>
        </w:tc>
        <w:tc>
          <w:tcPr>
            <w:tcW w:w="2268" w:type="dxa"/>
            <w:shd w:val="clear" w:color="auto" w:fill="auto"/>
            <w:vAlign w:val="center"/>
          </w:tcPr>
          <w:p w:rsidR="00BE3BE3" w:rsidRPr="003032D8" w:rsidRDefault="00BE3BE3" w:rsidP="00193EEB">
            <w:pPr>
              <w:spacing w:after="0" w:line="240" w:lineRule="auto"/>
              <w:jc w:val="center"/>
              <w:rPr>
                <w:rFonts w:ascii="TitilliumText25L" w:hAnsi="TitilliumText25L" w:cs="Arial"/>
                <w:b/>
              </w:rPr>
            </w:pPr>
            <w:r w:rsidRPr="003032D8">
              <w:rPr>
                <w:rFonts w:ascii="TitilliumText25L" w:hAnsi="TitilliumText25L" w:cs="Arial"/>
                <w:b/>
              </w:rPr>
              <w:t>Corrective action</w:t>
            </w:r>
          </w:p>
        </w:tc>
        <w:tc>
          <w:tcPr>
            <w:tcW w:w="1559" w:type="dxa"/>
            <w:shd w:val="clear" w:color="auto" w:fill="auto"/>
            <w:vAlign w:val="center"/>
          </w:tcPr>
          <w:p w:rsidR="00BE3BE3" w:rsidRPr="003032D8" w:rsidRDefault="00BE3BE3" w:rsidP="00193EEB">
            <w:pPr>
              <w:spacing w:after="0" w:line="240" w:lineRule="auto"/>
              <w:jc w:val="center"/>
              <w:rPr>
                <w:rFonts w:ascii="TitilliumText25L" w:hAnsi="TitilliumText25L" w:cs="Arial"/>
                <w:b/>
              </w:rPr>
            </w:pPr>
            <w:r w:rsidRPr="003032D8">
              <w:rPr>
                <w:rFonts w:ascii="TitilliumText25L" w:hAnsi="TitilliumText25L" w:cs="Arial"/>
                <w:b/>
              </w:rPr>
              <w:t>Signature</w:t>
            </w:r>
          </w:p>
        </w:tc>
      </w:tr>
      <w:tr w:rsidR="00492A10" w:rsidRPr="003032D8" w:rsidTr="00193EEB">
        <w:trPr>
          <w:trHeight w:val="844"/>
        </w:trPr>
        <w:tc>
          <w:tcPr>
            <w:tcW w:w="1418" w:type="dxa"/>
            <w:shd w:val="clear" w:color="auto" w:fill="auto"/>
          </w:tcPr>
          <w:p w:rsidR="00BE3BE3" w:rsidRPr="003032D8" w:rsidRDefault="00BE3BE3" w:rsidP="00193EEB">
            <w:pPr>
              <w:spacing w:after="0" w:line="240" w:lineRule="auto"/>
              <w:rPr>
                <w:rFonts w:ascii="TitilliumText25L" w:hAnsi="TitilliumText25L" w:cs="Arial"/>
                <w:b/>
              </w:rPr>
            </w:pPr>
          </w:p>
        </w:tc>
        <w:tc>
          <w:tcPr>
            <w:tcW w:w="2977" w:type="dxa"/>
            <w:shd w:val="clear" w:color="auto" w:fill="auto"/>
          </w:tcPr>
          <w:p w:rsidR="00BE3BE3" w:rsidRPr="003032D8" w:rsidRDefault="00BE3BE3" w:rsidP="00193EEB">
            <w:pPr>
              <w:spacing w:after="0" w:line="240" w:lineRule="auto"/>
              <w:rPr>
                <w:rFonts w:ascii="TitilliumText25L" w:hAnsi="TitilliumText25L" w:cs="Arial"/>
                <w:b/>
              </w:rPr>
            </w:pPr>
          </w:p>
        </w:tc>
        <w:tc>
          <w:tcPr>
            <w:tcW w:w="1984" w:type="dxa"/>
            <w:shd w:val="clear" w:color="auto" w:fill="auto"/>
          </w:tcPr>
          <w:p w:rsidR="00BE3BE3" w:rsidRPr="003032D8" w:rsidRDefault="00BE3BE3" w:rsidP="00193EEB">
            <w:pPr>
              <w:spacing w:after="0" w:line="240" w:lineRule="auto"/>
              <w:rPr>
                <w:rFonts w:ascii="TitilliumText25L" w:hAnsi="TitilliumText25L" w:cs="Arial"/>
                <w:b/>
              </w:rPr>
            </w:pPr>
          </w:p>
        </w:tc>
        <w:tc>
          <w:tcPr>
            <w:tcW w:w="2268" w:type="dxa"/>
            <w:shd w:val="clear" w:color="auto" w:fill="auto"/>
          </w:tcPr>
          <w:p w:rsidR="00BE3BE3" w:rsidRPr="003032D8" w:rsidRDefault="00BE3BE3" w:rsidP="00193EEB">
            <w:pPr>
              <w:spacing w:after="0" w:line="240" w:lineRule="auto"/>
              <w:rPr>
                <w:rFonts w:ascii="TitilliumText25L" w:hAnsi="TitilliumText25L" w:cs="Arial"/>
                <w:b/>
              </w:rPr>
            </w:pPr>
          </w:p>
        </w:tc>
        <w:tc>
          <w:tcPr>
            <w:tcW w:w="1559" w:type="dxa"/>
            <w:shd w:val="clear" w:color="auto" w:fill="auto"/>
          </w:tcPr>
          <w:p w:rsidR="00BE3BE3" w:rsidRPr="003032D8" w:rsidRDefault="00BE3BE3" w:rsidP="00193EEB">
            <w:pPr>
              <w:spacing w:after="0" w:line="240" w:lineRule="auto"/>
              <w:rPr>
                <w:rFonts w:ascii="TitilliumText25L" w:hAnsi="TitilliumText25L" w:cs="Arial"/>
                <w:b/>
              </w:rPr>
            </w:pPr>
          </w:p>
        </w:tc>
      </w:tr>
      <w:tr w:rsidR="00492A10" w:rsidRPr="003032D8" w:rsidTr="00193EEB">
        <w:trPr>
          <w:trHeight w:val="780"/>
        </w:trPr>
        <w:tc>
          <w:tcPr>
            <w:tcW w:w="1418" w:type="dxa"/>
            <w:shd w:val="clear" w:color="auto" w:fill="auto"/>
          </w:tcPr>
          <w:p w:rsidR="00BE3BE3" w:rsidRPr="003032D8" w:rsidRDefault="00BE3BE3" w:rsidP="00193EEB">
            <w:pPr>
              <w:spacing w:after="0" w:line="240" w:lineRule="auto"/>
              <w:rPr>
                <w:rFonts w:ascii="TitilliumText25L" w:hAnsi="TitilliumText25L" w:cs="Arial"/>
                <w:b/>
              </w:rPr>
            </w:pPr>
          </w:p>
        </w:tc>
        <w:tc>
          <w:tcPr>
            <w:tcW w:w="2977" w:type="dxa"/>
            <w:shd w:val="clear" w:color="auto" w:fill="auto"/>
          </w:tcPr>
          <w:p w:rsidR="00BE3BE3" w:rsidRPr="003032D8" w:rsidRDefault="00BE3BE3" w:rsidP="00193EEB">
            <w:pPr>
              <w:spacing w:after="0" w:line="240" w:lineRule="auto"/>
              <w:rPr>
                <w:rFonts w:ascii="TitilliumText25L" w:hAnsi="TitilliumText25L" w:cs="Arial"/>
                <w:b/>
              </w:rPr>
            </w:pPr>
          </w:p>
        </w:tc>
        <w:tc>
          <w:tcPr>
            <w:tcW w:w="1984" w:type="dxa"/>
            <w:shd w:val="clear" w:color="auto" w:fill="auto"/>
          </w:tcPr>
          <w:p w:rsidR="00BE3BE3" w:rsidRPr="003032D8" w:rsidRDefault="00BE3BE3" w:rsidP="00193EEB">
            <w:pPr>
              <w:spacing w:after="0" w:line="240" w:lineRule="auto"/>
              <w:rPr>
                <w:rFonts w:ascii="TitilliumText25L" w:hAnsi="TitilliumText25L" w:cs="Arial"/>
                <w:b/>
              </w:rPr>
            </w:pPr>
          </w:p>
        </w:tc>
        <w:tc>
          <w:tcPr>
            <w:tcW w:w="2268" w:type="dxa"/>
            <w:shd w:val="clear" w:color="auto" w:fill="auto"/>
          </w:tcPr>
          <w:p w:rsidR="00BE3BE3" w:rsidRPr="003032D8" w:rsidRDefault="00BE3BE3" w:rsidP="00193EEB">
            <w:pPr>
              <w:spacing w:after="0" w:line="240" w:lineRule="auto"/>
              <w:rPr>
                <w:rFonts w:ascii="TitilliumText25L" w:hAnsi="TitilliumText25L" w:cs="Arial"/>
                <w:b/>
              </w:rPr>
            </w:pPr>
          </w:p>
        </w:tc>
        <w:tc>
          <w:tcPr>
            <w:tcW w:w="1559" w:type="dxa"/>
            <w:shd w:val="clear" w:color="auto" w:fill="auto"/>
          </w:tcPr>
          <w:p w:rsidR="00BE3BE3" w:rsidRPr="003032D8" w:rsidRDefault="00BE3BE3" w:rsidP="00193EEB">
            <w:pPr>
              <w:spacing w:after="0" w:line="240" w:lineRule="auto"/>
              <w:rPr>
                <w:rFonts w:ascii="TitilliumText25L" w:hAnsi="TitilliumText25L" w:cs="Arial"/>
                <w:b/>
              </w:rPr>
            </w:pPr>
          </w:p>
        </w:tc>
      </w:tr>
      <w:tr w:rsidR="00492A10" w:rsidRPr="003032D8" w:rsidTr="00193EEB">
        <w:trPr>
          <w:trHeight w:val="820"/>
        </w:trPr>
        <w:tc>
          <w:tcPr>
            <w:tcW w:w="1418" w:type="dxa"/>
            <w:shd w:val="clear" w:color="auto" w:fill="auto"/>
          </w:tcPr>
          <w:p w:rsidR="00BE3BE3" w:rsidRPr="003032D8" w:rsidRDefault="00BE3BE3" w:rsidP="00193EEB">
            <w:pPr>
              <w:spacing w:after="0" w:line="240" w:lineRule="auto"/>
              <w:rPr>
                <w:rFonts w:ascii="TitilliumText25L" w:hAnsi="TitilliumText25L" w:cs="Arial"/>
                <w:b/>
              </w:rPr>
            </w:pPr>
          </w:p>
        </w:tc>
        <w:tc>
          <w:tcPr>
            <w:tcW w:w="2977" w:type="dxa"/>
            <w:shd w:val="clear" w:color="auto" w:fill="auto"/>
          </w:tcPr>
          <w:p w:rsidR="00BE3BE3" w:rsidRPr="003032D8" w:rsidRDefault="00BE3BE3" w:rsidP="00193EEB">
            <w:pPr>
              <w:spacing w:after="0" w:line="240" w:lineRule="auto"/>
              <w:rPr>
                <w:rFonts w:ascii="TitilliumText25L" w:hAnsi="TitilliumText25L" w:cs="Arial"/>
                <w:b/>
              </w:rPr>
            </w:pPr>
          </w:p>
        </w:tc>
        <w:tc>
          <w:tcPr>
            <w:tcW w:w="1984" w:type="dxa"/>
            <w:shd w:val="clear" w:color="auto" w:fill="auto"/>
          </w:tcPr>
          <w:p w:rsidR="00BE3BE3" w:rsidRPr="003032D8" w:rsidRDefault="00BE3BE3" w:rsidP="00193EEB">
            <w:pPr>
              <w:spacing w:after="0" w:line="240" w:lineRule="auto"/>
              <w:rPr>
                <w:rFonts w:ascii="TitilliumText25L" w:hAnsi="TitilliumText25L" w:cs="Arial"/>
                <w:b/>
              </w:rPr>
            </w:pPr>
          </w:p>
        </w:tc>
        <w:tc>
          <w:tcPr>
            <w:tcW w:w="2268" w:type="dxa"/>
            <w:shd w:val="clear" w:color="auto" w:fill="auto"/>
          </w:tcPr>
          <w:p w:rsidR="00BE3BE3" w:rsidRPr="003032D8" w:rsidRDefault="00BE3BE3" w:rsidP="00193EEB">
            <w:pPr>
              <w:spacing w:after="0" w:line="240" w:lineRule="auto"/>
              <w:rPr>
                <w:rFonts w:ascii="TitilliumText25L" w:hAnsi="TitilliumText25L" w:cs="Arial"/>
                <w:b/>
              </w:rPr>
            </w:pPr>
          </w:p>
        </w:tc>
        <w:tc>
          <w:tcPr>
            <w:tcW w:w="1559" w:type="dxa"/>
            <w:shd w:val="clear" w:color="auto" w:fill="auto"/>
          </w:tcPr>
          <w:p w:rsidR="00BE3BE3" w:rsidRPr="003032D8" w:rsidRDefault="00BE3BE3" w:rsidP="00193EEB">
            <w:pPr>
              <w:spacing w:after="0" w:line="240" w:lineRule="auto"/>
              <w:rPr>
                <w:rFonts w:ascii="TitilliumText25L" w:hAnsi="TitilliumText25L" w:cs="Arial"/>
                <w:b/>
              </w:rPr>
            </w:pPr>
          </w:p>
        </w:tc>
      </w:tr>
      <w:tr w:rsidR="00492A10" w:rsidRPr="003032D8" w:rsidTr="00193EEB">
        <w:trPr>
          <w:trHeight w:val="830"/>
        </w:trPr>
        <w:tc>
          <w:tcPr>
            <w:tcW w:w="1418" w:type="dxa"/>
            <w:shd w:val="clear" w:color="auto" w:fill="auto"/>
          </w:tcPr>
          <w:p w:rsidR="00BE3BE3" w:rsidRPr="003032D8" w:rsidRDefault="00BE3BE3" w:rsidP="00193EEB">
            <w:pPr>
              <w:spacing w:after="0" w:line="240" w:lineRule="auto"/>
              <w:rPr>
                <w:rFonts w:ascii="TitilliumText25L" w:hAnsi="TitilliumText25L" w:cs="Arial"/>
                <w:b/>
              </w:rPr>
            </w:pPr>
          </w:p>
        </w:tc>
        <w:tc>
          <w:tcPr>
            <w:tcW w:w="2977" w:type="dxa"/>
            <w:shd w:val="clear" w:color="auto" w:fill="auto"/>
          </w:tcPr>
          <w:p w:rsidR="00BE3BE3" w:rsidRPr="003032D8" w:rsidRDefault="00BE3BE3" w:rsidP="00193EEB">
            <w:pPr>
              <w:spacing w:after="0" w:line="240" w:lineRule="auto"/>
              <w:rPr>
                <w:rFonts w:ascii="TitilliumText25L" w:hAnsi="TitilliumText25L" w:cs="Arial"/>
                <w:b/>
              </w:rPr>
            </w:pPr>
          </w:p>
        </w:tc>
        <w:tc>
          <w:tcPr>
            <w:tcW w:w="1984" w:type="dxa"/>
            <w:shd w:val="clear" w:color="auto" w:fill="auto"/>
          </w:tcPr>
          <w:p w:rsidR="00BE3BE3" w:rsidRPr="003032D8" w:rsidRDefault="00BE3BE3" w:rsidP="00193EEB">
            <w:pPr>
              <w:spacing w:after="0" w:line="240" w:lineRule="auto"/>
              <w:rPr>
                <w:rFonts w:ascii="TitilliumText25L" w:hAnsi="TitilliumText25L" w:cs="Arial"/>
                <w:b/>
              </w:rPr>
            </w:pPr>
          </w:p>
        </w:tc>
        <w:tc>
          <w:tcPr>
            <w:tcW w:w="2268" w:type="dxa"/>
            <w:shd w:val="clear" w:color="auto" w:fill="auto"/>
          </w:tcPr>
          <w:p w:rsidR="00BE3BE3" w:rsidRPr="003032D8" w:rsidRDefault="00BE3BE3" w:rsidP="00193EEB">
            <w:pPr>
              <w:spacing w:after="0" w:line="240" w:lineRule="auto"/>
              <w:rPr>
                <w:rFonts w:ascii="TitilliumText25L" w:hAnsi="TitilliumText25L" w:cs="Arial"/>
                <w:b/>
              </w:rPr>
            </w:pPr>
          </w:p>
        </w:tc>
        <w:tc>
          <w:tcPr>
            <w:tcW w:w="1559" w:type="dxa"/>
            <w:shd w:val="clear" w:color="auto" w:fill="auto"/>
          </w:tcPr>
          <w:p w:rsidR="00BE3BE3" w:rsidRPr="003032D8" w:rsidRDefault="00BE3BE3" w:rsidP="00193EEB">
            <w:pPr>
              <w:spacing w:after="0" w:line="240" w:lineRule="auto"/>
              <w:rPr>
                <w:rFonts w:ascii="TitilliumText25L" w:hAnsi="TitilliumText25L" w:cs="Arial"/>
                <w:b/>
              </w:rPr>
            </w:pPr>
          </w:p>
        </w:tc>
      </w:tr>
      <w:tr w:rsidR="00492A10" w:rsidRPr="003032D8" w:rsidTr="00193EEB">
        <w:trPr>
          <w:trHeight w:val="816"/>
        </w:trPr>
        <w:tc>
          <w:tcPr>
            <w:tcW w:w="1418" w:type="dxa"/>
            <w:shd w:val="clear" w:color="auto" w:fill="auto"/>
          </w:tcPr>
          <w:p w:rsidR="00BE3BE3" w:rsidRPr="003032D8" w:rsidRDefault="00BE3BE3" w:rsidP="00193EEB">
            <w:pPr>
              <w:spacing w:after="0" w:line="240" w:lineRule="auto"/>
              <w:rPr>
                <w:rFonts w:ascii="TitilliumText25L" w:hAnsi="TitilliumText25L" w:cs="Arial"/>
                <w:b/>
              </w:rPr>
            </w:pPr>
          </w:p>
        </w:tc>
        <w:tc>
          <w:tcPr>
            <w:tcW w:w="2977" w:type="dxa"/>
            <w:shd w:val="clear" w:color="auto" w:fill="auto"/>
          </w:tcPr>
          <w:p w:rsidR="00BE3BE3" w:rsidRPr="003032D8" w:rsidRDefault="00BE3BE3" w:rsidP="00193EEB">
            <w:pPr>
              <w:spacing w:after="0" w:line="240" w:lineRule="auto"/>
              <w:rPr>
                <w:rFonts w:ascii="TitilliumText25L" w:hAnsi="TitilliumText25L" w:cs="Arial"/>
                <w:b/>
              </w:rPr>
            </w:pPr>
          </w:p>
        </w:tc>
        <w:tc>
          <w:tcPr>
            <w:tcW w:w="1984" w:type="dxa"/>
            <w:shd w:val="clear" w:color="auto" w:fill="auto"/>
          </w:tcPr>
          <w:p w:rsidR="00BE3BE3" w:rsidRPr="003032D8" w:rsidRDefault="00BE3BE3" w:rsidP="00193EEB">
            <w:pPr>
              <w:spacing w:after="0" w:line="240" w:lineRule="auto"/>
              <w:rPr>
                <w:rFonts w:ascii="TitilliumText25L" w:hAnsi="TitilliumText25L" w:cs="Arial"/>
                <w:b/>
              </w:rPr>
            </w:pPr>
          </w:p>
        </w:tc>
        <w:tc>
          <w:tcPr>
            <w:tcW w:w="2268" w:type="dxa"/>
            <w:shd w:val="clear" w:color="auto" w:fill="auto"/>
          </w:tcPr>
          <w:p w:rsidR="00BE3BE3" w:rsidRPr="003032D8" w:rsidRDefault="00BE3BE3" w:rsidP="00193EEB">
            <w:pPr>
              <w:spacing w:after="0" w:line="240" w:lineRule="auto"/>
              <w:rPr>
                <w:rFonts w:ascii="TitilliumText25L" w:hAnsi="TitilliumText25L" w:cs="Arial"/>
                <w:b/>
              </w:rPr>
            </w:pPr>
          </w:p>
        </w:tc>
        <w:tc>
          <w:tcPr>
            <w:tcW w:w="1559" w:type="dxa"/>
            <w:shd w:val="clear" w:color="auto" w:fill="auto"/>
          </w:tcPr>
          <w:p w:rsidR="00BE3BE3" w:rsidRPr="003032D8" w:rsidRDefault="00BE3BE3" w:rsidP="00193EEB">
            <w:pPr>
              <w:spacing w:after="0" w:line="240" w:lineRule="auto"/>
              <w:rPr>
                <w:rFonts w:ascii="TitilliumText25L" w:hAnsi="TitilliumText25L" w:cs="Arial"/>
                <w:b/>
              </w:rPr>
            </w:pPr>
          </w:p>
        </w:tc>
      </w:tr>
      <w:tr w:rsidR="00492A10" w:rsidRPr="003032D8" w:rsidTr="00193EEB">
        <w:trPr>
          <w:trHeight w:val="828"/>
        </w:trPr>
        <w:tc>
          <w:tcPr>
            <w:tcW w:w="1418" w:type="dxa"/>
            <w:shd w:val="clear" w:color="auto" w:fill="auto"/>
          </w:tcPr>
          <w:p w:rsidR="00BE3BE3" w:rsidRPr="003032D8" w:rsidRDefault="00BE3BE3" w:rsidP="00193EEB">
            <w:pPr>
              <w:spacing w:after="0" w:line="240" w:lineRule="auto"/>
              <w:rPr>
                <w:rFonts w:ascii="TitilliumText25L" w:hAnsi="TitilliumText25L" w:cs="Arial"/>
                <w:b/>
              </w:rPr>
            </w:pPr>
          </w:p>
        </w:tc>
        <w:tc>
          <w:tcPr>
            <w:tcW w:w="2977" w:type="dxa"/>
            <w:shd w:val="clear" w:color="auto" w:fill="auto"/>
          </w:tcPr>
          <w:p w:rsidR="00BE3BE3" w:rsidRPr="003032D8" w:rsidRDefault="00BE3BE3" w:rsidP="00193EEB">
            <w:pPr>
              <w:spacing w:after="0" w:line="240" w:lineRule="auto"/>
              <w:rPr>
                <w:rFonts w:ascii="TitilliumText25L" w:hAnsi="TitilliumText25L" w:cs="Arial"/>
                <w:b/>
              </w:rPr>
            </w:pPr>
          </w:p>
        </w:tc>
        <w:tc>
          <w:tcPr>
            <w:tcW w:w="1984" w:type="dxa"/>
            <w:shd w:val="clear" w:color="auto" w:fill="auto"/>
          </w:tcPr>
          <w:p w:rsidR="00BE3BE3" w:rsidRPr="003032D8" w:rsidRDefault="00BE3BE3" w:rsidP="00193EEB">
            <w:pPr>
              <w:spacing w:after="0" w:line="240" w:lineRule="auto"/>
              <w:rPr>
                <w:rFonts w:ascii="TitilliumText25L" w:hAnsi="TitilliumText25L" w:cs="Arial"/>
                <w:b/>
              </w:rPr>
            </w:pPr>
          </w:p>
        </w:tc>
        <w:tc>
          <w:tcPr>
            <w:tcW w:w="2268" w:type="dxa"/>
            <w:shd w:val="clear" w:color="auto" w:fill="auto"/>
          </w:tcPr>
          <w:p w:rsidR="00BE3BE3" w:rsidRPr="003032D8" w:rsidRDefault="00BE3BE3" w:rsidP="00193EEB">
            <w:pPr>
              <w:spacing w:after="0" w:line="240" w:lineRule="auto"/>
              <w:rPr>
                <w:rFonts w:ascii="TitilliumText25L" w:hAnsi="TitilliumText25L" w:cs="Arial"/>
                <w:b/>
              </w:rPr>
            </w:pPr>
          </w:p>
        </w:tc>
        <w:tc>
          <w:tcPr>
            <w:tcW w:w="1559" w:type="dxa"/>
            <w:shd w:val="clear" w:color="auto" w:fill="auto"/>
          </w:tcPr>
          <w:p w:rsidR="00BE3BE3" w:rsidRPr="003032D8" w:rsidRDefault="00BE3BE3" w:rsidP="00193EEB">
            <w:pPr>
              <w:spacing w:after="0" w:line="240" w:lineRule="auto"/>
              <w:rPr>
                <w:rFonts w:ascii="TitilliumText25L" w:hAnsi="TitilliumText25L" w:cs="Arial"/>
                <w:b/>
              </w:rPr>
            </w:pPr>
          </w:p>
        </w:tc>
      </w:tr>
    </w:tbl>
    <w:p w:rsidR="00BE3BE3" w:rsidRPr="003032D8" w:rsidRDefault="00BE3BE3" w:rsidP="00BE3BE3">
      <w:pPr>
        <w:pStyle w:val="Heading2"/>
        <w:jc w:val="both"/>
        <w:rPr>
          <w:rFonts w:ascii="TitilliumText25L" w:hAnsi="TitilliumText25L"/>
        </w:rPr>
        <w:sectPr w:rsidR="00BE3BE3" w:rsidRPr="003032D8" w:rsidSect="00E7119A">
          <w:pgSz w:w="11906" w:h="16838" w:code="9"/>
          <w:pgMar w:top="1440" w:right="1797" w:bottom="1440" w:left="1797" w:header="720" w:footer="329" w:gutter="0"/>
          <w:pgNumType w:start="1"/>
          <w:cols w:space="720"/>
          <w:docGrid w:linePitch="299"/>
        </w:sectPr>
      </w:pPr>
      <w:bookmarkStart w:id="127" w:name="_Appendix_XI"/>
      <w:bookmarkEnd w:id="127"/>
    </w:p>
    <w:p w:rsidR="00BE3BE3" w:rsidRPr="003032D8" w:rsidRDefault="00BE3BE3" w:rsidP="00BE3BE3">
      <w:pPr>
        <w:pStyle w:val="Heading2"/>
        <w:jc w:val="both"/>
        <w:rPr>
          <w:rFonts w:ascii="TitilliumText25L" w:hAnsi="TitilliumText25L"/>
        </w:rPr>
      </w:pPr>
      <w:bookmarkStart w:id="128" w:name="_Appendix_XI_1"/>
      <w:bookmarkStart w:id="129" w:name="_Toc351386725"/>
      <w:bookmarkStart w:id="130" w:name="_Toc366850121"/>
      <w:bookmarkEnd w:id="128"/>
      <w:r w:rsidRPr="003032D8">
        <w:rPr>
          <w:rFonts w:ascii="TitilliumText25L" w:hAnsi="TitilliumText25L"/>
        </w:rPr>
        <w:lastRenderedPageBreak/>
        <w:t xml:space="preserve">Appendix </w:t>
      </w:r>
      <w:bookmarkEnd w:id="129"/>
      <w:r w:rsidRPr="003032D8">
        <w:rPr>
          <w:rFonts w:ascii="TitilliumText25L" w:hAnsi="TitilliumText25L"/>
        </w:rPr>
        <w:t>XI</w:t>
      </w:r>
      <w:bookmarkEnd w:id="130"/>
    </w:p>
    <w:p w:rsidR="00BE3BE3" w:rsidRPr="003032D8" w:rsidRDefault="00BE3BE3" w:rsidP="00BE3BE3">
      <w:pPr>
        <w:rPr>
          <w:rStyle w:val="Heading3Char"/>
          <w:rFonts w:ascii="TitilliumText25L" w:hAnsi="TitilliumText25L"/>
        </w:rPr>
      </w:pPr>
      <w:bookmarkStart w:id="131" w:name="_Toc351386726"/>
      <w:bookmarkStart w:id="132" w:name="_Toc366850122"/>
      <w:r w:rsidRPr="003032D8">
        <w:rPr>
          <w:rStyle w:val="Heading3Char"/>
          <w:rFonts w:ascii="TitilliumText25L" w:hAnsi="TitilliumText25L"/>
        </w:rPr>
        <w:t>Patient material “About Patient Blood Management</w:t>
      </w:r>
      <w:bookmarkEnd w:id="131"/>
      <w:r w:rsidRPr="003032D8">
        <w:rPr>
          <w:rStyle w:val="Heading3Char"/>
          <w:rFonts w:ascii="TitilliumText25L" w:hAnsi="TitilliumText25L"/>
        </w:rPr>
        <w:t>”</w:t>
      </w:r>
      <w:bookmarkEnd w:id="132"/>
    </w:p>
    <w:p w:rsidR="00BE3BE3" w:rsidRPr="003032D8" w:rsidRDefault="00BE3BE3" w:rsidP="00BE3BE3">
      <w:pPr>
        <w:rPr>
          <w:rFonts w:ascii="TitilliumText25L" w:hAnsi="TitilliumText25L"/>
        </w:rPr>
      </w:pPr>
      <w:r w:rsidRPr="003032D8">
        <w:rPr>
          <w:rStyle w:val="Heading3Char"/>
          <w:rFonts w:ascii="TitilliumText25L" w:hAnsi="TitilliumText25L"/>
        </w:rPr>
        <w:t xml:space="preserve"> </w:t>
      </w:r>
      <w:hyperlink r:id="rId27" w:history="1">
        <w:r w:rsidRPr="003032D8">
          <w:rPr>
            <w:rStyle w:val="Hyperlink"/>
            <w:rFonts w:ascii="TitilliumText25L" w:hAnsi="TitilliumText25L"/>
          </w:rPr>
          <w:t>http://www.health.wa.gov.au/bloodmanagement/docs/fact_sheet.pdf</w:t>
        </w:r>
      </w:hyperlink>
    </w:p>
    <w:p w:rsidR="00AC547C" w:rsidRPr="003032D8" w:rsidRDefault="00A8473C">
      <w:pPr>
        <w:rPr>
          <w:rFonts w:ascii="TitilliumText25L" w:eastAsia="HYGothic-Extra" w:hAnsi="TitilliumText25L"/>
          <w:bCs/>
          <w:color w:val="1E1E1E"/>
          <w:spacing w:val="-20"/>
          <w:sz w:val="56"/>
          <w:szCs w:val="72"/>
          <w:lang w:eastAsia="en-US"/>
        </w:rPr>
      </w:pPr>
      <w:r w:rsidRPr="003032D8">
        <w:rPr>
          <w:rFonts w:ascii="TitilliumText25L" w:hAnsi="TitilliumText25L"/>
        </w:rPr>
        <w:br w:type="page"/>
      </w:r>
      <w:r w:rsidR="003032D8" w:rsidRPr="003032D8">
        <w:rPr>
          <w:noProof/>
        </w:rPr>
        <w:lastRenderedPageBreak/>
        <w:pict>
          <v:shape id="_x0000_s1042" type="#_x0000_t75" style="position:absolute;margin-left:-1in;margin-top:-73.05pt;width:602.85pt;height:847.85pt;z-index:251664384">
            <v:imagedata r:id="rId28" o:title=""/>
          </v:shape>
        </w:pict>
      </w:r>
    </w:p>
    <w:sectPr w:rsidR="00AC547C" w:rsidRPr="003032D8" w:rsidSect="00E7119A">
      <w:footerReference w:type="default" r:id="rId29"/>
      <w:pgSz w:w="11906" w:h="16838"/>
      <w:pgMar w:top="1440" w:right="1133"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40" w:rsidRDefault="00B93A40" w:rsidP="00856708">
      <w:pPr>
        <w:spacing w:after="0"/>
      </w:pPr>
      <w:r>
        <w:separator/>
      </w:r>
    </w:p>
  </w:endnote>
  <w:endnote w:type="continuationSeparator" w:id="0">
    <w:p w:rsidR="00B93A40" w:rsidRDefault="00B93A40"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tilliumText22L Lt">
    <w:panose1 w:val="00000000000000000000"/>
    <w:charset w:val="00"/>
    <w:family w:val="modern"/>
    <w:notTrueType/>
    <w:pitch w:val="variable"/>
    <w:sig w:usb0="A00000EF" w:usb1="0000004B" w:usb2="00000000" w:usb3="00000000" w:csb0="00000193" w:csb1="00000000"/>
  </w:font>
  <w:font w:name="TitilliumText25L">
    <w:panose1 w:val="00000000000000000000"/>
    <w:charset w:val="00"/>
    <w:family w:val="modern"/>
    <w:notTrueType/>
    <w:pitch w:val="variable"/>
    <w:sig w:usb0="A00000EF" w:usb1="0000004B" w:usb2="00000000" w:usb3="00000000" w:csb0="00000193" w:csb1="00000000"/>
  </w:font>
  <w:font w:name="Optima">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Pr="00193EEB" w:rsidRDefault="00492A10" w:rsidP="00E10B19">
    <w:pPr>
      <w:tabs>
        <w:tab w:val="right" w:pos="8306"/>
      </w:tabs>
      <w:spacing w:before="120" w:after="0"/>
      <w:jc w:val="right"/>
      <w:rPr>
        <w:rFonts w:ascii="TitilliumText25L" w:hAnsi="TitilliumText25L"/>
        <w:sz w:val="18"/>
      </w:rPr>
    </w:pPr>
    <w:r w:rsidRPr="00193EEB">
      <w:rPr>
        <w:rFonts w:ascii="TitilliumText25L" w:hAnsi="TitilliumText25L"/>
        <w:sz w:val="18"/>
      </w:rPr>
      <w:t>Guidance for the provision of Intraoperative Cell Salvage</w:t>
    </w:r>
    <w:r w:rsidR="003032D8">
      <w:rPr>
        <w:noProof/>
      </w:rPr>
      <w:pict>
        <v:line id="Line 2" o:spid="_x0000_s2053" style="position:absolute;left:0;text-align:left;z-index:251655680;visibility:visible;mso-wrap-distance-top:-8e-5mm;mso-wrap-distance-bottom:-8e-5mm;mso-position-horizontal-relative:text;mso-position-vertical-relative:text"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S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"/>
      </w:pict>
    </w:r>
    <w:r w:rsidRPr="00193EEB">
      <w:rPr>
        <w:rFonts w:ascii="TitilliumText25L" w:hAnsi="TitilliumText25L"/>
        <w:sz w:val="18"/>
      </w:rPr>
      <w:t xml:space="preserve"> – Appendices AUS ICS Version No: 1 </w:t>
    </w:r>
  </w:p>
  <w:p w:rsidR="00492A10" w:rsidRPr="00193EEB" w:rsidRDefault="00492A10" w:rsidP="00E10B19">
    <w:pPr>
      <w:tabs>
        <w:tab w:val="right" w:pos="8306"/>
      </w:tabs>
      <w:spacing w:after="0"/>
      <w:jc w:val="right"/>
      <w:rPr>
        <w:rFonts w:ascii="TitilliumText25L" w:hAnsi="TitilliumText25L"/>
        <w:sz w:val="18"/>
      </w:rPr>
    </w:pPr>
    <w:r w:rsidRPr="00193EEB">
      <w:rPr>
        <w:rFonts w:ascii="TitilliumText25L" w:hAnsi="TitilliumText25L"/>
        <w:sz w:val="18"/>
      </w:rPr>
      <w:t>March 2014</w:t>
    </w:r>
  </w:p>
  <w:p w:rsidR="00492A10" w:rsidRDefault="00492A10" w:rsidP="00E10B19">
    <w:pPr>
      <w:tabs>
        <w:tab w:val="right" w:pos="8306"/>
      </w:tabs>
      <w:spacing w:after="0"/>
      <w:jc w:val="right"/>
    </w:pPr>
    <w:r w:rsidRPr="00193EEB">
      <w:rPr>
        <w:rFonts w:ascii="TitilliumText25L" w:hAnsi="TitilliumText25L"/>
        <w:sz w:val="18"/>
        <w:szCs w:val="18"/>
      </w:rPr>
      <w:t xml:space="preserve">Page </w:t>
    </w:r>
    <w:r w:rsidRPr="00193EEB">
      <w:rPr>
        <w:rFonts w:ascii="TitilliumText25L" w:hAnsi="TitilliumText25L"/>
        <w:sz w:val="18"/>
        <w:szCs w:val="18"/>
      </w:rPr>
      <w:fldChar w:fldCharType="begin"/>
    </w:r>
    <w:r w:rsidRPr="00193EEB">
      <w:rPr>
        <w:rFonts w:ascii="TitilliumText25L" w:hAnsi="TitilliumText25L"/>
        <w:sz w:val="18"/>
        <w:szCs w:val="18"/>
      </w:rPr>
      <w:instrText xml:space="preserve"> PAGE </w:instrText>
    </w:r>
    <w:r w:rsidRPr="00193EEB">
      <w:rPr>
        <w:rFonts w:ascii="TitilliumText25L" w:hAnsi="TitilliumText25L"/>
        <w:sz w:val="18"/>
        <w:szCs w:val="18"/>
      </w:rPr>
      <w:fldChar w:fldCharType="separate"/>
    </w:r>
    <w:r w:rsidR="003032D8">
      <w:rPr>
        <w:rFonts w:ascii="TitilliumText25L" w:hAnsi="TitilliumText25L"/>
        <w:noProof/>
        <w:sz w:val="18"/>
        <w:szCs w:val="18"/>
      </w:rPr>
      <w:t>2</w:t>
    </w:r>
    <w:r w:rsidRPr="00193EEB">
      <w:rPr>
        <w:rFonts w:ascii="TitilliumText25L" w:hAnsi="TitilliumText25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Pr="00193EEB" w:rsidRDefault="00492A10" w:rsidP="00085E9D">
    <w:pPr>
      <w:pStyle w:val="Footer"/>
      <w:jc w:val="right"/>
      <w:rPr>
        <w:rFonts w:ascii="TitilliumText25L" w:hAnsi="TitilliumText25L"/>
        <w:sz w:val="18"/>
      </w:rPr>
    </w:pPr>
    <w:r w:rsidRPr="00193EEB">
      <w:rPr>
        <w:rFonts w:ascii="TitilliumText25L" w:hAnsi="TitilliumText25L"/>
        <w:sz w:val="18"/>
      </w:rPr>
      <w:t>Guidance for the provision of Intraoperative Cell Salvage</w:t>
    </w:r>
    <w:r w:rsidR="003032D8">
      <w:rPr>
        <w:noProof/>
      </w:rPr>
      <w:pict>
        <v:line id="_x0000_s2052" style="position:absolute;left:0;text-align:left;z-index:251656704;visibility:visible;mso-wrap-distance-top:-8e-5mm;mso-wrap-distance-bottom:-8e-5mm;mso-position-horizontal-relative:text;mso-position-vertical-relative:text"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"/>
      </w:pict>
    </w:r>
    <w:r w:rsidRPr="00193EEB">
      <w:rPr>
        <w:rFonts w:ascii="TitilliumText25L" w:hAnsi="TitilliumText25L"/>
        <w:sz w:val="18"/>
      </w:rPr>
      <w:t xml:space="preserve"> – Appendices AUS ICS Version No: 1</w:t>
    </w:r>
  </w:p>
  <w:p w:rsidR="00492A10" w:rsidRPr="00193EEB" w:rsidRDefault="00492A10" w:rsidP="00085E9D">
    <w:pPr>
      <w:pStyle w:val="Footer"/>
      <w:jc w:val="right"/>
      <w:rPr>
        <w:rFonts w:ascii="TitilliumText25L" w:hAnsi="TitilliumText25L"/>
        <w:sz w:val="18"/>
      </w:rPr>
    </w:pPr>
    <w:r w:rsidRPr="00193EEB">
      <w:rPr>
        <w:rFonts w:ascii="TitilliumText25L" w:hAnsi="TitilliumText25L"/>
        <w:sz w:val="18"/>
      </w:rPr>
      <w:t xml:space="preserve"> March 2014</w:t>
    </w:r>
  </w:p>
  <w:p w:rsidR="00492A10" w:rsidRDefault="00492A10" w:rsidP="00085E9D">
    <w:pPr>
      <w:pStyle w:val="Footer"/>
      <w:jc w:val="right"/>
    </w:pPr>
    <w:r w:rsidRPr="00193EEB">
      <w:rPr>
        <w:rFonts w:ascii="TitilliumText25L" w:hAnsi="TitilliumText25L"/>
        <w:sz w:val="18"/>
        <w:szCs w:val="18"/>
      </w:rPr>
      <w:t xml:space="preserve">Page </w:t>
    </w:r>
    <w:r w:rsidRPr="00193EEB">
      <w:rPr>
        <w:rFonts w:ascii="TitilliumText25L" w:hAnsi="TitilliumText25L"/>
        <w:sz w:val="18"/>
        <w:szCs w:val="18"/>
      </w:rPr>
      <w:fldChar w:fldCharType="begin"/>
    </w:r>
    <w:r w:rsidRPr="00193EEB">
      <w:rPr>
        <w:rFonts w:ascii="TitilliumText25L" w:hAnsi="TitilliumText25L"/>
        <w:sz w:val="18"/>
        <w:szCs w:val="18"/>
      </w:rPr>
      <w:instrText xml:space="preserve"> PAGE </w:instrText>
    </w:r>
    <w:r w:rsidRPr="00193EEB">
      <w:rPr>
        <w:rFonts w:ascii="TitilliumText25L" w:hAnsi="TitilliumText25L"/>
        <w:sz w:val="18"/>
        <w:szCs w:val="18"/>
      </w:rPr>
      <w:fldChar w:fldCharType="separate"/>
    </w:r>
    <w:r w:rsidR="003032D8">
      <w:rPr>
        <w:rFonts w:ascii="TitilliumText25L" w:hAnsi="TitilliumText25L"/>
        <w:noProof/>
        <w:sz w:val="18"/>
        <w:szCs w:val="18"/>
      </w:rPr>
      <w:t>1</w:t>
    </w:r>
    <w:r w:rsidRPr="00193EEB">
      <w:rPr>
        <w:rFonts w:ascii="TitilliumText25L" w:hAnsi="TitilliumText25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Pr="00193EEB" w:rsidRDefault="00492A10" w:rsidP="00085E9D">
    <w:pPr>
      <w:pStyle w:val="Footer"/>
      <w:jc w:val="right"/>
      <w:rPr>
        <w:rFonts w:ascii="TitilliumText25L" w:hAnsi="TitilliumText25L"/>
        <w:sz w:val="18"/>
      </w:rPr>
    </w:pPr>
    <w:r w:rsidRPr="00193EEB">
      <w:rPr>
        <w:rFonts w:ascii="TitilliumText25L" w:hAnsi="TitilliumText25L"/>
        <w:sz w:val="18"/>
      </w:rPr>
      <w:t>Guidance for the provision of Intraoperative Cell Salvage</w:t>
    </w:r>
    <w:r w:rsidR="003032D8">
      <w:rPr>
        <w:noProof/>
      </w:rPr>
      <w:pict>
        <v:line id="_x0000_s2051" style="position:absolute;left:0;text-align:left;z-index:251657728;visibility:visible;mso-wrap-distance-top:-8e-5mm;mso-wrap-distance-bottom:-8e-5mm;mso-position-horizontal-relative:text;mso-position-vertical-relative:text"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rE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"/>
      </w:pict>
    </w:r>
    <w:r w:rsidRPr="00193EEB">
      <w:rPr>
        <w:rFonts w:ascii="TitilliumText25L" w:hAnsi="TitilliumText25L"/>
        <w:sz w:val="18"/>
      </w:rPr>
      <w:t xml:space="preserve"> – Appendices AUS ICS Version No: 1</w:t>
    </w:r>
  </w:p>
  <w:p w:rsidR="00492A10" w:rsidRPr="00193EEB" w:rsidRDefault="00492A10" w:rsidP="00085E9D">
    <w:pPr>
      <w:pStyle w:val="Footer"/>
      <w:tabs>
        <w:tab w:val="clear" w:pos="4513"/>
        <w:tab w:val="clear" w:pos="9026"/>
        <w:tab w:val="left" w:pos="2712"/>
      </w:tabs>
      <w:jc w:val="right"/>
      <w:rPr>
        <w:rFonts w:ascii="TitilliumText25L" w:hAnsi="TitilliumText25L"/>
        <w:sz w:val="18"/>
      </w:rPr>
    </w:pPr>
    <w:r w:rsidRPr="00193EEB">
      <w:rPr>
        <w:rFonts w:ascii="TitilliumText25L" w:hAnsi="TitilliumText25L"/>
        <w:sz w:val="18"/>
      </w:rPr>
      <w:t xml:space="preserve"> March 2014</w:t>
    </w:r>
  </w:p>
  <w:p w:rsidR="00492A10" w:rsidRDefault="00492A10" w:rsidP="00085E9D">
    <w:pPr>
      <w:pStyle w:val="Footer"/>
      <w:jc w:val="right"/>
    </w:pPr>
    <w:r w:rsidRPr="00193EEB">
      <w:rPr>
        <w:rFonts w:ascii="TitilliumText25L" w:hAnsi="TitilliumText25L"/>
        <w:sz w:val="18"/>
        <w:szCs w:val="18"/>
      </w:rPr>
      <w:t xml:space="preserve">Page </w:t>
    </w:r>
    <w:r w:rsidRPr="00193EEB">
      <w:rPr>
        <w:rFonts w:ascii="TitilliumText25L" w:hAnsi="TitilliumText25L"/>
        <w:sz w:val="18"/>
        <w:szCs w:val="18"/>
      </w:rPr>
      <w:fldChar w:fldCharType="begin"/>
    </w:r>
    <w:r w:rsidRPr="00193EEB">
      <w:rPr>
        <w:rFonts w:ascii="TitilliumText25L" w:hAnsi="TitilliumText25L"/>
        <w:sz w:val="18"/>
        <w:szCs w:val="18"/>
      </w:rPr>
      <w:instrText xml:space="preserve"> PAGE </w:instrText>
    </w:r>
    <w:r w:rsidRPr="00193EEB">
      <w:rPr>
        <w:rFonts w:ascii="TitilliumText25L" w:hAnsi="TitilliumText25L"/>
        <w:sz w:val="18"/>
        <w:szCs w:val="18"/>
      </w:rPr>
      <w:fldChar w:fldCharType="separate"/>
    </w:r>
    <w:r w:rsidR="003032D8">
      <w:rPr>
        <w:rFonts w:ascii="TitilliumText25L" w:hAnsi="TitilliumText25L"/>
        <w:noProof/>
        <w:sz w:val="18"/>
        <w:szCs w:val="18"/>
      </w:rPr>
      <w:t>24</w:t>
    </w:r>
    <w:r w:rsidRPr="00193EEB">
      <w:rPr>
        <w:rFonts w:ascii="TitilliumText25L" w:hAnsi="TitilliumText25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Pr="00193EEB" w:rsidRDefault="00492A10" w:rsidP="00E7119A">
    <w:pPr>
      <w:pStyle w:val="Footer"/>
      <w:jc w:val="right"/>
      <w:rPr>
        <w:rFonts w:ascii="TitilliumText25L" w:hAnsi="TitilliumText25L"/>
        <w:sz w:val="18"/>
      </w:rPr>
    </w:pPr>
    <w:r w:rsidRPr="00193EEB">
      <w:rPr>
        <w:rFonts w:ascii="TitilliumText25L" w:hAnsi="TitilliumText25L"/>
        <w:sz w:val="18"/>
      </w:rPr>
      <w:t>Guidance for the provision of Intraoperative Cell Salvage</w:t>
    </w:r>
    <w:r w:rsidR="003032D8">
      <w:rPr>
        <w:noProof/>
      </w:rPr>
      <w:pict>
        <v:line id="_x0000_s2050" style="position:absolute;left:0;text-align:left;z-index:251658752;visibility:visible;mso-wrap-distance-top:-8e-5mm;mso-wrap-distance-bottom:-8e-5mm;mso-position-horizontal-relative:text;mso-position-vertical-relative:text"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DVEwIAACk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"/>
      </w:pict>
    </w:r>
    <w:r w:rsidRPr="00193EEB">
      <w:rPr>
        <w:rFonts w:ascii="TitilliumText25L" w:hAnsi="TitilliumText25L"/>
        <w:sz w:val="18"/>
      </w:rPr>
      <w:t xml:space="preserve"> – Appendices AUS ICS Version No: 1</w:t>
    </w:r>
  </w:p>
  <w:p w:rsidR="00492A10" w:rsidRPr="00193EEB" w:rsidRDefault="00492A10" w:rsidP="00E7119A">
    <w:pPr>
      <w:pStyle w:val="Footer"/>
      <w:jc w:val="right"/>
      <w:rPr>
        <w:rFonts w:ascii="TitilliumText25L" w:hAnsi="TitilliumText25L"/>
        <w:sz w:val="18"/>
      </w:rPr>
    </w:pPr>
    <w:r w:rsidRPr="00193EEB">
      <w:rPr>
        <w:rFonts w:ascii="TitilliumText25L" w:hAnsi="TitilliumText25L"/>
        <w:sz w:val="18"/>
      </w:rPr>
      <w:t xml:space="preserve"> March 2014</w:t>
    </w:r>
  </w:p>
  <w:p w:rsidR="00492A10" w:rsidRDefault="00492A10" w:rsidP="00E7119A">
    <w:pPr>
      <w:pStyle w:val="Footer"/>
      <w:jc w:val="right"/>
    </w:pPr>
    <w:r w:rsidRPr="00193EEB">
      <w:rPr>
        <w:rFonts w:ascii="TitilliumText25L" w:hAnsi="TitilliumText25L"/>
        <w:sz w:val="18"/>
        <w:szCs w:val="18"/>
      </w:rPr>
      <w:t xml:space="preserve">Page </w:t>
    </w:r>
    <w:r w:rsidRPr="00193EEB">
      <w:rPr>
        <w:rFonts w:ascii="TitilliumText25L" w:hAnsi="TitilliumText25L"/>
        <w:sz w:val="18"/>
        <w:szCs w:val="18"/>
      </w:rPr>
      <w:fldChar w:fldCharType="begin"/>
    </w:r>
    <w:r w:rsidRPr="00193EEB">
      <w:rPr>
        <w:rFonts w:ascii="TitilliumText25L" w:hAnsi="TitilliumText25L"/>
        <w:sz w:val="18"/>
        <w:szCs w:val="18"/>
      </w:rPr>
      <w:instrText xml:space="preserve"> PAGE </w:instrText>
    </w:r>
    <w:r w:rsidRPr="00193EEB">
      <w:rPr>
        <w:rFonts w:ascii="TitilliumText25L" w:hAnsi="TitilliumText25L"/>
        <w:sz w:val="18"/>
        <w:szCs w:val="18"/>
      </w:rPr>
      <w:fldChar w:fldCharType="separate"/>
    </w:r>
    <w:r w:rsidR="003032D8">
      <w:rPr>
        <w:rFonts w:ascii="TitilliumText25L" w:hAnsi="TitilliumText25L"/>
        <w:noProof/>
        <w:sz w:val="18"/>
        <w:szCs w:val="18"/>
      </w:rPr>
      <w:t>1</w:t>
    </w:r>
    <w:r w:rsidRPr="00193EEB">
      <w:rPr>
        <w:rFonts w:ascii="TitilliumText25L" w:hAnsi="TitilliumText25L"/>
        <w:sz w:val="18"/>
        <w:szCs w:val="18"/>
      </w:rPr>
      <w:fldChar w:fldCharType="end"/>
    </w:r>
  </w:p>
  <w:p w:rsidR="00492A10" w:rsidRDefault="00492A10" w:rsidP="004F62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Pr="00856708" w:rsidRDefault="00492A10"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sidR="003032D8">
      <w:rPr>
        <w:noProof/>
        <w:sz w:val="20"/>
        <w:szCs w:val="20"/>
      </w:rPr>
      <w:t>2</w:t>
    </w:r>
    <w:r w:rsidRPr="0085670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40" w:rsidRDefault="00B93A40" w:rsidP="00856708">
      <w:pPr>
        <w:spacing w:after="0"/>
      </w:pPr>
      <w:r>
        <w:separator/>
      </w:r>
    </w:p>
  </w:footnote>
  <w:footnote w:type="continuationSeparator" w:id="0">
    <w:p w:rsidR="00B93A40" w:rsidRDefault="00B93A40" w:rsidP="008567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Default="003032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089" o:spid="_x0000_s2049" type="#_x0000_t136" style="position:absolute;margin-left:0;margin-top:0;width:437.15pt;height:262.2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Pr="00B73145" w:rsidRDefault="00492A10" w:rsidP="00D659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10" w:rsidRPr="00B73145" w:rsidRDefault="00492A10" w:rsidP="00D65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3DAA"/>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1E22F7"/>
    <w:multiLevelType w:val="hybridMultilevel"/>
    <w:tmpl w:val="164485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62D4E"/>
    <w:multiLevelType w:val="hybridMultilevel"/>
    <w:tmpl w:val="69B6C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A954A6"/>
    <w:multiLevelType w:val="hybridMultilevel"/>
    <w:tmpl w:val="551C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B465B1"/>
    <w:multiLevelType w:val="hybridMultilevel"/>
    <w:tmpl w:val="E3C486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7F0C10"/>
    <w:multiLevelType w:val="hybridMultilevel"/>
    <w:tmpl w:val="952C20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1272AD6"/>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F50795"/>
    <w:multiLevelType w:val="hybridMultilevel"/>
    <w:tmpl w:val="086C53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604A88"/>
    <w:multiLevelType w:val="hybridMultilevel"/>
    <w:tmpl w:val="1DE8D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7122875"/>
    <w:multiLevelType w:val="hybridMultilevel"/>
    <w:tmpl w:val="E1EA65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98F15E4"/>
    <w:multiLevelType w:val="hybridMultilevel"/>
    <w:tmpl w:val="0FCC6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A76B69"/>
    <w:multiLevelType w:val="hybridMultilevel"/>
    <w:tmpl w:val="AEC65B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381F8F"/>
    <w:multiLevelType w:val="hybridMultilevel"/>
    <w:tmpl w:val="CB505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7525C4"/>
    <w:multiLevelType w:val="hybridMultilevel"/>
    <w:tmpl w:val="0B3A26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36AD47B3"/>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1B1098"/>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9125C9"/>
    <w:multiLevelType w:val="hybridMultilevel"/>
    <w:tmpl w:val="B9708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533E7E"/>
    <w:multiLevelType w:val="hybridMultilevel"/>
    <w:tmpl w:val="447803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3E5E6E7F"/>
    <w:multiLevelType w:val="hybridMultilevel"/>
    <w:tmpl w:val="10A29B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405E0996"/>
    <w:multiLevelType w:val="hybridMultilevel"/>
    <w:tmpl w:val="C4AC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3D6629"/>
    <w:multiLevelType w:val="hybridMultilevel"/>
    <w:tmpl w:val="017E7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A6D755E"/>
    <w:multiLevelType w:val="hybridMultilevel"/>
    <w:tmpl w:val="EFDC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B405BD"/>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4A212B5"/>
    <w:multiLevelType w:val="hybridMultilevel"/>
    <w:tmpl w:val="D28E2BD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593166FC"/>
    <w:multiLevelType w:val="hybridMultilevel"/>
    <w:tmpl w:val="5554F1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180B34"/>
    <w:multiLevelType w:val="hybridMultilevel"/>
    <w:tmpl w:val="F0C2D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934F42"/>
    <w:multiLevelType w:val="hybridMultilevel"/>
    <w:tmpl w:val="B9708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74F19DC"/>
    <w:multiLevelType w:val="hybridMultilevel"/>
    <w:tmpl w:val="F8DA51F4"/>
    <w:lvl w:ilvl="0" w:tplc="D8DC2996">
      <w:numFmt w:val="bullet"/>
      <w:lvlText w:val="•"/>
      <w:lvlJc w:val="left"/>
      <w:pPr>
        <w:ind w:left="720" w:hanging="360"/>
      </w:pPr>
      <w:rPr>
        <w:rFonts w:ascii="Calibri" w:eastAsia="Dotum"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CFD7DEC"/>
    <w:multiLevelType w:val="hybridMultilevel"/>
    <w:tmpl w:val="4A1EE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nsid w:val="71616D44"/>
    <w:multiLevelType w:val="hybridMultilevel"/>
    <w:tmpl w:val="7B72689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72671AFA"/>
    <w:multiLevelType w:val="hybridMultilevel"/>
    <w:tmpl w:val="3A52C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49E26FD"/>
    <w:multiLevelType w:val="hybridMultilevel"/>
    <w:tmpl w:val="CC5A53BA"/>
    <w:lvl w:ilvl="0" w:tplc="1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EC47A1"/>
    <w:multiLevelType w:val="hybridMultilevel"/>
    <w:tmpl w:val="6C7C4B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5215668"/>
    <w:multiLevelType w:val="multilevel"/>
    <w:tmpl w:val="91FABA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765A1D49"/>
    <w:multiLevelType w:val="hybridMultilevel"/>
    <w:tmpl w:val="41C4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B04D2D"/>
    <w:multiLevelType w:val="hybridMultilevel"/>
    <w:tmpl w:val="C1346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9"/>
  </w:num>
  <w:num w:numId="4">
    <w:abstractNumId w:val="19"/>
  </w:num>
  <w:num w:numId="5">
    <w:abstractNumId w:val="18"/>
  </w:num>
  <w:num w:numId="6">
    <w:abstractNumId w:val="24"/>
  </w:num>
  <w:num w:numId="7">
    <w:abstractNumId w:val="9"/>
  </w:num>
  <w:num w:numId="8">
    <w:abstractNumId w:val="4"/>
  </w:num>
  <w:num w:numId="9">
    <w:abstractNumId w:val="11"/>
  </w:num>
  <w:num w:numId="10">
    <w:abstractNumId w:val="36"/>
  </w:num>
  <w:num w:numId="11">
    <w:abstractNumId w:val="7"/>
  </w:num>
  <w:num w:numId="12">
    <w:abstractNumId w:val="34"/>
  </w:num>
  <w:num w:numId="13">
    <w:abstractNumId w:val="17"/>
  </w:num>
  <w:num w:numId="14">
    <w:abstractNumId w:val="27"/>
  </w:num>
  <w:num w:numId="15">
    <w:abstractNumId w:val="16"/>
  </w:num>
  <w:num w:numId="16">
    <w:abstractNumId w:val="0"/>
  </w:num>
  <w:num w:numId="17">
    <w:abstractNumId w:val="6"/>
  </w:num>
  <w:num w:numId="18">
    <w:abstractNumId w:val="23"/>
  </w:num>
  <w:num w:numId="19">
    <w:abstractNumId w:val="15"/>
  </w:num>
  <w:num w:numId="20">
    <w:abstractNumId w:val="33"/>
  </w:num>
  <w:num w:numId="21">
    <w:abstractNumId w:val="5"/>
  </w:num>
  <w:num w:numId="22">
    <w:abstractNumId w:val="1"/>
  </w:num>
  <w:num w:numId="23">
    <w:abstractNumId w:val="28"/>
  </w:num>
  <w:num w:numId="24">
    <w:abstractNumId w:val="25"/>
  </w:num>
  <w:num w:numId="25">
    <w:abstractNumId w:val="13"/>
  </w:num>
  <w:num w:numId="26">
    <w:abstractNumId w:val="10"/>
  </w:num>
  <w:num w:numId="27">
    <w:abstractNumId w:val="20"/>
  </w:num>
  <w:num w:numId="28">
    <w:abstractNumId w:val="26"/>
  </w:num>
  <w:num w:numId="29">
    <w:abstractNumId w:val="12"/>
  </w:num>
  <w:num w:numId="30">
    <w:abstractNumId w:val="3"/>
  </w:num>
  <w:num w:numId="31">
    <w:abstractNumId w:val="32"/>
  </w:num>
  <w:num w:numId="32">
    <w:abstractNumId w:val="2"/>
  </w:num>
  <w:num w:numId="33">
    <w:abstractNumId w:val="35"/>
  </w:num>
  <w:num w:numId="34">
    <w:abstractNumId w:val="8"/>
  </w:num>
  <w:num w:numId="35">
    <w:abstractNumId w:val="31"/>
  </w:num>
  <w:num w:numId="36">
    <w:abstractNumId w:val="21"/>
  </w:num>
  <w:num w:numId="37">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BE3"/>
    <w:rsid w:val="00012AF9"/>
    <w:rsid w:val="00030340"/>
    <w:rsid w:val="00036EDC"/>
    <w:rsid w:val="00055259"/>
    <w:rsid w:val="00082AC2"/>
    <w:rsid w:val="00085E9D"/>
    <w:rsid w:val="000964D0"/>
    <w:rsid w:val="000A3378"/>
    <w:rsid w:val="000F10E2"/>
    <w:rsid w:val="00130AD9"/>
    <w:rsid w:val="001356A1"/>
    <w:rsid w:val="00153D50"/>
    <w:rsid w:val="00160FB4"/>
    <w:rsid w:val="00193EEB"/>
    <w:rsid w:val="001C798C"/>
    <w:rsid w:val="00216B54"/>
    <w:rsid w:val="00216DD4"/>
    <w:rsid w:val="00237364"/>
    <w:rsid w:val="002537F2"/>
    <w:rsid w:val="002615E9"/>
    <w:rsid w:val="00295CD3"/>
    <w:rsid w:val="002E2D2E"/>
    <w:rsid w:val="002E6ED1"/>
    <w:rsid w:val="003032D8"/>
    <w:rsid w:val="003078D9"/>
    <w:rsid w:val="00323CD3"/>
    <w:rsid w:val="00363C90"/>
    <w:rsid w:val="003769F3"/>
    <w:rsid w:val="00381FA3"/>
    <w:rsid w:val="0038758B"/>
    <w:rsid w:val="003A0827"/>
    <w:rsid w:val="003A27D9"/>
    <w:rsid w:val="003B769F"/>
    <w:rsid w:val="003C451C"/>
    <w:rsid w:val="003C59AE"/>
    <w:rsid w:val="003D27F1"/>
    <w:rsid w:val="003E5A08"/>
    <w:rsid w:val="00426258"/>
    <w:rsid w:val="0047544E"/>
    <w:rsid w:val="0048318A"/>
    <w:rsid w:val="00484DC9"/>
    <w:rsid w:val="00484DE8"/>
    <w:rsid w:val="00492A10"/>
    <w:rsid w:val="00492F2E"/>
    <w:rsid w:val="004A6161"/>
    <w:rsid w:val="004B32D0"/>
    <w:rsid w:val="004D4636"/>
    <w:rsid w:val="004F62F0"/>
    <w:rsid w:val="00513386"/>
    <w:rsid w:val="00535B5E"/>
    <w:rsid w:val="00540020"/>
    <w:rsid w:val="005509C7"/>
    <w:rsid w:val="005511CB"/>
    <w:rsid w:val="00553BD3"/>
    <w:rsid w:val="00580A3E"/>
    <w:rsid w:val="005C0627"/>
    <w:rsid w:val="00667F69"/>
    <w:rsid w:val="006F27B7"/>
    <w:rsid w:val="00711B98"/>
    <w:rsid w:val="00742D9A"/>
    <w:rsid w:val="00760370"/>
    <w:rsid w:val="007714EB"/>
    <w:rsid w:val="00773FF2"/>
    <w:rsid w:val="007D1C0C"/>
    <w:rsid w:val="007F0C6D"/>
    <w:rsid w:val="00845832"/>
    <w:rsid w:val="00856708"/>
    <w:rsid w:val="00866145"/>
    <w:rsid w:val="008861E3"/>
    <w:rsid w:val="00893E0A"/>
    <w:rsid w:val="0089600C"/>
    <w:rsid w:val="008A3F44"/>
    <w:rsid w:val="008F5E9A"/>
    <w:rsid w:val="00901168"/>
    <w:rsid w:val="00951B85"/>
    <w:rsid w:val="00957A3F"/>
    <w:rsid w:val="009908E6"/>
    <w:rsid w:val="009C335B"/>
    <w:rsid w:val="009C3FCC"/>
    <w:rsid w:val="009C7145"/>
    <w:rsid w:val="009D15DD"/>
    <w:rsid w:val="009E38CC"/>
    <w:rsid w:val="009E7BAF"/>
    <w:rsid w:val="00A039D0"/>
    <w:rsid w:val="00A35397"/>
    <w:rsid w:val="00A60356"/>
    <w:rsid w:val="00A64DC1"/>
    <w:rsid w:val="00A8473C"/>
    <w:rsid w:val="00A943B6"/>
    <w:rsid w:val="00AC547C"/>
    <w:rsid w:val="00AD4107"/>
    <w:rsid w:val="00AD6848"/>
    <w:rsid w:val="00AF4C5B"/>
    <w:rsid w:val="00AF5220"/>
    <w:rsid w:val="00B00E6C"/>
    <w:rsid w:val="00B12CDB"/>
    <w:rsid w:val="00B25CE7"/>
    <w:rsid w:val="00B3726E"/>
    <w:rsid w:val="00B93A40"/>
    <w:rsid w:val="00BC0418"/>
    <w:rsid w:val="00BD2CDD"/>
    <w:rsid w:val="00BE3BE3"/>
    <w:rsid w:val="00BE76FB"/>
    <w:rsid w:val="00C25F77"/>
    <w:rsid w:val="00C76298"/>
    <w:rsid w:val="00CE740D"/>
    <w:rsid w:val="00CF1FB7"/>
    <w:rsid w:val="00D122CB"/>
    <w:rsid w:val="00D234F7"/>
    <w:rsid w:val="00D53F86"/>
    <w:rsid w:val="00D54B62"/>
    <w:rsid w:val="00D65937"/>
    <w:rsid w:val="00D81D6F"/>
    <w:rsid w:val="00DB3619"/>
    <w:rsid w:val="00DF4A87"/>
    <w:rsid w:val="00E10B19"/>
    <w:rsid w:val="00E27504"/>
    <w:rsid w:val="00E37393"/>
    <w:rsid w:val="00E501F3"/>
    <w:rsid w:val="00E610CE"/>
    <w:rsid w:val="00E646FC"/>
    <w:rsid w:val="00E7119A"/>
    <w:rsid w:val="00E8727C"/>
    <w:rsid w:val="00EA0E26"/>
    <w:rsid w:val="00EA107D"/>
    <w:rsid w:val="00EA4ED4"/>
    <w:rsid w:val="00EE4C6D"/>
    <w:rsid w:val="00F42C28"/>
    <w:rsid w:val="00F45B13"/>
    <w:rsid w:val="00F60BA2"/>
    <w:rsid w:val="00F8176D"/>
    <w:rsid w:val="00FC0AA8"/>
    <w:rsid w:val="00FC28A2"/>
    <w:rsid w:val="00FC4141"/>
    <w:rsid w:val="00FC476D"/>
    <w:rsid w:val="00FF183E"/>
    <w:rsid w:val="00FF4D4B"/>
    <w:rsid w:val="00FF6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E3"/>
    <w:pPr>
      <w:spacing w:after="200" w:line="276" w:lineRule="auto"/>
    </w:pPr>
    <w:rPr>
      <w:rFonts w:eastAsia="Dotum" w:cs="Calibri"/>
      <w:sz w:val="22"/>
      <w:szCs w:val="22"/>
    </w:rPr>
  </w:style>
  <w:style w:type="paragraph" w:styleId="Heading1">
    <w:name w:val="heading 1"/>
    <w:next w:val="Normal"/>
    <w:link w:val="Heading1Char"/>
    <w:uiPriority w:val="9"/>
    <w:qFormat/>
    <w:rsid w:val="003D27F1"/>
    <w:pPr>
      <w:widowControl w:val="0"/>
      <w:spacing w:after="240" w:line="580" w:lineRule="exact"/>
      <w:ind w:right="6"/>
      <w:outlineLvl w:val="0"/>
    </w:pPr>
    <w:rPr>
      <w:rFonts w:eastAsia="HYGothic-Extra" w:cs="Calibri"/>
      <w:bCs/>
      <w:color w:val="1E1E1E"/>
      <w:spacing w:val="-20"/>
      <w:sz w:val="56"/>
      <w:szCs w:val="72"/>
      <w:lang w:eastAsia="en-US"/>
    </w:rPr>
  </w:style>
  <w:style w:type="paragraph" w:styleId="Heading2">
    <w:name w:val="heading 2"/>
    <w:next w:val="Normal"/>
    <w:link w:val="Heading2Char"/>
    <w:uiPriority w:val="9"/>
    <w:unhideWhenUsed/>
    <w:qFormat/>
    <w:rsid w:val="00B3726E"/>
    <w:pPr>
      <w:spacing w:before="360" w:after="120"/>
      <w:outlineLvl w:val="1"/>
    </w:pPr>
    <w:rPr>
      <w:rFonts w:ascii="Arial" w:eastAsia="Dotum" w:hAnsi="Arial" w:cs="Arial"/>
      <w:sz w:val="36"/>
      <w:szCs w:val="36"/>
      <w:lang w:eastAsia="en-US"/>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nhideWhenUsed/>
    <w:rsid w:val="00B3726E"/>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B3726E"/>
    <w:pPr>
      <w:keepNext/>
      <w:keepLines/>
      <w:numPr>
        <w:ilvl w:val="5"/>
        <w:numId w:val="1"/>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unhideWhenUsed/>
    <w:qFormat/>
    <w:rsid w:val="00B3726E"/>
    <w:pPr>
      <w:keepNext/>
      <w:keepLines/>
      <w:numPr>
        <w:ilvl w:val="6"/>
        <w:numId w:val="1"/>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B3726E"/>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B3726E"/>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link w:val="Heading2"/>
    <w:uiPriority w:val="9"/>
    <w:rsid w:val="00B3726E"/>
    <w:rPr>
      <w:rFonts w:ascii="Arial" w:eastAsia="Dotum" w:hAnsi="Arial" w:cs="Arial"/>
      <w:sz w:val="36"/>
      <w:szCs w:val="36"/>
    </w:rPr>
  </w:style>
  <w:style w:type="character" w:customStyle="1" w:styleId="Heading3Char">
    <w:name w:val="Heading 3 Char"/>
    <w:link w:val="Heading3"/>
    <w:uiPriority w:val="9"/>
    <w:rsid w:val="003D27F1"/>
    <w:rPr>
      <w:rFonts w:ascii="Arial" w:eastAsia="Dotum" w:hAnsi="Arial" w:cs="Arial"/>
      <w:color w:val="C60C30"/>
      <w:sz w:val="28"/>
      <w:szCs w:val="28"/>
    </w:rPr>
  </w:style>
  <w:style w:type="character" w:customStyle="1" w:styleId="Heading4Char">
    <w:name w:val="Heading 4 Char"/>
    <w:link w:val="Heading4"/>
    <w:uiPriority w:val="9"/>
    <w:rsid w:val="00B3726E"/>
    <w:rPr>
      <w:rFonts w:ascii="Arial" w:eastAsia="Dotum" w:hAnsi="Arial" w:cs="Arial"/>
      <w:b/>
    </w:rPr>
  </w:style>
  <w:style w:type="character" w:customStyle="1" w:styleId="Heading5Char">
    <w:name w:val="Heading 5 Char"/>
    <w:link w:val="Heading5"/>
    <w:uiPriority w:val="9"/>
    <w:rsid w:val="00B3726E"/>
    <w:rPr>
      <w:rFonts w:ascii="Cambria" w:eastAsia="Times New Roman" w:hAnsi="Cambria" w:cs="Times New Roman"/>
      <w:color w:val="243F60"/>
    </w:rPr>
  </w:style>
  <w:style w:type="character" w:customStyle="1" w:styleId="Heading6Char">
    <w:name w:val="Heading 6 Char"/>
    <w:link w:val="Heading6"/>
    <w:rsid w:val="00B3726E"/>
    <w:rPr>
      <w:rFonts w:ascii="Cambria" w:eastAsia="Times New Roman" w:hAnsi="Cambria" w:cs="Times New Roman"/>
      <w:i/>
      <w:iCs/>
      <w:color w:val="243F60"/>
      <w:lang w:eastAsia="en-AU"/>
    </w:rPr>
  </w:style>
  <w:style w:type="character" w:customStyle="1" w:styleId="Heading7Char">
    <w:name w:val="Heading 7 Char"/>
    <w:link w:val="Heading7"/>
    <w:uiPriority w:val="9"/>
    <w:rsid w:val="00B3726E"/>
    <w:rPr>
      <w:rFonts w:ascii="Cambria" w:eastAsia="Times New Roman" w:hAnsi="Cambria" w:cs="Times New Roman"/>
      <w:i/>
      <w:iCs/>
      <w:color w:val="404040"/>
      <w:lang w:eastAsia="en-AU"/>
    </w:rPr>
  </w:style>
  <w:style w:type="character" w:customStyle="1" w:styleId="Heading8Char">
    <w:name w:val="Heading 8 Char"/>
    <w:link w:val="Heading8"/>
    <w:uiPriority w:val="9"/>
    <w:rsid w:val="00B3726E"/>
    <w:rPr>
      <w:rFonts w:ascii="Cambria" w:eastAsia="Times New Roman" w:hAnsi="Cambria" w:cs="Times New Roman"/>
      <w:color w:val="404040"/>
      <w:sz w:val="20"/>
      <w:szCs w:val="20"/>
      <w:lang w:eastAsia="en-AU"/>
    </w:rPr>
  </w:style>
  <w:style w:type="character" w:customStyle="1" w:styleId="Heading9Char">
    <w:name w:val="Heading 9 Char"/>
    <w:link w:val="Heading9"/>
    <w:uiPriority w:val="9"/>
    <w:rsid w:val="00B3726E"/>
    <w:rPr>
      <w:rFonts w:ascii="Cambria" w:eastAsia="Times New Roman" w:hAnsi="Cambria" w:cs="Times New Roman"/>
      <w:i/>
      <w:iCs/>
      <w:color w:val="404040"/>
      <w:sz w:val="20"/>
      <w:szCs w:val="20"/>
      <w:lang w:eastAsia="en-AU"/>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39"/>
    <w:rsid w:val="00B37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36EDC"/>
    <w:pPr>
      <w:spacing w:before="3000" w:after="300"/>
      <w:contextualSpacing/>
    </w:pPr>
    <w:rPr>
      <w:rFonts w:ascii="Arial" w:eastAsia="Times New Roman" w:hAnsi="Arial" w:cs="Times New Roman"/>
      <w:caps/>
      <w:color w:val="1E1E1E"/>
      <w:spacing w:val="-22"/>
      <w:w w:val="105"/>
      <w:kern w:val="28"/>
      <w:sz w:val="80"/>
      <w:szCs w:val="80"/>
    </w:rPr>
  </w:style>
  <w:style w:type="character" w:customStyle="1" w:styleId="TitleChar">
    <w:name w:val="Title Char"/>
    <w:link w:val="Title"/>
    <w:uiPriority w:val="10"/>
    <w:rsid w:val="00036EDC"/>
    <w:rPr>
      <w:rFonts w:ascii="Arial" w:eastAsia="Times New Roman" w:hAnsi="Arial" w:cs="Times New Roman"/>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Cambria" w:eastAsia="Times New Roman" w:hAnsi="Cambria" w:cs="Times New Roman"/>
      <w:i/>
      <w:iCs/>
      <w:color w:val="C60C30"/>
      <w:spacing w:val="15"/>
      <w:sz w:val="24"/>
      <w:szCs w:val="24"/>
    </w:rPr>
  </w:style>
  <w:style w:type="character" w:customStyle="1" w:styleId="SubtitleChar">
    <w:name w:val="Subtitle Char"/>
    <w:link w:val="Subtitle"/>
    <w:uiPriority w:val="11"/>
    <w:rsid w:val="004D4636"/>
    <w:rPr>
      <w:rFonts w:ascii="Cambria" w:eastAsia="Times New Roman" w:hAnsi="Cambria" w:cs="Times New Roman"/>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link w:val="Footer"/>
    <w:uiPriority w:val="99"/>
    <w:rsid w:val="00856708"/>
    <w:rPr>
      <w:rFonts w:ascii="Calibri" w:eastAsia="Dotum" w:hAnsi="Calibri" w:cs="Calibri"/>
    </w:rPr>
  </w:style>
  <w:style w:type="paragraph" w:styleId="BodyText">
    <w:name w:val="Body Text"/>
    <w:basedOn w:val="Normal"/>
    <w:link w:val="BodyTextChar"/>
    <w:rsid w:val="00BE3BE3"/>
    <w:rPr>
      <w:rFonts w:ascii="Arial" w:hAnsi="Arial"/>
      <w:sz w:val="24"/>
    </w:rPr>
  </w:style>
  <w:style w:type="character" w:customStyle="1" w:styleId="BodyTextChar">
    <w:name w:val="Body Text Char"/>
    <w:link w:val="BodyText"/>
    <w:rsid w:val="00BE3BE3"/>
    <w:rPr>
      <w:rFonts w:ascii="Arial" w:eastAsia="Dotum" w:hAnsi="Arial" w:cs="Calibri"/>
      <w:sz w:val="24"/>
      <w:lang w:eastAsia="en-AU"/>
    </w:rPr>
  </w:style>
  <w:style w:type="paragraph" w:styleId="BodyText2">
    <w:name w:val="Body Text 2"/>
    <w:basedOn w:val="Normal"/>
    <w:link w:val="BodyText2Char"/>
    <w:rsid w:val="00BE3BE3"/>
    <w:pPr>
      <w:jc w:val="both"/>
    </w:pPr>
    <w:rPr>
      <w:rFonts w:ascii="Arial" w:hAnsi="Arial"/>
      <w:i/>
      <w:sz w:val="24"/>
    </w:rPr>
  </w:style>
  <w:style w:type="character" w:customStyle="1" w:styleId="BodyText2Char">
    <w:name w:val="Body Text 2 Char"/>
    <w:link w:val="BodyText2"/>
    <w:rsid w:val="00BE3BE3"/>
    <w:rPr>
      <w:rFonts w:ascii="Arial" w:eastAsia="Dotum" w:hAnsi="Arial" w:cs="Calibri"/>
      <w:i/>
      <w:sz w:val="24"/>
      <w:lang w:eastAsia="en-AU"/>
    </w:rPr>
  </w:style>
  <w:style w:type="paragraph" w:styleId="ListBullet">
    <w:name w:val="List Bullet"/>
    <w:basedOn w:val="Normal"/>
    <w:autoRedefine/>
    <w:rsid w:val="00BE3BE3"/>
    <w:pPr>
      <w:jc w:val="both"/>
    </w:pPr>
    <w:rPr>
      <w:rFonts w:ascii="Arial" w:hAnsi="Arial"/>
    </w:rPr>
  </w:style>
  <w:style w:type="paragraph" w:styleId="BodyText3">
    <w:name w:val="Body Text 3"/>
    <w:basedOn w:val="Normal"/>
    <w:link w:val="BodyText3Char"/>
    <w:rsid w:val="00BE3BE3"/>
    <w:pPr>
      <w:jc w:val="both"/>
    </w:pPr>
    <w:rPr>
      <w:rFonts w:ascii="Arial" w:hAnsi="Arial"/>
    </w:rPr>
  </w:style>
  <w:style w:type="character" w:customStyle="1" w:styleId="BodyText3Char">
    <w:name w:val="Body Text 3 Char"/>
    <w:link w:val="BodyText3"/>
    <w:rsid w:val="00BE3BE3"/>
    <w:rPr>
      <w:rFonts w:ascii="Arial" w:eastAsia="Dotum" w:hAnsi="Arial" w:cs="Calibri"/>
      <w:lang w:eastAsia="en-AU"/>
    </w:rPr>
  </w:style>
  <w:style w:type="paragraph" w:styleId="BodyTextIndent3">
    <w:name w:val="Body Text Indent 3"/>
    <w:basedOn w:val="Normal"/>
    <w:link w:val="BodyTextIndent3Char"/>
    <w:rsid w:val="00BE3BE3"/>
    <w:pPr>
      <w:spacing w:after="120"/>
      <w:ind w:left="283"/>
    </w:pPr>
    <w:rPr>
      <w:sz w:val="16"/>
      <w:szCs w:val="16"/>
    </w:rPr>
  </w:style>
  <w:style w:type="character" w:customStyle="1" w:styleId="BodyTextIndent3Char">
    <w:name w:val="Body Text Indent 3 Char"/>
    <w:link w:val="BodyTextIndent3"/>
    <w:rsid w:val="00BE3BE3"/>
    <w:rPr>
      <w:rFonts w:ascii="Calibri" w:eastAsia="Dotum" w:hAnsi="Calibri" w:cs="Calibri"/>
      <w:sz w:val="16"/>
      <w:szCs w:val="16"/>
      <w:lang w:eastAsia="en-AU"/>
    </w:rPr>
  </w:style>
  <w:style w:type="character" w:styleId="Hyperlink">
    <w:name w:val="Hyperlink"/>
    <w:uiPriority w:val="99"/>
    <w:rsid w:val="00BE3BE3"/>
    <w:rPr>
      <w:color w:val="0000FF"/>
      <w:u w:val="single"/>
    </w:rPr>
  </w:style>
  <w:style w:type="character" w:styleId="PageNumber">
    <w:name w:val="page number"/>
    <w:basedOn w:val="DefaultParagraphFont"/>
    <w:rsid w:val="00BE3BE3"/>
  </w:style>
  <w:style w:type="paragraph" w:styleId="BalloonText">
    <w:name w:val="Balloon Text"/>
    <w:basedOn w:val="Normal"/>
    <w:link w:val="BalloonTextChar"/>
    <w:uiPriority w:val="99"/>
    <w:semiHidden/>
    <w:rsid w:val="00BE3BE3"/>
    <w:rPr>
      <w:rFonts w:ascii="Tahoma" w:hAnsi="Tahoma" w:cs="Tahoma"/>
      <w:sz w:val="16"/>
      <w:szCs w:val="16"/>
    </w:rPr>
  </w:style>
  <w:style w:type="character" w:customStyle="1" w:styleId="BalloonTextChar">
    <w:name w:val="Balloon Text Char"/>
    <w:link w:val="BalloonText"/>
    <w:uiPriority w:val="99"/>
    <w:semiHidden/>
    <w:rsid w:val="00BE3BE3"/>
    <w:rPr>
      <w:rFonts w:ascii="Tahoma" w:eastAsia="Dotum" w:hAnsi="Tahoma" w:cs="Tahoma"/>
      <w:sz w:val="16"/>
      <w:szCs w:val="16"/>
      <w:lang w:eastAsia="en-AU"/>
    </w:rPr>
  </w:style>
  <w:style w:type="character" w:styleId="CommentReference">
    <w:name w:val="annotation reference"/>
    <w:semiHidden/>
    <w:rsid w:val="00BE3BE3"/>
    <w:rPr>
      <w:sz w:val="16"/>
      <w:szCs w:val="16"/>
    </w:rPr>
  </w:style>
  <w:style w:type="paragraph" w:styleId="CommentText">
    <w:name w:val="annotation text"/>
    <w:basedOn w:val="Normal"/>
    <w:link w:val="CommentTextChar"/>
    <w:semiHidden/>
    <w:rsid w:val="00BE3BE3"/>
  </w:style>
  <w:style w:type="character" w:customStyle="1" w:styleId="CommentTextChar">
    <w:name w:val="Comment Text Char"/>
    <w:link w:val="CommentText"/>
    <w:semiHidden/>
    <w:rsid w:val="00BE3BE3"/>
    <w:rPr>
      <w:rFonts w:ascii="Calibri" w:eastAsia="Dotum" w:hAnsi="Calibri" w:cs="Calibri"/>
      <w:lang w:eastAsia="en-AU"/>
    </w:rPr>
  </w:style>
  <w:style w:type="paragraph" w:styleId="CommentSubject">
    <w:name w:val="annotation subject"/>
    <w:basedOn w:val="CommentText"/>
    <w:next w:val="CommentText"/>
    <w:link w:val="CommentSubjectChar"/>
    <w:uiPriority w:val="99"/>
    <w:semiHidden/>
    <w:rsid w:val="00BE3BE3"/>
    <w:rPr>
      <w:b/>
      <w:bCs/>
    </w:rPr>
  </w:style>
  <w:style w:type="character" w:customStyle="1" w:styleId="CommentSubjectChar">
    <w:name w:val="Comment Subject Char"/>
    <w:link w:val="CommentSubject"/>
    <w:uiPriority w:val="99"/>
    <w:semiHidden/>
    <w:rsid w:val="00BE3BE3"/>
    <w:rPr>
      <w:rFonts w:ascii="Calibri" w:eastAsia="Dotum" w:hAnsi="Calibri" w:cs="Calibri"/>
      <w:b/>
      <w:bCs/>
      <w:lang w:eastAsia="en-AU"/>
    </w:rPr>
  </w:style>
  <w:style w:type="paragraph" w:styleId="BodyTextIndent">
    <w:name w:val="Body Text Indent"/>
    <w:basedOn w:val="Normal"/>
    <w:link w:val="BodyTextIndentChar"/>
    <w:rsid w:val="00BE3BE3"/>
    <w:pPr>
      <w:spacing w:after="120"/>
      <w:ind w:left="283"/>
    </w:pPr>
  </w:style>
  <w:style w:type="character" w:customStyle="1" w:styleId="BodyTextIndentChar">
    <w:name w:val="Body Text Indent Char"/>
    <w:link w:val="BodyTextIndent"/>
    <w:rsid w:val="00BE3BE3"/>
    <w:rPr>
      <w:rFonts w:ascii="Calibri" w:eastAsia="Dotum" w:hAnsi="Calibri" w:cs="Calibri"/>
      <w:lang w:eastAsia="en-AU"/>
    </w:rPr>
  </w:style>
  <w:style w:type="paragraph" w:styleId="BodyTextIndent2">
    <w:name w:val="Body Text Indent 2"/>
    <w:basedOn w:val="Normal"/>
    <w:link w:val="BodyTextIndent2Char"/>
    <w:rsid w:val="00BE3BE3"/>
    <w:pPr>
      <w:spacing w:after="120" w:line="480" w:lineRule="auto"/>
      <w:ind w:left="283"/>
    </w:pPr>
  </w:style>
  <w:style w:type="character" w:customStyle="1" w:styleId="BodyTextIndent2Char">
    <w:name w:val="Body Text Indent 2 Char"/>
    <w:link w:val="BodyTextIndent2"/>
    <w:rsid w:val="00BE3BE3"/>
    <w:rPr>
      <w:rFonts w:ascii="Calibri" w:eastAsia="Dotum" w:hAnsi="Calibri" w:cs="Calibri"/>
      <w:lang w:eastAsia="en-AU"/>
    </w:rPr>
  </w:style>
  <w:style w:type="character" w:styleId="Emphasis">
    <w:name w:val="Emphasis"/>
    <w:uiPriority w:val="20"/>
    <w:qFormat/>
    <w:rsid w:val="00BE3BE3"/>
    <w:rPr>
      <w:i/>
      <w:iCs/>
    </w:rPr>
  </w:style>
  <w:style w:type="character" w:styleId="Strong">
    <w:name w:val="Strong"/>
    <w:uiPriority w:val="22"/>
    <w:qFormat/>
    <w:rsid w:val="00BE3BE3"/>
    <w:rPr>
      <w:b/>
      <w:bCs/>
    </w:rPr>
  </w:style>
  <w:style w:type="character" w:styleId="FollowedHyperlink">
    <w:name w:val="FollowedHyperlink"/>
    <w:rsid w:val="00BE3BE3"/>
    <w:rPr>
      <w:color w:val="800080"/>
      <w:u w:val="single"/>
    </w:rPr>
  </w:style>
  <w:style w:type="character" w:customStyle="1" w:styleId="a">
    <w:name w:val="a"/>
    <w:basedOn w:val="DefaultParagraphFont"/>
    <w:rsid w:val="00BE3BE3"/>
  </w:style>
  <w:style w:type="paragraph" w:customStyle="1" w:styleId="Default">
    <w:name w:val="Default"/>
    <w:rsid w:val="00BE3BE3"/>
    <w:pPr>
      <w:autoSpaceDE w:val="0"/>
      <w:autoSpaceDN w:val="0"/>
      <w:adjustRightInd w:val="0"/>
    </w:pPr>
    <w:rPr>
      <w:rFonts w:ascii="Verdana" w:hAnsi="Verdana" w:cs="Verdana"/>
      <w:color w:val="000000"/>
      <w:sz w:val="24"/>
      <w:szCs w:val="24"/>
      <w:lang w:val="en-IE" w:eastAsia="en-US"/>
    </w:rPr>
  </w:style>
  <w:style w:type="paragraph" w:styleId="TOCHeading">
    <w:name w:val="TOC Heading"/>
    <w:basedOn w:val="Heading1"/>
    <w:next w:val="Normal"/>
    <w:uiPriority w:val="39"/>
    <w:unhideWhenUsed/>
    <w:qFormat/>
    <w:rsid w:val="00BE3BE3"/>
    <w:pPr>
      <w:keepNext/>
      <w:keepLines/>
      <w:widowControl/>
      <w:spacing w:before="480" w:after="0" w:line="276" w:lineRule="auto"/>
      <w:ind w:right="0"/>
      <w:outlineLvl w:val="9"/>
    </w:pPr>
    <w:rPr>
      <w:rFonts w:ascii="Cambria" w:eastAsia="Times New Roman" w:hAnsi="Cambria" w:cs="Times New Roman"/>
      <w:b/>
      <w:color w:val="365F91"/>
      <w:spacing w:val="0"/>
      <w:sz w:val="28"/>
      <w:szCs w:val="28"/>
      <w:lang w:val="en-US" w:eastAsia="ja-JP"/>
    </w:rPr>
  </w:style>
  <w:style w:type="paragraph" w:styleId="TOC1">
    <w:name w:val="toc 1"/>
    <w:basedOn w:val="Normal"/>
    <w:next w:val="Normal"/>
    <w:autoRedefine/>
    <w:uiPriority w:val="39"/>
    <w:qFormat/>
    <w:rsid w:val="00BE3BE3"/>
    <w:pPr>
      <w:tabs>
        <w:tab w:val="left" w:pos="851"/>
        <w:tab w:val="right" w:leader="dot" w:pos="8302"/>
      </w:tabs>
      <w:spacing w:after="100"/>
      <w:ind w:left="221"/>
    </w:pPr>
  </w:style>
  <w:style w:type="paragraph" w:styleId="TOC2">
    <w:name w:val="toc 2"/>
    <w:basedOn w:val="Normal"/>
    <w:next w:val="Normal"/>
    <w:autoRedefine/>
    <w:uiPriority w:val="39"/>
    <w:qFormat/>
    <w:rsid w:val="00BE3BE3"/>
    <w:pPr>
      <w:spacing w:after="100"/>
      <w:ind w:left="220"/>
    </w:pPr>
  </w:style>
  <w:style w:type="paragraph" w:styleId="TOC3">
    <w:name w:val="toc 3"/>
    <w:basedOn w:val="Normal"/>
    <w:next w:val="Normal"/>
    <w:autoRedefine/>
    <w:uiPriority w:val="39"/>
    <w:qFormat/>
    <w:rsid w:val="00BE3BE3"/>
    <w:pPr>
      <w:spacing w:after="100"/>
      <w:ind w:left="440"/>
    </w:pPr>
  </w:style>
  <w:style w:type="paragraph" w:styleId="NormalWeb">
    <w:name w:val="Normal (Web)"/>
    <w:basedOn w:val="Normal"/>
    <w:uiPriority w:val="99"/>
    <w:unhideWhenUsed/>
    <w:rsid w:val="00BE3BE3"/>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BE3BE3"/>
    <w:rPr>
      <w:rFonts w:eastAsia="Dotum" w:cs="Calibri"/>
      <w:sz w:val="22"/>
      <w:szCs w:val="22"/>
    </w:rPr>
  </w:style>
  <w:style w:type="character" w:styleId="LineNumber">
    <w:name w:val="line number"/>
    <w:basedOn w:val="DefaultParagraphFont"/>
    <w:rsid w:val="00BE3BE3"/>
  </w:style>
  <w:style w:type="paragraph" w:customStyle="1" w:styleId="Pa20">
    <w:name w:val="Pa20"/>
    <w:basedOn w:val="Default"/>
    <w:next w:val="Default"/>
    <w:uiPriority w:val="99"/>
    <w:rsid w:val="00BE3BE3"/>
    <w:pPr>
      <w:spacing w:line="201" w:lineRule="atLeast"/>
    </w:pPr>
    <w:rPr>
      <w:rFonts w:ascii="TitilliumText22L Lt" w:hAnsi="TitilliumText22L Lt" w:cs="Times New Roman"/>
      <w:color w:val="auto"/>
      <w:lang w:val="en-AU" w:eastAsia="en-AU"/>
    </w:rPr>
  </w:style>
  <w:style w:type="numbering" w:customStyle="1" w:styleId="NoList1">
    <w:name w:val="No List1"/>
    <w:next w:val="NoList"/>
    <w:uiPriority w:val="99"/>
    <w:semiHidden/>
    <w:unhideWhenUsed/>
    <w:rsid w:val="00BE3BE3"/>
  </w:style>
  <w:style w:type="paragraph" w:styleId="NoSpacing">
    <w:name w:val="No Spacing"/>
    <w:link w:val="NoSpacingChar"/>
    <w:uiPriority w:val="1"/>
    <w:qFormat/>
    <w:rsid w:val="00BE3BE3"/>
    <w:rPr>
      <w:rFonts w:eastAsia="Times New Roman"/>
      <w:sz w:val="22"/>
      <w:szCs w:val="22"/>
      <w:lang w:val="en-US" w:eastAsia="ja-JP"/>
    </w:rPr>
  </w:style>
  <w:style w:type="character" w:customStyle="1" w:styleId="NoSpacingChar">
    <w:name w:val="No Spacing Char"/>
    <w:link w:val="NoSpacing"/>
    <w:uiPriority w:val="1"/>
    <w:rsid w:val="00BE3BE3"/>
    <w:rPr>
      <w:rFonts w:eastAsia="Times New Roman"/>
      <w:lang w:val="en-US" w:eastAsia="ja-JP"/>
    </w:rPr>
  </w:style>
  <w:style w:type="numbering" w:customStyle="1" w:styleId="NoList2">
    <w:name w:val="No List2"/>
    <w:next w:val="NoList"/>
    <w:uiPriority w:val="99"/>
    <w:semiHidden/>
    <w:unhideWhenUsed/>
    <w:rsid w:val="00BE3BE3"/>
  </w:style>
  <w:style w:type="character" w:customStyle="1" w:styleId="maintitle">
    <w:name w:val="maintitle"/>
    <w:basedOn w:val="DefaultParagraphFont"/>
    <w:rsid w:val="00BE3BE3"/>
  </w:style>
  <w:style w:type="paragraph" w:styleId="PlainText">
    <w:name w:val="Plain Text"/>
    <w:basedOn w:val="Normal"/>
    <w:link w:val="PlainTextChar"/>
    <w:uiPriority w:val="99"/>
    <w:semiHidden/>
    <w:unhideWhenUsed/>
    <w:rsid w:val="00BE3BE3"/>
    <w:pPr>
      <w:spacing w:after="0" w:line="240" w:lineRule="auto"/>
    </w:pPr>
    <w:rPr>
      <w:rFonts w:eastAsia="Calibri" w:cs="Times New Roman"/>
      <w:szCs w:val="21"/>
      <w:lang w:eastAsia="en-US"/>
    </w:rPr>
  </w:style>
  <w:style w:type="character" w:customStyle="1" w:styleId="PlainTextChar">
    <w:name w:val="Plain Text Char"/>
    <w:link w:val="PlainText"/>
    <w:uiPriority w:val="99"/>
    <w:semiHidden/>
    <w:rsid w:val="00BE3BE3"/>
    <w:rPr>
      <w:rFonts w:ascii="Calibri" w:hAnsi="Calibri"/>
      <w:szCs w:val="21"/>
    </w:rPr>
  </w:style>
  <w:style w:type="paragraph" w:styleId="TOC4">
    <w:name w:val="toc 4"/>
    <w:basedOn w:val="Normal"/>
    <w:next w:val="Normal"/>
    <w:autoRedefine/>
    <w:uiPriority w:val="39"/>
    <w:unhideWhenUsed/>
    <w:rsid w:val="00BE3BE3"/>
    <w:pPr>
      <w:spacing w:after="100"/>
      <w:ind w:left="660"/>
    </w:pPr>
    <w:rPr>
      <w:rFonts w:eastAsia="Times New Roman" w:cs="Times New Roman"/>
    </w:rPr>
  </w:style>
  <w:style w:type="paragraph" w:styleId="TOC5">
    <w:name w:val="toc 5"/>
    <w:basedOn w:val="Normal"/>
    <w:next w:val="Normal"/>
    <w:autoRedefine/>
    <w:uiPriority w:val="39"/>
    <w:unhideWhenUsed/>
    <w:rsid w:val="00BE3BE3"/>
    <w:pPr>
      <w:spacing w:after="100"/>
      <w:ind w:left="880"/>
    </w:pPr>
    <w:rPr>
      <w:rFonts w:eastAsia="Times New Roman" w:cs="Times New Roman"/>
    </w:rPr>
  </w:style>
  <w:style w:type="paragraph" w:styleId="TOC6">
    <w:name w:val="toc 6"/>
    <w:basedOn w:val="Normal"/>
    <w:next w:val="Normal"/>
    <w:autoRedefine/>
    <w:uiPriority w:val="39"/>
    <w:unhideWhenUsed/>
    <w:rsid w:val="00BE3BE3"/>
    <w:pPr>
      <w:spacing w:after="100"/>
      <w:ind w:left="1100"/>
    </w:pPr>
    <w:rPr>
      <w:rFonts w:eastAsia="Times New Roman" w:cs="Times New Roman"/>
    </w:rPr>
  </w:style>
  <w:style w:type="paragraph" w:styleId="TOC7">
    <w:name w:val="toc 7"/>
    <w:basedOn w:val="Normal"/>
    <w:next w:val="Normal"/>
    <w:autoRedefine/>
    <w:uiPriority w:val="39"/>
    <w:unhideWhenUsed/>
    <w:rsid w:val="00BE3BE3"/>
    <w:pPr>
      <w:spacing w:after="100"/>
      <w:ind w:left="1320"/>
    </w:pPr>
    <w:rPr>
      <w:rFonts w:eastAsia="Times New Roman" w:cs="Times New Roman"/>
    </w:rPr>
  </w:style>
  <w:style w:type="paragraph" w:styleId="TOC8">
    <w:name w:val="toc 8"/>
    <w:basedOn w:val="Normal"/>
    <w:next w:val="Normal"/>
    <w:autoRedefine/>
    <w:uiPriority w:val="39"/>
    <w:unhideWhenUsed/>
    <w:rsid w:val="00BE3BE3"/>
    <w:pPr>
      <w:spacing w:after="100"/>
      <w:ind w:left="1540"/>
    </w:pPr>
    <w:rPr>
      <w:rFonts w:eastAsia="Times New Roman" w:cs="Times New Roman"/>
    </w:rPr>
  </w:style>
  <w:style w:type="paragraph" w:styleId="TOC9">
    <w:name w:val="toc 9"/>
    <w:basedOn w:val="Normal"/>
    <w:next w:val="Normal"/>
    <w:autoRedefine/>
    <w:uiPriority w:val="39"/>
    <w:unhideWhenUsed/>
    <w:rsid w:val="00BE3BE3"/>
    <w:pPr>
      <w:spacing w:after="100"/>
      <w:ind w:left="176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2577">
      <w:bodyDiv w:val="1"/>
      <w:marLeft w:val="0"/>
      <w:marRight w:val="0"/>
      <w:marTop w:val="0"/>
      <w:marBottom w:val="0"/>
      <w:divBdr>
        <w:top w:val="none" w:sz="0" w:space="0" w:color="auto"/>
        <w:left w:val="none" w:sz="0" w:space="0" w:color="auto"/>
        <w:bottom w:val="none" w:sz="0" w:space="0" w:color="auto"/>
        <w:right w:val="none" w:sz="0" w:space="0" w:color="auto"/>
      </w:divBdr>
    </w:div>
    <w:div w:id="824200256">
      <w:bodyDiv w:val="1"/>
      <w:marLeft w:val="0"/>
      <w:marRight w:val="0"/>
      <w:marTop w:val="0"/>
      <w:marBottom w:val="0"/>
      <w:divBdr>
        <w:top w:val="none" w:sz="0" w:space="0" w:color="auto"/>
        <w:left w:val="none" w:sz="0" w:space="0" w:color="auto"/>
        <w:bottom w:val="none" w:sz="0" w:space="0" w:color="auto"/>
        <w:right w:val="none" w:sz="0" w:space="0" w:color="auto"/>
      </w:divBdr>
    </w:div>
    <w:div w:id="1567181316">
      <w:bodyDiv w:val="1"/>
      <w:marLeft w:val="0"/>
      <w:marRight w:val="0"/>
      <w:marTop w:val="0"/>
      <w:marBottom w:val="0"/>
      <w:divBdr>
        <w:top w:val="none" w:sz="0" w:space="0" w:color="auto"/>
        <w:left w:val="none" w:sz="0" w:space="0" w:color="auto"/>
        <w:bottom w:val="none" w:sz="0" w:space="0" w:color="auto"/>
        <w:right w:val="none" w:sz="0" w:space="0" w:color="auto"/>
      </w:divBdr>
      <w:divsChild>
        <w:div w:id="2133666036">
          <w:marLeft w:val="0"/>
          <w:marRight w:val="0"/>
          <w:marTop w:val="0"/>
          <w:marBottom w:val="0"/>
          <w:divBdr>
            <w:top w:val="none" w:sz="0" w:space="0" w:color="auto"/>
            <w:left w:val="none" w:sz="0" w:space="0" w:color="auto"/>
            <w:bottom w:val="none" w:sz="0" w:space="0" w:color="auto"/>
            <w:right w:val="none" w:sz="0" w:space="0" w:color="auto"/>
          </w:divBdr>
        </w:div>
      </w:divsChild>
    </w:div>
    <w:div w:id="1891262030">
      <w:bodyDiv w:val="1"/>
      <w:marLeft w:val="0"/>
      <w:marRight w:val="0"/>
      <w:marTop w:val="0"/>
      <w:marBottom w:val="0"/>
      <w:divBdr>
        <w:top w:val="none" w:sz="0" w:space="0" w:color="auto"/>
        <w:left w:val="none" w:sz="0" w:space="0" w:color="auto"/>
        <w:bottom w:val="none" w:sz="0" w:space="0" w:color="auto"/>
        <w:right w:val="none" w:sz="0" w:space="0" w:color="auto"/>
      </w:divBdr>
      <w:divsChild>
        <w:div w:id="30555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ood.gov.au" TargetMode="External"/><Relationship Id="rId18" Type="http://schemas.openxmlformats.org/officeDocument/2006/relationships/hyperlink" Target="http://www.blood.gov.au"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patientbloodmanagement@blood.gov.au" TargetMode="External"/><Relationship Id="rId17" Type="http://schemas.openxmlformats.org/officeDocument/2006/relationships/hyperlink" Target="http://www.blood.gov.au" TargetMode="External"/><Relationship Id="rId25" Type="http://schemas.openxmlformats.org/officeDocument/2006/relationships/hyperlink" Target="http://www.blood.gov.a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d.gov.a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anzsbt.org.au" TargetMode="External"/><Relationship Id="rId28"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ransfusionguidelines.org.uk/Index.aspx?Publication=BBT&amp;Section=22&amp;pageid=7636" TargetMode="External"/><Relationship Id="rId22" Type="http://schemas.openxmlformats.org/officeDocument/2006/relationships/header" Target="header3.xml"/><Relationship Id="rId27" Type="http://schemas.openxmlformats.org/officeDocument/2006/relationships/hyperlink" Target="http://www.health.wa.gov.au/bloodmanagement/docs/fact_shee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00D745F-3897-443C-9ABE-11AD7B35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2E6E1969.dotm</Template>
  <TotalTime>1</TotalTime>
  <Pages>72</Pages>
  <Words>20724</Words>
  <Characters>118132</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ICS Guidance Appendixes</vt:lpstr>
    </vt:vector>
  </TitlesOfParts>
  <Company>The National Blood Authority, Australia</Company>
  <LinksUpToDate>false</LinksUpToDate>
  <CharactersWithSpaces>138579</CharactersWithSpaces>
  <SharedDoc>false</SharedDoc>
  <HLinks>
    <vt:vector size="294" baseType="variant">
      <vt:variant>
        <vt:i4>786542</vt:i4>
      </vt:variant>
      <vt:variant>
        <vt:i4>360</vt:i4>
      </vt:variant>
      <vt:variant>
        <vt:i4>0</vt:i4>
      </vt:variant>
      <vt:variant>
        <vt:i4>5</vt:i4>
      </vt:variant>
      <vt:variant>
        <vt:lpwstr>http://www.health.wa.gov.au/bloodmanagement/docs/fact_sheet.pdf</vt:lpwstr>
      </vt:variant>
      <vt:variant>
        <vt:lpwstr/>
      </vt:variant>
      <vt:variant>
        <vt:i4>1900617</vt:i4>
      </vt:variant>
      <vt:variant>
        <vt:i4>357</vt:i4>
      </vt:variant>
      <vt:variant>
        <vt:i4>0</vt:i4>
      </vt:variant>
      <vt:variant>
        <vt:i4>5</vt:i4>
      </vt:variant>
      <vt:variant>
        <vt:lpwstr>http://www.blood.gov.au/</vt:lpwstr>
      </vt:variant>
      <vt:variant>
        <vt:lpwstr/>
      </vt:variant>
      <vt:variant>
        <vt:i4>5570640</vt:i4>
      </vt:variant>
      <vt:variant>
        <vt:i4>303</vt:i4>
      </vt:variant>
      <vt:variant>
        <vt:i4>0</vt:i4>
      </vt:variant>
      <vt:variant>
        <vt:i4>5</vt:i4>
      </vt:variant>
      <vt:variant>
        <vt:lpwstr>http://www.anzsbt.org.au/</vt:lpwstr>
      </vt:variant>
      <vt:variant>
        <vt:lpwstr/>
      </vt:variant>
      <vt:variant>
        <vt:i4>1900617</vt:i4>
      </vt:variant>
      <vt:variant>
        <vt:i4>243</vt:i4>
      </vt:variant>
      <vt:variant>
        <vt:i4>0</vt:i4>
      </vt:variant>
      <vt:variant>
        <vt:i4>5</vt:i4>
      </vt:variant>
      <vt:variant>
        <vt:lpwstr>http://www.blood.gov.au/</vt:lpwstr>
      </vt:variant>
      <vt:variant>
        <vt:lpwstr/>
      </vt:variant>
      <vt:variant>
        <vt:i4>1441848</vt:i4>
      </vt:variant>
      <vt:variant>
        <vt:i4>236</vt:i4>
      </vt:variant>
      <vt:variant>
        <vt:i4>0</vt:i4>
      </vt:variant>
      <vt:variant>
        <vt:i4>5</vt:i4>
      </vt:variant>
      <vt:variant>
        <vt:lpwstr/>
      </vt:variant>
      <vt:variant>
        <vt:lpwstr>_Toc355270962</vt:lpwstr>
      </vt:variant>
      <vt:variant>
        <vt:i4>1441848</vt:i4>
      </vt:variant>
      <vt:variant>
        <vt:i4>230</vt:i4>
      </vt:variant>
      <vt:variant>
        <vt:i4>0</vt:i4>
      </vt:variant>
      <vt:variant>
        <vt:i4>5</vt:i4>
      </vt:variant>
      <vt:variant>
        <vt:lpwstr/>
      </vt:variant>
      <vt:variant>
        <vt:lpwstr>_Toc355270961</vt:lpwstr>
      </vt:variant>
      <vt:variant>
        <vt:i4>1441848</vt:i4>
      </vt:variant>
      <vt:variant>
        <vt:i4>224</vt:i4>
      </vt:variant>
      <vt:variant>
        <vt:i4>0</vt:i4>
      </vt:variant>
      <vt:variant>
        <vt:i4>5</vt:i4>
      </vt:variant>
      <vt:variant>
        <vt:lpwstr/>
      </vt:variant>
      <vt:variant>
        <vt:lpwstr>_Toc355270960</vt:lpwstr>
      </vt:variant>
      <vt:variant>
        <vt:i4>1376312</vt:i4>
      </vt:variant>
      <vt:variant>
        <vt:i4>218</vt:i4>
      </vt:variant>
      <vt:variant>
        <vt:i4>0</vt:i4>
      </vt:variant>
      <vt:variant>
        <vt:i4>5</vt:i4>
      </vt:variant>
      <vt:variant>
        <vt:lpwstr/>
      </vt:variant>
      <vt:variant>
        <vt:lpwstr>_Toc355270959</vt:lpwstr>
      </vt:variant>
      <vt:variant>
        <vt:i4>1376312</vt:i4>
      </vt:variant>
      <vt:variant>
        <vt:i4>212</vt:i4>
      </vt:variant>
      <vt:variant>
        <vt:i4>0</vt:i4>
      </vt:variant>
      <vt:variant>
        <vt:i4>5</vt:i4>
      </vt:variant>
      <vt:variant>
        <vt:lpwstr/>
      </vt:variant>
      <vt:variant>
        <vt:lpwstr>_Toc355270958</vt:lpwstr>
      </vt:variant>
      <vt:variant>
        <vt:i4>1376312</vt:i4>
      </vt:variant>
      <vt:variant>
        <vt:i4>206</vt:i4>
      </vt:variant>
      <vt:variant>
        <vt:i4>0</vt:i4>
      </vt:variant>
      <vt:variant>
        <vt:i4>5</vt:i4>
      </vt:variant>
      <vt:variant>
        <vt:lpwstr/>
      </vt:variant>
      <vt:variant>
        <vt:lpwstr>_Toc355270957</vt:lpwstr>
      </vt:variant>
      <vt:variant>
        <vt:i4>1376312</vt:i4>
      </vt:variant>
      <vt:variant>
        <vt:i4>200</vt:i4>
      </vt:variant>
      <vt:variant>
        <vt:i4>0</vt:i4>
      </vt:variant>
      <vt:variant>
        <vt:i4>5</vt:i4>
      </vt:variant>
      <vt:variant>
        <vt:lpwstr/>
      </vt:variant>
      <vt:variant>
        <vt:lpwstr>_Toc355270956</vt:lpwstr>
      </vt:variant>
      <vt:variant>
        <vt:i4>1376312</vt:i4>
      </vt:variant>
      <vt:variant>
        <vt:i4>194</vt:i4>
      </vt:variant>
      <vt:variant>
        <vt:i4>0</vt:i4>
      </vt:variant>
      <vt:variant>
        <vt:i4>5</vt:i4>
      </vt:variant>
      <vt:variant>
        <vt:lpwstr/>
      </vt:variant>
      <vt:variant>
        <vt:lpwstr>_Toc355270955</vt:lpwstr>
      </vt:variant>
      <vt:variant>
        <vt:i4>1376312</vt:i4>
      </vt:variant>
      <vt:variant>
        <vt:i4>188</vt:i4>
      </vt:variant>
      <vt:variant>
        <vt:i4>0</vt:i4>
      </vt:variant>
      <vt:variant>
        <vt:i4>5</vt:i4>
      </vt:variant>
      <vt:variant>
        <vt:lpwstr/>
      </vt:variant>
      <vt:variant>
        <vt:lpwstr>_Toc355270954</vt:lpwstr>
      </vt:variant>
      <vt:variant>
        <vt:i4>1376312</vt:i4>
      </vt:variant>
      <vt:variant>
        <vt:i4>182</vt:i4>
      </vt:variant>
      <vt:variant>
        <vt:i4>0</vt:i4>
      </vt:variant>
      <vt:variant>
        <vt:i4>5</vt:i4>
      </vt:variant>
      <vt:variant>
        <vt:lpwstr/>
      </vt:variant>
      <vt:variant>
        <vt:lpwstr>_Toc355270953</vt:lpwstr>
      </vt:variant>
      <vt:variant>
        <vt:i4>1376312</vt:i4>
      </vt:variant>
      <vt:variant>
        <vt:i4>176</vt:i4>
      </vt:variant>
      <vt:variant>
        <vt:i4>0</vt:i4>
      </vt:variant>
      <vt:variant>
        <vt:i4>5</vt:i4>
      </vt:variant>
      <vt:variant>
        <vt:lpwstr/>
      </vt:variant>
      <vt:variant>
        <vt:lpwstr>_Toc355270952</vt:lpwstr>
      </vt:variant>
      <vt:variant>
        <vt:i4>1376312</vt:i4>
      </vt:variant>
      <vt:variant>
        <vt:i4>170</vt:i4>
      </vt:variant>
      <vt:variant>
        <vt:i4>0</vt:i4>
      </vt:variant>
      <vt:variant>
        <vt:i4>5</vt:i4>
      </vt:variant>
      <vt:variant>
        <vt:lpwstr/>
      </vt:variant>
      <vt:variant>
        <vt:lpwstr>_Toc355270951</vt:lpwstr>
      </vt:variant>
      <vt:variant>
        <vt:i4>1376312</vt:i4>
      </vt:variant>
      <vt:variant>
        <vt:i4>164</vt:i4>
      </vt:variant>
      <vt:variant>
        <vt:i4>0</vt:i4>
      </vt:variant>
      <vt:variant>
        <vt:i4>5</vt:i4>
      </vt:variant>
      <vt:variant>
        <vt:lpwstr/>
      </vt:variant>
      <vt:variant>
        <vt:lpwstr>_Toc355270950</vt:lpwstr>
      </vt:variant>
      <vt:variant>
        <vt:i4>1310776</vt:i4>
      </vt:variant>
      <vt:variant>
        <vt:i4>158</vt:i4>
      </vt:variant>
      <vt:variant>
        <vt:i4>0</vt:i4>
      </vt:variant>
      <vt:variant>
        <vt:i4>5</vt:i4>
      </vt:variant>
      <vt:variant>
        <vt:lpwstr/>
      </vt:variant>
      <vt:variant>
        <vt:lpwstr>_Toc355270949</vt:lpwstr>
      </vt:variant>
      <vt:variant>
        <vt:i4>1310776</vt:i4>
      </vt:variant>
      <vt:variant>
        <vt:i4>152</vt:i4>
      </vt:variant>
      <vt:variant>
        <vt:i4>0</vt:i4>
      </vt:variant>
      <vt:variant>
        <vt:i4>5</vt:i4>
      </vt:variant>
      <vt:variant>
        <vt:lpwstr/>
      </vt:variant>
      <vt:variant>
        <vt:lpwstr>_Toc355270948</vt:lpwstr>
      </vt:variant>
      <vt:variant>
        <vt:i4>1310776</vt:i4>
      </vt:variant>
      <vt:variant>
        <vt:i4>146</vt:i4>
      </vt:variant>
      <vt:variant>
        <vt:i4>0</vt:i4>
      </vt:variant>
      <vt:variant>
        <vt:i4>5</vt:i4>
      </vt:variant>
      <vt:variant>
        <vt:lpwstr/>
      </vt:variant>
      <vt:variant>
        <vt:lpwstr>_Toc355270947</vt:lpwstr>
      </vt:variant>
      <vt:variant>
        <vt:i4>1310776</vt:i4>
      </vt:variant>
      <vt:variant>
        <vt:i4>140</vt:i4>
      </vt:variant>
      <vt:variant>
        <vt:i4>0</vt:i4>
      </vt:variant>
      <vt:variant>
        <vt:i4>5</vt:i4>
      </vt:variant>
      <vt:variant>
        <vt:lpwstr/>
      </vt:variant>
      <vt:variant>
        <vt:lpwstr>_Toc355270946</vt:lpwstr>
      </vt:variant>
      <vt:variant>
        <vt:i4>1310776</vt:i4>
      </vt:variant>
      <vt:variant>
        <vt:i4>134</vt:i4>
      </vt:variant>
      <vt:variant>
        <vt:i4>0</vt:i4>
      </vt:variant>
      <vt:variant>
        <vt:i4>5</vt:i4>
      </vt:variant>
      <vt:variant>
        <vt:lpwstr/>
      </vt:variant>
      <vt:variant>
        <vt:lpwstr>_Toc355270945</vt:lpwstr>
      </vt:variant>
      <vt:variant>
        <vt:i4>1310776</vt:i4>
      </vt:variant>
      <vt:variant>
        <vt:i4>128</vt:i4>
      </vt:variant>
      <vt:variant>
        <vt:i4>0</vt:i4>
      </vt:variant>
      <vt:variant>
        <vt:i4>5</vt:i4>
      </vt:variant>
      <vt:variant>
        <vt:lpwstr/>
      </vt:variant>
      <vt:variant>
        <vt:lpwstr>_Toc355270944</vt:lpwstr>
      </vt:variant>
      <vt:variant>
        <vt:i4>1310776</vt:i4>
      </vt:variant>
      <vt:variant>
        <vt:i4>122</vt:i4>
      </vt:variant>
      <vt:variant>
        <vt:i4>0</vt:i4>
      </vt:variant>
      <vt:variant>
        <vt:i4>5</vt:i4>
      </vt:variant>
      <vt:variant>
        <vt:lpwstr/>
      </vt:variant>
      <vt:variant>
        <vt:lpwstr>_Toc355270943</vt:lpwstr>
      </vt:variant>
      <vt:variant>
        <vt:i4>1310776</vt:i4>
      </vt:variant>
      <vt:variant>
        <vt:i4>116</vt:i4>
      </vt:variant>
      <vt:variant>
        <vt:i4>0</vt:i4>
      </vt:variant>
      <vt:variant>
        <vt:i4>5</vt:i4>
      </vt:variant>
      <vt:variant>
        <vt:lpwstr/>
      </vt:variant>
      <vt:variant>
        <vt:lpwstr>_Toc355270942</vt:lpwstr>
      </vt:variant>
      <vt:variant>
        <vt:i4>1310776</vt:i4>
      </vt:variant>
      <vt:variant>
        <vt:i4>110</vt:i4>
      </vt:variant>
      <vt:variant>
        <vt:i4>0</vt:i4>
      </vt:variant>
      <vt:variant>
        <vt:i4>5</vt:i4>
      </vt:variant>
      <vt:variant>
        <vt:lpwstr/>
      </vt:variant>
      <vt:variant>
        <vt:lpwstr>_Toc355270941</vt:lpwstr>
      </vt:variant>
      <vt:variant>
        <vt:i4>1310776</vt:i4>
      </vt:variant>
      <vt:variant>
        <vt:i4>104</vt:i4>
      </vt:variant>
      <vt:variant>
        <vt:i4>0</vt:i4>
      </vt:variant>
      <vt:variant>
        <vt:i4>5</vt:i4>
      </vt:variant>
      <vt:variant>
        <vt:lpwstr/>
      </vt:variant>
      <vt:variant>
        <vt:lpwstr>_Toc355270940</vt:lpwstr>
      </vt:variant>
      <vt:variant>
        <vt:i4>1245240</vt:i4>
      </vt:variant>
      <vt:variant>
        <vt:i4>98</vt:i4>
      </vt:variant>
      <vt:variant>
        <vt:i4>0</vt:i4>
      </vt:variant>
      <vt:variant>
        <vt:i4>5</vt:i4>
      </vt:variant>
      <vt:variant>
        <vt:lpwstr/>
      </vt:variant>
      <vt:variant>
        <vt:lpwstr>_Toc355270939</vt:lpwstr>
      </vt:variant>
      <vt:variant>
        <vt:i4>1245240</vt:i4>
      </vt:variant>
      <vt:variant>
        <vt:i4>92</vt:i4>
      </vt:variant>
      <vt:variant>
        <vt:i4>0</vt:i4>
      </vt:variant>
      <vt:variant>
        <vt:i4>5</vt:i4>
      </vt:variant>
      <vt:variant>
        <vt:lpwstr/>
      </vt:variant>
      <vt:variant>
        <vt:lpwstr>_Toc355270938</vt:lpwstr>
      </vt:variant>
      <vt:variant>
        <vt:i4>1245240</vt:i4>
      </vt:variant>
      <vt:variant>
        <vt:i4>89</vt:i4>
      </vt:variant>
      <vt:variant>
        <vt:i4>0</vt:i4>
      </vt:variant>
      <vt:variant>
        <vt:i4>5</vt:i4>
      </vt:variant>
      <vt:variant>
        <vt:lpwstr/>
      </vt:variant>
      <vt:variant>
        <vt:lpwstr>_Toc355270937</vt:lpwstr>
      </vt:variant>
      <vt:variant>
        <vt:i4>1900617</vt:i4>
      </vt:variant>
      <vt:variant>
        <vt:i4>81</vt:i4>
      </vt:variant>
      <vt:variant>
        <vt:i4>0</vt:i4>
      </vt:variant>
      <vt:variant>
        <vt:i4>5</vt:i4>
      </vt:variant>
      <vt:variant>
        <vt:lpwstr>http://www.blood.gov.au/</vt:lpwstr>
      </vt:variant>
      <vt:variant>
        <vt:lpwstr/>
      </vt:variant>
      <vt:variant>
        <vt:i4>7798859</vt:i4>
      </vt:variant>
      <vt:variant>
        <vt:i4>72</vt:i4>
      </vt:variant>
      <vt:variant>
        <vt:i4>0</vt:i4>
      </vt:variant>
      <vt:variant>
        <vt:i4>5</vt:i4>
      </vt:variant>
      <vt:variant>
        <vt:lpwstr/>
      </vt:variant>
      <vt:variant>
        <vt:lpwstr>_Contraindications_and_Warnings</vt:lpwstr>
      </vt:variant>
      <vt:variant>
        <vt:i4>6750290</vt:i4>
      </vt:variant>
      <vt:variant>
        <vt:i4>48</vt:i4>
      </vt:variant>
      <vt:variant>
        <vt:i4>0</vt:i4>
      </vt:variant>
      <vt:variant>
        <vt:i4>5</vt:i4>
      </vt:variant>
      <vt:variant>
        <vt:lpwstr/>
      </vt:variant>
      <vt:variant>
        <vt:lpwstr>_Background</vt:lpwstr>
      </vt:variant>
      <vt:variant>
        <vt:i4>5177359</vt:i4>
      </vt:variant>
      <vt:variant>
        <vt:i4>45</vt:i4>
      </vt:variant>
      <vt:variant>
        <vt:i4>0</vt:i4>
      </vt:variant>
      <vt:variant>
        <vt:i4>5</vt:i4>
      </vt:variant>
      <vt:variant>
        <vt:lpwstr>http://www.transfusionguidelines.org.uk/Index.aspx?Publication=BBT&amp;Section=22&amp;pageid=7636</vt:lpwstr>
      </vt:variant>
      <vt:variant>
        <vt:lpwstr/>
      </vt:variant>
      <vt:variant>
        <vt:i4>1114225</vt:i4>
      </vt:variant>
      <vt:variant>
        <vt:i4>42</vt:i4>
      </vt:variant>
      <vt:variant>
        <vt:i4>0</vt:i4>
      </vt:variant>
      <vt:variant>
        <vt:i4>5</vt:i4>
      </vt:variant>
      <vt:variant>
        <vt:lpwstr/>
      </vt:variant>
      <vt:variant>
        <vt:lpwstr>_Appendix_XI_1</vt:lpwstr>
      </vt:variant>
      <vt:variant>
        <vt:i4>4784214</vt:i4>
      </vt:variant>
      <vt:variant>
        <vt:i4>39</vt:i4>
      </vt:variant>
      <vt:variant>
        <vt:i4>0</vt:i4>
      </vt:variant>
      <vt:variant>
        <vt:i4>5</vt:i4>
      </vt:variant>
      <vt:variant>
        <vt:lpwstr/>
      </vt:variant>
      <vt:variant>
        <vt:lpwstr>_Appendix_X</vt:lpwstr>
      </vt:variant>
      <vt:variant>
        <vt:i4>96</vt:i4>
      </vt:variant>
      <vt:variant>
        <vt:i4>36</vt:i4>
      </vt:variant>
      <vt:variant>
        <vt:i4>0</vt:i4>
      </vt:variant>
      <vt:variant>
        <vt:i4>5</vt:i4>
      </vt:variant>
      <vt:variant>
        <vt:lpwstr/>
      </vt:variant>
      <vt:variant>
        <vt:lpwstr>_Appendix_IX_1</vt:lpwstr>
      </vt:variant>
      <vt:variant>
        <vt:i4>7864342</vt:i4>
      </vt:variant>
      <vt:variant>
        <vt:i4>33</vt:i4>
      </vt:variant>
      <vt:variant>
        <vt:i4>0</vt:i4>
      </vt:variant>
      <vt:variant>
        <vt:i4>5</vt:i4>
      </vt:variant>
      <vt:variant>
        <vt:lpwstr/>
      </vt:variant>
      <vt:variant>
        <vt:lpwstr>_Appendix_VIII_1</vt:lpwstr>
      </vt:variant>
      <vt:variant>
        <vt:i4>2097184</vt:i4>
      </vt:variant>
      <vt:variant>
        <vt:i4>30</vt:i4>
      </vt:variant>
      <vt:variant>
        <vt:i4>0</vt:i4>
      </vt:variant>
      <vt:variant>
        <vt:i4>5</vt:i4>
      </vt:variant>
      <vt:variant>
        <vt:lpwstr/>
      </vt:variant>
      <vt:variant>
        <vt:lpwstr>_Appendix_VII</vt:lpwstr>
      </vt:variant>
      <vt:variant>
        <vt:i4>5963881</vt:i4>
      </vt:variant>
      <vt:variant>
        <vt:i4>27</vt:i4>
      </vt:variant>
      <vt:variant>
        <vt:i4>0</vt:i4>
      </vt:variant>
      <vt:variant>
        <vt:i4>5</vt:i4>
      </vt:variant>
      <vt:variant>
        <vt:lpwstr/>
      </vt:variant>
      <vt:variant>
        <vt:lpwstr>_Use_of_Intraoperative</vt:lpwstr>
      </vt:variant>
      <vt:variant>
        <vt:i4>1441824</vt:i4>
      </vt:variant>
      <vt:variant>
        <vt:i4>24</vt:i4>
      </vt:variant>
      <vt:variant>
        <vt:i4>0</vt:i4>
      </vt:variant>
      <vt:variant>
        <vt:i4>5</vt:i4>
      </vt:variant>
      <vt:variant>
        <vt:lpwstr/>
      </vt:variant>
      <vt:variant>
        <vt:lpwstr>_Appendix_V_1</vt:lpwstr>
      </vt:variant>
      <vt:variant>
        <vt:i4>4128831</vt:i4>
      </vt:variant>
      <vt:variant>
        <vt:i4>21</vt:i4>
      </vt:variant>
      <vt:variant>
        <vt:i4>0</vt:i4>
      </vt:variant>
      <vt:variant>
        <vt:i4>5</vt:i4>
      </vt:variant>
      <vt:variant>
        <vt:lpwstr/>
      </vt:variant>
      <vt:variant>
        <vt:lpwstr>_Appendix_IV</vt:lpwstr>
      </vt:variant>
      <vt:variant>
        <vt:i4>8323158</vt:i4>
      </vt:variant>
      <vt:variant>
        <vt:i4>18</vt:i4>
      </vt:variant>
      <vt:variant>
        <vt:i4>0</vt:i4>
      </vt:variant>
      <vt:variant>
        <vt:i4>5</vt:i4>
      </vt:variant>
      <vt:variant>
        <vt:lpwstr/>
      </vt:variant>
      <vt:variant>
        <vt:lpwstr>_Appendix_III_1</vt:lpwstr>
      </vt:variant>
      <vt:variant>
        <vt:i4>2097215</vt:i4>
      </vt:variant>
      <vt:variant>
        <vt:i4>15</vt:i4>
      </vt:variant>
      <vt:variant>
        <vt:i4>0</vt:i4>
      </vt:variant>
      <vt:variant>
        <vt:i4>5</vt:i4>
      </vt:variant>
      <vt:variant>
        <vt:lpwstr/>
      </vt:variant>
      <vt:variant>
        <vt:lpwstr>_Appendix_IIb</vt:lpwstr>
      </vt:variant>
      <vt:variant>
        <vt:i4>2097215</vt:i4>
      </vt:variant>
      <vt:variant>
        <vt:i4>12</vt:i4>
      </vt:variant>
      <vt:variant>
        <vt:i4>0</vt:i4>
      </vt:variant>
      <vt:variant>
        <vt:i4>5</vt:i4>
      </vt:variant>
      <vt:variant>
        <vt:lpwstr/>
      </vt:variant>
      <vt:variant>
        <vt:lpwstr>_Appendix_IIa</vt:lpwstr>
      </vt:variant>
      <vt:variant>
        <vt:i4>4784214</vt:i4>
      </vt:variant>
      <vt:variant>
        <vt:i4>9</vt:i4>
      </vt:variant>
      <vt:variant>
        <vt:i4>0</vt:i4>
      </vt:variant>
      <vt:variant>
        <vt:i4>5</vt:i4>
      </vt:variant>
      <vt:variant>
        <vt:lpwstr/>
      </vt:variant>
      <vt:variant>
        <vt:lpwstr>_Appendix_I</vt:lpwstr>
      </vt:variant>
      <vt:variant>
        <vt:i4>1900617</vt:i4>
      </vt:variant>
      <vt:variant>
        <vt:i4>6</vt:i4>
      </vt:variant>
      <vt:variant>
        <vt:i4>0</vt:i4>
      </vt:variant>
      <vt:variant>
        <vt:i4>5</vt:i4>
      </vt:variant>
      <vt:variant>
        <vt:lpwstr>http://www.blood.gov.au/</vt:lpwstr>
      </vt:variant>
      <vt:variant>
        <vt:lpwstr/>
      </vt:variant>
      <vt:variant>
        <vt:i4>4849704</vt:i4>
      </vt:variant>
      <vt:variant>
        <vt:i4>3</vt:i4>
      </vt:variant>
      <vt:variant>
        <vt:i4>0</vt:i4>
      </vt:variant>
      <vt:variant>
        <vt:i4>5</vt:i4>
      </vt:variant>
      <vt:variant>
        <vt:lpwstr>mailto:patientbloodmanagement@blood.gov.au</vt:lpwstr>
      </vt:variant>
      <vt:variant>
        <vt:lpwstr/>
      </vt:variant>
      <vt:variant>
        <vt:i4>1900617</vt:i4>
      </vt:variant>
      <vt:variant>
        <vt:i4>0</vt:i4>
      </vt:variant>
      <vt:variant>
        <vt:i4>0</vt:i4>
      </vt:variant>
      <vt:variant>
        <vt:i4>5</vt:i4>
      </vt:variant>
      <vt:variant>
        <vt:lpwstr>http://www.blood.gov.au/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Guidance Appendixes</dc:title>
  <dc:creator>Sandra Russell</dc:creator>
  <cp:lastModifiedBy>Sandra Russell</cp:lastModifiedBy>
  <cp:revision>3</cp:revision>
  <cp:lastPrinted>2014-03-20T03:40:00Z</cp:lastPrinted>
  <dcterms:created xsi:type="dcterms:W3CDTF">2014-03-20T04:44:00Z</dcterms:created>
  <dcterms:modified xsi:type="dcterms:W3CDTF">2014-03-24T01:17:00Z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sandra.russell@nba.gov.au@www.mendeley.com</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http://www.zotero.org/styles/vancouver-brackets</vt:lpwstr>
  </property>
  <property fmtid="{D5CDD505-2E9C-101B-9397-08002B2CF9AE}" pid="22" name="Mendeley Recent Style Name 8_1">
    <vt:lpwstr>Vancouver (brackets)</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