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716977">
      <w:pPr>
        <w:pStyle w:val="Title"/>
        <w:spacing w:before="6000"/>
        <w:ind w:left="-709"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659264" behindDoc="1" locked="0" layoutInCell="1" allowOverlap="1" wp14:anchorId="2596410D" wp14:editId="104A4A9F">
            <wp:simplePos x="0" y="0"/>
            <wp:positionH relativeFrom="column">
              <wp:posOffset>-914400</wp:posOffset>
            </wp:positionH>
            <wp:positionV relativeFrom="paragraph">
              <wp:posOffset>-905455</wp:posOffset>
            </wp:positionV>
            <wp:extent cx="7559040" cy="106883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anchor>
        </w:drawing>
      </w:r>
      <w:r>
        <w:rPr>
          <w:color w:val="000000" w:themeColor="text1"/>
          <w:sz w:val="56"/>
        </w:rPr>
        <w:t>nATIONAL REPORT ON THE ISSUE AND USE OF IMMUNOGLOBULIN (</w:t>
      </w:r>
      <w:r w:rsidRPr="00540D05">
        <w:rPr>
          <w:caps w:val="0"/>
          <w:color w:val="000000" w:themeColor="text1"/>
          <w:sz w:val="56"/>
        </w:rPr>
        <w:t>Ig</w:t>
      </w:r>
      <w:r>
        <w:rPr>
          <w:color w:val="000000" w:themeColor="text1"/>
          <w:sz w:val="56"/>
        </w:rPr>
        <w:t>)</w:t>
      </w:r>
      <w:r w:rsidR="00F957B7">
        <w:rPr>
          <w:color w:val="000000" w:themeColor="text1"/>
          <w:sz w:val="56"/>
        </w:rPr>
        <w:t xml:space="preserve"> </w:t>
      </w:r>
    </w:p>
    <w:p w:rsidR="00022192" w:rsidRDefault="00022192" w:rsidP="00022192">
      <w:pPr>
        <w:pStyle w:val="NoSpacing"/>
        <w:ind w:left="-709"/>
        <w:rPr>
          <w:sz w:val="28"/>
        </w:rPr>
      </w:pPr>
    </w:p>
    <w:p w:rsidR="003C0E83" w:rsidRDefault="003C0E83" w:rsidP="00022192">
      <w:pPr>
        <w:pStyle w:val="NoSpacing"/>
        <w:ind w:left="-709"/>
        <w:rPr>
          <w:sz w:val="28"/>
        </w:rPr>
      </w:pPr>
    </w:p>
    <w:p w:rsidR="003C0E83" w:rsidRDefault="003C0E83"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w:t>
      </w:r>
      <w:r w:rsidR="006E1890">
        <w:rPr>
          <w:sz w:val="52"/>
        </w:rPr>
        <w:t>4</w:t>
      </w:r>
      <w:r>
        <w:rPr>
          <w:sz w:val="52"/>
        </w:rPr>
        <w:t>-</w:t>
      </w:r>
      <w:r w:rsidRPr="004A3747">
        <w:rPr>
          <w:sz w:val="52"/>
        </w:rPr>
        <w:t>1</w:t>
      </w:r>
      <w:r w:rsidR="006E1890">
        <w:rPr>
          <w:sz w:val="52"/>
        </w:rPr>
        <w:t>5</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6BA5DC61" wp14:editId="550456DE">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 xml:space="preserve">. </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201</w:t>
      </w:r>
      <w:r w:rsidR="0069350D">
        <w:t>4</w:t>
      </w:r>
      <w:r w:rsidRPr="00540D05">
        <w:t>-1</w:t>
      </w:r>
      <w:r w:rsidR="0069350D">
        <w:t>5</w:t>
      </w:r>
      <w:r w:rsidRPr="00540D05">
        <w:t>.</w:t>
      </w:r>
    </w:p>
    <w:p w:rsidR="00370AED" w:rsidRPr="00E61665" w:rsidRDefault="00370AED" w:rsidP="00370AED">
      <w:r w:rsidRPr="00FE46F4">
        <w:t>ISSN 1839-1079</w:t>
      </w:r>
      <w:r w:rsidRPr="00D43088">
        <w:t xml:space="preserve">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r>
        <w:t xml:space="preserve">  </w:t>
      </w:r>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22857691" wp14:editId="75224C13">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2A066B"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BB2478"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456267402" w:history="1">
            <w:r w:rsidR="00BB2478" w:rsidRPr="00BF2AFD">
              <w:rPr>
                <w:rStyle w:val="Hyperlink"/>
                <w:noProof/>
              </w:rPr>
              <w:t>List of Tables</w:t>
            </w:r>
            <w:r w:rsidR="00BB2478">
              <w:rPr>
                <w:noProof/>
                <w:webHidden/>
              </w:rPr>
              <w:tab/>
            </w:r>
            <w:r w:rsidR="00BB2478">
              <w:rPr>
                <w:noProof/>
                <w:webHidden/>
              </w:rPr>
              <w:fldChar w:fldCharType="begin"/>
            </w:r>
            <w:r w:rsidR="00BB2478">
              <w:rPr>
                <w:noProof/>
                <w:webHidden/>
              </w:rPr>
              <w:instrText xml:space="preserve"> PAGEREF _Toc456267402 \h </w:instrText>
            </w:r>
            <w:r w:rsidR="00BB2478">
              <w:rPr>
                <w:noProof/>
                <w:webHidden/>
              </w:rPr>
            </w:r>
            <w:r w:rsidR="00BB2478">
              <w:rPr>
                <w:noProof/>
                <w:webHidden/>
              </w:rPr>
              <w:fldChar w:fldCharType="separate"/>
            </w:r>
            <w:r w:rsidR="00F3134D">
              <w:rPr>
                <w:noProof/>
                <w:webHidden/>
              </w:rPr>
              <w:t>4</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03" w:history="1">
            <w:r w:rsidR="00BB2478" w:rsidRPr="00BF2AFD">
              <w:rPr>
                <w:rStyle w:val="Hyperlink"/>
                <w:noProof/>
              </w:rPr>
              <w:t>List of Figures</w:t>
            </w:r>
            <w:r w:rsidR="00BB2478">
              <w:rPr>
                <w:noProof/>
                <w:webHidden/>
              </w:rPr>
              <w:tab/>
            </w:r>
            <w:r w:rsidR="00BB2478">
              <w:rPr>
                <w:noProof/>
                <w:webHidden/>
              </w:rPr>
              <w:fldChar w:fldCharType="begin"/>
            </w:r>
            <w:r w:rsidR="00BB2478">
              <w:rPr>
                <w:noProof/>
                <w:webHidden/>
              </w:rPr>
              <w:instrText xml:space="preserve"> PAGEREF _Toc456267403 \h </w:instrText>
            </w:r>
            <w:r w:rsidR="00BB2478">
              <w:rPr>
                <w:noProof/>
                <w:webHidden/>
              </w:rPr>
            </w:r>
            <w:r w:rsidR="00BB2478">
              <w:rPr>
                <w:noProof/>
                <w:webHidden/>
              </w:rPr>
              <w:fldChar w:fldCharType="separate"/>
            </w:r>
            <w:r w:rsidR="00F3134D">
              <w:rPr>
                <w:noProof/>
                <w:webHidden/>
              </w:rPr>
              <w:t>4</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04" w:history="1">
            <w:r w:rsidR="00BB2478" w:rsidRPr="00BF2AFD">
              <w:rPr>
                <w:rStyle w:val="Hyperlink"/>
                <w:noProof/>
              </w:rPr>
              <w:t>Introduction</w:t>
            </w:r>
            <w:r w:rsidR="00BB2478">
              <w:rPr>
                <w:noProof/>
                <w:webHidden/>
              </w:rPr>
              <w:tab/>
            </w:r>
            <w:r w:rsidR="00BB2478">
              <w:rPr>
                <w:noProof/>
                <w:webHidden/>
              </w:rPr>
              <w:fldChar w:fldCharType="begin"/>
            </w:r>
            <w:r w:rsidR="00BB2478">
              <w:rPr>
                <w:noProof/>
                <w:webHidden/>
              </w:rPr>
              <w:instrText xml:space="preserve"> PAGEREF _Toc456267404 \h </w:instrText>
            </w:r>
            <w:r w:rsidR="00BB2478">
              <w:rPr>
                <w:noProof/>
                <w:webHidden/>
              </w:rPr>
            </w:r>
            <w:r w:rsidR="00BB2478">
              <w:rPr>
                <w:noProof/>
                <w:webHidden/>
              </w:rPr>
              <w:fldChar w:fldCharType="separate"/>
            </w:r>
            <w:r w:rsidR="00F3134D">
              <w:rPr>
                <w:noProof/>
                <w:webHidden/>
              </w:rPr>
              <w:t>5</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05" w:history="1">
            <w:r w:rsidR="00BB2478" w:rsidRPr="00BF2AFD">
              <w:rPr>
                <w:rStyle w:val="Hyperlink"/>
                <w:noProof/>
              </w:rPr>
              <w:t>Report Snapshot</w:t>
            </w:r>
            <w:r w:rsidR="00BB2478">
              <w:rPr>
                <w:noProof/>
                <w:webHidden/>
              </w:rPr>
              <w:tab/>
            </w:r>
            <w:r w:rsidR="00BB2478">
              <w:rPr>
                <w:noProof/>
                <w:webHidden/>
              </w:rPr>
              <w:fldChar w:fldCharType="begin"/>
            </w:r>
            <w:r w:rsidR="00BB2478">
              <w:rPr>
                <w:noProof/>
                <w:webHidden/>
              </w:rPr>
              <w:instrText xml:space="preserve"> PAGEREF _Toc456267405 \h </w:instrText>
            </w:r>
            <w:r w:rsidR="00BB2478">
              <w:rPr>
                <w:noProof/>
                <w:webHidden/>
              </w:rPr>
            </w:r>
            <w:r w:rsidR="00BB2478">
              <w:rPr>
                <w:noProof/>
                <w:webHidden/>
              </w:rPr>
              <w:fldChar w:fldCharType="separate"/>
            </w:r>
            <w:r w:rsidR="00F3134D">
              <w:rPr>
                <w:noProof/>
                <w:webHidden/>
              </w:rPr>
              <w:t>6</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06" w:history="1">
            <w:r w:rsidR="00BB2478" w:rsidRPr="00BF2AFD">
              <w:rPr>
                <w:rStyle w:val="Hyperlink"/>
                <w:noProof/>
              </w:rPr>
              <w:t>Methodology</w:t>
            </w:r>
            <w:r w:rsidR="00BB2478">
              <w:rPr>
                <w:noProof/>
                <w:webHidden/>
              </w:rPr>
              <w:tab/>
            </w:r>
            <w:r w:rsidR="00BB2478">
              <w:rPr>
                <w:noProof/>
                <w:webHidden/>
              </w:rPr>
              <w:fldChar w:fldCharType="begin"/>
            </w:r>
            <w:r w:rsidR="00BB2478">
              <w:rPr>
                <w:noProof/>
                <w:webHidden/>
              </w:rPr>
              <w:instrText xml:space="preserve"> PAGEREF _Toc456267406 \h </w:instrText>
            </w:r>
            <w:r w:rsidR="00BB2478">
              <w:rPr>
                <w:noProof/>
                <w:webHidden/>
              </w:rPr>
            </w:r>
            <w:r w:rsidR="00BB2478">
              <w:rPr>
                <w:noProof/>
                <w:webHidden/>
              </w:rPr>
              <w:fldChar w:fldCharType="separate"/>
            </w:r>
            <w:r w:rsidR="00F3134D">
              <w:rPr>
                <w:noProof/>
                <w:webHidden/>
              </w:rPr>
              <w:t>7</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07" w:history="1">
            <w:r w:rsidR="00BB2478" w:rsidRPr="00BF2AFD">
              <w:rPr>
                <w:rStyle w:val="Hyperlink"/>
                <w:noProof/>
              </w:rPr>
              <w:t>Data quality</w:t>
            </w:r>
            <w:r w:rsidR="00BB2478">
              <w:rPr>
                <w:noProof/>
                <w:webHidden/>
              </w:rPr>
              <w:tab/>
            </w:r>
            <w:r w:rsidR="00BB2478">
              <w:rPr>
                <w:noProof/>
                <w:webHidden/>
              </w:rPr>
              <w:fldChar w:fldCharType="begin"/>
            </w:r>
            <w:r w:rsidR="00BB2478">
              <w:rPr>
                <w:noProof/>
                <w:webHidden/>
              </w:rPr>
              <w:instrText xml:space="preserve"> PAGEREF _Toc456267407 \h </w:instrText>
            </w:r>
            <w:r w:rsidR="00BB2478">
              <w:rPr>
                <w:noProof/>
                <w:webHidden/>
              </w:rPr>
            </w:r>
            <w:r w:rsidR="00BB2478">
              <w:rPr>
                <w:noProof/>
                <w:webHidden/>
              </w:rPr>
              <w:fldChar w:fldCharType="separate"/>
            </w:r>
            <w:r w:rsidR="00F3134D">
              <w:rPr>
                <w:noProof/>
                <w:webHidden/>
              </w:rPr>
              <w:t>8</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08" w:history="1">
            <w:r w:rsidR="00BB2478" w:rsidRPr="00BF2AFD">
              <w:rPr>
                <w:rStyle w:val="Hyperlink"/>
                <w:noProof/>
              </w:rPr>
              <w:t>10 Year Trends</w:t>
            </w:r>
            <w:r w:rsidR="00BB2478">
              <w:rPr>
                <w:noProof/>
                <w:webHidden/>
              </w:rPr>
              <w:tab/>
            </w:r>
            <w:r w:rsidR="00BB2478">
              <w:rPr>
                <w:noProof/>
                <w:webHidden/>
              </w:rPr>
              <w:fldChar w:fldCharType="begin"/>
            </w:r>
            <w:r w:rsidR="00BB2478">
              <w:rPr>
                <w:noProof/>
                <w:webHidden/>
              </w:rPr>
              <w:instrText xml:space="preserve"> PAGEREF _Toc456267408 \h </w:instrText>
            </w:r>
            <w:r w:rsidR="00BB2478">
              <w:rPr>
                <w:noProof/>
                <w:webHidden/>
              </w:rPr>
            </w:r>
            <w:r w:rsidR="00BB2478">
              <w:rPr>
                <w:noProof/>
                <w:webHidden/>
              </w:rPr>
              <w:fldChar w:fldCharType="separate"/>
            </w:r>
            <w:r w:rsidR="00F3134D">
              <w:rPr>
                <w:noProof/>
                <w:webHidden/>
              </w:rPr>
              <w:t>9</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09" w:history="1">
            <w:r w:rsidR="00BB2478" w:rsidRPr="00BF2AFD">
              <w:rPr>
                <w:rStyle w:val="Hyperlink"/>
                <w:noProof/>
              </w:rPr>
              <w:t>Demand Trends</w:t>
            </w:r>
            <w:r w:rsidR="00BB2478">
              <w:rPr>
                <w:noProof/>
                <w:webHidden/>
              </w:rPr>
              <w:tab/>
            </w:r>
            <w:r w:rsidR="00BB2478">
              <w:rPr>
                <w:noProof/>
                <w:webHidden/>
              </w:rPr>
              <w:fldChar w:fldCharType="begin"/>
            </w:r>
            <w:r w:rsidR="00BB2478">
              <w:rPr>
                <w:noProof/>
                <w:webHidden/>
              </w:rPr>
              <w:instrText xml:space="preserve"> PAGEREF _Toc456267409 \h </w:instrText>
            </w:r>
            <w:r w:rsidR="00BB2478">
              <w:rPr>
                <w:noProof/>
                <w:webHidden/>
              </w:rPr>
            </w:r>
            <w:r w:rsidR="00BB2478">
              <w:rPr>
                <w:noProof/>
                <w:webHidden/>
              </w:rPr>
              <w:fldChar w:fldCharType="separate"/>
            </w:r>
            <w:r w:rsidR="00F3134D">
              <w:rPr>
                <w:noProof/>
                <w:webHidden/>
              </w:rPr>
              <w:t>9</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0" w:history="1">
            <w:r w:rsidR="00BB2478" w:rsidRPr="00BF2AFD">
              <w:rPr>
                <w:rStyle w:val="Hyperlink"/>
                <w:noProof/>
              </w:rPr>
              <w:t>Financial Trends</w:t>
            </w:r>
            <w:r w:rsidR="00BB2478">
              <w:rPr>
                <w:noProof/>
                <w:webHidden/>
              </w:rPr>
              <w:tab/>
            </w:r>
            <w:r w:rsidR="00BB2478">
              <w:rPr>
                <w:noProof/>
                <w:webHidden/>
              </w:rPr>
              <w:fldChar w:fldCharType="begin"/>
            </w:r>
            <w:r w:rsidR="00BB2478">
              <w:rPr>
                <w:noProof/>
                <w:webHidden/>
              </w:rPr>
              <w:instrText xml:space="preserve"> PAGEREF _Toc456267410 \h </w:instrText>
            </w:r>
            <w:r w:rsidR="00BB2478">
              <w:rPr>
                <w:noProof/>
                <w:webHidden/>
              </w:rPr>
            </w:r>
            <w:r w:rsidR="00BB2478">
              <w:rPr>
                <w:noProof/>
                <w:webHidden/>
              </w:rPr>
              <w:fldChar w:fldCharType="separate"/>
            </w:r>
            <w:r w:rsidR="00F3134D">
              <w:rPr>
                <w:noProof/>
                <w:webHidden/>
              </w:rPr>
              <w:t>10</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11" w:history="1">
            <w:r w:rsidR="00BB2478" w:rsidRPr="00BF2AFD">
              <w:rPr>
                <w:rStyle w:val="Hyperlink"/>
                <w:noProof/>
              </w:rPr>
              <w:t>Demographics</w:t>
            </w:r>
            <w:r w:rsidR="00BB2478">
              <w:rPr>
                <w:noProof/>
                <w:webHidden/>
              </w:rPr>
              <w:tab/>
            </w:r>
            <w:r w:rsidR="00BB2478">
              <w:rPr>
                <w:noProof/>
                <w:webHidden/>
              </w:rPr>
              <w:fldChar w:fldCharType="begin"/>
            </w:r>
            <w:r w:rsidR="00BB2478">
              <w:rPr>
                <w:noProof/>
                <w:webHidden/>
              </w:rPr>
              <w:instrText xml:space="preserve"> PAGEREF _Toc456267411 \h </w:instrText>
            </w:r>
            <w:r w:rsidR="00BB2478">
              <w:rPr>
                <w:noProof/>
                <w:webHidden/>
              </w:rPr>
            </w:r>
            <w:r w:rsidR="00BB2478">
              <w:rPr>
                <w:noProof/>
                <w:webHidden/>
              </w:rPr>
              <w:fldChar w:fldCharType="separate"/>
            </w:r>
            <w:r w:rsidR="00F3134D">
              <w:rPr>
                <w:noProof/>
                <w:webHidden/>
              </w:rPr>
              <w:t>12</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2" w:history="1">
            <w:r w:rsidR="00BB2478" w:rsidRPr="00BF2AFD">
              <w:rPr>
                <w:rStyle w:val="Hyperlink"/>
                <w:noProof/>
              </w:rPr>
              <w:t>Patient Numbers</w:t>
            </w:r>
            <w:r w:rsidR="00BB2478">
              <w:rPr>
                <w:noProof/>
                <w:webHidden/>
              </w:rPr>
              <w:tab/>
            </w:r>
            <w:r w:rsidR="00BB2478">
              <w:rPr>
                <w:noProof/>
                <w:webHidden/>
              </w:rPr>
              <w:fldChar w:fldCharType="begin"/>
            </w:r>
            <w:r w:rsidR="00BB2478">
              <w:rPr>
                <w:noProof/>
                <w:webHidden/>
              </w:rPr>
              <w:instrText xml:space="preserve"> PAGEREF _Toc456267412 \h </w:instrText>
            </w:r>
            <w:r w:rsidR="00BB2478">
              <w:rPr>
                <w:noProof/>
                <w:webHidden/>
              </w:rPr>
            </w:r>
            <w:r w:rsidR="00BB2478">
              <w:rPr>
                <w:noProof/>
                <w:webHidden/>
              </w:rPr>
              <w:fldChar w:fldCharType="separate"/>
            </w:r>
            <w:r w:rsidR="00F3134D">
              <w:rPr>
                <w:noProof/>
                <w:webHidden/>
              </w:rPr>
              <w:t>12</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3" w:history="1">
            <w:r w:rsidR="00BB2478" w:rsidRPr="00BF2AFD">
              <w:rPr>
                <w:rStyle w:val="Hyperlink"/>
                <w:noProof/>
              </w:rPr>
              <w:t>Geographic Distribution</w:t>
            </w:r>
            <w:r w:rsidR="00BB2478">
              <w:rPr>
                <w:noProof/>
                <w:webHidden/>
              </w:rPr>
              <w:tab/>
            </w:r>
            <w:r w:rsidR="00BB2478">
              <w:rPr>
                <w:noProof/>
                <w:webHidden/>
              </w:rPr>
              <w:fldChar w:fldCharType="begin"/>
            </w:r>
            <w:r w:rsidR="00BB2478">
              <w:rPr>
                <w:noProof/>
                <w:webHidden/>
              </w:rPr>
              <w:instrText xml:space="preserve"> PAGEREF _Toc456267413 \h </w:instrText>
            </w:r>
            <w:r w:rsidR="00BB2478">
              <w:rPr>
                <w:noProof/>
                <w:webHidden/>
              </w:rPr>
            </w:r>
            <w:r w:rsidR="00BB2478">
              <w:rPr>
                <w:noProof/>
                <w:webHidden/>
              </w:rPr>
              <w:fldChar w:fldCharType="separate"/>
            </w:r>
            <w:r w:rsidR="00F3134D">
              <w:rPr>
                <w:noProof/>
                <w:webHidden/>
              </w:rPr>
              <w:t>12</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4" w:history="1">
            <w:r w:rsidR="00BB2478" w:rsidRPr="00BF2AFD">
              <w:rPr>
                <w:rStyle w:val="Hyperlink"/>
                <w:noProof/>
                <w:lang w:val="en-GB"/>
              </w:rPr>
              <w:t>Age</w:t>
            </w:r>
            <w:r w:rsidR="00BB2478">
              <w:rPr>
                <w:noProof/>
                <w:webHidden/>
              </w:rPr>
              <w:tab/>
            </w:r>
            <w:r w:rsidR="00BB2478">
              <w:rPr>
                <w:noProof/>
                <w:webHidden/>
              </w:rPr>
              <w:fldChar w:fldCharType="begin"/>
            </w:r>
            <w:r w:rsidR="00BB2478">
              <w:rPr>
                <w:noProof/>
                <w:webHidden/>
              </w:rPr>
              <w:instrText xml:space="preserve"> PAGEREF _Toc456267414 \h </w:instrText>
            </w:r>
            <w:r w:rsidR="00BB2478">
              <w:rPr>
                <w:noProof/>
                <w:webHidden/>
              </w:rPr>
            </w:r>
            <w:r w:rsidR="00BB2478">
              <w:rPr>
                <w:noProof/>
                <w:webHidden/>
              </w:rPr>
              <w:fldChar w:fldCharType="separate"/>
            </w:r>
            <w:r w:rsidR="00F3134D">
              <w:rPr>
                <w:noProof/>
                <w:webHidden/>
              </w:rPr>
              <w:t>14</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5" w:history="1">
            <w:r w:rsidR="00BB2478" w:rsidRPr="00BF2AFD">
              <w:rPr>
                <w:rStyle w:val="Hyperlink"/>
                <w:noProof/>
              </w:rPr>
              <w:t>Weight</w:t>
            </w:r>
            <w:r w:rsidR="00BB2478">
              <w:rPr>
                <w:noProof/>
                <w:webHidden/>
              </w:rPr>
              <w:tab/>
            </w:r>
            <w:r w:rsidR="00BB2478">
              <w:rPr>
                <w:noProof/>
                <w:webHidden/>
              </w:rPr>
              <w:fldChar w:fldCharType="begin"/>
            </w:r>
            <w:r w:rsidR="00BB2478">
              <w:rPr>
                <w:noProof/>
                <w:webHidden/>
              </w:rPr>
              <w:instrText xml:space="preserve"> PAGEREF _Toc456267415 \h </w:instrText>
            </w:r>
            <w:r w:rsidR="00BB2478">
              <w:rPr>
                <w:noProof/>
                <w:webHidden/>
              </w:rPr>
            </w:r>
            <w:r w:rsidR="00BB2478">
              <w:rPr>
                <w:noProof/>
                <w:webHidden/>
              </w:rPr>
              <w:fldChar w:fldCharType="separate"/>
            </w:r>
            <w:r w:rsidR="00F3134D">
              <w:rPr>
                <w:noProof/>
                <w:webHidden/>
              </w:rPr>
              <w:t>14</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16" w:history="1">
            <w:r w:rsidR="00BB2478" w:rsidRPr="00BF2AFD">
              <w:rPr>
                <w:rStyle w:val="Hyperlink"/>
                <w:noProof/>
              </w:rPr>
              <w:t>Expenditure</w:t>
            </w:r>
            <w:r w:rsidR="00BB2478">
              <w:rPr>
                <w:noProof/>
                <w:webHidden/>
              </w:rPr>
              <w:tab/>
            </w:r>
            <w:r w:rsidR="00BB2478">
              <w:rPr>
                <w:noProof/>
                <w:webHidden/>
              </w:rPr>
              <w:fldChar w:fldCharType="begin"/>
            </w:r>
            <w:r w:rsidR="00BB2478">
              <w:rPr>
                <w:noProof/>
                <w:webHidden/>
              </w:rPr>
              <w:instrText xml:space="preserve"> PAGEREF _Toc456267416 \h </w:instrText>
            </w:r>
            <w:r w:rsidR="00BB2478">
              <w:rPr>
                <w:noProof/>
                <w:webHidden/>
              </w:rPr>
            </w:r>
            <w:r w:rsidR="00BB2478">
              <w:rPr>
                <w:noProof/>
                <w:webHidden/>
              </w:rPr>
              <w:fldChar w:fldCharType="separate"/>
            </w:r>
            <w:r w:rsidR="00F3134D">
              <w:rPr>
                <w:noProof/>
                <w:webHidden/>
              </w:rPr>
              <w:t>16</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17" w:history="1">
            <w:r w:rsidR="00BB2478" w:rsidRPr="00BF2AFD">
              <w:rPr>
                <w:rStyle w:val="Hyperlink"/>
                <w:noProof/>
              </w:rPr>
              <w:t>Clinical Indications</w:t>
            </w:r>
            <w:r w:rsidR="00BB2478">
              <w:rPr>
                <w:noProof/>
                <w:webHidden/>
              </w:rPr>
              <w:tab/>
            </w:r>
            <w:r w:rsidR="00BB2478">
              <w:rPr>
                <w:noProof/>
                <w:webHidden/>
              </w:rPr>
              <w:fldChar w:fldCharType="begin"/>
            </w:r>
            <w:r w:rsidR="00BB2478">
              <w:rPr>
                <w:noProof/>
                <w:webHidden/>
              </w:rPr>
              <w:instrText xml:space="preserve"> PAGEREF _Toc456267417 \h </w:instrText>
            </w:r>
            <w:r w:rsidR="00BB2478">
              <w:rPr>
                <w:noProof/>
                <w:webHidden/>
              </w:rPr>
            </w:r>
            <w:r w:rsidR="00BB2478">
              <w:rPr>
                <w:noProof/>
                <w:webHidden/>
              </w:rPr>
              <w:fldChar w:fldCharType="separate"/>
            </w:r>
            <w:r w:rsidR="00F3134D">
              <w:rPr>
                <w:noProof/>
                <w:webHidden/>
              </w:rPr>
              <w:t>18</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8" w:history="1">
            <w:r w:rsidR="00BB2478" w:rsidRPr="00BF2AFD">
              <w:rPr>
                <w:rStyle w:val="Hyperlink"/>
                <w:noProof/>
              </w:rPr>
              <w:t>Ig issues by criteria chapter</w:t>
            </w:r>
            <w:r w:rsidR="00BB2478">
              <w:rPr>
                <w:noProof/>
                <w:webHidden/>
              </w:rPr>
              <w:tab/>
            </w:r>
            <w:r w:rsidR="00BB2478">
              <w:rPr>
                <w:noProof/>
                <w:webHidden/>
              </w:rPr>
              <w:fldChar w:fldCharType="begin"/>
            </w:r>
            <w:r w:rsidR="00BB2478">
              <w:rPr>
                <w:noProof/>
                <w:webHidden/>
              </w:rPr>
              <w:instrText xml:space="preserve"> PAGEREF _Toc456267418 \h </w:instrText>
            </w:r>
            <w:r w:rsidR="00BB2478">
              <w:rPr>
                <w:noProof/>
                <w:webHidden/>
              </w:rPr>
            </w:r>
            <w:r w:rsidR="00BB2478">
              <w:rPr>
                <w:noProof/>
                <w:webHidden/>
              </w:rPr>
              <w:fldChar w:fldCharType="separate"/>
            </w:r>
            <w:r w:rsidR="00F3134D">
              <w:rPr>
                <w:noProof/>
                <w:webHidden/>
              </w:rPr>
              <w:t>18</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19" w:history="1">
            <w:r w:rsidR="00BB2478" w:rsidRPr="00BF2AFD">
              <w:rPr>
                <w:rStyle w:val="Hyperlink"/>
                <w:noProof/>
              </w:rPr>
              <w:t>Ig issues by diagnostic groups</w:t>
            </w:r>
            <w:r w:rsidR="00BB2478">
              <w:rPr>
                <w:noProof/>
                <w:webHidden/>
              </w:rPr>
              <w:tab/>
            </w:r>
            <w:r w:rsidR="00BB2478">
              <w:rPr>
                <w:noProof/>
                <w:webHidden/>
              </w:rPr>
              <w:fldChar w:fldCharType="begin"/>
            </w:r>
            <w:r w:rsidR="00BB2478">
              <w:rPr>
                <w:noProof/>
                <w:webHidden/>
              </w:rPr>
              <w:instrText xml:space="preserve"> PAGEREF _Toc456267419 \h </w:instrText>
            </w:r>
            <w:r w:rsidR="00BB2478">
              <w:rPr>
                <w:noProof/>
                <w:webHidden/>
              </w:rPr>
            </w:r>
            <w:r w:rsidR="00BB2478">
              <w:rPr>
                <w:noProof/>
                <w:webHidden/>
              </w:rPr>
              <w:fldChar w:fldCharType="separate"/>
            </w:r>
            <w:r w:rsidR="00F3134D">
              <w:rPr>
                <w:noProof/>
                <w:webHidden/>
              </w:rPr>
              <w:t>19</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20" w:history="1">
            <w:r w:rsidR="00BB2478" w:rsidRPr="00BF2AFD">
              <w:rPr>
                <w:rStyle w:val="Hyperlink"/>
                <w:noProof/>
              </w:rPr>
              <w:t>Ig issues by condition</w:t>
            </w:r>
            <w:r w:rsidR="00BB2478">
              <w:rPr>
                <w:noProof/>
                <w:webHidden/>
              </w:rPr>
              <w:tab/>
            </w:r>
            <w:r w:rsidR="00BB2478">
              <w:rPr>
                <w:noProof/>
                <w:webHidden/>
              </w:rPr>
              <w:fldChar w:fldCharType="begin"/>
            </w:r>
            <w:r w:rsidR="00BB2478">
              <w:rPr>
                <w:noProof/>
                <w:webHidden/>
              </w:rPr>
              <w:instrText xml:space="preserve"> PAGEREF _Toc456267420 \h </w:instrText>
            </w:r>
            <w:r w:rsidR="00BB2478">
              <w:rPr>
                <w:noProof/>
                <w:webHidden/>
              </w:rPr>
            </w:r>
            <w:r w:rsidR="00BB2478">
              <w:rPr>
                <w:noProof/>
                <w:webHidden/>
              </w:rPr>
              <w:fldChar w:fldCharType="separate"/>
            </w:r>
            <w:r w:rsidR="00F3134D">
              <w:rPr>
                <w:noProof/>
                <w:webHidden/>
              </w:rPr>
              <w:t>21</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21" w:history="1">
            <w:r w:rsidR="00BB2478" w:rsidRPr="00BF2AFD">
              <w:rPr>
                <w:rStyle w:val="Hyperlink"/>
                <w:noProof/>
              </w:rPr>
              <w:t>Ig issues by clinical discipline</w:t>
            </w:r>
            <w:r w:rsidR="00BB2478">
              <w:rPr>
                <w:noProof/>
                <w:webHidden/>
              </w:rPr>
              <w:tab/>
            </w:r>
            <w:r w:rsidR="00BB2478">
              <w:rPr>
                <w:noProof/>
                <w:webHidden/>
              </w:rPr>
              <w:fldChar w:fldCharType="begin"/>
            </w:r>
            <w:r w:rsidR="00BB2478">
              <w:rPr>
                <w:noProof/>
                <w:webHidden/>
              </w:rPr>
              <w:instrText xml:space="preserve"> PAGEREF _Toc456267421 \h </w:instrText>
            </w:r>
            <w:r w:rsidR="00BB2478">
              <w:rPr>
                <w:noProof/>
                <w:webHidden/>
              </w:rPr>
            </w:r>
            <w:r w:rsidR="00BB2478">
              <w:rPr>
                <w:noProof/>
                <w:webHidden/>
              </w:rPr>
              <w:fldChar w:fldCharType="separate"/>
            </w:r>
            <w:r w:rsidR="00F3134D">
              <w:rPr>
                <w:noProof/>
                <w:webHidden/>
              </w:rPr>
              <w:t>24</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22" w:history="1">
            <w:r w:rsidR="00BB2478" w:rsidRPr="00BF2AFD">
              <w:rPr>
                <w:rStyle w:val="Hyperlink"/>
                <w:noProof/>
              </w:rPr>
              <w:t>Ig grams issued per 1,000 population</w:t>
            </w:r>
            <w:r w:rsidR="00BB2478">
              <w:rPr>
                <w:noProof/>
                <w:webHidden/>
              </w:rPr>
              <w:tab/>
            </w:r>
            <w:r w:rsidR="00BB2478">
              <w:rPr>
                <w:noProof/>
                <w:webHidden/>
              </w:rPr>
              <w:fldChar w:fldCharType="begin"/>
            </w:r>
            <w:r w:rsidR="00BB2478">
              <w:rPr>
                <w:noProof/>
                <w:webHidden/>
              </w:rPr>
              <w:instrText xml:space="preserve"> PAGEREF _Toc456267422 \h </w:instrText>
            </w:r>
            <w:r w:rsidR="00BB2478">
              <w:rPr>
                <w:noProof/>
                <w:webHidden/>
              </w:rPr>
            </w:r>
            <w:r w:rsidR="00BB2478">
              <w:rPr>
                <w:noProof/>
                <w:webHidden/>
              </w:rPr>
              <w:fldChar w:fldCharType="separate"/>
            </w:r>
            <w:r w:rsidR="00F3134D">
              <w:rPr>
                <w:noProof/>
                <w:webHidden/>
              </w:rPr>
              <w:t>25</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23" w:history="1">
            <w:r w:rsidR="00BB2478" w:rsidRPr="00BF2AFD">
              <w:rPr>
                <w:rStyle w:val="Hyperlink"/>
                <w:noProof/>
              </w:rPr>
              <w:t>Dosing</w:t>
            </w:r>
            <w:r w:rsidR="00BB2478">
              <w:rPr>
                <w:noProof/>
                <w:webHidden/>
              </w:rPr>
              <w:tab/>
            </w:r>
            <w:r w:rsidR="00BB2478">
              <w:rPr>
                <w:noProof/>
                <w:webHidden/>
              </w:rPr>
              <w:fldChar w:fldCharType="begin"/>
            </w:r>
            <w:r w:rsidR="00BB2478">
              <w:rPr>
                <w:noProof/>
                <w:webHidden/>
              </w:rPr>
              <w:instrText xml:space="preserve"> PAGEREF _Toc456267423 \h </w:instrText>
            </w:r>
            <w:r w:rsidR="00BB2478">
              <w:rPr>
                <w:noProof/>
                <w:webHidden/>
              </w:rPr>
            </w:r>
            <w:r w:rsidR="00BB2478">
              <w:rPr>
                <w:noProof/>
                <w:webHidden/>
              </w:rPr>
              <w:fldChar w:fldCharType="separate"/>
            </w:r>
            <w:r w:rsidR="00F3134D">
              <w:rPr>
                <w:noProof/>
                <w:webHidden/>
              </w:rPr>
              <w:t>30</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24" w:history="1">
            <w:r w:rsidR="00BB2478" w:rsidRPr="00BF2AFD">
              <w:rPr>
                <w:rStyle w:val="Hyperlink"/>
                <w:noProof/>
              </w:rPr>
              <w:t>Products and Use</w:t>
            </w:r>
            <w:r w:rsidR="00BB2478">
              <w:rPr>
                <w:noProof/>
                <w:webHidden/>
              </w:rPr>
              <w:tab/>
            </w:r>
            <w:r w:rsidR="00BB2478">
              <w:rPr>
                <w:noProof/>
                <w:webHidden/>
              </w:rPr>
              <w:fldChar w:fldCharType="begin"/>
            </w:r>
            <w:r w:rsidR="00BB2478">
              <w:rPr>
                <w:noProof/>
                <w:webHidden/>
              </w:rPr>
              <w:instrText xml:space="preserve"> PAGEREF _Toc456267424 \h </w:instrText>
            </w:r>
            <w:r w:rsidR="00BB2478">
              <w:rPr>
                <w:noProof/>
                <w:webHidden/>
              </w:rPr>
            </w:r>
            <w:r w:rsidR="00BB2478">
              <w:rPr>
                <w:noProof/>
                <w:webHidden/>
              </w:rPr>
              <w:fldChar w:fldCharType="separate"/>
            </w:r>
            <w:r w:rsidR="00F3134D">
              <w:rPr>
                <w:noProof/>
                <w:webHidden/>
              </w:rPr>
              <w:t>32</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25" w:history="1">
            <w:r w:rsidR="00BB2478" w:rsidRPr="00BF2AFD">
              <w:rPr>
                <w:rStyle w:val="Hyperlink"/>
                <w:noProof/>
              </w:rPr>
              <w:t>Appendix A – Background</w:t>
            </w:r>
            <w:r w:rsidR="00BB2478">
              <w:rPr>
                <w:noProof/>
                <w:webHidden/>
              </w:rPr>
              <w:tab/>
            </w:r>
            <w:r w:rsidR="00BB2478">
              <w:rPr>
                <w:noProof/>
                <w:webHidden/>
              </w:rPr>
              <w:fldChar w:fldCharType="begin"/>
            </w:r>
            <w:r w:rsidR="00BB2478">
              <w:rPr>
                <w:noProof/>
                <w:webHidden/>
              </w:rPr>
              <w:instrText xml:space="preserve"> PAGEREF _Toc456267425 \h </w:instrText>
            </w:r>
            <w:r w:rsidR="00BB2478">
              <w:rPr>
                <w:noProof/>
                <w:webHidden/>
              </w:rPr>
            </w:r>
            <w:r w:rsidR="00BB2478">
              <w:rPr>
                <w:noProof/>
                <w:webHidden/>
              </w:rPr>
              <w:fldChar w:fldCharType="separate"/>
            </w:r>
            <w:r w:rsidR="00F3134D">
              <w:rPr>
                <w:noProof/>
                <w:webHidden/>
              </w:rPr>
              <w:t>35</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26" w:history="1">
            <w:r w:rsidR="00BB2478" w:rsidRPr="00BF2AFD">
              <w:rPr>
                <w:rStyle w:val="Hyperlink"/>
                <w:noProof/>
              </w:rPr>
              <w:t>Appendix B – Acronyms and Glossary</w:t>
            </w:r>
            <w:r w:rsidR="00BB2478">
              <w:rPr>
                <w:noProof/>
                <w:webHidden/>
              </w:rPr>
              <w:tab/>
            </w:r>
            <w:r w:rsidR="00BB2478">
              <w:rPr>
                <w:noProof/>
                <w:webHidden/>
              </w:rPr>
              <w:fldChar w:fldCharType="begin"/>
            </w:r>
            <w:r w:rsidR="00BB2478">
              <w:rPr>
                <w:noProof/>
                <w:webHidden/>
              </w:rPr>
              <w:instrText xml:space="preserve"> PAGEREF _Toc456267426 \h </w:instrText>
            </w:r>
            <w:r w:rsidR="00BB2478">
              <w:rPr>
                <w:noProof/>
                <w:webHidden/>
              </w:rPr>
            </w:r>
            <w:r w:rsidR="00BB2478">
              <w:rPr>
                <w:noProof/>
                <w:webHidden/>
              </w:rPr>
              <w:fldChar w:fldCharType="separate"/>
            </w:r>
            <w:r w:rsidR="00F3134D">
              <w:rPr>
                <w:noProof/>
                <w:webHidden/>
              </w:rPr>
              <w:t>39</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27" w:history="1">
            <w:r w:rsidR="00BB2478" w:rsidRPr="00BF2AFD">
              <w:rPr>
                <w:rStyle w:val="Hyperlink"/>
                <w:noProof/>
              </w:rPr>
              <w:t>Acronyms</w:t>
            </w:r>
            <w:r w:rsidR="00BB2478">
              <w:rPr>
                <w:noProof/>
                <w:webHidden/>
              </w:rPr>
              <w:tab/>
            </w:r>
            <w:r w:rsidR="00BB2478">
              <w:rPr>
                <w:noProof/>
                <w:webHidden/>
              </w:rPr>
              <w:fldChar w:fldCharType="begin"/>
            </w:r>
            <w:r w:rsidR="00BB2478">
              <w:rPr>
                <w:noProof/>
                <w:webHidden/>
              </w:rPr>
              <w:instrText xml:space="preserve"> PAGEREF _Toc456267427 \h </w:instrText>
            </w:r>
            <w:r w:rsidR="00BB2478">
              <w:rPr>
                <w:noProof/>
                <w:webHidden/>
              </w:rPr>
            </w:r>
            <w:r w:rsidR="00BB2478">
              <w:rPr>
                <w:noProof/>
                <w:webHidden/>
              </w:rPr>
              <w:fldChar w:fldCharType="separate"/>
            </w:r>
            <w:r w:rsidR="00F3134D">
              <w:rPr>
                <w:noProof/>
                <w:webHidden/>
              </w:rPr>
              <w:t>39</w:t>
            </w:r>
            <w:r w:rsidR="00BB2478">
              <w:rPr>
                <w:noProof/>
                <w:webHidden/>
              </w:rPr>
              <w:fldChar w:fldCharType="end"/>
            </w:r>
          </w:hyperlink>
        </w:p>
        <w:p w:rsidR="00BB2478" w:rsidRDefault="002A066B">
          <w:pPr>
            <w:pStyle w:val="TOC2"/>
            <w:tabs>
              <w:tab w:val="right" w:leader="dot" w:pos="9323"/>
            </w:tabs>
            <w:rPr>
              <w:rFonts w:eastAsiaTheme="minorEastAsia" w:cstheme="minorBidi"/>
              <w:smallCaps w:val="0"/>
              <w:noProof/>
              <w:sz w:val="22"/>
              <w:szCs w:val="22"/>
              <w:lang w:eastAsia="en-AU"/>
            </w:rPr>
          </w:pPr>
          <w:hyperlink w:anchor="_Toc456267428" w:history="1">
            <w:r w:rsidR="00BB2478" w:rsidRPr="00BF2AFD">
              <w:rPr>
                <w:rStyle w:val="Hyperlink"/>
                <w:noProof/>
              </w:rPr>
              <w:t>Glossary of terms</w:t>
            </w:r>
            <w:r w:rsidR="00BB2478">
              <w:rPr>
                <w:noProof/>
                <w:webHidden/>
              </w:rPr>
              <w:tab/>
            </w:r>
            <w:r w:rsidR="00BB2478">
              <w:rPr>
                <w:noProof/>
                <w:webHidden/>
              </w:rPr>
              <w:fldChar w:fldCharType="begin"/>
            </w:r>
            <w:r w:rsidR="00BB2478">
              <w:rPr>
                <w:noProof/>
                <w:webHidden/>
              </w:rPr>
              <w:instrText xml:space="preserve"> PAGEREF _Toc456267428 \h </w:instrText>
            </w:r>
            <w:r w:rsidR="00BB2478">
              <w:rPr>
                <w:noProof/>
                <w:webHidden/>
              </w:rPr>
            </w:r>
            <w:r w:rsidR="00BB2478">
              <w:rPr>
                <w:noProof/>
                <w:webHidden/>
              </w:rPr>
              <w:fldChar w:fldCharType="separate"/>
            </w:r>
            <w:r w:rsidR="00F3134D">
              <w:rPr>
                <w:noProof/>
                <w:webHidden/>
              </w:rPr>
              <w:t>40</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29" w:history="1">
            <w:r w:rsidR="00BB2478" w:rsidRPr="00BF2AFD">
              <w:rPr>
                <w:rStyle w:val="Hyperlink"/>
                <w:noProof/>
              </w:rPr>
              <w:t>Appendix C – Clinical Discipline mapping table</w:t>
            </w:r>
            <w:r w:rsidR="00BB2478">
              <w:rPr>
                <w:noProof/>
                <w:webHidden/>
              </w:rPr>
              <w:tab/>
            </w:r>
            <w:r w:rsidR="00BB2478">
              <w:rPr>
                <w:noProof/>
                <w:webHidden/>
              </w:rPr>
              <w:fldChar w:fldCharType="begin"/>
            </w:r>
            <w:r w:rsidR="00BB2478">
              <w:rPr>
                <w:noProof/>
                <w:webHidden/>
              </w:rPr>
              <w:instrText xml:space="preserve"> PAGEREF _Toc456267429 \h </w:instrText>
            </w:r>
            <w:r w:rsidR="00BB2478">
              <w:rPr>
                <w:noProof/>
                <w:webHidden/>
              </w:rPr>
            </w:r>
            <w:r w:rsidR="00BB2478">
              <w:rPr>
                <w:noProof/>
                <w:webHidden/>
              </w:rPr>
              <w:fldChar w:fldCharType="separate"/>
            </w:r>
            <w:r w:rsidR="00F3134D">
              <w:rPr>
                <w:noProof/>
                <w:webHidden/>
              </w:rPr>
              <w:t>42</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30" w:history="1">
            <w:r w:rsidR="00BB2478" w:rsidRPr="00BF2AFD">
              <w:rPr>
                <w:rStyle w:val="Hyperlink"/>
                <w:noProof/>
              </w:rPr>
              <w:t>Appendix D – Dataset of Ig supply by state/territory 2014-15</w:t>
            </w:r>
            <w:r w:rsidR="00BB2478">
              <w:rPr>
                <w:noProof/>
                <w:webHidden/>
              </w:rPr>
              <w:tab/>
            </w:r>
            <w:r w:rsidR="00BB2478">
              <w:rPr>
                <w:noProof/>
                <w:webHidden/>
              </w:rPr>
              <w:fldChar w:fldCharType="begin"/>
            </w:r>
            <w:r w:rsidR="00BB2478">
              <w:rPr>
                <w:noProof/>
                <w:webHidden/>
              </w:rPr>
              <w:instrText xml:space="preserve"> PAGEREF _Toc456267430 \h </w:instrText>
            </w:r>
            <w:r w:rsidR="00BB2478">
              <w:rPr>
                <w:noProof/>
                <w:webHidden/>
              </w:rPr>
            </w:r>
            <w:r w:rsidR="00BB2478">
              <w:rPr>
                <w:noProof/>
                <w:webHidden/>
              </w:rPr>
              <w:fldChar w:fldCharType="separate"/>
            </w:r>
            <w:r w:rsidR="00F3134D">
              <w:rPr>
                <w:noProof/>
                <w:webHidden/>
              </w:rPr>
              <w:t>48</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31" w:history="1">
            <w:r w:rsidR="00BB2478" w:rsidRPr="00BF2AFD">
              <w:rPr>
                <w:rStyle w:val="Hyperlink"/>
                <w:noProof/>
              </w:rPr>
              <w:t>Appendix E – Grams Ig Issued by State and Territory</w:t>
            </w:r>
            <w:r w:rsidR="00BB2478">
              <w:rPr>
                <w:noProof/>
                <w:webHidden/>
              </w:rPr>
              <w:tab/>
            </w:r>
            <w:r w:rsidR="00BB2478">
              <w:rPr>
                <w:noProof/>
                <w:webHidden/>
              </w:rPr>
              <w:fldChar w:fldCharType="begin"/>
            </w:r>
            <w:r w:rsidR="00BB2478">
              <w:rPr>
                <w:noProof/>
                <w:webHidden/>
              </w:rPr>
              <w:instrText xml:space="preserve"> PAGEREF _Toc456267431 \h </w:instrText>
            </w:r>
            <w:r w:rsidR="00BB2478">
              <w:rPr>
                <w:noProof/>
                <w:webHidden/>
              </w:rPr>
            </w:r>
            <w:r w:rsidR="00BB2478">
              <w:rPr>
                <w:noProof/>
                <w:webHidden/>
              </w:rPr>
              <w:fldChar w:fldCharType="separate"/>
            </w:r>
            <w:r w:rsidR="00F3134D">
              <w:rPr>
                <w:noProof/>
                <w:webHidden/>
              </w:rPr>
              <w:t>62</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32" w:history="1">
            <w:r w:rsidR="00BB2478" w:rsidRPr="00BF2AFD">
              <w:rPr>
                <w:rStyle w:val="Hyperlink"/>
                <w:noProof/>
              </w:rPr>
              <w:t>Appendix F – Unique Patients by Quarter and State and Territory</w:t>
            </w:r>
            <w:r w:rsidR="00BB2478">
              <w:rPr>
                <w:noProof/>
                <w:webHidden/>
              </w:rPr>
              <w:tab/>
            </w:r>
            <w:r w:rsidR="00BB2478">
              <w:rPr>
                <w:noProof/>
                <w:webHidden/>
              </w:rPr>
              <w:fldChar w:fldCharType="begin"/>
            </w:r>
            <w:r w:rsidR="00BB2478">
              <w:rPr>
                <w:noProof/>
                <w:webHidden/>
              </w:rPr>
              <w:instrText xml:space="preserve"> PAGEREF _Toc456267432 \h </w:instrText>
            </w:r>
            <w:r w:rsidR="00BB2478">
              <w:rPr>
                <w:noProof/>
                <w:webHidden/>
              </w:rPr>
            </w:r>
            <w:r w:rsidR="00BB2478">
              <w:rPr>
                <w:noProof/>
                <w:webHidden/>
              </w:rPr>
              <w:fldChar w:fldCharType="separate"/>
            </w:r>
            <w:r w:rsidR="00F3134D">
              <w:rPr>
                <w:noProof/>
                <w:webHidden/>
              </w:rPr>
              <w:t>63</w:t>
            </w:r>
            <w:r w:rsidR="00BB2478">
              <w:rPr>
                <w:noProof/>
                <w:webHidden/>
              </w:rPr>
              <w:fldChar w:fldCharType="end"/>
            </w:r>
          </w:hyperlink>
        </w:p>
        <w:p w:rsidR="00BB2478" w:rsidRDefault="002A066B">
          <w:pPr>
            <w:pStyle w:val="TOC1"/>
            <w:tabs>
              <w:tab w:val="right" w:leader="dot" w:pos="9323"/>
            </w:tabs>
            <w:rPr>
              <w:rFonts w:eastAsiaTheme="minorEastAsia" w:cstheme="minorBidi"/>
              <w:b w:val="0"/>
              <w:bCs w:val="0"/>
              <w:caps w:val="0"/>
              <w:noProof/>
              <w:sz w:val="22"/>
              <w:szCs w:val="22"/>
              <w:lang w:eastAsia="en-AU"/>
            </w:rPr>
          </w:pPr>
          <w:hyperlink w:anchor="_Toc456267433" w:history="1">
            <w:r w:rsidR="00BB2478" w:rsidRPr="00BF2AFD">
              <w:rPr>
                <w:rStyle w:val="Hyperlink"/>
                <w:noProof/>
              </w:rPr>
              <w:t>Appendix G – System Source for Tables and Figures</w:t>
            </w:r>
            <w:r w:rsidR="00BB2478">
              <w:rPr>
                <w:noProof/>
                <w:webHidden/>
              </w:rPr>
              <w:tab/>
            </w:r>
            <w:r w:rsidR="00BB2478">
              <w:rPr>
                <w:noProof/>
                <w:webHidden/>
              </w:rPr>
              <w:fldChar w:fldCharType="begin"/>
            </w:r>
            <w:r w:rsidR="00BB2478">
              <w:rPr>
                <w:noProof/>
                <w:webHidden/>
              </w:rPr>
              <w:instrText xml:space="preserve"> PAGEREF _Toc456267433 \h </w:instrText>
            </w:r>
            <w:r w:rsidR="00BB2478">
              <w:rPr>
                <w:noProof/>
                <w:webHidden/>
              </w:rPr>
            </w:r>
            <w:r w:rsidR="00BB2478">
              <w:rPr>
                <w:noProof/>
                <w:webHidden/>
              </w:rPr>
              <w:fldChar w:fldCharType="separate"/>
            </w:r>
            <w:r w:rsidR="00F3134D">
              <w:rPr>
                <w:noProof/>
                <w:webHidden/>
              </w:rPr>
              <w:t>64</w:t>
            </w:r>
            <w:r w:rsidR="00BB2478">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1" w:name="_Toc456267402"/>
      <w:r>
        <w:lastRenderedPageBreak/>
        <w:t>List of Tables</w:t>
      </w:r>
      <w:bookmarkEnd w:id="1"/>
    </w:p>
    <w:p w:rsidR="005C4775"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456266144" w:history="1">
        <w:r w:rsidR="005C4775" w:rsidRPr="00A01F46">
          <w:rPr>
            <w:rStyle w:val="Hyperlink"/>
            <w:noProof/>
          </w:rPr>
          <w:t>Table 1</w:t>
        </w:r>
        <w:r w:rsidR="005C4775">
          <w:rPr>
            <w:rFonts w:asciiTheme="minorHAnsi" w:eastAsiaTheme="minorEastAsia" w:hAnsiTheme="minorHAnsi" w:cstheme="minorBidi"/>
            <w:noProof/>
            <w:lang w:eastAsia="en-AU"/>
          </w:rPr>
          <w:tab/>
        </w:r>
        <w:r w:rsidR="005C4775" w:rsidRPr="00A01F46">
          <w:rPr>
            <w:rStyle w:val="Hyperlink"/>
            <w:noProof/>
          </w:rPr>
          <w:t>Growth in Ig grams issued since 2005</w:t>
        </w:r>
        <w:r w:rsidR="005C4775">
          <w:rPr>
            <w:noProof/>
            <w:webHidden/>
          </w:rPr>
          <w:tab/>
        </w:r>
        <w:r w:rsidR="005C4775">
          <w:rPr>
            <w:noProof/>
            <w:webHidden/>
          </w:rPr>
          <w:fldChar w:fldCharType="begin"/>
        </w:r>
        <w:r w:rsidR="005C4775">
          <w:rPr>
            <w:noProof/>
            <w:webHidden/>
          </w:rPr>
          <w:instrText xml:space="preserve"> PAGEREF _Toc456266144 \h </w:instrText>
        </w:r>
        <w:r w:rsidR="005C4775">
          <w:rPr>
            <w:noProof/>
            <w:webHidden/>
          </w:rPr>
        </w:r>
        <w:r w:rsidR="005C4775">
          <w:rPr>
            <w:noProof/>
            <w:webHidden/>
          </w:rPr>
          <w:fldChar w:fldCharType="separate"/>
        </w:r>
        <w:r w:rsidR="00F3134D">
          <w:rPr>
            <w:noProof/>
            <w:webHidden/>
          </w:rPr>
          <w:t>9</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45" w:history="1">
        <w:r w:rsidR="005C4775" w:rsidRPr="00A01F46">
          <w:rPr>
            <w:rStyle w:val="Hyperlink"/>
            <w:noProof/>
          </w:rPr>
          <w:t>Table 2</w:t>
        </w:r>
        <w:r w:rsidR="005C4775">
          <w:rPr>
            <w:rFonts w:asciiTheme="minorHAnsi" w:eastAsiaTheme="minorEastAsia" w:hAnsiTheme="minorHAnsi" w:cstheme="minorBidi"/>
            <w:noProof/>
            <w:lang w:eastAsia="en-AU"/>
          </w:rPr>
          <w:tab/>
        </w:r>
        <w:r w:rsidR="005C4775" w:rsidRPr="00A01F46">
          <w:rPr>
            <w:rStyle w:val="Hyperlink"/>
            <w:noProof/>
          </w:rPr>
          <w:t>Percentage change in grams issued over time by state and territory</w:t>
        </w:r>
        <w:r w:rsidR="005C4775">
          <w:rPr>
            <w:noProof/>
            <w:webHidden/>
          </w:rPr>
          <w:tab/>
        </w:r>
        <w:r w:rsidR="005C4775">
          <w:rPr>
            <w:noProof/>
            <w:webHidden/>
          </w:rPr>
          <w:fldChar w:fldCharType="begin"/>
        </w:r>
        <w:r w:rsidR="005C4775">
          <w:rPr>
            <w:noProof/>
            <w:webHidden/>
          </w:rPr>
          <w:instrText xml:space="preserve"> PAGEREF _Toc456266145 \h </w:instrText>
        </w:r>
        <w:r w:rsidR="005C4775">
          <w:rPr>
            <w:noProof/>
            <w:webHidden/>
          </w:rPr>
        </w:r>
        <w:r w:rsidR="005C4775">
          <w:rPr>
            <w:noProof/>
            <w:webHidden/>
          </w:rPr>
          <w:fldChar w:fldCharType="separate"/>
        </w:r>
        <w:r w:rsidR="00F3134D">
          <w:rPr>
            <w:noProof/>
            <w:webHidden/>
          </w:rPr>
          <w:t>10</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46" w:history="1">
        <w:r w:rsidR="005C4775" w:rsidRPr="00A01F46">
          <w:rPr>
            <w:rStyle w:val="Hyperlink"/>
            <w:noProof/>
          </w:rPr>
          <w:t>Table 3</w:t>
        </w:r>
        <w:r w:rsidR="005C4775">
          <w:rPr>
            <w:rFonts w:asciiTheme="minorHAnsi" w:eastAsiaTheme="minorEastAsia" w:hAnsiTheme="minorHAnsi" w:cstheme="minorBidi"/>
            <w:noProof/>
            <w:lang w:eastAsia="en-AU"/>
          </w:rPr>
          <w:tab/>
        </w:r>
        <w:r w:rsidR="005C4775" w:rsidRPr="00A01F46">
          <w:rPr>
            <w:rStyle w:val="Hyperlink"/>
            <w:noProof/>
          </w:rPr>
          <w:t>Annual numbers of patients, treatment episodes and grams</w:t>
        </w:r>
        <w:r w:rsidR="005C4775">
          <w:rPr>
            <w:noProof/>
            <w:webHidden/>
          </w:rPr>
          <w:tab/>
        </w:r>
        <w:r w:rsidR="005C4775">
          <w:rPr>
            <w:noProof/>
            <w:webHidden/>
          </w:rPr>
          <w:fldChar w:fldCharType="begin"/>
        </w:r>
        <w:r w:rsidR="005C4775">
          <w:rPr>
            <w:noProof/>
            <w:webHidden/>
          </w:rPr>
          <w:instrText xml:space="preserve"> PAGEREF _Toc456266146 \h </w:instrText>
        </w:r>
        <w:r w:rsidR="005C4775">
          <w:rPr>
            <w:noProof/>
            <w:webHidden/>
          </w:rPr>
        </w:r>
        <w:r w:rsidR="005C4775">
          <w:rPr>
            <w:noProof/>
            <w:webHidden/>
          </w:rPr>
          <w:fldChar w:fldCharType="separate"/>
        </w:r>
        <w:r w:rsidR="00F3134D">
          <w:rPr>
            <w:noProof/>
            <w:webHidden/>
          </w:rPr>
          <w:t>12</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47" w:history="1">
        <w:r w:rsidR="005C4775" w:rsidRPr="00A01F46">
          <w:rPr>
            <w:rStyle w:val="Hyperlink"/>
            <w:noProof/>
          </w:rPr>
          <w:t>Table 4</w:t>
        </w:r>
        <w:r w:rsidR="005C4775">
          <w:rPr>
            <w:rFonts w:asciiTheme="minorHAnsi" w:eastAsiaTheme="minorEastAsia" w:hAnsiTheme="minorHAnsi" w:cstheme="minorBidi"/>
            <w:noProof/>
            <w:lang w:eastAsia="en-AU"/>
          </w:rPr>
          <w:tab/>
        </w:r>
        <w:r w:rsidR="005C4775" w:rsidRPr="00A01F46">
          <w:rPr>
            <w:rStyle w:val="Hyperlink"/>
            <w:noProof/>
          </w:rPr>
          <w:t>Basic numbers</w:t>
        </w:r>
        <w:r w:rsidR="005C4775">
          <w:rPr>
            <w:noProof/>
            <w:webHidden/>
          </w:rPr>
          <w:tab/>
        </w:r>
        <w:r w:rsidR="005C4775">
          <w:rPr>
            <w:noProof/>
            <w:webHidden/>
          </w:rPr>
          <w:fldChar w:fldCharType="begin"/>
        </w:r>
        <w:r w:rsidR="005C4775">
          <w:rPr>
            <w:noProof/>
            <w:webHidden/>
          </w:rPr>
          <w:instrText xml:space="preserve"> PAGEREF _Toc456266147 \h </w:instrText>
        </w:r>
        <w:r w:rsidR="005C4775">
          <w:rPr>
            <w:noProof/>
            <w:webHidden/>
          </w:rPr>
        </w:r>
        <w:r w:rsidR="005C4775">
          <w:rPr>
            <w:noProof/>
            <w:webHidden/>
          </w:rPr>
          <w:fldChar w:fldCharType="separate"/>
        </w:r>
        <w:r w:rsidR="00F3134D">
          <w:rPr>
            <w:noProof/>
            <w:webHidden/>
          </w:rPr>
          <w:t>12</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48" w:history="1">
        <w:r w:rsidR="005C4775" w:rsidRPr="00A01F46">
          <w:rPr>
            <w:rStyle w:val="Hyperlink"/>
            <w:noProof/>
          </w:rPr>
          <w:t>Table 5</w:t>
        </w:r>
        <w:r w:rsidR="005C4775">
          <w:rPr>
            <w:rFonts w:asciiTheme="minorHAnsi" w:eastAsiaTheme="minorEastAsia" w:hAnsiTheme="minorHAnsi" w:cstheme="minorBidi"/>
            <w:noProof/>
            <w:lang w:eastAsia="en-AU"/>
          </w:rPr>
          <w:tab/>
        </w:r>
        <w:r w:rsidR="005C4775" w:rsidRPr="00A01F46">
          <w:rPr>
            <w:rStyle w:val="Hyperlink"/>
            <w:noProof/>
          </w:rPr>
          <w:t>Issues of domestic Ig compared with imported Ig</w:t>
        </w:r>
        <w:r w:rsidR="005C4775">
          <w:rPr>
            <w:noProof/>
            <w:webHidden/>
          </w:rPr>
          <w:tab/>
        </w:r>
        <w:r w:rsidR="005C4775">
          <w:rPr>
            <w:noProof/>
            <w:webHidden/>
          </w:rPr>
          <w:fldChar w:fldCharType="begin"/>
        </w:r>
        <w:r w:rsidR="005C4775">
          <w:rPr>
            <w:noProof/>
            <w:webHidden/>
          </w:rPr>
          <w:instrText xml:space="preserve"> PAGEREF _Toc456266148 \h </w:instrText>
        </w:r>
        <w:r w:rsidR="005C4775">
          <w:rPr>
            <w:noProof/>
            <w:webHidden/>
          </w:rPr>
        </w:r>
        <w:r w:rsidR="005C4775">
          <w:rPr>
            <w:noProof/>
            <w:webHidden/>
          </w:rPr>
          <w:fldChar w:fldCharType="separate"/>
        </w:r>
        <w:r w:rsidR="00F3134D">
          <w:rPr>
            <w:noProof/>
            <w:webHidden/>
          </w:rPr>
          <w:t>17</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49" w:history="1">
        <w:r w:rsidR="005C4775" w:rsidRPr="00A01F46">
          <w:rPr>
            <w:rStyle w:val="Hyperlink"/>
            <w:noProof/>
          </w:rPr>
          <w:t>Table 6</w:t>
        </w:r>
        <w:r w:rsidR="005C4775">
          <w:rPr>
            <w:rFonts w:asciiTheme="minorHAnsi" w:eastAsiaTheme="minorEastAsia" w:hAnsiTheme="minorHAnsi" w:cstheme="minorBidi"/>
            <w:noProof/>
            <w:lang w:eastAsia="en-AU"/>
          </w:rPr>
          <w:tab/>
        </w:r>
        <w:r w:rsidR="005C4775" w:rsidRPr="00A01F46">
          <w:rPr>
            <w:rStyle w:val="Hyperlink"/>
            <w:noProof/>
          </w:rPr>
          <w:t>Ig issues (g) by Criteria chapter</w:t>
        </w:r>
        <w:r w:rsidR="005C4775">
          <w:rPr>
            <w:noProof/>
            <w:webHidden/>
          </w:rPr>
          <w:tab/>
        </w:r>
        <w:r w:rsidR="005C4775">
          <w:rPr>
            <w:noProof/>
            <w:webHidden/>
          </w:rPr>
          <w:fldChar w:fldCharType="begin"/>
        </w:r>
        <w:r w:rsidR="005C4775">
          <w:rPr>
            <w:noProof/>
            <w:webHidden/>
          </w:rPr>
          <w:instrText xml:space="preserve"> PAGEREF _Toc456266149 \h </w:instrText>
        </w:r>
        <w:r w:rsidR="005C4775">
          <w:rPr>
            <w:noProof/>
            <w:webHidden/>
          </w:rPr>
        </w:r>
        <w:r w:rsidR="005C4775">
          <w:rPr>
            <w:noProof/>
            <w:webHidden/>
          </w:rPr>
          <w:fldChar w:fldCharType="separate"/>
        </w:r>
        <w:r w:rsidR="00F3134D">
          <w:rPr>
            <w:noProof/>
            <w:webHidden/>
          </w:rPr>
          <w:t>18</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50" w:history="1">
        <w:r w:rsidR="005C4775" w:rsidRPr="00A01F46">
          <w:rPr>
            <w:rStyle w:val="Hyperlink"/>
            <w:noProof/>
          </w:rPr>
          <w:t>Table 7</w:t>
        </w:r>
        <w:r w:rsidR="005C4775">
          <w:rPr>
            <w:rFonts w:asciiTheme="minorHAnsi" w:eastAsiaTheme="minorEastAsia" w:hAnsiTheme="minorHAnsi" w:cstheme="minorBidi"/>
            <w:noProof/>
            <w:lang w:eastAsia="en-AU"/>
          </w:rPr>
          <w:tab/>
        </w:r>
        <w:r w:rsidR="005C4775" w:rsidRPr="00A01F46">
          <w:rPr>
            <w:rStyle w:val="Hyperlink"/>
            <w:noProof/>
          </w:rPr>
          <w:t>Ig issues by Criteria chapter (percentage)</w:t>
        </w:r>
        <w:r w:rsidR="005C4775">
          <w:rPr>
            <w:noProof/>
            <w:webHidden/>
          </w:rPr>
          <w:tab/>
        </w:r>
        <w:r w:rsidR="005C4775">
          <w:rPr>
            <w:noProof/>
            <w:webHidden/>
          </w:rPr>
          <w:fldChar w:fldCharType="begin"/>
        </w:r>
        <w:r w:rsidR="005C4775">
          <w:rPr>
            <w:noProof/>
            <w:webHidden/>
          </w:rPr>
          <w:instrText xml:space="preserve"> PAGEREF _Toc456266150 \h </w:instrText>
        </w:r>
        <w:r w:rsidR="005C4775">
          <w:rPr>
            <w:noProof/>
            <w:webHidden/>
          </w:rPr>
        </w:r>
        <w:r w:rsidR="005C4775">
          <w:rPr>
            <w:noProof/>
            <w:webHidden/>
          </w:rPr>
          <w:fldChar w:fldCharType="separate"/>
        </w:r>
        <w:r w:rsidR="00F3134D">
          <w:rPr>
            <w:noProof/>
            <w:webHidden/>
          </w:rPr>
          <w:t>19</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51" w:history="1">
        <w:r w:rsidR="005C4775" w:rsidRPr="00A01F46">
          <w:rPr>
            <w:rStyle w:val="Hyperlink"/>
            <w:noProof/>
          </w:rPr>
          <w:t>Table 8</w:t>
        </w:r>
        <w:r w:rsidR="005C4775">
          <w:rPr>
            <w:rFonts w:asciiTheme="minorHAnsi" w:eastAsiaTheme="minorEastAsia" w:hAnsiTheme="minorHAnsi" w:cstheme="minorBidi"/>
            <w:noProof/>
            <w:lang w:eastAsia="en-AU"/>
          </w:rPr>
          <w:tab/>
        </w:r>
        <w:r w:rsidR="005C4775" w:rsidRPr="00A01F46">
          <w:rPr>
            <w:rStyle w:val="Hyperlink"/>
            <w:noProof/>
          </w:rPr>
          <w:t>Ig grams issued for top 10 diagnostic groups over time</w:t>
        </w:r>
        <w:r w:rsidR="005C4775">
          <w:rPr>
            <w:noProof/>
            <w:webHidden/>
          </w:rPr>
          <w:tab/>
        </w:r>
        <w:r w:rsidR="005C4775">
          <w:rPr>
            <w:noProof/>
            <w:webHidden/>
          </w:rPr>
          <w:fldChar w:fldCharType="begin"/>
        </w:r>
        <w:r w:rsidR="005C4775">
          <w:rPr>
            <w:noProof/>
            <w:webHidden/>
          </w:rPr>
          <w:instrText xml:space="preserve"> PAGEREF _Toc456266151 \h </w:instrText>
        </w:r>
        <w:r w:rsidR="005C4775">
          <w:rPr>
            <w:noProof/>
            <w:webHidden/>
          </w:rPr>
        </w:r>
        <w:r w:rsidR="005C4775">
          <w:rPr>
            <w:noProof/>
            <w:webHidden/>
          </w:rPr>
          <w:fldChar w:fldCharType="separate"/>
        </w:r>
        <w:r w:rsidR="00F3134D">
          <w:rPr>
            <w:noProof/>
            <w:webHidden/>
          </w:rPr>
          <w:t>21</w:t>
        </w:r>
        <w:r w:rsidR="005C4775">
          <w:rPr>
            <w:noProof/>
            <w:webHidden/>
          </w:rPr>
          <w:fldChar w:fldCharType="end"/>
        </w:r>
      </w:hyperlink>
    </w:p>
    <w:p w:rsidR="005C4775" w:rsidRDefault="002A066B">
      <w:pPr>
        <w:pStyle w:val="TableofFigures"/>
        <w:tabs>
          <w:tab w:val="left" w:pos="880"/>
          <w:tab w:val="right" w:leader="dot" w:pos="9323"/>
        </w:tabs>
        <w:rPr>
          <w:rFonts w:asciiTheme="minorHAnsi" w:eastAsiaTheme="minorEastAsia" w:hAnsiTheme="minorHAnsi" w:cstheme="minorBidi"/>
          <w:noProof/>
          <w:lang w:eastAsia="en-AU"/>
        </w:rPr>
      </w:pPr>
      <w:hyperlink w:anchor="_Toc456266152" w:history="1">
        <w:r w:rsidR="005C4775" w:rsidRPr="00A01F46">
          <w:rPr>
            <w:rStyle w:val="Hyperlink"/>
            <w:noProof/>
          </w:rPr>
          <w:t>Table 9</w:t>
        </w:r>
        <w:r w:rsidR="005C4775">
          <w:rPr>
            <w:rFonts w:asciiTheme="minorHAnsi" w:eastAsiaTheme="minorEastAsia" w:hAnsiTheme="minorHAnsi" w:cstheme="minorBidi"/>
            <w:noProof/>
            <w:lang w:eastAsia="en-AU"/>
          </w:rPr>
          <w:tab/>
        </w:r>
        <w:r w:rsidR="005C4775" w:rsidRPr="00A01F46">
          <w:rPr>
            <w:rStyle w:val="Hyperlink"/>
            <w:noProof/>
          </w:rPr>
          <w:t>Patient numbers and age for the top 20 conditions</w:t>
        </w:r>
        <w:r w:rsidR="005C4775">
          <w:rPr>
            <w:noProof/>
            <w:webHidden/>
          </w:rPr>
          <w:tab/>
        </w:r>
        <w:r w:rsidR="005C4775">
          <w:rPr>
            <w:noProof/>
            <w:webHidden/>
          </w:rPr>
          <w:fldChar w:fldCharType="begin"/>
        </w:r>
        <w:r w:rsidR="005C4775">
          <w:rPr>
            <w:noProof/>
            <w:webHidden/>
          </w:rPr>
          <w:instrText xml:space="preserve"> PAGEREF _Toc456266152 \h </w:instrText>
        </w:r>
        <w:r w:rsidR="005C4775">
          <w:rPr>
            <w:noProof/>
            <w:webHidden/>
          </w:rPr>
        </w:r>
        <w:r w:rsidR="005C4775">
          <w:rPr>
            <w:noProof/>
            <w:webHidden/>
          </w:rPr>
          <w:fldChar w:fldCharType="separate"/>
        </w:r>
        <w:r w:rsidR="00F3134D">
          <w:rPr>
            <w:noProof/>
            <w:webHidden/>
          </w:rPr>
          <w:t>22</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3" w:history="1">
        <w:r w:rsidR="005C4775" w:rsidRPr="00A01F46">
          <w:rPr>
            <w:rStyle w:val="Hyperlink"/>
            <w:noProof/>
          </w:rPr>
          <w:t>Table 10</w:t>
        </w:r>
        <w:r w:rsidR="005C4775">
          <w:rPr>
            <w:rFonts w:asciiTheme="minorHAnsi" w:eastAsiaTheme="minorEastAsia" w:hAnsiTheme="minorHAnsi" w:cstheme="minorBidi"/>
            <w:noProof/>
            <w:lang w:eastAsia="en-AU"/>
          </w:rPr>
          <w:tab/>
        </w:r>
        <w:r w:rsidR="005C4775" w:rsidRPr="00A01F46">
          <w:rPr>
            <w:rStyle w:val="Hyperlink"/>
            <w:noProof/>
          </w:rPr>
          <w:t>Ig grams issued by clinical discipline</w:t>
        </w:r>
        <w:r w:rsidR="005C4775">
          <w:rPr>
            <w:noProof/>
            <w:webHidden/>
          </w:rPr>
          <w:tab/>
        </w:r>
        <w:r w:rsidR="005C4775">
          <w:rPr>
            <w:noProof/>
            <w:webHidden/>
          </w:rPr>
          <w:fldChar w:fldCharType="begin"/>
        </w:r>
        <w:r w:rsidR="005C4775">
          <w:rPr>
            <w:noProof/>
            <w:webHidden/>
          </w:rPr>
          <w:instrText xml:space="preserve"> PAGEREF _Toc456266153 \h </w:instrText>
        </w:r>
        <w:r w:rsidR="005C4775">
          <w:rPr>
            <w:noProof/>
            <w:webHidden/>
          </w:rPr>
        </w:r>
        <w:r w:rsidR="005C4775">
          <w:rPr>
            <w:noProof/>
            <w:webHidden/>
          </w:rPr>
          <w:fldChar w:fldCharType="separate"/>
        </w:r>
        <w:r w:rsidR="00F3134D">
          <w:rPr>
            <w:noProof/>
            <w:webHidden/>
          </w:rPr>
          <w:t>24</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4" w:history="1">
        <w:r w:rsidR="005C4775" w:rsidRPr="00A01F46">
          <w:rPr>
            <w:rStyle w:val="Hyperlink"/>
            <w:noProof/>
          </w:rPr>
          <w:t>Table 11</w:t>
        </w:r>
        <w:r w:rsidR="005C4775">
          <w:rPr>
            <w:rFonts w:asciiTheme="minorHAnsi" w:eastAsiaTheme="minorEastAsia" w:hAnsiTheme="minorHAnsi" w:cstheme="minorBidi"/>
            <w:noProof/>
            <w:lang w:eastAsia="en-AU"/>
          </w:rPr>
          <w:tab/>
        </w:r>
        <w:r w:rsidR="005C4775" w:rsidRPr="00A01F46">
          <w:rPr>
            <w:rStyle w:val="Hyperlink"/>
            <w:noProof/>
          </w:rPr>
          <w:t>Grams of Ig issued by state and territory</w:t>
        </w:r>
        <w:r w:rsidR="005C4775">
          <w:rPr>
            <w:noProof/>
            <w:webHidden/>
          </w:rPr>
          <w:tab/>
        </w:r>
        <w:r w:rsidR="005C4775">
          <w:rPr>
            <w:noProof/>
            <w:webHidden/>
          </w:rPr>
          <w:fldChar w:fldCharType="begin"/>
        </w:r>
        <w:r w:rsidR="005C4775">
          <w:rPr>
            <w:noProof/>
            <w:webHidden/>
          </w:rPr>
          <w:instrText xml:space="preserve"> PAGEREF _Toc456266154 \h </w:instrText>
        </w:r>
        <w:r w:rsidR="005C4775">
          <w:rPr>
            <w:noProof/>
            <w:webHidden/>
          </w:rPr>
        </w:r>
        <w:r w:rsidR="005C4775">
          <w:rPr>
            <w:noProof/>
            <w:webHidden/>
          </w:rPr>
          <w:fldChar w:fldCharType="separate"/>
        </w:r>
        <w:r w:rsidR="00F3134D">
          <w:rPr>
            <w:noProof/>
            <w:webHidden/>
          </w:rPr>
          <w:t>26</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5" w:history="1">
        <w:r w:rsidR="005C4775" w:rsidRPr="00A01F46">
          <w:rPr>
            <w:rStyle w:val="Hyperlink"/>
            <w:noProof/>
          </w:rPr>
          <w:t>Table 12</w:t>
        </w:r>
        <w:r w:rsidR="005C4775">
          <w:rPr>
            <w:rFonts w:asciiTheme="minorHAnsi" w:eastAsiaTheme="minorEastAsia" w:hAnsiTheme="minorHAnsi" w:cstheme="minorBidi"/>
            <w:noProof/>
            <w:lang w:eastAsia="en-AU"/>
          </w:rPr>
          <w:tab/>
        </w:r>
        <w:r w:rsidR="005C4775" w:rsidRPr="00A01F46">
          <w:rPr>
            <w:rStyle w:val="Hyperlink"/>
            <w:noProof/>
          </w:rPr>
          <w:t>Patient numbers by state and territory: chronic inflammatory demyelinating polyneuropathy</w:t>
        </w:r>
        <w:r w:rsidR="005C4775">
          <w:rPr>
            <w:noProof/>
            <w:webHidden/>
          </w:rPr>
          <w:tab/>
        </w:r>
        <w:r w:rsidR="005C4775">
          <w:rPr>
            <w:noProof/>
            <w:webHidden/>
          </w:rPr>
          <w:fldChar w:fldCharType="begin"/>
        </w:r>
        <w:r w:rsidR="005C4775">
          <w:rPr>
            <w:noProof/>
            <w:webHidden/>
          </w:rPr>
          <w:instrText xml:space="preserve"> PAGEREF _Toc456266155 \h </w:instrText>
        </w:r>
        <w:r w:rsidR="005C4775">
          <w:rPr>
            <w:noProof/>
            <w:webHidden/>
          </w:rPr>
        </w:r>
        <w:r w:rsidR="005C4775">
          <w:rPr>
            <w:noProof/>
            <w:webHidden/>
          </w:rPr>
          <w:fldChar w:fldCharType="separate"/>
        </w:r>
        <w:r w:rsidR="00F3134D">
          <w:rPr>
            <w:noProof/>
            <w:webHidden/>
          </w:rPr>
          <w:t>26</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6" w:history="1">
        <w:r w:rsidR="005C4775" w:rsidRPr="00A01F46">
          <w:rPr>
            <w:rStyle w:val="Hyperlink"/>
            <w:noProof/>
          </w:rPr>
          <w:t>Table 13</w:t>
        </w:r>
        <w:r w:rsidR="005C4775">
          <w:rPr>
            <w:rFonts w:asciiTheme="minorHAnsi" w:eastAsiaTheme="minorEastAsia" w:hAnsiTheme="minorHAnsi" w:cstheme="minorBidi"/>
            <w:noProof/>
            <w:lang w:eastAsia="en-AU"/>
          </w:rPr>
          <w:tab/>
        </w:r>
        <w:r w:rsidR="005C4775" w:rsidRPr="00A01F46">
          <w:rPr>
            <w:rStyle w:val="Hyperlink"/>
            <w:noProof/>
          </w:rPr>
          <w:t>Patient numbers by state and territory: common variable immunodeficiency disease</w:t>
        </w:r>
        <w:r w:rsidR="005C4775">
          <w:rPr>
            <w:noProof/>
            <w:webHidden/>
          </w:rPr>
          <w:tab/>
        </w:r>
        <w:r w:rsidR="005C4775">
          <w:rPr>
            <w:noProof/>
            <w:webHidden/>
          </w:rPr>
          <w:fldChar w:fldCharType="begin"/>
        </w:r>
        <w:r w:rsidR="005C4775">
          <w:rPr>
            <w:noProof/>
            <w:webHidden/>
          </w:rPr>
          <w:instrText xml:space="preserve"> PAGEREF _Toc456266156 \h </w:instrText>
        </w:r>
        <w:r w:rsidR="005C4775">
          <w:rPr>
            <w:noProof/>
            <w:webHidden/>
          </w:rPr>
        </w:r>
        <w:r w:rsidR="005C4775">
          <w:rPr>
            <w:noProof/>
            <w:webHidden/>
          </w:rPr>
          <w:fldChar w:fldCharType="separate"/>
        </w:r>
        <w:r w:rsidR="00F3134D">
          <w:rPr>
            <w:noProof/>
            <w:webHidden/>
          </w:rPr>
          <w:t>27</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7" w:history="1">
        <w:r w:rsidR="005C4775" w:rsidRPr="00A01F46">
          <w:rPr>
            <w:rStyle w:val="Hyperlink"/>
            <w:noProof/>
          </w:rPr>
          <w:t>Table 14</w:t>
        </w:r>
        <w:r w:rsidR="005C4775">
          <w:rPr>
            <w:rFonts w:asciiTheme="minorHAnsi" w:eastAsiaTheme="minorEastAsia" w:hAnsiTheme="minorHAnsi" w:cstheme="minorBidi"/>
            <w:noProof/>
            <w:lang w:eastAsia="en-AU"/>
          </w:rPr>
          <w:tab/>
        </w:r>
        <w:r w:rsidR="005C4775" w:rsidRPr="00A01F46">
          <w:rPr>
            <w:rStyle w:val="Hyperlink"/>
            <w:noProof/>
          </w:rPr>
          <w:t>Patient numbers by state and territory: myasthenia gravis</w:t>
        </w:r>
        <w:r w:rsidR="005C4775">
          <w:rPr>
            <w:noProof/>
            <w:webHidden/>
          </w:rPr>
          <w:tab/>
        </w:r>
        <w:r w:rsidR="005C4775">
          <w:rPr>
            <w:noProof/>
            <w:webHidden/>
          </w:rPr>
          <w:fldChar w:fldCharType="begin"/>
        </w:r>
        <w:r w:rsidR="005C4775">
          <w:rPr>
            <w:noProof/>
            <w:webHidden/>
          </w:rPr>
          <w:instrText xml:space="preserve"> PAGEREF _Toc456266157 \h </w:instrText>
        </w:r>
        <w:r w:rsidR="005C4775">
          <w:rPr>
            <w:noProof/>
            <w:webHidden/>
          </w:rPr>
        </w:r>
        <w:r w:rsidR="005C4775">
          <w:rPr>
            <w:noProof/>
            <w:webHidden/>
          </w:rPr>
          <w:fldChar w:fldCharType="separate"/>
        </w:r>
        <w:r w:rsidR="00F3134D">
          <w:rPr>
            <w:noProof/>
            <w:webHidden/>
          </w:rPr>
          <w:t>27</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8" w:history="1">
        <w:r w:rsidR="005C4775" w:rsidRPr="00A01F46">
          <w:rPr>
            <w:rStyle w:val="Hyperlink"/>
            <w:noProof/>
          </w:rPr>
          <w:t>Table 15</w:t>
        </w:r>
        <w:r w:rsidR="005C4775">
          <w:rPr>
            <w:rFonts w:asciiTheme="minorHAnsi" w:eastAsiaTheme="minorEastAsia" w:hAnsiTheme="minorHAnsi" w:cstheme="minorBidi"/>
            <w:noProof/>
            <w:lang w:eastAsia="en-AU"/>
          </w:rPr>
          <w:tab/>
        </w:r>
        <w:r w:rsidR="005C4775" w:rsidRPr="00A01F46">
          <w:rPr>
            <w:rStyle w:val="Hyperlink"/>
            <w:noProof/>
          </w:rPr>
          <w:t>Patient numbers by state and territory: chronic lymphocytic leukaemia</w:t>
        </w:r>
        <w:r w:rsidR="005C4775">
          <w:rPr>
            <w:noProof/>
            <w:webHidden/>
          </w:rPr>
          <w:tab/>
        </w:r>
        <w:r w:rsidR="005C4775">
          <w:rPr>
            <w:noProof/>
            <w:webHidden/>
          </w:rPr>
          <w:fldChar w:fldCharType="begin"/>
        </w:r>
        <w:r w:rsidR="005C4775">
          <w:rPr>
            <w:noProof/>
            <w:webHidden/>
          </w:rPr>
          <w:instrText xml:space="preserve"> PAGEREF _Toc456266158 \h </w:instrText>
        </w:r>
        <w:r w:rsidR="005C4775">
          <w:rPr>
            <w:noProof/>
            <w:webHidden/>
          </w:rPr>
        </w:r>
        <w:r w:rsidR="005C4775">
          <w:rPr>
            <w:noProof/>
            <w:webHidden/>
          </w:rPr>
          <w:fldChar w:fldCharType="separate"/>
        </w:r>
        <w:r w:rsidR="00F3134D">
          <w:rPr>
            <w:noProof/>
            <w:webHidden/>
          </w:rPr>
          <w:t>28</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59" w:history="1">
        <w:r w:rsidR="005C4775" w:rsidRPr="00A01F46">
          <w:rPr>
            <w:rStyle w:val="Hyperlink"/>
            <w:noProof/>
          </w:rPr>
          <w:t>Table 16</w:t>
        </w:r>
        <w:r w:rsidR="005C4775">
          <w:rPr>
            <w:rFonts w:asciiTheme="minorHAnsi" w:eastAsiaTheme="minorEastAsia" w:hAnsiTheme="minorHAnsi" w:cstheme="minorBidi"/>
            <w:noProof/>
            <w:lang w:eastAsia="en-AU"/>
          </w:rPr>
          <w:tab/>
        </w:r>
        <w:r w:rsidR="005C4775" w:rsidRPr="00A01F46">
          <w:rPr>
            <w:rStyle w:val="Hyperlink"/>
            <w:noProof/>
          </w:rPr>
          <w:t>Patient numbers by state and territory: multiple myeloma</w:t>
        </w:r>
        <w:r w:rsidR="005C4775">
          <w:rPr>
            <w:noProof/>
            <w:webHidden/>
          </w:rPr>
          <w:tab/>
        </w:r>
        <w:r w:rsidR="005C4775">
          <w:rPr>
            <w:noProof/>
            <w:webHidden/>
          </w:rPr>
          <w:fldChar w:fldCharType="begin"/>
        </w:r>
        <w:r w:rsidR="005C4775">
          <w:rPr>
            <w:noProof/>
            <w:webHidden/>
          </w:rPr>
          <w:instrText xml:space="preserve"> PAGEREF _Toc456266159 \h </w:instrText>
        </w:r>
        <w:r w:rsidR="005C4775">
          <w:rPr>
            <w:noProof/>
            <w:webHidden/>
          </w:rPr>
        </w:r>
        <w:r w:rsidR="005C4775">
          <w:rPr>
            <w:noProof/>
            <w:webHidden/>
          </w:rPr>
          <w:fldChar w:fldCharType="separate"/>
        </w:r>
        <w:r w:rsidR="00F3134D">
          <w:rPr>
            <w:noProof/>
            <w:webHidden/>
          </w:rPr>
          <w:t>28</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0" w:history="1">
        <w:r w:rsidR="005C4775" w:rsidRPr="00A01F46">
          <w:rPr>
            <w:rStyle w:val="Hyperlink"/>
            <w:noProof/>
          </w:rPr>
          <w:t>Table 17</w:t>
        </w:r>
        <w:r w:rsidR="005C4775">
          <w:rPr>
            <w:rFonts w:asciiTheme="minorHAnsi" w:eastAsiaTheme="minorEastAsia" w:hAnsiTheme="minorHAnsi" w:cstheme="minorBidi"/>
            <w:noProof/>
            <w:lang w:eastAsia="en-AU"/>
          </w:rPr>
          <w:tab/>
        </w:r>
        <w:r w:rsidR="005C4775" w:rsidRPr="00A01F46">
          <w:rPr>
            <w:rStyle w:val="Hyperlink"/>
            <w:noProof/>
          </w:rPr>
          <w:t>Ig issued per 1,000 population by state and territory for top 10 conditions</w:t>
        </w:r>
        <w:r w:rsidR="005C4775">
          <w:rPr>
            <w:noProof/>
            <w:webHidden/>
          </w:rPr>
          <w:tab/>
        </w:r>
        <w:r w:rsidR="005C4775">
          <w:rPr>
            <w:noProof/>
            <w:webHidden/>
          </w:rPr>
          <w:fldChar w:fldCharType="begin"/>
        </w:r>
        <w:r w:rsidR="005C4775">
          <w:rPr>
            <w:noProof/>
            <w:webHidden/>
          </w:rPr>
          <w:instrText xml:space="preserve"> PAGEREF _Toc456266160 \h </w:instrText>
        </w:r>
        <w:r w:rsidR="005C4775">
          <w:rPr>
            <w:noProof/>
            <w:webHidden/>
          </w:rPr>
        </w:r>
        <w:r w:rsidR="005C4775">
          <w:rPr>
            <w:noProof/>
            <w:webHidden/>
          </w:rPr>
          <w:fldChar w:fldCharType="separate"/>
        </w:r>
        <w:r w:rsidR="00F3134D">
          <w:rPr>
            <w:noProof/>
            <w:webHidden/>
          </w:rPr>
          <w:t>29</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1" w:history="1">
        <w:r w:rsidR="005C4775" w:rsidRPr="00A01F46">
          <w:rPr>
            <w:rStyle w:val="Hyperlink"/>
            <w:noProof/>
          </w:rPr>
          <w:t>Table 18</w:t>
        </w:r>
        <w:r w:rsidR="005C4775">
          <w:rPr>
            <w:rFonts w:asciiTheme="minorHAnsi" w:eastAsiaTheme="minorEastAsia" w:hAnsiTheme="minorHAnsi" w:cstheme="minorBidi"/>
            <w:noProof/>
            <w:lang w:eastAsia="en-AU"/>
          </w:rPr>
          <w:tab/>
        </w:r>
        <w:r w:rsidR="005C4775" w:rsidRPr="00A01F46">
          <w:rPr>
            <w:rStyle w:val="Hyperlink"/>
            <w:noProof/>
          </w:rPr>
          <w:t>Ig grams per episode</w:t>
        </w:r>
        <w:r w:rsidR="005C4775">
          <w:rPr>
            <w:noProof/>
            <w:webHidden/>
          </w:rPr>
          <w:tab/>
        </w:r>
        <w:r w:rsidR="005C4775">
          <w:rPr>
            <w:noProof/>
            <w:webHidden/>
          </w:rPr>
          <w:fldChar w:fldCharType="begin"/>
        </w:r>
        <w:r w:rsidR="005C4775">
          <w:rPr>
            <w:noProof/>
            <w:webHidden/>
          </w:rPr>
          <w:instrText xml:space="preserve"> PAGEREF _Toc456266161 \h </w:instrText>
        </w:r>
        <w:r w:rsidR="005C4775">
          <w:rPr>
            <w:noProof/>
            <w:webHidden/>
          </w:rPr>
        </w:r>
        <w:r w:rsidR="005C4775">
          <w:rPr>
            <w:noProof/>
            <w:webHidden/>
          </w:rPr>
          <w:fldChar w:fldCharType="separate"/>
        </w:r>
        <w:r w:rsidR="00F3134D">
          <w:rPr>
            <w:noProof/>
            <w:webHidden/>
          </w:rPr>
          <w:t>31</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2" w:history="1">
        <w:r w:rsidR="005C4775" w:rsidRPr="00A01F46">
          <w:rPr>
            <w:rStyle w:val="Hyperlink"/>
            <w:noProof/>
          </w:rPr>
          <w:t>Table 19</w:t>
        </w:r>
        <w:r w:rsidR="005C4775">
          <w:rPr>
            <w:rFonts w:asciiTheme="minorHAnsi" w:eastAsiaTheme="minorEastAsia" w:hAnsiTheme="minorHAnsi" w:cstheme="minorBidi"/>
            <w:noProof/>
            <w:lang w:eastAsia="en-AU"/>
          </w:rPr>
          <w:tab/>
        </w:r>
        <w:r w:rsidR="005C4775" w:rsidRPr="00A01F46">
          <w:rPr>
            <w:rStyle w:val="Hyperlink"/>
            <w:noProof/>
          </w:rPr>
          <w:t>Patient numbers for products issued by state and territory in 2014-15</w:t>
        </w:r>
        <w:r w:rsidR="005C4775">
          <w:rPr>
            <w:noProof/>
            <w:webHidden/>
          </w:rPr>
          <w:tab/>
        </w:r>
        <w:r w:rsidR="005C4775">
          <w:rPr>
            <w:noProof/>
            <w:webHidden/>
          </w:rPr>
          <w:fldChar w:fldCharType="begin"/>
        </w:r>
        <w:r w:rsidR="005C4775">
          <w:rPr>
            <w:noProof/>
            <w:webHidden/>
          </w:rPr>
          <w:instrText xml:space="preserve"> PAGEREF _Toc456266162 \h </w:instrText>
        </w:r>
        <w:r w:rsidR="005C4775">
          <w:rPr>
            <w:noProof/>
            <w:webHidden/>
          </w:rPr>
        </w:r>
        <w:r w:rsidR="005C4775">
          <w:rPr>
            <w:noProof/>
            <w:webHidden/>
          </w:rPr>
          <w:fldChar w:fldCharType="separate"/>
        </w:r>
        <w:r w:rsidR="00F3134D">
          <w:rPr>
            <w:noProof/>
            <w:webHidden/>
          </w:rPr>
          <w:t>32</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3" w:history="1">
        <w:r w:rsidR="005C4775" w:rsidRPr="00A01F46">
          <w:rPr>
            <w:rStyle w:val="Hyperlink"/>
            <w:noProof/>
          </w:rPr>
          <w:t>Table 20</w:t>
        </w:r>
        <w:r w:rsidR="005C4775">
          <w:rPr>
            <w:rFonts w:asciiTheme="minorHAnsi" w:eastAsiaTheme="minorEastAsia" w:hAnsiTheme="minorHAnsi" w:cstheme="minorBidi"/>
            <w:noProof/>
            <w:lang w:eastAsia="en-AU"/>
          </w:rPr>
          <w:tab/>
        </w:r>
        <w:r w:rsidR="005C4775" w:rsidRPr="00A01F46">
          <w:rPr>
            <w:rStyle w:val="Hyperlink"/>
            <w:noProof/>
          </w:rPr>
          <w:t>Grams of product issued by state and territory in 2014-15</w:t>
        </w:r>
        <w:r w:rsidR="005C4775">
          <w:rPr>
            <w:noProof/>
            <w:webHidden/>
          </w:rPr>
          <w:tab/>
        </w:r>
        <w:r w:rsidR="005C4775">
          <w:rPr>
            <w:noProof/>
            <w:webHidden/>
          </w:rPr>
          <w:fldChar w:fldCharType="begin"/>
        </w:r>
        <w:r w:rsidR="005C4775">
          <w:rPr>
            <w:noProof/>
            <w:webHidden/>
          </w:rPr>
          <w:instrText xml:space="preserve"> PAGEREF _Toc456266163 \h </w:instrText>
        </w:r>
        <w:r w:rsidR="005C4775">
          <w:rPr>
            <w:noProof/>
            <w:webHidden/>
          </w:rPr>
        </w:r>
        <w:r w:rsidR="005C4775">
          <w:rPr>
            <w:noProof/>
            <w:webHidden/>
          </w:rPr>
          <w:fldChar w:fldCharType="separate"/>
        </w:r>
        <w:r w:rsidR="00F3134D">
          <w:rPr>
            <w:noProof/>
            <w:webHidden/>
          </w:rPr>
          <w:t>33</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4" w:history="1">
        <w:r w:rsidR="005C4775" w:rsidRPr="00A01F46">
          <w:rPr>
            <w:rStyle w:val="Hyperlink"/>
            <w:noProof/>
          </w:rPr>
          <w:t>Table 21</w:t>
        </w:r>
        <w:r w:rsidR="005C4775">
          <w:rPr>
            <w:rFonts w:asciiTheme="minorHAnsi" w:eastAsiaTheme="minorEastAsia" w:hAnsiTheme="minorHAnsi" w:cstheme="minorBidi"/>
            <w:noProof/>
            <w:lang w:eastAsia="en-AU"/>
          </w:rPr>
          <w:tab/>
        </w:r>
        <w:r w:rsidR="005C4775" w:rsidRPr="00A01F46">
          <w:rPr>
            <w:rStyle w:val="Hyperlink"/>
            <w:noProof/>
          </w:rPr>
          <w:t>Patient numbers for products issued by diagnostic group in 2014-15</w:t>
        </w:r>
        <w:r w:rsidR="005C4775">
          <w:rPr>
            <w:noProof/>
            <w:webHidden/>
          </w:rPr>
          <w:tab/>
        </w:r>
        <w:r w:rsidR="005C4775">
          <w:rPr>
            <w:noProof/>
            <w:webHidden/>
          </w:rPr>
          <w:fldChar w:fldCharType="begin"/>
        </w:r>
        <w:r w:rsidR="005C4775">
          <w:rPr>
            <w:noProof/>
            <w:webHidden/>
          </w:rPr>
          <w:instrText xml:space="preserve"> PAGEREF _Toc456266164 \h </w:instrText>
        </w:r>
        <w:r w:rsidR="005C4775">
          <w:rPr>
            <w:noProof/>
            <w:webHidden/>
          </w:rPr>
        </w:r>
        <w:r w:rsidR="005C4775">
          <w:rPr>
            <w:noProof/>
            <w:webHidden/>
          </w:rPr>
          <w:fldChar w:fldCharType="separate"/>
        </w:r>
        <w:r w:rsidR="00F3134D">
          <w:rPr>
            <w:noProof/>
            <w:webHidden/>
          </w:rPr>
          <w:t>33</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5" w:history="1">
        <w:r w:rsidR="005C4775" w:rsidRPr="00A01F46">
          <w:rPr>
            <w:rStyle w:val="Hyperlink"/>
            <w:noProof/>
          </w:rPr>
          <w:t>Table 22</w:t>
        </w:r>
        <w:r w:rsidR="005C4775">
          <w:rPr>
            <w:rFonts w:asciiTheme="minorHAnsi" w:eastAsiaTheme="minorEastAsia" w:hAnsiTheme="minorHAnsi" w:cstheme="minorBidi"/>
            <w:noProof/>
            <w:lang w:eastAsia="en-AU"/>
          </w:rPr>
          <w:tab/>
        </w:r>
        <w:r w:rsidR="005C4775" w:rsidRPr="00A01F46">
          <w:rPr>
            <w:rStyle w:val="Hyperlink"/>
            <w:noProof/>
          </w:rPr>
          <w:t>Grams of product issued by diagnostic group in 2014-15</w:t>
        </w:r>
        <w:r w:rsidR="005C4775">
          <w:rPr>
            <w:noProof/>
            <w:webHidden/>
          </w:rPr>
          <w:tab/>
        </w:r>
        <w:r w:rsidR="005C4775">
          <w:rPr>
            <w:noProof/>
            <w:webHidden/>
          </w:rPr>
          <w:fldChar w:fldCharType="begin"/>
        </w:r>
        <w:r w:rsidR="005C4775">
          <w:rPr>
            <w:noProof/>
            <w:webHidden/>
          </w:rPr>
          <w:instrText xml:space="preserve"> PAGEREF _Toc456266165 \h </w:instrText>
        </w:r>
        <w:r w:rsidR="005C4775">
          <w:rPr>
            <w:noProof/>
            <w:webHidden/>
          </w:rPr>
        </w:r>
        <w:r w:rsidR="005C4775">
          <w:rPr>
            <w:noProof/>
            <w:webHidden/>
          </w:rPr>
          <w:fldChar w:fldCharType="separate"/>
        </w:r>
        <w:r w:rsidR="00F3134D">
          <w:rPr>
            <w:noProof/>
            <w:webHidden/>
          </w:rPr>
          <w:t>34</w:t>
        </w:r>
        <w:r w:rsidR="005C4775">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2" w:name="_Toc456267403"/>
      <w:r>
        <w:t>List of Figures</w:t>
      </w:r>
      <w:bookmarkEnd w:id="2"/>
    </w:p>
    <w:p w:rsidR="005C4775"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456266166" w:history="1">
        <w:r w:rsidR="005C4775" w:rsidRPr="00BF1BAB">
          <w:rPr>
            <w:rStyle w:val="Hyperlink"/>
            <w:noProof/>
          </w:rPr>
          <w:t>Figure 1</w:t>
        </w:r>
        <w:r w:rsidR="005C4775">
          <w:rPr>
            <w:rFonts w:asciiTheme="minorHAnsi" w:eastAsiaTheme="minorEastAsia" w:hAnsiTheme="minorHAnsi" w:cstheme="minorBidi"/>
            <w:noProof/>
            <w:lang w:eastAsia="en-AU"/>
          </w:rPr>
          <w:tab/>
        </w:r>
        <w:r w:rsidR="005C4775" w:rsidRPr="00BF1BAB">
          <w:rPr>
            <w:rStyle w:val="Hyperlink"/>
            <w:noProof/>
          </w:rPr>
          <w:t>Ten year trends in issues of Ig</w:t>
        </w:r>
        <w:r w:rsidR="005C4775">
          <w:rPr>
            <w:noProof/>
            <w:webHidden/>
          </w:rPr>
          <w:tab/>
        </w:r>
        <w:r w:rsidR="005C4775">
          <w:rPr>
            <w:noProof/>
            <w:webHidden/>
          </w:rPr>
          <w:fldChar w:fldCharType="begin"/>
        </w:r>
        <w:r w:rsidR="005C4775">
          <w:rPr>
            <w:noProof/>
            <w:webHidden/>
          </w:rPr>
          <w:instrText xml:space="preserve"> PAGEREF _Toc456266166 \h </w:instrText>
        </w:r>
        <w:r w:rsidR="005C4775">
          <w:rPr>
            <w:noProof/>
            <w:webHidden/>
          </w:rPr>
        </w:r>
        <w:r w:rsidR="005C4775">
          <w:rPr>
            <w:noProof/>
            <w:webHidden/>
          </w:rPr>
          <w:fldChar w:fldCharType="separate"/>
        </w:r>
        <w:r w:rsidR="00F3134D">
          <w:rPr>
            <w:noProof/>
            <w:webHidden/>
          </w:rPr>
          <w:t>9</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7" w:history="1">
        <w:r w:rsidR="005C4775" w:rsidRPr="00BF1BAB">
          <w:rPr>
            <w:rStyle w:val="Hyperlink"/>
            <w:noProof/>
          </w:rPr>
          <w:t>Figure 2</w:t>
        </w:r>
        <w:r w:rsidR="005C4775">
          <w:rPr>
            <w:rFonts w:asciiTheme="minorHAnsi" w:eastAsiaTheme="minorEastAsia" w:hAnsiTheme="minorHAnsi" w:cstheme="minorBidi"/>
            <w:noProof/>
            <w:lang w:eastAsia="en-AU"/>
          </w:rPr>
          <w:tab/>
        </w:r>
        <w:r w:rsidR="005C4775" w:rsidRPr="00BF1BAB">
          <w:rPr>
            <w:rStyle w:val="Hyperlink"/>
            <w:noProof/>
          </w:rPr>
          <w:t>Ten year trends in expenditure on Ig</w:t>
        </w:r>
        <w:r w:rsidR="005C4775">
          <w:rPr>
            <w:noProof/>
            <w:webHidden/>
          </w:rPr>
          <w:tab/>
        </w:r>
        <w:r w:rsidR="005C4775">
          <w:rPr>
            <w:noProof/>
            <w:webHidden/>
          </w:rPr>
          <w:fldChar w:fldCharType="begin"/>
        </w:r>
        <w:r w:rsidR="005C4775">
          <w:rPr>
            <w:noProof/>
            <w:webHidden/>
          </w:rPr>
          <w:instrText xml:space="preserve"> PAGEREF _Toc456266167 \h </w:instrText>
        </w:r>
        <w:r w:rsidR="005C4775">
          <w:rPr>
            <w:noProof/>
            <w:webHidden/>
          </w:rPr>
        </w:r>
        <w:r w:rsidR="005C4775">
          <w:rPr>
            <w:noProof/>
            <w:webHidden/>
          </w:rPr>
          <w:fldChar w:fldCharType="separate"/>
        </w:r>
        <w:r w:rsidR="00F3134D">
          <w:rPr>
            <w:noProof/>
            <w:webHidden/>
          </w:rPr>
          <w:t>11</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8" w:history="1">
        <w:r w:rsidR="005C4775" w:rsidRPr="00BF1BAB">
          <w:rPr>
            <w:rStyle w:val="Hyperlink"/>
            <w:noProof/>
          </w:rPr>
          <w:t>Figure 3</w:t>
        </w:r>
        <w:r w:rsidR="005C4775">
          <w:rPr>
            <w:rFonts w:asciiTheme="minorHAnsi" w:eastAsiaTheme="minorEastAsia" w:hAnsiTheme="minorHAnsi" w:cstheme="minorBidi"/>
            <w:noProof/>
            <w:lang w:eastAsia="en-AU"/>
          </w:rPr>
          <w:tab/>
        </w:r>
        <w:r w:rsidR="005C4775" w:rsidRPr="00BF1BAB">
          <w:rPr>
            <w:rStyle w:val="Hyperlink"/>
            <w:noProof/>
          </w:rPr>
          <w:t>Patients per 1,000 population 2014-15</w:t>
        </w:r>
        <w:r w:rsidR="005C4775">
          <w:rPr>
            <w:noProof/>
            <w:webHidden/>
          </w:rPr>
          <w:tab/>
        </w:r>
        <w:r w:rsidR="005C4775">
          <w:rPr>
            <w:noProof/>
            <w:webHidden/>
          </w:rPr>
          <w:fldChar w:fldCharType="begin"/>
        </w:r>
        <w:r w:rsidR="005C4775">
          <w:rPr>
            <w:noProof/>
            <w:webHidden/>
          </w:rPr>
          <w:instrText xml:space="preserve"> PAGEREF _Toc456266168 \h </w:instrText>
        </w:r>
        <w:r w:rsidR="005C4775">
          <w:rPr>
            <w:noProof/>
            <w:webHidden/>
          </w:rPr>
        </w:r>
        <w:r w:rsidR="005C4775">
          <w:rPr>
            <w:noProof/>
            <w:webHidden/>
          </w:rPr>
          <w:fldChar w:fldCharType="separate"/>
        </w:r>
        <w:r w:rsidR="00F3134D">
          <w:rPr>
            <w:noProof/>
            <w:webHidden/>
          </w:rPr>
          <w:t>13</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69" w:history="1">
        <w:r w:rsidR="005C4775" w:rsidRPr="00BF1BAB">
          <w:rPr>
            <w:rStyle w:val="Hyperlink"/>
            <w:noProof/>
          </w:rPr>
          <w:t>Figure 4</w:t>
        </w:r>
        <w:r w:rsidR="005C4775">
          <w:rPr>
            <w:rFonts w:asciiTheme="minorHAnsi" w:eastAsiaTheme="minorEastAsia" w:hAnsiTheme="minorHAnsi" w:cstheme="minorBidi"/>
            <w:noProof/>
            <w:lang w:eastAsia="en-AU"/>
          </w:rPr>
          <w:tab/>
        </w:r>
        <w:r w:rsidR="005C4775" w:rsidRPr="00BF1BAB">
          <w:rPr>
            <w:rStyle w:val="Hyperlink"/>
            <w:noProof/>
          </w:rPr>
          <w:t>Grams of Ig per 1,000 population by state and territory over time</w:t>
        </w:r>
        <w:r w:rsidR="005C4775">
          <w:rPr>
            <w:noProof/>
            <w:webHidden/>
          </w:rPr>
          <w:tab/>
        </w:r>
        <w:r w:rsidR="005C4775">
          <w:rPr>
            <w:noProof/>
            <w:webHidden/>
          </w:rPr>
          <w:fldChar w:fldCharType="begin"/>
        </w:r>
        <w:r w:rsidR="005C4775">
          <w:rPr>
            <w:noProof/>
            <w:webHidden/>
          </w:rPr>
          <w:instrText xml:space="preserve"> PAGEREF _Toc456266169 \h </w:instrText>
        </w:r>
        <w:r w:rsidR="005C4775">
          <w:rPr>
            <w:noProof/>
            <w:webHidden/>
          </w:rPr>
        </w:r>
        <w:r w:rsidR="005C4775">
          <w:rPr>
            <w:noProof/>
            <w:webHidden/>
          </w:rPr>
          <w:fldChar w:fldCharType="separate"/>
        </w:r>
        <w:r w:rsidR="00F3134D">
          <w:rPr>
            <w:noProof/>
            <w:webHidden/>
          </w:rPr>
          <w:t>13</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0" w:history="1">
        <w:r w:rsidR="005C4775" w:rsidRPr="00BF1BAB">
          <w:rPr>
            <w:rStyle w:val="Hyperlink"/>
            <w:noProof/>
          </w:rPr>
          <w:t>Figure 5</w:t>
        </w:r>
        <w:r w:rsidR="005C4775">
          <w:rPr>
            <w:rFonts w:asciiTheme="minorHAnsi" w:eastAsiaTheme="minorEastAsia" w:hAnsiTheme="minorHAnsi" w:cstheme="minorBidi"/>
            <w:noProof/>
            <w:lang w:eastAsia="en-AU"/>
          </w:rPr>
          <w:tab/>
        </w:r>
        <w:r w:rsidR="005C4775" w:rsidRPr="00BF1BAB">
          <w:rPr>
            <w:rStyle w:val="Hyperlink"/>
            <w:noProof/>
          </w:rPr>
          <w:t>Patient age compared to average Australian age</w:t>
        </w:r>
        <w:r w:rsidR="005C4775">
          <w:rPr>
            <w:noProof/>
            <w:webHidden/>
          </w:rPr>
          <w:tab/>
        </w:r>
        <w:r w:rsidR="005C4775">
          <w:rPr>
            <w:noProof/>
            <w:webHidden/>
          </w:rPr>
          <w:fldChar w:fldCharType="begin"/>
        </w:r>
        <w:r w:rsidR="005C4775">
          <w:rPr>
            <w:noProof/>
            <w:webHidden/>
          </w:rPr>
          <w:instrText xml:space="preserve"> PAGEREF _Toc456266170 \h </w:instrText>
        </w:r>
        <w:r w:rsidR="005C4775">
          <w:rPr>
            <w:noProof/>
            <w:webHidden/>
          </w:rPr>
        </w:r>
        <w:r w:rsidR="005C4775">
          <w:rPr>
            <w:noProof/>
            <w:webHidden/>
          </w:rPr>
          <w:fldChar w:fldCharType="separate"/>
        </w:r>
        <w:r w:rsidR="00F3134D">
          <w:rPr>
            <w:noProof/>
            <w:webHidden/>
          </w:rPr>
          <w:t>14</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1" w:history="1">
        <w:r w:rsidR="005C4775" w:rsidRPr="00BF1BAB">
          <w:rPr>
            <w:rStyle w:val="Hyperlink"/>
            <w:noProof/>
          </w:rPr>
          <w:t>Figure 6</w:t>
        </w:r>
        <w:r w:rsidR="005C4775">
          <w:rPr>
            <w:rFonts w:asciiTheme="minorHAnsi" w:eastAsiaTheme="minorEastAsia" w:hAnsiTheme="minorHAnsi" w:cstheme="minorBidi"/>
            <w:noProof/>
            <w:lang w:eastAsia="en-AU"/>
          </w:rPr>
          <w:tab/>
        </w:r>
        <w:r w:rsidR="005C4775" w:rsidRPr="00BF1BAB">
          <w:rPr>
            <w:rStyle w:val="Hyperlink"/>
            <w:noProof/>
          </w:rPr>
          <w:t>Patient weights relative to Australian average</w:t>
        </w:r>
        <w:r w:rsidR="005C4775">
          <w:rPr>
            <w:noProof/>
            <w:webHidden/>
          </w:rPr>
          <w:tab/>
        </w:r>
        <w:r w:rsidR="005C4775">
          <w:rPr>
            <w:noProof/>
            <w:webHidden/>
          </w:rPr>
          <w:fldChar w:fldCharType="begin"/>
        </w:r>
        <w:r w:rsidR="005C4775">
          <w:rPr>
            <w:noProof/>
            <w:webHidden/>
          </w:rPr>
          <w:instrText xml:space="preserve"> PAGEREF _Toc456266171 \h </w:instrText>
        </w:r>
        <w:r w:rsidR="005C4775">
          <w:rPr>
            <w:noProof/>
            <w:webHidden/>
          </w:rPr>
        </w:r>
        <w:r w:rsidR="005C4775">
          <w:rPr>
            <w:noProof/>
            <w:webHidden/>
          </w:rPr>
          <w:fldChar w:fldCharType="separate"/>
        </w:r>
        <w:r w:rsidR="00F3134D">
          <w:rPr>
            <w:noProof/>
            <w:webHidden/>
          </w:rPr>
          <w:t>15</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2" w:history="1">
        <w:r w:rsidR="005C4775" w:rsidRPr="00BF1BAB">
          <w:rPr>
            <w:rStyle w:val="Hyperlink"/>
            <w:noProof/>
          </w:rPr>
          <w:t>Figure 7</w:t>
        </w:r>
        <w:r w:rsidR="005C4775">
          <w:rPr>
            <w:rFonts w:asciiTheme="minorHAnsi" w:eastAsiaTheme="minorEastAsia" w:hAnsiTheme="minorHAnsi" w:cstheme="minorBidi"/>
            <w:noProof/>
            <w:lang w:eastAsia="en-AU"/>
          </w:rPr>
          <w:tab/>
        </w:r>
        <w:r w:rsidR="005C4775" w:rsidRPr="00BF1BAB">
          <w:rPr>
            <w:rStyle w:val="Hyperlink"/>
            <w:noProof/>
          </w:rPr>
          <w:t>Ig expenditure as a proportion of the national blood budget</w:t>
        </w:r>
        <w:r w:rsidR="005C4775">
          <w:rPr>
            <w:noProof/>
            <w:webHidden/>
          </w:rPr>
          <w:tab/>
        </w:r>
        <w:r w:rsidR="005C4775">
          <w:rPr>
            <w:noProof/>
            <w:webHidden/>
          </w:rPr>
          <w:fldChar w:fldCharType="begin"/>
        </w:r>
        <w:r w:rsidR="005C4775">
          <w:rPr>
            <w:noProof/>
            <w:webHidden/>
          </w:rPr>
          <w:instrText xml:space="preserve"> PAGEREF _Toc456266172 \h </w:instrText>
        </w:r>
        <w:r w:rsidR="005C4775">
          <w:rPr>
            <w:noProof/>
            <w:webHidden/>
          </w:rPr>
        </w:r>
        <w:r w:rsidR="005C4775">
          <w:rPr>
            <w:noProof/>
            <w:webHidden/>
          </w:rPr>
          <w:fldChar w:fldCharType="separate"/>
        </w:r>
        <w:r w:rsidR="00F3134D">
          <w:rPr>
            <w:noProof/>
            <w:webHidden/>
          </w:rPr>
          <w:t>16</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3" w:history="1">
        <w:r w:rsidR="005C4775" w:rsidRPr="00BF1BAB">
          <w:rPr>
            <w:rStyle w:val="Hyperlink"/>
            <w:noProof/>
          </w:rPr>
          <w:t>Figure 8</w:t>
        </w:r>
        <w:r w:rsidR="005C4775">
          <w:rPr>
            <w:rFonts w:asciiTheme="minorHAnsi" w:eastAsiaTheme="minorEastAsia" w:hAnsiTheme="minorHAnsi" w:cstheme="minorBidi"/>
            <w:noProof/>
            <w:lang w:eastAsia="en-AU"/>
          </w:rPr>
          <w:tab/>
        </w:r>
        <w:r w:rsidR="005C4775" w:rsidRPr="00BF1BAB">
          <w:rPr>
            <w:rStyle w:val="Hyperlink"/>
            <w:noProof/>
          </w:rPr>
          <w:t>Ig grams issued by diagnostic group</w:t>
        </w:r>
        <w:r w:rsidR="005C4775">
          <w:rPr>
            <w:noProof/>
            <w:webHidden/>
          </w:rPr>
          <w:tab/>
        </w:r>
        <w:r w:rsidR="005C4775">
          <w:rPr>
            <w:noProof/>
            <w:webHidden/>
          </w:rPr>
          <w:fldChar w:fldCharType="begin"/>
        </w:r>
        <w:r w:rsidR="005C4775">
          <w:rPr>
            <w:noProof/>
            <w:webHidden/>
          </w:rPr>
          <w:instrText xml:space="preserve"> PAGEREF _Toc456266173 \h </w:instrText>
        </w:r>
        <w:r w:rsidR="005C4775">
          <w:rPr>
            <w:noProof/>
            <w:webHidden/>
          </w:rPr>
        </w:r>
        <w:r w:rsidR="005C4775">
          <w:rPr>
            <w:noProof/>
            <w:webHidden/>
          </w:rPr>
          <w:fldChar w:fldCharType="separate"/>
        </w:r>
        <w:r w:rsidR="00F3134D">
          <w:rPr>
            <w:noProof/>
            <w:webHidden/>
          </w:rPr>
          <w:t>20</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4" w:history="1">
        <w:r w:rsidR="005C4775" w:rsidRPr="00BF1BAB">
          <w:rPr>
            <w:rStyle w:val="Hyperlink"/>
            <w:noProof/>
          </w:rPr>
          <w:t>Figure 9</w:t>
        </w:r>
        <w:r w:rsidR="005C4775">
          <w:rPr>
            <w:rFonts w:asciiTheme="minorHAnsi" w:eastAsiaTheme="minorEastAsia" w:hAnsiTheme="minorHAnsi" w:cstheme="minorBidi"/>
            <w:noProof/>
            <w:lang w:eastAsia="en-AU"/>
          </w:rPr>
          <w:tab/>
        </w:r>
        <w:r w:rsidR="005C4775" w:rsidRPr="00BF1BAB">
          <w:rPr>
            <w:rStyle w:val="Hyperlink"/>
            <w:noProof/>
          </w:rPr>
          <w:t>Proportion of Ig used for top 10 conditions</w:t>
        </w:r>
        <w:r w:rsidR="005C4775">
          <w:rPr>
            <w:noProof/>
            <w:webHidden/>
          </w:rPr>
          <w:tab/>
        </w:r>
        <w:r w:rsidR="005C4775">
          <w:rPr>
            <w:noProof/>
            <w:webHidden/>
          </w:rPr>
          <w:fldChar w:fldCharType="begin"/>
        </w:r>
        <w:r w:rsidR="005C4775">
          <w:rPr>
            <w:noProof/>
            <w:webHidden/>
          </w:rPr>
          <w:instrText xml:space="preserve"> PAGEREF _Toc456266174 \h </w:instrText>
        </w:r>
        <w:r w:rsidR="005C4775">
          <w:rPr>
            <w:noProof/>
            <w:webHidden/>
          </w:rPr>
        </w:r>
        <w:r w:rsidR="005C4775">
          <w:rPr>
            <w:noProof/>
            <w:webHidden/>
          </w:rPr>
          <w:fldChar w:fldCharType="separate"/>
        </w:r>
        <w:r w:rsidR="00F3134D">
          <w:rPr>
            <w:noProof/>
            <w:webHidden/>
          </w:rPr>
          <w:t>23</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5" w:history="1">
        <w:r w:rsidR="005C4775" w:rsidRPr="00BF1BAB">
          <w:rPr>
            <w:rStyle w:val="Hyperlink"/>
            <w:noProof/>
          </w:rPr>
          <w:t>Figure 10</w:t>
        </w:r>
        <w:r w:rsidR="005C4775">
          <w:rPr>
            <w:rFonts w:asciiTheme="minorHAnsi" w:eastAsiaTheme="minorEastAsia" w:hAnsiTheme="minorHAnsi" w:cstheme="minorBidi"/>
            <w:noProof/>
            <w:lang w:eastAsia="en-AU"/>
          </w:rPr>
          <w:tab/>
        </w:r>
        <w:r w:rsidR="005C4775" w:rsidRPr="00BF1BAB">
          <w:rPr>
            <w:rStyle w:val="Hyperlink"/>
            <w:noProof/>
          </w:rPr>
          <w:t>Ig issues by clinical discipline</w:t>
        </w:r>
        <w:r w:rsidR="005C4775">
          <w:rPr>
            <w:noProof/>
            <w:webHidden/>
          </w:rPr>
          <w:tab/>
        </w:r>
        <w:r w:rsidR="005C4775">
          <w:rPr>
            <w:noProof/>
            <w:webHidden/>
          </w:rPr>
          <w:fldChar w:fldCharType="begin"/>
        </w:r>
        <w:r w:rsidR="005C4775">
          <w:rPr>
            <w:noProof/>
            <w:webHidden/>
          </w:rPr>
          <w:instrText xml:space="preserve"> PAGEREF _Toc456266175 \h </w:instrText>
        </w:r>
        <w:r w:rsidR="005C4775">
          <w:rPr>
            <w:noProof/>
            <w:webHidden/>
          </w:rPr>
        </w:r>
        <w:r w:rsidR="005C4775">
          <w:rPr>
            <w:noProof/>
            <w:webHidden/>
          </w:rPr>
          <w:fldChar w:fldCharType="separate"/>
        </w:r>
        <w:r w:rsidR="00F3134D">
          <w:rPr>
            <w:noProof/>
            <w:webHidden/>
          </w:rPr>
          <w:t>24</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6" w:history="1">
        <w:r w:rsidR="005C4775" w:rsidRPr="00BF1BAB">
          <w:rPr>
            <w:rStyle w:val="Hyperlink"/>
            <w:noProof/>
          </w:rPr>
          <w:t>Figure 11</w:t>
        </w:r>
        <w:r w:rsidR="005C4775">
          <w:rPr>
            <w:rFonts w:asciiTheme="minorHAnsi" w:eastAsiaTheme="minorEastAsia" w:hAnsiTheme="minorHAnsi" w:cstheme="minorBidi"/>
            <w:noProof/>
            <w:lang w:eastAsia="en-AU"/>
          </w:rPr>
          <w:tab/>
        </w:r>
        <w:r w:rsidR="005C4775" w:rsidRPr="00BF1BAB">
          <w:rPr>
            <w:rStyle w:val="Hyperlink"/>
            <w:noProof/>
          </w:rPr>
          <w:t>Ig issues by clinical discipline for top 10 conditions by state and territory</w:t>
        </w:r>
        <w:r w:rsidR="005C4775">
          <w:rPr>
            <w:noProof/>
            <w:webHidden/>
          </w:rPr>
          <w:tab/>
        </w:r>
        <w:r w:rsidR="005C4775">
          <w:rPr>
            <w:noProof/>
            <w:webHidden/>
          </w:rPr>
          <w:fldChar w:fldCharType="begin"/>
        </w:r>
        <w:r w:rsidR="005C4775">
          <w:rPr>
            <w:noProof/>
            <w:webHidden/>
          </w:rPr>
          <w:instrText xml:space="preserve"> PAGEREF _Toc456266176 \h </w:instrText>
        </w:r>
        <w:r w:rsidR="005C4775">
          <w:rPr>
            <w:noProof/>
            <w:webHidden/>
          </w:rPr>
        </w:r>
        <w:r w:rsidR="005C4775">
          <w:rPr>
            <w:noProof/>
            <w:webHidden/>
          </w:rPr>
          <w:fldChar w:fldCharType="separate"/>
        </w:r>
        <w:r w:rsidR="00F3134D">
          <w:rPr>
            <w:noProof/>
            <w:webHidden/>
          </w:rPr>
          <w:t>25</w:t>
        </w:r>
        <w:r w:rsidR="005C4775">
          <w:rPr>
            <w:noProof/>
            <w:webHidden/>
          </w:rPr>
          <w:fldChar w:fldCharType="end"/>
        </w:r>
      </w:hyperlink>
    </w:p>
    <w:p w:rsidR="005C4775" w:rsidRDefault="002A066B">
      <w:pPr>
        <w:pStyle w:val="TableofFigures"/>
        <w:tabs>
          <w:tab w:val="left" w:pos="1100"/>
          <w:tab w:val="right" w:leader="dot" w:pos="9323"/>
        </w:tabs>
        <w:rPr>
          <w:rFonts w:asciiTheme="minorHAnsi" w:eastAsiaTheme="minorEastAsia" w:hAnsiTheme="minorHAnsi" w:cstheme="minorBidi"/>
          <w:noProof/>
          <w:lang w:eastAsia="en-AU"/>
        </w:rPr>
      </w:pPr>
      <w:hyperlink w:anchor="_Toc456266177" w:history="1">
        <w:r w:rsidR="005C4775" w:rsidRPr="00BF1BAB">
          <w:rPr>
            <w:rStyle w:val="Hyperlink"/>
            <w:noProof/>
          </w:rPr>
          <w:t>Figure 12</w:t>
        </w:r>
        <w:r w:rsidR="005C4775">
          <w:rPr>
            <w:rFonts w:asciiTheme="minorHAnsi" w:eastAsiaTheme="minorEastAsia" w:hAnsiTheme="minorHAnsi" w:cstheme="minorBidi"/>
            <w:noProof/>
            <w:lang w:eastAsia="en-AU"/>
          </w:rPr>
          <w:tab/>
        </w:r>
        <w:r w:rsidR="005C4775" w:rsidRPr="00BF1BAB">
          <w:rPr>
            <w:rStyle w:val="Hyperlink"/>
            <w:noProof/>
          </w:rPr>
          <w:t>Grams per episode by condition</w:t>
        </w:r>
        <w:r w:rsidR="005C4775">
          <w:rPr>
            <w:noProof/>
            <w:webHidden/>
          </w:rPr>
          <w:tab/>
        </w:r>
        <w:r w:rsidR="005C4775">
          <w:rPr>
            <w:noProof/>
            <w:webHidden/>
          </w:rPr>
          <w:fldChar w:fldCharType="begin"/>
        </w:r>
        <w:r w:rsidR="005C4775">
          <w:rPr>
            <w:noProof/>
            <w:webHidden/>
          </w:rPr>
          <w:instrText xml:space="preserve"> PAGEREF _Toc456266177 \h </w:instrText>
        </w:r>
        <w:r w:rsidR="005C4775">
          <w:rPr>
            <w:noProof/>
            <w:webHidden/>
          </w:rPr>
        </w:r>
        <w:r w:rsidR="005C4775">
          <w:rPr>
            <w:noProof/>
            <w:webHidden/>
          </w:rPr>
          <w:fldChar w:fldCharType="separate"/>
        </w:r>
        <w:r w:rsidR="00F3134D">
          <w:rPr>
            <w:noProof/>
            <w:webHidden/>
          </w:rPr>
          <w:t>30</w:t>
        </w:r>
        <w:r w:rsidR="005C4775">
          <w:rPr>
            <w:noProof/>
            <w:webHidden/>
          </w:rPr>
          <w:fldChar w:fldCharType="end"/>
        </w:r>
      </w:hyperlink>
    </w:p>
    <w:p w:rsidR="0038404C" w:rsidRDefault="00370AED" w:rsidP="00370AED">
      <w:r>
        <w:fldChar w:fldCharType="end"/>
      </w:r>
    </w:p>
    <w:p w:rsidR="008A36DF" w:rsidRDefault="008A36DF" w:rsidP="008A36DF">
      <w:pPr>
        <w:pStyle w:val="Heading1"/>
      </w:pPr>
      <w:bookmarkStart w:id="3" w:name="_Toc456267404"/>
      <w:r>
        <w:lastRenderedPageBreak/>
        <w:t>Introduction</w:t>
      </w:r>
      <w:bookmarkEnd w:id="3"/>
    </w:p>
    <w:p w:rsidR="000D63BF" w:rsidRDefault="00F957B7" w:rsidP="000D63BF">
      <w:r>
        <w:t>Immunoglobulins products analysed in this report include i</w:t>
      </w:r>
      <w:r w:rsidR="000D63BF">
        <w:t>ntravenous immunoglobulin (</w:t>
      </w:r>
      <w:r w:rsidR="000D63BF" w:rsidRPr="008A36DF">
        <w:t>IVIg</w:t>
      </w:r>
      <w:r w:rsidR="000D63BF">
        <w:t>)</w:t>
      </w:r>
      <w:r w:rsidR="00AD2D19">
        <w:t xml:space="preserve"> </w:t>
      </w:r>
      <w:r>
        <w:t>and subcutaneous immunoglobulin</w:t>
      </w:r>
      <w:r w:rsidR="00716977">
        <w:t xml:space="preserve"> (SCIg)</w:t>
      </w:r>
      <w:r>
        <w:t>. These are referred to as immunoglobulin (Ig). Ig</w:t>
      </w:r>
      <w:r w:rsidR="00716977">
        <w:t xml:space="preserve"> </w:t>
      </w:r>
      <w:r w:rsidR="00AD2D19">
        <w:t>is a</w:t>
      </w:r>
      <w:r w:rsidR="000D63BF" w:rsidRPr="008A36DF">
        <w:t xml:space="preserve"> </w:t>
      </w:r>
      <w:r w:rsidR="00164121">
        <w:t>blood product derived from donated</w:t>
      </w:r>
      <w:r w:rsidR="000D63BF" w:rsidRPr="008A36DF">
        <w:t xml:space="preserve"> </w:t>
      </w:r>
      <w:r w:rsidR="00164121">
        <w:t>human blood</w:t>
      </w:r>
      <w:r w:rsidR="000D63BF" w:rsidRPr="008A36DF">
        <w:t>. It is used to treat a broad range of conditions</w:t>
      </w:r>
      <w:r w:rsidR="0025596C">
        <w:t>,</w:t>
      </w:r>
      <w:r w:rsidR="000D63BF" w:rsidRPr="008A36DF">
        <w:t xml:space="preserve"> </w:t>
      </w:r>
      <w:r w:rsidR="000D63BF">
        <w:t>with</w:t>
      </w:r>
      <w:r w:rsidR="000D63BF" w:rsidRPr="008A36DF">
        <w:t xml:space="preserve"> applications in immunoglobulin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0D63BF">
        <w:t>201</w:t>
      </w:r>
      <w:r w:rsidR="00D22984">
        <w:t>4</w:t>
      </w:r>
      <w:r w:rsidR="000D63BF">
        <w:t>-1</w:t>
      </w:r>
      <w:r w:rsidR="00D22984">
        <w:t>5</w:t>
      </w:r>
      <w:r w:rsidR="000D63BF">
        <w:t xml:space="preserve">, also considering trends in supply over </w:t>
      </w:r>
      <w:r w:rsidR="000D63BF" w:rsidRPr="00685EDA">
        <w:t>the last ten years.</w:t>
      </w:r>
    </w:p>
    <w:p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National Blood Authority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B23732" w:rsidRPr="00AF26A3">
        <w:t>purchas</w:t>
      </w:r>
      <w:r w:rsidR="00B23732">
        <w:t>ing</w:t>
      </w:r>
      <w:r w:rsidR="00B23732" w:rsidRPr="00AF26A3">
        <w:t xml:space="preserve"> </w:t>
      </w:r>
      <w:r w:rsidR="001E7992" w:rsidRPr="00AF26A3">
        <w:t xml:space="preserve">blood and blood products on behalf of all Australian governments;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 xml:space="preserve">governance, </w:t>
      </w:r>
      <w:r w:rsidR="00B23732">
        <w:t>promoting appropriate</w:t>
      </w:r>
      <w:r w:rsidR="001E7992">
        <w:t xml:space="preserve"> </w:t>
      </w:r>
      <w:r w:rsidR="001E7992" w:rsidRPr="00AF26A3">
        <w:t>use of blood and blood products</w:t>
      </w:r>
      <w:r w:rsidR="001E7992">
        <w:t>;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rsidR="001E7992" w:rsidRDefault="001E7992" w:rsidP="004872FD">
      <w:pPr>
        <w:spacing w:after="0"/>
      </w:pPr>
    </w:p>
    <w:p w:rsidR="00164121" w:rsidRDefault="00164121" w:rsidP="002D0363">
      <w:pPr>
        <w:rPr>
          <w:lang w:val="en-GB"/>
        </w:rPr>
      </w:pPr>
      <w:r w:rsidRPr="00164121">
        <w:t>The </w:t>
      </w:r>
      <w:r w:rsidRPr="004872FD">
        <w:rPr>
          <w:i/>
        </w:rPr>
        <w:t>Criteria for the Clinical Use of Intravenous Immunoglobulin (IVIg) in Australia</w:t>
      </w:r>
      <w:r w:rsidRPr="00164121">
        <w:t> (</w:t>
      </w:r>
      <w:r w:rsidRPr="00164121">
        <w:rPr>
          <w:i/>
        </w:rPr>
        <w:t>Criteria</w:t>
      </w:r>
      <w:r w:rsidRPr="00164121">
        <w:t xml:space="preserve">) </w:t>
      </w:r>
      <w:r w:rsidR="0025596C">
        <w:t>identifies</w:t>
      </w:r>
      <w:r w:rsidRPr="00164121">
        <w:t xml:space="preserve"> the conditions and circumstances for which the use of intravenous immunoglobulin (IVIg) is </w:t>
      </w:r>
      <w:r w:rsidR="0025596C">
        <w:t>funded under national blood arrangements</w:t>
      </w:r>
      <w:r w:rsidRPr="00164121">
        <w:t>.</w:t>
      </w:r>
      <w:r w:rsidR="0025596C">
        <w:t xml:space="preserve"> The </w:t>
      </w:r>
      <w:r w:rsidR="0025596C">
        <w:rPr>
          <w:i/>
        </w:rPr>
        <w:t xml:space="preserve">Criteria </w:t>
      </w:r>
      <w:r w:rsidR="0025596C">
        <w:t>was first published in 200</w:t>
      </w:r>
      <w:r w:rsidR="00C810AC">
        <w:t>8</w:t>
      </w:r>
      <w:r w:rsidR="0025596C">
        <w:t>, and was updated in 2012. It classifies</w:t>
      </w:r>
      <w:r>
        <w:t xml:space="preserve"> </w:t>
      </w:r>
      <w:r w:rsidR="0025596C">
        <w:t xml:space="preserve">the 93 diagnostic groups </w:t>
      </w:r>
      <w:r w:rsidR="00B23732">
        <w:t xml:space="preserve">described in the </w:t>
      </w:r>
      <w:r w:rsidR="00B23732" w:rsidRPr="002C146D">
        <w:rPr>
          <w:i/>
        </w:rPr>
        <w:t>Criteria</w:t>
      </w:r>
      <w:r w:rsidR="00B23732">
        <w:t xml:space="preserve"> </w:t>
      </w:r>
      <w:r w:rsidR="0025596C">
        <w:t>into those</w:t>
      </w:r>
      <w:r>
        <w:t xml:space="preserve"> for which </w:t>
      </w:r>
      <w:r w:rsidR="0025596C">
        <w:t xml:space="preserve">IVIg has an established therapeutic role (Chapter 5), has an emerging therapeutic role (Chapter 6) and those where IVIg has application in exceptional circumstances only (Chapter 7). </w:t>
      </w:r>
      <w:r>
        <w:rPr>
          <w:lang w:val="en-GB"/>
        </w:rPr>
        <w:t xml:space="preserve">IVIg is only supplied for these </w:t>
      </w:r>
      <w:r w:rsidR="0025596C" w:rsidRPr="00203679">
        <w:rPr>
          <w:lang w:val="en-GB"/>
        </w:rPr>
        <w:t>diagnostic groups</w:t>
      </w:r>
      <w:r>
        <w:rPr>
          <w:lang w:val="en-GB"/>
        </w:rPr>
        <w:t xml:space="preserve"> unless purchased by a single state, hospital or</w:t>
      </w:r>
      <w:r w:rsidR="00887374">
        <w:rPr>
          <w:lang w:val="en-GB"/>
        </w:rPr>
        <w:t xml:space="preserve"> individual (a Direct Order</w:t>
      </w:r>
      <w:r>
        <w:rPr>
          <w:lang w:val="en-GB"/>
        </w:rPr>
        <w:t xml:space="preserve">). Chapter 8 of the </w:t>
      </w:r>
      <w:r>
        <w:rPr>
          <w:i/>
          <w:lang w:val="en-GB"/>
        </w:rPr>
        <w:t xml:space="preserve">Criteria </w:t>
      </w:r>
      <w:r>
        <w:rPr>
          <w:lang w:val="en-GB"/>
        </w:rPr>
        <w:t>outlines those conditions for which IVIg should not be supplied, as there is no evidence to support its use in these conditions.</w:t>
      </w:r>
    </w:p>
    <w:p w:rsidR="000D63BF" w:rsidRDefault="00716977" w:rsidP="002D0363">
      <w:r>
        <w:t>Ig</w:t>
      </w:r>
      <w:r w:rsidR="00164121">
        <w:t xml:space="preserve"> comprises a large proportion of blood expenditure each year. Demand for </w:t>
      </w:r>
      <w:r>
        <w:t>Ig</w:t>
      </w:r>
      <w:r w:rsidR="00164121">
        <w:t xml:space="preserve"> continues to rise steadily, and Australian </w:t>
      </w:r>
      <w:r w:rsidR="00E733C0">
        <w:t xml:space="preserve">per capita </w:t>
      </w:r>
      <w:r w:rsidR="00164121">
        <w:t xml:space="preserve">use of this product is </w:t>
      </w:r>
      <w:r w:rsidR="00E733C0">
        <w:t xml:space="preserve">one of </w:t>
      </w:r>
      <w:r w:rsidR="00164121">
        <w:t xml:space="preserve">the highest </w:t>
      </w:r>
      <w:r w:rsidR="00E733C0">
        <w:t>among western countries</w:t>
      </w:r>
      <w:r w:rsidR="00164121">
        <w:t xml:space="preserve">. Demand </w:t>
      </w:r>
      <w:r w:rsidR="0025596C">
        <w:t xml:space="preserve">for </w:t>
      </w:r>
      <w:r>
        <w:t>Ig</w:t>
      </w:r>
      <w:r w:rsidR="0025596C">
        <w:t xml:space="preserve"> </w:t>
      </w:r>
      <w:r w:rsidR="00164121">
        <w:t xml:space="preserve">is met through </w:t>
      </w:r>
      <w:r w:rsidR="002D2379">
        <w:t xml:space="preserve">local manufacture of </w:t>
      </w:r>
      <w:r>
        <w:t>Ig</w:t>
      </w:r>
      <w:r w:rsidR="002D2379">
        <w:t xml:space="preserve"> by CSL Behring </w:t>
      </w:r>
      <w:r w:rsidR="0025596C">
        <w:t>using</w:t>
      </w:r>
      <w:r w:rsidR="002D2379">
        <w:t xml:space="preserve"> plasma collected from voluntary, non-remunerated </w:t>
      </w:r>
      <w:r w:rsidR="00164121">
        <w:t>Australian donors</w:t>
      </w:r>
      <w:r w:rsidR="0025596C">
        <w:t xml:space="preserve"> and is supplemented by</w:t>
      </w:r>
      <w:r w:rsidR="00164121">
        <w:t xml:space="preserve"> importation of </w:t>
      </w:r>
      <w:r>
        <w:t>Ig</w:t>
      </w:r>
      <w:r w:rsidR="002D2379">
        <w:t xml:space="preserve"> from overseas manufacturers</w:t>
      </w:r>
      <w:r w:rsidR="00164121">
        <w:t xml:space="preserve">. Both the domestic and imported </w:t>
      </w:r>
      <w:r>
        <w:t>Ig</w:t>
      </w:r>
      <w:r w:rsidR="00164121">
        <w:t xml:space="preserve"> </w:t>
      </w:r>
      <w:r w:rsidR="001649F8">
        <w:t>are</w:t>
      </w:r>
      <w:r w:rsidR="00164121">
        <w:t xml:space="preserve"> distributed by the </w:t>
      </w:r>
      <w:r w:rsidR="00672CB1">
        <w:t>Australian Red Cross Blood Service (</w:t>
      </w:r>
      <w:r w:rsidR="002D2379">
        <w:t>Blood Service</w:t>
      </w:r>
      <w:r w:rsidR="00672CB1">
        <w:t>)</w:t>
      </w:r>
      <w:r w:rsidR="00164121">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rsidR="00164121">
        <w:t>.</w:t>
      </w:r>
    </w:p>
    <w:p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ten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various conditions. The top ten </w:t>
      </w:r>
      <w:r w:rsidR="00D90728" w:rsidRPr="00203679">
        <w:t>diagnostic groups</w:t>
      </w:r>
      <w:r w:rsidR="00D90728">
        <w:t xml:space="preserve"> account for </w:t>
      </w:r>
      <w:r w:rsidR="00D90728" w:rsidRPr="00410ED9">
        <w:t>88</w:t>
      </w:r>
      <w:r w:rsidR="00D90728" w:rsidRPr="00466418">
        <w:t>.</w:t>
      </w:r>
      <w:r w:rsidR="00D40749">
        <w:t>1</w:t>
      </w:r>
      <w:r w:rsidR="00D90728">
        <w:t xml:space="preserve">% of all </w:t>
      </w:r>
      <w:r w:rsidR="00716977">
        <w:t>Ig</w:t>
      </w:r>
      <w:r w:rsidR="00D90728">
        <w:t xml:space="preserve"> supplied</w:t>
      </w:r>
      <w:r w:rsidR="00D40749">
        <w:t xml:space="preserve"> in 2014-15</w:t>
      </w:r>
      <w:r w:rsidR="00D90728">
        <w:t xml:space="preserve">, and for this reason </w:t>
      </w:r>
      <w:r w:rsidR="004C3184">
        <w:t xml:space="preserve">specific </w:t>
      </w:r>
      <w:r w:rsidR="00D90728">
        <w:t>analysis focuses on these groups.</w:t>
      </w:r>
    </w:p>
    <w:p w:rsidR="008A36DF" w:rsidRPr="00164121" w:rsidRDefault="000D63BF" w:rsidP="00164121">
      <w:pPr>
        <w:pStyle w:val="Heading1"/>
      </w:pPr>
      <w:bookmarkStart w:id="4" w:name="_Toc456267405"/>
      <w:r w:rsidRPr="00164121">
        <w:lastRenderedPageBreak/>
        <w:t>Report Snapshot</w:t>
      </w:r>
      <w:bookmarkEnd w:id="4"/>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4745FFF7" wp14:editId="637974A7">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14,983 patients</w:t>
                                </w:r>
                              </w:p>
                              <w:p w:rsidR="00F2303C" w:rsidRDefault="00F2303C" w:rsidP="001B0A6B">
                                <w:pPr>
                                  <w:pStyle w:val="NormalWeb"/>
                                  <w:spacing w:before="0" w:beforeAutospacing="0" w:after="0" w:afterAutospacing="0"/>
                                  <w:jc w:val="center"/>
                                </w:pPr>
                              </w:p>
                              <w:p w:rsidR="00F2303C" w:rsidRPr="009A55F2" w:rsidRDefault="00F2303C"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sidRPr="00F5016C">
                                  <w:rPr>
                                    <w:rFonts w:ascii="Arial" w:hAnsi="Arial" w:cs="Arial"/>
                                    <w:b/>
                                    <w:bCs/>
                                    <w:color w:val="FFFFFF" w:themeColor="light1"/>
                                    <w:kern w:val="24"/>
                                    <w:sz w:val="36"/>
                                    <w:szCs w:val="36"/>
                                  </w:rPr>
                                  <w:t>5,</w:t>
                                </w:r>
                                <w:r>
                                  <w:rPr>
                                    <w:rFonts w:ascii="Arial" w:hAnsi="Arial" w:cs="Arial"/>
                                    <w:b/>
                                    <w:bCs/>
                                    <w:color w:val="FFFFFF" w:themeColor="light1"/>
                                    <w:kern w:val="24"/>
                                    <w:sz w:val="36"/>
                                    <w:szCs w:val="36"/>
                                  </w:rPr>
                                  <w:t>823</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F2303C" w:rsidRPr="009A55F2" w:rsidRDefault="00F2303C" w:rsidP="001B0A6B">
                                <w:pPr>
                                  <w:pStyle w:val="NormalWeb"/>
                                  <w:spacing w:before="0" w:beforeAutospacing="0" w:after="0" w:afterAutospacing="0"/>
                                  <w:jc w:val="center"/>
                                  <w:rPr>
                                    <w:highlight w:val="yellow"/>
                                  </w:rPr>
                                </w:pPr>
                              </w:p>
                              <w:p w:rsidR="00F2303C" w:rsidRDefault="00F2303C"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1</w:t>
                                </w:r>
                                <w:r w:rsidRPr="00F5016C">
                                  <w:rPr>
                                    <w:rFonts w:ascii="Arial" w:hAnsi="Arial" w:cs="Arial"/>
                                    <w:b/>
                                    <w:bCs/>
                                    <w:color w:val="FFFFFF" w:themeColor="light1"/>
                                    <w:kern w:val="24"/>
                                    <w:sz w:val="36"/>
                                    <w:szCs w:val="36"/>
                                  </w:rPr>
                                  <w:t xml:space="preserve"> years</w:t>
                                </w:r>
                              </w:p>
                            </w:txbxContent>
                          </wps:txbx>
                          <wps:bodyPr rtlCol="0" anchor="ctr"/>
                        </wps:wsp>
                        <wps:wsp>
                          <wps:cNvPr id="18" name="Trapezoid 18"/>
                          <wps:cNvSpPr/>
                          <wps:spPr>
                            <a:xfrm rot="10800000" flipH="1">
                              <a:off x="0" y="0"/>
                              <a:ext cx="1691024" cy="1656184"/>
                            </a:xfrm>
                            <a:prstGeom prst="trapezoid">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F2303C" w:rsidRDefault="00F2303C"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$484.1 million</w:t>
                                </w:r>
                              </w:p>
                              <w:p w:rsidR="00F2303C" w:rsidRDefault="00F2303C" w:rsidP="001B0A6B">
                                <w:pPr>
                                  <w:pStyle w:val="NormalWeb"/>
                                  <w:spacing w:before="0" w:beforeAutospacing="0" w:after="0" w:afterAutospacing="0"/>
                                  <w:jc w:val="center"/>
                                </w:pPr>
                              </w:p>
                              <w:p w:rsidR="00F2303C" w:rsidRDefault="00F2303C" w:rsidP="001B0A6B">
                                <w:pPr>
                                  <w:pStyle w:val="NormalWeb"/>
                                  <w:spacing w:before="0" w:beforeAutospacing="0" w:after="0" w:afterAutospacing="0"/>
                                  <w:jc w:val="center"/>
                                </w:pPr>
                                <w:r>
                                  <w:rPr>
                                    <w:rFonts w:ascii="Arial" w:hAnsi="Arial" w:cs="Arial"/>
                                    <w:b/>
                                    <w:bCs/>
                                    <w:color w:val="FFFFFF" w:themeColor="light1"/>
                                    <w:kern w:val="24"/>
                                    <w:sz w:val="36"/>
                                    <w:szCs w:val="36"/>
                                  </w:rPr>
                                  <w:t>48%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F2303C" w:rsidRDefault="00F2303C"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4.43 million grams issued</w:t>
                                </w:r>
                              </w:p>
                              <w:p w:rsidR="00F2303C" w:rsidRDefault="00F2303C" w:rsidP="001B0A6B">
                                <w:pPr>
                                  <w:pStyle w:val="NormalWeb"/>
                                  <w:spacing w:before="0" w:beforeAutospacing="0" w:after="0" w:afterAutospacing="0"/>
                                  <w:jc w:val="center"/>
                                </w:pPr>
                              </w:p>
                              <w:p w:rsidR="00F2303C" w:rsidRDefault="00F2303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188 grams per 1,000 population</w:t>
                                </w:r>
                              </w:p>
                              <w:p w:rsidR="00F2303C" w:rsidRDefault="00F2303C" w:rsidP="001B0A6B">
                                <w:pPr>
                                  <w:pStyle w:val="NormalWeb"/>
                                  <w:spacing w:before="0" w:beforeAutospacing="0" w:after="0" w:afterAutospacing="0"/>
                                  <w:jc w:val="center"/>
                                </w:pPr>
                              </w:p>
                              <w:p w:rsidR="00F2303C" w:rsidRDefault="00F2303C" w:rsidP="001B0A6B">
                                <w:pPr>
                                  <w:pStyle w:val="NormalWeb"/>
                                  <w:spacing w:before="0" w:beforeAutospacing="0" w:after="0" w:afterAutospacing="0"/>
                                  <w:jc w:val="center"/>
                                </w:pPr>
                                <w:r>
                                  <w:rPr>
                                    <w:rFonts w:ascii="Arial" w:hAnsi="Arial" w:cs="Arial"/>
                                    <w:b/>
                                    <w:bCs/>
                                    <w:color w:val="FFFFFF" w:themeColor="light1"/>
                                    <w:kern w:val="24"/>
                                    <w:sz w:val="36"/>
                                    <w:szCs w:val="36"/>
                                  </w:rPr>
                                  <w:t>40%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303C" w:rsidRDefault="00F2303C"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F2303C" w:rsidRDefault="00F2303C"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140B51" w:rsidRDefault="00140B51"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14,983 patients</w:t>
                          </w:r>
                        </w:p>
                        <w:p w:rsidR="00140B51" w:rsidRDefault="00140B51" w:rsidP="001B0A6B">
                          <w:pPr>
                            <w:pStyle w:val="NormalWeb"/>
                            <w:spacing w:before="0" w:beforeAutospacing="0" w:after="0" w:afterAutospacing="0"/>
                            <w:jc w:val="center"/>
                          </w:pPr>
                        </w:p>
                        <w:p w:rsidR="00140B51" w:rsidRPr="009A55F2" w:rsidRDefault="00140B51"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sidRPr="00F5016C">
                            <w:rPr>
                              <w:rFonts w:ascii="Arial" w:hAnsi="Arial" w:cs="Arial"/>
                              <w:b/>
                              <w:bCs/>
                              <w:color w:val="FFFFFF" w:themeColor="light1"/>
                              <w:kern w:val="24"/>
                              <w:sz w:val="36"/>
                              <w:szCs w:val="36"/>
                            </w:rPr>
                            <w:t>5,</w:t>
                          </w:r>
                          <w:r>
                            <w:rPr>
                              <w:rFonts w:ascii="Arial" w:hAnsi="Arial" w:cs="Arial"/>
                              <w:b/>
                              <w:bCs/>
                              <w:color w:val="FFFFFF" w:themeColor="light1"/>
                              <w:kern w:val="24"/>
                              <w:sz w:val="36"/>
                              <w:szCs w:val="36"/>
                            </w:rPr>
                            <w:t>823</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140B51" w:rsidRPr="009A55F2" w:rsidRDefault="00140B51" w:rsidP="001B0A6B">
                          <w:pPr>
                            <w:pStyle w:val="NormalWeb"/>
                            <w:spacing w:before="0" w:beforeAutospacing="0" w:after="0" w:afterAutospacing="0"/>
                            <w:jc w:val="center"/>
                            <w:rPr>
                              <w:highlight w:val="yellow"/>
                            </w:rPr>
                          </w:pPr>
                        </w:p>
                        <w:p w:rsidR="00140B51" w:rsidRDefault="00140B51"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1</w:t>
                          </w:r>
                          <w:r w:rsidRPr="00F5016C">
                            <w:rPr>
                              <w:rFonts w:ascii="Arial" w:hAnsi="Arial" w:cs="Arial"/>
                              <w:b/>
                              <w:bCs/>
                              <w:color w:val="FFFFFF" w:themeColor="light1"/>
                              <w:kern w:val="24"/>
                              <w:sz w:val="36"/>
                              <w:szCs w:val="36"/>
                            </w:rPr>
                            <w:t xml:space="preserve">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1" o:title="" recolor="t" rotate="t" type="frame"/>
                    <v:stroke joinstyle="miter"/>
                    <v:formulas/>
                    <v:path arrowok="t" o:connecttype="custom" o:connectlocs="0,1656184;414046,0;1276978,0;1691024,1656184;0,1656184" o:connectangles="0,0,0,0,0" textboxrect="0,0,1691024,1656184"/>
                    <v:textbox>
                      <w:txbxContent>
                        <w:p w:rsidR="00140B51" w:rsidRDefault="00140B51"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140B51" w:rsidRDefault="00140B51"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140B51" w:rsidRDefault="00140B51"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$484.1 million</w:t>
                          </w:r>
                        </w:p>
                        <w:p w:rsidR="00140B51" w:rsidRDefault="00140B51" w:rsidP="001B0A6B">
                          <w:pPr>
                            <w:pStyle w:val="NormalWeb"/>
                            <w:spacing w:before="0" w:beforeAutospacing="0" w:after="0" w:afterAutospacing="0"/>
                            <w:jc w:val="center"/>
                          </w:pPr>
                        </w:p>
                        <w:p w:rsidR="00140B51" w:rsidRDefault="00140B51" w:rsidP="001B0A6B">
                          <w:pPr>
                            <w:pStyle w:val="NormalWeb"/>
                            <w:spacing w:before="0" w:beforeAutospacing="0" w:after="0" w:afterAutospacing="0"/>
                            <w:jc w:val="center"/>
                          </w:pPr>
                          <w:r>
                            <w:rPr>
                              <w:rFonts w:ascii="Arial" w:hAnsi="Arial" w:cs="Arial"/>
                              <w:b/>
                              <w:bCs/>
                              <w:color w:val="FFFFFF" w:themeColor="light1"/>
                              <w:kern w:val="24"/>
                              <w:sz w:val="36"/>
                              <w:szCs w:val="36"/>
                            </w:rPr>
                            <w:t>48%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2" o:title="" recolor="t" rotate="t" type="frame"/>
                    <v:stroke joinstyle="miter"/>
                    <v:formulas/>
                    <v:path arrowok="t" o:connecttype="custom" o:connectlocs="0,1656184;414046,0;1282983,0;1697029,1656184;0,1656184" o:connectangles="0,0,0,0,0" textboxrect="0,0,1697029,1656184"/>
                    <v:textbox>
                      <w:txbxContent>
                        <w:p w:rsidR="00140B51" w:rsidRDefault="00140B51"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140B51" w:rsidRDefault="00140B51"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140B51" w:rsidRDefault="00140B51"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4.43 million grams issued</w:t>
                          </w:r>
                        </w:p>
                        <w:p w:rsidR="00140B51" w:rsidRDefault="00140B51" w:rsidP="001B0A6B">
                          <w:pPr>
                            <w:pStyle w:val="NormalWeb"/>
                            <w:spacing w:before="0" w:beforeAutospacing="0" w:after="0" w:afterAutospacing="0"/>
                            <w:jc w:val="center"/>
                          </w:pPr>
                        </w:p>
                        <w:p w:rsidR="00140B51" w:rsidRDefault="00140B51"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188 grams per 1,000 population</w:t>
                          </w:r>
                        </w:p>
                        <w:p w:rsidR="00140B51" w:rsidRDefault="00140B51" w:rsidP="001B0A6B">
                          <w:pPr>
                            <w:pStyle w:val="NormalWeb"/>
                            <w:spacing w:before="0" w:beforeAutospacing="0" w:after="0" w:afterAutospacing="0"/>
                            <w:jc w:val="center"/>
                          </w:pPr>
                        </w:p>
                        <w:p w:rsidR="00140B51" w:rsidRDefault="00140B51" w:rsidP="001B0A6B">
                          <w:pPr>
                            <w:pStyle w:val="NormalWeb"/>
                            <w:spacing w:before="0" w:beforeAutospacing="0" w:after="0" w:afterAutospacing="0"/>
                            <w:jc w:val="center"/>
                          </w:pPr>
                          <w:r>
                            <w:rPr>
                              <w:rFonts w:ascii="Arial" w:hAnsi="Arial" w:cs="Arial"/>
                              <w:b/>
                              <w:bCs/>
                              <w:color w:val="FFFFFF" w:themeColor="light1"/>
                              <w:kern w:val="24"/>
                              <w:sz w:val="36"/>
                              <w:szCs w:val="36"/>
                            </w:rPr>
                            <w:t>40%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3" o:title="" recolor="t" rotate="t" type="frame"/>
                    <v:stroke joinstyle="miter"/>
                    <v:formulas/>
                    <v:path arrowok="t" o:connecttype="custom" o:connectlocs="0,1656184;414046,0;1276781,0;1690827,1656184;0,1656184" o:connectangles="0,0,0,0,0" textboxrect="0,0,1690827,1656184"/>
                    <v:textbox>
                      <w:txbxContent>
                        <w:p w:rsidR="00140B51" w:rsidRDefault="00140B51"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40B51" w:rsidRDefault="00140B51"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5" w:name="_Toc456267406"/>
      <w:r>
        <w:lastRenderedPageBreak/>
        <w:t>Methodology</w:t>
      </w:r>
      <w:bookmarkEnd w:id="5"/>
    </w:p>
    <w:p w:rsidR="00EC318F" w:rsidRDefault="00AD2D19" w:rsidP="00AD2D19">
      <w:r w:rsidRPr="0025242A">
        <w:t xml:space="preserve">The report </w:t>
      </w:r>
      <w:r>
        <w:t>uses</w:t>
      </w:r>
      <w:r w:rsidRPr="0025242A">
        <w:t xml:space="preserve"> data</w:t>
      </w:r>
      <w:r w:rsidR="00EC318F">
        <w:t xml:space="preserve"> from two primary sources, as follows:</w:t>
      </w:r>
    </w:p>
    <w:p w:rsidR="00EC318F" w:rsidRPr="004872FD" w:rsidRDefault="00EC318F" w:rsidP="00EC318F">
      <w:pPr>
        <w:pStyle w:val="ListParagraph"/>
        <w:numPr>
          <w:ilvl w:val="0"/>
          <w:numId w:val="14"/>
        </w:numPr>
      </w:pPr>
      <w:r>
        <w:t xml:space="preserve">Data </w:t>
      </w:r>
      <w:r w:rsidR="00DE5F57">
        <w:t xml:space="preserve">collected by the Blood Service under contractual </w:t>
      </w:r>
      <w:r w:rsidR="0016597B">
        <w:t>arrangements</w:t>
      </w:r>
      <w:r w:rsidR="00DE5F57">
        <w:t xml:space="preserve"> with the NBA on behalf of all Australian governments</w:t>
      </w:r>
      <w:r>
        <w:t xml:space="preserve">. This data is collected either when an order is placed for </w:t>
      </w:r>
      <w:r w:rsidR="00716977">
        <w:t>Ig</w:t>
      </w:r>
      <w:r>
        <w:t>, or is collected following the treatment</w:t>
      </w:r>
      <w:r w:rsidR="00F21AE1">
        <w:t xml:space="preserve"> where product is issued </w:t>
      </w:r>
      <w:r w:rsidR="00F21AE1" w:rsidRPr="004872FD">
        <w:t>as imprest stock</w:t>
      </w:r>
      <w:r w:rsidRPr="004872FD">
        <w:t>. The data is collected into the</w:t>
      </w:r>
      <w:r w:rsidR="00DE5F57" w:rsidRPr="004872FD">
        <w:t xml:space="preserve"> Blood Service</w:t>
      </w:r>
      <w:r w:rsidR="00C85A8F" w:rsidRPr="004872FD">
        <w:t>’s</w:t>
      </w:r>
      <w:r w:rsidR="00DE5F57" w:rsidRPr="004872FD">
        <w:t xml:space="preserve"> Supply Tracking Analysis Recording System (STARS) database.</w:t>
      </w:r>
    </w:p>
    <w:p w:rsidR="00DE5F57" w:rsidRPr="004872FD" w:rsidRDefault="00EC318F" w:rsidP="00EC318F">
      <w:pPr>
        <w:pStyle w:val="ListParagraph"/>
        <w:numPr>
          <w:ilvl w:val="0"/>
          <w:numId w:val="14"/>
        </w:numPr>
      </w:pPr>
      <w:r w:rsidRPr="004872FD">
        <w:t>D</w:t>
      </w:r>
      <w:r w:rsidR="00DE5F57" w:rsidRPr="004872FD">
        <w:t xml:space="preserve">ata </w:t>
      </w:r>
      <w:r w:rsidRPr="004872FD">
        <w:t xml:space="preserve">collected by the NBA </w:t>
      </w:r>
      <w:r w:rsidR="00DE5F57" w:rsidRPr="004872FD">
        <w:t xml:space="preserve">on </w:t>
      </w:r>
      <w:r w:rsidRPr="004872FD">
        <w:t xml:space="preserve">the </w:t>
      </w:r>
      <w:r w:rsidR="00137D79" w:rsidRPr="004872FD">
        <w:t>units</w:t>
      </w:r>
      <w:r w:rsidR="00DE5F57" w:rsidRPr="004872FD">
        <w:t xml:space="preserve"> </w:t>
      </w:r>
      <w:r w:rsidR="00716977">
        <w:t>Ig</w:t>
      </w:r>
      <w:r w:rsidR="00DE5F57" w:rsidRPr="004872FD">
        <w:t xml:space="preserve"> issued to Australian Health Providers (AHPs) and purchases from suppliers</w:t>
      </w:r>
      <w:r w:rsidRPr="004872FD">
        <w:t>. T</w:t>
      </w:r>
      <w:r w:rsidR="00DE5F57" w:rsidRPr="004872FD">
        <w:t>his data is held in the</w:t>
      </w:r>
      <w:r w:rsidR="00AD2D19" w:rsidRPr="004872FD">
        <w:t xml:space="preserve"> </w:t>
      </w:r>
      <w:r w:rsidRPr="004872FD">
        <w:t xml:space="preserve">NBA </w:t>
      </w:r>
      <w:r w:rsidR="00AD2D19" w:rsidRPr="004872FD">
        <w:t xml:space="preserve">Integrated </w:t>
      </w:r>
      <w:r w:rsidR="00F21AE1" w:rsidRPr="004872FD">
        <w:t>Data Management System</w:t>
      </w:r>
      <w:r w:rsidR="00AD2D19" w:rsidRPr="004872FD">
        <w:t xml:space="preserve"> (IDMS)</w:t>
      </w:r>
      <w:r w:rsidR="00DE5F57" w:rsidRPr="004872FD">
        <w:t>.</w:t>
      </w:r>
    </w:p>
    <w:p w:rsidR="00AF717F" w:rsidRPr="004872FD" w:rsidRDefault="00316621" w:rsidP="00AD2D19">
      <w:r w:rsidRPr="004872FD">
        <w:t xml:space="preserve">Over the </w:t>
      </w:r>
      <w:r w:rsidR="00A74DE8">
        <w:t>seven</w:t>
      </w:r>
      <w:r w:rsidRPr="004872FD">
        <w:t xml:space="preserve"> years between 200</w:t>
      </w:r>
      <w:r w:rsidR="00D95C5E" w:rsidRPr="004872FD">
        <w:t>8</w:t>
      </w:r>
      <w:r w:rsidRPr="004872FD">
        <w:t>-0</w:t>
      </w:r>
      <w:r w:rsidR="00D95C5E" w:rsidRPr="004872FD">
        <w:t>9</w:t>
      </w:r>
      <w:r w:rsidRPr="004872FD">
        <w:t xml:space="preserve"> and 201</w:t>
      </w:r>
      <w:r w:rsidR="00A74DE8">
        <w:t>4</w:t>
      </w:r>
      <w:r w:rsidRPr="004872FD">
        <w:t>-1</w:t>
      </w:r>
      <w:r w:rsidR="00A74DE8">
        <w:t>5</w:t>
      </w:r>
      <w:r w:rsidRPr="004872FD">
        <w:t xml:space="preserve">, data has been captured on </w:t>
      </w:r>
      <w:r w:rsidR="00A74DE8">
        <w:t>42,245</w:t>
      </w:r>
      <w:r w:rsidRPr="004872FD">
        <w:t xml:space="preserve"> patients. Caveats relating to the quality o</w:t>
      </w:r>
      <w:r w:rsidR="001850AC" w:rsidRPr="004872FD">
        <w:t>f this data are outlined below.</w:t>
      </w:r>
    </w:p>
    <w:p w:rsidR="00EC318F" w:rsidRPr="004872FD" w:rsidRDefault="00AF717F" w:rsidP="002D0363">
      <w:r w:rsidRPr="004872FD">
        <w:rPr>
          <w:lang w:val="en-GB"/>
        </w:rPr>
        <w:t>This report does</w:t>
      </w:r>
      <w:r w:rsidR="00F21AE1" w:rsidRPr="004872FD">
        <w:rPr>
          <w:lang w:val="en-GB"/>
        </w:rPr>
        <w:t xml:space="preserve"> </w:t>
      </w:r>
      <w:r w:rsidRPr="004872FD">
        <w:rPr>
          <w:lang w:val="en-GB"/>
        </w:rPr>
        <w:t xml:space="preserve">not </w:t>
      </w:r>
      <w:r w:rsidR="00F21AE1" w:rsidRPr="004872FD">
        <w:rPr>
          <w:lang w:val="en-GB"/>
        </w:rPr>
        <w:t xml:space="preserve">include </w:t>
      </w:r>
      <w:r w:rsidR="00EC318F" w:rsidRPr="004872FD">
        <w:rPr>
          <w:lang w:val="en-GB"/>
        </w:rPr>
        <w:t xml:space="preserve">data on supply of </w:t>
      </w:r>
      <w:r w:rsidRPr="004872FD">
        <w:rPr>
          <w:lang w:val="en-GB"/>
        </w:rPr>
        <w:t>Normal Immunoglobulin (NIg)</w:t>
      </w:r>
      <w:r w:rsidR="006D66E0">
        <w:rPr>
          <w:lang w:val="en-GB"/>
        </w:rPr>
        <w:t xml:space="preserve">. It includes data on </w:t>
      </w:r>
      <w:r w:rsidR="006D66E0" w:rsidRPr="004872FD">
        <w:rPr>
          <w:lang w:val="en-GB"/>
        </w:rPr>
        <w:t>Subcutaneous Immunoglobulin (SCIg)</w:t>
      </w:r>
      <w:r w:rsidR="006D66E0">
        <w:rPr>
          <w:lang w:val="en-GB"/>
        </w:rPr>
        <w:t xml:space="preserve"> for 2013-1</w:t>
      </w:r>
      <w:r w:rsidR="00A74DE8">
        <w:rPr>
          <w:lang w:val="en-GB"/>
        </w:rPr>
        <w:t>5</w:t>
      </w:r>
      <w:r w:rsidR="006D66E0">
        <w:rPr>
          <w:lang w:val="en-GB"/>
        </w:rPr>
        <w:t xml:space="preserve"> only as n</w:t>
      </w:r>
      <w:r w:rsidRPr="004872FD">
        <w:rPr>
          <w:lang w:val="en-GB"/>
        </w:rPr>
        <w:t xml:space="preserve">o SCIg product was available in Australia </w:t>
      </w:r>
      <w:r w:rsidR="00E05C2E">
        <w:rPr>
          <w:lang w:val="en-GB"/>
        </w:rPr>
        <w:t>before</w:t>
      </w:r>
      <w:r w:rsidRPr="004872FD">
        <w:rPr>
          <w:lang w:val="en-GB"/>
        </w:rPr>
        <w:t xml:space="preserve"> 201</w:t>
      </w:r>
      <w:r w:rsidR="00E05C2E">
        <w:rPr>
          <w:lang w:val="en-GB"/>
        </w:rPr>
        <w:t>3</w:t>
      </w:r>
      <w:r w:rsidRPr="004872FD">
        <w:rPr>
          <w:lang w:val="en-GB"/>
        </w:rPr>
        <w:t>-1</w:t>
      </w:r>
      <w:r w:rsidR="00E05C2E">
        <w:rPr>
          <w:lang w:val="en-GB"/>
        </w:rPr>
        <w:t>4</w:t>
      </w:r>
      <w:r w:rsidRPr="004872FD">
        <w:rPr>
          <w:lang w:val="en-GB"/>
        </w:rPr>
        <w:t>.</w:t>
      </w:r>
    </w:p>
    <w:p w:rsidR="00D203F4" w:rsidRPr="004872FD" w:rsidRDefault="00EC318F" w:rsidP="002D0363">
      <w:pPr>
        <w:rPr>
          <w:lang w:val="en-GB"/>
        </w:rPr>
      </w:pPr>
      <w:r w:rsidRPr="004872FD">
        <w:t xml:space="preserve">The report includes some language that may be unique to the Australian environment. </w:t>
      </w:r>
      <w:r w:rsidR="00164121" w:rsidRPr="004872FD">
        <w:t xml:space="preserve">A list of acronyms and definitions </w:t>
      </w:r>
      <w:r w:rsidR="00D203F4" w:rsidRPr="004872FD">
        <w:t xml:space="preserve">used in this report </w:t>
      </w:r>
      <w:r w:rsidR="00164121" w:rsidRPr="004872FD">
        <w:t xml:space="preserve">is at </w:t>
      </w:r>
      <w:r w:rsidR="00B10097" w:rsidRPr="004872FD">
        <w:rPr>
          <w:b/>
        </w:rPr>
        <w:fldChar w:fldCharType="begin" w:fldLock="1"/>
      </w:r>
      <w:r w:rsidR="00B10097" w:rsidRPr="004872FD">
        <w:rPr>
          <w:b/>
        </w:rPr>
        <w:instrText xml:space="preserve"> REF _Ref384558524 \h  \* MERGEFORMAT </w:instrText>
      </w:r>
      <w:r w:rsidR="00B10097" w:rsidRPr="004872FD">
        <w:rPr>
          <w:b/>
        </w:rPr>
      </w:r>
      <w:r w:rsidR="00B10097" w:rsidRPr="004872FD">
        <w:rPr>
          <w:b/>
        </w:rPr>
        <w:fldChar w:fldCharType="separate"/>
      </w:r>
      <w:r w:rsidR="00FD0FD6" w:rsidRPr="00FD0FD6">
        <w:rPr>
          <w:b/>
        </w:rPr>
        <w:t>Appendix B</w:t>
      </w:r>
      <w:r w:rsidR="00B10097" w:rsidRPr="004872FD">
        <w:rPr>
          <w:b/>
        </w:rPr>
        <w:fldChar w:fldCharType="end"/>
      </w:r>
      <w:r w:rsidR="00B10097" w:rsidRPr="004872FD">
        <w:rPr>
          <w:b/>
        </w:rPr>
        <w:t>.</w:t>
      </w:r>
    </w:p>
    <w:p w:rsidR="00EC318F" w:rsidRDefault="00EC318F" w:rsidP="002D0363">
      <w:r w:rsidRPr="004872FD">
        <w:rPr>
          <w:lang w:val="en-GB"/>
        </w:rPr>
        <w:t xml:space="preserve">The </w:t>
      </w:r>
      <w:r w:rsidRPr="004872FD">
        <w:rPr>
          <w:i/>
          <w:lang w:val="en-GB"/>
        </w:rPr>
        <w:t xml:space="preserve">Criteria </w:t>
      </w:r>
      <w:r w:rsidRPr="004872FD">
        <w:rPr>
          <w:lang w:val="en-GB"/>
        </w:rPr>
        <w:t xml:space="preserve">groups together a number of conditions into one </w:t>
      </w:r>
      <w:r w:rsidR="00CC3E5B">
        <w:rPr>
          <w:lang w:val="en-GB"/>
        </w:rPr>
        <w:t>diagnostic</w:t>
      </w:r>
      <w:r w:rsidRPr="004872FD">
        <w:rPr>
          <w:lang w:val="en-GB"/>
        </w:rPr>
        <w:t xml:space="preserve"> group. For example, primary immunodeficiency disease is a </w:t>
      </w:r>
      <w:r w:rsidR="00CC3E5B">
        <w:rPr>
          <w:lang w:val="en-GB"/>
        </w:rPr>
        <w:t>diagnostic</w:t>
      </w:r>
      <w:r w:rsidRPr="004872FD">
        <w:rPr>
          <w:lang w:val="en-GB"/>
        </w:rPr>
        <w:t xml:space="preserve"> group in the </w:t>
      </w:r>
      <w:r w:rsidRPr="004872FD">
        <w:rPr>
          <w:i/>
          <w:lang w:val="en-GB"/>
        </w:rPr>
        <w:t xml:space="preserve">Criteria, </w:t>
      </w:r>
      <w:r w:rsidRPr="004872FD">
        <w:rPr>
          <w:lang w:val="en-GB"/>
        </w:rPr>
        <w:t>with this group incorporating the numerous separate conditions. In some cases the analysis will focus on the di</w:t>
      </w:r>
      <w:r w:rsidR="00203679" w:rsidRPr="004872FD">
        <w:rPr>
          <w:lang w:val="en-GB"/>
        </w:rPr>
        <w:t>agnostic</w:t>
      </w:r>
      <w:r w:rsidRPr="004872FD">
        <w:rPr>
          <w:lang w:val="en-GB"/>
        </w:rPr>
        <w:t xml:space="preserve"> group</w:t>
      </w:r>
      <w:r>
        <w:rPr>
          <w:lang w:val="en-GB"/>
        </w:rPr>
        <w:t>, while in other areas it will focus on the condition.</w:t>
      </w:r>
      <w:r w:rsidR="004C3184">
        <w:rPr>
          <w:lang w:val="en-GB"/>
        </w:rPr>
        <w:t xml:space="preserve"> </w:t>
      </w:r>
    </w:p>
    <w:p w:rsidR="00D90728" w:rsidRPr="00D203F4" w:rsidRDefault="00D203F4" w:rsidP="00164121">
      <w:r>
        <w:t xml:space="preserve">Each </w:t>
      </w:r>
      <w:r w:rsidR="00951257">
        <w:t>condition</w:t>
      </w:r>
      <w:r>
        <w:t xml:space="preserve"> has been classified </w:t>
      </w:r>
      <w:r w:rsidR="00A22232">
        <w:t>according to</w:t>
      </w:r>
      <w:r>
        <w:t xml:space="preserve"> clinical </w:t>
      </w:r>
      <w:r w:rsidR="00A22232">
        <w:t>discipline</w:t>
      </w:r>
      <w:r>
        <w:t xml:space="preserve">. It is </w:t>
      </w:r>
      <w:r w:rsidR="004C3184">
        <w:t xml:space="preserve">acknowledged </w:t>
      </w:r>
      <w:r>
        <w:t xml:space="preserve">that for some conditions </w:t>
      </w:r>
      <w:r w:rsidR="00A22232">
        <w:t xml:space="preserve">this classification </w:t>
      </w:r>
      <w:r>
        <w:t>is somewhat arbitrary. For example, there are immunological conditions affecting the blood</w:t>
      </w:r>
      <w:r w:rsidR="00A22232">
        <w:t xml:space="preserve"> that</w:t>
      </w:r>
      <w:r>
        <w:t xml:space="preserve"> could potentially be mapped to either immunology or haematology. Where there appeared to be significant overlap between clinical disciplines, the condition was mapped as mixed. In the majority of cases, the condition was mapped to the speciality most likely to be responsible for patients with that condition, noting that this can vary. </w:t>
      </w:r>
      <w:r w:rsidR="00B10097" w:rsidRPr="00B10097">
        <w:rPr>
          <w:b/>
        </w:rPr>
        <w:fldChar w:fldCharType="begin" w:fldLock="1"/>
      </w:r>
      <w:r w:rsidR="00B10097" w:rsidRPr="00B10097">
        <w:rPr>
          <w:b/>
        </w:rPr>
        <w:instrText xml:space="preserve"> REF _Ref384558593 \h  \* MERGEFORMAT </w:instrText>
      </w:r>
      <w:r w:rsidR="00B10097" w:rsidRPr="00B10097">
        <w:rPr>
          <w:b/>
        </w:rPr>
      </w:r>
      <w:r w:rsidR="00B10097" w:rsidRPr="00B10097">
        <w:rPr>
          <w:b/>
        </w:rPr>
        <w:fldChar w:fldCharType="separate"/>
      </w:r>
      <w:r w:rsidR="00FD0FD6" w:rsidRPr="00FD0FD6">
        <w:rPr>
          <w:b/>
        </w:rPr>
        <w:t>Appendix C</w:t>
      </w:r>
      <w:r w:rsidR="00B10097" w:rsidRPr="00B10097">
        <w:rPr>
          <w:b/>
        </w:rPr>
        <w:fldChar w:fldCharType="end"/>
      </w:r>
      <w:r w:rsidR="005F18AF">
        <w:rPr>
          <w:b/>
        </w:rPr>
        <w:t xml:space="preserve"> </w:t>
      </w:r>
      <w:r w:rsidR="00267140">
        <w:t>provides the mapping of condition to discipline.</w:t>
      </w:r>
    </w:p>
    <w:p w:rsidR="00B10097" w:rsidRDefault="00267140" w:rsidP="00AD2D19">
      <w:pPr>
        <w:rPr>
          <w:b/>
        </w:rPr>
      </w:pPr>
      <w:r>
        <w:t xml:space="preserve">The </w:t>
      </w:r>
      <w:r w:rsidR="00A22232">
        <w:t>summary of key items from the data file</w:t>
      </w:r>
      <w:r>
        <w:t xml:space="preserve"> </w:t>
      </w:r>
      <w:r w:rsidR="00A22232">
        <w:t>is provided</w:t>
      </w:r>
      <w:r w:rsidR="0068337A">
        <w:t xml:space="preserve"> for</w:t>
      </w:r>
      <w:r>
        <w:t xml:space="preserve"> each condition at the state and territory level</w:t>
      </w:r>
      <w:r w:rsidR="0068337A">
        <w:t>. The summary includes</w:t>
      </w:r>
      <w:r>
        <w:t xml:space="preserve"> patient numbers, grams of </w:t>
      </w:r>
      <w:r w:rsidR="00716977">
        <w:t>Ig</w:t>
      </w:r>
      <w:r>
        <w:t xml:space="preserve"> used for the condition, grams per treatment episode and grams per 1,000 population</w:t>
      </w:r>
      <w:r w:rsidR="00E246BF">
        <w:t xml:space="preserve"> </w:t>
      </w:r>
      <w:r w:rsidR="00A22232">
        <w:t>(</w:t>
      </w:r>
      <w:r w:rsidR="00B10097" w:rsidRPr="00B10097">
        <w:rPr>
          <w:b/>
        </w:rPr>
        <w:fldChar w:fldCharType="begin" w:fldLock="1"/>
      </w:r>
      <w:r w:rsidR="00B10097" w:rsidRPr="00B10097">
        <w:rPr>
          <w:b/>
        </w:rPr>
        <w:instrText xml:space="preserve"> REF _Ref379893813 \h  \* MERGEFORMAT </w:instrText>
      </w:r>
      <w:r w:rsidR="00B10097" w:rsidRPr="00B10097">
        <w:rPr>
          <w:b/>
        </w:rPr>
      </w:r>
      <w:r w:rsidR="00B10097" w:rsidRPr="00B10097">
        <w:rPr>
          <w:b/>
        </w:rPr>
        <w:fldChar w:fldCharType="separate"/>
      </w:r>
      <w:r w:rsidR="00FD0FD6" w:rsidRPr="00FD0FD6">
        <w:rPr>
          <w:b/>
        </w:rPr>
        <w:t>Appendix D</w:t>
      </w:r>
      <w:r w:rsidR="00B10097" w:rsidRPr="00B10097">
        <w:rPr>
          <w:b/>
        </w:rPr>
        <w:fldChar w:fldCharType="end"/>
      </w:r>
      <w:r w:rsidR="00A22232">
        <w:rPr>
          <w:b/>
        </w:rPr>
        <w:t>)</w:t>
      </w:r>
      <w:r>
        <w:rPr>
          <w:b/>
        </w:rPr>
        <w:t xml:space="preserve">. </w:t>
      </w:r>
      <w:r w:rsidR="00164121" w:rsidRPr="00022192">
        <w:t xml:space="preserve">The source used for </w:t>
      </w:r>
      <w:r>
        <w:t xml:space="preserve">each figure and </w:t>
      </w:r>
      <w:r w:rsidR="00164121">
        <w:t>table is provided at</w:t>
      </w:r>
      <w:r w:rsidR="00164121">
        <w:rPr>
          <w:b/>
        </w:rPr>
        <w:t xml:space="preserve"> </w:t>
      </w:r>
      <w:r w:rsidR="00B10097" w:rsidRPr="00B10097">
        <w:rPr>
          <w:b/>
        </w:rPr>
        <w:fldChar w:fldCharType="begin" w:fldLock="1"/>
      </w:r>
      <w:r w:rsidR="00B10097" w:rsidRPr="00B10097">
        <w:rPr>
          <w:b/>
        </w:rPr>
        <w:instrText xml:space="preserve"> REF _Ref379897557 \h </w:instrText>
      </w:r>
      <w:r w:rsidR="00B10097">
        <w:rPr>
          <w:b/>
        </w:rPr>
        <w:instrText xml:space="preserve"> \* MERGEFORMAT </w:instrText>
      </w:r>
      <w:r w:rsidR="00B10097" w:rsidRPr="00B10097">
        <w:rPr>
          <w:b/>
        </w:rPr>
      </w:r>
      <w:r w:rsidR="00B10097" w:rsidRPr="00B10097">
        <w:rPr>
          <w:b/>
        </w:rPr>
        <w:fldChar w:fldCharType="separate"/>
      </w:r>
      <w:r w:rsidR="00FD0FD6" w:rsidRPr="00FD0FD6">
        <w:rPr>
          <w:b/>
        </w:rPr>
        <w:t>Appendix G</w:t>
      </w:r>
      <w:r w:rsidR="00B10097" w:rsidRPr="00B10097">
        <w:rPr>
          <w:b/>
        </w:rPr>
        <w:fldChar w:fldCharType="end"/>
      </w:r>
      <w:r w:rsidR="00B10097">
        <w:rPr>
          <w:b/>
        </w:rPr>
        <w:t>.</w:t>
      </w:r>
    </w:p>
    <w:p w:rsidR="00B10097" w:rsidRDefault="00B10097">
      <w:pPr>
        <w:spacing w:after="0"/>
        <w:rPr>
          <w:b/>
        </w:rPr>
      </w:pPr>
      <w:r>
        <w:rPr>
          <w:b/>
        </w:rPr>
        <w:br w:type="page"/>
      </w:r>
    </w:p>
    <w:p w:rsidR="0017310B" w:rsidRPr="00BD0063" w:rsidRDefault="00AD2D19" w:rsidP="001C4944">
      <w:pPr>
        <w:pStyle w:val="Heading2"/>
      </w:pPr>
      <w:bookmarkStart w:id="6" w:name="_Toc456267407"/>
      <w:r>
        <w:lastRenderedPageBreak/>
        <w:t>Data quality</w:t>
      </w:r>
      <w:bookmarkEnd w:id="6"/>
      <w:r>
        <w:t xml:space="preserve"> </w:t>
      </w:r>
    </w:p>
    <w:p w:rsidR="00AD2D19" w:rsidRDefault="00AD2D19" w:rsidP="0017310B">
      <w:r>
        <w:t xml:space="preserve">There are some factors relating to data </w:t>
      </w:r>
      <w:r w:rsidR="00D95C5E">
        <w:t>quality, which</w:t>
      </w:r>
      <w:r>
        <w:t xml:space="preserve"> need to be considered when reading this report, as follows:</w:t>
      </w:r>
    </w:p>
    <w:p w:rsidR="00316621" w:rsidRDefault="00132DD7" w:rsidP="00AD2D19">
      <w:pPr>
        <w:pStyle w:val="ListParagraph"/>
        <w:numPr>
          <w:ilvl w:val="0"/>
          <w:numId w:val="12"/>
        </w:numPr>
      </w:pPr>
      <w:r>
        <w:t>The</w:t>
      </w:r>
      <w:r w:rsidRPr="001F03D7">
        <w:t xml:space="preserve"> reconciliation of </w:t>
      </w:r>
      <w:r w:rsidR="00A22232">
        <w:t xml:space="preserve">data held in </w:t>
      </w:r>
      <w:r w:rsidRPr="001F03D7">
        <w:t xml:space="preserve">STARS </w:t>
      </w:r>
      <w:r>
        <w:t>and</w:t>
      </w:r>
      <w:r w:rsidRPr="001F03D7">
        <w:t xml:space="preserve"> </w:t>
      </w:r>
      <w:r w:rsidR="00A22232">
        <w:t>IDMS</w:t>
      </w:r>
      <w:r>
        <w:t xml:space="preserve"> </w:t>
      </w:r>
      <w:r w:rsidRPr="001F03D7">
        <w:t xml:space="preserve">indicates </w:t>
      </w:r>
      <w:r>
        <w:t>minor</w:t>
      </w:r>
      <w:r w:rsidRPr="001F03D7">
        <w:t xml:space="preserve"> variances</w:t>
      </w:r>
      <w:r>
        <w:t xml:space="preserve"> at a national level.</w:t>
      </w:r>
      <w:r w:rsidRPr="001F03D7">
        <w:t xml:space="preserve"> In some cases these differences can be explained by product being ordered and recorded in STARS the month prior to product actually being issued</w:t>
      </w:r>
      <w:r w:rsidR="00B10097">
        <w:t xml:space="preserve"> to a patient</w:t>
      </w:r>
      <w:r w:rsidRPr="001F03D7">
        <w:t>.</w:t>
      </w:r>
    </w:p>
    <w:p w:rsidR="0068364E" w:rsidRDefault="00316621" w:rsidP="00AD2D19">
      <w:pPr>
        <w:pStyle w:val="ListParagraph"/>
        <w:numPr>
          <w:ilvl w:val="0"/>
          <w:numId w:val="12"/>
        </w:numPr>
      </w:pPr>
      <w:r w:rsidRPr="00B828DF">
        <w:t>Not all data fields are completed for all patients. For example</w:t>
      </w:r>
      <w:r w:rsidR="00A73015">
        <w:t xml:space="preserve">, of the total patients recorded since 2008 </w:t>
      </w:r>
      <w:r w:rsidR="00DB67DC">
        <w:t>3</w:t>
      </w:r>
      <w:r w:rsidR="00A74DE8">
        <w:t>7</w:t>
      </w:r>
      <w:r w:rsidR="00DB67DC">
        <w:t>,</w:t>
      </w:r>
      <w:r w:rsidR="00A74DE8">
        <w:t>209</w:t>
      </w:r>
      <w:r w:rsidRPr="00B828DF">
        <w:t xml:space="preserve"> patients (</w:t>
      </w:r>
      <w:r w:rsidR="00A74DE8">
        <w:t>88</w:t>
      </w:r>
      <w:r w:rsidRPr="00B828DF">
        <w:t xml:space="preserve">%) had weight data entered, but only </w:t>
      </w:r>
      <w:r w:rsidR="000146ED" w:rsidRPr="00C358CA">
        <w:t>7,184</w:t>
      </w:r>
      <w:r w:rsidRPr="00C358CA">
        <w:t xml:space="preserve"> (</w:t>
      </w:r>
      <w:r w:rsidR="000146ED" w:rsidRPr="00C358CA">
        <w:t>17</w:t>
      </w:r>
      <w:r w:rsidRPr="00C358CA">
        <w:t>%)</w:t>
      </w:r>
      <w:r w:rsidRPr="00B828DF">
        <w:t xml:space="preserve"> had their weight data </w:t>
      </w:r>
      <w:r w:rsidR="00F2303C">
        <w:t>change in a treatment</w:t>
      </w:r>
      <w:r w:rsidR="00F2303C" w:rsidRPr="00B828DF">
        <w:t xml:space="preserve"> following</w:t>
      </w:r>
      <w:r w:rsidR="002D5A79">
        <w:t xml:space="preserve"> the</w:t>
      </w:r>
      <w:r w:rsidR="00F2303C" w:rsidRPr="00B828DF">
        <w:t xml:space="preserve"> first entry</w:t>
      </w:r>
      <w:r w:rsidRPr="00B828DF">
        <w:t>.</w:t>
      </w:r>
    </w:p>
    <w:p w:rsidR="00AD2D19" w:rsidRDefault="00AD2D19" w:rsidP="00AD2D19">
      <w:pPr>
        <w:pStyle w:val="ListParagraph"/>
        <w:numPr>
          <w:ilvl w:val="0"/>
          <w:numId w:val="12"/>
        </w:numPr>
      </w:pPr>
      <w:r>
        <w:t>The</w:t>
      </w:r>
      <w:r w:rsidRPr="00DB3A18">
        <w:t xml:space="preserve"> ABS population series 3201.0 (Population by Age and Sex, Australian States and Territories</w:t>
      </w:r>
      <w:r>
        <w:t>)</w:t>
      </w:r>
      <w:r w:rsidRPr="00DB3A18">
        <w:t xml:space="preserve"> ended </w:t>
      </w:r>
      <w:r>
        <w:t xml:space="preserve">in </w:t>
      </w:r>
      <w:r w:rsidRPr="00DB3A18">
        <w:t>June 2010</w:t>
      </w:r>
      <w:r>
        <w:t xml:space="preserve"> and</w:t>
      </w:r>
      <w:r w:rsidRPr="00DB3A18">
        <w:t xml:space="preserve"> was replaced by Australian Demographic Statistics (cat. No 31</w:t>
      </w:r>
      <w:r>
        <w:t>01.0).</w:t>
      </w:r>
      <w:r w:rsidRPr="00DB3A18">
        <w:t xml:space="preserve"> </w:t>
      </w:r>
      <w:r>
        <w:t>Series 3201.0</w:t>
      </w:r>
      <w:r w:rsidRPr="00DB3A18">
        <w:t xml:space="preserve"> was utilised </w:t>
      </w:r>
      <w:r w:rsidR="00FB3F96">
        <w:t xml:space="preserve">as the denominator for population statistics </w:t>
      </w:r>
      <w:r w:rsidRPr="00DB3A18">
        <w:t xml:space="preserve">for </w:t>
      </w:r>
      <w:r w:rsidR="00716977">
        <w:t>Ig</w:t>
      </w:r>
      <w:r w:rsidRPr="00DB3A18">
        <w:t xml:space="preserve"> annual reports</w:t>
      </w:r>
      <w:r>
        <w:t xml:space="preserve"> before 2011-12</w:t>
      </w:r>
      <w:r w:rsidRPr="00DB3A18">
        <w:t>.</w:t>
      </w:r>
    </w:p>
    <w:p w:rsidR="00AD2D19" w:rsidRDefault="00AD2D19" w:rsidP="00AD2D19">
      <w:pPr>
        <w:pStyle w:val="ListParagraph"/>
        <w:numPr>
          <w:ilvl w:val="0"/>
          <w:numId w:val="12"/>
        </w:numPr>
      </w:pPr>
      <w:r w:rsidRPr="00DB3A18">
        <w:t xml:space="preserve">Care should be taken when interpreting the data relating to the smaller states and territories as </w:t>
      </w:r>
      <w:r w:rsidR="00066948" w:rsidRPr="00DB3A18">
        <w:t xml:space="preserve">one or two patients can overly influence </w:t>
      </w:r>
      <w:r w:rsidR="00B10097">
        <w:t>the use compared to larger states</w:t>
      </w:r>
      <w:r w:rsidRPr="00DB3A18">
        <w:t>.</w:t>
      </w:r>
      <w:r w:rsidR="00C9255E">
        <w:t xml:space="preserve"> The five largest Australian states are New South Wales (NSW), Victoria (VIC), Queensland (QLD), South Australia (SA) and Western Australia (WA).</w:t>
      </w:r>
    </w:p>
    <w:p w:rsidR="00AD2D19" w:rsidRPr="00DB3A18" w:rsidRDefault="00AD2D19" w:rsidP="00AD2D19">
      <w:pPr>
        <w:pStyle w:val="ListParagraph"/>
        <w:numPr>
          <w:ilvl w:val="0"/>
          <w:numId w:val="12"/>
        </w:numPr>
      </w:pPr>
      <w:r>
        <w:t xml:space="preserve">There has been no adjustment for </w:t>
      </w:r>
      <w:r w:rsidR="00716977">
        <w:t>Ig</w:t>
      </w:r>
      <w:r w:rsidR="00A22232">
        <w:t xml:space="preserve"> used in one state or territory for</w:t>
      </w:r>
      <w:r w:rsidR="00A3595D">
        <w:t xml:space="preserve"> </w:t>
      </w:r>
      <w:r w:rsidR="00A22232">
        <w:t>patients residing in a different state or territory</w:t>
      </w:r>
      <w:r>
        <w:t>.</w:t>
      </w:r>
    </w:p>
    <w:p w:rsidR="00AD2D19" w:rsidRDefault="00316621" w:rsidP="00AD2D19">
      <w:pPr>
        <w:pStyle w:val="ListParagraph"/>
        <w:numPr>
          <w:ilvl w:val="0"/>
          <w:numId w:val="12"/>
        </w:numPr>
      </w:pPr>
      <w:r>
        <w:t xml:space="preserve">A total of </w:t>
      </w:r>
      <w:r w:rsidR="00F311DF">
        <w:t>958</w:t>
      </w:r>
      <w:r w:rsidRPr="00E374C6">
        <w:t xml:space="preserve"> (2%)</w:t>
      </w:r>
      <w:r>
        <w:t xml:space="preserve"> patients received product in more than </w:t>
      </w:r>
      <w:r w:rsidR="00AD2D19" w:rsidRPr="00DB3A18">
        <w:t>one state and territory</w:t>
      </w:r>
      <w:r w:rsidR="00AD2D19">
        <w:t>. F</w:t>
      </w:r>
      <w:r w:rsidR="00AD2D19" w:rsidRPr="00DB3A18">
        <w:t>or example</w:t>
      </w:r>
      <w:r w:rsidR="00AD2D19">
        <w:t>,</w:t>
      </w:r>
      <w:r w:rsidR="00AD2D19" w:rsidRPr="00DB3A18">
        <w:t xml:space="preserve"> </w:t>
      </w:r>
      <w:r w:rsidR="00AD2D19">
        <w:t xml:space="preserve">if a patient </w:t>
      </w:r>
      <w:r w:rsidR="00AD2D19" w:rsidRPr="00DB3A18">
        <w:t>relocate</w:t>
      </w:r>
      <w:r w:rsidR="00A22232">
        <w:t>d</w:t>
      </w:r>
      <w:r w:rsidR="00AD2D19" w:rsidRPr="00DB3A18">
        <w:t xml:space="preserve"> from </w:t>
      </w:r>
      <w:r w:rsidR="00AD2D19">
        <w:t>New South Wales to Victoria, t</w:t>
      </w:r>
      <w:r w:rsidR="00AD2D19" w:rsidRPr="00DB3A18">
        <w:t xml:space="preserve">hey will be counted as a patient in both states. </w:t>
      </w:r>
      <w:r w:rsidR="00AD2D19">
        <w:t>T</w:t>
      </w:r>
      <w:r w:rsidR="00AD2D19" w:rsidRPr="00DB3A18">
        <w:t xml:space="preserve">he national patient count only </w:t>
      </w:r>
      <w:r w:rsidR="00AD2D19">
        <w:t>includes one count for each patient</w:t>
      </w:r>
      <w:r w:rsidR="00AD2D19" w:rsidRPr="00DB3A18">
        <w:t>. This may result in the sum of the state and territory</w:t>
      </w:r>
      <w:r w:rsidR="00AD2D19">
        <w:t xml:space="preserve"> totals</w:t>
      </w:r>
      <w:r w:rsidR="00AD2D19" w:rsidRPr="00DB3A18">
        <w:t xml:space="preserve"> being greater than the national total.</w:t>
      </w:r>
    </w:p>
    <w:p w:rsidR="00AD2D19" w:rsidRPr="00DB3A18" w:rsidRDefault="00AD2D19" w:rsidP="00AD2D19">
      <w:pPr>
        <w:pStyle w:val="ListParagraph"/>
        <w:numPr>
          <w:ilvl w:val="0"/>
          <w:numId w:val="12"/>
        </w:numPr>
      </w:pPr>
      <w:r>
        <w:t>Patient numbers were first reported in 2008-09</w:t>
      </w:r>
      <w:r w:rsidRPr="003144B4">
        <w:t>.</w:t>
      </w:r>
      <w:r>
        <w:t xml:space="preserve"> A small number of</w:t>
      </w:r>
      <w:r w:rsidRPr="003144B4">
        <w:t xml:space="preserve"> patients </w:t>
      </w:r>
      <w:r>
        <w:t>who did not receive product funded under national blood arrangements</w:t>
      </w:r>
      <w:r w:rsidRPr="003144B4">
        <w:t xml:space="preserve"> have been excluded from the total patient count</w:t>
      </w:r>
      <w:r>
        <w:t>.</w:t>
      </w:r>
    </w:p>
    <w:p w:rsidR="00AD2D19" w:rsidRPr="008D1D39" w:rsidRDefault="00066948" w:rsidP="00AD2D19">
      <w:pPr>
        <w:pStyle w:val="ListParagraph"/>
        <w:numPr>
          <w:ilvl w:val="0"/>
          <w:numId w:val="12"/>
        </w:numPr>
        <w:jc w:val="both"/>
      </w:pPr>
      <w:r>
        <w:t xml:space="preserve">A total of </w:t>
      </w:r>
      <w:r w:rsidR="00AA6688" w:rsidRPr="00E374C6">
        <w:t>3,</w:t>
      </w:r>
      <w:r w:rsidR="00133C25">
        <w:t>860</w:t>
      </w:r>
      <w:r w:rsidR="00AA6688" w:rsidRPr="00E374C6">
        <w:t xml:space="preserve"> </w:t>
      </w:r>
      <w:r w:rsidRPr="00E374C6">
        <w:t>(</w:t>
      </w:r>
      <w:r w:rsidR="00AA6688" w:rsidRPr="00E374C6">
        <w:t>9</w:t>
      </w:r>
      <w:r w:rsidRPr="00E374C6">
        <w:t>%)</w:t>
      </w:r>
      <w:r>
        <w:t xml:space="preserve"> patients had </w:t>
      </w:r>
      <w:r w:rsidR="00AD2D19" w:rsidRPr="00377999">
        <w:t xml:space="preserve">more than one </w:t>
      </w:r>
      <w:r w:rsidR="00203679" w:rsidRPr="00203679">
        <w:t>condition</w:t>
      </w:r>
      <w:r w:rsidR="00AD2D19" w:rsidRPr="00203679">
        <w:t xml:space="preserve"> over time. In these cases, a patient may be counted more than once in the data in this report</w:t>
      </w:r>
      <w:r w:rsidR="00A22232" w:rsidRPr="00B81AFC">
        <w:t>, that is,</w:t>
      </w:r>
      <w:r w:rsidR="00AD2D19" w:rsidRPr="00B81AFC">
        <w:t xml:space="preserve"> the patient will be counted i</w:t>
      </w:r>
      <w:r w:rsidR="00A22232" w:rsidRPr="00082314">
        <w:t xml:space="preserve">n the totals for each </w:t>
      </w:r>
      <w:r w:rsidR="00203679" w:rsidRPr="00DB394D">
        <w:t>condition</w:t>
      </w:r>
      <w:r w:rsidR="00AD2D19" w:rsidRPr="00DB394D">
        <w:t>.</w:t>
      </w:r>
    </w:p>
    <w:p w:rsidR="00B10097" w:rsidRPr="004872FD" w:rsidRDefault="00AD2D19" w:rsidP="00B10097">
      <w:pPr>
        <w:pStyle w:val="ListParagraph"/>
        <w:numPr>
          <w:ilvl w:val="0"/>
          <w:numId w:val="12"/>
        </w:numPr>
        <w:rPr>
          <w:lang w:val="en-GB"/>
        </w:rPr>
      </w:pPr>
      <w:r w:rsidRPr="004872FD">
        <w:rPr>
          <w:lang w:val="en-GB"/>
        </w:rPr>
        <w:t>The STARS data has age and weight data recorded at treatment dates (first reported in 2009-10). This data changes over time. Age data is based on the patient’s age at 1 January each year.</w:t>
      </w:r>
      <w:r w:rsidRPr="004872FD">
        <w:t xml:space="preserve"> </w:t>
      </w:r>
    </w:p>
    <w:p w:rsidR="00AD2D19" w:rsidRDefault="00AD2D19" w:rsidP="00B10097">
      <w:pPr>
        <w:pStyle w:val="ListParagraph"/>
        <w:numPr>
          <w:ilvl w:val="0"/>
          <w:numId w:val="12"/>
        </w:numPr>
        <w:rPr>
          <w:lang w:val="en-GB"/>
        </w:rPr>
      </w:pPr>
      <w:r w:rsidRPr="004872FD">
        <w:rPr>
          <w:lang w:val="en-GB"/>
        </w:rPr>
        <w:t>Diagnos</w:t>
      </w:r>
      <w:r w:rsidR="00203679" w:rsidRPr="006826A1">
        <w:rPr>
          <w:lang w:val="en-GB"/>
        </w:rPr>
        <w:t>is group</w:t>
      </w:r>
      <w:r w:rsidRPr="00203679">
        <w:rPr>
          <w:lang w:val="en-GB"/>
        </w:rPr>
        <w:t xml:space="preserve"> and </w:t>
      </w:r>
      <w:r w:rsidR="00203679">
        <w:rPr>
          <w:lang w:val="en-GB"/>
        </w:rPr>
        <w:t>conditions</w:t>
      </w:r>
      <w:r w:rsidR="00203679" w:rsidRPr="00203679">
        <w:rPr>
          <w:lang w:val="en-GB"/>
        </w:rPr>
        <w:t xml:space="preserve"> </w:t>
      </w:r>
      <w:r w:rsidRPr="00203679">
        <w:rPr>
          <w:lang w:val="en-GB"/>
        </w:rPr>
        <w:t>captured prior to the implementation of the Criteria were mapped to ensure that they were meaningfully represented, however</w:t>
      </w:r>
      <w:r w:rsidRPr="00B10097">
        <w:rPr>
          <w:lang w:val="en-GB"/>
        </w:rPr>
        <w:t xml:space="preserve"> information from previous years may not be directly comparable from 2008-09 forward. There is a small variance between disciplines by year due to mapping methodology.</w:t>
      </w:r>
    </w:p>
    <w:p w:rsidR="0017310B" w:rsidRPr="009647D5" w:rsidRDefault="00A063D5" w:rsidP="0017310B">
      <w:pPr>
        <w:pStyle w:val="Heading1"/>
      </w:pPr>
      <w:bookmarkStart w:id="7" w:name="_Toc456267408"/>
      <w:r>
        <w:lastRenderedPageBreak/>
        <w:t>10 Year Trends</w:t>
      </w:r>
      <w:bookmarkEnd w:id="7"/>
    </w:p>
    <w:p w:rsidR="00887374" w:rsidRDefault="00887374" w:rsidP="00887374">
      <w:pPr>
        <w:pStyle w:val="Heading2"/>
      </w:pPr>
      <w:bookmarkStart w:id="8" w:name="_Toc456267409"/>
      <w:r>
        <w:t>D</w:t>
      </w:r>
      <w:r w:rsidR="008146AB">
        <w:t>emand</w:t>
      </w:r>
      <w:r>
        <w:t xml:space="preserve"> T</w:t>
      </w:r>
      <w:r w:rsidR="008146AB">
        <w:t>rends</w:t>
      </w:r>
      <w:bookmarkEnd w:id="8"/>
    </w:p>
    <w:p w:rsidR="00AD2D19" w:rsidRDefault="00AD2D19" w:rsidP="00AD2D19">
      <w:r>
        <w:t>In 201</w:t>
      </w:r>
      <w:r w:rsidR="00415DAF">
        <w:t>4</w:t>
      </w:r>
      <w:r>
        <w:t>-1</w:t>
      </w:r>
      <w:r w:rsidR="00415DAF">
        <w:t>5</w:t>
      </w:r>
      <w:r>
        <w:t xml:space="preserve"> a total of </w:t>
      </w:r>
      <w:r w:rsidR="00E374C6">
        <w:t>4,</w:t>
      </w:r>
      <w:r w:rsidR="00506157">
        <w:t>433</w:t>
      </w:r>
      <w:r w:rsidR="00E374C6">
        <w:t>,</w:t>
      </w:r>
      <w:r w:rsidR="00506157">
        <w:t>146</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506157">
        <w:t>411</w:t>
      </w:r>
      <w:r w:rsidRPr="00B34AD2">
        <w:t>,</w:t>
      </w:r>
      <w:r w:rsidR="00506157">
        <w:t>284</w:t>
      </w:r>
      <w:r>
        <w:t xml:space="preserve"> grams </w:t>
      </w:r>
      <w:r w:rsidR="002C0C10" w:rsidRPr="005537AD">
        <w:t>(</w:t>
      </w:r>
      <w:r w:rsidR="005537AD" w:rsidRPr="005537AD">
        <w:t>1</w:t>
      </w:r>
      <w:r w:rsidR="00506157">
        <w:t>0.2</w:t>
      </w:r>
      <w:r w:rsidR="002C0C10" w:rsidRPr="005537AD">
        <w:t>%)</w:t>
      </w:r>
      <w:r w:rsidR="002C0C10">
        <w:t xml:space="preserve"> </w:t>
      </w:r>
      <w:r>
        <w:t>over 201</w:t>
      </w:r>
      <w:r w:rsidR="00415DAF">
        <w:t>3</w:t>
      </w:r>
      <w:r>
        <w:t>-1</w:t>
      </w:r>
      <w:r w:rsidR="00415DAF">
        <w:t>4</w:t>
      </w:r>
      <w:r>
        <w:t xml:space="preserve">. </w:t>
      </w:r>
      <w:r w:rsidR="00622293">
        <w:t>Since 200</w:t>
      </w:r>
      <w:r w:rsidR="00506157">
        <w:t>5</w:t>
      </w:r>
      <w:r w:rsidR="00622293">
        <w:t>-0</w:t>
      </w:r>
      <w:r w:rsidR="00506157">
        <w:t xml:space="preserve">6 </w:t>
      </w:r>
      <w:r w:rsidR="00622293">
        <w:t>there has been a</w:t>
      </w:r>
      <w:r w:rsidR="00C9255E">
        <w:t>n on average</w:t>
      </w:r>
      <w:r w:rsidR="00622293">
        <w:t xml:space="preserve"> </w:t>
      </w:r>
      <w:r w:rsidR="00383E85" w:rsidRPr="00B34AD2">
        <w:t>1</w:t>
      </w:r>
      <w:r w:rsidR="00C52533">
        <w:t>2</w:t>
      </w:r>
      <w:r w:rsidR="00383E85" w:rsidRPr="00B34AD2">
        <w:t>.</w:t>
      </w:r>
      <w:r w:rsidR="00C52533">
        <w:t>0</w:t>
      </w:r>
      <w:r>
        <w:t xml:space="preserve">% increase in </w:t>
      </w:r>
      <w:r w:rsidR="00716977">
        <w:t>Ig</w:t>
      </w:r>
      <w:r>
        <w:t xml:space="preserve">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F3134D">
        <w:t xml:space="preserve">Figure </w:t>
      </w:r>
      <w:r w:rsidR="00F3134D">
        <w:rPr>
          <w:noProof/>
        </w:rPr>
        <w:t>1</w:t>
      </w:r>
      <w:r w:rsidR="00E5706B">
        <w:fldChar w:fldCharType="end"/>
      </w:r>
      <w:r w:rsidR="004B16D4">
        <w:t>).</w:t>
      </w:r>
      <w:r w:rsidR="002C0C10">
        <w:t xml:space="preserve"> </w:t>
      </w:r>
    </w:p>
    <w:p w:rsidR="0017310B" w:rsidRDefault="00327659" w:rsidP="008A36DF">
      <w:r>
        <w:rPr>
          <w:noProof/>
          <w:lang w:eastAsia="en-AU"/>
        </w:rPr>
        <w:drawing>
          <wp:inline distT="0" distB="0" distL="0" distR="0" wp14:anchorId="01EC071C" wp14:editId="2D26906B">
            <wp:extent cx="5926455" cy="3849663"/>
            <wp:effectExtent l="0" t="0" r="17145"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10B" w:rsidRDefault="00AD2D19" w:rsidP="009F6FE9">
      <w:pPr>
        <w:pStyle w:val="Caption"/>
      </w:pPr>
      <w:bookmarkStart w:id="9" w:name="_Ref253556626"/>
      <w:bookmarkStart w:id="10" w:name="_Toc364776990"/>
      <w:bookmarkStart w:id="11" w:name="_Toc353894296"/>
      <w:bookmarkStart w:id="12" w:name="_Toc353894426"/>
      <w:bookmarkStart w:id="13" w:name="_Toc390098180"/>
      <w:bookmarkStart w:id="14" w:name="_Toc456266166"/>
      <w:r>
        <w:t xml:space="preserve">Figure </w:t>
      </w:r>
      <w:r w:rsidR="00E5706B">
        <w:fldChar w:fldCharType="begin"/>
      </w:r>
      <w:r w:rsidR="000622C5">
        <w:instrText xml:space="preserve"> SEQ Figure \* ARABIC </w:instrText>
      </w:r>
      <w:r w:rsidR="00E5706B">
        <w:fldChar w:fldCharType="separate"/>
      </w:r>
      <w:r w:rsidR="00F3134D">
        <w:rPr>
          <w:noProof/>
        </w:rPr>
        <w:t>1</w:t>
      </w:r>
      <w:r w:rsidR="00E5706B">
        <w:rPr>
          <w:noProof/>
        </w:rPr>
        <w:fldChar w:fldCharType="end"/>
      </w:r>
      <w:bookmarkEnd w:id="9"/>
      <w:r w:rsidR="00810567">
        <w:rPr>
          <w:noProof/>
        </w:rPr>
        <w:tab/>
      </w:r>
      <w:r w:rsidR="00FE7F5B">
        <w:t>Ten year trends in</w:t>
      </w:r>
      <w:r w:rsidR="004A7472">
        <w:t xml:space="preserve"> issues</w:t>
      </w:r>
      <w:r>
        <w:t xml:space="preserve"> of </w:t>
      </w:r>
      <w:bookmarkEnd w:id="10"/>
      <w:bookmarkEnd w:id="11"/>
      <w:bookmarkEnd w:id="12"/>
      <w:bookmarkEnd w:id="13"/>
      <w:r w:rsidR="00716977">
        <w:t>Ig</w:t>
      </w:r>
      <w:bookmarkEnd w:id="14"/>
    </w:p>
    <w:p w:rsidR="00866AC2" w:rsidRDefault="00866AC2" w:rsidP="00FE7F5B"/>
    <w:p w:rsidR="00866AC2" w:rsidRDefault="00866AC2" w:rsidP="00866AC2">
      <w:pPr>
        <w:pStyle w:val="Caption"/>
        <w:keepNext/>
      </w:pPr>
      <w:bookmarkStart w:id="15" w:name="_Ref386097734"/>
      <w:bookmarkStart w:id="16" w:name="_Toc456266144"/>
      <w:bookmarkStart w:id="17" w:name="_Toc456266980"/>
      <w:r>
        <w:t xml:space="preserve">Table </w:t>
      </w:r>
      <w:fldSimple w:instr=" SEQ Table \* ARABIC ">
        <w:r w:rsidR="00F3134D">
          <w:rPr>
            <w:noProof/>
          </w:rPr>
          <w:t>1</w:t>
        </w:r>
      </w:fldSimple>
      <w:bookmarkEnd w:id="15"/>
      <w:r>
        <w:tab/>
        <w:t xml:space="preserve">Growth in </w:t>
      </w:r>
      <w:r w:rsidR="00716977">
        <w:t>Ig</w:t>
      </w:r>
      <w:r>
        <w:t xml:space="preserve"> </w:t>
      </w:r>
      <w:r w:rsidR="00FB3F96">
        <w:t xml:space="preserve">grams </w:t>
      </w:r>
      <w:r>
        <w:t>issue</w:t>
      </w:r>
      <w:r w:rsidR="00FB3F96">
        <w:t>d</w:t>
      </w:r>
      <w:r>
        <w:t xml:space="preserve"> since 200</w:t>
      </w:r>
      <w:r w:rsidR="00415DAF">
        <w:t>5</w:t>
      </w:r>
      <w:bookmarkEnd w:id="16"/>
      <w:bookmarkEnd w:id="17"/>
    </w:p>
    <w:tbl>
      <w:tblPr>
        <w:tblStyle w:val="NBATableStyle2"/>
        <w:tblW w:w="0" w:type="auto"/>
        <w:tblLayout w:type="fixed"/>
        <w:tblLook w:val="04A0" w:firstRow="1" w:lastRow="0" w:firstColumn="1" w:lastColumn="0" w:noHBand="0" w:noVBand="1"/>
      </w:tblPr>
      <w:tblGrid>
        <w:gridCol w:w="2943"/>
        <w:gridCol w:w="660"/>
        <w:gridCol w:w="661"/>
        <w:gridCol w:w="660"/>
        <w:gridCol w:w="661"/>
        <w:gridCol w:w="661"/>
        <w:gridCol w:w="660"/>
        <w:gridCol w:w="661"/>
        <w:gridCol w:w="660"/>
        <w:gridCol w:w="661"/>
        <w:gridCol w:w="661"/>
      </w:tblGrid>
      <w:tr w:rsidR="00133C25" w:rsidRPr="008B5C3E" w:rsidTr="00133C2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33C25" w:rsidRPr="001D3923" w:rsidRDefault="00133C25" w:rsidP="00A53DDC">
            <w:pPr>
              <w:spacing w:after="0"/>
              <w:rPr>
                <w:rFonts w:ascii="Arial" w:eastAsia="Times New Roman" w:hAnsi="Arial" w:cs="Arial"/>
                <w:bCs/>
                <w:sz w:val="18"/>
                <w:szCs w:val="18"/>
              </w:rPr>
            </w:pPr>
          </w:p>
        </w:tc>
        <w:tc>
          <w:tcPr>
            <w:tcW w:w="660"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2005-06</w:t>
            </w:r>
          </w:p>
        </w:tc>
        <w:tc>
          <w:tcPr>
            <w:tcW w:w="661"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2006-07</w:t>
            </w:r>
          </w:p>
        </w:tc>
        <w:tc>
          <w:tcPr>
            <w:tcW w:w="660"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2007-08</w:t>
            </w:r>
          </w:p>
        </w:tc>
        <w:tc>
          <w:tcPr>
            <w:tcW w:w="661"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2008-09</w:t>
            </w:r>
          </w:p>
        </w:tc>
        <w:tc>
          <w:tcPr>
            <w:tcW w:w="661"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2009-10</w:t>
            </w:r>
          </w:p>
        </w:tc>
        <w:tc>
          <w:tcPr>
            <w:tcW w:w="660"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2010-11</w:t>
            </w:r>
          </w:p>
        </w:tc>
        <w:tc>
          <w:tcPr>
            <w:tcW w:w="661"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2011-12</w:t>
            </w:r>
          </w:p>
        </w:tc>
        <w:tc>
          <w:tcPr>
            <w:tcW w:w="660"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2012-13</w:t>
            </w:r>
          </w:p>
        </w:tc>
        <w:tc>
          <w:tcPr>
            <w:tcW w:w="661" w:type="dxa"/>
            <w:noWrap/>
            <w:vAlign w:val="top"/>
            <w:hideMark/>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2013-14</w:t>
            </w:r>
          </w:p>
        </w:tc>
        <w:tc>
          <w:tcPr>
            <w:tcW w:w="661" w:type="dxa"/>
            <w:vAlign w:val="top"/>
          </w:tcPr>
          <w:p w:rsidR="00133C25" w:rsidRPr="00C52533" w:rsidRDefault="00133C25" w:rsidP="00133C25">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2014-15</w:t>
            </w:r>
          </w:p>
        </w:tc>
      </w:tr>
      <w:tr w:rsidR="00133C25" w:rsidRPr="008B5C3E" w:rsidTr="00133C25">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33C25" w:rsidRPr="00547D7D" w:rsidRDefault="00133C25" w:rsidP="00A53DDC">
            <w:pPr>
              <w:spacing w:after="0"/>
              <w:rPr>
                <w:rFonts w:eastAsia="Times New Roman"/>
                <w:color w:val="000000"/>
                <w:sz w:val="20"/>
                <w:szCs w:val="20"/>
              </w:rPr>
            </w:pPr>
            <w:r w:rsidRPr="00547D7D">
              <w:rPr>
                <w:rFonts w:eastAsia="Times New Roman"/>
                <w:color w:val="000000"/>
                <w:sz w:val="20"/>
                <w:szCs w:val="20"/>
              </w:rPr>
              <w:t>Growth from previous year</w:t>
            </w:r>
          </w:p>
        </w:tc>
        <w:tc>
          <w:tcPr>
            <w:tcW w:w="660"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661"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660"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13%</w:t>
            </w:r>
          </w:p>
        </w:tc>
        <w:tc>
          <w:tcPr>
            <w:tcW w:w="661" w:type="dxa"/>
            <w:noWrap/>
            <w:hideMark/>
          </w:tcPr>
          <w:p w:rsidR="00133C25" w:rsidRPr="00547D7D" w:rsidRDefault="0074217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r w:rsidR="00133C25" w:rsidRPr="00547D7D">
              <w:rPr>
                <w:sz w:val="20"/>
                <w:szCs w:val="20"/>
              </w:rPr>
              <w:t>%</w:t>
            </w:r>
          </w:p>
        </w:tc>
        <w:tc>
          <w:tcPr>
            <w:tcW w:w="661"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660"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661"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660"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661" w:type="dxa"/>
            <w:noWrap/>
            <w:hideMark/>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661" w:type="dxa"/>
          </w:tcPr>
          <w:p w:rsidR="00133C25" w:rsidRPr="00547D7D" w:rsidRDefault="00133C25" w:rsidP="00133C2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r>
      <w:tr w:rsidR="00742175" w:rsidRPr="008B5C3E" w:rsidTr="00FA7A9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42175" w:rsidRPr="00547D7D" w:rsidRDefault="00742175" w:rsidP="00133C25">
            <w:pPr>
              <w:spacing w:after="0"/>
              <w:rPr>
                <w:rFonts w:eastAsia="Times New Roman"/>
                <w:color w:val="000000"/>
                <w:sz w:val="20"/>
                <w:szCs w:val="20"/>
              </w:rPr>
            </w:pPr>
            <w:r w:rsidRPr="00547D7D">
              <w:rPr>
                <w:rFonts w:eastAsia="Times New Roman"/>
                <w:color w:val="000000"/>
                <w:sz w:val="20"/>
                <w:szCs w:val="20"/>
              </w:rPr>
              <w:t>Average Growth from 2005-06</w:t>
            </w:r>
          </w:p>
        </w:tc>
        <w:tc>
          <w:tcPr>
            <w:tcW w:w="660" w:type="dxa"/>
            <w:noWrap/>
            <w:vAlign w:val="top"/>
            <w:hideMark/>
          </w:tcPr>
          <w:p w:rsidR="00742175" w:rsidRPr="00547D7D" w:rsidRDefault="0074217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660"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661"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661"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660"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661"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660"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17%</w:t>
            </w:r>
          </w:p>
        </w:tc>
        <w:tc>
          <w:tcPr>
            <w:tcW w:w="661" w:type="dxa"/>
            <w:noWrap/>
            <w:vAlign w:val="top"/>
            <w:hideMark/>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18%</w:t>
            </w:r>
          </w:p>
        </w:tc>
        <w:tc>
          <w:tcPr>
            <w:tcW w:w="661" w:type="dxa"/>
            <w:vAlign w:val="top"/>
          </w:tcPr>
          <w:p w:rsidR="00742175" w:rsidRPr="00547D7D" w:rsidRDefault="0074217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18%</w:t>
            </w:r>
          </w:p>
        </w:tc>
      </w:tr>
      <w:tr w:rsidR="00133C25" w:rsidRPr="008B5C3E" w:rsidTr="00133C25">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33C25" w:rsidRPr="00547D7D" w:rsidRDefault="00133C25" w:rsidP="00A53DDC">
            <w:pPr>
              <w:spacing w:after="0"/>
              <w:rPr>
                <w:rFonts w:eastAsia="Times New Roman"/>
                <w:color w:val="000000"/>
                <w:sz w:val="20"/>
                <w:szCs w:val="20"/>
              </w:rPr>
            </w:pPr>
            <w:r w:rsidRPr="00547D7D">
              <w:rPr>
                <w:rFonts w:eastAsia="Times New Roman"/>
                <w:color w:val="000000"/>
                <w:sz w:val="20"/>
                <w:szCs w:val="20"/>
              </w:rPr>
              <w:t>Total grams per 1,000 population</w:t>
            </w:r>
          </w:p>
        </w:tc>
        <w:tc>
          <w:tcPr>
            <w:tcW w:w="660"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82 </w:t>
            </w:r>
          </w:p>
        </w:tc>
        <w:tc>
          <w:tcPr>
            <w:tcW w:w="661"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92 </w:t>
            </w:r>
          </w:p>
        </w:tc>
        <w:tc>
          <w:tcPr>
            <w:tcW w:w="660" w:type="dxa"/>
            <w:noWrap/>
            <w:vAlign w:val="top"/>
          </w:tcPr>
          <w:p w:rsidR="00133C25" w:rsidRPr="00547D7D" w:rsidRDefault="00133C25"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10</w:t>
            </w:r>
            <w:r w:rsidR="00742175" w:rsidRPr="00547D7D">
              <w:rPr>
                <w:sz w:val="20"/>
                <w:szCs w:val="20"/>
              </w:rPr>
              <w:t>2</w:t>
            </w:r>
            <w:r w:rsidRPr="00547D7D">
              <w:rPr>
                <w:sz w:val="20"/>
                <w:szCs w:val="20"/>
              </w:rPr>
              <w:t xml:space="preserve"> </w:t>
            </w:r>
          </w:p>
        </w:tc>
        <w:tc>
          <w:tcPr>
            <w:tcW w:w="661"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111 </w:t>
            </w:r>
          </w:p>
        </w:tc>
        <w:tc>
          <w:tcPr>
            <w:tcW w:w="661"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121 </w:t>
            </w:r>
          </w:p>
        </w:tc>
        <w:tc>
          <w:tcPr>
            <w:tcW w:w="660"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133 </w:t>
            </w:r>
          </w:p>
        </w:tc>
        <w:tc>
          <w:tcPr>
            <w:tcW w:w="661"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145 </w:t>
            </w:r>
          </w:p>
        </w:tc>
        <w:tc>
          <w:tcPr>
            <w:tcW w:w="660"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158 </w:t>
            </w:r>
          </w:p>
        </w:tc>
        <w:tc>
          <w:tcPr>
            <w:tcW w:w="661" w:type="dxa"/>
            <w:noWrap/>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172 </w:t>
            </w:r>
          </w:p>
        </w:tc>
        <w:tc>
          <w:tcPr>
            <w:tcW w:w="661" w:type="dxa"/>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 xml:space="preserve"> 188 </w:t>
            </w:r>
          </w:p>
        </w:tc>
      </w:tr>
      <w:tr w:rsidR="00133C25" w:rsidRPr="008B5C3E" w:rsidTr="00133C25">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33C25" w:rsidRPr="00547D7D" w:rsidRDefault="00133C25" w:rsidP="00A53DDC">
            <w:pPr>
              <w:spacing w:after="0"/>
              <w:rPr>
                <w:rFonts w:eastAsia="Times New Roman"/>
                <w:color w:val="000000"/>
                <w:sz w:val="20"/>
                <w:szCs w:val="20"/>
              </w:rPr>
            </w:pPr>
            <w:r w:rsidRPr="00547D7D">
              <w:rPr>
                <w:rFonts w:eastAsia="Times New Roman"/>
                <w:color w:val="000000"/>
                <w:sz w:val="20"/>
                <w:szCs w:val="20"/>
              </w:rPr>
              <w:t>Increase in grams per 1,000 population over previous year</w:t>
            </w:r>
          </w:p>
        </w:tc>
        <w:tc>
          <w:tcPr>
            <w:tcW w:w="660"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661"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660"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661"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661"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660"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661"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660"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661" w:type="dxa"/>
            <w:noWrap/>
            <w:vAlign w:val="top"/>
            <w:hideMark/>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661" w:type="dxa"/>
            <w:vAlign w:val="top"/>
          </w:tcPr>
          <w:p w:rsidR="00133C25" w:rsidRPr="00547D7D" w:rsidRDefault="00133C25" w:rsidP="00782C0B">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r>
    </w:tbl>
    <w:p w:rsidR="00A53DDC" w:rsidRPr="00FE7F5B" w:rsidRDefault="00A53DDC" w:rsidP="00FE7F5B"/>
    <w:p w:rsidR="00DA71A8" w:rsidRDefault="00A22232" w:rsidP="00BF07A9">
      <w:bookmarkStart w:id="18" w:name="_Toc364776967"/>
      <w:r>
        <w:t>There has been a steady</w:t>
      </w:r>
      <w:r w:rsidR="002F4F17">
        <w:t xml:space="preserve"> increase i</w:t>
      </w:r>
      <w:r>
        <w:t>n</w:t>
      </w:r>
      <w:r w:rsidR="002F4F17">
        <w:t xml:space="preserve"> demand for </w:t>
      </w:r>
      <w:r w:rsidR="00716977">
        <w:t>Ig</w:t>
      </w:r>
      <w:r w:rsidR="00FE7F5B">
        <w:t xml:space="preserve"> </w:t>
      </w:r>
      <w:r w:rsidR="002F4F17">
        <w:t xml:space="preserve">over the last ten years, with </w:t>
      </w:r>
      <w:r w:rsidR="00FE7F5B">
        <w:t>increase</w:t>
      </w:r>
      <w:r w:rsidR="002F4F17">
        <w:t>s</w:t>
      </w:r>
      <w:r w:rsidR="00FE7F5B">
        <w:t xml:space="preserve"> </w:t>
      </w:r>
      <w:r>
        <w:t>of</w:t>
      </w:r>
      <w:r w:rsidR="002F4F17">
        <w:t xml:space="preserve"> </w:t>
      </w:r>
      <w:r w:rsidR="00FE7F5B" w:rsidRPr="00F04327">
        <w:t>10-1</w:t>
      </w:r>
      <w:r w:rsidR="00742175">
        <w:t>1</w:t>
      </w:r>
      <w:r w:rsidR="00FE7F5B">
        <w:t>% per annum for the last five years</w:t>
      </w:r>
      <w:r w:rsidR="002F4F17">
        <w:t xml:space="preserve">. </w:t>
      </w:r>
      <w:r>
        <w:t xml:space="preserve">While a small proportion of this increase may be attributable to population increases, there has also been a steady increase of </w:t>
      </w:r>
      <w:r w:rsidR="00742175">
        <w:t>8</w:t>
      </w:r>
      <w:r w:rsidRPr="00F04327">
        <w:t>-</w:t>
      </w:r>
      <w:r w:rsidR="004C3CAF" w:rsidRPr="00F04327">
        <w:t>10</w:t>
      </w:r>
      <w:r>
        <w:t xml:space="preserve">% per annum in the use of </w:t>
      </w:r>
      <w:r w:rsidR="00716977">
        <w:t>Ig</w:t>
      </w:r>
      <w:r>
        <w:t xml:space="preserve"> per </w:t>
      </w:r>
      <w:r>
        <w:lastRenderedPageBreak/>
        <w:t>capita (</w:t>
      </w:r>
      <w:r w:rsidR="00575E68">
        <w:fldChar w:fldCharType="begin"/>
      </w:r>
      <w:r w:rsidR="00575E68">
        <w:instrText xml:space="preserve"> REF _Ref386097734 \h </w:instrText>
      </w:r>
      <w:r w:rsidR="00575E68">
        <w:fldChar w:fldCharType="separate"/>
      </w:r>
      <w:r w:rsidR="00F3134D">
        <w:t xml:space="preserve">Table </w:t>
      </w:r>
      <w:r w:rsidR="00F3134D">
        <w:rPr>
          <w:noProof/>
        </w:rPr>
        <w:t>1</w:t>
      </w:r>
      <w:r w:rsidR="00575E68">
        <w:fldChar w:fldCharType="end"/>
      </w:r>
      <w:r>
        <w:t>)</w:t>
      </w:r>
      <w:r w:rsidR="00DC6A42">
        <w:t xml:space="preserve"> since the introduction of the </w:t>
      </w:r>
      <w:r w:rsidR="00DC6A42" w:rsidRPr="00303797">
        <w:rPr>
          <w:i/>
        </w:rPr>
        <w:t>Criteria</w:t>
      </w:r>
      <w:r w:rsidR="00DC6A42">
        <w:t xml:space="preserve"> in 2008</w:t>
      </w:r>
      <w:r>
        <w:t>.</w:t>
      </w:r>
      <w:bookmarkStart w:id="19" w:name="_Toc364776991"/>
      <w:bookmarkEnd w:id="18"/>
      <w:r w:rsidR="00575E68">
        <w:t xml:space="preserve"> A breakdown </w:t>
      </w:r>
      <w:r w:rsidR="007737E6">
        <w:t xml:space="preserve">of the year on year change in grams issued </w:t>
      </w:r>
      <w:r w:rsidR="00575E68">
        <w:t xml:space="preserve">by </w:t>
      </w:r>
      <w:r w:rsidR="00D50CEA">
        <w:t>state and territory</w:t>
      </w:r>
      <w:r w:rsidR="00575E68">
        <w:t xml:space="preserve"> has been provided in </w:t>
      </w:r>
      <w:r w:rsidR="00575E68">
        <w:fldChar w:fldCharType="begin"/>
      </w:r>
      <w:r w:rsidR="00575E68">
        <w:instrText xml:space="preserve"> REF _Ref386096440 \h </w:instrText>
      </w:r>
      <w:r w:rsidR="00575E68">
        <w:fldChar w:fldCharType="separate"/>
      </w:r>
      <w:r w:rsidR="00F3134D">
        <w:t xml:space="preserve">Table </w:t>
      </w:r>
      <w:r w:rsidR="00F3134D">
        <w:rPr>
          <w:noProof/>
        </w:rPr>
        <w:t>2</w:t>
      </w:r>
      <w:r w:rsidR="00575E68">
        <w:fldChar w:fldCharType="end"/>
      </w:r>
      <w:r w:rsidR="00575E68">
        <w:t>. Queensland has been growing at the fastest rate, closely followed by Victoria</w:t>
      </w:r>
      <w:r w:rsidR="00466418">
        <w:t xml:space="preserve"> and New South Wales</w:t>
      </w:r>
      <w:r w:rsidR="00575E68">
        <w:t>.</w:t>
      </w:r>
      <w:r w:rsidR="00E44670">
        <w:t xml:space="preserve"> Further information about the breakdown of domestic and imported </w:t>
      </w:r>
      <w:r w:rsidR="00716977">
        <w:t>Ig</w:t>
      </w:r>
      <w:r w:rsidR="00E44670">
        <w:t xml:space="preserve"> by state over time can be found in </w:t>
      </w:r>
      <w:r w:rsidR="00E44670" w:rsidRPr="00E44670">
        <w:rPr>
          <w:b/>
        </w:rPr>
        <w:fldChar w:fldCharType="begin" w:fldLock="1"/>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FD0FD6" w:rsidRPr="00FD0FD6">
        <w:rPr>
          <w:b/>
        </w:rPr>
        <w:t>Appendix E</w:t>
      </w:r>
      <w:r w:rsidR="00E44670" w:rsidRPr="00E44670">
        <w:rPr>
          <w:b/>
        </w:rPr>
        <w:fldChar w:fldCharType="end"/>
      </w:r>
      <w:r w:rsidR="00E44670">
        <w:t>.</w:t>
      </w:r>
    </w:p>
    <w:p w:rsidR="00866AC2" w:rsidRDefault="00866AC2" w:rsidP="00866AC2">
      <w:pPr>
        <w:pStyle w:val="Caption"/>
        <w:keepNext/>
      </w:pPr>
      <w:bookmarkStart w:id="20" w:name="_Ref386096440"/>
      <w:bookmarkStart w:id="21" w:name="_Toc456266145"/>
      <w:bookmarkStart w:id="22" w:name="_Toc456266981"/>
      <w:r>
        <w:t xml:space="preserve">Table </w:t>
      </w:r>
      <w:fldSimple w:instr=" SEQ Table \* ARABIC ">
        <w:r w:rsidR="00F3134D">
          <w:rPr>
            <w:noProof/>
          </w:rPr>
          <w:t>2</w:t>
        </w:r>
      </w:fldSimple>
      <w:bookmarkEnd w:id="20"/>
      <w:r>
        <w:tab/>
        <w:t xml:space="preserve">Percentage change in </w:t>
      </w:r>
      <w:r w:rsidR="00FB3F96">
        <w:t xml:space="preserve">grams </w:t>
      </w:r>
      <w:r>
        <w:t>issue</w:t>
      </w:r>
      <w:r w:rsidR="00FB3F96">
        <w:t>d</w:t>
      </w:r>
      <w:r>
        <w:t xml:space="preserve"> over time by </w:t>
      </w:r>
      <w:r w:rsidR="00D50CEA">
        <w:t>state and territory</w:t>
      </w:r>
      <w:bookmarkEnd w:id="21"/>
      <w:bookmarkEnd w:id="22"/>
    </w:p>
    <w:tbl>
      <w:tblPr>
        <w:tblStyle w:val="NBATableStyle2"/>
        <w:tblW w:w="9673" w:type="dxa"/>
        <w:tblLook w:val="04A0" w:firstRow="1" w:lastRow="0" w:firstColumn="1" w:lastColumn="0" w:noHBand="0" w:noVBand="1"/>
      </w:tblPr>
      <w:tblGrid>
        <w:gridCol w:w="1000"/>
        <w:gridCol w:w="1076"/>
        <w:gridCol w:w="1145"/>
        <w:gridCol w:w="1323"/>
        <w:gridCol w:w="961"/>
        <w:gridCol w:w="1019"/>
        <w:gridCol w:w="1019"/>
        <w:gridCol w:w="1065"/>
        <w:gridCol w:w="1065"/>
      </w:tblGrid>
      <w:tr w:rsidR="00184BEC" w:rsidRPr="001656DE" w:rsidTr="00184BE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jc w:val="left"/>
              <w:rPr>
                <w:rFonts w:eastAsia="Times New Roman"/>
                <w:color w:val="000000"/>
                <w:sz w:val="20"/>
                <w:szCs w:val="20"/>
              </w:rPr>
            </w:pPr>
          </w:p>
        </w:tc>
        <w:tc>
          <w:tcPr>
            <w:tcW w:w="1076"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323"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61" w:type="dxa"/>
            <w:noWrap/>
            <w:hideMark/>
          </w:tcPr>
          <w:p w:rsidR="00184BEC" w:rsidRPr="001656DE" w:rsidRDefault="006D6D21"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w:t>
            </w:r>
            <w:r w:rsidR="00184BEC" w:rsidRPr="001656DE">
              <w:rPr>
                <w:rFonts w:eastAsia="Times New Roman"/>
                <w:bCs/>
                <w:sz w:val="20"/>
                <w:szCs w:val="20"/>
              </w:rPr>
              <w:t>A</w:t>
            </w:r>
          </w:p>
        </w:tc>
        <w:tc>
          <w:tcPr>
            <w:tcW w:w="1019" w:type="dxa"/>
          </w:tcPr>
          <w:p w:rsidR="00184BEC" w:rsidRPr="001656DE" w:rsidRDefault="006D6D21"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S</w:t>
            </w:r>
            <w:r w:rsidR="00184BEC" w:rsidRPr="001656DE">
              <w:rPr>
                <w:rFonts w:eastAsia="Times New Roman"/>
                <w:bCs/>
                <w:sz w:val="20"/>
                <w:szCs w:val="20"/>
              </w:rPr>
              <w:t>A</w:t>
            </w:r>
          </w:p>
        </w:tc>
        <w:tc>
          <w:tcPr>
            <w:tcW w:w="1019"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106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NT</w:t>
            </w:r>
          </w:p>
        </w:tc>
        <w:tc>
          <w:tcPr>
            <w:tcW w:w="1065" w:type="dxa"/>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ACT</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2A066B" w:rsidRPr="00547D7D" w:rsidRDefault="002A066B" w:rsidP="00FA7A97">
            <w:pPr>
              <w:rPr>
                <w:sz w:val="20"/>
                <w:szCs w:val="20"/>
              </w:rPr>
            </w:pPr>
            <w:r w:rsidRPr="00547D7D">
              <w:rPr>
                <w:sz w:val="20"/>
                <w:szCs w:val="20"/>
              </w:rPr>
              <w:t>2005-06</w:t>
            </w:r>
          </w:p>
        </w:tc>
        <w:tc>
          <w:tcPr>
            <w:tcW w:w="1076"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114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1323"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961" w:type="dxa"/>
            <w:noWrap/>
            <w:vAlign w:val="top"/>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20%</w:t>
            </w:r>
          </w:p>
        </w:tc>
        <w:tc>
          <w:tcPr>
            <w:tcW w:w="1019"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3%</w:t>
            </w:r>
          </w:p>
        </w:tc>
        <w:tc>
          <w:tcPr>
            <w:tcW w:w="106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3%</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22%</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2A066B" w:rsidRPr="00547D7D" w:rsidRDefault="002A066B" w:rsidP="00FA7A97">
            <w:pPr>
              <w:rPr>
                <w:sz w:val="20"/>
                <w:szCs w:val="20"/>
              </w:rPr>
            </w:pPr>
            <w:r w:rsidRPr="00547D7D">
              <w:rPr>
                <w:sz w:val="20"/>
                <w:szCs w:val="20"/>
              </w:rPr>
              <w:t>2006-07</w:t>
            </w:r>
          </w:p>
        </w:tc>
        <w:tc>
          <w:tcPr>
            <w:tcW w:w="1076"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13%</w:t>
            </w:r>
          </w:p>
        </w:tc>
        <w:tc>
          <w:tcPr>
            <w:tcW w:w="114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20%</w:t>
            </w:r>
          </w:p>
        </w:tc>
        <w:tc>
          <w:tcPr>
            <w:tcW w:w="1323"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18%</w:t>
            </w:r>
          </w:p>
        </w:tc>
        <w:tc>
          <w:tcPr>
            <w:tcW w:w="961" w:type="dxa"/>
            <w:noWrap/>
            <w:vAlign w:val="top"/>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019"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30%</w:t>
            </w:r>
          </w:p>
        </w:tc>
        <w:tc>
          <w:tcPr>
            <w:tcW w:w="106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2007-08</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18%</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6%</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5%</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29%</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2008-09</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3%</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0%</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23%</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54%</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2009-10</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13%</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-4%</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7%</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-18%</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20%</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2010-11</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-4%</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7%</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28%</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2011-12</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7%</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16%</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6%</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47%</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17%</w:t>
            </w:r>
          </w:p>
        </w:tc>
      </w:tr>
      <w:tr w:rsidR="002A066B" w:rsidRPr="00547D7D" w:rsidTr="00FA7A9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2A066B" w:rsidRPr="00547D7D" w:rsidRDefault="002A066B" w:rsidP="00FA7A97">
            <w:pPr>
              <w:rPr>
                <w:sz w:val="20"/>
                <w:szCs w:val="20"/>
              </w:rPr>
            </w:pPr>
            <w:r w:rsidRPr="00547D7D">
              <w:rPr>
                <w:sz w:val="20"/>
                <w:szCs w:val="20"/>
              </w:rPr>
              <w:t>2012-13</w:t>
            </w:r>
          </w:p>
        </w:tc>
        <w:tc>
          <w:tcPr>
            <w:tcW w:w="1076"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14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13%</w:t>
            </w:r>
          </w:p>
        </w:tc>
        <w:tc>
          <w:tcPr>
            <w:tcW w:w="1323"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961" w:type="dxa"/>
            <w:noWrap/>
            <w:vAlign w:val="top"/>
            <w:hideMark/>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7%</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1019"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-6%</w:t>
            </w:r>
          </w:p>
        </w:tc>
        <w:tc>
          <w:tcPr>
            <w:tcW w:w="1065" w:type="dxa"/>
            <w:noWrap/>
            <w:vAlign w:val="top"/>
            <w:hideMark/>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21%</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r>
      <w:tr w:rsidR="002A066B" w:rsidRPr="00547D7D" w:rsidTr="00FA7A97">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2A066B" w:rsidRPr="00547D7D" w:rsidRDefault="002A066B" w:rsidP="00FA7A97">
            <w:pPr>
              <w:rPr>
                <w:sz w:val="20"/>
                <w:szCs w:val="20"/>
              </w:rPr>
            </w:pPr>
            <w:r w:rsidRPr="00547D7D">
              <w:rPr>
                <w:sz w:val="20"/>
                <w:szCs w:val="20"/>
              </w:rPr>
              <w:t>2013-14</w:t>
            </w:r>
          </w:p>
        </w:tc>
        <w:tc>
          <w:tcPr>
            <w:tcW w:w="1076"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10%</w:t>
            </w:r>
          </w:p>
        </w:tc>
        <w:tc>
          <w:tcPr>
            <w:tcW w:w="114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323"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961" w:type="dxa"/>
            <w:noWrap/>
            <w:vAlign w:val="top"/>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15%</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6%</w:t>
            </w:r>
          </w:p>
        </w:tc>
        <w:tc>
          <w:tcPr>
            <w:tcW w:w="1019"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14%</w:t>
            </w:r>
          </w:p>
        </w:tc>
        <w:tc>
          <w:tcPr>
            <w:tcW w:w="106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w:t>
            </w:r>
          </w:p>
        </w:tc>
      </w:tr>
      <w:tr w:rsidR="002A066B" w:rsidRPr="00547D7D" w:rsidTr="00FA7A97">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2A066B" w:rsidRPr="00547D7D" w:rsidRDefault="002A066B" w:rsidP="00FA7A97">
            <w:pPr>
              <w:rPr>
                <w:sz w:val="20"/>
                <w:szCs w:val="20"/>
              </w:rPr>
            </w:pPr>
            <w:r w:rsidRPr="00547D7D">
              <w:rPr>
                <w:sz w:val="20"/>
                <w:szCs w:val="20"/>
              </w:rPr>
              <w:t>2014-15</w:t>
            </w:r>
          </w:p>
        </w:tc>
        <w:tc>
          <w:tcPr>
            <w:tcW w:w="1076"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9%</w:t>
            </w:r>
          </w:p>
        </w:tc>
        <w:tc>
          <w:tcPr>
            <w:tcW w:w="114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11%</w:t>
            </w:r>
          </w:p>
        </w:tc>
        <w:tc>
          <w:tcPr>
            <w:tcW w:w="1323"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961" w:type="dxa"/>
            <w:noWrap/>
            <w:vAlign w:val="top"/>
          </w:tcPr>
          <w:p w:rsidR="002A066B" w:rsidRPr="00547D7D" w:rsidRDefault="002A066B" w:rsidP="008A52F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7%</w:t>
            </w:r>
          </w:p>
        </w:tc>
        <w:tc>
          <w:tcPr>
            <w:tcW w:w="1019" w:type="dxa"/>
            <w:vAlign w:val="top"/>
          </w:tcPr>
          <w:p w:rsidR="002A066B" w:rsidRPr="00547D7D" w:rsidRDefault="002A066B" w:rsidP="00C33CE3">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12%</w:t>
            </w:r>
          </w:p>
        </w:tc>
        <w:tc>
          <w:tcPr>
            <w:tcW w:w="1019"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1065" w:type="dxa"/>
            <w:noWrap/>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c>
          <w:tcPr>
            <w:tcW w:w="1065" w:type="dxa"/>
            <w:vAlign w:val="top"/>
          </w:tcPr>
          <w:p w:rsidR="002A066B" w:rsidRPr="00547D7D" w:rsidRDefault="002A066B"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sidRPr="00547D7D">
              <w:rPr>
                <w:sz w:val="20"/>
                <w:szCs w:val="20"/>
              </w:rPr>
              <w:t>8%</w:t>
            </w:r>
          </w:p>
        </w:tc>
      </w:tr>
    </w:tbl>
    <w:p w:rsidR="00DA71A8" w:rsidRPr="00DA71A8" w:rsidRDefault="00DA71A8" w:rsidP="00BF07A9"/>
    <w:p w:rsidR="00887374" w:rsidRDefault="00887374" w:rsidP="00887374">
      <w:pPr>
        <w:pStyle w:val="Heading2"/>
      </w:pPr>
      <w:bookmarkStart w:id="23" w:name="_Toc456267410"/>
      <w:bookmarkEnd w:id="19"/>
      <w:r>
        <w:t>F</w:t>
      </w:r>
      <w:r w:rsidR="008146AB">
        <w:t>inancial</w:t>
      </w:r>
      <w:r>
        <w:t xml:space="preserve"> T</w:t>
      </w:r>
      <w:r w:rsidR="008146AB">
        <w:t>rends</w:t>
      </w:r>
      <w:bookmarkEnd w:id="23"/>
    </w:p>
    <w:p w:rsidR="0085373D" w:rsidRDefault="0085373D" w:rsidP="00F77DED">
      <w:r>
        <w:t xml:space="preserve">The increase in demand for </w:t>
      </w:r>
      <w:r w:rsidR="00716977">
        <w:t>Ig</w:t>
      </w:r>
      <w:r>
        <w:t xml:space="preserve"> places a financial burden on the Australian health system. </w:t>
      </w:r>
      <w:r w:rsidR="005C5B21">
        <w:t xml:space="preserve">In Australia, the total cost of domestic </w:t>
      </w:r>
      <w:r w:rsidR="00716977">
        <w:t>Ig</w:t>
      </w:r>
      <w:r w:rsidR="005C5B21">
        <w:t xml:space="preserve"> supply comprises the cost of the plasma </w:t>
      </w:r>
      <w:r>
        <w:t>collected by the Blood Service</w:t>
      </w:r>
      <w:r w:rsidR="005C5B21">
        <w:t xml:space="preserve">, </w:t>
      </w:r>
      <w:r>
        <w:t>plus</w:t>
      </w:r>
      <w:r w:rsidR="005C5B21">
        <w:t xml:space="preserve"> the cost of purchase of the finished </w:t>
      </w:r>
      <w:r w:rsidR="00716977">
        <w:t>Ig</w:t>
      </w:r>
      <w:r w:rsidR="005C5B21">
        <w:t xml:space="preserve">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w:t>
      </w:r>
      <w:r w:rsidR="00716977">
        <w:t>Ig</w:t>
      </w:r>
      <w:r w:rsidR="0085373D">
        <w:t xml:space="preserve"> </w:t>
      </w:r>
      <w:r w:rsidR="00AB072B">
        <w:t xml:space="preserve">(excluding plasma for fractionation) </w:t>
      </w:r>
      <w:r>
        <w:t xml:space="preserve">in </w:t>
      </w:r>
      <w:r w:rsidR="003833F7">
        <w:t>2014-15</w:t>
      </w:r>
      <w:r>
        <w:t xml:space="preserve"> was $</w:t>
      </w:r>
      <w:r w:rsidR="00C23B97" w:rsidRPr="00C23B97">
        <w:t>2</w:t>
      </w:r>
      <w:r w:rsidR="003833F7">
        <w:t>73</w:t>
      </w:r>
      <w:r w:rsidRPr="00C23B97">
        <w:t>.</w:t>
      </w:r>
      <w:r w:rsidR="003833F7">
        <w:t>1</w:t>
      </w:r>
      <w:r>
        <w:t xml:space="preserve"> million, an increase of $</w:t>
      </w:r>
      <w:r w:rsidR="003833F7">
        <w:t>28</w:t>
      </w:r>
      <w:r w:rsidR="00C23B97">
        <w:t>.</w:t>
      </w:r>
      <w:r w:rsidR="00F922AA">
        <w:t>7</w:t>
      </w:r>
      <w:r>
        <w:t xml:space="preserve"> million </w:t>
      </w:r>
      <w:r w:rsidR="00F922AA">
        <w:t>(11.7</w:t>
      </w:r>
      <w:r w:rsidR="00A22232">
        <w:t xml:space="preserve">%) </w:t>
      </w:r>
      <w:r>
        <w:t>over 201</w:t>
      </w:r>
      <w:r w:rsidR="00F922AA">
        <w:t>3</w:t>
      </w:r>
      <w:r>
        <w:t>-1</w:t>
      </w:r>
      <w:r w:rsidR="00F922AA">
        <w:t>4</w:t>
      </w:r>
      <w:r>
        <w:t xml:space="preserve"> (</w:t>
      </w:r>
      <w:r w:rsidR="00E246BF">
        <w:fldChar w:fldCharType="begin"/>
      </w:r>
      <w:r w:rsidR="00E246BF">
        <w:instrText xml:space="preserve"> REF _Ref253557293 \h </w:instrText>
      </w:r>
      <w:r w:rsidR="00E246BF">
        <w:fldChar w:fldCharType="separate"/>
      </w:r>
      <w:r w:rsidR="00F3134D">
        <w:t xml:space="preserve">Figure </w:t>
      </w:r>
      <w:r w:rsidR="00F3134D">
        <w:rPr>
          <w:noProof/>
        </w:rPr>
        <w:t>2</w:t>
      </w:r>
      <w:r w:rsidR="00E246BF">
        <w:fldChar w:fldCharType="end"/>
      </w:r>
      <w:r>
        <w:t xml:space="preserve">). The increased expenditure predominately </w:t>
      </w:r>
      <w:r w:rsidR="004B16D4">
        <w:t>represents increases in demand.</w:t>
      </w:r>
      <w:r w:rsidR="002C146D">
        <w:t xml:space="preserve">  </w:t>
      </w:r>
    </w:p>
    <w:p w:rsidR="002C146D" w:rsidRDefault="001850AC" w:rsidP="002C146D">
      <w:r w:rsidRPr="00FE46F4">
        <w:t>There has also been an increase in the price of plasma for fractionation</w:t>
      </w:r>
      <w:r w:rsidR="00210609" w:rsidRPr="00FE46F4">
        <w:t xml:space="preserve"> due to the increased ratio of apheresis to whole blood plasma for fractionation being supplied</w:t>
      </w:r>
      <w:r w:rsidR="00366D9D" w:rsidRPr="00FE46F4">
        <w:t>, resulting</w:t>
      </w:r>
      <w:r w:rsidR="00B051DF" w:rsidRPr="00FE46F4">
        <w:t xml:space="preserve"> in an increase in the cost of domestic </w:t>
      </w:r>
      <w:r w:rsidR="00716977" w:rsidRPr="00FE46F4">
        <w:t>Ig</w:t>
      </w:r>
      <w:r w:rsidR="00B051DF" w:rsidRPr="00FE46F4">
        <w:t xml:space="preserve">. </w:t>
      </w:r>
      <w:r w:rsidR="002C146D" w:rsidRPr="00FE46F4">
        <w:t>C</w:t>
      </w:r>
      <w:r w:rsidR="002C146D">
        <w:t xml:space="preserve">ombined with expenditure for plasma for fractionation, </w:t>
      </w:r>
      <w:r w:rsidR="00716977">
        <w:t>Ig</w:t>
      </w:r>
      <w:r w:rsidR="002C146D">
        <w:t xml:space="preserve"> accounts for a total expenditure of </w:t>
      </w:r>
      <w:r w:rsidR="002C146D" w:rsidRPr="00C23B97">
        <w:t>$</w:t>
      </w:r>
      <w:r w:rsidR="00C23B97" w:rsidRPr="00C23B97">
        <w:t>4</w:t>
      </w:r>
      <w:r w:rsidR="00F922AA">
        <w:t>84</w:t>
      </w:r>
      <w:r w:rsidR="002C146D" w:rsidRPr="00C23B97">
        <w:t>.</w:t>
      </w:r>
      <w:r w:rsidR="00C23B97">
        <w:t>1</w:t>
      </w:r>
      <w:r w:rsidR="002C146D">
        <w:t xml:space="preserve"> million (excluding hyperimmune</w:t>
      </w:r>
      <w:r w:rsidR="00AB072B">
        <w:t xml:space="preserve"> plasma for fractionation</w:t>
      </w:r>
      <w:r w:rsidR="002C146D">
        <w:t>).</w:t>
      </w:r>
    </w:p>
    <w:p w:rsidR="00FE6476" w:rsidRDefault="00EB5012" w:rsidP="00F77DED">
      <w:r>
        <w:rPr>
          <w:noProof/>
          <w:lang w:eastAsia="en-AU"/>
        </w:rPr>
        <w:lastRenderedPageBreak/>
        <w:drawing>
          <wp:inline distT="0" distB="0" distL="0" distR="0" wp14:anchorId="6F54DC7C" wp14:editId="259B85F9">
            <wp:extent cx="5926455" cy="3683773"/>
            <wp:effectExtent l="0" t="0" r="1714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63D5" w:rsidRDefault="005C5B21" w:rsidP="00747F48">
      <w:pPr>
        <w:pStyle w:val="Caption"/>
      </w:pPr>
      <w:bookmarkStart w:id="24" w:name="_Ref253557293"/>
      <w:bookmarkStart w:id="25" w:name="_Toc353894299"/>
      <w:bookmarkStart w:id="26" w:name="_Toc353894429"/>
      <w:bookmarkStart w:id="27" w:name="_Toc361571416"/>
      <w:bookmarkStart w:id="28" w:name="_Toc364776993"/>
      <w:bookmarkStart w:id="29" w:name="_Toc390098181"/>
      <w:bookmarkStart w:id="30" w:name="_Toc456266167"/>
      <w:r>
        <w:t xml:space="preserve">Figure </w:t>
      </w:r>
      <w:r w:rsidR="00E5706B">
        <w:fldChar w:fldCharType="begin"/>
      </w:r>
      <w:r w:rsidR="000622C5">
        <w:instrText xml:space="preserve"> SEQ Figure \* ARABIC </w:instrText>
      </w:r>
      <w:r w:rsidR="00E5706B">
        <w:fldChar w:fldCharType="separate"/>
      </w:r>
      <w:r w:rsidR="00F3134D">
        <w:rPr>
          <w:noProof/>
        </w:rPr>
        <w:t>2</w:t>
      </w:r>
      <w:r w:rsidR="00E5706B">
        <w:rPr>
          <w:noProof/>
        </w:rPr>
        <w:fldChar w:fldCharType="end"/>
      </w:r>
      <w:bookmarkEnd w:id="24"/>
      <w:r w:rsidR="00810567">
        <w:rPr>
          <w:noProof/>
        </w:rPr>
        <w:tab/>
      </w:r>
      <w:r>
        <w:t xml:space="preserve">Ten year trends in </w:t>
      </w:r>
      <w:r w:rsidRPr="00C23B97">
        <w:t xml:space="preserve">expenditure on </w:t>
      </w:r>
      <w:bookmarkEnd w:id="25"/>
      <w:bookmarkEnd w:id="26"/>
      <w:bookmarkEnd w:id="27"/>
      <w:bookmarkEnd w:id="28"/>
      <w:bookmarkEnd w:id="29"/>
      <w:r w:rsidR="00716977">
        <w:t>Ig</w:t>
      </w:r>
      <w:bookmarkEnd w:id="30"/>
    </w:p>
    <w:p w:rsidR="008907BD" w:rsidRPr="009647D5" w:rsidRDefault="00A063D5" w:rsidP="008907BD">
      <w:pPr>
        <w:pStyle w:val="Heading1"/>
      </w:pPr>
      <w:bookmarkStart w:id="31" w:name="_Toc456267411"/>
      <w:r>
        <w:lastRenderedPageBreak/>
        <w:t>Demographics</w:t>
      </w:r>
      <w:bookmarkEnd w:id="31"/>
    </w:p>
    <w:p w:rsidR="00566E89" w:rsidRDefault="00566E89" w:rsidP="00566E89">
      <w:pPr>
        <w:pStyle w:val="Heading2"/>
      </w:pPr>
      <w:bookmarkStart w:id="32" w:name="_Toc456267412"/>
      <w:r>
        <w:t>Patient Numbers</w:t>
      </w:r>
      <w:bookmarkEnd w:id="32"/>
    </w:p>
    <w:p w:rsidR="002778CD" w:rsidRDefault="00887374" w:rsidP="00566E89">
      <w:pPr>
        <w:rPr>
          <w:rFonts w:asciiTheme="minorHAnsi" w:hAnsiTheme="minorHAnsi" w:cstheme="minorHAnsi"/>
        </w:rPr>
      </w:pPr>
      <w:r>
        <w:rPr>
          <w:rFonts w:asciiTheme="minorHAnsi" w:hAnsiTheme="minorHAnsi" w:cstheme="minorHAnsi"/>
        </w:rPr>
        <w:t>A</w:t>
      </w:r>
      <w:r w:rsidR="00566E89">
        <w:rPr>
          <w:rFonts w:asciiTheme="minorHAnsi" w:hAnsiTheme="minorHAnsi" w:cstheme="minorHAnsi"/>
        </w:rPr>
        <w:t xml:space="preserve"> total of </w:t>
      </w:r>
      <w:r w:rsidR="00F922AA">
        <w:t>14,983</w:t>
      </w:r>
      <w:r w:rsidR="00566E89">
        <w:t xml:space="preserve"> </w:t>
      </w:r>
      <w:r w:rsidR="00566E89" w:rsidRPr="008C57A0">
        <w:rPr>
          <w:rFonts w:asciiTheme="minorHAnsi" w:hAnsiTheme="minorHAnsi" w:cstheme="minorHAnsi"/>
        </w:rPr>
        <w:t xml:space="preserve">patients were issued </w:t>
      </w:r>
      <w:r w:rsidR="00716977">
        <w:rPr>
          <w:rFonts w:asciiTheme="minorHAnsi" w:hAnsiTheme="minorHAnsi" w:cstheme="minorHAnsi"/>
        </w:rPr>
        <w:t>Ig</w:t>
      </w:r>
      <w:r w:rsidR="00566E89">
        <w:rPr>
          <w:rFonts w:asciiTheme="minorHAnsi" w:hAnsiTheme="minorHAnsi" w:cstheme="minorHAnsi"/>
        </w:rPr>
        <w:t xml:space="preserve"> </w:t>
      </w:r>
      <w:r>
        <w:rPr>
          <w:rFonts w:asciiTheme="minorHAnsi" w:hAnsiTheme="minorHAnsi" w:cstheme="minorHAnsi"/>
        </w:rPr>
        <w:t>under national blood arrangements</w:t>
      </w:r>
      <w:r w:rsidR="00566E89">
        <w:rPr>
          <w:rFonts w:asciiTheme="minorHAnsi" w:hAnsiTheme="minorHAnsi" w:cstheme="minorHAnsi"/>
        </w:rPr>
        <w:t xml:space="preserve"> during 201</w:t>
      </w:r>
      <w:r w:rsidR="00F922AA">
        <w:rPr>
          <w:rFonts w:asciiTheme="minorHAnsi" w:hAnsiTheme="minorHAnsi" w:cstheme="minorHAnsi"/>
        </w:rPr>
        <w:t>4</w:t>
      </w:r>
      <w:r w:rsidR="00566E89">
        <w:rPr>
          <w:rFonts w:asciiTheme="minorHAnsi" w:hAnsiTheme="minorHAnsi" w:cstheme="minorHAnsi"/>
        </w:rPr>
        <w:t>-1</w:t>
      </w:r>
      <w:r w:rsidR="00F922AA">
        <w:rPr>
          <w:rFonts w:asciiTheme="minorHAnsi" w:hAnsiTheme="minorHAnsi" w:cstheme="minorHAnsi"/>
        </w:rPr>
        <w:t>5</w:t>
      </w:r>
      <w:r w:rsidR="00566E89">
        <w:rPr>
          <w:rFonts w:asciiTheme="minorHAnsi" w:hAnsiTheme="minorHAnsi" w:cstheme="minorHAnsi"/>
        </w:rPr>
        <w:t xml:space="preserve"> </w:t>
      </w:r>
      <w:r>
        <w:rPr>
          <w:rFonts w:asciiTheme="minorHAnsi" w:hAnsiTheme="minorHAnsi" w:cstheme="minorHAnsi"/>
        </w:rPr>
        <w:t>for</w:t>
      </w:r>
      <w:r w:rsidR="00566E89">
        <w:rPr>
          <w:rFonts w:asciiTheme="minorHAnsi" w:hAnsiTheme="minorHAnsi" w:cstheme="minorHAnsi"/>
        </w:rPr>
        <w:t xml:space="preserve"> </w:t>
      </w:r>
      <w:r w:rsidR="00F922AA">
        <w:rPr>
          <w:rFonts w:asciiTheme="minorHAnsi" w:hAnsiTheme="minorHAnsi" w:cstheme="minorHAnsi"/>
        </w:rPr>
        <w:t>140,855</w:t>
      </w:r>
      <w:r w:rsidR="00566E89" w:rsidRPr="008C57A0">
        <w:rPr>
          <w:rFonts w:asciiTheme="minorHAnsi" w:hAnsiTheme="minorHAnsi" w:cstheme="minorHAnsi"/>
        </w:rPr>
        <w:t xml:space="preserve"> </w:t>
      </w:r>
      <w:r w:rsidR="00B7546D">
        <w:rPr>
          <w:rFonts w:asciiTheme="minorHAnsi" w:hAnsiTheme="minorHAnsi" w:cstheme="minorHAnsi"/>
        </w:rPr>
        <w:t>treatment</w:t>
      </w:r>
      <w:r w:rsidR="00566E89" w:rsidRPr="008C57A0">
        <w:rPr>
          <w:rFonts w:asciiTheme="minorHAnsi" w:hAnsiTheme="minorHAnsi" w:cstheme="minorHAnsi"/>
        </w:rPr>
        <w:t xml:space="preserve"> episodes.</w:t>
      </w:r>
      <w:r w:rsidR="00566E89">
        <w:rPr>
          <w:rFonts w:asciiTheme="minorHAnsi" w:hAnsiTheme="minorHAnsi" w:cstheme="minorHAnsi"/>
        </w:rPr>
        <w:t xml:space="preserve"> </w:t>
      </w:r>
      <w:r w:rsidR="00066948">
        <w:rPr>
          <w:rFonts w:asciiTheme="minorHAnsi" w:hAnsiTheme="minorHAnsi" w:cstheme="minorHAnsi"/>
        </w:rPr>
        <w:t xml:space="preserve">This represents a </w:t>
      </w:r>
      <w:r w:rsidR="00F922AA">
        <w:rPr>
          <w:rFonts w:asciiTheme="minorHAnsi" w:hAnsiTheme="minorHAnsi" w:cstheme="minorHAnsi"/>
        </w:rPr>
        <w:t>7.2</w:t>
      </w:r>
      <w:r w:rsidR="00066948">
        <w:rPr>
          <w:rFonts w:asciiTheme="minorHAnsi" w:hAnsiTheme="minorHAnsi" w:cstheme="minorHAnsi"/>
        </w:rPr>
        <w:t>% increase in the number of patients since 201</w:t>
      </w:r>
      <w:r w:rsidR="00F922AA">
        <w:rPr>
          <w:rFonts w:asciiTheme="minorHAnsi" w:hAnsiTheme="minorHAnsi" w:cstheme="minorHAnsi"/>
        </w:rPr>
        <w:t>3</w:t>
      </w:r>
      <w:r w:rsidR="00066948">
        <w:rPr>
          <w:rFonts w:asciiTheme="minorHAnsi" w:hAnsiTheme="minorHAnsi" w:cstheme="minorHAnsi"/>
        </w:rPr>
        <w:t>-1</w:t>
      </w:r>
      <w:r w:rsidR="00F922AA">
        <w:rPr>
          <w:rFonts w:asciiTheme="minorHAnsi" w:hAnsiTheme="minorHAnsi" w:cstheme="minorHAnsi"/>
        </w:rPr>
        <w:t>4</w:t>
      </w:r>
      <w:r>
        <w:rPr>
          <w:rFonts w:asciiTheme="minorHAnsi" w:hAnsiTheme="minorHAnsi" w:cstheme="minorHAnsi"/>
        </w:rPr>
        <w:t>.</w:t>
      </w:r>
      <w:r w:rsidR="00575E68">
        <w:rPr>
          <w:rFonts w:asciiTheme="minorHAnsi" w:hAnsiTheme="minorHAnsi" w:cstheme="minorHAnsi"/>
        </w:rPr>
        <w:t xml:space="preserve"> A summary of some patient numbers is provided in </w:t>
      </w:r>
      <w:r w:rsidR="00575E68">
        <w:rPr>
          <w:rFonts w:asciiTheme="minorHAnsi" w:hAnsiTheme="minorHAnsi" w:cstheme="minorHAnsi"/>
        </w:rPr>
        <w:fldChar w:fldCharType="begin"/>
      </w:r>
      <w:r w:rsidR="00575E68">
        <w:rPr>
          <w:rFonts w:asciiTheme="minorHAnsi" w:hAnsiTheme="minorHAnsi" w:cstheme="minorHAnsi"/>
        </w:rPr>
        <w:instrText xml:space="preserve"> REF _Ref386098046 \h </w:instrText>
      </w:r>
      <w:r w:rsidR="00575E68">
        <w:rPr>
          <w:rFonts w:asciiTheme="minorHAnsi" w:hAnsiTheme="minorHAnsi" w:cstheme="minorHAnsi"/>
        </w:rPr>
      </w:r>
      <w:r w:rsidR="00575E68">
        <w:rPr>
          <w:rFonts w:asciiTheme="minorHAnsi" w:hAnsiTheme="minorHAnsi" w:cstheme="minorHAnsi"/>
        </w:rPr>
        <w:fldChar w:fldCharType="separate"/>
      </w:r>
      <w:r w:rsidR="00F3134D">
        <w:t xml:space="preserve">Table </w:t>
      </w:r>
      <w:r w:rsidR="00F3134D">
        <w:rPr>
          <w:noProof/>
        </w:rPr>
        <w:t>4</w:t>
      </w:r>
      <w:r w:rsidR="00575E68">
        <w:rPr>
          <w:rFonts w:asciiTheme="minorHAnsi" w:hAnsiTheme="minorHAnsi" w:cstheme="minorHAnsi"/>
        </w:rPr>
        <w:fldChar w:fldCharType="end"/>
      </w:r>
      <w:r w:rsidR="00575E68">
        <w:rPr>
          <w:rFonts w:asciiTheme="minorHAnsi" w:hAnsiTheme="minorHAnsi" w:cstheme="minorHAnsi"/>
        </w:rPr>
        <w:t>.</w:t>
      </w:r>
      <w:r w:rsidR="009C2E79">
        <w:rPr>
          <w:rFonts w:asciiTheme="minorHAnsi" w:hAnsiTheme="minorHAnsi" w:cstheme="minorHAnsi"/>
        </w:rPr>
        <w:t xml:space="preserve"> A breakdown of unique patients by </w:t>
      </w:r>
      <w:r w:rsidR="00D50CEA">
        <w:rPr>
          <w:rFonts w:asciiTheme="minorHAnsi" w:hAnsiTheme="minorHAnsi" w:cstheme="minorHAnsi"/>
        </w:rPr>
        <w:t>state and territory</w:t>
      </w:r>
      <w:r w:rsidR="009C2E79">
        <w:rPr>
          <w:rFonts w:asciiTheme="minorHAnsi" w:hAnsiTheme="minorHAnsi" w:cstheme="minorHAnsi"/>
        </w:rPr>
        <w:t xml:space="preserve"> and quarter is provided in </w:t>
      </w:r>
      <w:r w:rsidR="009C2E79" w:rsidRPr="009C2E79">
        <w:rPr>
          <w:rFonts w:asciiTheme="minorHAnsi" w:hAnsiTheme="minorHAnsi" w:cstheme="minorHAnsi"/>
          <w:b/>
        </w:rPr>
        <w:fldChar w:fldCharType="begin" w:fldLock="1"/>
      </w:r>
      <w:r w:rsidR="009C2E79" w:rsidRPr="009C2E79">
        <w:rPr>
          <w:rFonts w:asciiTheme="minorHAnsi" w:hAnsiTheme="minorHAnsi" w:cstheme="minorHAnsi"/>
          <w:b/>
        </w:rPr>
        <w:instrText xml:space="preserve"> REF _Ref386115652 \h </w:instrText>
      </w:r>
      <w:r w:rsidR="009C2E79">
        <w:rPr>
          <w:rFonts w:asciiTheme="minorHAnsi" w:hAnsiTheme="minorHAnsi" w:cstheme="minorHAnsi"/>
          <w:b/>
        </w:rPr>
        <w:instrText xml:space="preserve"> \* MERGEFORMAT </w:instrText>
      </w:r>
      <w:r w:rsidR="009C2E79" w:rsidRPr="009C2E79">
        <w:rPr>
          <w:rFonts w:asciiTheme="minorHAnsi" w:hAnsiTheme="minorHAnsi" w:cstheme="minorHAnsi"/>
          <w:b/>
        </w:rPr>
      </w:r>
      <w:r w:rsidR="009C2E79" w:rsidRPr="009C2E79">
        <w:rPr>
          <w:rFonts w:asciiTheme="minorHAnsi" w:hAnsiTheme="minorHAnsi" w:cstheme="minorHAnsi"/>
          <w:b/>
        </w:rPr>
        <w:fldChar w:fldCharType="separate"/>
      </w:r>
      <w:r w:rsidR="00FD0FD6" w:rsidRPr="00FD0FD6">
        <w:rPr>
          <w:b/>
        </w:rPr>
        <w:t>Appendix F</w:t>
      </w:r>
      <w:r w:rsidR="009C2E79" w:rsidRPr="009C2E79">
        <w:rPr>
          <w:rFonts w:asciiTheme="minorHAnsi" w:hAnsiTheme="minorHAnsi" w:cstheme="minorHAnsi"/>
          <w:b/>
        </w:rPr>
        <w:fldChar w:fldCharType="end"/>
      </w:r>
      <w:r w:rsidR="009C2E79" w:rsidRPr="009C2E79">
        <w:rPr>
          <w:rFonts w:asciiTheme="minorHAnsi" w:hAnsiTheme="minorHAnsi" w:cstheme="minorHAnsi"/>
        </w:rPr>
        <w:t>.</w:t>
      </w:r>
    </w:p>
    <w:p w:rsidR="00866AC2" w:rsidRDefault="00866AC2" w:rsidP="00866AC2">
      <w:pPr>
        <w:pStyle w:val="Caption"/>
        <w:keepNext/>
      </w:pPr>
      <w:bookmarkStart w:id="33" w:name="_Toc456266146"/>
      <w:bookmarkStart w:id="34" w:name="_Toc456266982"/>
      <w:r>
        <w:t xml:space="preserve">Table </w:t>
      </w:r>
      <w:fldSimple w:instr=" SEQ Table \* ARABIC ">
        <w:r w:rsidR="00F3134D">
          <w:rPr>
            <w:noProof/>
          </w:rPr>
          <w:t>3</w:t>
        </w:r>
      </w:fldSimple>
      <w:r>
        <w:tab/>
        <w:t xml:space="preserve">Annual numbers </w:t>
      </w:r>
      <w:r w:rsidR="008F04E1">
        <w:t>of patients, treatment</w:t>
      </w:r>
      <w:r w:rsidR="00762116">
        <w:t xml:space="preserve"> episodes</w:t>
      </w:r>
      <w:r w:rsidR="008F04E1">
        <w:t xml:space="preserve"> and grams</w:t>
      </w:r>
      <w:bookmarkEnd w:id="33"/>
      <w:bookmarkEnd w:id="34"/>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2008-09</w:t>
            </w:r>
          </w:p>
        </w:tc>
        <w:tc>
          <w:tcPr>
            <w:tcW w:w="2554" w:type="dxa"/>
            <w:noWrap/>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9,870</w:t>
            </w:r>
          </w:p>
        </w:tc>
        <w:tc>
          <w:tcPr>
            <w:tcW w:w="2268" w:type="dxa"/>
            <w:noWrap/>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77,212</w:t>
            </w:r>
          </w:p>
        </w:tc>
        <w:tc>
          <w:tcPr>
            <w:tcW w:w="2693" w:type="dxa"/>
            <w:noWrap/>
            <w:vAlign w:val="bottom"/>
          </w:tcPr>
          <w:p w:rsidR="00A56590" w:rsidRPr="00547D7D" w:rsidRDefault="00A56590" w:rsidP="00AB072B">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2,3</w:t>
            </w:r>
            <w:r w:rsidR="00AB072B" w:rsidRPr="00547D7D">
              <w:rPr>
                <w:rFonts w:asciiTheme="minorHAnsi" w:hAnsiTheme="minorHAnsi" w:cstheme="minorHAnsi"/>
                <w:b w:val="0"/>
                <w:color w:val="auto"/>
                <w:szCs w:val="22"/>
              </w:rPr>
              <w:t>80,257</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2009-10</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10,537</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85,299</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2,655,184</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2010-11</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11,492</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93,893</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2,950,371</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2011-12</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12,127</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101,388</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3,271,309</w:t>
            </w:r>
          </w:p>
        </w:tc>
      </w:tr>
      <w:tr w:rsidR="00A56590" w:rsidRPr="00547D7D" w:rsidTr="003869DF">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2012-13</w:t>
            </w:r>
          </w:p>
        </w:tc>
        <w:tc>
          <w:tcPr>
            <w:tcW w:w="2554" w:type="dxa"/>
            <w:noWrap/>
          </w:tcPr>
          <w:p w:rsidR="00A56590" w:rsidRPr="00547D7D" w:rsidRDefault="00A56590" w:rsidP="000E2E10">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13,102</w:t>
            </w:r>
          </w:p>
        </w:tc>
        <w:tc>
          <w:tcPr>
            <w:tcW w:w="2268" w:type="dxa"/>
            <w:noWrap/>
            <w:vAlign w:val="bottom"/>
          </w:tcPr>
          <w:p w:rsidR="00A56590" w:rsidRPr="00547D7D" w:rsidRDefault="00A56590" w:rsidP="00D7719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110,183</w:t>
            </w:r>
          </w:p>
        </w:tc>
        <w:tc>
          <w:tcPr>
            <w:tcW w:w="2693" w:type="dxa"/>
            <w:noWrap/>
            <w:vAlign w:val="bottom"/>
          </w:tcPr>
          <w:p w:rsidR="00A56590" w:rsidRPr="00547D7D" w:rsidRDefault="00A56590" w:rsidP="00CC3E5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3,622,433</w:t>
            </w:r>
          </w:p>
        </w:tc>
      </w:tr>
      <w:tr w:rsidR="00577150" w:rsidRPr="00547D7D" w:rsidTr="00B0687D">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577150" w:rsidRPr="00547D7D" w:rsidRDefault="0057715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2013-14</w:t>
            </w:r>
          </w:p>
        </w:tc>
        <w:tc>
          <w:tcPr>
            <w:tcW w:w="2554"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13,981</w:t>
            </w:r>
          </w:p>
        </w:tc>
        <w:tc>
          <w:tcPr>
            <w:tcW w:w="2268"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122,791</w:t>
            </w:r>
          </w:p>
        </w:tc>
        <w:tc>
          <w:tcPr>
            <w:tcW w:w="2693"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4,021,861</w:t>
            </w:r>
          </w:p>
        </w:tc>
      </w:tr>
      <w:tr w:rsidR="00782C0B"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82C0B" w:rsidRPr="00547D7D" w:rsidRDefault="00782C0B" w:rsidP="00782C0B">
            <w:pPr>
              <w:pStyle w:val="Caption"/>
              <w:rPr>
                <w:b w:val="0"/>
                <w:color w:val="000000"/>
                <w:szCs w:val="22"/>
              </w:rPr>
            </w:pPr>
            <w:r w:rsidRPr="00547D7D">
              <w:rPr>
                <w:rFonts w:asciiTheme="minorHAnsi" w:hAnsiTheme="minorHAnsi" w:cstheme="minorHAnsi"/>
                <w:b w:val="0"/>
                <w:color w:val="auto"/>
                <w:szCs w:val="22"/>
              </w:rPr>
              <w:t>2014-15</w:t>
            </w:r>
          </w:p>
        </w:tc>
        <w:tc>
          <w:tcPr>
            <w:tcW w:w="2554"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14,983</w:t>
            </w:r>
          </w:p>
        </w:tc>
        <w:tc>
          <w:tcPr>
            <w:tcW w:w="2268"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140,855</w:t>
            </w:r>
          </w:p>
        </w:tc>
        <w:tc>
          <w:tcPr>
            <w:tcW w:w="2693"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4,433,146</w:t>
            </w:r>
          </w:p>
        </w:tc>
      </w:tr>
    </w:tbl>
    <w:p w:rsidR="004F03AF" w:rsidRDefault="004F03AF" w:rsidP="00566E89">
      <w:pPr>
        <w:rPr>
          <w:rFonts w:asciiTheme="minorHAnsi" w:hAnsiTheme="minorHAnsi" w:cstheme="minorHAnsi"/>
        </w:rPr>
      </w:pPr>
    </w:p>
    <w:p w:rsidR="008F04E1" w:rsidRDefault="008F04E1" w:rsidP="008F04E1">
      <w:pPr>
        <w:pStyle w:val="Caption"/>
        <w:keepNext/>
      </w:pPr>
      <w:bookmarkStart w:id="35" w:name="_Ref386098046"/>
      <w:bookmarkStart w:id="36" w:name="_Toc456266147"/>
      <w:bookmarkStart w:id="37" w:name="_Toc456266983"/>
      <w:r>
        <w:t xml:space="preserve">Table </w:t>
      </w:r>
      <w:fldSimple w:instr=" SEQ Table \* ARABIC ">
        <w:r w:rsidR="00F3134D">
          <w:rPr>
            <w:noProof/>
          </w:rPr>
          <w:t>4</w:t>
        </w:r>
      </w:fldSimple>
      <w:bookmarkEnd w:id="35"/>
      <w:r>
        <w:tab/>
        <w:t>Basic numbers</w:t>
      </w:r>
      <w:bookmarkEnd w:id="36"/>
      <w:bookmarkEnd w:id="37"/>
      <w:r w:rsidR="00762116">
        <w:t xml:space="preserve"> </w:t>
      </w:r>
    </w:p>
    <w:tbl>
      <w:tblPr>
        <w:tblStyle w:val="LightList-Accent23"/>
        <w:tblW w:w="8046" w:type="dxa"/>
        <w:tblLook w:val="01E0" w:firstRow="1" w:lastRow="1" w:firstColumn="1" w:lastColumn="1" w:noHBand="0" w:noVBand="0"/>
      </w:tblPr>
      <w:tblGrid>
        <w:gridCol w:w="6629"/>
        <w:gridCol w:w="1417"/>
      </w:tblGrid>
      <w:tr w:rsidR="00F42965" w:rsidRPr="00991478" w:rsidTr="00F4296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9D03FE" w:rsidRDefault="00F42965" w:rsidP="00707217">
            <w:pPr>
              <w:spacing w:after="0"/>
              <w:rPr>
                <w:lang w:val="en-GB"/>
              </w:rPr>
            </w:pPr>
          </w:p>
        </w:tc>
        <w:tc>
          <w:tcPr>
            <w:cnfStyle w:val="000100000000" w:firstRow="0" w:lastRow="0" w:firstColumn="0" w:lastColumn="1" w:oddVBand="0" w:evenVBand="0" w:oddHBand="0" w:evenHBand="0" w:firstRowFirstColumn="0" w:firstRowLastColumn="0" w:lastRowFirstColumn="0" w:lastRowLastColumn="0"/>
            <w:tcW w:w="1417" w:type="dxa"/>
          </w:tcPr>
          <w:p w:rsidR="00F42965" w:rsidRPr="009D03FE" w:rsidRDefault="00F42965" w:rsidP="009D03FE">
            <w:pPr>
              <w:spacing w:after="0"/>
              <w:jc w:val="right"/>
              <w:rPr>
                <w:rFonts w:asciiTheme="minorHAnsi" w:hAnsiTheme="minorHAnsi" w:cstheme="minorHAnsi"/>
                <w:b w:val="0"/>
              </w:rPr>
            </w:pPr>
            <w:r>
              <w:rPr>
                <w:rFonts w:asciiTheme="minorHAnsi" w:hAnsiTheme="minorHAnsi" w:cstheme="minorHAnsi"/>
                <w:b w:val="0"/>
              </w:rPr>
              <w:t>2014</w:t>
            </w:r>
            <w:r w:rsidRPr="009D03FE">
              <w:rPr>
                <w:rFonts w:asciiTheme="minorHAnsi" w:hAnsiTheme="minorHAnsi" w:cstheme="minorHAnsi"/>
                <w:b w:val="0"/>
              </w:rPr>
              <w:t>-1</w:t>
            </w:r>
            <w:r>
              <w:rPr>
                <w:rFonts w:asciiTheme="minorHAnsi" w:hAnsiTheme="minorHAnsi" w:cstheme="minorHAnsi"/>
                <w:b w:val="0"/>
              </w:rPr>
              <w:t>5</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some weight data</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14,658</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an age recorded</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14,983</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a weight change</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781</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state or territory</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B0687D">
            <w:pPr>
              <w:spacing w:after="0"/>
              <w:jc w:val="right"/>
              <w:rPr>
                <w:rFonts w:asciiTheme="minorHAnsi" w:hAnsiTheme="minorHAnsi" w:cstheme="minorHAnsi"/>
                <w:b w:val="0"/>
                <w:bCs w:val="0"/>
              </w:rPr>
            </w:pPr>
            <w:r w:rsidRPr="00547D7D">
              <w:rPr>
                <w:rFonts w:asciiTheme="minorHAnsi" w:hAnsiTheme="minorHAnsi" w:cstheme="minorHAnsi"/>
                <w:b w:val="0"/>
                <w:bCs w:val="0"/>
              </w:rPr>
              <w:t>180</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two states or territories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B0687D">
            <w:pPr>
              <w:spacing w:after="0"/>
              <w:jc w:val="right"/>
              <w:rPr>
                <w:rFonts w:asciiTheme="minorHAnsi" w:hAnsiTheme="minorHAnsi" w:cstheme="minorHAnsi"/>
                <w:b w:val="0"/>
                <w:bCs w:val="0"/>
              </w:rPr>
            </w:pPr>
            <w:r w:rsidRPr="00547D7D">
              <w:rPr>
                <w:rFonts w:asciiTheme="minorHAnsi" w:hAnsiTheme="minorHAnsi" w:cstheme="minorHAnsi"/>
                <w:b w:val="0"/>
                <w:bCs w:val="0"/>
              </w:rPr>
              <w:t>170</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three or more states or territories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A72DDB">
            <w:pPr>
              <w:spacing w:after="0"/>
              <w:jc w:val="right"/>
              <w:rPr>
                <w:rFonts w:asciiTheme="minorHAnsi" w:hAnsiTheme="minorHAnsi" w:cstheme="minorHAnsi"/>
                <w:b w:val="0"/>
                <w:bCs w:val="0"/>
              </w:rPr>
            </w:pPr>
            <w:r w:rsidRPr="00547D7D">
              <w:rPr>
                <w:rFonts w:asciiTheme="minorHAnsi" w:hAnsiTheme="minorHAnsi" w:cstheme="minorHAnsi"/>
                <w:b w:val="0"/>
                <w:bCs w:val="0"/>
              </w:rPr>
              <w:t>10</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B81AFC">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condition</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377</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two conditions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367</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B81AFC">
            <w:pPr>
              <w:spacing w:after="0"/>
              <w:rPr>
                <w:rFonts w:asciiTheme="minorHAnsi" w:hAnsiTheme="minorHAnsi" w:cstheme="minorHAnsi"/>
                <w:b w:val="0"/>
                <w:bCs w:val="0"/>
              </w:rPr>
            </w:pPr>
            <w:r w:rsidRPr="00547D7D">
              <w:rPr>
                <w:rFonts w:asciiTheme="minorHAnsi" w:hAnsiTheme="minorHAnsi" w:cstheme="minorHAnsi"/>
                <w:b w:val="0"/>
              </w:rPr>
              <w:t>Total unique patient IDs with three conditions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9</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four or more conditions</w:t>
            </w: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tcPr>
          <w:p w:rsidR="00F42965" w:rsidRPr="00547D7D" w:rsidRDefault="00167D80" w:rsidP="00A72DDB">
            <w:pPr>
              <w:spacing w:after="0"/>
              <w:jc w:val="right"/>
              <w:rPr>
                <w:rFonts w:asciiTheme="minorHAnsi" w:hAnsiTheme="minorHAnsi" w:cstheme="minorHAnsi"/>
                <w:b w:val="0"/>
                <w:bCs w:val="0"/>
              </w:rPr>
            </w:pPr>
            <w:r w:rsidRPr="00547D7D">
              <w:rPr>
                <w:rFonts w:asciiTheme="minorHAnsi" w:hAnsiTheme="minorHAnsi" w:cstheme="minorHAnsi"/>
                <w:b w:val="0"/>
                <w:bCs w:val="0"/>
              </w:rPr>
              <w:t>1</w:t>
            </w:r>
          </w:p>
        </w:tc>
      </w:tr>
      <w:tr w:rsidR="00F42965" w:rsidRPr="00547D7D" w:rsidTr="00F42965">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tcBorders>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aged 93 or older</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tcBorders>
          </w:tcPr>
          <w:p w:rsidR="00F42965" w:rsidRPr="00547D7D" w:rsidRDefault="00167D80" w:rsidP="009D3B42">
            <w:pPr>
              <w:spacing w:after="0"/>
              <w:jc w:val="right"/>
              <w:rPr>
                <w:rFonts w:asciiTheme="minorHAnsi" w:hAnsiTheme="minorHAnsi" w:cstheme="minorHAnsi"/>
                <w:b w:val="0"/>
                <w:bCs w:val="0"/>
              </w:rPr>
            </w:pPr>
            <w:r w:rsidRPr="00547D7D">
              <w:rPr>
                <w:rFonts w:asciiTheme="minorHAnsi" w:hAnsiTheme="minorHAnsi" w:cstheme="minorHAnsi"/>
                <w:b w:val="0"/>
                <w:bCs w:val="0"/>
              </w:rPr>
              <w:t>45</w:t>
            </w:r>
          </w:p>
        </w:tc>
      </w:tr>
    </w:tbl>
    <w:p w:rsidR="00707217" w:rsidRPr="00AB072B" w:rsidRDefault="00F42965" w:rsidP="00566E89">
      <w:pPr>
        <w:rPr>
          <w:rStyle w:val="SubtleEmphasis"/>
          <w:sz w:val="18"/>
          <w:szCs w:val="18"/>
        </w:rPr>
      </w:pPr>
      <w:r w:rsidRPr="00AB072B">
        <w:rPr>
          <w:rStyle w:val="SubtleEmphasis"/>
          <w:sz w:val="18"/>
          <w:szCs w:val="18"/>
        </w:rPr>
        <w:t>Note: The above table calculation</w:t>
      </w:r>
      <w:r w:rsidR="00167D80" w:rsidRPr="00AB072B">
        <w:rPr>
          <w:rStyle w:val="SubtleEmphasis"/>
          <w:sz w:val="18"/>
          <w:szCs w:val="18"/>
        </w:rPr>
        <w:t>s</w:t>
      </w:r>
      <w:r w:rsidRPr="00AB072B">
        <w:rPr>
          <w:rStyle w:val="SubtleEmphasis"/>
          <w:sz w:val="18"/>
          <w:szCs w:val="18"/>
        </w:rPr>
        <w:t xml:space="preserve"> relate to only 2014-15</w:t>
      </w:r>
      <w:r w:rsidR="00167D80" w:rsidRPr="00AB072B">
        <w:rPr>
          <w:rStyle w:val="SubtleEmphasis"/>
          <w:sz w:val="18"/>
          <w:szCs w:val="18"/>
        </w:rPr>
        <w:t xml:space="preserve"> patients</w:t>
      </w:r>
      <w:r w:rsidRPr="00AB072B">
        <w:rPr>
          <w:rStyle w:val="SubtleEmphasis"/>
          <w:sz w:val="18"/>
          <w:szCs w:val="18"/>
        </w:rPr>
        <w:t xml:space="preserve"> unlike previous </w:t>
      </w:r>
      <w:r w:rsidR="00167D80" w:rsidRPr="00AB072B">
        <w:rPr>
          <w:rStyle w:val="SubtleEmphasis"/>
          <w:sz w:val="18"/>
          <w:szCs w:val="18"/>
        </w:rPr>
        <w:t>reports</w:t>
      </w:r>
      <w:r w:rsidRPr="00AB072B">
        <w:rPr>
          <w:rStyle w:val="SubtleEmphasis"/>
          <w:sz w:val="18"/>
          <w:szCs w:val="18"/>
        </w:rPr>
        <w:t xml:space="preserve"> where it included multiple years</w:t>
      </w:r>
      <w:r w:rsidR="00167D80" w:rsidRPr="00AB072B">
        <w:rPr>
          <w:rStyle w:val="SubtleEmphasis"/>
          <w:sz w:val="18"/>
          <w:szCs w:val="18"/>
        </w:rPr>
        <w:t xml:space="preserve"> of data</w:t>
      </w:r>
    </w:p>
    <w:p w:rsidR="0076501A" w:rsidRDefault="003B5DD7" w:rsidP="0076501A">
      <w:pPr>
        <w:pStyle w:val="Heading2"/>
      </w:pPr>
      <w:bookmarkStart w:id="38" w:name="_Toc456267413"/>
      <w:r>
        <w:t>G</w:t>
      </w:r>
      <w:r w:rsidR="0076501A">
        <w:t xml:space="preserve">eographic </w:t>
      </w:r>
      <w:r>
        <w:t>D</w:t>
      </w:r>
      <w:r w:rsidR="0076501A">
        <w:t>istribution</w:t>
      </w:r>
      <w:bookmarkEnd w:id="38"/>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w:t>
      </w:r>
      <w:r w:rsidR="00575E68" w:rsidRPr="00466418">
        <w:rPr>
          <w:rFonts w:asciiTheme="minorHAnsi" w:hAnsiTheme="minorHAnsi" w:cstheme="minorHAnsi"/>
        </w:rPr>
        <w:t>0.6</w:t>
      </w:r>
      <w:r w:rsidR="0072166F">
        <w:rPr>
          <w:rFonts w:asciiTheme="minorHAnsi" w:hAnsiTheme="minorHAnsi" w:cstheme="minorHAnsi"/>
        </w:rPr>
        <w:t xml:space="preserve"> patients per 1,000 population received </w:t>
      </w:r>
      <w:r w:rsidR="00716977">
        <w:rPr>
          <w:rFonts w:asciiTheme="minorHAnsi" w:hAnsiTheme="minorHAnsi" w:cstheme="minorHAnsi"/>
        </w:rPr>
        <w:t>Ig</w:t>
      </w:r>
      <w:r w:rsidR="00690F47">
        <w:rPr>
          <w:rFonts w:asciiTheme="minorHAnsi" w:hAnsiTheme="minorHAnsi" w:cstheme="minorHAnsi"/>
        </w:rPr>
        <w:t xml:space="preserve"> in 201</w:t>
      </w:r>
      <w:r w:rsidR="00415DAF">
        <w:rPr>
          <w:rFonts w:asciiTheme="minorHAnsi" w:hAnsiTheme="minorHAnsi" w:cstheme="minorHAnsi"/>
        </w:rPr>
        <w:t>4</w:t>
      </w:r>
      <w:r w:rsidR="00690F47">
        <w:rPr>
          <w:rFonts w:asciiTheme="minorHAnsi" w:hAnsiTheme="minorHAnsi" w:cstheme="minorHAnsi"/>
        </w:rPr>
        <w:t>-1</w:t>
      </w:r>
      <w:r w:rsidR="00415DAF">
        <w:rPr>
          <w:rFonts w:asciiTheme="minorHAnsi" w:hAnsiTheme="minorHAnsi" w:cstheme="minorHAnsi"/>
        </w:rPr>
        <w:t>5</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sidRPr="00466418">
        <w:rPr>
          <w:rFonts w:asciiTheme="minorHAnsi" w:hAnsiTheme="minorHAnsi" w:cstheme="minorHAnsi"/>
        </w:rPr>
        <w:t>0.</w:t>
      </w:r>
      <w:r w:rsidR="00575E68" w:rsidRPr="00466418">
        <w:rPr>
          <w:rFonts w:asciiTheme="minorHAnsi" w:hAnsiTheme="minorHAnsi" w:cstheme="minorHAnsi"/>
        </w:rPr>
        <w:t>3</w:t>
      </w:r>
      <w:r w:rsidR="003903EF" w:rsidRPr="00466418">
        <w:rPr>
          <w:rFonts w:asciiTheme="minorHAnsi" w:hAnsiTheme="minorHAnsi" w:cstheme="minorHAnsi"/>
        </w:rPr>
        <w:t xml:space="preserve"> in Western Australia</w:t>
      </w:r>
      <w:r w:rsidR="0072166F" w:rsidRPr="00466418">
        <w:rPr>
          <w:rFonts w:asciiTheme="minorHAnsi" w:hAnsiTheme="minorHAnsi" w:cstheme="minorHAnsi"/>
        </w:rPr>
        <w:t xml:space="preserve"> to </w:t>
      </w:r>
      <w:r w:rsidR="0018752E" w:rsidRPr="00466418">
        <w:rPr>
          <w:rFonts w:asciiTheme="minorHAnsi" w:hAnsiTheme="minorHAnsi" w:cstheme="minorHAnsi"/>
        </w:rPr>
        <w:t>0.</w:t>
      </w:r>
      <w:r w:rsidR="00575E68" w:rsidRPr="00466418">
        <w:rPr>
          <w:rFonts w:asciiTheme="minorHAnsi" w:hAnsiTheme="minorHAnsi" w:cstheme="minorHAnsi"/>
        </w:rPr>
        <w:t>8</w:t>
      </w:r>
      <w:r w:rsidR="0072166F" w:rsidRPr="00466418">
        <w:rPr>
          <w:rFonts w:asciiTheme="minorHAnsi" w:hAnsiTheme="minorHAnsi" w:cstheme="minorHAnsi"/>
        </w:rPr>
        <w:t xml:space="preserve"> in </w:t>
      </w:r>
      <w:r w:rsidR="00022192" w:rsidRPr="00466418">
        <w:rPr>
          <w:rFonts w:asciiTheme="minorHAnsi" w:hAnsiTheme="minorHAnsi" w:cstheme="minorHAnsi"/>
        </w:rPr>
        <w:t>Queensland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F3134D">
        <w:t xml:space="preserve">Figure </w:t>
      </w:r>
      <w:r w:rsidR="00F3134D">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39" w:name="_Toc364777002"/>
      <w:r w:rsidR="0072166F" w:rsidRPr="00466418">
        <w:t xml:space="preserve">All states and territories other than </w:t>
      </w:r>
      <w:r w:rsidR="00466418">
        <w:t xml:space="preserve">the </w:t>
      </w:r>
      <w:r w:rsidR="00F922AA">
        <w:t>Australian Capital Territory</w:t>
      </w:r>
      <w:r w:rsidR="0072166F">
        <w:t xml:space="preserve"> show an increase in the number of patients per 1</w:t>
      </w:r>
      <w:r w:rsidR="003903EF">
        <w:t>,</w:t>
      </w:r>
      <w:r w:rsidR="0072166F">
        <w:t>000 pop</w:t>
      </w:r>
      <w:r>
        <w:t>ulation over the previous year.</w:t>
      </w:r>
    </w:p>
    <w:p w:rsidR="00566E89" w:rsidRPr="00AF544C" w:rsidRDefault="00810567" w:rsidP="00566E89">
      <w:r>
        <w:lastRenderedPageBreak/>
        <w:t xml:space="preserve">Details on the number of patients by </w:t>
      </w:r>
      <w:r w:rsidR="00B81AFC">
        <w:t xml:space="preserve">condition </w:t>
      </w:r>
      <w:r>
        <w:t>are</w:t>
      </w:r>
      <w:r w:rsidR="008D4B7F">
        <w:t xml:space="preserve"> at</w:t>
      </w:r>
      <w:r w:rsidR="00B46D1F">
        <w:t xml:space="preserve"> </w:t>
      </w:r>
      <w:r w:rsidR="00E5706B" w:rsidRPr="00575E68">
        <w:rPr>
          <w:b/>
        </w:rPr>
        <w:fldChar w:fldCharType="begin" w:fldLock="1"/>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FD0FD6" w:rsidRPr="00FD0FD6">
        <w:rPr>
          <w:b/>
        </w:rPr>
        <w:t>Appendix D</w:t>
      </w:r>
      <w:r w:rsidR="00E5706B" w:rsidRPr="00575E68">
        <w:rPr>
          <w:b/>
        </w:rPr>
        <w:fldChar w:fldCharType="end"/>
      </w:r>
      <w:r w:rsidR="00EF0EA8" w:rsidRPr="002B37DA">
        <w:rPr>
          <w:b/>
        </w:rPr>
        <w:t>.</w:t>
      </w:r>
    </w:p>
    <w:bookmarkEnd w:id="39"/>
    <w:p w:rsidR="00566E89" w:rsidRDefault="00782C0B" w:rsidP="00566E89">
      <w:r>
        <w:rPr>
          <w:noProof/>
          <w:lang w:eastAsia="en-AU"/>
        </w:rPr>
        <w:drawing>
          <wp:inline distT="0" distB="0" distL="0" distR="0" wp14:anchorId="5A6F5DC6" wp14:editId="7D6D573B">
            <wp:extent cx="5334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166F" w:rsidRDefault="0072166F" w:rsidP="0072166F">
      <w:pPr>
        <w:pStyle w:val="Caption"/>
      </w:pPr>
      <w:bookmarkStart w:id="40" w:name="_Ref253558949"/>
      <w:bookmarkStart w:id="41" w:name="_Toc390098182"/>
      <w:bookmarkStart w:id="42" w:name="_Toc456266168"/>
      <w:r>
        <w:t xml:space="preserve">Figure </w:t>
      </w:r>
      <w:r w:rsidR="00E5706B">
        <w:fldChar w:fldCharType="begin"/>
      </w:r>
      <w:r w:rsidR="000622C5">
        <w:instrText xml:space="preserve"> SEQ Figure \* ARABIC </w:instrText>
      </w:r>
      <w:r w:rsidR="00E5706B">
        <w:fldChar w:fldCharType="separate"/>
      </w:r>
      <w:r w:rsidR="00F3134D">
        <w:rPr>
          <w:noProof/>
        </w:rPr>
        <w:t>3</w:t>
      </w:r>
      <w:r w:rsidR="00E5706B">
        <w:rPr>
          <w:noProof/>
        </w:rPr>
        <w:fldChar w:fldCharType="end"/>
      </w:r>
      <w:bookmarkEnd w:id="40"/>
      <w:r w:rsidR="00810567">
        <w:tab/>
      </w:r>
      <w:r>
        <w:t>Patients per 1,000 population</w:t>
      </w:r>
      <w:bookmarkEnd w:id="41"/>
      <w:r w:rsidR="00457C77">
        <w:t xml:space="preserve"> 201</w:t>
      </w:r>
      <w:r w:rsidR="00415DAF">
        <w:t>4</w:t>
      </w:r>
      <w:r w:rsidR="00690F47">
        <w:t>-1</w:t>
      </w:r>
      <w:r w:rsidR="00415DAF">
        <w:t>5</w:t>
      </w:r>
      <w:bookmarkEnd w:id="42"/>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w:t>
      </w:r>
      <w:r w:rsidR="00716977">
        <w:rPr>
          <w:rFonts w:asciiTheme="minorHAnsi" w:hAnsiTheme="minorHAnsi" w:cstheme="minorHAnsi"/>
        </w:rPr>
        <w:t>Ig</w:t>
      </w:r>
      <w:r>
        <w:rPr>
          <w:rFonts w:asciiTheme="minorHAnsi" w:hAnsiTheme="minorHAnsi" w:cstheme="minorHAnsi"/>
        </w:rPr>
        <w:t xml:space="preserve">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 xml:space="preserve">anging from </w:t>
      </w:r>
      <w:r w:rsidR="00F922AA">
        <w:rPr>
          <w:rFonts w:asciiTheme="minorHAnsi" w:hAnsiTheme="minorHAnsi" w:cstheme="minorHAnsi"/>
        </w:rPr>
        <w:t>72</w:t>
      </w:r>
      <w:r w:rsidR="00EA23EB" w:rsidRPr="00EA23EB">
        <w:rPr>
          <w:rFonts w:asciiTheme="minorHAnsi" w:hAnsiTheme="minorHAnsi" w:cstheme="minorHAnsi"/>
        </w:rPr>
        <w:t>.</w:t>
      </w:r>
      <w:r w:rsidR="00F922AA">
        <w:rPr>
          <w:rFonts w:asciiTheme="minorHAnsi" w:hAnsiTheme="minorHAnsi" w:cstheme="minorHAnsi"/>
        </w:rPr>
        <w:t>6</w:t>
      </w:r>
      <w:r w:rsidRPr="00EA23EB">
        <w:rPr>
          <w:rFonts w:asciiTheme="minorHAnsi" w:hAnsiTheme="minorHAnsi" w:cstheme="minorHAnsi"/>
        </w:rPr>
        <w:t xml:space="preserve"> in the Northern Territory </w:t>
      </w:r>
      <w:r w:rsidR="00575E68" w:rsidRPr="00EA23EB">
        <w:rPr>
          <w:rFonts w:asciiTheme="minorHAnsi" w:hAnsiTheme="minorHAnsi" w:cstheme="minorHAnsi"/>
        </w:rPr>
        <w:t xml:space="preserve">to </w:t>
      </w:r>
      <w:r w:rsidR="00EA23EB" w:rsidRPr="00EA23EB">
        <w:rPr>
          <w:rFonts w:asciiTheme="minorHAnsi" w:hAnsiTheme="minorHAnsi" w:cstheme="minorHAnsi"/>
        </w:rPr>
        <w:t>2</w:t>
      </w:r>
      <w:r w:rsidR="00F922AA">
        <w:rPr>
          <w:rFonts w:asciiTheme="minorHAnsi" w:hAnsiTheme="minorHAnsi" w:cstheme="minorHAnsi"/>
        </w:rPr>
        <w:t>51.3</w:t>
      </w:r>
      <w:r w:rsidRPr="00EA23EB">
        <w:rPr>
          <w:rFonts w:asciiTheme="minorHAnsi" w:hAnsiTheme="minorHAnsi" w:cstheme="minorHAnsi"/>
        </w:rPr>
        <w:t xml:space="preserve"> in Queensland</w:t>
      </w:r>
      <w:r>
        <w:rPr>
          <w:rFonts w:asciiTheme="minorHAnsi" w:hAnsiTheme="minorHAnsi" w:cstheme="minorHAnsi"/>
        </w:rPr>
        <w:t xml:space="preserve"> (</w:t>
      </w:r>
      <w:r w:rsidR="00F54F28" w:rsidRPr="00F54F28">
        <w:rPr>
          <w:rFonts w:asciiTheme="minorHAnsi" w:hAnsiTheme="minorHAnsi" w:cstheme="minorHAnsi"/>
          <w:b/>
        </w:rPr>
        <w:fldChar w:fldCharType="begin" w:fldLock="1"/>
      </w:r>
      <w:r w:rsidR="00F54F28" w:rsidRPr="00F54F28">
        <w:rPr>
          <w:rFonts w:asciiTheme="minorHAnsi" w:hAnsiTheme="minorHAnsi" w:cstheme="minorHAnsi"/>
          <w:b/>
        </w:rPr>
        <w:instrText xml:space="preserve"> REF _Ref393362413 \h </w:instrText>
      </w:r>
      <w:r w:rsidR="00F54F28">
        <w:rPr>
          <w:rFonts w:asciiTheme="minorHAnsi" w:hAnsiTheme="minorHAnsi" w:cstheme="minorHAnsi"/>
          <w:b/>
        </w:rPr>
        <w:instrText xml:space="preserve"> \* MERGEFORMAT </w:instrText>
      </w:r>
      <w:r w:rsidR="00F54F28" w:rsidRPr="00F54F28">
        <w:rPr>
          <w:rFonts w:asciiTheme="minorHAnsi" w:hAnsiTheme="minorHAnsi" w:cstheme="minorHAnsi"/>
          <w:b/>
        </w:rPr>
      </w:r>
      <w:r w:rsidR="00F54F28" w:rsidRPr="00F54F28">
        <w:rPr>
          <w:rFonts w:asciiTheme="minorHAnsi" w:hAnsiTheme="minorHAnsi" w:cstheme="minorHAnsi"/>
          <w:b/>
        </w:rPr>
        <w:fldChar w:fldCharType="separate"/>
      </w:r>
      <w:r w:rsidR="00FD0FD6" w:rsidRPr="00FD0FD6">
        <w:rPr>
          <w:b/>
        </w:rPr>
        <w:t xml:space="preserve">Figure </w:t>
      </w:r>
      <w:r w:rsidR="00FD0FD6" w:rsidRPr="00FD0FD6">
        <w:rPr>
          <w:b/>
          <w:noProof/>
        </w:rPr>
        <w:t>4</w:t>
      </w:r>
      <w:r w:rsidR="00F54F28" w:rsidRPr="00F54F28">
        <w:rPr>
          <w:rFonts w:asciiTheme="minorHAnsi" w:hAnsiTheme="minorHAnsi" w:cstheme="minorHAnsi"/>
          <w:b/>
        </w:rPr>
        <w:fldChar w:fldCharType="end"/>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2778CD">
        <w:rPr>
          <w:rFonts w:asciiTheme="minorHAnsi" w:hAnsiTheme="minorHAnsi" w:cstheme="minorHAnsi"/>
        </w:rPr>
        <w:t>,</w:t>
      </w:r>
      <w:r>
        <w:rPr>
          <w:rFonts w:asciiTheme="minorHAnsi" w:hAnsiTheme="minorHAnsi" w:cstheme="minorHAnsi"/>
        </w:rPr>
        <w:t xml:space="preserve"> such as patients travelling </w:t>
      </w:r>
      <w:r w:rsidR="00B81AFC">
        <w:rPr>
          <w:rFonts w:asciiTheme="minorHAnsi" w:hAnsiTheme="minorHAnsi" w:cstheme="minorHAnsi"/>
        </w:rPr>
        <w:t xml:space="preserve">to </w:t>
      </w:r>
      <w:r>
        <w:rPr>
          <w:rFonts w:asciiTheme="minorHAnsi" w:hAnsiTheme="minorHAnsi" w:cstheme="minorHAnsi"/>
        </w:rPr>
        <w:t>larger states for specialist treatment</w:t>
      </w:r>
      <w:r w:rsidRPr="008840EE">
        <w:rPr>
          <w:rFonts w:asciiTheme="minorHAnsi" w:hAnsiTheme="minorHAnsi" w:cstheme="minorHAnsi"/>
        </w:rPr>
        <w:t xml:space="preserve">.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w:t>
      </w:r>
      <w:r w:rsidR="00716977">
        <w:rPr>
          <w:rFonts w:asciiTheme="minorHAnsi" w:hAnsiTheme="minorHAnsi" w:cstheme="minorHAnsi"/>
        </w:rPr>
        <w:t>Ig</w:t>
      </w:r>
      <w:r w:rsidR="002778CD">
        <w:rPr>
          <w:rFonts w:asciiTheme="minorHAnsi" w:hAnsiTheme="minorHAnsi" w:cstheme="minorHAnsi"/>
        </w:rPr>
        <w:t xml:space="preserve">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sidRPr="00EA23EB">
        <w:rPr>
          <w:rFonts w:asciiTheme="minorHAnsi" w:hAnsiTheme="minorHAnsi" w:cstheme="minorHAnsi"/>
        </w:rPr>
        <w:t>is</w:t>
      </w:r>
      <w:r w:rsidRPr="00EA23EB">
        <w:rPr>
          <w:rFonts w:asciiTheme="minorHAnsi" w:hAnsiTheme="minorHAnsi" w:cstheme="minorHAnsi"/>
        </w:rPr>
        <w:t xml:space="preserve"> </w:t>
      </w:r>
      <w:r w:rsidR="00D04A1F" w:rsidRPr="00EA23EB">
        <w:rPr>
          <w:rFonts w:asciiTheme="minorHAnsi" w:hAnsiTheme="minorHAnsi" w:cstheme="minorHAnsi"/>
        </w:rPr>
        <w:t>2.</w:t>
      </w:r>
      <w:r w:rsidR="00EA23EB" w:rsidRPr="00EA23EB">
        <w:rPr>
          <w:rFonts w:asciiTheme="minorHAnsi" w:hAnsiTheme="minorHAnsi" w:cstheme="minorHAnsi"/>
        </w:rPr>
        <w:t>4</w:t>
      </w:r>
      <w:r w:rsidR="00D04A1F" w:rsidRPr="00EA23EB">
        <w:rPr>
          <w:rFonts w:asciiTheme="minorHAnsi" w:hAnsiTheme="minorHAnsi" w:cstheme="minorHAnsi"/>
        </w:rPr>
        <w:t xml:space="preserve"> </w:t>
      </w:r>
      <w:r w:rsidRPr="00EA23EB">
        <w:rPr>
          <w:rFonts w:asciiTheme="minorHAnsi" w:hAnsiTheme="minorHAnsi" w:cstheme="minorHAnsi"/>
        </w:rPr>
        <w:t xml:space="preserve">fold, ranging from </w:t>
      </w:r>
      <w:r w:rsidR="00AE12DC">
        <w:rPr>
          <w:rFonts w:asciiTheme="minorHAnsi" w:hAnsiTheme="minorHAnsi" w:cstheme="minorHAnsi"/>
        </w:rPr>
        <w:t>103.7</w:t>
      </w:r>
      <w:r w:rsidRPr="00EA23EB">
        <w:rPr>
          <w:rFonts w:asciiTheme="minorHAnsi" w:hAnsiTheme="minorHAnsi" w:cstheme="minorHAnsi"/>
        </w:rPr>
        <w:t xml:space="preserve"> grams per 1,000 population in Western Australia to </w:t>
      </w:r>
      <w:r w:rsidR="00AE12DC">
        <w:rPr>
          <w:rFonts w:asciiTheme="minorHAnsi" w:hAnsiTheme="minorHAnsi" w:cstheme="minorHAnsi"/>
        </w:rPr>
        <w:t>251.3</w:t>
      </w:r>
      <w:r>
        <w:rPr>
          <w:rFonts w:asciiTheme="minorHAnsi" w:hAnsiTheme="minorHAnsi" w:cstheme="minorHAnsi"/>
        </w:rPr>
        <w:t xml:space="preserve"> grams per </w:t>
      </w:r>
      <w:r w:rsidR="004B16D4">
        <w:rPr>
          <w:rFonts w:asciiTheme="minorHAnsi" w:hAnsiTheme="minorHAnsi" w:cstheme="minorHAnsi"/>
        </w:rPr>
        <w:t>1,000 population in Queensland.</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 The lower use may represent appropriate management and prescribing practices, or may represent a level of under</w:t>
      </w:r>
      <w:r w:rsidR="002C0EFF">
        <w:rPr>
          <w:rFonts w:asciiTheme="minorHAnsi" w:hAnsiTheme="minorHAnsi" w:cstheme="minorHAnsi"/>
        </w:rPr>
        <w:t>-</w:t>
      </w:r>
      <w:r>
        <w:rPr>
          <w:rFonts w:asciiTheme="minorHAnsi" w:hAnsiTheme="minorHAnsi" w:cstheme="minorHAnsi"/>
        </w:rPr>
        <w:t>diagnosis</w:t>
      </w:r>
      <w:r w:rsidR="001E45D0">
        <w:rPr>
          <w:rFonts w:asciiTheme="minorHAnsi" w:hAnsiTheme="minorHAnsi" w:cstheme="minorHAnsi"/>
        </w:rPr>
        <w:t>.</w:t>
      </w:r>
    </w:p>
    <w:p w:rsidR="002778CD" w:rsidRDefault="0076501A" w:rsidP="00A063D5">
      <w:pPr>
        <w:rPr>
          <w:rFonts w:asciiTheme="minorHAnsi" w:hAnsiTheme="minorHAnsi" w:cstheme="minorHAnsi"/>
        </w:rPr>
      </w:pPr>
      <w:r>
        <w:rPr>
          <w:rFonts w:asciiTheme="minorHAnsi" w:hAnsiTheme="minorHAnsi" w:cstheme="minorHAnsi"/>
        </w:rPr>
        <w:t>Ov</w:t>
      </w:r>
      <w:r w:rsidR="002B37DA">
        <w:rPr>
          <w:rFonts w:asciiTheme="minorHAnsi" w:hAnsiTheme="minorHAnsi" w:cstheme="minorHAnsi"/>
        </w:rPr>
        <w:t xml:space="preserve">er time, Western Australia </w:t>
      </w:r>
      <w:r>
        <w:rPr>
          <w:rFonts w:asciiTheme="minorHAnsi" w:hAnsiTheme="minorHAnsi" w:cstheme="minorHAnsi"/>
        </w:rPr>
        <w:t>has</w:t>
      </w:r>
      <w:r w:rsidRPr="008840EE">
        <w:rPr>
          <w:rFonts w:asciiTheme="minorHAnsi" w:hAnsiTheme="minorHAnsi" w:cstheme="minorHAnsi"/>
        </w:rPr>
        <w:t xml:space="preserve"> </w:t>
      </w:r>
      <w:r>
        <w:rPr>
          <w:rFonts w:asciiTheme="minorHAnsi" w:hAnsiTheme="minorHAnsi" w:cstheme="minorHAnsi"/>
        </w:rPr>
        <w:t xml:space="preserve">shown only slight increases in the number of grams issued per 1,000 </w:t>
      </w:r>
      <w:r w:rsidRPr="008840EE">
        <w:rPr>
          <w:rFonts w:asciiTheme="minorHAnsi" w:hAnsiTheme="minorHAnsi" w:cstheme="minorHAnsi"/>
        </w:rPr>
        <w:t>population</w:t>
      </w:r>
      <w:r>
        <w:rPr>
          <w:rFonts w:asciiTheme="minorHAnsi" w:hAnsiTheme="minorHAnsi" w:cstheme="minorHAnsi"/>
        </w:rPr>
        <w:t>, while most</w:t>
      </w:r>
      <w:r w:rsidRPr="008840EE">
        <w:rPr>
          <w:rFonts w:asciiTheme="minorHAnsi" w:hAnsiTheme="minorHAnsi" w:cstheme="minorHAnsi"/>
        </w:rPr>
        <w:t xml:space="preserve"> </w:t>
      </w:r>
      <w:r>
        <w:rPr>
          <w:rFonts w:asciiTheme="minorHAnsi" w:hAnsiTheme="minorHAnsi" w:cstheme="minorHAnsi"/>
        </w:rPr>
        <w:t>states and territories</w:t>
      </w:r>
      <w:r w:rsidRPr="008840EE">
        <w:rPr>
          <w:rFonts w:asciiTheme="minorHAnsi" w:hAnsiTheme="minorHAnsi" w:cstheme="minorHAnsi"/>
        </w:rPr>
        <w:t xml:space="preserve"> have seen a continued strong </w:t>
      </w:r>
      <w:r>
        <w:rPr>
          <w:rFonts w:asciiTheme="minorHAnsi" w:hAnsiTheme="minorHAnsi" w:cstheme="minorHAnsi"/>
        </w:rPr>
        <w:t xml:space="preserve">increase in </w:t>
      </w:r>
      <w:r w:rsidR="00716977">
        <w:rPr>
          <w:rFonts w:asciiTheme="minorHAnsi" w:hAnsiTheme="minorHAnsi" w:cstheme="minorHAnsi"/>
        </w:rPr>
        <w:t>Ig</w:t>
      </w:r>
      <w:r>
        <w:rPr>
          <w:rFonts w:asciiTheme="minorHAnsi" w:hAnsiTheme="minorHAnsi" w:cstheme="minorHAnsi"/>
        </w:rPr>
        <w:t xml:space="preserve"> issued per 1,000 </w:t>
      </w:r>
      <w:r w:rsidRPr="008840EE">
        <w:rPr>
          <w:rFonts w:asciiTheme="minorHAnsi" w:hAnsiTheme="minorHAnsi" w:cstheme="minorHAnsi"/>
        </w:rPr>
        <w:t>population.</w:t>
      </w:r>
    </w:p>
    <w:p w:rsidR="009F6FE9" w:rsidRDefault="00327659" w:rsidP="00F54F28">
      <w:r>
        <w:rPr>
          <w:noProof/>
          <w:lang w:eastAsia="en-AU"/>
        </w:rPr>
        <w:drawing>
          <wp:inline distT="0" distB="0" distL="0" distR="0" wp14:anchorId="66B87E9F" wp14:editId="4EDE9445">
            <wp:extent cx="5926455" cy="2654241"/>
            <wp:effectExtent l="0" t="0" r="1714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6FE9" w:rsidRDefault="009F6FE9" w:rsidP="009F6FE9">
      <w:pPr>
        <w:pStyle w:val="Caption"/>
      </w:pPr>
      <w:bookmarkStart w:id="43" w:name="_Ref386095469"/>
      <w:bookmarkStart w:id="44" w:name="_Toc390098183"/>
      <w:bookmarkStart w:id="45" w:name="_Ref393362413"/>
      <w:bookmarkStart w:id="46" w:name="_Toc456266169"/>
      <w:r>
        <w:t xml:space="preserve">Figure </w:t>
      </w:r>
      <w:fldSimple w:instr=" SEQ Figure \* ARABIC ">
        <w:r w:rsidR="00F3134D">
          <w:rPr>
            <w:noProof/>
          </w:rPr>
          <w:t>4</w:t>
        </w:r>
      </w:fldSimple>
      <w:bookmarkEnd w:id="43"/>
      <w:r>
        <w:tab/>
        <w:t xml:space="preserve">Grams of </w:t>
      </w:r>
      <w:r w:rsidR="00716977">
        <w:t>Ig</w:t>
      </w:r>
      <w:r>
        <w:t xml:space="preserve"> per 1,000 population by </w:t>
      </w:r>
      <w:r w:rsidR="00D50CEA">
        <w:t>state and territory</w:t>
      </w:r>
      <w:r>
        <w:t xml:space="preserve"> over time</w:t>
      </w:r>
      <w:bookmarkEnd w:id="44"/>
      <w:bookmarkEnd w:id="45"/>
      <w:bookmarkEnd w:id="46"/>
    </w:p>
    <w:p w:rsidR="009F6FE9" w:rsidRPr="009F4229" w:rsidRDefault="009F6FE9" w:rsidP="00A063D5"/>
    <w:p w:rsidR="00A063D5" w:rsidRDefault="00A063D5" w:rsidP="00A063D5">
      <w:pPr>
        <w:pStyle w:val="Heading2"/>
        <w:rPr>
          <w:lang w:val="en-GB"/>
        </w:rPr>
      </w:pPr>
      <w:bookmarkStart w:id="47" w:name="_Toc456267414"/>
      <w:r>
        <w:rPr>
          <w:lang w:val="en-GB"/>
        </w:rPr>
        <w:lastRenderedPageBreak/>
        <w:t>Age</w:t>
      </w:r>
      <w:bookmarkEnd w:id="47"/>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F3134D">
        <w:t xml:space="preserve">Figure </w:t>
      </w:r>
      <w:r w:rsidR="00F3134D">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009F79ED">
        <w:rPr>
          <w:lang w:val="en-GB"/>
        </w:rPr>
        <w:t>June</w:t>
      </w:r>
      <w:r>
        <w:rPr>
          <w:lang w:val="en-GB"/>
        </w:rPr>
        <w:t xml:space="preserve"> 201</w:t>
      </w:r>
      <w:r w:rsidR="009F79ED">
        <w:rPr>
          <w:lang w:val="en-GB"/>
        </w:rPr>
        <w:t>3</w:t>
      </w:r>
      <w:r w:rsidR="00E60CAF">
        <w:rPr>
          <w:rStyle w:val="FootnoteReference"/>
          <w:lang w:val="en-GB"/>
        </w:rPr>
        <w:footnoteReference w:id="1"/>
      </w:r>
      <w:r>
        <w:rPr>
          <w:lang w:val="en-GB"/>
        </w:rPr>
        <w:t>.</w:t>
      </w:r>
      <w:r w:rsidR="00705FE5">
        <w:rPr>
          <w:lang w:val="en-GB"/>
        </w:rPr>
        <w:t xml:space="preserve"> A bimodal peak can be seen in the </w:t>
      </w:r>
      <w:r w:rsidR="00716977">
        <w:rPr>
          <w:lang w:val="en-GB"/>
        </w:rPr>
        <w:t>Ig</w:t>
      </w:r>
      <w:r w:rsidR="00705FE5">
        <w:rPr>
          <w:lang w:val="en-GB"/>
        </w:rPr>
        <w:t xml:space="preserve"> population, with the majority of recipients either being very young, or over </w:t>
      </w:r>
      <w:r w:rsidR="009201D1">
        <w:rPr>
          <w:lang w:val="en-GB"/>
        </w:rPr>
        <w:t>55</w:t>
      </w:r>
      <w:r w:rsidR="00705FE5">
        <w:rPr>
          <w:lang w:val="en-GB"/>
        </w:rPr>
        <w:t xml:space="preserve">. </w:t>
      </w:r>
      <w:r w:rsidR="002778CD">
        <w:rPr>
          <w:lang w:val="en-GB"/>
        </w:rPr>
        <w:t xml:space="preserve">The ageing population is expected to place a greater burden on </w:t>
      </w:r>
      <w:r w:rsidR="00716977">
        <w:rPr>
          <w:lang w:val="en-GB"/>
        </w:rPr>
        <w:t>Ig</w:t>
      </w:r>
      <w:r w:rsidR="002778CD">
        <w:rPr>
          <w:lang w:val="en-GB"/>
        </w:rPr>
        <w:t xml:space="preserve"> demand into the future, with the proportion of the world’s population over 60 years expected to double between 2000 and 2050</w:t>
      </w:r>
      <w:r w:rsidR="00EE79E0">
        <w:rPr>
          <w:rStyle w:val="FootnoteReference"/>
          <w:lang w:val="en-GB"/>
        </w:rPr>
        <w:footnoteReference w:id="2"/>
      </w:r>
      <w:r w:rsidR="002778CD">
        <w:rPr>
          <w:lang w:val="en-GB"/>
        </w:rPr>
        <w:t>.</w:t>
      </w:r>
    </w:p>
    <w:p w:rsidR="00A063D5" w:rsidRDefault="00782C0B" w:rsidP="00A063D5">
      <w:r>
        <w:rPr>
          <w:noProof/>
          <w:lang w:eastAsia="en-AU"/>
        </w:rPr>
        <w:drawing>
          <wp:inline distT="0" distB="0" distL="0" distR="0" wp14:anchorId="4BEAF43B" wp14:editId="0FA85B1F">
            <wp:extent cx="5926455" cy="3555873"/>
            <wp:effectExtent l="0" t="0" r="17145" b="260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5FE5" w:rsidRDefault="00705FE5" w:rsidP="00705FE5">
      <w:pPr>
        <w:pStyle w:val="Caption"/>
      </w:pPr>
      <w:bookmarkStart w:id="48" w:name="_Ref253559300"/>
      <w:bookmarkStart w:id="49" w:name="_Toc390098184"/>
      <w:bookmarkStart w:id="50" w:name="_Toc456266170"/>
      <w:bookmarkStart w:id="51" w:name="_Toc353894311"/>
      <w:bookmarkStart w:id="52" w:name="_Toc353894441"/>
      <w:bookmarkStart w:id="53" w:name="_Toc361571423"/>
      <w:bookmarkStart w:id="54" w:name="_Toc364777004"/>
      <w:bookmarkStart w:id="55" w:name="_Ref375045551"/>
      <w:r>
        <w:t xml:space="preserve">Figure </w:t>
      </w:r>
      <w:r w:rsidR="00E5706B">
        <w:fldChar w:fldCharType="begin"/>
      </w:r>
      <w:r w:rsidR="000622C5">
        <w:instrText xml:space="preserve"> SEQ Figure \* ARABIC </w:instrText>
      </w:r>
      <w:r w:rsidR="00E5706B">
        <w:fldChar w:fldCharType="separate"/>
      </w:r>
      <w:r w:rsidR="00F3134D">
        <w:rPr>
          <w:noProof/>
        </w:rPr>
        <w:t>5</w:t>
      </w:r>
      <w:r w:rsidR="00E5706B">
        <w:rPr>
          <w:noProof/>
        </w:rPr>
        <w:fldChar w:fldCharType="end"/>
      </w:r>
      <w:bookmarkEnd w:id="48"/>
      <w:r w:rsidR="00810567">
        <w:rPr>
          <w:noProof/>
        </w:rPr>
        <w:tab/>
      </w:r>
      <w:r>
        <w:t>Patient age</w:t>
      </w:r>
      <w:r w:rsidR="000005AF">
        <w:t xml:space="preserve"> compared to average Australian age</w:t>
      </w:r>
      <w:bookmarkEnd w:id="49"/>
      <w:bookmarkEnd w:id="50"/>
    </w:p>
    <w:p w:rsidR="00A063D5" w:rsidRDefault="00A063D5" w:rsidP="00A063D5">
      <w:pPr>
        <w:pStyle w:val="Heading2"/>
      </w:pPr>
      <w:bookmarkStart w:id="56" w:name="_Toc456267415"/>
      <w:bookmarkEnd w:id="51"/>
      <w:bookmarkEnd w:id="52"/>
      <w:bookmarkEnd w:id="53"/>
      <w:bookmarkEnd w:id="54"/>
      <w:bookmarkEnd w:id="55"/>
      <w:r>
        <w:t>Weight</w:t>
      </w:r>
      <w:bookmarkEnd w:id="56"/>
    </w:p>
    <w:p w:rsidR="00705FE5" w:rsidRDefault="00716977" w:rsidP="00A063D5">
      <w:r>
        <w:t>Ig</w:t>
      </w:r>
      <w:r w:rsidR="00705FE5">
        <w:t xml:space="preserve"> dosing is </w:t>
      </w:r>
      <w:r w:rsidR="00AD423C">
        <w:t>dependent</w:t>
      </w:r>
      <w:r w:rsidR="00705FE5">
        <w:t xml:space="preserve"> on the weight of the patient. For immune replacement conditions, the patient weight determines the i</w:t>
      </w:r>
      <w:r w:rsidR="00AD423C">
        <w:t xml:space="preserve">nitial </w:t>
      </w:r>
      <w:r w:rsidR="007E77BD">
        <w:t>dosing</w:t>
      </w:r>
      <w:r w:rsidR="00AD423C">
        <w:t xml:space="preserve">, with </w:t>
      </w:r>
      <w:r w:rsidR="007E77BD">
        <w:t>maintenance therapy titrated against</w:t>
      </w:r>
      <w:r w:rsidR="00705FE5">
        <w:t xml:space="preserve"> IgG levels</w:t>
      </w:r>
      <w:r w:rsidR="007E77BD">
        <w:t xml:space="preserve"> and the patient’s clinical response to therapy</w:t>
      </w:r>
      <w:r w:rsidR="00705FE5">
        <w:t xml:space="preserve">. However, for conditions where </w:t>
      </w:r>
      <w:r>
        <w:t>Ig</w:t>
      </w:r>
      <w:r w:rsidR="00705FE5">
        <w:t xml:space="preserve"> is used for its immunomodulatory properties, the </w:t>
      </w:r>
      <w:r w:rsidR="00705FE5" w:rsidRPr="00C67B20">
        <w:rPr>
          <w:i/>
        </w:rPr>
        <w:t>Criteria</w:t>
      </w:r>
      <w:r w:rsidR="00705FE5">
        <w:t xml:space="preserve"> limits the dose </w:t>
      </w:r>
      <w:r w:rsidR="0059178E">
        <w:t xml:space="preserve">that can be prescribed </w:t>
      </w:r>
      <w:r w:rsidR="00705FE5">
        <w:t>based on the patient weight</w:t>
      </w:r>
      <w:r w:rsidR="007E77BD">
        <w:t xml:space="preserve"> alone</w:t>
      </w:r>
      <w:r w:rsidR="00705FE5">
        <w:t>.</w:t>
      </w:r>
    </w:p>
    <w:p w:rsidR="004F3B5D" w:rsidRDefault="00012463" w:rsidP="004F3B5D">
      <w:bookmarkStart w:id="57" w:name="_Toc353894314"/>
      <w:bookmarkStart w:id="58" w:name="_Toc353894444"/>
      <w:bookmarkStart w:id="59" w:name="_Toc361571425"/>
      <w:bookmarkStart w:id="60" w:name="_Toc364777007"/>
      <w:r>
        <w:rPr>
          <w:noProof/>
          <w:lang w:eastAsia="en-AU"/>
        </w:rPr>
        <w:lastRenderedPageBreak/>
        <w:drawing>
          <wp:inline distT="0" distB="0" distL="0" distR="0" wp14:anchorId="48BC6604" wp14:editId="7EA2724E">
            <wp:extent cx="5926455" cy="2635880"/>
            <wp:effectExtent l="0" t="0" r="17145"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3B5D" w:rsidRDefault="002B37DA" w:rsidP="002B37DA">
      <w:pPr>
        <w:pStyle w:val="Caption"/>
      </w:pPr>
      <w:bookmarkStart w:id="61" w:name="_Ref380064918"/>
      <w:bookmarkStart w:id="62" w:name="_Toc390098185"/>
      <w:bookmarkStart w:id="63" w:name="_Toc456266171"/>
      <w:bookmarkEnd w:id="57"/>
      <w:bookmarkEnd w:id="58"/>
      <w:bookmarkEnd w:id="59"/>
      <w:bookmarkEnd w:id="60"/>
      <w:r>
        <w:t xml:space="preserve">Figure </w:t>
      </w:r>
      <w:fldSimple w:instr=" SEQ Figure \* ARABIC ">
        <w:r w:rsidR="00F3134D">
          <w:rPr>
            <w:noProof/>
          </w:rPr>
          <w:t>6</w:t>
        </w:r>
      </w:fldSimple>
      <w:r w:rsidR="004F3B5D">
        <w:tab/>
      </w:r>
      <w:r w:rsidR="004F3B5D" w:rsidRPr="00380D9D">
        <w:t>Patient weights relative to Australian average</w:t>
      </w:r>
      <w:bookmarkEnd w:id="61"/>
      <w:bookmarkEnd w:id="62"/>
      <w:bookmarkEnd w:id="63"/>
    </w:p>
    <w:p w:rsidR="00B73B10" w:rsidRPr="00012463" w:rsidRDefault="00B73B10" w:rsidP="009E2976">
      <w:pPr>
        <w:rPr>
          <w:sz w:val="18"/>
          <w:szCs w:val="18"/>
        </w:rPr>
      </w:pPr>
      <w:r w:rsidRPr="00012463">
        <w:rPr>
          <w:rStyle w:val="SubtleEmphasis"/>
          <w:sz w:val="18"/>
          <w:szCs w:val="18"/>
        </w:rPr>
        <w:t>Note: The above figure calculations relate to only 2014-15 patients unlike previous reports where it included multiple years of data</w:t>
      </w:r>
      <w:r w:rsidRPr="00012463">
        <w:rPr>
          <w:sz w:val="18"/>
          <w:szCs w:val="18"/>
        </w:rPr>
        <w:t xml:space="preserve"> </w:t>
      </w:r>
    </w:p>
    <w:p w:rsidR="00973667" w:rsidRDefault="00E5706B" w:rsidP="009E2976">
      <w:pPr>
        <w:rPr>
          <w:i/>
        </w:rPr>
      </w:pPr>
      <w:r>
        <w:fldChar w:fldCharType="begin" w:fldLock="1"/>
      </w:r>
      <w:r w:rsidR="009E2976">
        <w:instrText xml:space="preserve"> REF _Ref380064918 \h </w:instrText>
      </w:r>
      <w:r>
        <w:fldChar w:fldCharType="separate"/>
      </w:r>
      <w:r w:rsidR="00D6061B">
        <w:t xml:space="preserve">Figure </w:t>
      </w:r>
      <w:r w:rsidR="00D6061B">
        <w:rPr>
          <w:noProof/>
        </w:rPr>
        <w:t>6</w:t>
      </w:r>
      <w:r w:rsidR="00D6061B">
        <w:tab/>
      </w:r>
      <w:r>
        <w:fldChar w:fldCharType="end"/>
      </w:r>
      <w:r w:rsidR="00E60CAF">
        <w:t xml:space="preserve"> </w:t>
      </w:r>
      <w:r w:rsidR="0073216D">
        <w:t>compares the</w:t>
      </w:r>
      <w:r w:rsidR="009E2976">
        <w:t xml:space="preserve"> weight </w:t>
      </w:r>
      <w:r w:rsidR="0073216D">
        <w:t xml:space="preserve">of </w:t>
      </w:r>
      <w:r w:rsidR="00716977">
        <w:t>Ig</w:t>
      </w:r>
      <w:r w:rsidR="0073216D">
        <w:t xml:space="preserve"> recipients in Australia </w:t>
      </w:r>
      <w:r w:rsidR="00196A3B">
        <w:t xml:space="preserve">and </w:t>
      </w:r>
      <w:r w:rsidR="00CE3B21">
        <w:t>the Australian population</w:t>
      </w:r>
      <w:r w:rsidR="00CE3B21">
        <w:rPr>
          <w:rStyle w:val="FootnoteReference"/>
        </w:rPr>
        <w:footnoteReference w:id="3"/>
      </w:r>
      <w:r w:rsidR="009E2976">
        <w:t>.</w:t>
      </w:r>
      <w:r w:rsidR="0059178E">
        <w:t xml:space="preserve"> </w:t>
      </w:r>
      <w:r w:rsidR="00973667">
        <w:t>There</w:t>
      </w:r>
      <w:r w:rsidR="00A109E8">
        <w:t xml:space="preserve"> is</w:t>
      </w:r>
      <w:r w:rsidR="00973667">
        <w:t xml:space="preserve"> a higher proportion of patients treated with </w:t>
      </w:r>
      <w:r w:rsidR="00716977">
        <w:t>Ig</w:t>
      </w:r>
      <w:r w:rsidR="00973667">
        <w:t xml:space="preserve"> less than 5</w:t>
      </w:r>
      <w:r w:rsidR="009201D1">
        <w:t>5</w:t>
      </w:r>
      <w:r w:rsidR="00973667">
        <w:t>kg relative to the proportion in the Australian population. The average weight of</w:t>
      </w:r>
      <w:r w:rsidR="00F61CDB">
        <w:t xml:space="preserve"> adult </w:t>
      </w:r>
      <w:r w:rsidR="00716977">
        <w:t>Ig</w:t>
      </w:r>
      <w:r w:rsidR="00F61CDB">
        <w:t xml:space="preserve"> patients (</w:t>
      </w:r>
      <w:r w:rsidR="009F79ED">
        <w:t>77.</w:t>
      </w:r>
      <w:r w:rsidR="002F7FA0">
        <w:t>6</w:t>
      </w:r>
      <w:r w:rsidR="00973667">
        <w:t xml:space="preserve"> kg) is </w:t>
      </w:r>
      <w:r w:rsidR="00507B65">
        <w:t xml:space="preserve">slightly </w:t>
      </w:r>
      <w:r w:rsidR="002F7FA0">
        <w:t>lower</w:t>
      </w:r>
      <w:r w:rsidR="00973667">
        <w:t xml:space="preserve"> than the average w</w:t>
      </w:r>
      <w:r w:rsidR="00F45B12">
        <w:t>eight of an Australian adult (</w:t>
      </w:r>
      <w:r w:rsidR="009F79ED">
        <w:t>77.7</w:t>
      </w:r>
      <w:r w:rsidR="00507B65">
        <w:t xml:space="preserve"> kg</w:t>
      </w:r>
      <w:r w:rsidR="00973667">
        <w:rPr>
          <w:rStyle w:val="FootnoteReference"/>
        </w:rPr>
        <w:footnoteReference w:id="4"/>
      </w:r>
      <w:r w:rsidR="00973667">
        <w:t>).</w:t>
      </w:r>
      <w:r w:rsidR="0073216D">
        <w:t xml:space="preserve"> </w:t>
      </w:r>
      <w:r w:rsidR="0059178E">
        <w:t>G</w:t>
      </w:r>
      <w:r w:rsidR="0073216D">
        <w:t>iven that studies suggest that 63% of Australians are overweight or obese</w:t>
      </w:r>
      <w:r w:rsidR="00E60CAF">
        <w:rPr>
          <w:rStyle w:val="FootnoteReference"/>
        </w:rPr>
        <w:footnoteReference w:id="5"/>
      </w:r>
      <w:r w:rsidR="0073216D">
        <w:t xml:space="preserve">, the similarity in weight profiles </w:t>
      </w:r>
      <w:r w:rsidR="0059178E">
        <w:t xml:space="preserve">between </w:t>
      </w:r>
      <w:r w:rsidR="00716977">
        <w:t>Ig</w:t>
      </w:r>
      <w:r w:rsidR="0059178E">
        <w:t xml:space="preserve"> recipients and the Australian population </w:t>
      </w:r>
      <w:r w:rsidR="0073216D">
        <w:t xml:space="preserve">suggests that a large proportion of </w:t>
      </w:r>
      <w:r w:rsidR="00716977">
        <w:t>Ig</w:t>
      </w:r>
      <w:r w:rsidR="0073216D">
        <w:t xml:space="preserve"> recipients may also be overweight. While the current </w:t>
      </w:r>
      <w:r w:rsidR="0073216D">
        <w:rPr>
          <w:i/>
        </w:rPr>
        <w:t xml:space="preserve">Criteria </w:t>
      </w:r>
      <w:r w:rsidR="0073216D">
        <w:t xml:space="preserve">provides for dosing based on body weight, some </w:t>
      </w:r>
      <w:r w:rsidR="00030DAD">
        <w:t xml:space="preserve">limited </w:t>
      </w:r>
      <w:r w:rsidR="0073216D">
        <w:t xml:space="preserve">studies suggest that dosing on lean body weight (ideal body weight) may be more appropriate. A small pilot study in Western Australia </w:t>
      </w:r>
      <w:r w:rsidR="00030DAD">
        <w:t xml:space="preserve">focussing on a narrow range of conditions </w:t>
      </w:r>
      <w:r w:rsidR="0073216D">
        <w:t xml:space="preserve">suggested reductions of </w:t>
      </w:r>
      <w:r w:rsidR="00716977">
        <w:t>Ig</w:t>
      </w:r>
      <w:r w:rsidR="0073216D">
        <w:t xml:space="preserve"> dose of between 2.4% and 4.2% were achieved using </w:t>
      </w:r>
      <w:r w:rsidR="0059178E">
        <w:t>a lean body dosing</w:t>
      </w:r>
      <w:r w:rsidR="0073216D">
        <w:t xml:space="preserve"> methodology</w:t>
      </w:r>
      <w:r w:rsidR="00C87084">
        <w:rPr>
          <w:rStyle w:val="FootnoteReference"/>
        </w:rPr>
        <w:footnoteReference w:id="6"/>
      </w:r>
      <w:r w:rsidR="00EE79E0">
        <w:t>.</w:t>
      </w:r>
      <w:r w:rsidR="0073216D">
        <w:t xml:space="preserve"> </w:t>
      </w:r>
      <w:r w:rsidR="00030DAD">
        <w:t xml:space="preserve">However, this has not been published in peer review literature, was not </w:t>
      </w:r>
      <w:r w:rsidR="00C87084">
        <w:t>a randomised controlled trial</w:t>
      </w:r>
      <w:r w:rsidR="0059178E">
        <w:t>, and did not discuss whether there were differences in clinical outcomes between the two groups</w:t>
      </w:r>
      <w:r w:rsidR="00C87084">
        <w:t>.</w:t>
      </w:r>
      <w:r w:rsidR="0059178E">
        <w:t xml:space="preserve"> </w:t>
      </w:r>
      <w:r w:rsidR="0050781C">
        <w:t>With an increasingly obese population, we can expect increases in demand if total (rather than lean) body weight dosing is continued and r</w:t>
      </w:r>
      <w:r w:rsidR="0059178E">
        <w:t xml:space="preserve">eview of the literature relating to lean body mass dosing should be considered for future iterations of the </w:t>
      </w:r>
      <w:r w:rsidR="0059178E">
        <w:rPr>
          <w:i/>
        </w:rPr>
        <w:t>Criteria.</w:t>
      </w:r>
    </w:p>
    <w:p w:rsidR="000E2E10" w:rsidRPr="000E2E10" w:rsidRDefault="000E2E10" w:rsidP="009E2976">
      <w:r w:rsidRPr="000E2E10">
        <w:t xml:space="preserve">It </w:t>
      </w:r>
      <w:r>
        <w:t>should be noted that care should be taken when analysing the weights, not all patients have weight recorded and for those that do the weight recorded may not be recent.</w:t>
      </w:r>
    </w:p>
    <w:p w:rsidR="008907BD" w:rsidRPr="0006087D" w:rsidRDefault="00566E89" w:rsidP="004B7E22">
      <w:pPr>
        <w:pStyle w:val="Heading1"/>
      </w:pPr>
      <w:bookmarkStart w:id="64" w:name="_Toc456267416"/>
      <w:r>
        <w:lastRenderedPageBreak/>
        <w:t>Expenditure</w:t>
      </w:r>
      <w:bookmarkEnd w:id="64"/>
    </w:p>
    <w:p w:rsidR="00094213" w:rsidRPr="00D70F49" w:rsidRDefault="00457C77" w:rsidP="00D70F49">
      <w:pPr>
        <w:pStyle w:val="CommentText"/>
        <w:rPr>
          <w:sz w:val="22"/>
          <w:szCs w:val="22"/>
        </w:rPr>
      </w:pPr>
      <w:r>
        <w:rPr>
          <w:sz w:val="22"/>
          <w:szCs w:val="22"/>
        </w:rPr>
        <w:t>In 201</w:t>
      </w:r>
      <w:r w:rsidR="0093315D">
        <w:rPr>
          <w:sz w:val="22"/>
          <w:szCs w:val="22"/>
        </w:rPr>
        <w:t>4</w:t>
      </w:r>
      <w:r>
        <w:rPr>
          <w:sz w:val="22"/>
          <w:szCs w:val="22"/>
        </w:rPr>
        <w:t>-1</w:t>
      </w:r>
      <w:r w:rsidR="0093315D">
        <w:rPr>
          <w:sz w:val="22"/>
          <w:szCs w:val="22"/>
        </w:rPr>
        <w:t>5</w:t>
      </w:r>
      <w:r>
        <w:rPr>
          <w:sz w:val="22"/>
          <w:szCs w:val="22"/>
        </w:rPr>
        <w:t>, Australian</w:t>
      </w:r>
      <w:r w:rsidR="000C507C" w:rsidRPr="00C87084">
        <w:rPr>
          <w:sz w:val="22"/>
          <w:szCs w:val="22"/>
        </w:rPr>
        <w:t xml:space="preserve"> </w:t>
      </w:r>
      <w:r w:rsidR="00B25E08">
        <w:rPr>
          <w:sz w:val="22"/>
          <w:szCs w:val="22"/>
        </w:rPr>
        <w:t xml:space="preserve">expenditure on </w:t>
      </w:r>
      <w:r w:rsidR="00716977">
        <w:rPr>
          <w:sz w:val="22"/>
          <w:szCs w:val="22"/>
        </w:rPr>
        <w:t>Ig</w:t>
      </w:r>
      <w:r w:rsidR="00B25E08">
        <w:rPr>
          <w:sz w:val="22"/>
          <w:szCs w:val="22"/>
        </w:rPr>
        <w:t xml:space="preserve"> products was</w:t>
      </w:r>
      <w:r w:rsidR="000C507C" w:rsidRPr="00C87084">
        <w:rPr>
          <w:sz w:val="22"/>
          <w:szCs w:val="22"/>
        </w:rPr>
        <w:t xml:space="preserve"> </w:t>
      </w:r>
      <w:r w:rsidR="00B46D1F" w:rsidRPr="00C87084">
        <w:rPr>
          <w:sz w:val="22"/>
          <w:szCs w:val="22"/>
        </w:rPr>
        <w:t>$</w:t>
      </w:r>
      <w:r w:rsidR="0093315D">
        <w:rPr>
          <w:sz w:val="22"/>
          <w:szCs w:val="22"/>
        </w:rPr>
        <w:t>273.1</w:t>
      </w:r>
      <w:r w:rsidR="00030DAD" w:rsidRPr="00C87084">
        <w:rPr>
          <w:sz w:val="22"/>
          <w:szCs w:val="22"/>
        </w:rPr>
        <w:t xml:space="preserve"> </w:t>
      </w:r>
      <w:r w:rsidR="00B46D1F" w:rsidRPr="00C87084">
        <w:rPr>
          <w:sz w:val="22"/>
          <w:szCs w:val="22"/>
        </w:rPr>
        <w:t>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w:t>
      </w:r>
      <w:r w:rsidR="00A109E8">
        <w:rPr>
          <w:sz w:val="22"/>
          <w:szCs w:val="22"/>
        </w:rPr>
        <w:t>211.0</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sidR="00B25E08">
        <w:rPr>
          <w:sz w:val="22"/>
          <w:szCs w:val="22"/>
        </w:rPr>
        <w:t xml:space="preserve">for fractionation </w:t>
      </w:r>
      <w:r w:rsidR="002C146D">
        <w:rPr>
          <w:sz w:val="22"/>
          <w:szCs w:val="22"/>
        </w:rPr>
        <w:t>(</w:t>
      </w:r>
      <w:r w:rsidR="00A109E8">
        <w:rPr>
          <w:sz w:val="22"/>
          <w:szCs w:val="22"/>
        </w:rPr>
        <w:t>excluding</w:t>
      </w:r>
      <w:r w:rsidR="002C146D">
        <w:rPr>
          <w:sz w:val="22"/>
          <w:szCs w:val="22"/>
        </w:rPr>
        <w:t xml:space="preserve"> hyperimmune</w:t>
      </w:r>
      <w:r w:rsidR="00A109E8">
        <w:rPr>
          <w:sz w:val="22"/>
          <w:szCs w:val="22"/>
        </w:rPr>
        <w:t xml:space="preserve"> plasma for fractionation</w:t>
      </w:r>
      <w:r w:rsidR="002C146D">
        <w:rPr>
          <w:sz w:val="22"/>
          <w:szCs w:val="22"/>
        </w:rPr>
        <w:t xml:space="preserve">) </w:t>
      </w:r>
      <w:r w:rsidR="00B46D1F" w:rsidRPr="00C87084">
        <w:rPr>
          <w:sz w:val="22"/>
          <w:szCs w:val="22"/>
        </w:rPr>
        <w:t>collected by the Blood Service.</w:t>
      </w:r>
    </w:p>
    <w:p w:rsidR="007D6E1A" w:rsidRDefault="00EB5FD7" w:rsidP="008A36DF">
      <w:r>
        <w:t>T</w:t>
      </w:r>
      <w:r w:rsidR="007D6E1A">
        <w:t xml:space="preserve">he cost of </w:t>
      </w:r>
      <w:r w:rsidR="00716977">
        <w:t>Ig</w:t>
      </w:r>
      <w:r w:rsidR="007D6E1A">
        <w:t xml:space="preserve"> </w:t>
      </w:r>
      <w:r w:rsidR="00B25E08">
        <w:t>as a proportion of</w:t>
      </w:r>
      <w:r w:rsidR="000C507C">
        <w:t xml:space="preserve"> the national blood budget</w:t>
      </w:r>
      <w:r>
        <w:t xml:space="preserve"> is shown at </w:t>
      </w:r>
      <w:r w:rsidR="00094213">
        <w:fldChar w:fldCharType="begin" w:fldLock="1"/>
      </w:r>
      <w:r w:rsidR="00094213">
        <w:instrText xml:space="preserve"> REF _Ref393369871 \h </w:instrText>
      </w:r>
      <w:r w:rsidR="00094213">
        <w:fldChar w:fldCharType="separate"/>
      </w:r>
      <w:r w:rsidR="00D6061B">
        <w:t xml:space="preserve">Figure </w:t>
      </w:r>
      <w:r w:rsidR="00D6061B">
        <w:rPr>
          <w:noProof/>
        </w:rPr>
        <w:t>7</w:t>
      </w:r>
      <w:r w:rsidR="00094213">
        <w:fldChar w:fldCharType="end"/>
      </w:r>
      <w:r w:rsidR="007D6E1A">
        <w:t xml:space="preserve">. </w:t>
      </w:r>
      <w:r w:rsidR="00716977">
        <w:t>Ig</w:t>
      </w:r>
      <w:r w:rsidR="008E58DA">
        <w:t xml:space="preserve"> is the second largest budget item</w:t>
      </w:r>
      <w:r w:rsidR="000C507C">
        <w:t>,</w:t>
      </w:r>
      <w:r w:rsidR="008E58DA">
        <w:t xml:space="preserve"> </w:t>
      </w:r>
      <w:r w:rsidR="000C507C">
        <w:t>representing</w:t>
      </w:r>
      <w:r w:rsidR="008E58DA">
        <w:t xml:space="preserve"> </w:t>
      </w:r>
      <w:r w:rsidR="00C47BC9">
        <w:t>2</w:t>
      </w:r>
      <w:r w:rsidR="00327659">
        <w:t>6</w:t>
      </w:r>
      <w:r w:rsidR="008E58DA">
        <w:t>%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w:t>
      </w:r>
      <w:r w:rsidR="00716977">
        <w:t>Ig</w:t>
      </w:r>
      <w:r w:rsidR="006F7EF4">
        <w:t xml:space="preserve"> accounts for </w:t>
      </w:r>
      <w:r w:rsidR="00C47BC9">
        <w:t>4</w:t>
      </w:r>
      <w:r w:rsidR="0093315D">
        <w:t>7</w:t>
      </w:r>
      <w:r w:rsidR="00CB4483">
        <w:t>.</w:t>
      </w:r>
      <w:r w:rsidR="0093315D">
        <w:t>9</w:t>
      </w:r>
      <w:r w:rsidR="006F7EF4">
        <w:t>% of the total blood budg</w:t>
      </w:r>
      <w:r w:rsidR="00622469">
        <w:t xml:space="preserve">et, at a total expenditure of </w:t>
      </w:r>
      <w:r w:rsidR="00622469" w:rsidRPr="00CB4483">
        <w:t>$</w:t>
      </w:r>
      <w:r w:rsidR="00CB4483">
        <w:t>4</w:t>
      </w:r>
      <w:r w:rsidR="0093315D">
        <w:t>98</w:t>
      </w:r>
      <w:r w:rsidR="00CB4483">
        <w:t>.</w:t>
      </w:r>
      <w:r w:rsidR="0093315D">
        <w:t>9</w:t>
      </w:r>
      <w:r w:rsidR="008D3546">
        <w:t xml:space="preserve"> </w:t>
      </w:r>
      <w:r w:rsidR="00622469">
        <w:t>m</w:t>
      </w:r>
      <w:r w:rsidR="000C507C">
        <w:t>illion</w:t>
      </w:r>
      <w:r w:rsidR="008D3546">
        <w:t xml:space="preserve"> (</w:t>
      </w:r>
      <w:r w:rsidR="00E04C57">
        <w:t>in</w:t>
      </w:r>
      <w:r w:rsidR="008D3546">
        <w:t>cluding hyperimmune</w:t>
      </w:r>
      <w:r w:rsidR="00A109E8">
        <w:t xml:space="preserve"> plasma for fractionation</w:t>
      </w:r>
      <w:r w:rsidR="008D3546">
        <w:t>)</w:t>
      </w:r>
      <w:r w:rsidR="004B16D4">
        <w:t>.</w:t>
      </w:r>
    </w:p>
    <w:p w:rsidR="00B25E08" w:rsidRDefault="00782C0B" w:rsidP="00735C1D">
      <w:r>
        <w:rPr>
          <w:noProof/>
          <w:lang w:eastAsia="en-AU"/>
        </w:rPr>
        <w:drawing>
          <wp:inline distT="0" distB="0" distL="0" distR="0" wp14:anchorId="390805C9" wp14:editId="03D2B5A2">
            <wp:extent cx="5667375" cy="3421811"/>
            <wp:effectExtent l="0" t="0" r="9525" b="266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0F49" w:rsidRDefault="00D70F49" w:rsidP="00D70F49">
      <w:pPr>
        <w:pStyle w:val="Caption"/>
      </w:pPr>
      <w:bookmarkStart w:id="65" w:name="_Ref393369871"/>
      <w:bookmarkStart w:id="66" w:name="_Toc456266172"/>
      <w:r>
        <w:t xml:space="preserve">Figure </w:t>
      </w:r>
      <w:fldSimple w:instr=" SEQ Figure \* ARABIC ">
        <w:r w:rsidR="00F3134D">
          <w:rPr>
            <w:noProof/>
          </w:rPr>
          <w:t>7</w:t>
        </w:r>
      </w:fldSimple>
      <w:r w:rsidR="003A7E26">
        <w:tab/>
      </w:r>
      <w:r w:rsidR="00716977">
        <w:t>Ig</w:t>
      </w:r>
      <w:r w:rsidRPr="00B45C85">
        <w:t xml:space="preserve"> expenditure as a proportion of the national blood budget</w:t>
      </w:r>
      <w:bookmarkEnd w:id="65"/>
      <w:bookmarkEnd w:id="66"/>
    </w:p>
    <w:p w:rsidR="00FE6476" w:rsidRDefault="00FE6476" w:rsidP="00735C1D"/>
    <w:p w:rsidR="009B1399" w:rsidRDefault="006A3E1B" w:rsidP="00735C1D">
      <w:r>
        <w:t xml:space="preserve">Of </w:t>
      </w:r>
      <w:r w:rsidR="00B25E08">
        <w:t xml:space="preserve">the </w:t>
      </w:r>
      <w:r w:rsidR="00716977">
        <w:t>Ig</w:t>
      </w:r>
      <w:r>
        <w:t xml:space="preserve"> supplied under national blood arrangements in Australia, </w:t>
      </w:r>
      <w:r w:rsidR="00735C1D" w:rsidRPr="00C6435D">
        <w:t>6</w:t>
      </w:r>
      <w:r w:rsidR="0093315D">
        <w:t>0</w:t>
      </w:r>
      <w:r w:rsidR="00735C1D" w:rsidRPr="00C6435D">
        <w:t>% (</w:t>
      </w:r>
      <w:r w:rsidR="00C6435D">
        <w:t>2,</w:t>
      </w:r>
      <w:r w:rsidR="0093315D">
        <w:t>659</w:t>
      </w:r>
      <w:r w:rsidR="00C6435D">
        <w:t>,</w:t>
      </w:r>
      <w:r w:rsidR="0093315D">
        <w:t>462</w:t>
      </w:r>
      <w:r w:rsidR="00735C1D">
        <w:t xml:space="preserve"> grams) </w:t>
      </w:r>
      <w:r>
        <w:t>was manufactured domestically</w:t>
      </w:r>
      <w:r w:rsidR="00735C1D">
        <w:t xml:space="preserve"> and </w:t>
      </w:r>
      <w:r w:rsidR="0093315D">
        <w:t>40</w:t>
      </w:r>
      <w:r w:rsidR="00735C1D" w:rsidRPr="00C6435D">
        <w:t>% (</w:t>
      </w:r>
      <w:r w:rsidR="00C6435D">
        <w:t>1,</w:t>
      </w:r>
      <w:r w:rsidR="0093315D">
        <w:t>773</w:t>
      </w:r>
      <w:r w:rsidR="00C6435D">
        <w:t>,</w:t>
      </w:r>
      <w:r w:rsidR="0093315D">
        <w:t>683</w:t>
      </w:r>
      <w:r w:rsidR="00735C1D">
        <w:t xml:space="preserve"> grams) was imported from overseas</w:t>
      </w:r>
      <w:r>
        <w:t>.</w:t>
      </w:r>
      <w:r w:rsidR="00735C1D">
        <w:t xml:space="preserve"> </w:t>
      </w:r>
      <w:r>
        <w:t xml:space="preserve">This </w:t>
      </w:r>
      <w:r w:rsidR="00735C1D">
        <w:t>represent</w:t>
      </w:r>
      <w:r>
        <w:t xml:space="preserve">s </w:t>
      </w:r>
      <w:r w:rsidR="00735C1D">
        <w:t>a</w:t>
      </w:r>
      <w:r w:rsidR="00B25E08">
        <w:t xml:space="preserve"> </w:t>
      </w:r>
      <w:r w:rsidR="0093315D">
        <w:t>36.7</w:t>
      </w:r>
      <w:r w:rsidR="00B25E08">
        <w:t>%</w:t>
      </w:r>
      <w:r w:rsidR="00735C1D">
        <w:t xml:space="preserve"> </w:t>
      </w:r>
      <w:r w:rsidR="0093315D">
        <w:t>increase</w:t>
      </w:r>
      <w:r w:rsidR="00735C1D">
        <w:t xml:space="preserve"> in pro</w:t>
      </w:r>
      <w:r w:rsidR="00B25E08">
        <w:t>duct importation since 201</w:t>
      </w:r>
      <w:r w:rsidR="0093315D">
        <w:t>3</w:t>
      </w:r>
      <w:r w:rsidR="00B25E08">
        <w:t>-1</w:t>
      </w:r>
      <w:r w:rsidR="0093315D">
        <w:t>4</w:t>
      </w:r>
      <w:r w:rsidR="006C4249">
        <w:t xml:space="preserve"> (</w:t>
      </w:r>
      <w:r w:rsidR="0093315D">
        <w:t>476</w:t>
      </w:r>
      <w:r w:rsidR="00C6435D" w:rsidRPr="00C6435D">
        <w:t>,</w:t>
      </w:r>
      <w:r w:rsidR="0093315D">
        <w:t>604</w:t>
      </w:r>
      <w:r w:rsidR="006C4249" w:rsidRPr="00C6435D">
        <w:t xml:space="preserve"> grams</w:t>
      </w:r>
      <w:r w:rsidR="006C4249">
        <w:t>)</w:t>
      </w:r>
      <w:r w:rsidR="00735C1D">
        <w:t xml:space="preserve"> (</w:t>
      </w:r>
      <w:r w:rsidR="00E00135">
        <w:fldChar w:fldCharType="begin"/>
      </w:r>
      <w:r w:rsidR="00E00135">
        <w:instrText xml:space="preserve"> REF _Ref254189034 \h </w:instrText>
      </w:r>
      <w:r w:rsidR="00E00135">
        <w:fldChar w:fldCharType="separate"/>
      </w:r>
      <w:r w:rsidR="00F3134D">
        <w:t xml:space="preserve">Table </w:t>
      </w:r>
      <w:r w:rsidR="00F3134D">
        <w:rPr>
          <w:noProof/>
        </w:rPr>
        <w:t>5</w:t>
      </w:r>
      <w:r w:rsidR="00E00135">
        <w:fldChar w:fldCharType="end"/>
      </w:r>
      <w:r w:rsidR="000C507C">
        <w:t>).</w:t>
      </w:r>
      <w:r>
        <w:t xml:space="preserve"> </w:t>
      </w:r>
      <w:r w:rsidR="00EE79E0">
        <w:t xml:space="preserve">Domestic supply is driven by the amount of plasma for fractionation collected in Australia and this increased by </w:t>
      </w:r>
      <w:r w:rsidR="00F841C5">
        <w:t>4.9</w:t>
      </w:r>
      <w:r w:rsidR="00EE79E0">
        <w:t>% in 201</w:t>
      </w:r>
      <w:r w:rsidR="00F841C5">
        <w:t>4</w:t>
      </w:r>
      <w:r w:rsidR="00EE79E0">
        <w:t>-1</w:t>
      </w:r>
      <w:r w:rsidR="00F841C5">
        <w:t>5</w:t>
      </w:r>
      <w:r w:rsidR="00EE79E0">
        <w:t xml:space="preserve"> over 201</w:t>
      </w:r>
      <w:r w:rsidR="00F841C5">
        <w:t>3</w:t>
      </w:r>
      <w:r w:rsidR="00EE79E0">
        <w:t>-1</w:t>
      </w:r>
      <w:r w:rsidR="00F841C5">
        <w:t>4</w:t>
      </w:r>
      <w:r w:rsidR="00EE79E0">
        <w:t xml:space="preserve">.  </w:t>
      </w:r>
      <w:r>
        <w:t>Intragam P</w:t>
      </w:r>
      <w:r w:rsidR="00F46438">
        <w:t xml:space="preserve"> (IVIg)</w:t>
      </w:r>
      <w:r w:rsidR="00CB4483">
        <w:t xml:space="preserve"> and Evogam</w:t>
      </w:r>
      <w:r>
        <w:t xml:space="preserve"> </w:t>
      </w:r>
      <w:r w:rsidR="00F46438">
        <w:t xml:space="preserve">(SCIg) </w:t>
      </w:r>
      <w:r w:rsidR="00CB4483">
        <w:t>are</w:t>
      </w:r>
      <w:r>
        <w:t xml:space="preserve"> </w:t>
      </w:r>
      <w:r w:rsidR="00716977">
        <w:t>Ig</w:t>
      </w:r>
      <w:r>
        <w:t xml:space="preserve"> product</w:t>
      </w:r>
      <w:r w:rsidR="00EE79E0">
        <w:t>s</w:t>
      </w:r>
      <w:r>
        <w:t xml:space="preserve"> manufactured domestically in 201</w:t>
      </w:r>
      <w:r w:rsidR="00F841C5">
        <w:t>4</w:t>
      </w:r>
      <w:r>
        <w:t>-1</w:t>
      </w:r>
      <w:r w:rsidR="00F841C5">
        <w:t>5</w:t>
      </w:r>
      <w:r>
        <w:t xml:space="preserve">. </w:t>
      </w:r>
      <w:r w:rsidR="001028F8" w:rsidRPr="00C6435D">
        <w:t xml:space="preserve">The </w:t>
      </w:r>
      <w:r w:rsidR="00B25E08" w:rsidRPr="00C6435D">
        <w:t>imported products available</w:t>
      </w:r>
      <w:r w:rsidR="001028F8" w:rsidRPr="00C6435D">
        <w:t xml:space="preserve"> were </w:t>
      </w:r>
      <w:r w:rsidR="00B25E08" w:rsidRPr="00C6435D">
        <w:t xml:space="preserve">Kiovig </w:t>
      </w:r>
      <w:r w:rsidR="00F46438">
        <w:t xml:space="preserve">(IVIg but can be administered subcutaneously) </w:t>
      </w:r>
      <w:r w:rsidR="00B25E08" w:rsidRPr="00C6435D">
        <w:t>and Octagam</w:t>
      </w:r>
      <w:r w:rsidR="00C6435D" w:rsidRPr="00C6435D">
        <w:t xml:space="preserve"> </w:t>
      </w:r>
      <w:r w:rsidR="00F46438">
        <w:t xml:space="preserve">(IVIg) </w:t>
      </w:r>
      <w:r w:rsidR="00C6435D" w:rsidRPr="00C6435D">
        <w:t>and Gammanorm</w:t>
      </w:r>
      <w:r w:rsidR="00F46438">
        <w:t xml:space="preserve"> (SCIg)</w:t>
      </w:r>
      <w:r w:rsidR="00B25E08" w:rsidRPr="00C6435D">
        <w:t>.</w:t>
      </w:r>
      <w:r w:rsidR="00B25E08">
        <w:t xml:space="preserve"> </w:t>
      </w:r>
      <w:r>
        <w:t>When a patient is allocated to receive one of the imported products</w:t>
      </w:r>
      <w:r w:rsidR="00C87084">
        <w:t xml:space="preserve"> it</w:t>
      </w:r>
      <w:r>
        <w:t xml:space="preserve"> is the </w:t>
      </w:r>
      <w:r w:rsidR="00693AC5">
        <w:t>clinician’s</w:t>
      </w:r>
      <w:r>
        <w:t xml:space="preserve"> choice as to which product they order. Supply of Octagam constituted </w:t>
      </w:r>
      <w:r w:rsidR="0090374D" w:rsidRPr="00C6435D">
        <w:t>6</w:t>
      </w:r>
      <w:r w:rsidR="00F841C5">
        <w:t>2</w:t>
      </w:r>
      <w:r>
        <w:t xml:space="preserve">% of </w:t>
      </w:r>
      <w:r w:rsidR="00B25E08">
        <w:t>the</w:t>
      </w:r>
      <w:r w:rsidR="006E06B8">
        <w:t xml:space="preserve"> supply of imported </w:t>
      </w:r>
      <w:r>
        <w:t>Ig.</w:t>
      </w:r>
    </w:p>
    <w:p w:rsidR="00FE46F4" w:rsidRDefault="00FE46F4" w:rsidP="00735C1D"/>
    <w:p w:rsidR="009B1399" w:rsidRDefault="009B1399" w:rsidP="009B1399">
      <w:r>
        <w:br w:type="page"/>
      </w:r>
    </w:p>
    <w:p w:rsidR="006A3E1B" w:rsidRDefault="000C507C" w:rsidP="004B6EFB">
      <w:pPr>
        <w:pStyle w:val="Caption"/>
        <w:keepNext/>
      </w:pPr>
      <w:bookmarkStart w:id="67" w:name="_Ref254189034"/>
      <w:bookmarkStart w:id="68" w:name="_Ref253560050"/>
      <w:bookmarkStart w:id="69" w:name="_Ref456092379"/>
      <w:bookmarkStart w:id="70" w:name="_Toc456266148"/>
      <w:bookmarkStart w:id="71" w:name="_Toc456266984"/>
      <w:r>
        <w:lastRenderedPageBreak/>
        <w:t xml:space="preserve">Table </w:t>
      </w:r>
      <w:fldSimple w:instr=" SEQ Table \* ARABIC ">
        <w:r w:rsidR="00F3134D">
          <w:rPr>
            <w:noProof/>
          </w:rPr>
          <w:t>5</w:t>
        </w:r>
      </w:fldSimple>
      <w:bookmarkEnd w:id="67"/>
      <w:r w:rsidR="00810567">
        <w:tab/>
      </w:r>
      <w:r w:rsidR="002E4D25">
        <w:t>Issues</w:t>
      </w:r>
      <w:r w:rsidR="00747F48">
        <w:t xml:space="preserve"> of domestic </w:t>
      </w:r>
      <w:r w:rsidR="00716977">
        <w:t>Ig</w:t>
      </w:r>
      <w:r w:rsidR="00747F48">
        <w:t xml:space="preserve"> compared with imported </w:t>
      </w:r>
      <w:bookmarkEnd w:id="68"/>
      <w:r w:rsidR="00716977">
        <w:t>Ig</w:t>
      </w:r>
      <w:bookmarkEnd w:id="69"/>
      <w:bookmarkEnd w:id="70"/>
      <w:bookmarkEnd w:id="71"/>
      <w:r w:rsidR="00747F48">
        <w:t xml:space="preserve"> </w:t>
      </w:r>
    </w:p>
    <w:tbl>
      <w:tblPr>
        <w:tblW w:w="10916" w:type="dxa"/>
        <w:tblInd w:w="-978" w:type="dxa"/>
        <w:tblLayout w:type="fixed"/>
        <w:tblCellMar>
          <w:left w:w="0" w:type="dxa"/>
          <w:right w:w="0" w:type="dxa"/>
        </w:tblCellMar>
        <w:tblLook w:val="04A0" w:firstRow="1" w:lastRow="0" w:firstColumn="1" w:lastColumn="0" w:noHBand="0" w:noVBand="1"/>
      </w:tblPr>
      <w:tblGrid>
        <w:gridCol w:w="993"/>
        <w:gridCol w:w="1418"/>
        <w:gridCol w:w="22"/>
        <w:gridCol w:w="687"/>
        <w:gridCol w:w="22"/>
        <w:gridCol w:w="828"/>
        <w:gridCol w:w="22"/>
        <w:gridCol w:w="828"/>
        <w:gridCol w:w="22"/>
        <w:gridCol w:w="828"/>
        <w:gridCol w:w="22"/>
        <w:gridCol w:w="828"/>
        <w:gridCol w:w="22"/>
        <w:gridCol w:w="828"/>
        <w:gridCol w:w="22"/>
        <w:gridCol w:w="828"/>
        <w:gridCol w:w="22"/>
        <w:gridCol w:w="828"/>
        <w:gridCol w:w="22"/>
        <w:gridCol w:w="828"/>
        <w:gridCol w:w="22"/>
        <w:gridCol w:w="974"/>
      </w:tblGrid>
      <w:tr w:rsidR="006A3E1B" w:rsidTr="00A109E8">
        <w:trPr>
          <w:trHeight w:val="567"/>
        </w:trPr>
        <w:tc>
          <w:tcPr>
            <w:tcW w:w="3142" w:type="dxa"/>
            <w:gridSpan w:val="5"/>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Default="006A3E1B" w:rsidP="006A3E1B">
            <w:pPr>
              <w:spacing w:after="0"/>
              <w:ind w:left="85" w:right="85"/>
              <w:jc w:val="center"/>
              <w:rPr>
                <w:b/>
                <w:bCs/>
                <w:color w:val="FFFFFF"/>
                <w:sz w:val="20"/>
                <w:szCs w:val="20"/>
              </w:rPr>
            </w:pPr>
            <w:r>
              <w:rPr>
                <w:b/>
                <w:bCs/>
                <w:color w:val="FFFFFF"/>
                <w:sz w:val="20"/>
                <w:szCs w:val="20"/>
              </w:rPr>
              <w:t> </w:t>
            </w:r>
            <w:r w:rsidR="00A109E8">
              <w:rPr>
                <w:b/>
                <w:bCs/>
                <w:color w:val="FFFFFF"/>
                <w:sz w:val="20"/>
                <w:szCs w:val="20"/>
              </w:rPr>
              <w:t>NSW</w:t>
            </w:r>
            <w:r>
              <w:rPr>
                <w:b/>
                <w:bCs/>
                <w:color w:val="FFFFFF"/>
                <w:sz w:val="20"/>
                <w:szCs w:val="20"/>
              </w:rPr>
              <w:t> </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NSW</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VIC</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QLD</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WA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SA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TAS</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ACT</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NT</w:t>
            </w:r>
          </w:p>
        </w:tc>
        <w:tc>
          <w:tcPr>
            <w:tcW w:w="974" w:type="dxa"/>
            <w:tcBorders>
              <w:top w:val="single" w:sz="8" w:space="0" w:color="FFFFFF"/>
              <w:left w:val="nil"/>
              <w:bottom w:val="single" w:sz="8" w:space="0" w:color="FFFFFF"/>
              <w:right w:val="single" w:sz="8" w:space="0" w:color="FFFFFF"/>
            </w:tcBorders>
            <w:shd w:val="clear" w:color="000000" w:fill="C00000"/>
            <w:vAlign w:val="center"/>
          </w:tcPr>
          <w:p w:rsidR="006A3E1B" w:rsidRDefault="00082B62" w:rsidP="00082B62">
            <w:pPr>
              <w:spacing w:after="0"/>
              <w:ind w:left="85" w:right="85"/>
              <w:jc w:val="center"/>
              <w:rPr>
                <w:b/>
                <w:bCs/>
                <w:color w:val="FFFFFF"/>
                <w:sz w:val="20"/>
                <w:szCs w:val="20"/>
              </w:rPr>
            </w:pPr>
            <w:r>
              <w:rPr>
                <w:b/>
                <w:bCs/>
                <w:color w:val="FFFFFF"/>
                <w:sz w:val="20"/>
                <w:szCs w:val="20"/>
              </w:rPr>
              <w:t>AUS</w:t>
            </w:r>
          </w:p>
        </w:tc>
      </w:tr>
      <w:tr w:rsidR="00414D08" w:rsidTr="00A109E8">
        <w:trPr>
          <w:trHeight w:val="567"/>
        </w:trPr>
        <w:tc>
          <w:tcPr>
            <w:tcW w:w="993" w:type="dxa"/>
            <w:vMerge w:val="restart"/>
            <w:tcBorders>
              <w:top w:val="nil"/>
              <w:left w:val="single" w:sz="8" w:space="0" w:color="FFFFFF"/>
              <w:right w:val="single" w:sz="8" w:space="0" w:color="FFFFFF"/>
            </w:tcBorders>
            <w:shd w:val="clear" w:color="000000" w:fill="FFD5D5"/>
            <w:noWrap/>
            <w:tcMar>
              <w:top w:w="15" w:type="dxa"/>
              <w:left w:w="15" w:type="dxa"/>
              <w:bottom w:w="0" w:type="dxa"/>
              <w:right w:w="15" w:type="dxa"/>
            </w:tcMar>
            <w:vAlign w:val="center"/>
          </w:tcPr>
          <w:p w:rsidR="00414D08" w:rsidRDefault="00414D08" w:rsidP="000B0668">
            <w:pPr>
              <w:spacing w:after="0"/>
              <w:ind w:left="85" w:right="85"/>
              <w:rPr>
                <w:b/>
                <w:bCs/>
                <w:color w:val="000000"/>
                <w:sz w:val="20"/>
                <w:szCs w:val="20"/>
              </w:rPr>
            </w:pPr>
            <w:r>
              <w:rPr>
                <w:b/>
                <w:bCs/>
                <w:color w:val="000000"/>
                <w:sz w:val="20"/>
                <w:szCs w:val="20"/>
              </w:rPr>
              <w:t xml:space="preserve">Domestic Ig </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0B0668">
            <w:pPr>
              <w:spacing w:after="0"/>
              <w:ind w:left="85" w:right="85"/>
              <w:rPr>
                <w:color w:val="000000"/>
                <w:sz w:val="20"/>
                <w:szCs w:val="20"/>
              </w:rPr>
            </w:pPr>
            <w:r>
              <w:rPr>
                <w:color w:val="000000"/>
                <w:sz w:val="20"/>
                <w:szCs w:val="20"/>
              </w:rPr>
              <w:t>Intragam P</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919,806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573,195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724,434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150,903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130,551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57,453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59,178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4,863</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A109E8">
            <w:pPr>
              <w:spacing w:after="0"/>
              <w:jc w:val="right"/>
              <w:rPr>
                <w:color w:val="000000"/>
                <w:sz w:val="20"/>
                <w:szCs w:val="20"/>
              </w:rPr>
            </w:pPr>
            <w:r>
              <w:rPr>
                <w:color w:val="000000"/>
                <w:sz w:val="20"/>
                <w:szCs w:val="20"/>
              </w:rPr>
              <w:t>2,620,383</w:t>
            </w:r>
          </w:p>
        </w:tc>
      </w:tr>
      <w:tr w:rsidR="00414D08" w:rsidTr="00A109E8">
        <w:trPr>
          <w:trHeight w:val="567"/>
        </w:trPr>
        <w:tc>
          <w:tcPr>
            <w:tcW w:w="993" w:type="dxa"/>
            <w:vMerge/>
            <w:tcBorders>
              <w:left w:val="single" w:sz="8" w:space="0" w:color="FFFFFF"/>
              <w:right w:val="single" w:sz="8" w:space="0" w:color="FFFFFF"/>
            </w:tcBorders>
            <w:vAlign w:val="center"/>
          </w:tcPr>
          <w:p w:rsidR="00414D08" w:rsidRDefault="00414D08"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414D08" w:rsidRDefault="00414D0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$36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$46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A109E8">
            <w:pPr>
              <w:spacing w:after="0"/>
              <w:jc w:val="right"/>
              <w:rPr>
                <w:color w:val="000000"/>
                <w:sz w:val="20"/>
                <w:szCs w:val="20"/>
              </w:rPr>
            </w:pPr>
            <w:r>
              <w:rPr>
                <w:color w:val="000000"/>
                <w:sz w:val="20"/>
                <w:szCs w:val="20"/>
              </w:rPr>
              <w:t>$166</w:t>
            </w:r>
          </w:p>
        </w:tc>
      </w:tr>
      <w:tr w:rsidR="00414D08" w:rsidTr="00A109E8">
        <w:trPr>
          <w:trHeight w:val="567"/>
        </w:trPr>
        <w:tc>
          <w:tcPr>
            <w:tcW w:w="993" w:type="dxa"/>
            <w:vMerge/>
            <w:tcBorders>
              <w:left w:val="single" w:sz="8" w:space="0" w:color="FFFFFF"/>
              <w:right w:val="single" w:sz="8" w:space="0" w:color="FFFFFF"/>
            </w:tcBorders>
            <w:vAlign w:val="center"/>
          </w:tcPr>
          <w:p w:rsidR="00414D08" w:rsidRDefault="00414D08" w:rsidP="000B0668">
            <w:pPr>
              <w:spacing w:after="0"/>
              <w:ind w:left="85" w:right="85"/>
              <w:rPr>
                <w:b/>
                <w:bCs/>
                <w:color w:val="000000"/>
                <w:sz w:val="20"/>
                <w:szCs w:val="2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414D08" w:rsidRDefault="00414D08" w:rsidP="000B0668">
            <w:pPr>
              <w:spacing w:after="0"/>
              <w:ind w:left="85" w:right="85"/>
              <w:rPr>
                <w:color w:val="000000"/>
                <w:sz w:val="20"/>
                <w:szCs w:val="20"/>
              </w:rPr>
            </w:pPr>
            <w:r>
              <w:rPr>
                <w:color w:val="000000"/>
                <w:sz w:val="20"/>
                <w:szCs w:val="20"/>
              </w:rPr>
              <w:t>Evogam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10,606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6,365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11,224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5,074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5,244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534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32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A109E8">
            <w:pPr>
              <w:spacing w:after="0"/>
              <w:jc w:val="right"/>
              <w:rPr>
                <w:color w:val="000000"/>
                <w:sz w:val="20"/>
                <w:szCs w:val="20"/>
              </w:rPr>
            </w:pPr>
            <w:r>
              <w:rPr>
                <w:color w:val="000000"/>
                <w:sz w:val="20"/>
                <w:szCs w:val="20"/>
              </w:rPr>
              <w:t>39,079</w:t>
            </w:r>
          </w:p>
        </w:tc>
      </w:tr>
      <w:tr w:rsidR="00414D08" w:rsidTr="009D3C1B">
        <w:trPr>
          <w:trHeight w:val="567"/>
        </w:trPr>
        <w:tc>
          <w:tcPr>
            <w:tcW w:w="993" w:type="dxa"/>
            <w:vMerge/>
            <w:tcBorders>
              <w:left w:val="single" w:sz="8" w:space="0" w:color="FFFFFF"/>
              <w:right w:val="single" w:sz="8" w:space="0" w:color="FFFFFF"/>
            </w:tcBorders>
            <w:vAlign w:val="center"/>
          </w:tcPr>
          <w:p w:rsidR="00414D08" w:rsidRDefault="00414D0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414D08" w:rsidRDefault="00414D0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A109E8">
            <w:pPr>
              <w:spacing w:after="0"/>
              <w:jc w:val="right"/>
              <w:rPr>
                <w:color w:val="000000"/>
                <w:sz w:val="20"/>
                <w:szCs w:val="20"/>
              </w:rPr>
            </w:pPr>
            <w:r>
              <w:rPr>
                <w:color w:val="000000"/>
                <w:sz w:val="20"/>
                <w:szCs w:val="20"/>
              </w:rPr>
              <w:t>$2</w:t>
            </w:r>
          </w:p>
        </w:tc>
      </w:tr>
      <w:tr w:rsidR="00414D08" w:rsidTr="00414D08">
        <w:trPr>
          <w:trHeight w:val="567"/>
        </w:trPr>
        <w:tc>
          <w:tcPr>
            <w:tcW w:w="993" w:type="dxa"/>
            <w:vMerge/>
            <w:tcBorders>
              <w:left w:val="single" w:sz="8" w:space="0" w:color="FFFFFF"/>
              <w:right w:val="single" w:sz="8" w:space="0" w:color="FFFFFF"/>
            </w:tcBorders>
            <w:vAlign w:val="center"/>
          </w:tcPr>
          <w:p w:rsidR="00414D08" w:rsidRDefault="00414D08" w:rsidP="000B0668">
            <w:pPr>
              <w:spacing w:after="0"/>
              <w:ind w:left="85" w:right="85"/>
              <w:rPr>
                <w:b/>
                <w:bCs/>
                <w:color w:val="000000"/>
                <w:sz w:val="20"/>
                <w:szCs w:val="2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414D08" w:rsidRPr="00414D08" w:rsidRDefault="00414D08" w:rsidP="00414D08">
            <w:pPr>
              <w:spacing w:after="0"/>
              <w:ind w:left="85" w:right="85"/>
              <w:rPr>
                <w:b/>
                <w:color w:val="000000"/>
                <w:sz w:val="20"/>
                <w:szCs w:val="20"/>
              </w:rPr>
            </w:pPr>
            <w:r w:rsidRPr="00414D08">
              <w:rPr>
                <w:b/>
                <w:color w:val="000000"/>
                <w:sz w:val="20"/>
                <w:szCs w:val="20"/>
              </w:rPr>
              <w:t>Total Domestic</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414D08">
            <w:pPr>
              <w:spacing w:after="0"/>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930,412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579,560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735,658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155,977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135,795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57,987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59,210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4,863</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414D08">
            <w:pPr>
              <w:spacing w:after="0"/>
              <w:jc w:val="right"/>
              <w:rPr>
                <w:color w:val="000000"/>
                <w:sz w:val="20"/>
                <w:szCs w:val="20"/>
              </w:rPr>
            </w:pPr>
            <w:r>
              <w:rPr>
                <w:color w:val="000000"/>
                <w:sz w:val="20"/>
                <w:szCs w:val="20"/>
              </w:rPr>
              <w:t>2,659,462</w:t>
            </w:r>
          </w:p>
        </w:tc>
      </w:tr>
      <w:tr w:rsidR="00414D08" w:rsidTr="00414D08">
        <w:trPr>
          <w:trHeight w:val="567"/>
        </w:trPr>
        <w:tc>
          <w:tcPr>
            <w:tcW w:w="993" w:type="dxa"/>
            <w:vMerge/>
            <w:tcBorders>
              <w:left w:val="single" w:sz="8" w:space="0" w:color="FFFFFF"/>
              <w:bottom w:val="single" w:sz="8" w:space="0" w:color="FFFFFF"/>
              <w:right w:val="single" w:sz="8" w:space="0" w:color="FFFFFF"/>
            </w:tcBorders>
            <w:vAlign w:val="center"/>
          </w:tcPr>
          <w:p w:rsidR="00414D08" w:rsidRDefault="00414D0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414D08" w:rsidRDefault="00414D0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414D08" w:rsidRDefault="00414D08" w:rsidP="00414D08">
            <w:pPr>
              <w:spacing w:after="0"/>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$59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$37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$47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414D08" w:rsidRDefault="00414D08" w:rsidP="00414D0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414D08" w:rsidRDefault="00414D08" w:rsidP="00414D08">
            <w:pPr>
              <w:spacing w:after="0"/>
              <w:jc w:val="right"/>
              <w:rPr>
                <w:color w:val="000000"/>
                <w:sz w:val="20"/>
                <w:szCs w:val="20"/>
              </w:rPr>
            </w:pPr>
            <w:r>
              <w:rPr>
                <w:color w:val="000000"/>
                <w:sz w:val="20"/>
                <w:szCs w:val="20"/>
              </w:rPr>
              <w:t>$168</w:t>
            </w:r>
          </w:p>
        </w:tc>
      </w:tr>
      <w:tr w:rsidR="002F7FA0" w:rsidTr="00A109E8">
        <w:trPr>
          <w:trHeight w:val="567"/>
        </w:trPr>
        <w:tc>
          <w:tcPr>
            <w:tcW w:w="993"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2F7FA0" w:rsidRDefault="002F7FA0" w:rsidP="000B0668">
            <w:pPr>
              <w:spacing w:after="0"/>
              <w:ind w:left="85" w:right="85"/>
              <w:rPr>
                <w:b/>
                <w:bCs/>
                <w:color w:val="000000"/>
                <w:sz w:val="20"/>
                <w:szCs w:val="20"/>
              </w:rPr>
            </w:pPr>
            <w:r>
              <w:rPr>
                <w:b/>
                <w:bCs/>
                <w:color w:val="000000"/>
                <w:sz w:val="20"/>
                <w:szCs w:val="20"/>
              </w:rPr>
              <w:t>Imported Ig</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0B0668">
            <w:pPr>
              <w:spacing w:after="0"/>
              <w:ind w:left="85" w:right="85"/>
              <w:rPr>
                <w:color w:val="000000"/>
                <w:sz w:val="20"/>
                <w:szCs w:val="20"/>
              </w:rPr>
            </w:pPr>
            <w:r>
              <w:rPr>
                <w:color w:val="000000"/>
                <w:sz w:val="20"/>
                <w:szCs w:val="20"/>
              </w:rPr>
              <w:t>Kiovig</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164,798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144,581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162,867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40,370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103,877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3,920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22,770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12,671</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655,853</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$39</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0B0668">
            <w:pPr>
              <w:spacing w:after="0"/>
              <w:ind w:left="85" w:right="85"/>
              <w:rPr>
                <w:color w:val="000000"/>
                <w:sz w:val="20"/>
                <w:szCs w:val="20"/>
              </w:rPr>
            </w:pPr>
            <w:r>
              <w:rPr>
                <w:color w:val="000000"/>
                <w:sz w:val="20"/>
                <w:szCs w:val="20"/>
              </w:rPr>
              <w:t>Octagam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415,970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272,222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292,752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70,229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37,139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6,384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190</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1,094,958</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$65</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2F7FA0" w:rsidRDefault="002F7FA0" w:rsidP="000B0668">
            <w:pPr>
              <w:spacing w:after="0"/>
              <w:ind w:left="85" w:right="85"/>
              <w:rPr>
                <w:color w:val="000000"/>
                <w:sz w:val="20"/>
                <w:szCs w:val="20"/>
              </w:rPr>
            </w:pPr>
            <w:r>
              <w:rPr>
                <w:color w:val="000000"/>
                <w:sz w:val="20"/>
                <w:szCs w:val="20"/>
              </w:rPr>
              <w:t>Gammanorm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12,278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2,571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972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3,391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549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3,046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22,872</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F7FA0" w:rsidRDefault="002F7FA0"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$1</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Pr="00414D08" w:rsidRDefault="002F7FA0" w:rsidP="00414D08">
            <w:pPr>
              <w:spacing w:after="0"/>
              <w:ind w:left="85" w:right="85"/>
              <w:rPr>
                <w:b/>
                <w:color w:val="000000"/>
                <w:sz w:val="20"/>
                <w:szCs w:val="20"/>
              </w:rPr>
            </w:pPr>
            <w:r w:rsidRPr="00414D08">
              <w:rPr>
                <w:b/>
                <w:color w:val="000000"/>
                <w:sz w:val="20"/>
                <w:szCs w:val="20"/>
              </w:rPr>
              <w:t xml:space="preserve">Total </w:t>
            </w:r>
            <w:r w:rsidR="00414D08">
              <w:rPr>
                <w:b/>
                <w:color w:val="000000"/>
                <w:sz w:val="20"/>
                <w:szCs w:val="20"/>
              </w:rPr>
              <w:t>I</w:t>
            </w:r>
            <w:r w:rsidRPr="00414D08">
              <w:rPr>
                <w:b/>
                <w:color w:val="000000"/>
                <w:sz w:val="20"/>
                <w:szCs w:val="20"/>
              </w:rPr>
              <w:t>mported</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593,045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416,868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458,189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111,570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107,343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41,608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32,199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12,861</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1,773,683</w:t>
            </w:r>
          </w:p>
        </w:tc>
      </w:tr>
      <w:tr w:rsidR="002F7FA0" w:rsidTr="00A109E8">
        <w:trPr>
          <w:trHeight w:val="567"/>
        </w:trPr>
        <w:tc>
          <w:tcPr>
            <w:tcW w:w="993"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F7FA0" w:rsidRDefault="002F7FA0"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$35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$1</w:t>
            </w:r>
          </w:p>
        </w:tc>
        <w:tc>
          <w:tcPr>
            <w:tcW w:w="974" w:type="dxa"/>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$105</w:t>
            </w:r>
          </w:p>
        </w:tc>
      </w:tr>
      <w:tr w:rsidR="002F7FA0" w:rsidTr="00A109E8">
        <w:trPr>
          <w:trHeight w:val="567"/>
        </w:trPr>
        <w:tc>
          <w:tcPr>
            <w:tcW w:w="2433" w:type="dxa"/>
            <w:gridSpan w:val="3"/>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2F7FA0" w:rsidRPr="000B0668" w:rsidRDefault="002F7FA0" w:rsidP="000B0668">
            <w:pPr>
              <w:spacing w:after="0"/>
              <w:ind w:left="85" w:right="85"/>
              <w:rPr>
                <w:b/>
                <w:color w:val="000000"/>
                <w:sz w:val="20"/>
                <w:szCs w:val="20"/>
              </w:rPr>
            </w:pPr>
            <w:r w:rsidRPr="000B0668">
              <w:rPr>
                <w:b/>
                <w:color w:val="000000"/>
                <w:sz w:val="20"/>
                <w:szCs w:val="20"/>
              </w:rPr>
              <w:t xml:space="preserve">Proportion of domestic to imported </w:t>
            </w:r>
            <w:r>
              <w:rPr>
                <w:b/>
                <w:color w:val="000000"/>
                <w:sz w:val="20"/>
                <w:szCs w:val="20"/>
              </w:rPr>
              <w:t>Ig</w:t>
            </w: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g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27%</w:t>
            </w:r>
          </w:p>
        </w:tc>
        <w:tc>
          <w:tcPr>
            <w:tcW w:w="996" w:type="dxa"/>
            <w:gridSpan w:val="2"/>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60%</w:t>
            </w:r>
          </w:p>
        </w:tc>
      </w:tr>
      <w:tr w:rsidR="002F7FA0" w:rsidTr="00A109E8">
        <w:trPr>
          <w:trHeight w:val="567"/>
        </w:trPr>
        <w:tc>
          <w:tcPr>
            <w:tcW w:w="2433" w:type="dxa"/>
            <w:gridSpan w:val="3"/>
            <w:vMerge/>
            <w:tcBorders>
              <w:top w:val="single" w:sz="8" w:space="0" w:color="FFFFFF"/>
              <w:left w:val="single" w:sz="8" w:space="0" w:color="FFFFFF"/>
              <w:bottom w:val="single" w:sz="8" w:space="0" w:color="FFFFFF"/>
              <w:right w:val="single" w:sz="8" w:space="0" w:color="FFFFFF"/>
            </w:tcBorders>
            <w:vAlign w:val="center"/>
          </w:tcPr>
          <w:p w:rsidR="002F7FA0" w:rsidRDefault="002F7FA0" w:rsidP="000B0668">
            <w:pPr>
              <w:spacing w:after="0"/>
              <w:ind w:left="85" w:right="85"/>
              <w:rPr>
                <w:color w:val="000000"/>
                <w:sz w:val="20"/>
                <w:szCs w:val="20"/>
              </w:rPr>
            </w:pP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F7FA0" w:rsidRDefault="002F7FA0" w:rsidP="006A3E1B">
            <w:pPr>
              <w:spacing w:after="0"/>
              <w:ind w:left="85" w:right="85"/>
              <w:jc w:val="center"/>
              <w:rPr>
                <w:color w:val="000000"/>
                <w:sz w:val="20"/>
                <w:szCs w:val="20"/>
              </w:rPr>
            </w:pPr>
            <w:r>
              <w:rPr>
                <w:color w:val="000000"/>
                <w:sz w:val="20"/>
                <w:szCs w:val="20"/>
              </w:rPr>
              <w:t>$(m)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66%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F7FA0" w:rsidRDefault="002F7FA0" w:rsidP="00A109E8">
            <w:pPr>
              <w:spacing w:after="0"/>
              <w:jc w:val="right"/>
              <w:rPr>
                <w:color w:val="000000"/>
                <w:sz w:val="20"/>
                <w:szCs w:val="20"/>
              </w:rPr>
            </w:pPr>
            <w:r>
              <w:rPr>
                <w:color w:val="000000"/>
                <w:sz w:val="20"/>
                <w:szCs w:val="20"/>
              </w:rPr>
              <w:t>29%</w:t>
            </w:r>
          </w:p>
        </w:tc>
        <w:tc>
          <w:tcPr>
            <w:tcW w:w="996" w:type="dxa"/>
            <w:gridSpan w:val="2"/>
            <w:tcBorders>
              <w:top w:val="nil"/>
              <w:left w:val="nil"/>
              <w:bottom w:val="single" w:sz="8" w:space="0" w:color="FFFFFF"/>
              <w:right w:val="single" w:sz="8" w:space="0" w:color="FFFFFF"/>
            </w:tcBorders>
            <w:shd w:val="clear" w:color="000000" w:fill="F2F2F2"/>
            <w:vAlign w:val="center"/>
          </w:tcPr>
          <w:p w:rsidR="002F7FA0" w:rsidRDefault="002F7FA0" w:rsidP="00A109E8">
            <w:pPr>
              <w:spacing w:after="0"/>
              <w:jc w:val="right"/>
              <w:rPr>
                <w:color w:val="000000"/>
                <w:sz w:val="20"/>
                <w:szCs w:val="20"/>
              </w:rPr>
            </w:pPr>
            <w:r>
              <w:rPr>
                <w:color w:val="000000"/>
                <w:sz w:val="20"/>
                <w:szCs w:val="20"/>
              </w:rPr>
              <w:t>62%</w:t>
            </w:r>
          </w:p>
        </w:tc>
      </w:tr>
    </w:tbl>
    <w:p w:rsidR="00C57846" w:rsidRPr="00414D08" w:rsidRDefault="00D668C9" w:rsidP="000709CE">
      <w:pPr>
        <w:tabs>
          <w:tab w:val="left" w:pos="965"/>
        </w:tabs>
        <w:rPr>
          <w:rStyle w:val="SubtleEmphasis"/>
          <w:sz w:val="18"/>
          <w:szCs w:val="18"/>
        </w:rPr>
      </w:pPr>
      <w:r w:rsidRPr="00414D08">
        <w:rPr>
          <w:rStyle w:val="SubtleEmphasis"/>
          <w:sz w:val="18"/>
          <w:szCs w:val="18"/>
        </w:rPr>
        <w:t xml:space="preserve">Note: </w:t>
      </w:r>
      <w:r w:rsidR="00414D08">
        <w:rPr>
          <w:rStyle w:val="SubtleEmphasis"/>
          <w:sz w:val="18"/>
          <w:szCs w:val="18"/>
        </w:rPr>
        <w:t>$(m) excludes the costs for</w:t>
      </w:r>
      <w:r w:rsidRPr="00414D08">
        <w:rPr>
          <w:rStyle w:val="SubtleEmphasis"/>
          <w:sz w:val="18"/>
          <w:szCs w:val="18"/>
        </w:rPr>
        <w:t xml:space="preserve"> plasma for fractionation.</w:t>
      </w:r>
    </w:p>
    <w:p w:rsidR="000709CE" w:rsidRPr="009647D5" w:rsidRDefault="00747F48" w:rsidP="000709CE">
      <w:pPr>
        <w:pStyle w:val="Heading1"/>
      </w:pPr>
      <w:bookmarkStart w:id="72" w:name="_Toc456267417"/>
      <w:r>
        <w:lastRenderedPageBreak/>
        <w:t>C</w:t>
      </w:r>
      <w:r w:rsidR="00566E89">
        <w:t>linical Indications</w:t>
      </w:r>
      <w:bookmarkEnd w:id="72"/>
    </w:p>
    <w:p w:rsidR="001E45D0" w:rsidRPr="0006087D" w:rsidRDefault="00716977" w:rsidP="001E45D0">
      <w:pPr>
        <w:pStyle w:val="Heading2"/>
      </w:pPr>
      <w:bookmarkStart w:id="73" w:name="_Toc353524187"/>
      <w:bookmarkStart w:id="74" w:name="_Toc353894370"/>
      <w:bookmarkStart w:id="75" w:name="_Toc361570423"/>
      <w:bookmarkStart w:id="76" w:name="_Toc364776935"/>
      <w:bookmarkStart w:id="77" w:name="_Toc456267418"/>
      <w:r>
        <w:t>Ig</w:t>
      </w:r>
      <w:r w:rsidR="001E45D0">
        <w:t xml:space="preserve"> </w:t>
      </w:r>
      <w:r w:rsidR="00D77190">
        <w:t>issues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73"/>
      <w:bookmarkEnd w:id="74"/>
      <w:bookmarkEnd w:id="75"/>
      <w:bookmarkEnd w:id="76"/>
      <w:bookmarkEnd w:id="77"/>
      <w:r w:rsidR="001E45D0" w:rsidRPr="0006087D">
        <w:t xml:space="preserve"> </w:t>
      </w:r>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Criteria</w:t>
      </w:r>
      <w:r>
        <w:rPr>
          <w:rFonts w:asciiTheme="minorHAnsi" w:hAnsiTheme="minorHAnsi" w:cstheme="minorHAnsi"/>
          <w:i/>
        </w:rPr>
        <w:t xml:space="preserve"> </w:t>
      </w:r>
      <w:r>
        <w:rPr>
          <w:rFonts w:asciiTheme="minorHAnsi" w:hAnsiTheme="minorHAnsi" w:cstheme="minorHAnsi"/>
        </w:rPr>
        <w:t xml:space="preserve">classifies 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IVIg has an established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IVIg has an emerging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7, conditions for which IVIg has application in exceptional circumstances only </w:t>
      </w:r>
    </w:p>
    <w:p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which IVIg use is not indicated</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1E45D0" w:rsidRPr="004F62AE" w:rsidRDefault="003002E8" w:rsidP="004F62AE">
      <w:pPr>
        <w:tabs>
          <w:tab w:val="left" w:pos="965"/>
        </w:tabs>
        <w:rPr>
          <w:rFonts w:asciiTheme="minorHAnsi" w:hAnsiTheme="minorHAnsi" w:cstheme="minorHAnsi"/>
        </w:rPr>
      </w:pPr>
      <w:r>
        <w:t xml:space="preserve">Ig was predominately issued </w:t>
      </w:r>
      <w:r w:rsidR="001E45D0" w:rsidRPr="00B7652C">
        <w:rPr>
          <w:rFonts w:asciiTheme="minorHAnsi" w:hAnsiTheme="minorHAnsi" w:cstheme="minorHAnsi"/>
        </w:rPr>
        <w:t xml:space="preserve">for </w:t>
      </w:r>
      <w:r>
        <w:rPr>
          <w:rFonts w:asciiTheme="minorHAnsi" w:hAnsiTheme="minorHAnsi" w:cstheme="minorHAnsi"/>
        </w:rPr>
        <w:t>conditions within Chapter 5 (</w:t>
      </w:r>
      <w:r w:rsidR="002033F2">
        <w:rPr>
          <w:rFonts w:asciiTheme="minorHAnsi" w:hAnsiTheme="minorHAnsi" w:cstheme="minorHAnsi"/>
        </w:rPr>
        <w:fldChar w:fldCharType="begin" w:fldLock="1"/>
      </w:r>
      <w:r w:rsidR="002033F2">
        <w:rPr>
          <w:rFonts w:asciiTheme="minorHAnsi" w:hAnsiTheme="minorHAnsi" w:cstheme="minorHAnsi"/>
        </w:rPr>
        <w:instrText xml:space="preserve"> REF _Ref393362821 \h </w:instrText>
      </w:r>
      <w:r w:rsidR="002033F2">
        <w:rPr>
          <w:rFonts w:asciiTheme="minorHAnsi" w:hAnsiTheme="minorHAnsi" w:cstheme="minorHAnsi"/>
        </w:rPr>
      </w:r>
      <w:r w:rsidR="002033F2">
        <w:rPr>
          <w:rFonts w:asciiTheme="minorHAnsi" w:hAnsiTheme="minorHAnsi" w:cstheme="minorHAnsi"/>
        </w:rPr>
        <w:fldChar w:fldCharType="separate"/>
      </w:r>
      <w:r w:rsidR="00D6061B">
        <w:t xml:space="preserve">Table </w:t>
      </w:r>
      <w:r w:rsidR="00D6061B">
        <w:rPr>
          <w:noProof/>
        </w:rPr>
        <w:t>6</w:t>
      </w:r>
      <w:r w:rsidR="002033F2">
        <w:rPr>
          <w:rFonts w:asciiTheme="minorHAnsi" w:hAnsiTheme="minorHAnsi" w:cstheme="minorHAnsi"/>
        </w:rPr>
        <w:fldChar w:fldCharType="end"/>
      </w:r>
      <w:r>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with a decrease in Ig </w:t>
      </w:r>
      <w:r w:rsidR="00D77190">
        <w:rPr>
          <w:rFonts w:asciiTheme="minorHAnsi" w:hAnsiTheme="minorHAnsi" w:cstheme="minorHAnsi"/>
        </w:rPr>
        <w:t>issues</w:t>
      </w:r>
      <w:r w:rsidR="001E45D0" w:rsidRPr="00B7652C">
        <w:rPr>
          <w:rFonts w:asciiTheme="minorHAnsi" w:hAnsiTheme="minorHAnsi" w:cstheme="minorHAnsi"/>
        </w:rPr>
        <w:t xml:space="preserve"> for Chapter 8 conditions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F3134D">
        <w:t xml:space="preserve">Table </w:t>
      </w:r>
      <w:r w:rsidR="00F3134D">
        <w:rPr>
          <w:noProof/>
        </w:rPr>
        <w:t>7</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p>
    <w:p w:rsidR="00547D7D" w:rsidRDefault="00547D7D" w:rsidP="00547D7D">
      <w:pPr>
        <w:pStyle w:val="Caption"/>
        <w:keepNext/>
      </w:pPr>
      <w:bookmarkStart w:id="78" w:name="_Toc456266149"/>
      <w:bookmarkStart w:id="79" w:name="_Toc456266985"/>
      <w:r>
        <w:t xml:space="preserve">Table </w:t>
      </w:r>
      <w:fldSimple w:instr=" SEQ Table \* ARABIC ">
        <w:r w:rsidR="00F3134D">
          <w:rPr>
            <w:noProof/>
          </w:rPr>
          <w:t>6</w:t>
        </w:r>
      </w:fldSimple>
      <w:r>
        <w:tab/>
        <w:t xml:space="preserve">Ig issues (g) by </w:t>
      </w:r>
      <w:r w:rsidRPr="004B6EFB">
        <w:t>Criteria</w:t>
      </w:r>
      <w:r>
        <w:t xml:space="preserve"> chapter</w:t>
      </w:r>
      <w:bookmarkEnd w:id="78"/>
      <w:bookmarkEnd w:id="79"/>
      <w:r>
        <w:t xml:space="preserve"> </w:t>
      </w:r>
    </w:p>
    <w:tbl>
      <w:tblPr>
        <w:tblStyle w:val="NBATableStyle2"/>
        <w:tblW w:w="9180" w:type="dxa"/>
        <w:tblLook w:val="04A0" w:firstRow="1" w:lastRow="0" w:firstColumn="1" w:lastColumn="0" w:noHBand="0" w:noVBand="1"/>
      </w:tblPr>
      <w:tblGrid>
        <w:gridCol w:w="1242"/>
        <w:gridCol w:w="1134"/>
        <w:gridCol w:w="1134"/>
        <w:gridCol w:w="1134"/>
        <w:gridCol w:w="1134"/>
        <w:gridCol w:w="1134"/>
        <w:gridCol w:w="1134"/>
        <w:gridCol w:w="1134"/>
      </w:tblGrid>
      <w:tr w:rsidR="00547D7D" w:rsidRPr="00353CA7" w:rsidTr="00547D7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47D7D" w:rsidRPr="00FA7A97" w:rsidRDefault="00547D7D" w:rsidP="009D3C1B">
            <w:pPr>
              <w:spacing w:after="0"/>
              <w:rPr>
                <w:rFonts w:eastAsia="Times New Roman"/>
                <w:color w:val="000000"/>
              </w:rPr>
            </w:pP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2008-09</w:t>
            </w: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2009-10</w:t>
            </w: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2010-11</w:t>
            </w: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2011-12</w:t>
            </w: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noWrap/>
            <w:vAlign w:val="top"/>
            <w:hideMark/>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vAlign w:val="top"/>
          </w:tcPr>
          <w:p w:rsidR="00547D7D" w:rsidRPr="00FA7A97" w:rsidRDefault="00547D7D" w:rsidP="009D3C1B">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r>
      <w:tr w:rsidR="00547D7D" w:rsidRPr="00471E0D" w:rsidTr="00547D7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47D7D" w:rsidRPr="00471E0D" w:rsidRDefault="00547D7D" w:rsidP="00547D7D">
            <w:pPr>
              <w:spacing w:after="0"/>
              <w:rPr>
                <w:rFonts w:eastAsia="Times New Roman"/>
                <w:color w:val="000000"/>
                <w:sz w:val="20"/>
                <w:szCs w:val="20"/>
              </w:rPr>
            </w:pPr>
            <w:r w:rsidRPr="00471E0D">
              <w:rPr>
                <w:rFonts w:eastAsia="Times New Roman"/>
                <w:color w:val="000000"/>
                <w:sz w:val="20"/>
                <w:szCs w:val="20"/>
              </w:rPr>
              <w:t>Chapter 5</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1,990,586</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2,212,914</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2,505,332</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2,724,809</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3,025,452</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3,409,100</w:t>
            </w:r>
          </w:p>
        </w:tc>
        <w:tc>
          <w:tcPr>
            <w:tcW w:w="1134" w:type="dxa"/>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3,785,615</w:t>
            </w:r>
          </w:p>
        </w:tc>
      </w:tr>
      <w:tr w:rsidR="00547D7D" w:rsidRPr="00471E0D" w:rsidTr="00547D7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47D7D" w:rsidRPr="00471E0D" w:rsidRDefault="00547D7D" w:rsidP="00547D7D">
            <w:pPr>
              <w:spacing w:after="0"/>
              <w:rPr>
                <w:rFonts w:eastAsia="Times New Roman"/>
                <w:color w:val="000000"/>
                <w:sz w:val="20"/>
                <w:szCs w:val="20"/>
              </w:rPr>
            </w:pPr>
            <w:r w:rsidRPr="00471E0D">
              <w:rPr>
                <w:rFonts w:eastAsia="Times New Roman"/>
                <w:color w:val="000000"/>
                <w:sz w:val="20"/>
                <w:szCs w:val="20"/>
              </w:rPr>
              <w:t>Chapter 6</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345,176</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371,832</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397,231</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444,605</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453,352</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463,361</w:t>
            </w:r>
          </w:p>
        </w:tc>
        <w:tc>
          <w:tcPr>
            <w:tcW w:w="1134" w:type="dxa"/>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494,489</w:t>
            </w:r>
          </w:p>
        </w:tc>
      </w:tr>
      <w:tr w:rsidR="00547D7D" w:rsidRPr="00471E0D" w:rsidTr="00547D7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47D7D" w:rsidRPr="00471E0D" w:rsidRDefault="00547D7D" w:rsidP="00547D7D">
            <w:pPr>
              <w:spacing w:after="0"/>
              <w:rPr>
                <w:rFonts w:eastAsia="Times New Roman"/>
                <w:color w:val="000000"/>
                <w:sz w:val="20"/>
                <w:szCs w:val="20"/>
              </w:rPr>
            </w:pPr>
            <w:r w:rsidRPr="00471E0D">
              <w:rPr>
                <w:rFonts w:eastAsia="Times New Roman"/>
                <w:color w:val="000000"/>
                <w:sz w:val="20"/>
                <w:szCs w:val="20"/>
              </w:rPr>
              <w:t>Chapter 7</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47,275</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61,924</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76,033</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101,287</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120,979</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148,581</w:t>
            </w:r>
          </w:p>
        </w:tc>
        <w:tc>
          <w:tcPr>
            <w:tcW w:w="1134" w:type="dxa"/>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178,221</w:t>
            </w:r>
          </w:p>
        </w:tc>
      </w:tr>
      <w:tr w:rsidR="00547D7D" w:rsidRPr="00471E0D" w:rsidTr="00547D7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47D7D" w:rsidRPr="00471E0D" w:rsidRDefault="00547D7D" w:rsidP="00547D7D">
            <w:pPr>
              <w:spacing w:after="0"/>
              <w:rPr>
                <w:rFonts w:eastAsia="Times New Roman"/>
                <w:color w:val="000000"/>
                <w:sz w:val="20"/>
                <w:szCs w:val="20"/>
              </w:rPr>
            </w:pPr>
            <w:r w:rsidRPr="00471E0D">
              <w:rPr>
                <w:rFonts w:eastAsia="Times New Roman"/>
                <w:color w:val="000000"/>
                <w:sz w:val="20"/>
                <w:szCs w:val="20"/>
              </w:rPr>
              <w:t>Chapter 8</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3,326</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2,550</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2,574</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1,909</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39</w:t>
            </w:r>
          </w:p>
        </w:tc>
        <w:tc>
          <w:tcPr>
            <w:tcW w:w="1134" w:type="dxa"/>
            <w:noWrap/>
            <w:hideMark/>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134" w:type="dxa"/>
          </w:tcPr>
          <w:p w:rsidR="00547D7D" w:rsidRPr="00414D0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r>
      <w:tr w:rsidR="00547D7D" w:rsidRPr="00471E0D" w:rsidTr="00547D7D">
        <w:trPr>
          <w:trHeight w:val="313"/>
        </w:trPr>
        <w:tc>
          <w:tcPr>
            <w:cnfStyle w:val="001000000000" w:firstRow="0" w:lastRow="0" w:firstColumn="1" w:lastColumn="0" w:oddVBand="0" w:evenVBand="0" w:oddHBand="0" w:evenHBand="0" w:firstRowFirstColumn="0" w:firstRowLastColumn="0" w:lastRowFirstColumn="0" w:lastRowLastColumn="0"/>
            <w:tcW w:w="1242" w:type="dxa"/>
            <w:noWrap/>
          </w:tcPr>
          <w:p w:rsidR="00547D7D" w:rsidRPr="00BB2478" w:rsidRDefault="00547D7D" w:rsidP="00547D7D">
            <w:pPr>
              <w:spacing w:after="0"/>
              <w:rPr>
                <w:rFonts w:eastAsia="Times New Roman"/>
                <w:b/>
                <w:color w:val="000000"/>
                <w:sz w:val="20"/>
                <w:szCs w:val="20"/>
              </w:rPr>
            </w:pPr>
            <w:r w:rsidRPr="00BB2478">
              <w:rPr>
                <w:rFonts w:eastAsia="Times New Roman"/>
                <w:b/>
                <w:color w:val="000000"/>
                <w:sz w:val="20"/>
                <w:szCs w:val="20"/>
              </w:rPr>
              <w:t>Total</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2,386,361</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2,649,462</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2,981,385</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3,272,930</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3,599,831</w:t>
            </w:r>
          </w:p>
        </w:tc>
        <w:tc>
          <w:tcPr>
            <w:tcW w:w="1134" w:type="dxa"/>
            <w:noWrap/>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4,021,042</w:t>
            </w:r>
          </w:p>
        </w:tc>
        <w:tc>
          <w:tcPr>
            <w:tcW w:w="1134" w:type="dxa"/>
          </w:tcPr>
          <w:p w:rsidR="00547D7D" w:rsidRPr="00BB2478" w:rsidRDefault="00547D7D" w:rsidP="00547D7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4,458,326</w:t>
            </w:r>
          </w:p>
        </w:tc>
      </w:tr>
    </w:tbl>
    <w:p w:rsidR="000635D0" w:rsidRPr="000635D0" w:rsidRDefault="00353CA7" w:rsidP="00353CA7">
      <w:pPr>
        <w:spacing w:after="0"/>
      </w:pPr>
      <w:r>
        <w:br w:type="page"/>
      </w:r>
    </w:p>
    <w:p w:rsidR="008F04E1" w:rsidRDefault="008F04E1" w:rsidP="008F04E1">
      <w:pPr>
        <w:pStyle w:val="Caption"/>
        <w:keepNext/>
      </w:pPr>
      <w:bookmarkStart w:id="80" w:name="_Ref386098763"/>
      <w:bookmarkStart w:id="81" w:name="_Toc456266150"/>
      <w:bookmarkStart w:id="82" w:name="_Toc456266986"/>
      <w:r>
        <w:lastRenderedPageBreak/>
        <w:t xml:space="preserve">Table </w:t>
      </w:r>
      <w:fldSimple w:instr=" SEQ Table \* ARABIC ">
        <w:r w:rsidR="00F3134D">
          <w:rPr>
            <w:noProof/>
          </w:rPr>
          <w:t>7</w:t>
        </w:r>
      </w:fldSimple>
      <w:bookmarkEnd w:id="80"/>
      <w:r>
        <w:tab/>
      </w:r>
      <w:r w:rsidR="00716977">
        <w:t>Ig</w:t>
      </w:r>
      <w:r>
        <w:t xml:space="preserve"> issues by </w:t>
      </w:r>
      <w:r w:rsidRPr="00414D08">
        <w:t>Criteria</w:t>
      </w:r>
      <w:r>
        <w:t xml:space="preserve"> chapter (percentage)</w:t>
      </w:r>
      <w:bookmarkEnd w:id="81"/>
      <w:bookmarkEnd w:id="82"/>
    </w:p>
    <w:tbl>
      <w:tblPr>
        <w:tblStyle w:val="NBATableStyle2"/>
        <w:tblW w:w="9180" w:type="dxa"/>
        <w:tblLook w:val="04A0" w:firstRow="1" w:lastRow="0" w:firstColumn="1" w:lastColumn="0" w:noHBand="0" w:noVBand="1"/>
      </w:tblPr>
      <w:tblGrid>
        <w:gridCol w:w="1242"/>
        <w:gridCol w:w="1134"/>
        <w:gridCol w:w="1134"/>
        <w:gridCol w:w="1134"/>
        <w:gridCol w:w="1134"/>
        <w:gridCol w:w="1134"/>
        <w:gridCol w:w="1134"/>
        <w:gridCol w:w="1134"/>
      </w:tblGrid>
      <w:tr w:rsidR="00414D08" w:rsidRPr="00353CA7" w:rsidTr="00414D08">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414D08" w:rsidRPr="00FA7A97" w:rsidRDefault="00414D08" w:rsidP="00353CA7">
            <w:pPr>
              <w:spacing w:after="0"/>
              <w:rPr>
                <w:rFonts w:eastAsia="Times New Roman"/>
                <w:color w:val="000000"/>
              </w:rPr>
            </w:pP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2008-09</w:t>
            </w: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2009-10</w:t>
            </w: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2010-11</w:t>
            </w: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2011-12</w:t>
            </w: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noWrap/>
            <w:vAlign w:val="top"/>
            <w:hideMark/>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vAlign w:val="top"/>
          </w:tcPr>
          <w:p w:rsidR="00414D08" w:rsidRPr="00FA7A97" w:rsidRDefault="00414D08" w:rsidP="00FA7A97">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r>
      <w:tr w:rsidR="00471E0D" w:rsidRPr="00471E0D" w:rsidTr="00471E0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471E0D" w:rsidRPr="00471E0D" w:rsidRDefault="00471E0D" w:rsidP="00471E0D">
            <w:pPr>
              <w:spacing w:after="0"/>
              <w:rPr>
                <w:rFonts w:eastAsia="Times New Roman"/>
                <w:color w:val="000000"/>
                <w:sz w:val="20"/>
                <w:szCs w:val="20"/>
              </w:rPr>
            </w:pPr>
            <w:r w:rsidRPr="00471E0D">
              <w:rPr>
                <w:rFonts w:eastAsia="Times New Roman"/>
                <w:color w:val="000000"/>
                <w:sz w:val="20"/>
                <w:szCs w:val="20"/>
              </w:rPr>
              <w:t>Chapter 5</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r>
      <w:tr w:rsidR="00471E0D" w:rsidRPr="00471E0D" w:rsidTr="00471E0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471E0D" w:rsidRPr="00471E0D" w:rsidRDefault="00471E0D" w:rsidP="00471E0D">
            <w:pPr>
              <w:spacing w:after="0"/>
              <w:rPr>
                <w:rFonts w:eastAsia="Times New Roman"/>
                <w:color w:val="000000"/>
                <w:sz w:val="20"/>
                <w:szCs w:val="20"/>
              </w:rPr>
            </w:pPr>
            <w:r w:rsidRPr="00471E0D">
              <w:rPr>
                <w:rFonts w:eastAsia="Times New Roman"/>
                <w:color w:val="000000"/>
                <w:sz w:val="20"/>
                <w:szCs w:val="20"/>
              </w:rPr>
              <w:t>Chapter 6</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14%</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13%</w:t>
            </w:r>
          </w:p>
        </w:tc>
        <w:tc>
          <w:tcPr>
            <w:tcW w:w="1134" w:type="dxa"/>
            <w:noWrap/>
            <w:hideMark/>
          </w:tcPr>
          <w:p w:rsidR="00471E0D" w:rsidRPr="00471E0D" w:rsidRDefault="00471E0D" w:rsidP="00824A4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w:t>
            </w:r>
            <w:r w:rsidR="00824A4C">
              <w:rPr>
                <w:color w:val="000000"/>
                <w:sz w:val="20"/>
                <w:szCs w:val="20"/>
              </w:rPr>
              <w:t>1</w:t>
            </w:r>
            <w:r w:rsidRPr="00471E0D">
              <w:rPr>
                <w:color w:val="000000"/>
                <w:sz w:val="20"/>
                <w:szCs w:val="20"/>
              </w:rPr>
              <w:t>%</w:t>
            </w:r>
          </w:p>
        </w:tc>
        <w:tc>
          <w:tcPr>
            <w:tcW w:w="1134" w:type="dxa"/>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r>
      <w:tr w:rsidR="00471E0D" w:rsidRPr="00471E0D" w:rsidTr="00471E0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471E0D" w:rsidRPr="00471E0D" w:rsidRDefault="00471E0D" w:rsidP="00471E0D">
            <w:pPr>
              <w:spacing w:after="0"/>
              <w:rPr>
                <w:rFonts w:eastAsia="Times New Roman"/>
                <w:color w:val="000000"/>
                <w:sz w:val="20"/>
                <w:szCs w:val="20"/>
              </w:rPr>
            </w:pPr>
            <w:r w:rsidRPr="00471E0D">
              <w:rPr>
                <w:rFonts w:eastAsia="Times New Roman"/>
                <w:color w:val="000000"/>
                <w:sz w:val="20"/>
                <w:szCs w:val="20"/>
              </w:rPr>
              <w:t>Chapter 7</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2%</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2%</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r>
      <w:tr w:rsidR="00471E0D" w:rsidRPr="00471E0D" w:rsidTr="00471E0D">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471E0D" w:rsidRPr="00471E0D" w:rsidRDefault="00471E0D" w:rsidP="00471E0D">
            <w:pPr>
              <w:spacing w:after="0"/>
              <w:rPr>
                <w:rFonts w:eastAsia="Times New Roman"/>
                <w:color w:val="000000"/>
                <w:sz w:val="20"/>
                <w:szCs w:val="20"/>
              </w:rPr>
            </w:pPr>
            <w:r w:rsidRPr="00471E0D">
              <w:rPr>
                <w:rFonts w:eastAsia="Times New Roman"/>
                <w:color w:val="000000"/>
                <w:sz w:val="20"/>
                <w:szCs w:val="20"/>
              </w:rPr>
              <w:t>Chapter 8</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noWrap/>
            <w:hideMark/>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tcPr>
          <w:p w:rsidR="00471E0D" w:rsidRPr="00471E0D" w:rsidRDefault="00471E0D" w:rsidP="00471E0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r>
    </w:tbl>
    <w:p w:rsidR="000635D0" w:rsidRDefault="000635D0" w:rsidP="00AF717F"/>
    <w:p w:rsidR="003B72FE" w:rsidRDefault="00BD0220" w:rsidP="00AF717F">
      <w:r>
        <w:t>For</w:t>
      </w:r>
      <w:r w:rsidR="00AF1887">
        <w:t xml:space="preserve"> conditions where </w:t>
      </w:r>
      <w:r w:rsidR="00716977">
        <w:t>Ig</w:t>
      </w:r>
      <w:r w:rsidR="00AF1887">
        <w:t xml:space="preserve"> </w:t>
      </w:r>
      <w:r>
        <w:t xml:space="preserve">is used only </w:t>
      </w:r>
      <w:r w:rsidR="00AF1887">
        <w:t>in exceptional circumstances (Chapter 7), f</w:t>
      </w:r>
      <w:r w:rsidR="00293EDD">
        <w:t xml:space="preserve">our </w:t>
      </w:r>
      <w:r w:rsidR="008D0C19">
        <w:t>diagnostic groups</w:t>
      </w:r>
      <w:r w:rsidR="00AF1887">
        <w:t xml:space="preserve"> </w:t>
      </w:r>
      <w:r w:rsidR="00293EDD">
        <w:t xml:space="preserve">accounted for </w:t>
      </w:r>
      <w:r w:rsidR="00F27978">
        <w:t>57.5</w:t>
      </w:r>
      <w:r w:rsidR="00293EDD">
        <w:t xml:space="preserve">% of </w:t>
      </w:r>
      <w:r w:rsidR="00D77190">
        <w:t>those issues</w:t>
      </w:r>
      <w:r w:rsidR="00293EDD">
        <w:t>. These conditions were</w:t>
      </w:r>
      <w:r w:rsidR="007F7816">
        <w:t xml:space="preserve"> </w:t>
      </w:r>
      <w:r w:rsidR="007F7816" w:rsidRPr="007F7816">
        <w:rPr>
          <w:rFonts w:eastAsia="Times New Roman"/>
          <w:color w:val="000000"/>
          <w:lang w:eastAsia="en-AU"/>
        </w:rPr>
        <w:t xml:space="preserve">Limbic </w:t>
      </w:r>
      <w:r w:rsidR="007F7816">
        <w:rPr>
          <w:rFonts w:eastAsia="Times New Roman"/>
          <w:color w:val="000000"/>
          <w:lang w:eastAsia="en-AU"/>
        </w:rPr>
        <w:t xml:space="preserve">Encephalitis – nonparaneoplastic </w:t>
      </w:r>
      <w:r w:rsidR="007F7816">
        <w:t>(</w:t>
      </w:r>
      <w:r w:rsidR="00433B4B">
        <w:t>36,076</w:t>
      </w:r>
      <w:r w:rsidR="00037FAA">
        <w:t>g</w:t>
      </w:r>
      <w:r w:rsidR="007F7816">
        <w:t xml:space="preserve">), </w:t>
      </w:r>
      <w:r w:rsidR="00AA3F6A">
        <w:rPr>
          <w:rFonts w:eastAsia="Times New Roman"/>
          <w:color w:val="000000"/>
          <w:lang w:eastAsia="en-AU"/>
        </w:rPr>
        <w:t>S</w:t>
      </w:r>
      <w:r w:rsidR="00AA3F6A" w:rsidRPr="00810567">
        <w:rPr>
          <w:rFonts w:eastAsia="Times New Roman"/>
          <w:color w:val="000000"/>
          <w:lang w:eastAsia="en-AU"/>
        </w:rPr>
        <w:t>olid organ</w:t>
      </w:r>
      <w:r w:rsidR="00AA3F6A">
        <w:rPr>
          <w:rFonts w:eastAsia="Times New Roman"/>
          <w:color w:val="000000"/>
          <w:lang w:eastAsia="en-AU"/>
        </w:rPr>
        <w:t xml:space="preserve"> transplant</w:t>
      </w:r>
      <w:r w:rsidR="00AA3F6A" w:rsidRPr="00810567">
        <w:rPr>
          <w:rFonts w:eastAsia="Times New Roman"/>
          <w:color w:val="000000"/>
          <w:lang w:eastAsia="en-AU"/>
        </w:rPr>
        <w:t xml:space="preserve"> – lung</w:t>
      </w:r>
      <w:r w:rsidR="00AA3F6A">
        <w:t xml:space="preserve"> </w:t>
      </w:r>
      <w:r w:rsidR="007F7816">
        <w:t>(</w:t>
      </w:r>
      <w:r w:rsidR="00433B4B">
        <w:t>16,311</w:t>
      </w:r>
      <w:r w:rsidR="007F7816">
        <w:t xml:space="preserve">g), </w:t>
      </w:r>
      <w:r w:rsidR="00AA3F6A">
        <w:rPr>
          <w:rFonts w:eastAsia="Times New Roman"/>
          <w:color w:val="000000"/>
          <w:lang w:eastAsia="en-AU"/>
        </w:rPr>
        <w:t>Pyoderma gangrenosum (</w:t>
      </w:r>
      <w:r w:rsidR="00433B4B">
        <w:rPr>
          <w:rFonts w:eastAsia="Times New Roman"/>
          <w:color w:val="000000"/>
          <w:lang w:eastAsia="en-AU"/>
        </w:rPr>
        <w:t>13,256</w:t>
      </w:r>
      <w:r w:rsidR="00AA3F6A">
        <w:rPr>
          <w:rFonts w:eastAsia="Times New Roman"/>
          <w:color w:val="000000"/>
          <w:lang w:eastAsia="en-AU"/>
        </w:rPr>
        <w:t>g)</w:t>
      </w:r>
      <w:r w:rsidR="00433B4B">
        <w:rPr>
          <w:rFonts w:eastAsia="Times New Roman"/>
          <w:color w:val="000000"/>
          <w:lang w:eastAsia="en-AU"/>
        </w:rPr>
        <w:t xml:space="preserve"> and Sjogren’s Syndrome (</w:t>
      </w:r>
      <w:r w:rsidR="00F27978">
        <w:rPr>
          <w:rFonts w:eastAsia="Times New Roman"/>
          <w:color w:val="000000"/>
          <w:lang w:eastAsia="en-AU"/>
        </w:rPr>
        <w:t>9,761</w:t>
      </w:r>
      <w:r w:rsidR="00433B4B">
        <w:rPr>
          <w:rFonts w:eastAsia="Times New Roman"/>
          <w:color w:val="000000"/>
          <w:lang w:eastAsia="en-AU"/>
        </w:rPr>
        <w:t>g)</w:t>
      </w:r>
      <w:r w:rsidR="003B72FE" w:rsidRPr="00810567">
        <w:t>.</w:t>
      </w:r>
      <w:r w:rsidR="00652D53">
        <w:t xml:space="preserve"> While use in these conditions represents a small proportion of </w:t>
      </w:r>
      <w:r w:rsidR="00AF1887">
        <w:t xml:space="preserve">total </w:t>
      </w:r>
      <w:r w:rsidR="00716977">
        <w:t>Ig</w:t>
      </w:r>
      <w:r w:rsidR="00652D53">
        <w:t xml:space="preserve"> use, closer examination may be warranted. For example, approximately 140 lung transplants are performed in Australia every year</w:t>
      </w:r>
      <w:r w:rsidR="00FD427D">
        <w:rPr>
          <w:rStyle w:val="FootnoteReference"/>
        </w:rPr>
        <w:footnoteReference w:id="7"/>
      </w:r>
      <w:r w:rsidR="00652D53">
        <w:t xml:space="preserve">, </w:t>
      </w:r>
      <w:r w:rsidR="00AF1887">
        <w:t xml:space="preserve">and </w:t>
      </w:r>
      <w:r w:rsidR="00F27978">
        <w:t>94</w:t>
      </w:r>
      <w:r w:rsidR="00AF1887">
        <w:t xml:space="preserve"> patients received </w:t>
      </w:r>
      <w:r w:rsidR="00716977">
        <w:t>Ig</w:t>
      </w:r>
      <w:r w:rsidR="00AF1887">
        <w:t xml:space="preserve"> for this indication, </w:t>
      </w:r>
      <w:r w:rsidR="00652D53">
        <w:t xml:space="preserve">meaning that </w:t>
      </w:r>
      <w:r w:rsidR="00F27978">
        <w:t>more than</w:t>
      </w:r>
      <w:r w:rsidR="00652D53">
        <w:t xml:space="preserve"> half of these patients recei</w:t>
      </w:r>
      <w:r w:rsidR="00471E0D">
        <w:t>ved</w:t>
      </w:r>
      <w:r w:rsidR="00652D53">
        <w:t xml:space="preserve"> </w:t>
      </w:r>
      <w:r w:rsidR="00716977">
        <w:t>Ig</w:t>
      </w:r>
      <w:r w:rsidR="00652D53">
        <w:t>.</w:t>
      </w:r>
    </w:p>
    <w:p w:rsidR="00D668C9" w:rsidRPr="00810567" w:rsidRDefault="00D668C9" w:rsidP="00AF717F">
      <w:pPr>
        <w:rPr>
          <w:rFonts w:eastAsia="Times New Roman"/>
          <w:color w:val="000000"/>
          <w:lang w:eastAsia="en-AU"/>
        </w:rPr>
      </w:pPr>
      <w:r>
        <w:t xml:space="preserve">Both </w:t>
      </w:r>
      <w:r w:rsidRPr="007F7816">
        <w:rPr>
          <w:rFonts w:eastAsia="Times New Roman"/>
          <w:color w:val="000000"/>
          <w:lang w:eastAsia="en-AU"/>
        </w:rPr>
        <w:t xml:space="preserve">Limbic </w:t>
      </w:r>
      <w:r>
        <w:rPr>
          <w:rFonts w:eastAsia="Times New Roman"/>
          <w:color w:val="000000"/>
          <w:lang w:eastAsia="en-AU"/>
        </w:rPr>
        <w:t xml:space="preserve">Encephalitis – nonparaneoplastic and Pyoderma gangrenosum have </w:t>
      </w:r>
      <w:r w:rsidR="00AF7F76">
        <w:rPr>
          <w:rFonts w:eastAsia="Times New Roman"/>
          <w:color w:val="000000"/>
          <w:lang w:eastAsia="en-AU"/>
        </w:rPr>
        <w:t xml:space="preserve">tripled in grams issued </w:t>
      </w:r>
      <w:r>
        <w:rPr>
          <w:rFonts w:eastAsia="Times New Roman"/>
          <w:color w:val="000000"/>
          <w:lang w:eastAsia="en-AU"/>
        </w:rPr>
        <w:t>since 2012-13</w:t>
      </w:r>
      <w:r w:rsidR="00AF7F76">
        <w:rPr>
          <w:rFonts w:eastAsia="Times New Roman"/>
          <w:color w:val="000000"/>
          <w:lang w:eastAsia="en-AU"/>
        </w:rPr>
        <w:t xml:space="preserve"> and doubled in patient count</w:t>
      </w:r>
      <w:r>
        <w:rPr>
          <w:rFonts w:eastAsia="Times New Roman"/>
          <w:color w:val="000000"/>
          <w:lang w:eastAsia="en-AU"/>
        </w:rPr>
        <w:t>.</w:t>
      </w:r>
    </w:p>
    <w:p w:rsidR="000F6C7F" w:rsidRDefault="00652D53" w:rsidP="00AF717F">
      <w:r>
        <w:t xml:space="preserve">While </w:t>
      </w:r>
      <w:r w:rsidR="00716977">
        <w:t>Ig</w:t>
      </w:r>
      <w:r w:rsidR="00AF717F" w:rsidRPr="006D7C49">
        <w:t xml:space="preserve">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in 201</w:t>
      </w:r>
      <w:r w:rsidR="00433B4B">
        <w:t>4</w:t>
      </w:r>
      <w:r>
        <w:t>-1</w:t>
      </w:r>
      <w:r w:rsidR="00433B4B">
        <w:t>5</w:t>
      </w:r>
      <w:r>
        <w:t xml:space="preserve"> there were </w:t>
      </w:r>
      <w:r w:rsidRPr="00291DBF">
        <w:t>no</w:t>
      </w:r>
      <w:r>
        <w:t xml:space="preserve"> cases where </w:t>
      </w:r>
      <w:r w:rsidR="00716977">
        <w:t>Ig</w:t>
      </w:r>
      <w:r>
        <w:t xml:space="preserve"> was supplied for a condition not in the </w:t>
      </w:r>
      <w:r>
        <w:rPr>
          <w:i/>
        </w:rPr>
        <w:t>C</w:t>
      </w:r>
      <w:r w:rsidRPr="00652D53">
        <w:rPr>
          <w:i/>
        </w:rPr>
        <w:t>riteria</w:t>
      </w:r>
      <w:r>
        <w:t xml:space="preserve"> (excluding Direct Orders where alignment with the </w:t>
      </w:r>
      <w:r w:rsidR="002D7E17">
        <w:rPr>
          <w:i/>
        </w:rPr>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 xml:space="preserve">). </w:t>
      </w:r>
      <w:r w:rsidR="000F6C7F">
        <w:t>However, data to support compliance with all aspects of qualifying criteria for each condition is not always collected.</w:t>
      </w:r>
    </w:p>
    <w:p w:rsidR="001E45D0" w:rsidRDefault="00716977" w:rsidP="001E45D0">
      <w:pPr>
        <w:pStyle w:val="Heading2"/>
      </w:pPr>
      <w:bookmarkStart w:id="83" w:name="_Toc353524190"/>
      <w:bookmarkStart w:id="84" w:name="_Toc353894373"/>
      <w:bookmarkStart w:id="85" w:name="_Toc361570426"/>
      <w:bookmarkStart w:id="86" w:name="_Toc364776938"/>
      <w:bookmarkStart w:id="87" w:name="_Toc456267419"/>
      <w:r>
        <w:t>Ig</w:t>
      </w:r>
      <w:r w:rsidR="001E45D0">
        <w:t xml:space="preserve"> </w:t>
      </w:r>
      <w:r w:rsidR="00D77190">
        <w:t>issues</w:t>
      </w:r>
      <w:r w:rsidR="001E45D0" w:rsidRPr="0006087D">
        <w:t xml:space="preserve"> by </w:t>
      </w:r>
      <w:bookmarkEnd w:id="83"/>
      <w:bookmarkEnd w:id="84"/>
      <w:bookmarkEnd w:id="85"/>
      <w:bookmarkEnd w:id="86"/>
      <w:r w:rsidR="00CC3E5B">
        <w:t>diagnostic</w:t>
      </w:r>
      <w:r w:rsidR="00C119CD">
        <w:t xml:space="preserve"> </w:t>
      </w:r>
      <w:r w:rsidR="001E45D0">
        <w:t>group</w:t>
      </w:r>
      <w:r w:rsidR="00F52A66">
        <w:t>s</w:t>
      </w:r>
      <w:bookmarkEnd w:id="87"/>
    </w:p>
    <w:p w:rsidR="001E45D0" w:rsidRDefault="001E45D0" w:rsidP="00082314">
      <w:r>
        <w:t>The top ten</w:t>
      </w:r>
      <w:r w:rsidR="00367133">
        <w:t xml:space="preserve"> </w:t>
      </w:r>
      <w:r w:rsidR="00F52A66">
        <w:t>di</w:t>
      </w:r>
      <w:r w:rsidR="00082314">
        <w:t>agnostic</w:t>
      </w:r>
      <w:r w:rsidR="00367133">
        <w:t xml:space="preserve"> groups account for </w:t>
      </w:r>
      <w:r w:rsidR="00367133" w:rsidRPr="00291DBF">
        <w:t>88.</w:t>
      </w:r>
      <w:r w:rsidR="00AF7F76">
        <w:t>1</w:t>
      </w:r>
      <w:r>
        <w:t xml:space="preserve">% of all </w:t>
      </w:r>
      <w:r w:rsidR="00716977">
        <w:t>Ig</w:t>
      </w:r>
      <w:r>
        <w:t xml:space="preserve"> supplied, with the top three </w:t>
      </w:r>
      <w:r w:rsidR="00082314">
        <w:t xml:space="preserve">diagnostic </w:t>
      </w:r>
      <w:r>
        <w:t xml:space="preserve">groups accounting for </w:t>
      </w:r>
      <w:r w:rsidR="00291DBF" w:rsidRPr="00291DBF">
        <w:t>5</w:t>
      </w:r>
      <w:r w:rsidR="00AF7F76">
        <w:t>7</w:t>
      </w:r>
      <w:r w:rsidR="00291DBF" w:rsidRPr="00291DBF">
        <w:t>.7</w:t>
      </w:r>
      <w:r w:rsidRPr="00291DBF">
        <w:t>%.</w:t>
      </w:r>
    </w:p>
    <w:p w:rsidR="001E45D0" w:rsidRDefault="001E45D0" w:rsidP="00082314">
      <w:r w:rsidRPr="00B07B6E">
        <w:t>Acquired hypogammaglobulinaemia secondary to haematological malign</w:t>
      </w:r>
      <w:r>
        <w:t xml:space="preserve">ancies is the </w:t>
      </w:r>
      <w:r w:rsidR="00082314">
        <w:t xml:space="preserve">diagnostic </w:t>
      </w:r>
      <w:r>
        <w:t xml:space="preserve">group </w:t>
      </w:r>
      <w:r w:rsidRPr="00B07B6E">
        <w:t>for which the greatest perce</w:t>
      </w:r>
      <w:r>
        <w:t xml:space="preserve">ntage of </w:t>
      </w:r>
      <w:r w:rsidR="00716977">
        <w:t>Ig</w:t>
      </w:r>
      <w:r>
        <w:t xml:space="preserve"> was issued in 201</w:t>
      </w:r>
      <w:r w:rsidR="00AF7F76">
        <w:t>4</w:t>
      </w:r>
      <w:r>
        <w:t>-1</w:t>
      </w:r>
      <w:r w:rsidR="00AF7F76">
        <w:t>5</w:t>
      </w:r>
      <w:r w:rsidRPr="00B07B6E">
        <w:t xml:space="preserve"> </w:t>
      </w:r>
      <w:r w:rsidR="00291DBF" w:rsidRPr="00291DBF">
        <w:t>(2</w:t>
      </w:r>
      <w:r w:rsidR="00AF7F76">
        <w:t>2</w:t>
      </w:r>
      <w:r w:rsidR="00291DBF" w:rsidRPr="00291DBF">
        <w:t>.</w:t>
      </w:r>
      <w:r w:rsidR="00AF7F76">
        <w:t>0</w:t>
      </w:r>
      <w:r w:rsidRPr="00291DBF">
        <w:t>%)</w:t>
      </w:r>
      <w:r w:rsidR="001028F8" w:rsidRPr="00291DBF">
        <w:t>,</w:t>
      </w:r>
      <w:r w:rsidRPr="00B07B6E">
        <w:t xml:space="preserve"> closely followed by </w:t>
      </w:r>
      <w:r w:rsidR="00223D39">
        <w:t>c</w:t>
      </w:r>
      <w:r>
        <w:t xml:space="preserve">hronic </w:t>
      </w:r>
      <w:r w:rsidR="00223D39">
        <w:t>i</w:t>
      </w:r>
      <w:r>
        <w:t xml:space="preserve">nflammatory </w:t>
      </w:r>
      <w:r w:rsidR="00223D39">
        <w:t>d</w:t>
      </w:r>
      <w:r>
        <w:t xml:space="preserve">emyelinating </w:t>
      </w:r>
      <w:r w:rsidR="00223D39">
        <w:t>p</w:t>
      </w:r>
      <w:r>
        <w:t>olyneuropathy</w:t>
      </w:r>
      <w:r w:rsidRPr="00B07B6E">
        <w:t xml:space="preserve"> </w:t>
      </w:r>
      <w:r w:rsidR="00AF7F76">
        <w:t>(21.9</w:t>
      </w:r>
      <w:r w:rsidRPr="00291DBF">
        <w:t>%).</w:t>
      </w:r>
      <w:r w:rsidRPr="00B07B6E">
        <w:t xml:space="preserve"> </w:t>
      </w:r>
      <w:r>
        <w:t xml:space="preserve">Primary </w:t>
      </w:r>
      <w:r w:rsidR="00223D39">
        <w:t>i</w:t>
      </w:r>
      <w:r w:rsidR="00BA55BD">
        <w:t>mmunodeficiency</w:t>
      </w:r>
      <w:r>
        <w:t xml:space="preserve"> diseases </w:t>
      </w:r>
      <w:r w:rsidRPr="00B07B6E">
        <w:t xml:space="preserve">accounted for </w:t>
      </w:r>
      <w:r w:rsidR="00291DBF" w:rsidRPr="00291DBF">
        <w:t>13.</w:t>
      </w:r>
      <w:r w:rsidR="00AF7F76">
        <w:t>8</w:t>
      </w:r>
      <w:r w:rsidRPr="00B07B6E">
        <w:t xml:space="preserve">% of total </w:t>
      </w:r>
      <w:r w:rsidR="00716977">
        <w:t>Ig</w:t>
      </w:r>
      <w:r w:rsidRPr="00B07B6E">
        <w:t xml:space="preserve"> </w:t>
      </w:r>
      <w:r w:rsidR="00082314">
        <w:t xml:space="preserve">use </w:t>
      </w:r>
      <w:r>
        <w:t>(</w:t>
      </w:r>
      <w:r w:rsidR="00E5706B">
        <w:fldChar w:fldCharType="begin"/>
      </w:r>
      <w:r w:rsidR="00753027">
        <w:instrText xml:space="preserve"> REF _Ref253562849 \h </w:instrText>
      </w:r>
      <w:r w:rsidR="00082314">
        <w:instrText xml:space="preserve"> \* MERGEFORMAT </w:instrText>
      </w:r>
      <w:r w:rsidR="00E5706B">
        <w:fldChar w:fldCharType="separate"/>
      </w:r>
      <w:r w:rsidR="00F3134D">
        <w:t>Figure 8</w:t>
      </w:r>
      <w:r w:rsidR="00E5706B">
        <w:fldChar w:fldCharType="end"/>
      </w:r>
      <w:r w:rsidR="00196B2F">
        <w:t xml:space="preserve">, </w:t>
      </w:r>
      <w:r w:rsidR="00196B2F">
        <w:fldChar w:fldCharType="begin"/>
      </w:r>
      <w:r w:rsidR="00196B2F">
        <w:instrText xml:space="preserve"> REF _Ref386099026 \h </w:instrText>
      </w:r>
      <w:r w:rsidR="00082314">
        <w:instrText xml:space="preserve"> \* MERGEFORMAT </w:instrText>
      </w:r>
      <w:r w:rsidR="00196B2F">
        <w:fldChar w:fldCharType="separate"/>
      </w:r>
      <w:r w:rsidR="00F3134D">
        <w:t>Table 8</w:t>
      </w:r>
      <w:r w:rsidR="00196B2F">
        <w:fldChar w:fldCharType="end"/>
      </w:r>
      <w:r w:rsidR="004B16D4">
        <w:t>).</w:t>
      </w:r>
    </w:p>
    <w:p w:rsidR="00C92189" w:rsidRDefault="001E45D0" w:rsidP="00082314">
      <w:r w:rsidRPr="001E45D0">
        <w:t>Since 200</w:t>
      </w:r>
      <w:r w:rsidR="00291DBF">
        <w:t>9</w:t>
      </w:r>
      <w:r w:rsidRPr="001E45D0">
        <w:t xml:space="preserve"> there has </w:t>
      </w:r>
      <w:r w:rsidRPr="002C0EFF">
        <w:t xml:space="preserve">been a </w:t>
      </w:r>
      <w:r w:rsidR="00367133" w:rsidRPr="00291DBF">
        <w:t>1.6</w:t>
      </w:r>
      <w:r w:rsidRPr="001E45D0">
        <w:t xml:space="preserve"> fold increase in </w:t>
      </w:r>
      <w:r w:rsidR="00716977">
        <w:t>Ig</w:t>
      </w:r>
      <w:r w:rsidRPr="001E45D0">
        <w:t xml:space="preserve"> </w:t>
      </w:r>
      <w:r w:rsidR="00D77190">
        <w:t>issues</w:t>
      </w:r>
      <w:r w:rsidRPr="001E45D0">
        <w:t xml:space="preserve"> for </w:t>
      </w:r>
      <w:r w:rsidR="001F2D29">
        <w:t xml:space="preserve">both </w:t>
      </w:r>
      <w:r w:rsidR="006842FF">
        <w:t>a</w:t>
      </w:r>
      <w:r w:rsidRPr="001E45D0">
        <w:t>cquired hypogammaglobulinaemia secondary to haematological malignancies</w:t>
      </w:r>
      <w:r w:rsidR="001F2D29">
        <w:t xml:space="preserve"> </w:t>
      </w:r>
      <w:r w:rsidRPr="001E45D0">
        <w:t>and</w:t>
      </w:r>
      <w:r w:rsidR="002C0EFF">
        <w:t xml:space="preserve"> </w:t>
      </w:r>
      <w:r w:rsidR="001F2D29">
        <w:t>c</w:t>
      </w:r>
      <w:r w:rsidRPr="001E45D0">
        <w:t xml:space="preserve">hronic </w:t>
      </w:r>
      <w:r w:rsidR="001F2D29">
        <w:t>i</w:t>
      </w:r>
      <w:r w:rsidRPr="001E45D0">
        <w:t xml:space="preserve">nflammatory </w:t>
      </w:r>
      <w:r w:rsidR="001F2D29">
        <w:t>d</w:t>
      </w:r>
      <w:r w:rsidRPr="001E45D0">
        <w:t xml:space="preserve">emyelinating </w:t>
      </w:r>
      <w:r w:rsidR="001F2D29">
        <w:t>p</w:t>
      </w:r>
      <w:r w:rsidRPr="001E45D0">
        <w:t>olyneuropathy</w:t>
      </w:r>
      <w:r w:rsidR="001F2D29">
        <w:t>,</w:t>
      </w:r>
      <w:r w:rsidRPr="001E45D0">
        <w:t xml:space="preserve"> and a </w:t>
      </w:r>
      <w:r w:rsidR="002C0EFF" w:rsidRPr="00291DBF">
        <w:t>1.3</w:t>
      </w:r>
      <w:r w:rsidRPr="001E45D0">
        <w:t xml:space="preserve"> fold increase in </w:t>
      </w:r>
      <w:r w:rsidR="00D77190">
        <w:t>issues</w:t>
      </w:r>
      <w:r w:rsidRPr="001E45D0">
        <w:t xml:space="preserve"> for </w:t>
      </w:r>
      <w:r w:rsidR="001F2D29">
        <w:t>p</w:t>
      </w:r>
      <w:r w:rsidRPr="001E45D0">
        <w:t xml:space="preserve">rimary </w:t>
      </w:r>
      <w:r w:rsidR="001F2D29">
        <w:t>i</w:t>
      </w:r>
      <w:r w:rsidR="00BA55BD">
        <w:t>mmunodeficiency</w:t>
      </w:r>
      <w:r w:rsidRPr="001E45D0">
        <w:t xml:space="preserve"> </w:t>
      </w:r>
      <w:r w:rsidR="001F2D29">
        <w:t>d</w:t>
      </w:r>
      <w:r w:rsidRPr="001E45D0">
        <w:t xml:space="preserve">iseases. </w:t>
      </w:r>
      <w:r w:rsidRPr="002C0EFF">
        <w:t>This is</w:t>
      </w:r>
      <w:r w:rsidR="001F2D29">
        <w:t xml:space="preserve"> compared</w:t>
      </w:r>
      <w:r w:rsidRPr="001E45D0">
        <w:t xml:space="preserve"> with the </w:t>
      </w:r>
      <w:r w:rsidR="002C0EFF" w:rsidRPr="00291DBF">
        <w:t>1.</w:t>
      </w:r>
      <w:r w:rsidR="00291DBF">
        <w:t>5</w:t>
      </w:r>
      <w:r w:rsidRPr="001E45D0">
        <w:t xml:space="preserve"> fold increase in </w:t>
      </w:r>
      <w:r w:rsidR="00716977">
        <w:t>Ig</w:t>
      </w:r>
      <w:r w:rsidRPr="001E45D0">
        <w:t xml:space="preserve"> </w:t>
      </w:r>
      <w:r w:rsidR="001F2D29">
        <w:t>over</w:t>
      </w:r>
      <w:r w:rsidRPr="001E45D0">
        <w:t xml:space="preserve"> this period for all conditions.</w:t>
      </w:r>
    </w:p>
    <w:p w:rsidR="001E45D0" w:rsidRPr="00D80C8E" w:rsidRDefault="00D80C8E" w:rsidP="001E45D0">
      <w:pPr>
        <w:keepNext/>
        <w:keepLines/>
        <w:rPr>
          <w:rFonts w:asciiTheme="minorHAnsi" w:hAnsiTheme="minorHAnsi" w:cstheme="minorHAnsi"/>
        </w:rPr>
      </w:pPr>
      <w:r w:rsidRPr="00FE46F4">
        <w:lastRenderedPageBreak/>
        <w:t xml:space="preserve">Secondary hypogammaglobulinaemia falls into the top ten </w:t>
      </w:r>
      <w:r w:rsidR="007A710D" w:rsidRPr="00FE46F4">
        <w:t xml:space="preserve">diagnostic </w:t>
      </w:r>
      <w:r w:rsidRPr="00FE46F4">
        <w:t>groups, in spite of being a condition where the evidence for use is emerging</w:t>
      </w:r>
      <w:r w:rsidR="001F2D29" w:rsidRPr="00FE46F4">
        <w:t xml:space="preserve"> (Chapter 6)</w:t>
      </w:r>
      <w:r w:rsidRPr="00FE46F4">
        <w:t xml:space="preserve">. Further iterations of the </w:t>
      </w:r>
      <w:r w:rsidRPr="00FE46F4">
        <w:rPr>
          <w:i/>
        </w:rPr>
        <w:t xml:space="preserve">Criteria </w:t>
      </w:r>
      <w:r w:rsidRPr="00FE46F4">
        <w:t>will need to consider whether the recent literature supports continue</w:t>
      </w:r>
      <w:r w:rsidR="004B16D4" w:rsidRPr="00FE46F4">
        <w:t xml:space="preserve">d </w:t>
      </w:r>
      <w:r w:rsidR="00D77190" w:rsidRPr="00FE46F4">
        <w:t>issues</w:t>
      </w:r>
      <w:r w:rsidR="004B16D4" w:rsidRPr="00FE46F4">
        <w:t xml:space="preserve"> for th</w:t>
      </w:r>
      <w:r w:rsidR="006842FF" w:rsidRPr="00FE46F4">
        <w:t>is</w:t>
      </w:r>
      <w:r w:rsidR="004B16D4" w:rsidRPr="00FE46F4">
        <w:t xml:space="preserve"> </w:t>
      </w:r>
      <w:r w:rsidR="007A710D" w:rsidRPr="00FE46F4">
        <w:t xml:space="preserve">diagnostic </w:t>
      </w:r>
      <w:r w:rsidR="006842FF" w:rsidRPr="00FE46F4">
        <w:t>group</w:t>
      </w:r>
      <w:r w:rsidR="004B16D4" w:rsidRPr="00FE46F4">
        <w:t>.</w:t>
      </w:r>
      <w:r w:rsidR="0062533E" w:rsidRPr="00FE46F4">
        <w:t xml:space="preserve"> The increase in issues of </w:t>
      </w:r>
      <w:r w:rsidR="00D24BD9" w:rsidRPr="00FE46F4">
        <w:t>se</w:t>
      </w:r>
      <w:r w:rsidR="001028F8" w:rsidRPr="00FE46F4">
        <w:t xml:space="preserve">condary </w:t>
      </w:r>
      <w:r w:rsidR="0062533E" w:rsidRPr="00FE46F4">
        <w:t xml:space="preserve">hypogammaglobulinaemia is largely in New South Wales, where there has been a </w:t>
      </w:r>
      <w:r w:rsidR="00AF7F76">
        <w:t>361</w:t>
      </w:r>
      <w:r w:rsidR="00D71D7A" w:rsidRPr="00FE46F4">
        <w:t>% increase between 200</w:t>
      </w:r>
      <w:r w:rsidR="006E2462" w:rsidRPr="00FE46F4">
        <w:t>8</w:t>
      </w:r>
      <w:r w:rsidR="006153F8" w:rsidRPr="00FE46F4">
        <w:t>-</w:t>
      </w:r>
      <w:r w:rsidR="006E2462" w:rsidRPr="00FE46F4">
        <w:t>09</w:t>
      </w:r>
      <w:r w:rsidR="00D71D7A" w:rsidRPr="00FE46F4">
        <w:t xml:space="preserve"> and 201</w:t>
      </w:r>
      <w:r w:rsidR="00AF7F76">
        <w:t>4</w:t>
      </w:r>
      <w:r w:rsidR="006153F8" w:rsidRPr="00FE46F4">
        <w:t>-</w:t>
      </w:r>
      <w:r w:rsidR="00D71D7A" w:rsidRPr="00FE46F4">
        <w:t>1</w:t>
      </w:r>
      <w:r w:rsidR="00AF7F76">
        <w:t>5</w:t>
      </w:r>
      <w:r w:rsidR="00D71D7A" w:rsidRPr="00FE46F4">
        <w:t xml:space="preserve">, </w:t>
      </w:r>
      <w:r w:rsidR="001028F8" w:rsidRPr="00FE46F4">
        <w:t xml:space="preserve">associated with a concurrent increase in </w:t>
      </w:r>
      <w:r w:rsidR="00D71D7A" w:rsidRPr="00FE46F4">
        <w:t xml:space="preserve">patient numbers </w:t>
      </w:r>
      <w:r w:rsidR="001028F8" w:rsidRPr="00FE46F4">
        <w:t>(</w:t>
      </w:r>
      <w:r w:rsidR="00D71D7A" w:rsidRPr="00FE46F4">
        <w:t xml:space="preserve">increase </w:t>
      </w:r>
      <w:r w:rsidR="001028F8" w:rsidRPr="00FE46F4">
        <w:t xml:space="preserve">of </w:t>
      </w:r>
      <w:r w:rsidR="006E2462" w:rsidRPr="00FE46F4">
        <w:t>1</w:t>
      </w:r>
      <w:r w:rsidR="00D26977">
        <w:t>53</w:t>
      </w:r>
      <w:r w:rsidR="00D71D7A" w:rsidRPr="00FE46F4">
        <w:t>%</w:t>
      </w:r>
      <w:r w:rsidR="001028F8" w:rsidRPr="00FE46F4">
        <w:t>)</w:t>
      </w:r>
      <w:r w:rsidR="00D71D7A" w:rsidRPr="00FE46F4">
        <w:t xml:space="preserve">. The grams issued per patient has increased </w:t>
      </w:r>
      <w:r w:rsidR="00D24BD9" w:rsidRPr="00FE46F4">
        <w:t xml:space="preserve">by </w:t>
      </w:r>
      <w:r w:rsidR="00D26977">
        <w:t>82</w:t>
      </w:r>
      <w:r w:rsidR="00D24BD9" w:rsidRPr="00FE46F4">
        <w:t>%</w:t>
      </w:r>
      <w:r w:rsidR="001028F8" w:rsidRPr="00FE46F4">
        <w:t>.</w:t>
      </w:r>
      <w:r w:rsidR="00D71D7A" w:rsidRPr="00FE46F4">
        <w:t xml:space="preserve"> </w:t>
      </w:r>
      <w:r w:rsidR="001028F8" w:rsidRPr="00FE46F4">
        <w:t xml:space="preserve">However </w:t>
      </w:r>
      <w:r w:rsidR="00D71D7A" w:rsidRPr="00FE46F4">
        <w:t>there has been a large increase in grams per 1</w:t>
      </w:r>
      <w:r w:rsidR="001028F8" w:rsidRPr="00FE46F4">
        <w:t>,</w:t>
      </w:r>
      <w:r w:rsidR="00D71D7A" w:rsidRPr="00FE46F4">
        <w:t xml:space="preserve">000 population from </w:t>
      </w:r>
      <w:r w:rsidR="003779DA">
        <w:t>1.5</w:t>
      </w:r>
      <w:r w:rsidR="00D71D7A" w:rsidRPr="00FE46F4">
        <w:t xml:space="preserve"> to </w:t>
      </w:r>
      <w:r w:rsidR="0008068E">
        <w:t>6.6</w:t>
      </w:r>
      <w:r w:rsidR="00D71D7A" w:rsidRPr="00FE46F4">
        <w:t xml:space="preserve">. Other states and territories have not had changes as large </w:t>
      </w:r>
      <w:r w:rsidR="00B71980" w:rsidRPr="00FE46F4">
        <w:t>as</w:t>
      </w:r>
      <w:r w:rsidR="00D71D7A" w:rsidRPr="00FE46F4">
        <w:t xml:space="preserve"> New South Wales.</w:t>
      </w:r>
    </w:p>
    <w:p w:rsidR="001E45D0" w:rsidRPr="0011770B" w:rsidRDefault="00EB5012" w:rsidP="00F6375B">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r>
        <w:rPr>
          <w:noProof/>
          <w:lang w:eastAsia="en-AU"/>
        </w:rPr>
        <w:drawing>
          <wp:inline distT="0" distB="0" distL="0" distR="0" wp14:anchorId="458EB183" wp14:editId="0E3CC822">
            <wp:extent cx="5926455" cy="3297540"/>
            <wp:effectExtent l="0" t="0" r="1714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88" w:name="_Ref253562849"/>
      <w:bookmarkStart w:id="89" w:name="_Toc390098187"/>
      <w:bookmarkStart w:id="90" w:name="_Toc456266173"/>
      <w:r>
        <w:t xml:space="preserve">Figure </w:t>
      </w:r>
      <w:r w:rsidR="00E5706B">
        <w:fldChar w:fldCharType="begin"/>
      </w:r>
      <w:r w:rsidR="000622C5">
        <w:instrText xml:space="preserve"> SEQ Figure \* ARABIC </w:instrText>
      </w:r>
      <w:r w:rsidR="00E5706B">
        <w:fldChar w:fldCharType="separate"/>
      </w:r>
      <w:r w:rsidR="00F3134D">
        <w:rPr>
          <w:noProof/>
        </w:rPr>
        <w:t>8</w:t>
      </w:r>
      <w:r w:rsidR="00E5706B">
        <w:rPr>
          <w:noProof/>
        </w:rPr>
        <w:fldChar w:fldCharType="end"/>
      </w:r>
      <w:bookmarkEnd w:id="88"/>
      <w:r w:rsidR="009C0BBE">
        <w:tab/>
      </w:r>
      <w:r w:rsidR="00716977">
        <w:t>Ig</w:t>
      </w:r>
      <w:r>
        <w:t xml:space="preserve"> </w:t>
      </w:r>
      <w:r w:rsidR="007A710D">
        <w:t xml:space="preserve">grams </w:t>
      </w:r>
      <w:r w:rsidR="002E4D25">
        <w:t>issue</w:t>
      </w:r>
      <w:r w:rsidR="007A710D">
        <w:t>d</w:t>
      </w:r>
      <w:r>
        <w:t xml:space="preserve"> by </w:t>
      </w:r>
      <w:r w:rsidR="00383805">
        <w:t>d</w:t>
      </w:r>
      <w:r w:rsidR="007A710D">
        <w:t>iagnostic</w:t>
      </w:r>
      <w:r>
        <w:t xml:space="preserve"> group</w:t>
      </w:r>
      <w:bookmarkEnd w:id="89"/>
      <w:bookmarkEnd w:id="90"/>
    </w:p>
    <w:p w:rsidR="00353CA7" w:rsidRDefault="00353CA7">
      <w:pPr>
        <w:spacing w:after="0"/>
      </w:pPr>
      <w:r>
        <w:br w:type="page"/>
      </w:r>
    </w:p>
    <w:p w:rsidR="006D72E2" w:rsidRDefault="006D72E2" w:rsidP="006D72E2">
      <w:pPr>
        <w:pStyle w:val="Caption"/>
        <w:keepNext/>
      </w:pPr>
      <w:bookmarkStart w:id="91" w:name="_Ref386099026"/>
      <w:bookmarkStart w:id="92" w:name="_Toc456266151"/>
      <w:bookmarkStart w:id="93" w:name="_Toc456266987"/>
      <w:r>
        <w:lastRenderedPageBreak/>
        <w:t xml:space="preserve">Table </w:t>
      </w:r>
      <w:fldSimple w:instr=" SEQ Table \* ARABIC ">
        <w:r w:rsidR="00F3134D">
          <w:rPr>
            <w:noProof/>
          </w:rPr>
          <w:t>8</w:t>
        </w:r>
      </w:fldSimple>
      <w:bookmarkEnd w:id="91"/>
      <w:r>
        <w:tab/>
      </w:r>
      <w:r w:rsidR="00716977">
        <w:t>Ig</w:t>
      </w:r>
      <w:r>
        <w:t xml:space="preserve"> grams issued for top 10 </w:t>
      </w:r>
      <w:r w:rsidR="007A710D">
        <w:t xml:space="preserve">diagnostic </w:t>
      </w:r>
      <w:r>
        <w:t>groups over time</w:t>
      </w:r>
      <w:bookmarkEnd w:id="92"/>
      <w:bookmarkEnd w:id="93"/>
    </w:p>
    <w:tbl>
      <w:tblPr>
        <w:tblStyle w:val="NBATableStyle2"/>
        <w:tblW w:w="9549" w:type="dxa"/>
        <w:tblLayout w:type="fixed"/>
        <w:tblLook w:val="04A0" w:firstRow="1" w:lastRow="0" w:firstColumn="1" w:lastColumn="0" w:noHBand="0" w:noVBand="1"/>
      </w:tblPr>
      <w:tblGrid>
        <w:gridCol w:w="4343"/>
        <w:gridCol w:w="1042"/>
        <w:gridCol w:w="1041"/>
        <w:gridCol w:w="1041"/>
        <w:gridCol w:w="1041"/>
        <w:gridCol w:w="1041"/>
      </w:tblGrid>
      <w:tr w:rsidR="00FA7A97" w:rsidRPr="000C349D" w:rsidTr="00FA7A9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FA7A97" w:rsidRPr="000C349D" w:rsidRDefault="00FA7A97" w:rsidP="000C349D">
            <w:pPr>
              <w:spacing w:after="0"/>
              <w:ind w:right="-108"/>
              <w:rPr>
                <w:rFonts w:eastAsia="Times New Roman"/>
              </w:rPr>
            </w:pPr>
          </w:p>
        </w:tc>
        <w:tc>
          <w:tcPr>
            <w:tcW w:w="1042" w:type="dxa"/>
            <w:noWrap/>
            <w:vAlign w:val="top"/>
            <w:hideMark/>
          </w:tcPr>
          <w:p w:rsidR="00FA7A97" w:rsidRPr="000544F9" w:rsidRDefault="00FA7A97" w:rsidP="00FA7A97">
            <w:pPr>
              <w:cnfStyle w:val="100000000000" w:firstRow="1" w:lastRow="0" w:firstColumn="0" w:lastColumn="0" w:oddVBand="0" w:evenVBand="0" w:oddHBand="0" w:evenHBand="0" w:firstRowFirstColumn="0" w:firstRowLastColumn="0" w:lastRowFirstColumn="0" w:lastRowLastColumn="0"/>
            </w:pPr>
            <w:r w:rsidRPr="000544F9">
              <w:t>2010-11</w:t>
            </w:r>
          </w:p>
        </w:tc>
        <w:tc>
          <w:tcPr>
            <w:tcW w:w="1041" w:type="dxa"/>
            <w:noWrap/>
            <w:vAlign w:val="top"/>
            <w:hideMark/>
          </w:tcPr>
          <w:p w:rsidR="00FA7A97" w:rsidRPr="000544F9" w:rsidRDefault="00FA7A97" w:rsidP="00FA7A97">
            <w:pPr>
              <w:cnfStyle w:val="100000000000" w:firstRow="1" w:lastRow="0" w:firstColumn="0" w:lastColumn="0" w:oddVBand="0" w:evenVBand="0" w:oddHBand="0" w:evenHBand="0" w:firstRowFirstColumn="0" w:firstRowLastColumn="0" w:lastRowFirstColumn="0" w:lastRowLastColumn="0"/>
            </w:pPr>
            <w:r w:rsidRPr="000544F9">
              <w:t>2011-12</w:t>
            </w:r>
          </w:p>
        </w:tc>
        <w:tc>
          <w:tcPr>
            <w:tcW w:w="1041" w:type="dxa"/>
            <w:noWrap/>
            <w:vAlign w:val="top"/>
            <w:hideMark/>
          </w:tcPr>
          <w:p w:rsidR="00FA7A97" w:rsidRPr="000544F9" w:rsidRDefault="00FA7A97" w:rsidP="00FA7A97">
            <w:pPr>
              <w:cnfStyle w:val="100000000000" w:firstRow="1" w:lastRow="0" w:firstColumn="0" w:lastColumn="0" w:oddVBand="0" w:evenVBand="0" w:oddHBand="0" w:evenHBand="0" w:firstRowFirstColumn="0" w:firstRowLastColumn="0" w:lastRowFirstColumn="0" w:lastRowLastColumn="0"/>
            </w:pPr>
            <w:r w:rsidRPr="000544F9">
              <w:t>2012-13</w:t>
            </w:r>
          </w:p>
        </w:tc>
        <w:tc>
          <w:tcPr>
            <w:tcW w:w="1041" w:type="dxa"/>
            <w:noWrap/>
            <w:vAlign w:val="top"/>
            <w:hideMark/>
          </w:tcPr>
          <w:p w:rsidR="00FA7A97" w:rsidRPr="000544F9" w:rsidRDefault="00FA7A97" w:rsidP="00FA7A97">
            <w:pPr>
              <w:cnfStyle w:val="100000000000" w:firstRow="1" w:lastRow="0" w:firstColumn="0" w:lastColumn="0" w:oddVBand="0" w:evenVBand="0" w:oddHBand="0" w:evenHBand="0" w:firstRowFirstColumn="0" w:firstRowLastColumn="0" w:lastRowFirstColumn="0" w:lastRowLastColumn="0"/>
            </w:pPr>
            <w:r w:rsidRPr="000544F9">
              <w:t>2013-14</w:t>
            </w:r>
          </w:p>
        </w:tc>
        <w:tc>
          <w:tcPr>
            <w:tcW w:w="1041" w:type="dxa"/>
            <w:vAlign w:val="top"/>
          </w:tcPr>
          <w:p w:rsidR="00FA7A97" w:rsidRDefault="00FA7A97" w:rsidP="00FA7A97">
            <w:pPr>
              <w:cnfStyle w:val="100000000000" w:firstRow="1" w:lastRow="0" w:firstColumn="0" w:lastColumn="0" w:oddVBand="0" w:evenVBand="0" w:oddHBand="0" w:evenHBand="0" w:firstRowFirstColumn="0" w:firstRowLastColumn="0" w:lastRowFirstColumn="0" w:lastRowLastColumn="0"/>
            </w:pPr>
            <w:r w:rsidRPr="000544F9">
              <w:t>2014-15</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Acquired hypogammaglobulinaemia secondary to haematological malignancies</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631,689</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694,640</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771,071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862,898</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982,773</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Chronic inflammatory demyelinating polyneuropathy</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599,181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677,458</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758,271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974,258</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Primary immunodeficiency diseases</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465,424</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477,461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509,364</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558,617</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614,781</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Myasthenia gravis</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189,771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231,064</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257,966</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348,336</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Multifocal motor neuropathy</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175,176</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192,109</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209,791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256,041</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Inflammatory myopathies</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139,195</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153,931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188,362</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230,473</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249,229</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ITP in adults</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163,905</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162,098</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178,738</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186,640</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187,621</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Secondary hypogammaglobulinaemia</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79,151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95,183</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106,484</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126,561</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Guillain-Barre syndrome</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101,014</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95,359</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104,360</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108,929</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105,567</w:t>
            </w:r>
          </w:p>
        </w:tc>
      </w:tr>
      <w:tr w:rsidR="00EB5012" w:rsidRPr="000C349D" w:rsidTr="00EB5012">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EB5012" w:rsidRDefault="00EB5012" w:rsidP="00EB5012">
            <w:pPr>
              <w:rPr>
                <w:color w:val="000000"/>
              </w:rPr>
            </w:pPr>
            <w:r>
              <w:rPr>
                <w:color w:val="000000"/>
              </w:rPr>
              <w:t>Kidney transplantation</w:t>
            </w:r>
          </w:p>
        </w:tc>
        <w:tc>
          <w:tcPr>
            <w:tcW w:w="1042"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63,480</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71,922</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84,931</w:t>
            </w:r>
          </w:p>
        </w:tc>
        <w:tc>
          <w:tcPr>
            <w:tcW w:w="1041" w:type="dxa"/>
            <w:noWrap/>
            <w:hideMark/>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97,070</w:t>
            </w:r>
          </w:p>
        </w:tc>
        <w:tc>
          <w:tcPr>
            <w:tcW w:w="1041" w:type="dxa"/>
          </w:tcPr>
          <w:p w:rsidR="00EB5012" w:rsidRDefault="00EB5012" w:rsidP="00EB5012">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90,031</w:t>
            </w:r>
          </w:p>
        </w:tc>
      </w:tr>
    </w:tbl>
    <w:p w:rsidR="000C349D" w:rsidRPr="001F2D29" w:rsidRDefault="000C349D" w:rsidP="001F2D29"/>
    <w:p w:rsidR="0065660F" w:rsidRDefault="00716977" w:rsidP="0065660F">
      <w:pPr>
        <w:pStyle w:val="Heading2"/>
      </w:pPr>
      <w:bookmarkStart w:id="94" w:name="_Toc456267420"/>
      <w:r>
        <w:t>Ig</w:t>
      </w:r>
      <w:r w:rsidR="004A2B69">
        <w:t xml:space="preserve"> </w:t>
      </w:r>
      <w:r w:rsidR="00D77190">
        <w:t>issues</w:t>
      </w:r>
      <w:r w:rsidR="004A2B69" w:rsidRPr="0006087D">
        <w:t xml:space="preserve"> by</w:t>
      </w:r>
      <w:r w:rsidR="004A2B69">
        <w:t xml:space="preserve"> </w:t>
      </w:r>
      <w:r w:rsidR="007A710D">
        <w:t>condition</w:t>
      </w:r>
      <w:bookmarkEnd w:id="94"/>
    </w:p>
    <w:p w:rsidR="00FA70BB" w:rsidRDefault="00FD0FD6" w:rsidP="002D7E17">
      <w:r>
        <w:t xml:space="preserve">Table 9 </w:t>
      </w:r>
      <w:r w:rsidR="00924E52">
        <w:t xml:space="preserve">provides an overview of </w:t>
      </w:r>
      <w:r w:rsidR="00145C54">
        <w:t xml:space="preserve">the </w:t>
      </w:r>
      <w:r w:rsidR="007A710D">
        <w:t>conditions</w:t>
      </w:r>
      <w:r w:rsidR="00145C54">
        <w:t xml:space="preserve"> that use the most </w:t>
      </w:r>
      <w:r w:rsidR="00716977">
        <w:t>Ig</w:t>
      </w:r>
      <w:r w:rsidR="00145C54">
        <w:t xml:space="preserve">, </w:t>
      </w:r>
      <w:r w:rsidR="0062078C">
        <w:t>including data on</w:t>
      </w:r>
      <w:r w:rsidR="00145C54">
        <w:t xml:space="preserve"> total </w:t>
      </w:r>
      <w:r w:rsidR="00716977">
        <w:t>Ig</w:t>
      </w:r>
      <w:r w:rsidR="00145C54">
        <w:t xml:space="preserve"> use, patient numbers and</w:t>
      </w:r>
      <w:r w:rsidR="00924E52">
        <w:t xml:space="preserve"> median birth year</w:t>
      </w:r>
      <w:r w:rsidR="00145C54">
        <w:t>.</w:t>
      </w:r>
      <w:r w:rsidR="00924E52">
        <w:t xml:space="preserve"> </w:t>
      </w:r>
      <w:r w:rsidR="001E45D0">
        <w:t>The</w:t>
      </w:r>
      <w:r w:rsidR="00145C54">
        <w:t>se</w:t>
      </w:r>
      <w:r w:rsidR="001E45D0">
        <w:t xml:space="preserve"> </w:t>
      </w:r>
      <w:r w:rsidR="00145C54">
        <w:t>conditions</w:t>
      </w:r>
      <w:r w:rsidR="001E45D0">
        <w:t xml:space="preserve"> account for </w:t>
      </w:r>
      <w:r w:rsidR="00437320" w:rsidRPr="00437320">
        <w:t>8</w:t>
      </w:r>
      <w:r w:rsidR="00E20DAF">
        <w:t>8</w:t>
      </w:r>
      <w:r w:rsidR="00921109">
        <w:t>.</w:t>
      </w:r>
      <w:r w:rsidR="003779DA">
        <w:t>4</w:t>
      </w:r>
      <w:r w:rsidR="001E45D0" w:rsidRPr="00437320">
        <w:t>%</w:t>
      </w:r>
      <w:r w:rsidR="001E45D0">
        <w:t xml:space="preserve"> of all </w:t>
      </w:r>
      <w:r w:rsidR="00716977">
        <w:t>Ig</w:t>
      </w:r>
      <w:r w:rsidR="001E45D0">
        <w:t xml:space="preserve"> supplied, with the top ten </w:t>
      </w:r>
      <w:r w:rsidR="007A710D">
        <w:t xml:space="preserve">conditions </w:t>
      </w:r>
      <w:r w:rsidR="001E45D0">
        <w:t>account</w:t>
      </w:r>
      <w:r w:rsidR="007A710D">
        <w:t>ing</w:t>
      </w:r>
      <w:r w:rsidR="001E45D0">
        <w:t xml:space="preserve"> for </w:t>
      </w:r>
      <w:r w:rsidR="00921109">
        <w:t>7</w:t>
      </w:r>
      <w:r w:rsidR="003779DA">
        <w:t>5</w:t>
      </w:r>
      <w:r w:rsidR="00921109">
        <w:t>.</w:t>
      </w:r>
      <w:r w:rsidR="003779DA">
        <w:t>0</w:t>
      </w:r>
      <w:r w:rsidR="001E45D0">
        <w:t>%.</w:t>
      </w:r>
      <w:bookmarkStart w:id="95" w:name="_Ref253560329"/>
      <w:r w:rsidR="00196B2F">
        <w:t xml:space="preserve"> This data is also replicated in </w:t>
      </w:r>
      <w:r w:rsidR="00196B2F">
        <w:fldChar w:fldCharType="begin"/>
      </w:r>
      <w:r w:rsidR="00196B2F">
        <w:instrText xml:space="preserve"> REF _Ref386099392 \h </w:instrText>
      </w:r>
      <w:r w:rsidR="00196B2F">
        <w:fldChar w:fldCharType="separate"/>
      </w:r>
      <w:r w:rsidR="00F3134D">
        <w:t xml:space="preserve">Figure </w:t>
      </w:r>
      <w:r w:rsidR="00F3134D">
        <w:rPr>
          <w:noProof/>
        </w:rPr>
        <w:t>9</w:t>
      </w:r>
      <w:r w:rsidR="00196B2F">
        <w:fldChar w:fldCharType="end"/>
      </w:r>
      <w:r w:rsidR="00A52623">
        <w:t xml:space="preserve"> for the top 10 </w:t>
      </w:r>
      <w:r w:rsidR="007A710D">
        <w:t>conditions</w:t>
      </w:r>
      <w:r w:rsidR="00196B2F">
        <w:t>.</w:t>
      </w:r>
    </w:p>
    <w:p w:rsidR="00FA70BB" w:rsidRDefault="00FA70BB" w:rsidP="00FA70BB">
      <w:r>
        <w:br w:type="page"/>
      </w:r>
    </w:p>
    <w:p w:rsidR="0065660F" w:rsidRDefault="0065660F" w:rsidP="0065660F">
      <w:pPr>
        <w:pStyle w:val="Caption"/>
      </w:pPr>
      <w:bookmarkStart w:id="96" w:name="_Toc456266152"/>
      <w:bookmarkStart w:id="97" w:name="_Toc456266988"/>
      <w:r>
        <w:lastRenderedPageBreak/>
        <w:t xml:space="preserve">Table </w:t>
      </w:r>
      <w:r w:rsidR="00E5706B">
        <w:fldChar w:fldCharType="begin"/>
      </w:r>
      <w:r w:rsidR="000622C5">
        <w:instrText xml:space="preserve"> SEQ Table \* ARABIC </w:instrText>
      </w:r>
      <w:r w:rsidR="00E5706B">
        <w:fldChar w:fldCharType="separate"/>
      </w:r>
      <w:r w:rsidR="00F3134D">
        <w:rPr>
          <w:noProof/>
        </w:rPr>
        <w:t>9</w:t>
      </w:r>
      <w:r w:rsidR="00E5706B">
        <w:rPr>
          <w:noProof/>
        </w:rPr>
        <w:fldChar w:fldCharType="end"/>
      </w:r>
      <w:bookmarkEnd w:id="95"/>
      <w:r w:rsidR="009C0BBE">
        <w:rPr>
          <w:noProof/>
        </w:rPr>
        <w:tab/>
      </w:r>
      <w:r>
        <w:t xml:space="preserve">Patient numbers and age for the top </w:t>
      </w:r>
      <w:r w:rsidR="00810567">
        <w:t>2</w:t>
      </w:r>
      <w:r>
        <w:t xml:space="preserve">0 </w:t>
      </w:r>
      <w:r w:rsidR="007A710D">
        <w:t>conditions</w:t>
      </w:r>
      <w:bookmarkEnd w:id="96"/>
      <w:bookmarkEnd w:id="97"/>
    </w:p>
    <w:tbl>
      <w:tblPr>
        <w:tblStyle w:val="NBATableStyle2"/>
        <w:tblW w:w="8897" w:type="dxa"/>
        <w:tblLook w:val="04A0" w:firstRow="1" w:lastRow="0" w:firstColumn="1" w:lastColumn="0" w:noHBand="0" w:noVBand="1"/>
      </w:tblPr>
      <w:tblGrid>
        <w:gridCol w:w="4361"/>
        <w:gridCol w:w="1701"/>
        <w:gridCol w:w="1843"/>
        <w:gridCol w:w="992"/>
      </w:tblGrid>
      <w:tr w:rsidR="000F6C7F" w:rsidRPr="00810567" w:rsidTr="00AF6B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9C0BBE" w:rsidRDefault="007A710D" w:rsidP="00A6620D">
            <w:pPr>
              <w:spacing w:after="0"/>
              <w:rPr>
                <w:rFonts w:eastAsia="Times New Roman"/>
              </w:rPr>
            </w:pPr>
            <w:r>
              <w:rPr>
                <w:rFonts w:eastAsia="Times New Roman"/>
              </w:rPr>
              <w:t>Conditions</w:t>
            </w:r>
            <w:r w:rsidR="000F6C7F" w:rsidRPr="009C0BBE">
              <w:rPr>
                <w:rFonts w:eastAsia="Times New Roman"/>
              </w:rPr>
              <w:t xml:space="preserve"> (Top 20)</w:t>
            </w:r>
          </w:p>
        </w:tc>
        <w:tc>
          <w:tcPr>
            <w:tcW w:w="1701" w:type="dxa"/>
          </w:tcPr>
          <w:p w:rsidR="00924E52" w:rsidRDefault="00716977"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Ig</w:t>
            </w:r>
          </w:p>
          <w:p w:rsidR="000F6C7F" w:rsidRPr="009C0BBE" w:rsidRDefault="00924E52"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g (% of total)</w:t>
            </w:r>
          </w:p>
        </w:tc>
        <w:tc>
          <w:tcPr>
            <w:tcW w:w="1843" w:type="dxa"/>
            <w:noWrap/>
          </w:tcPr>
          <w:p w:rsidR="00924E52"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9C0BBE">
              <w:rPr>
                <w:rFonts w:eastAsia="Times New Roman"/>
              </w:rPr>
              <w:t>Patients</w:t>
            </w:r>
          </w:p>
          <w:p w:rsidR="000F6C7F" w:rsidRPr="009C0BBE"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 (% of total)</w:t>
            </w:r>
          </w:p>
        </w:tc>
        <w:tc>
          <w:tcPr>
            <w:tcW w:w="992" w:type="dxa"/>
            <w:noWrap/>
          </w:tcPr>
          <w:p w:rsidR="000F6C7F" w:rsidRPr="009C0BBE" w:rsidRDefault="000F6C7F" w:rsidP="00A6620D">
            <w:pPr>
              <w:spacing w:after="0"/>
              <w:ind w:left="-80" w:firstLine="8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Median </w:t>
            </w:r>
            <w:r w:rsidRPr="009C0BBE">
              <w:rPr>
                <w:rFonts w:eastAsia="Times New Roman"/>
              </w:rPr>
              <w:t>Age</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Chronic inflammatory demyelinating polyneuropathy</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974,258 (22%)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2,054 (14%)</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Common variable immunodeficiency disease</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537,584 (12%)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1,656 (11%)</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Myasthenia gravis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348,336 (8%)</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818 (5%)</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Chronic lymphocytic leukaemia</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315,205 (7%)</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1,283 (9%)</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Non-Hodgkins lymphoma</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287,900 (6%)</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1,208 (8%)</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Multifocal motor neuropathy</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256,041 (6%)</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444 (3%)</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Multiple myeloma</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255,962 (6%)</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1,100 (7%)</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Polymyositis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135,102 (3%)</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341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Secondary hypogammaglobulinaemia (excludes haem malignancies)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126,561 (3%)</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580 (4%)</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Guillain-Barré syndrome</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105,567 (2%)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628 (4%)</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Kidney transplantation  post-transplant</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83,131 (2%)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335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Other relevant haematological malignancies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80,969 (2%)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428 (3%)</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ITP refractory</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74,228 (2%)</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468 (3%)</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Specific antibody deficiency</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63,646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252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ITP in specific circumstances (surgery, corticosteroids contraindicated, chronic ITP)</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58,430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372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Dermatomyositis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57,451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161 (1%)</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Inclusion body myositis</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56,676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140 (1%)</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HSCT - post</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42,738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307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ITP with life-threatening haemorrhage</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42,394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297 (2%)</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r>
      <w:tr w:rsidR="009D3C1B" w:rsidRPr="00810567" w:rsidTr="009D3C1B">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9D3C1B" w:rsidRPr="00547D7D" w:rsidRDefault="009D3C1B" w:rsidP="00FA7A97">
            <w:pPr>
              <w:rPr>
                <w:rFonts w:asciiTheme="minorHAnsi" w:hAnsiTheme="minorHAnsi" w:cs="Arial"/>
              </w:rPr>
            </w:pPr>
            <w:r w:rsidRPr="00547D7D">
              <w:rPr>
                <w:rFonts w:asciiTheme="minorHAnsi" w:hAnsiTheme="minorHAnsi" w:cs="Arial"/>
              </w:rPr>
              <w:t>X linked agammaglobulinaemia</w:t>
            </w:r>
          </w:p>
        </w:tc>
        <w:tc>
          <w:tcPr>
            <w:tcW w:w="1701" w:type="dxa"/>
          </w:tcPr>
          <w:p w:rsidR="009D3C1B" w:rsidRPr="00547D7D" w:rsidRDefault="009D3C1B" w:rsidP="003779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36,945 (1%)</w:t>
            </w:r>
          </w:p>
        </w:tc>
        <w:tc>
          <w:tcPr>
            <w:tcW w:w="1843" w:type="dxa"/>
            <w:noWrap/>
          </w:tcPr>
          <w:p w:rsidR="009D3C1B" w:rsidRPr="00547D7D" w:rsidRDefault="009D3C1B" w:rsidP="00FA7A9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47D7D">
              <w:rPr>
                <w:rFonts w:asciiTheme="minorHAnsi" w:hAnsiTheme="minorHAnsi" w:cs="Arial"/>
              </w:rPr>
              <w:t>113 (1%)</w:t>
            </w:r>
          </w:p>
        </w:tc>
        <w:tc>
          <w:tcPr>
            <w:tcW w:w="992" w:type="dxa"/>
            <w:noWrap/>
          </w:tcPr>
          <w:p w:rsidR="009D3C1B" w:rsidRDefault="009D3C1B" w:rsidP="009D3C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r>
    </w:tbl>
    <w:p w:rsidR="00F616FC" w:rsidRDefault="00F616FC" w:rsidP="000709CE">
      <w:pPr>
        <w:tabs>
          <w:tab w:val="left" w:pos="965"/>
        </w:tabs>
      </w:pPr>
    </w:p>
    <w:p w:rsidR="006D72E2" w:rsidRDefault="00001F4F" w:rsidP="006D72E2">
      <w:pPr>
        <w:keepNext/>
        <w:tabs>
          <w:tab w:val="left" w:pos="965"/>
        </w:tabs>
      </w:pPr>
      <w:r>
        <w:rPr>
          <w:noProof/>
          <w:lang w:eastAsia="en-AU"/>
        </w:rPr>
        <w:lastRenderedPageBreak/>
        <w:drawing>
          <wp:inline distT="0" distB="0" distL="0" distR="0" wp14:anchorId="4CD67626" wp14:editId="5A7F79AD">
            <wp:extent cx="5926455" cy="4770923"/>
            <wp:effectExtent l="0" t="0" r="17145"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72E2" w:rsidRDefault="006D72E2" w:rsidP="006D72E2">
      <w:pPr>
        <w:pStyle w:val="Caption"/>
      </w:pPr>
      <w:bookmarkStart w:id="98" w:name="_Ref386099392"/>
      <w:bookmarkStart w:id="99" w:name="_Toc390098188"/>
      <w:bookmarkStart w:id="100" w:name="_Toc456266174"/>
      <w:r>
        <w:t xml:space="preserve">Figure </w:t>
      </w:r>
      <w:fldSimple w:instr=" SEQ Figure \* ARABIC ">
        <w:r w:rsidR="00F3134D">
          <w:rPr>
            <w:noProof/>
          </w:rPr>
          <w:t>9</w:t>
        </w:r>
      </w:fldSimple>
      <w:bookmarkEnd w:id="98"/>
      <w:r>
        <w:tab/>
      </w:r>
      <w:r w:rsidR="00383805">
        <w:t xml:space="preserve">Proportion of </w:t>
      </w:r>
      <w:r w:rsidR="00716977">
        <w:t>Ig</w:t>
      </w:r>
      <w:r w:rsidR="00383805">
        <w:t xml:space="preserve"> used for top 10 </w:t>
      </w:r>
      <w:r w:rsidR="007A710D">
        <w:t>conditions</w:t>
      </w:r>
      <w:bookmarkEnd w:id="99"/>
      <w:bookmarkEnd w:id="100"/>
    </w:p>
    <w:p w:rsidR="00196B2F" w:rsidRDefault="00196B2F" w:rsidP="00196B2F">
      <w:pPr>
        <w:tabs>
          <w:tab w:val="left" w:pos="965"/>
        </w:tabs>
      </w:pPr>
    </w:p>
    <w:p w:rsidR="00F616FC" w:rsidRDefault="00492FF2" w:rsidP="00196B2F">
      <w:pPr>
        <w:tabs>
          <w:tab w:val="left" w:pos="965"/>
        </w:tabs>
      </w:pPr>
      <w:r w:rsidRPr="00492FF2">
        <w:t xml:space="preserve">Population based data on </w:t>
      </w:r>
      <w:r w:rsidR="00716977">
        <w:t>Ig</w:t>
      </w:r>
      <w:r w:rsidRPr="00492FF2">
        <w:t xml:space="preserve"> </w:t>
      </w:r>
      <w:r w:rsidR="006153F8">
        <w:t>issues</w:t>
      </w:r>
      <w:r w:rsidRPr="00492FF2">
        <w:t xml:space="preserve"> is particularly interesting for conditions where the majority of patients receive </w:t>
      </w:r>
      <w:r w:rsidR="00716977">
        <w:t>Ig</w:t>
      </w:r>
      <w:r w:rsidRPr="00492FF2">
        <w:t xml:space="preserve"> as it can provide an estimation of disease prevalence. </w:t>
      </w:r>
      <w:r w:rsidR="00A31EC4">
        <w:t>One condition</w:t>
      </w:r>
      <w:r w:rsidR="00F616FC">
        <w:t xml:space="preserve"> for which </w:t>
      </w:r>
      <w:r w:rsidR="00716977">
        <w:t>Ig</w:t>
      </w:r>
      <w:r w:rsidR="00F616FC">
        <w:t xml:space="preserve"> would be prescribed for the vast majority of diagnosed patients </w:t>
      </w:r>
      <w:r w:rsidR="00A31EC4">
        <w:t>is</w:t>
      </w:r>
      <w:r w:rsidR="00F616FC">
        <w:t xml:space="preserve">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CC1D19">
        <w:t>.</w:t>
      </w:r>
    </w:p>
    <w:p w:rsidR="000978FA" w:rsidRDefault="00716977" w:rsidP="00AF6DCB">
      <w:r>
        <w:t>Ig</w:t>
      </w:r>
      <w:r w:rsidR="00F616FC">
        <w:t xml:space="preserve"> was supplied for </w:t>
      </w:r>
      <w:r w:rsidR="00F616FC" w:rsidRPr="00437320">
        <w:t>1,</w:t>
      </w:r>
      <w:r w:rsidR="003779DA">
        <w:t>656</w:t>
      </w:r>
      <w:r w:rsidR="00F616FC">
        <w:t xml:space="preserve"> patients with </w:t>
      </w:r>
      <w:r w:rsidR="0062078C">
        <w:rPr>
          <w:rFonts w:eastAsia="Times New Roman"/>
          <w:color w:val="000000"/>
          <w:lang w:eastAsia="en-AU"/>
        </w:rPr>
        <w:t>c</w:t>
      </w:r>
      <w:r w:rsidR="00F616FC" w:rsidRPr="00810567">
        <w:rPr>
          <w:rFonts w:eastAsia="Times New Roman"/>
          <w:color w:val="000000"/>
          <w:lang w:eastAsia="en-AU"/>
        </w:rPr>
        <w:t xml:space="preserve">ommon </w:t>
      </w:r>
      <w:r w:rsidR="00B45FB4">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AF6DCB">
        <w:t>.</w:t>
      </w:r>
      <w:r w:rsidR="00F616FC">
        <w:t xml:space="preserve"> The </w:t>
      </w:r>
      <w:r w:rsidR="00602777">
        <w:t xml:space="preserve">estimated </w:t>
      </w:r>
      <w:r w:rsidR="00F616FC">
        <w:t xml:space="preserve">prevalence of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F616FC">
        <w:t xml:space="preserve"> </w:t>
      </w:r>
      <w:r w:rsidR="00602777">
        <w:t xml:space="preserve">as measured by patients </w:t>
      </w:r>
      <w:r w:rsidR="0062078C">
        <w:t xml:space="preserve">treated with </w:t>
      </w:r>
      <w:r>
        <w:t>Ig</w:t>
      </w:r>
      <w:r w:rsidR="0062078C">
        <w:t xml:space="preserve"> </w:t>
      </w:r>
      <w:r w:rsidR="00602777">
        <w:t xml:space="preserve">for this indication </w:t>
      </w:r>
      <w:r w:rsidR="0062078C">
        <w:t xml:space="preserve">is </w:t>
      </w:r>
      <w:r w:rsidR="00437320" w:rsidRPr="00437320">
        <w:t>6.</w:t>
      </w:r>
      <w:r w:rsidR="004D7B46">
        <w:t>6</w:t>
      </w:r>
      <w:r w:rsidR="0062078C">
        <w:t xml:space="preserve"> per 100,000 population (rang</w:t>
      </w:r>
      <w:r w:rsidR="00196B2F">
        <w:t>ing from</w:t>
      </w:r>
      <w:r w:rsidR="0062078C">
        <w:t xml:space="preserve"> </w:t>
      </w:r>
      <w:r w:rsidR="00BC2903">
        <w:t>1.2</w:t>
      </w:r>
      <w:r w:rsidR="0062078C" w:rsidRPr="00437320">
        <w:t xml:space="preserve"> to </w:t>
      </w:r>
      <w:r w:rsidR="00BC2903">
        <w:t>17.0</w:t>
      </w:r>
      <w:r w:rsidR="0062078C">
        <w:t xml:space="preserve"> per 100,000 population across Australian states and territories</w:t>
      </w:r>
      <w:r w:rsidR="00D668C9">
        <w:t xml:space="preserve"> and 4.</w:t>
      </w:r>
      <w:r w:rsidR="00BC2903">
        <w:t>7 to 10.5</w:t>
      </w:r>
      <w:r w:rsidR="00D668C9">
        <w:t xml:space="preserve"> if ACT, NT, TAS and WA are excluded</w:t>
      </w:r>
      <w:r w:rsidR="0062078C">
        <w:t>)</w:t>
      </w:r>
      <w:r w:rsidR="0034336A">
        <w:t>.</w:t>
      </w:r>
    </w:p>
    <w:p w:rsidR="009D7E93" w:rsidRDefault="000978FA" w:rsidP="00AF6DCB">
      <w:r>
        <w:t>For</w:t>
      </w:r>
      <w:r w:rsidR="00AF6DCB">
        <w:t xml:space="preserve"> </w:t>
      </w:r>
      <w:r>
        <w:rPr>
          <w:rFonts w:eastAsia="Times New Roman"/>
          <w:color w:val="000000"/>
          <w:lang w:eastAsia="en-AU"/>
        </w:rPr>
        <w:t>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this estimate is higher than other studies suggest with estimates between 2 and 4 people per 100,000 population</w:t>
      </w:r>
      <w:r w:rsidR="00B03604">
        <w:rPr>
          <w:rStyle w:val="FootnoteReference"/>
          <w:rFonts w:eastAsia="Times New Roman"/>
          <w:color w:val="000000"/>
          <w:lang w:eastAsia="en-AU"/>
        </w:rPr>
        <w:footnoteReference w:id="8"/>
      </w:r>
      <w:r w:rsidR="007A710D">
        <w:rPr>
          <w:rFonts w:eastAsia="Times New Roman"/>
          <w:color w:val="000000"/>
          <w:lang w:eastAsia="en-AU"/>
        </w:rPr>
        <w:t>.</w:t>
      </w:r>
      <w:r w:rsidR="00AF6DCB">
        <w:rPr>
          <w:rFonts w:eastAsia="Times New Roman"/>
          <w:color w:val="000000"/>
          <w:lang w:eastAsia="en-AU"/>
        </w:rPr>
        <w:t xml:space="preserve"> </w:t>
      </w:r>
      <w:r w:rsidR="00AF6DCB">
        <w:t xml:space="preserve">The ability to calculate accurate prevalence estimates is important for </w:t>
      </w:r>
      <w:r>
        <w:t>health service planning.</w:t>
      </w:r>
      <w:r w:rsidR="00AF6DCB">
        <w:t xml:space="preserve"> </w:t>
      </w:r>
      <w:r>
        <w:t>I</w:t>
      </w:r>
      <w:r w:rsidR="00AF6DCB">
        <w:t xml:space="preserve">t should be noted that </w:t>
      </w:r>
      <w:r>
        <w:t>the prevalence estimate is for diagnosed and treated patients only, and studies suggest that for 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xml:space="preserve"> there is likely to be a large population of undiagnosed patients who would benefit from treatment with </w:t>
      </w:r>
      <w:r w:rsidR="00716977">
        <w:rPr>
          <w:rFonts w:eastAsia="Times New Roman"/>
          <w:color w:val="000000"/>
          <w:lang w:eastAsia="en-AU"/>
        </w:rPr>
        <w:t>Ig</w:t>
      </w:r>
      <w:r w:rsidR="00AF6DCB">
        <w:t>.</w:t>
      </w:r>
    </w:p>
    <w:p w:rsidR="00707A51" w:rsidRPr="0006087D" w:rsidRDefault="00716977" w:rsidP="00707A51">
      <w:pPr>
        <w:pStyle w:val="Heading2"/>
      </w:pPr>
      <w:bookmarkStart w:id="101" w:name="_Toc353524188"/>
      <w:bookmarkStart w:id="102" w:name="_Toc353894371"/>
      <w:bookmarkStart w:id="103" w:name="_Toc361570424"/>
      <w:bookmarkStart w:id="104" w:name="_Toc364776936"/>
      <w:bookmarkStart w:id="105" w:name="_Toc456267421"/>
      <w:r>
        <w:lastRenderedPageBreak/>
        <w:t>Ig</w:t>
      </w:r>
      <w:r w:rsidR="00F77DED">
        <w:t xml:space="preserve"> </w:t>
      </w:r>
      <w:r w:rsidR="00D77190">
        <w:t>issues</w:t>
      </w:r>
      <w:r w:rsidR="00707A51" w:rsidRPr="0006087D">
        <w:t xml:space="preserve"> by </w:t>
      </w:r>
      <w:r w:rsidR="00F77DED">
        <w:t xml:space="preserve">clinical </w:t>
      </w:r>
      <w:r w:rsidR="00707A51">
        <w:t>d</w:t>
      </w:r>
      <w:r w:rsidR="00707A51" w:rsidRPr="0006087D">
        <w:t>iscipline</w:t>
      </w:r>
      <w:bookmarkEnd w:id="101"/>
      <w:bookmarkEnd w:id="102"/>
      <w:bookmarkEnd w:id="103"/>
      <w:bookmarkEnd w:id="104"/>
      <w:bookmarkEnd w:id="105"/>
    </w:p>
    <w:p w:rsidR="009D7E93" w:rsidRDefault="00EB6913" w:rsidP="002D0420">
      <w:pPr>
        <w:spacing w:after="0"/>
      </w:pPr>
      <w:r>
        <w:t xml:space="preserve">The number of grams of </w:t>
      </w:r>
      <w:r w:rsidR="00716977">
        <w:t>Ig</w:t>
      </w:r>
      <w:r>
        <w:t xml:space="preserve"> issued </w:t>
      </w:r>
      <w:r w:rsidR="009D7E93">
        <w:t>categorised according to</w:t>
      </w:r>
      <w:r>
        <w:t xml:space="preserve"> </w:t>
      </w:r>
      <w:r w:rsidR="00AF6DCB">
        <w:t xml:space="preserve">clinical </w:t>
      </w:r>
      <w:r>
        <w:t xml:space="preserve">discipline is shown in </w:t>
      </w:r>
      <w:r w:rsidR="00E5706B">
        <w:fldChar w:fldCharType="begin"/>
      </w:r>
      <w:r w:rsidR="00753027">
        <w:instrText xml:space="preserve"> REF _Ref253563362 \h </w:instrText>
      </w:r>
      <w:r w:rsidR="00E5706B">
        <w:fldChar w:fldCharType="separate"/>
      </w:r>
      <w:r w:rsidR="00F3134D">
        <w:t xml:space="preserve">Figure </w:t>
      </w:r>
      <w:r w:rsidR="00F3134D">
        <w:rPr>
          <w:noProof/>
        </w:rPr>
        <w:t>10</w:t>
      </w:r>
      <w:r w:rsidR="00E5706B">
        <w:fldChar w:fldCharType="end"/>
      </w:r>
      <w:r w:rsidR="008345D6">
        <w:t xml:space="preserve">. </w:t>
      </w:r>
      <w:r w:rsidR="009D7E93">
        <w:t xml:space="preserve">Some conditions are classified as mixed, in that they fall across more than one clinical discipline. Other conditions fall within a clinical discipline other than neurology, haematology or immunology, such as use in transplants or dermatology. These are considered under ‘Other’ in </w:t>
      </w:r>
      <w:r w:rsidR="009D7E93">
        <w:fldChar w:fldCharType="begin"/>
      </w:r>
      <w:r w:rsidR="009D7E93">
        <w:instrText xml:space="preserve"> REF _Ref253563362 \h </w:instrText>
      </w:r>
      <w:r w:rsidR="009D7E93">
        <w:fldChar w:fldCharType="separate"/>
      </w:r>
      <w:r w:rsidR="00F3134D">
        <w:t xml:space="preserve">Figure </w:t>
      </w:r>
      <w:r w:rsidR="00F3134D">
        <w:rPr>
          <w:noProof/>
        </w:rPr>
        <w:t>10</w:t>
      </w:r>
      <w:r w:rsidR="009D7E93">
        <w:fldChar w:fldCharType="end"/>
      </w:r>
      <w:r w:rsidR="009D7E93">
        <w:t>.</w:t>
      </w:r>
      <w:r w:rsidR="00196B2F">
        <w:t xml:space="preserve"> </w:t>
      </w:r>
      <w:r w:rsidR="00196B2F">
        <w:fldChar w:fldCharType="begin"/>
      </w:r>
      <w:r w:rsidR="00196B2F">
        <w:instrText xml:space="preserve"> REF _Ref386099559 \h </w:instrText>
      </w:r>
      <w:r w:rsidR="00196B2F">
        <w:fldChar w:fldCharType="separate"/>
      </w:r>
      <w:r w:rsidR="00F3134D">
        <w:t xml:space="preserve">Table </w:t>
      </w:r>
      <w:r w:rsidR="00F3134D">
        <w:rPr>
          <w:noProof/>
        </w:rPr>
        <w:t>10</w:t>
      </w:r>
      <w:r w:rsidR="00196B2F">
        <w:fldChar w:fldCharType="end"/>
      </w:r>
      <w:r w:rsidR="00196B2F">
        <w:t xml:space="preserve"> replicates this data.</w:t>
      </w:r>
    </w:p>
    <w:p w:rsidR="005E4EB6" w:rsidRDefault="005E4EB6" w:rsidP="002D0420">
      <w:pPr>
        <w:spacing w:after="0"/>
      </w:pPr>
    </w:p>
    <w:p w:rsidR="008A672C" w:rsidRDefault="008345D6" w:rsidP="008345D6">
      <w:pPr>
        <w:tabs>
          <w:tab w:val="left" w:pos="965"/>
        </w:tabs>
      </w:pPr>
      <w:r>
        <w:t>Since 200</w:t>
      </w:r>
      <w:r w:rsidR="00887677">
        <w:t>9</w:t>
      </w:r>
      <w:r>
        <w:t xml:space="preserve">, there has been a </w:t>
      </w:r>
      <w:r w:rsidR="004B16D4" w:rsidRPr="00887677">
        <w:t>1.</w:t>
      </w:r>
      <w:r w:rsidR="00887677">
        <w:t>7</w:t>
      </w:r>
      <w:r w:rsidR="004B16D4">
        <w:t xml:space="preserve"> </w:t>
      </w:r>
      <w:r>
        <w:t xml:space="preserve">fold increase in </w:t>
      </w:r>
      <w:r w:rsidR="00716977">
        <w:t>Ig</w:t>
      </w:r>
      <w:r>
        <w:t xml:space="preserve"> </w:t>
      </w:r>
      <w:r w:rsidR="00D77190">
        <w:t>issues</w:t>
      </w:r>
      <w:r>
        <w:t xml:space="preserve"> for neurologic</w:t>
      </w:r>
      <w:r w:rsidR="004B16D4">
        <w:t xml:space="preserve">al conditions, compared with </w:t>
      </w:r>
      <w:r w:rsidR="004B16D4" w:rsidRPr="00887677">
        <w:t>a 1.4</w:t>
      </w:r>
      <w:r>
        <w:t xml:space="preserve"> fold increase for ha</w:t>
      </w:r>
      <w:r w:rsidR="00AC0C23">
        <w:t xml:space="preserve">ematological conditions and </w:t>
      </w:r>
      <w:r w:rsidR="004B16D4">
        <w:t>a</w:t>
      </w:r>
      <w:r w:rsidR="00AC0C23">
        <w:t xml:space="preserve"> </w:t>
      </w:r>
      <w:r w:rsidR="00AC0C23" w:rsidRPr="00887677">
        <w:t>1.</w:t>
      </w:r>
      <w:r w:rsidR="00887677">
        <w:t>3</w:t>
      </w:r>
      <w:r w:rsidRPr="009D7E93">
        <w:t xml:space="preserve"> fold increase for immunological conditions.</w:t>
      </w:r>
      <w:r>
        <w:t xml:space="preserve"> </w:t>
      </w:r>
    </w:p>
    <w:p w:rsidR="00EB6913" w:rsidRDefault="008A4E8C" w:rsidP="000709CE">
      <w:pPr>
        <w:tabs>
          <w:tab w:val="left" w:pos="965"/>
        </w:tabs>
      </w:pPr>
      <w:r>
        <w:rPr>
          <w:noProof/>
          <w:lang w:eastAsia="en-AU"/>
        </w:rPr>
        <w:drawing>
          <wp:inline distT="0" distB="0" distL="0" distR="0" wp14:anchorId="676BD4EF" wp14:editId="2ED4D507">
            <wp:extent cx="5667375" cy="3400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2B55" w:rsidRDefault="008345D6" w:rsidP="00383805">
      <w:pPr>
        <w:pStyle w:val="Caption"/>
      </w:pPr>
      <w:bookmarkStart w:id="106" w:name="_Ref253563362"/>
      <w:bookmarkStart w:id="107" w:name="_Ref253563583"/>
      <w:bookmarkStart w:id="108" w:name="_Toc390098189"/>
      <w:bookmarkStart w:id="109" w:name="_Toc456266175"/>
      <w:r>
        <w:t xml:space="preserve">Figure </w:t>
      </w:r>
      <w:r w:rsidR="00E5706B">
        <w:fldChar w:fldCharType="begin"/>
      </w:r>
      <w:r w:rsidR="000622C5">
        <w:instrText xml:space="preserve"> SEQ Figure \* ARABIC </w:instrText>
      </w:r>
      <w:r w:rsidR="00E5706B">
        <w:fldChar w:fldCharType="separate"/>
      </w:r>
      <w:r w:rsidR="00F3134D">
        <w:rPr>
          <w:noProof/>
        </w:rPr>
        <w:t>10</w:t>
      </w:r>
      <w:r w:rsidR="00E5706B">
        <w:rPr>
          <w:noProof/>
        </w:rPr>
        <w:fldChar w:fldCharType="end"/>
      </w:r>
      <w:bookmarkEnd w:id="106"/>
      <w:r w:rsidR="009C0BBE">
        <w:tab/>
      </w:r>
      <w:r w:rsidR="00716977">
        <w:t>Ig</w:t>
      </w:r>
      <w:r w:rsidR="007D56EB">
        <w:t xml:space="preserve"> issues</w:t>
      </w:r>
      <w:r>
        <w:t xml:space="preserve"> by clinical discipline</w:t>
      </w:r>
      <w:bookmarkEnd w:id="107"/>
      <w:bookmarkEnd w:id="108"/>
      <w:bookmarkEnd w:id="109"/>
    </w:p>
    <w:p w:rsidR="00383805" w:rsidRPr="00383805" w:rsidRDefault="00383805" w:rsidP="00383805"/>
    <w:p w:rsidR="00383805" w:rsidRDefault="00383805" w:rsidP="00383805">
      <w:pPr>
        <w:pStyle w:val="Caption"/>
        <w:keepNext/>
      </w:pPr>
      <w:bookmarkStart w:id="110" w:name="_Ref386099559"/>
      <w:bookmarkStart w:id="111" w:name="_Toc456266153"/>
      <w:bookmarkStart w:id="112" w:name="_Toc456266989"/>
      <w:r>
        <w:t xml:space="preserve">Table </w:t>
      </w:r>
      <w:fldSimple w:instr=" SEQ Table \* ARABIC ">
        <w:r w:rsidR="00F3134D">
          <w:rPr>
            <w:noProof/>
          </w:rPr>
          <w:t>10</w:t>
        </w:r>
      </w:fldSimple>
      <w:bookmarkEnd w:id="110"/>
      <w:r>
        <w:tab/>
      </w:r>
      <w:r w:rsidR="00716977">
        <w:t>Ig</w:t>
      </w:r>
      <w:r>
        <w:t xml:space="preserve"> grams issued by clinical discipline</w:t>
      </w:r>
      <w:bookmarkEnd w:id="111"/>
      <w:bookmarkEnd w:id="112"/>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C15E22" w:rsidRPr="00D50CEA" w:rsidTr="00C15E22">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C15E22" w:rsidRPr="00D50CEA" w:rsidRDefault="00C15E22">
            <w:pPr>
              <w:rPr>
                <w:color w:val="000000"/>
              </w:rPr>
            </w:pPr>
          </w:p>
        </w:tc>
        <w:tc>
          <w:tcPr>
            <w:tcW w:w="1417" w:type="dxa"/>
            <w:noWrap/>
            <w:hideMark/>
          </w:tcPr>
          <w:p w:rsidR="00C15E22" w:rsidRPr="00C16488" w:rsidRDefault="00C15E22" w:rsidP="00C15E22">
            <w:pPr>
              <w:cnfStyle w:val="100000000000" w:firstRow="1" w:lastRow="0" w:firstColumn="0" w:lastColumn="0" w:oddVBand="0" w:evenVBand="0" w:oddHBand="0" w:evenHBand="0" w:firstRowFirstColumn="0" w:firstRowLastColumn="0" w:lastRowFirstColumn="0" w:lastRowLastColumn="0"/>
            </w:pPr>
            <w:r w:rsidRPr="00C16488">
              <w:t>2010-11</w:t>
            </w:r>
          </w:p>
        </w:tc>
        <w:tc>
          <w:tcPr>
            <w:tcW w:w="1417" w:type="dxa"/>
            <w:noWrap/>
            <w:hideMark/>
          </w:tcPr>
          <w:p w:rsidR="00C15E22" w:rsidRPr="00C16488" w:rsidRDefault="00C15E22" w:rsidP="00C15E22">
            <w:pPr>
              <w:cnfStyle w:val="100000000000" w:firstRow="1" w:lastRow="0" w:firstColumn="0" w:lastColumn="0" w:oddVBand="0" w:evenVBand="0" w:oddHBand="0" w:evenHBand="0" w:firstRowFirstColumn="0" w:firstRowLastColumn="0" w:lastRowFirstColumn="0" w:lastRowLastColumn="0"/>
            </w:pPr>
            <w:r w:rsidRPr="00C16488">
              <w:t>2011-12</w:t>
            </w:r>
          </w:p>
        </w:tc>
        <w:tc>
          <w:tcPr>
            <w:tcW w:w="1417" w:type="dxa"/>
            <w:noWrap/>
            <w:hideMark/>
          </w:tcPr>
          <w:p w:rsidR="00C15E22" w:rsidRPr="00C16488" w:rsidRDefault="00C15E22" w:rsidP="00C15E22">
            <w:pPr>
              <w:cnfStyle w:val="100000000000" w:firstRow="1" w:lastRow="0" w:firstColumn="0" w:lastColumn="0" w:oddVBand="0" w:evenVBand="0" w:oddHBand="0" w:evenHBand="0" w:firstRowFirstColumn="0" w:firstRowLastColumn="0" w:lastRowFirstColumn="0" w:lastRowLastColumn="0"/>
            </w:pPr>
            <w:r w:rsidRPr="00C16488">
              <w:t>2012-13</w:t>
            </w:r>
          </w:p>
        </w:tc>
        <w:tc>
          <w:tcPr>
            <w:tcW w:w="1417" w:type="dxa"/>
            <w:noWrap/>
            <w:hideMark/>
          </w:tcPr>
          <w:p w:rsidR="00C15E22" w:rsidRPr="00C16488" w:rsidRDefault="00C15E22" w:rsidP="00C15E22">
            <w:pPr>
              <w:cnfStyle w:val="100000000000" w:firstRow="1" w:lastRow="0" w:firstColumn="0" w:lastColumn="0" w:oddVBand="0" w:evenVBand="0" w:oddHBand="0" w:evenHBand="0" w:firstRowFirstColumn="0" w:firstRowLastColumn="0" w:lastRowFirstColumn="0" w:lastRowLastColumn="0"/>
            </w:pPr>
            <w:r w:rsidRPr="00C16488">
              <w:t>2013-14</w:t>
            </w:r>
          </w:p>
        </w:tc>
        <w:tc>
          <w:tcPr>
            <w:tcW w:w="1417" w:type="dxa"/>
          </w:tcPr>
          <w:p w:rsidR="00C15E22" w:rsidRDefault="00C15E22" w:rsidP="00C15E22">
            <w:pPr>
              <w:cnfStyle w:val="100000000000" w:firstRow="1" w:lastRow="0" w:firstColumn="0" w:lastColumn="0" w:oddVBand="0" w:evenVBand="0" w:oddHBand="0" w:evenHBand="0" w:firstRowFirstColumn="0" w:firstRowLastColumn="0" w:lastRowFirstColumn="0" w:lastRowLastColumn="0"/>
            </w:pPr>
            <w:r w:rsidRPr="00C16488">
              <w:t>2014-15</w:t>
            </w:r>
          </w:p>
        </w:tc>
      </w:tr>
      <w:tr w:rsidR="003721B2" w:rsidRPr="00D50CEA" w:rsidTr="003721B2">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721B2" w:rsidRPr="00D50CEA" w:rsidRDefault="003721B2">
            <w:pPr>
              <w:rPr>
                <w:color w:val="000000"/>
              </w:rPr>
            </w:pPr>
            <w:r w:rsidRPr="00D50CEA">
              <w:rPr>
                <w:color w:val="000000"/>
              </w:rPr>
              <w:t>Neurology</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1,283,190</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1,460,702</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1,649,358</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1,916,792</w:t>
            </w:r>
          </w:p>
        </w:tc>
        <w:tc>
          <w:tcPr>
            <w:tcW w:w="1417" w:type="dxa"/>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2,120,111</w:t>
            </w:r>
          </w:p>
        </w:tc>
      </w:tr>
      <w:tr w:rsidR="003721B2" w:rsidRPr="00D50CEA" w:rsidTr="003721B2">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721B2" w:rsidRPr="00D50CEA" w:rsidRDefault="003721B2">
            <w:pPr>
              <w:rPr>
                <w:color w:val="000000"/>
              </w:rPr>
            </w:pPr>
            <w:r w:rsidRPr="00D50CEA">
              <w:rPr>
                <w:color w:val="000000"/>
              </w:rPr>
              <w:t>Haematology</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900,826</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961,366</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1,026,219</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1,116,037</w:t>
            </w:r>
          </w:p>
        </w:tc>
        <w:tc>
          <w:tcPr>
            <w:tcW w:w="1417" w:type="dxa"/>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1,234,816</w:t>
            </w:r>
          </w:p>
        </w:tc>
      </w:tr>
      <w:tr w:rsidR="003721B2" w:rsidRPr="00D50CEA" w:rsidTr="003721B2">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721B2" w:rsidRPr="00D50CEA" w:rsidRDefault="003721B2">
            <w:pPr>
              <w:rPr>
                <w:color w:val="000000"/>
              </w:rPr>
            </w:pPr>
            <w:r w:rsidRPr="00D50CEA">
              <w:rPr>
                <w:color w:val="000000"/>
              </w:rPr>
              <w:t>Immunology</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631,076</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656,179</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695,298</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746,828</w:t>
            </w:r>
          </w:p>
        </w:tc>
        <w:tc>
          <w:tcPr>
            <w:tcW w:w="1417" w:type="dxa"/>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828,735</w:t>
            </w:r>
          </w:p>
        </w:tc>
      </w:tr>
      <w:tr w:rsidR="003721B2" w:rsidRPr="00D50CEA" w:rsidTr="003721B2">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721B2" w:rsidRPr="00D50CEA" w:rsidRDefault="003721B2">
            <w:pPr>
              <w:rPr>
                <w:color w:val="000000"/>
              </w:rPr>
            </w:pPr>
            <w:r w:rsidRPr="00D50CEA">
              <w:rPr>
                <w:color w:val="000000"/>
              </w:rPr>
              <w:t>Other</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166,079</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194,363</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228,947</w:t>
            </w:r>
          </w:p>
        </w:tc>
        <w:tc>
          <w:tcPr>
            <w:tcW w:w="1417" w:type="dxa"/>
            <w:noWrap/>
            <w:hideMark/>
          </w:tcPr>
          <w:p w:rsidR="003721B2" w:rsidRPr="00BA3EBD"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241,386</w:t>
            </w:r>
          </w:p>
        </w:tc>
        <w:tc>
          <w:tcPr>
            <w:tcW w:w="1417" w:type="dxa"/>
          </w:tcPr>
          <w:p w:rsidR="003721B2" w:rsidRDefault="003721B2" w:rsidP="003721B2">
            <w:pPr>
              <w:jc w:val="right"/>
              <w:cnfStyle w:val="000000000000" w:firstRow="0" w:lastRow="0" w:firstColumn="0" w:lastColumn="0" w:oddVBand="0" w:evenVBand="0" w:oddHBand="0" w:evenHBand="0" w:firstRowFirstColumn="0" w:firstRowLastColumn="0" w:lastRowFirstColumn="0" w:lastRowLastColumn="0"/>
            </w:pPr>
            <w:r w:rsidRPr="00BA3EBD">
              <w:t>274,664</w:t>
            </w:r>
          </w:p>
        </w:tc>
      </w:tr>
    </w:tbl>
    <w:p w:rsidR="008A672C" w:rsidRDefault="008A672C" w:rsidP="008345D6"/>
    <w:p w:rsidR="00012B55" w:rsidRDefault="00012B55" w:rsidP="008345D6">
      <w:r>
        <w:t xml:space="preserve">There is significant variation </w:t>
      </w:r>
      <w:r w:rsidR="009D7E93">
        <w:t xml:space="preserve">across Australia in </w:t>
      </w:r>
      <w:r w:rsidR="00716977">
        <w:t>Ig</w:t>
      </w:r>
      <w:r w:rsidR="009D7E93">
        <w:t xml:space="preserve"> use for each clinical discipline</w:t>
      </w:r>
      <w:r>
        <w:t xml:space="preserve">. </w:t>
      </w:r>
      <w:r w:rsidR="00E5706B">
        <w:fldChar w:fldCharType="begin"/>
      </w:r>
      <w:r w:rsidR="00753027">
        <w:instrText xml:space="preserve"> REF _Ref253563789 \h </w:instrText>
      </w:r>
      <w:r w:rsidR="00E5706B">
        <w:fldChar w:fldCharType="separate"/>
      </w:r>
      <w:r w:rsidR="00F3134D">
        <w:t xml:space="preserve">Figure </w:t>
      </w:r>
      <w:r w:rsidR="00F3134D">
        <w:rPr>
          <w:noProof/>
        </w:rPr>
        <w:t>11</w:t>
      </w:r>
      <w:r w:rsidR="00E5706B">
        <w:fldChar w:fldCharType="end"/>
      </w:r>
      <w:r>
        <w:t xml:space="preserve"> shows that in W</w:t>
      </w:r>
      <w:r w:rsidR="009D7E93">
        <w:t xml:space="preserve">estern </w:t>
      </w:r>
      <w:r>
        <w:t>A</w:t>
      </w:r>
      <w:r w:rsidR="009D7E93">
        <w:t>ustralia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 The proportional use for immunological conditions is much lower in Queensland and Tasmania than other states, with </w:t>
      </w:r>
      <w:r w:rsidR="009D7E93">
        <w:t xml:space="preserve">use of </w:t>
      </w:r>
      <w:r w:rsidR="00716977">
        <w:t>Ig</w:t>
      </w:r>
      <w:r w:rsidR="009D7E93">
        <w:t xml:space="preserve"> for </w:t>
      </w:r>
      <w:r>
        <w:t xml:space="preserve">haematological conditions </w:t>
      </w:r>
      <w:r w:rsidR="009D7E93">
        <w:t xml:space="preserve">prevailing in these two states. </w:t>
      </w:r>
      <w:r>
        <w:t>The reason for this inter-</w:t>
      </w:r>
      <w:r w:rsidR="00D50CEA">
        <w:t xml:space="preserve">state and territory </w:t>
      </w:r>
      <w:r>
        <w:t>variation i</w:t>
      </w:r>
      <w:r w:rsidR="00AF717F">
        <w:t>s unknown, but it may represent</w:t>
      </w:r>
      <w:r>
        <w:t xml:space="preserve"> differences in </w:t>
      </w:r>
      <w:r>
        <w:lastRenderedPageBreak/>
        <w:t>clinician practice</w:t>
      </w:r>
      <w:r w:rsidR="009D7E93">
        <w:t>, d</w:t>
      </w:r>
      <w:r>
        <w:t xml:space="preserve">ifferent patient populations or </w:t>
      </w:r>
      <w:r w:rsidR="009D7E93">
        <w:t>may indicate differences due to availability of specialist services across Australia</w:t>
      </w:r>
      <w:r>
        <w:t>.</w:t>
      </w:r>
    </w:p>
    <w:p w:rsidR="00707A51" w:rsidRPr="008345D6" w:rsidRDefault="00F24FC9" w:rsidP="008345D6">
      <w:r>
        <w:rPr>
          <w:noProof/>
          <w:lang w:eastAsia="en-AU"/>
        </w:rPr>
        <w:drawing>
          <wp:inline distT="0" distB="0" distL="0" distR="0" wp14:anchorId="35FD3F37" wp14:editId="4F6EFA5F">
            <wp:extent cx="5787887" cy="2743200"/>
            <wp:effectExtent l="0" t="0" r="2286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6DCB" w:rsidRDefault="00012B55" w:rsidP="00AF6DCB">
      <w:pPr>
        <w:pStyle w:val="Caption"/>
      </w:pPr>
      <w:bookmarkStart w:id="113" w:name="_Ref253563789"/>
      <w:bookmarkStart w:id="114" w:name="_Toc390098190"/>
      <w:bookmarkStart w:id="115" w:name="_Toc456266176"/>
      <w:r>
        <w:t xml:space="preserve">Figure </w:t>
      </w:r>
      <w:r w:rsidR="00E5706B">
        <w:fldChar w:fldCharType="begin"/>
      </w:r>
      <w:r w:rsidR="000622C5">
        <w:instrText xml:space="preserve"> SEQ Figure \* ARABIC </w:instrText>
      </w:r>
      <w:r w:rsidR="00E5706B">
        <w:fldChar w:fldCharType="separate"/>
      </w:r>
      <w:r w:rsidR="00F3134D">
        <w:rPr>
          <w:noProof/>
        </w:rPr>
        <w:t>11</w:t>
      </w:r>
      <w:r w:rsidR="00E5706B">
        <w:rPr>
          <w:noProof/>
        </w:rPr>
        <w:fldChar w:fldCharType="end"/>
      </w:r>
      <w:bookmarkEnd w:id="113"/>
      <w:r w:rsidR="009C0BBE">
        <w:rPr>
          <w:noProof/>
        </w:rPr>
        <w:tab/>
      </w:r>
      <w:r w:rsidR="00716977">
        <w:t>Ig</w:t>
      </w:r>
      <w:r>
        <w:t xml:space="preserve"> </w:t>
      </w:r>
      <w:r w:rsidR="007D56EB">
        <w:t>issues</w:t>
      </w:r>
      <w:r>
        <w:t xml:space="preserve"> by clinical discipline</w:t>
      </w:r>
      <w:r w:rsidR="00127E90">
        <w:t xml:space="preserve"> for top 10 </w:t>
      </w:r>
      <w:r w:rsidR="00D50CEA">
        <w:t>conditions</w:t>
      </w:r>
      <w:r>
        <w:t xml:space="preserve"> by state and territor</w:t>
      </w:r>
      <w:r w:rsidR="000E3AA4">
        <w:t>y</w:t>
      </w:r>
      <w:bookmarkStart w:id="116" w:name="_Toc361570431"/>
      <w:bookmarkStart w:id="117" w:name="_Toc364776943"/>
      <w:bookmarkEnd w:id="114"/>
      <w:bookmarkEnd w:id="115"/>
    </w:p>
    <w:p w:rsidR="00AF6DCB" w:rsidRDefault="00AF6DCB" w:rsidP="00AF6DCB">
      <w:pPr>
        <w:pStyle w:val="Caption"/>
      </w:pPr>
    </w:p>
    <w:p w:rsidR="006E02E7" w:rsidRPr="00AF6DCB" w:rsidRDefault="006E02E7" w:rsidP="00AF6DCB">
      <w:pPr>
        <w:pStyle w:val="Heading2"/>
      </w:pPr>
      <w:bookmarkStart w:id="118" w:name="_Toc456267422"/>
      <w:r>
        <w:t>I</w:t>
      </w:r>
      <w:r w:rsidR="00FE46F4">
        <w:t>g</w:t>
      </w:r>
      <w:r>
        <w:t xml:space="preserve"> grams issued per </w:t>
      </w:r>
      <w:r w:rsidR="00BB2478">
        <w:t>1,000</w:t>
      </w:r>
      <w:r w:rsidRPr="0006087D">
        <w:t xml:space="preserve"> population</w:t>
      </w:r>
      <w:bookmarkEnd w:id="116"/>
      <w:bookmarkEnd w:id="117"/>
      <w:bookmarkEnd w:id="118"/>
    </w:p>
    <w:p w:rsidR="003C544F" w:rsidRPr="00E970AB" w:rsidRDefault="006E02E7" w:rsidP="00E970AB">
      <w:pPr>
        <w:pStyle w:val="Caption"/>
        <w:ind w:left="0" w:firstLine="0"/>
        <w:rPr>
          <w:rFonts w:asciiTheme="minorHAnsi" w:hAnsiTheme="minorHAnsi" w:cstheme="minorHAnsi"/>
          <w:b w:val="0"/>
          <w:bCs w:val="0"/>
          <w:color w:val="auto"/>
          <w:szCs w:val="22"/>
        </w:rPr>
      </w:pPr>
      <w:r w:rsidRPr="00E970AB">
        <w:rPr>
          <w:rFonts w:asciiTheme="minorHAnsi" w:hAnsiTheme="minorHAnsi" w:cstheme="minorHAnsi"/>
          <w:b w:val="0"/>
          <w:bCs w:val="0"/>
          <w:color w:val="auto"/>
          <w:szCs w:val="22"/>
        </w:rPr>
        <w:t xml:space="preserve">The </w:t>
      </w:r>
      <w:r w:rsidR="00AF6DCB" w:rsidRPr="00E970AB">
        <w:rPr>
          <w:rFonts w:asciiTheme="minorHAnsi" w:hAnsiTheme="minorHAnsi" w:cstheme="minorHAnsi"/>
          <w:b w:val="0"/>
          <w:bCs w:val="0"/>
          <w:color w:val="auto"/>
          <w:szCs w:val="22"/>
        </w:rPr>
        <w:t xml:space="preserve">amount of </w:t>
      </w:r>
      <w:r w:rsidR="00716977" w:rsidRPr="00E970AB">
        <w:rPr>
          <w:rFonts w:asciiTheme="minorHAnsi" w:hAnsiTheme="minorHAnsi" w:cstheme="minorHAnsi"/>
          <w:b w:val="0"/>
          <w:bCs w:val="0"/>
          <w:color w:val="auto"/>
          <w:szCs w:val="22"/>
        </w:rPr>
        <w:t>Ig</w:t>
      </w:r>
      <w:r w:rsidRPr="00E970AB">
        <w:rPr>
          <w:rFonts w:asciiTheme="minorHAnsi" w:hAnsiTheme="minorHAnsi" w:cstheme="minorHAnsi"/>
          <w:b w:val="0"/>
          <w:bCs w:val="0"/>
          <w:color w:val="auto"/>
          <w:szCs w:val="22"/>
        </w:rPr>
        <w:t xml:space="preserve"> issued per 1</w:t>
      </w:r>
      <w:r w:rsidR="00D80C8E" w:rsidRPr="00E970AB">
        <w:rPr>
          <w:rFonts w:asciiTheme="minorHAnsi" w:hAnsiTheme="minorHAnsi" w:cstheme="minorHAnsi"/>
          <w:b w:val="0"/>
          <w:bCs w:val="0"/>
          <w:color w:val="auto"/>
          <w:szCs w:val="22"/>
        </w:rPr>
        <w:t>,</w:t>
      </w:r>
      <w:r w:rsidRPr="00E970AB">
        <w:rPr>
          <w:rFonts w:asciiTheme="minorHAnsi" w:hAnsiTheme="minorHAnsi" w:cstheme="minorHAnsi"/>
          <w:b w:val="0"/>
          <w:bCs w:val="0"/>
          <w:color w:val="auto"/>
          <w:szCs w:val="22"/>
        </w:rPr>
        <w:t>000 population for each indication varies between state and territory</w:t>
      </w:r>
      <w:r w:rsidR="00AF6DCB" w:rsidRPr="00E970AB">
        <w:rPr>
          <w:rFonts w:asciiTheme="minorHAnsi" w:hAnsiTheme="minorHAnsi" w:cstheme="minorHAnsi"/>
          <w:b w:val="0"/>
          <w:bCs w:val="0"/>
          <w:color w:val="auto"/>
          <w:szCs w:val="22"/>
        </w:rPr>
        <w:t>.</w:t>
      </w:r>
      <w:r w:rsidR="00204BDE">
        <w:rPr>
          <w:rFonts w:asciiTheme="minorHAnsi" w:hAnsiTheme="minorHAnsi" w:cstheme="minorHAnsi"/>
          <w:b w:val="0"/>
          <w:bCs w:val="0"/>
          <w:color w:val="auto"/>
          <w:szCs w:val="22"/>
        </w:rPr>
        <w:t xml:space="preserve"> </w:t>
      </w:r>
      <w:r w:rsidR="00AF6DCB" w:rsidRPr="00E970AB">
        <w:rPr>
          <w:rFonts w:asciiTheme="minorHAnsi" w:hAnsiTheme="minorHAnsi" w:cstheme="minorHAnsi"/>
          <w:b w:val="0"/>
          <w:bCs w:val="0"/>
          <w:color w:val="auto"/>
          <w:szCs w:val="22"/>
        </w:rPr>
        <w:t>C</w:t>
      </w:r>
      <w:r w:rsidRPr="00E970AB">
        <w:rPr>
          <w:rFonts w:asciiTheme="minorHAnsi" w:hAnsiTheme="minorHAnsi" w:cstheme="minorHAnsi"/>
          <w:b w:val="0"/>
          <w:bCs w:val="0"/>
          <w:color w:val="auto"/>
          <w:szCs w:val="22"/>
        </w:rPr>
        <w:t xml:space="preserve">omplete data for </w:t>
      </w:r>
      <w:r w:rsidR="00D50CEA" w:rsidRPr="00E970AB">
        <w:rPr>
          <w:rFonts w:asciiTheme="minorHAnsi" w:hAnsiTheme="minorHAnsi" w:cstheme="minorHAnsi"/>
          <w:b w:val="0"/>
          <w:bCs w:val="0"/>
          <w:color w:val="auto"/>
          <w:szCs w:val="22"/>
        </w:rPr>
        <w:t>conditions</w:t>
      </w:r>
      <w:r w:rsidRPr="00E970AB">
        <w:rPr>
          <w:rFonts w:asciiTheme="minorHAnsi" w:hAnsiTheme="minorHAnsi" w:cstheme="minorHAnsi"/>
          <w:b w:val="0"/>
          <w:bCs w:val="0"/>
          <w:color w:val="auto"/>
          <w:szCs w:val="22"/>
        </w:rPr>
        <w:t xml:space="preserve"> for each state and territory can be found at </w:t>
      </w:r>
      <w:r w:rsidR="00E5706B" w:rsidRPr="00E970AB">
        <w:rPr>
          <w:rFonts w:asciiTheme="minorHAnsi" w:hAnsiTheme="minorHAnsi" w:cstheme="minorHAnsi"/>
          <w:b w:val="0"/>
          <w:bCs w:val="0"/>
          <w:color w:val="auto"/>
          <w:szCs w:val="22"/>
        </w:rPr>
        <w:fldChar w:fldCharType="begin" w:fldLock="1"/>
      </w:r>
      <w:r w:rsidR="009C0BBE" w:rsidRPr="00E970AB">
        <w:rPr>
          <w:rFonts w:asciiTheme="minorHAnsi" w:hAnsiTheme="minorHAnsi" w:cstheme="minorHAnsi"/>
          <w:b w:val="0"/>
          <w:bCs w:val="0"/>
          <w:color w:val="auto"/>
          <w:szCs w:val="22"/>
        </w:rPr>
        <w:instrText xml:space="preserve"> REF _Ref379894780 \h </w:instrText>
      </w:r>
      <w:r w:rsidR="002B5687" w:rsidRPr="00E970AB">
        <w:rPr>
          <w:rFonts w:asciiTheme="minorHAnsi" w:hAnsiTheme="minorHAnsi" w:cstheme="minorHAnsi"/>
          <w:b w:val="0"/>
          <w:bCs w:val="0"/>
          <w:color w:val="auto"/>
          <w:szCs w:val="22"/>
        </w:rPr>
        <w:instrText xml:space="preserve"> \* MERGEFORMAT </w:instrText>
      </w:r>
      <w:r w:rsidR="00E5706B" w:rsidRPr="00E970AB">
        <w:rPr>
          <w:rFonts w:asciiTheme="minorHAnsi" w:hAnsiTheme="minorHAnsi" w:cstheme="minorHAnsi"/>
          <w:b w:val="0"/>
          <w:bCs w:val="0"/>
          <w:color w:val="auto"/>
          <w:szCs w:val="22"/>
        </w:rPr>
      </w:r>
      <w:r w:rsidR="00E5706B" w:rsidRPr="00E970AB">
        <w:rPr>
          <w:rFonts w:asciiTheme="minorHAnsi" w:hAnsiTheme="minorHAnsi" w:cstheme="minorHAnsi"/>
          <w:b w:val="0"/>
          <w:bCs w:val="0"/>
          <w:color w:val="auto"/>
          <w:szCs w:val="22"/>
        </w:rPr>
        <w:fldChar w:fldCharType="separate"/>
      </w:r>
      <w:r w:rsidR="00FD0FD6" w:rsidRPr="003D2ED1">
        <w:rPr>
          <w:rFonts w:asciiTheme="minorHAnsi" w:hAnsiTheme="minorHAnsi" w:cstheme="minorHAnsi"/>
          <w:bCs w:val="0"/>
          <w:color w:val="auto"/>
          <w:szCs w:val="22"/>
        </w:rPr>
        <w:t>Appendix D</w:t>
      </w:r>
      <w:r w:rsidR="00FD0FD6">
        <w:t xml:space="preserve"> </w:t>
      </w:r>
      <w:r w:rsidR="00E5706B" w:rsidRPr="00E970AB">
        <w:rPr>
          <w:rFonts w:asciiTheme="minorHAnsi" w:hAnsiTheme="minorHAnsi" w:cstheme="minorHAnsi"/>
          <w:b w:val="0"/>
          <w:bCs w:val="0"/>
          <w:color w:val="auto"/>
          <w:szCs w:val="22"/>
        </w:rPr>
        <w:fldChar w:fldCharType="end"/>
      </w:r>
      <w:r w:rsidR="00AF6DCB" w:rsidRPr="00E970AB">
        <w:rPr>
          <w:rFonts w:asciiTheme="minorHAnsi" w:hAnsiTheme="minorHAnsi" w:cstheme="minorHAnsi"/>
          <w:b w:val="0"/>
          <w:bCs w:val="0"/>
          <w:color w:val="auto"/>
          <w:szCs w:val="22"/>
        </w:rPr>
        <w:t>and is summarised in</w:t>
      </w:r>
      <w:r w:rsidR="009C0BBE" w:rsidRPr="00E970AB">
        <w:rPr>
          <w:rFonts w:asciiTheme="minorHAnsi" w:hAnsiTheme="minorHAnsi" w:cstheme="minorHAnsi"/>
          <w:b w:val="0"/>
          <w:bCs w:val="0"/>
          <w:color w:val="auto"/>
          <w:szCs w:val="22"/>
        </w:rPr>
        <w:t xml:space="preserve"> </w:t>
      </w:r>
      <w:r w:rsidRPr="00E970AB">
        <w:rPr>
          <w:rFonts w:asciiTheme="minorHAnsi" w:hAnsiTheme="minorHAnsi" w:cstheme="minorHAnsi"/>
          <w:b w:val="0"/>
          <w:bCs w:val="0"/>
          <w:color w:val="auto"/>
          <w:szCs w:val="22"/>
        </w:rPr>
        <w:t xml:space="preserve">for </w:t>
      </w:r>
      <w:r w:rsidR="00CB46BA" w:rsidRPr="00E970AB">
        <w:rPr>
          <w:rFonts w:asciiTheme="minorHAnsi" w:hAnsiTheme="minorHAnsi" w:cstheme="minorHAnsi"/>
          <w:b w:val="0"/>
          <w:bCs w:val="0"/>
          <w:color w:val="auto"/>
          <w:szCs w:val="22"/>
        </w:rPr>
        <w:t xml:space="preserve">the </w:t>
      </w:r>
      <w:r w:rsidR="00D50CEA" w:rsidRPr="00E970AB">
        <w:rPr>
          <w:rFonts w:asciiTheme="minorHAnsi" w:hAnsiTheme="minorHAnsi" w:cstheme="minorHAnsi"/>
          <w:b w:val="0"/>
          <w:bCs w:val="0"/>
          <w:color w:val="auto"/>
          <w:szCs w:val="22"/>
        </w:rPr>
        <w:t xml:space="preserve">conditions </w:t>
      </w:r>
      <w:r w:rsidR="00CB46BA" w:rsidRPr="00E970AB">
        <w:rPr>
          <w:rFonts w:asciiTheme="minorHAnsi" w:hAnsiTheme="minorHAnsi" w:cstheme="minorHAnsi"/>
          <w:b w:val="0"/>
          <w:bCs w:val="0"/>
          <w:color w:val="auto"/>
          <w:szCs w:val="22"/>
        </w:rPr>
        <w:t xml:space="preserve">using the most </w:t>
      </w:r>
      <w:r w:rsidR="00716977" w:rsidRPr="00E970AB">
        <w:rPr>
          <w:rFonts w:asciiTheme="minorHAnsi" w:hAnsiTheme="minorHAnsi" w:cstheme="minorHAnsi"/>
          <w:b w:val="0"/>
          <w:bCs w:val="0"/>
          <w:color w:val="auto"/>
          <w:szCs w:val="22"/>
        </w:rPr>
        <w:t>Ig</w:t>
      </w:r>
      <w:r w:rsidR="00F949D9" w:rsidRPr="00E970AB">
        <w:rPr>
          <w:rFonts w:asciiTheme="minorHAnsi" w:hAnsiTheme="minorHAnsi" w:cstheme="minorHAnsi"/>
          <w:b w:val="0"/>
          <w:bCs w:val="0"/>
          <w:color w:val="auto"/>
          <w:szCs w:val="22"/>
        </w:rPr>
        <w:t>.</w:t>
      </w:r>
      <w:r w:rsidR="003204CE" w:rsidRPr="00E970AB">
        <w:rPr>
          <w:rFonts w:asciiTheme="minorHAnsi" w:hAnsiTheme="minorHAnsi" w:cstheme="minorHAnsi"/>
          <w:b w:val="0"/>
          <w:bCs w:val="0"/>
          <w:color w:val="auto"/>
          <w:szCs w:val="22"/>
        </w:rPr>
        <w:t xml:space="preserve"> </w:t>
      </w:r>
      <w:r w:rsidR="003204CE" w:rsidRPr="00E970AB">
        <w:rPr>
          <w:rFonts w:asciiTheme="minorHAnsi" w:hAnsiTheme="minorHAnsi" w:cstheme="minorHAnsi"/>
          <w:b w:val="0"/>
          <w:bCs w:val="0"/>
          <w:color w:val="auto"/>
          <w:szCs w:val="22"/>
        </w:rPr>
        <w:fldChar w:fldCharType="begin"/>
      </w:r>
      <w:r w:rsidR="003204CE" w:rsidRPr="00E970AB">
        <w:rPr>
          <w:rFonts w:asciiTheme="minorHAnsi" w:hAnsiTheme="minorHAnsi" w:cstheme="minorHAnsi"/>
          <w:b w:val="0"/>
          <w:bCs w:val="0"/>
          <w:color w:val="auto"/>
          <w:szCs w:val="22"/>
        </w:rPr>
        <w:instrText xml:space="preserve"> REF _Ref393303801 \h </w:instrText>
      </w:r>
      <w:r w:rsidR="00E970AB">
        <w:rPr>
          <w:rFonts w:asciiTheme="minorHAnsi" w:hAnsiTheme="minorHAnsi" w:cstheme="minorHAnsi"/>
          <w:b w:val="0"/>
          <w:bCs w:val="0"/>
          <w:color w:val="auto"/>
          <w:szCs w:val="22"/>
        </w:rPr>
        <w:instrText xml:space="preserve"> \* MERGEFORMAT </w:instrText>
      </w:r>
      <w:r w:rsidR="003204CE" w:rsidRPr="00E970AB">
        <w:rPr>
          <w:rFonts w:asciiTheme="minorHAnsi" w:hAnsiTheme="minorHAnsi" w:cstheme="minorHAnsi"/>
          <w:b w:val="0"/>
          <w:bCs w:val="0"/>
          <w:color w:val="auto"/>
          <w:szCs w:val="22"/>
        </w:rPr>
      </w:r>
      <w:r w:rsidR="003204CE" w:rsidRPr="00E970AB">
        <w:rPr>
          <w:rFonts w:asciiTheme="minorHAnsi" w:hAnsiTheme="minorHAnsi" w:cstheme="minorHAnsi"/>
          <w:b w:val="0"/>
          <w:bCs w:val="0"/>
          <w:color w:val="auto"/>
          <w:szCs w:val="22"/>
        </w:rPr>
        <w:fldChar w:fldCharType="separate"/>
      </w:r>
      <w:r w:rsidR="00F3134D" w:rsidRPr="00F3134D">
        <w:rPr>
          <w:rFonts w:asciiTheme="minorHAnsi" w:hAnsiTheme="minorHAnsi" w:cstheme="minorHAnsi"/>
          <w:b w:val="0"/>
          <w:bCs w:val="0"/>
          <w:color w:val="auto"/>
          <w:szCs w:val="22"/>
        </w:rPr>
        <w:t>Table 11</w:t>
      </w:r>
      <w:r w:rsidR="003204CE" w:rsidRPr="00E970AB">
        <w:rPr>
          <w:rFonts w:asciiTheme="minorHAnsi" w:hAnsiTheme="minorHAnsi" w:cstheme="minorHAnsi"/>
          <w:b w:val="0"/>
          <w:bCs w:val="0"/>
          <w:color w:val="auto"/>
          <w:szCs w:val="22"/>
        </w:rPr>
        <w:fldChar w:fldCharType="end"/>
      </w:r>
      <w:r w:rsidR="003204CE" w:rsidRPr="00E970AB">
        <w:rPr>
          <w:rFonts w:asciiTheme="minorHAnsi" w:hAnsiTheme="minorHAnsi" w:cstheme="minorHAnsi"/>
          <w:b w:val="0"/>
          <w:bCs w:val="0"/>
          <w:color w:val="auto"/>
          <w:szCs w:val="22"/>
        </w:rPr>
        <w:t xml:space="preserve"> shows a breakdown of the proportion of </w:t>
      </w:r>
      <w:r w:rsidR="00716977" w:rsidRPr="00E970AB">
        <w:rPr>
          <w:rFonts w:asciiTheme="minorHAnsi" w:hAnsiTheme="minorHAnsi" w:cstheme="minorHAnsi"/>
          <w:b w:val="0"/>
          <w:bCs w:val="0"/>
          <w:color w:val="auto"/>
          <w:szCs w:val="22"/>
        </w:rPr>
        <w:t>Ig</w:t>
      </w:r>
      <w:r w:rsidR="003204CE" w:rsidRPr="00E970AB">
        <w:rPr>
          <w:rFonts w:asciiTheme="minorHAnsi" w:hAnsiTheme="minorHAnsi" w:cstheme="minorHAnsi"/>
          <w:b w:val="0"/>
          <w:bCs w:val="0"/>
          <w:color w:val="auto"/>
          <w:szCs w:val="22"/>
        </w:rPr>
        <w:t xml:space="preserve"> issued in each state and territory with a comparison to the proportion of the population in each state and territory.</w:t>
      </w:r>
    </w:p>
    <w:p w:rsidR="00E970AB" w:rsidRDefault="00E970AB" w:rsidP="00707A51">
      <w:pPr>
        <w:rPr>
          <w:rFonts w:asciiTheme="minorHAnsi" w:hAnsiTheme="minorHAnsi" w:cstheme="minorHAnsi"/>
        </w:rPr>
      </w:pPr>
    </w:p>
    <w:p w:rsidR="00204BDE" w:rsidRDefault="00EA7A79" w:rsidP="00204BDE">
      <w:r>
        <w:rPr>
          <w:rFonts w:asciiTheme="minorHAnsi" w:hAnsiTheme="minorHAnsi" w:cstheme="minorHAnsi"/>
        </w:rPr>
        <w:t>T</w:t>
      </w:r>
      <w:r w:rsidR="003C544F">
        <w:rPr>
          <w:rFonts w:asciiTheme="minorHAnsi" w:hAnsiTheme="minorHAnsi" w:cstheme="minorHAnsi"/>
        </w:rPr>
        <w:t xml:space="preserve">he highest variation </w:t>
      </w:r>
      <w:r>
        <w:rPr>
          <w:rFonts w:asciiTheme="minorHAnsi" w:hAnsiTheme="minorHAnsi" w:cstheme="minorHAnsi"/>
        </w:rPr>
        <w:t xml:space="preserve">between states and territories in </w:t>
      </w:r>
      <w:r w:rsidR="00716977">
        <w:rPr>
          <w:rFonts w:asciiTheme="minorHAnsi" w:hAnsiTheme="minorHAnsi" w:cstheme="minorHAnsi"/>
        </w:rPr>
        <w:t>Ig</w:t>
      </w:r>
      <w:r>
        <w:rPr>
          <w:rFonts w:asciiTheme="minorHAnsi" w:hAnsiTheme="minorHAnsi" w:cstheme="minorHAnsi"/>
        </w:rPr>
        <w:t xml:space="preserve"> use per capita is </w:t>
      </w:r>
      <w:r w:rsidR="003C544F">
        <w:rPr>
          <w:rFonts w:asciiTheme="minorHAnsi" w:hAnsiTheme="minorHAnsi" w:cstheme="minorHAnsi"/>
        </w:rPr>
        <w:t xml:space="preserve">seen in </w:t>
      </w:r>
      <w:r w:rsidR="00B43CC7" w:rsidRPr="00B43CC7">
        <w:rPr>
          <w:rFonts w:asciiTheme="minorHAnsi" w:hAnsiTheme="minorHAnsi" w:cstheme="minorHAnsi"/>
        </w:rPr>
        <w:t xml:space="preserve">Chronic </w:t>
      </w:r>
      <w:r w:rsidR="00B43CC7">
        <w:rPr>
          <w:rFonts w:asciiTheme="minorHAnsi" w:hAnsiTheme="minorHAnsi" w:cstheme="minorHAnsi"/>
        </w:rPr>
        <w:t>I</w:t>
      </w:r>
      <w:r w:rsidR="00B43CC7" w:rsidRPr="00B43CC7">
        <w:rPr>
          <w:rFonts w:asciiTheme="minorHAnsi" w:hAnsiTheme="minorHAnsi" w:cstheme="minorHAnsi"/>
        </w:rPr>
        <w:t xml:space="preserve">nflammatory </w:t>
      </w:r>
      <w:r w:rsidR="00B43CC7">
        <w:rPr>
          <w:rFonts w:asciiTheme="minorHAnsi" w:hAnsiTheme="minorHAnsi" w:cstheme="minorHAnsi"/>
        </w:rPr>
        <w:t>D</w:t>
      </w:r>
      <w:r w:rsidR="00B43CC7" w:rsidRPr="00B43CC7">
        <w:rPr>
          <w:rFonts w:asciiTheme="minorHAnsi" w:hAnsiTheme="minorHAnsi" w:cstheme="minorHAnsi"/>
        </w:rPr>
        <w:t xml:space="preserve">emyelinating </w:t>
      </w:r>
      <w:r w:rsidR="00B43CC7">
        <w:rPr>
          <w:rFonts w:asciiTheme="minorHAnsi" w:hAnsiTheme="minorHAnsi" w:cstheme="minorHAnsi"/>
        </w:rPr>
        <w:t>P</w:t>
      </w:r>
      <w:r w:rsidR="00B43CC7" w:rsidRPr="00B43CC7">
        <w:rPr>
          <w:rFonts w:asciiTheme="minorHAnsi" w:hAnsiTheme="minorHAnsi" w:cstheme="minorHAnsi"/>
        </w:rPr>
        <w:t>olyneuropathy</w:t>
      </w:r>
      <w:r w:rsidR="00B43CC7">
        <w:rPr>
          <w:rFonts w:asciiTheme="minorHAnsi" w:hAnsiTheme="minorHAnsi" w:cstheme="minorHAnsi"/>
        </w:rPr>
        <w:t xml:space="preserve"> </w:t>
      </w:r>
      <w:r w:rsidR="003E76F8" w:rsidRPr="00887677">
        <w:rPr>
          <w:rFonts w:asciiTheme="minorHAnsi" w:hAnsiTheme="minorHAnsi" w:cstheme="minorHAnsi"/>
        </w:rPr>
        <w:t>followed by Non-H</w:t>
      </w:r>
      <w:r w:rsidR="007C1AE3" w:rsidRPr="00887677">
        <w:rPr>
          <w:rFonts w:asciiTheme="minorHAnsi" w:hAnsiTheme="minorHAnsi" w:cstheme="minorHAnsi"/>
        </w:rPr>
        <w:t>odgkin</w:t>
      </w:r>
      <w:r w:rsidR="003E76F8" w:rsidRPr="00887677">
        <w:rPr>
          <w:rFonts w:asciiTheme="minorHAnsi" w:hAnsiTheme="minorHAnsi" w:cstheme="minorHAnsi"/>
        </w:rPr>
        <w:t>’s</w:t>
      </w:r>
      <w:r w:rsidR="003C544F" w:rsidRPr="00887677">
        <w:rPr>
          <w:rFonts w:asciiTheme="minorHAnsi" w:hAnsiTheme="minorHAnsi" w:cstheme="minorHAnsi"/>
        </w:rPr>
        <w:t xml:space="preserve"> lymphoma</w:t>
      </w:r>
      <w:r w:rsidR="003C544F">
        <w:rPr>
          <w:rFonts w:asciiTheme="minorHAnsi" w:hAnsiTheme="minorHAnsi" w:cstheme="minorHAnsi"/>
        </w:rPr>
        <w:t xml:space="preserve">. </w:t>
      </w:r>
      <w:r w:rsidR="00B43CC7">
        <w:rPr>
          <w:rFonts w:asciiTheme="minorHAnsi" w:hAnsiTheme="minorHAnsi" w:cstheme="minorHAnsi"/>
        </w:rPr>
        <w:t>T</w:t>
      </w:r>
      <w:r>
        <w:rPr>
          <w:rFonts w:asciiTheme="minorHAnsi" w:hAnsiTheme="minorHAnsi" w:cstheme="minorHAnsi"/>
        </w:rPr>
        <w:t xml:space="preserve">here </w:t>
      </w:r>
      <w:r w:rsidR="004F7FD3">
        <w:rPr>
          <w:rFonts w:asciiTheme="minorHAnsi" w:hAnsiTheme="minorHAnsi" w:cstheme="minorHAnsi"/>
        </w:rPr>
        <w:t>were</w:t>
      </w:r>
      <w:r w:rsidR="0021560A">
        <w:rPr>
          <w:rFonts w:asciiTheme="minorHAnsi" w:hAnsiTheme="minorHAnsi" w:cstheme="minorHAnsi"/>
        </w:rPr>
        <w:t xml:space="preserve"> </w:t>
      </w:r>
      <w:r w:rsidR="003E76F8">
        <w:rPr>
          <w:rFonts w:asciiTheme="minorHAnsi" w:hAnsiTheme="minorHAnsi" w:cstheme="minorHAnsi"/>
        </w:rPr>
        <w:t>a</w:t>
      </w:r>
      <w:r>
        <w:rPr>
          <w:rFonts w:asciiTheme="minorHAnsi" w:hAnsiTheme="minorHAnsi" w:cstheme="minorHAnsi"/>
        </w:rPr>
        <w:t xml:space="preserve"> low</w:t>
      </w:r>
      <w:r w:rsidR="003E76F8">
        <w:rPr>
          <w:rFonts w:asciiTheme="minorHAnsi" w:hAnsiTheme="minorHAnsi" w:cstheme="minorHAnsi"/>
        </w:rPr>
        <w:t xml:space="preserve"> nu</w:t>
      </w:r>
      <w:r w:rsidR="00EE452C">
        <w:rPr>
          <w:rFonts w:asciiTheme="minorHAnsi" w:hAnsiTheme="minorHAnsi" w:cstheme="minorHAnsi"/>
        </w:rPr>
        <w:t>mber of</w:t>
      </w:r>
      <w:r>
        <w:rPr>
          <w:rFonts w:asciiTheme="minorHAnsi" w:hAnsiTheme="minorHAnsi" w:cstheme="minorHAnsi"/>
        </w:rPr>
        <w:t xml:space="preserve"> </w:t>
      </w:r>
      <w:r w:rsidR="00716977">
        <w:rPr>
          <w:rFonts w:asciiTheme="minorHAnsi" w:hAnsiTheme="minorHAnsi" w:cstheme="minorHAnsi"/>
        </w:rPr>
        <w:t>Ig</w:t>
      </w:r>
      <w:r>
        <w:rPr>
          <w:rFonts w:asciiTheme="minorHAnsi" w:hAnsiTheme="minorHAnsi" w:cstheme="minorHAnsi"/>
        </w:rPr>
        <w:t xml:space="preserve"> </w:t>
      </w:r>
      <w:r w:rsidR="00D77190">
        <w:rPr>
          <w:rFonts w:asciiTheme="minorHAnsi" w:hAnsiTheme="minorHAnsi" w:cstheme="minorHAnsi"/>
        </w:rPr>
        <w:t>issues</w:t>
      </w:r>
      <w:r>
        <w:rPr>
          <w:rFonts w:asciiTheme="minorHAnsi" w:hAnsiTheme="minorHAnsi" w:cstheme="minorHAnsi"/>
        </w:rPr>
        <w:t xml:space="preserve"> per capita</w:t>
      </w:r>
      <w:r w:rsidR="00460263">
        <w:rPr>
          <w:rFonts w:asciiTheme="minorHAnsi" w:hAnsiTheme="minorHAnsi" w:cstheme="minorHAnsi"/>
        </w:rPr>
        <w:t xml:space="preserve"> </w:t>
      </w:r>
      <w:r>
        <w:rPr>
          <w:rFonts w:asciiTheme="minorHAnsi" w:hAnsiTheme="minorHAnsi" w:cstheme="minorHAnsi"/>
        </w:rPr>
        <w:t xml:space="preserve">in </w:t>
      </w:r>
      <w:r w:rsidR="00B43CC7">
        <w:rPr>
          <w:rFonts w:asciiTheme="minorHAnsi" w:hAnsiTheme="minorHAnsi" w:cstheme="minorHAnsi"/>
        </w:rPr>
        <w:t xml:space="preserve">South Australia and </w:t>
      </w:r>
      <w:r>
        <w:rPr>
          <w:rFonts w:asciiTheme="minorHAnsi" w:hAnsiTheme="minorHAnsi" w:cstheme="minorHAnsi"/>
        </w:rPr>
        <w:t>Western Australia</w:t>
      </w:r>
      <w:r w:rsidR="00B43CC7">
        <w:rPr>
          <w:rFonts w:asciiTheme="minorHAnsi" w:hAnsiTheme="minorHAnsi" w:cstheme="minorHAnsi"/>
        </w:rPr>
        <w:t xml:space="preserve"> respectively</w:t>
      </w:r>
      <w:r w:rsidR="00460263">
        <w:rPr>
          <w:rFonts w:asciiTheme="minorHAnsi" w:hAnsiTheme="minorHAnsi" w:cstheme="minorHAnsi"/>
        </w:rPr>
        <w:t xml:space="preserve">, and high </w:t>
      </w:r>
      <w:r>
        <w:rPr>
          <w:rFonts w:asciiTheme="minorHAnsi" w:hAnsiTheme="minorHAnsi" w:cstheme="minorHAnsi"/>
        </w:rPr>
        <w:t>use</w:t>
      </w:r>
      <w:r w:rsidR="00460263">
        <w:rPr>
          <w:rFonts w:asciiTheme="minorHAnsi" w:hAnsiTheme="minorHAnsi" w:cstheme="minorHAnsi"/>
        </w:rPr>
        <w:t xml:space="preserve"> in Queensland. The reason for the significant variation between these states is unknown, and further studies may be required to ascertain the significance of this finding.</w:t>
      </w:r>
      <w:r w:rsidR="00D2361F">
        <w:rPr>
          <w:rFonts w:asciiTheme="minorHAnsi" w:hAnsiTheme="minorHAnsi" w:cstheme="minorHAnsi"/>
        </w:rPr>
        <w:t xml:space="preserve"> </w:t>
      </w:r>
      <w:r w:rsidR="009D7E93">
        <w:rPr>
          <w:rFonts w:asciiTheme="minorHAnsi" w:hAnsiTheme="minorHAnsi" w:cstheme="minorHAnsi"/>
        </w:rPr>
        <w:t xml:space="preserve">Interestingly, the difference </w:t>
      </w:r>
      <w:r>
        <w:rPr>
          <w:rFonts w:asciiTheme="minorHAnsi" w:hAnsiTheme="minorHAnsi" w:cstheme="minorHAnsi"/>
        </w:rPr>
        <w:t xml:space="preserve">appears to be attributed to a greater number of patients, rather than higher dosing, with the dosing in </w:t>
      </w:r>
      <w:r w:rsidR="00B43CC7">
        <w:rPr>
          <w:rFonts w:asciiTheme="minorHAnsi" w:hAnsiTheme="minorHAnsi" w:cstheme="minorHAnsi"/>
        </w:rPr>
        <w:t xml:space="preserve">South </w:t>
      </w:r>
      <w:r>
        <w:rPr>
          <w:rFonts w:asciiTheme="minorHAnsi" w:hAnsiTheme="minorHAnsi" w:cstheme="minorHAnsi"/>
        </w:rPr>
        <w:t xml:space="preserve">Australia being higher than Queensland for </w:t>
      </w:r>
      <w:r w:rsidR="00B43CC7" w:rsidRPr="00B43CC7">
        <w:rPr>
          <w:rFonts w:asciiTheme="minorHAnsi" w:hAnsiTheme="minorHAnsi" w:cstheme="minorHAnsi"/>
        </w:rPr>
        <w:t xml:space="preserve">Chronic </w:t>
      </w:r>
      <w:r w:rsidR="00B43CC7">
        <w:rPr>
          <w:rFonts w:asciiTheme="minorHAnsi" w:hAnsiTheme="minorHAnsi" w:cstheme="minorHAnsi"/>
        </w:rPr>
        <w:t>I</w:t>
      </w:r>
      <w:r w:rsidR="00B43CC7" w:rsidRPr="00B43CC7">
        <w:rPr>
          <w:rFonts w:asciiTheme="minorHAnsi" w:hAnsiTheme="minorHAnsi" w:cstheme="minorHAnsi"/>
        </w:rPr>
        <w:t xml:space="preserve">nflammatory </w:t>
      </w:r>
      <w:r w:rsidR="00B43CC7">
        <w:rPr>
          <w:rFonts w:asciiTheme="minorHAnsi" w:hAnsiTheme="minorHAnsi" w:cstheme="minorHAnsi"/>
        </w:rPr>
        <w:t>D</w:t>
      </w:r>
      <w:r w:rsidR="00B43CC7" w:rsidRPr="00B43CC7">
        <w:rPr>
          <w:rFonts w:asciiTheme="minorHAnsi" w:hAnsiTheme="minorHAnsi" w:cstheme="minorHAnsi"/>
        </w:rPr>
        <w:t xml:space="preserve">emyelinating </w:t>
      </w:r>
      <w:r w:rsidR="00B43CC7">
        <w:rPr>
          <w:rFonts w:asciiTheme="minorHAnsi" w:hAnsiTheme="minorHAnsi" w:cstheme="minorHAnsi"/>
        </w:rPr>
        <w:t>P</w:t>
      </w:r>
      <w:r w:rsidR="00B43CC7" w:rsidRPr="00B43CC7">
        <w:rPr>
          <w:rFonts w:asciiTheme="minorHAnsi" w:hAnsiTheme="minorHAnsi" w:cstheme="minorHAnsi"/>
        </w:rPr>
        <w:t>olyneuropathy</w:t>
      </w:r>
      <w:r w:rsidR="00B43CC7">
        <w:rPr>
          <w:rFonts w:asciiTheme="minorHAnsi" w:hAnsiTheme="minorHAnsi" w:cstheme="minorHAnsi"/>
        </w:rPr>
        <w:t xml:space="preserve"> </w:t>
      </w:r>
      <w:r w:rsidR="009D7E93">
        <w:rPr>
          <w:rFonts w:asciiTheme="minorHAnsi" w:hAnsiTheme="minorHAnsi" w:cstheme="minorHAnsi"/>
        </w:rPr>
        <w:t>(</w:t>
      </w:r>
      <w:r w:rsidR="00AE7A56" w:rsidRPr="009E7738">
        <w:rPr>
          <w:rFonts w:asciiTheme="minorHAnsi" w:hAnsiTheme="minorHAnsi" w:cstheme="minorHAnsi"/>
          <w:b/>
        </w:rPr>
        <w:fldChar w:fldCharType="begin" w:fldLock="1"/>
      </w:r>
      <w:r w:rsidR="00AE7A56" w:rsidRPr="009E7738">
        <w:rPr>
          <w:rFonts w:asciiTheme="minorHAnsi" w:hAnsiTheme="minorHAnsi" w:cstheme="minorHAnsi"/>
          <w:b/>
        </w:rPr>
        <w:instrText xml:space="preserve"> REF _Ref379894780 \h </w:instrText>
      </w:r>
      <w:r w:rsidR="009E7738" w:rsidRPr="009E7738">
        <w:rPr>
          <w:rFonts w:asciiTheme="minorHAnsi" w:hAnsiTheme="minorHAnsi" w:cstheme="minorHAnsi"/>
          <w:b/>
        </w:rPr>
        <w:instrText xml:space="preserve"> \* MERGEFORMAT </w:instrText>
      </w:r>
      <w:r w:rsidR="00AE7A56" w:rsidRPr="009E7738">
        <w:rPr>
          <w:rFonts w:asciiTheme="minorHAnsi" w:hAnsiTheme="minorHAnsi" w:cstheme="minorHAnsi"/>
          <w:b/>
        </w:rPr>
      </w:r>
      <w:r w:rsidR="00AE7A56" w:rsidRPr="009E7738">
        <w:rPr>
          <w:rFonts w:asciiTheme="minorHAnsi" w:hAnsiTheme="minorHAnsi" w:cstheme="minorHAnsi"/>
          <w:b/>
        </w:rPr>
        <w:fldChar w:fldCharType="separate"/>
      </w:r>
      <w:r w:rsidR="00FD0FD6" w:rsidRPr="00FD0FD6">
        <w:rPr>
          <w:b/>
        </w:rPr>
        <w:t>Appendix D</w:t>
      </w:r>
      <w:r w:rsidR="00AE7A56" w:rsidRPr="009E7738">
        <w:rPr>
          <w:rFonts w:asciiTheme="minorHAnsi" w:hAnsiTheme="minorHAnsi" w:cstheme="minorHAnsi"/>
          <w:b/>
        </w:rPr>
        <w:fldChar w:fldCharType="end"/>
      </w:r>
      <w:r w:rsidR="009D7E93" w:rsidRPr="009E7738">
        <w:rPr>
          <w:rFonts w:asciiTheme="minorHAnsi" w:hAnsiTheme="minorHAnsi" w:cstheme="minorHAnsi"/>
          <w:b/>
        </w:rPr>
        <w:t>)</w:t>
      </w:r>
      <w:r>
        <w:rPr>
          <w:rFonts w:asciiTheme="minorHAnsi" w:hAnsiTheme="minorHAnsi" w:cstheme="minorHAnsi"/>
        </w:rPr>
        <w:t>.</w:t>
      </w:r>
      <w:r w:rsidR="00204BDE">
        <w:br w:type="page"/>
      </w:r>
    </w:p>
    <w:p w:rsidR="00383805" w:rsidRDefault="00383805" w:rsidP="00383805">
      <w:pPr>
        <w:pStyle w:val="Caption"/>
        <w:keepNext/>
      </w:pPr>
      <w:bookmarkStart w:id="119" w:name="_Ref393303801"/>
      <w:bookmarkStart w:id="120" w:name="_Toc456266154"/>
      <w:bookmarkStart w:id="121" w:name="_Toc456266990"/>
      <w:r>
        <w:lastRenderedPageBreak/>
        <w:t xml:space="preserve">Table </w:t>
      </w:r>
      <w:fldSimple w:instr=" SEQ Table \* ARABIC ">
        <w:r w:rsidR="00F3134D">
          <w:rPr>
            <w:noProof/>
          </w:rPr>
          <w:t>11</w:t>
        </w:r>
      </w:fldSimple>
      <w:bookmarkEnd w:id="119"/>
      <w:r>
        <w:tab/>
      </w:r>
      <w:r w:rsidR="004D5232">
        <w:t xml:space="preserve">Grams of </w:t>
      </w:r>
      <w:r w:rsidR="00716977">
        <w:t>Ig</w:t>
      </w:r>
      <w:r w:rsidR="004D5232">
        <w:t xml:space="preserve"> issued by </w:t>
      </w:r>
      <w:r w:rsidR="00D50CEA">
        <w:t>state and territory</w:t>
      </w:r>
      <w:bookmarkEnd w:id="120"/>
      <w:bookmarkEnd w:id="121"/>
    </w:p>
    <w:tbl>
      <w:tblPr>
        <w:tblStyle w:val="NBATableStyle2"/>
        <w:tblW w:w="9322" w:type="dxa"/>
        <w:tblLook w:val="04A0" w:firstRow="1" w:lastRow="0" w:firstColumn="1" w:lastColumn="0" w:noHBand="0" w:noVBand="1"/>
      </w:tblPr>
      <w:tblGrid>
        <w:gridCol w:w="1101"/>
        <w:gridCol w:w="2126"/>
        <w:gridCol w:w="2268"/>
        <w:gridCol w:w="2126"/>
        <w:gridCol w:w="1701"/>
      </w:tblGrid>
      <w:tr w:rsidR="00DA71A8" w:rsidRPr="00DA71A8" w:rsidTr="00BB2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A71A8" w:rsidRPr="00DA71A8" w:rsidRDefault="00DA71A8" w:rsidP="004D73D0">
            <w:pPr>
              <w:spacing w:after="0"/>
              <w:rPr>
                <w:rFonts w:ascii="Arial" w:eastAsia="Times New Roman" w:hAnsi="Arial" w:cs="Arial"/>
                <w:bCs/>
                <w:color w:val="FFFFFF"/>
                <w:sz w:val="18"/>
                <w:szCs w:val="18"/>
              </w:rPr>
            </w:pPr>
            <w:r w:rsidRPr="00DA71A8">
              <w:rPr>
                <w:rFonts w:ascii="Arial" w:eastAsia="Times New Roman" w:hAnsi="Arial" w:cs="Arial"/>
                <w:bCs/>
                <w:color w:val="FFFFFF"/>
                <w:sz w:val="18"/>
                <w:szCs w:val="18"/>
              </w:rPr>
              <w:t>201</w:t>
            </w:r>
            <w:r w:rsidR="004D73D0">
              <w:rPr>
                <w:rFonts w:ascii="Arial" w:eastAsia="Times New Roman" w:hAnsi="Arial" w:cs="Arial"/>
                <w:bCs/>
                <w:color w:val="FFFFFF"/>
                <w:sz w:val="18"/>
                <w:szCs w:val="18"/>
              </w:rPr>
              <w:t>3-14</w:t>
            </w:r>
          </w:p>
        </w:tc>
        <w:tc>
          <w:tcPr>
            <w:tcW w:w="2126" w:type="dxa"/>
            <w:noWrap/>
            <w:hideMark/>
          </w:tcPr>
          <w:p w:rsidR="00DA71A8" w:rsidRPr="00DA71A8" w:rsidRDefault="00716977"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 (g)</w:t>
            </w:r>
          </w:p>
        </w:tc>
        <w:tc>
          <w:tcPr>
            <w:tcW w:w="2268"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r w:rsidR="00716977">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w:t>
            </w:r>
          </w:p>
        </w:tc>
        <w:tc>
          <w:tcPr>
            <w:tcW w:w="2126"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701"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NSW</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1,523,456</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34%</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32.0%</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201</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VIC</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996,428</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22%</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24.9%</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169</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QLD</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1,193,847</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27%</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20.1%</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251</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WA</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267,548</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6%</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10.9%</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104</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SA</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243,138</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5%</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7.2%</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144</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TAS</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99,595</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2.2%</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193</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ACT</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91,409</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1.6%</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236</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NT</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17,724</w:t>
            </w:r>
          </w:p>
        </w:tc>
        <w:tc>
          <w:tcPr>
            <w:tcW w:w="2268"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0%</w:t>
            </w:r>
          </w:p>
        </w:tc>
        <w:tc>
          <w:tcPr>
            <w:tcW w:w="2126"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1.0%</w:t>
            </w:r>
          </w:p>
        </w:tc>
        <w:tc>
          <w:tcPr>
            <w:tcW w:w="1701" w:type="dxa"/>
            <w:noWrap/>
            <w:hideMark/>
          </w:tcPr>
          <w:p w:rsidR="00C15E22" w:rsidRPr="001B58F3" w:rsidRDefault="00C15E22" w:rsidP="00C15E22">
            <w:pPr>
              <w:jc w:val="right"/>
              <w:cnfStyle w:val="000000000000" w:firstRow="0" w:lastRow="0" w:firstColumn="0" w:lastColumn="0" w:oddVBand="0" w:evenVBand="0" w:oddHBand="0" w:evenHBand="0" w:firstRowFirstColumn="0" w:firstRowLastColumn="0" w:lastRowFirstColumn="0" w:lastRowLastColumn="0"/>
            </w:pPr>
            <w:r w:rsidRPr="001B58F3">
              <w:t>73</w:t>
            </w:r>
          </w:p>
        </w:tc>
      </w:tr>
      <w:tr w:rsidR="00C15E22" w:rsidRPr="00DA71A8" w:rsidTr="00BB2478">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C15E22" w:rsidRPr="00BB2478" w:rsidRDefault="00C15E22" w:rsidP="00DA71A8">
            <w:pPr>
              <w:spacing w:after="0"/>
              <w:contextualSpacing w:val="0"/>
              <w:rPr>
                <w:rFonts w:ascii="Arial" w:eastAsia="Times New Roman" w:hAnsi="Arial" w:cs="Arial"/>
                <w:b/>
                <w:bCs/>
                <w:color w:val="auto"/>
                <w:sz w:val="18"/>
                <w:szCs w:val="18"/>
              </w:rPr>
            </w:pPr>
            <w:r w:rsidRPr="00BB2478">
              <w:rPr>
                <w:rFonts w:ascii="Arial" w:eastAsia="Times New Roman" w:hAnsi="Arial" w:cs="Arial"/>
                <w:b/>
                <w:bCs/>
                <w:color w:val="auto"/>
                <w:sz w:val="18"/>
                <w:szCs w:val="18"/>
              </w:rPr>
              <w:t>Total</w:t>
            </w:r>
          </w:p>
        </w:tc>
        <w:tc>
          <w:tcPr>
            <w:tcW w:w="2126" w:type="dxa"/>
            <w:noWrap/>
            <w:hideMark/>
          </w:tcPr>
          <w:p w:rsidR="00C15E22" w:rsidRPr="00BB2478" w:rsidRDefault="00C15E22" w:rsidP="00C15E22">
            <w:pPr>
              <w:jc w:val="right"/>
              <w:cnfStyle w:val="000000000000" w:firstRow="0" w:lastRow="0" w:firstColumn="0" w:lastColumn="0" w:oddVBand="0" w:evenVBand="0" w:oddHBand="0" w:evenHBand="0" w:firstRowFirstColumn="0" w:firstRowLastColumn="0" w:lastRowFirstColumn="0" w:lastRowLastColumn="0"/>
              <w:rPr>
                <w:b/>
              </w:rPr>
            </w:pPr>
            <w:r w:rsidRPr="00BB2478">
              <w:rPr>
                <w:b/>
              </w:rPr>
              <w:t>4,433,146</w:t>
            </w:r>
          </w:p>
        </w:tc>
        <w:tc>
          <w:tcPr>
            <w:tcW w:w="2268" w:type="dxa"/>
            <w:noWrap/>
            <w:hideMark/>
          </w:tcPr>
          <w:p w:rsidR="00C15E22" w:rsidRPr="00BB2478" w:rsidRDefault="00C15E22" w:rsidP="00C15E22">
            <w:pPr>
              <w:jc w:val="right"/>
              <w:cnfStyle w:val="000000000000" w:firstRow="0" w:lastRow="0" w:firstColumn="0" w:lastColumn="0" w:oddVBand="0" w:evenVBand="0" w:oddHBand="0" w:evenHBand="0" w:firstRowFirstColumn="0" w:firstRowLastColumn="0" w:lastRowFirstColumn="0" w:lastRowLastColumn="0"/>
              <w:rPr>
                <w:b/>
              </w:rPr>
            </w:pPr>
            <w:r w:rsidRPr="00BB2478">
              <w:rPr>
                <w:b/>
              </w:rPr>
              <w:t>100%</w:t>
            </w:r>
          </w:p>
        </w:tc>
        <w:tc>
          <w:tcPr>
            <w:tcW w:w="2126" w:type="dxa"/>
            <w:noWrap/>
            <w:hideMark/>
          </w:tcPr>
          <w:p w:rsidR="00C15E22" w:rsidRPr="00BB2478" w:rsidRDefault="00C15E22" w:rsidP="00C15E22">
            <w:pPr>
              <w:jc w:val="right"/>
              <w:cnfStyle w:val="000000000000" w:firstRow="0" w:lastRow="0" w:firstColumn="0" w:lastColumn="0" w:oddVBand="0" w:evenVBand="0" w:oddHBand="0" w:evenHBand="0" w:firstRowFirstColumn="0" w:firstRowLastColumn="0" w:lastRowFirstColumn="0" w:lastRowLastColumn="0"/>
              <w:rPr>
                <w:b/>
              </w:rPr>
            </w:pPr>
            <w:r w:rsidRPr="00BB2478">
              <w:rPr>
                <w:b/>
              </w:rPr>
              <w:t>100%</w:t>
            </w:r>
          </w:p>
        </w:tc>
        <w:tc>
          <w:tcPr>
            <w:tcW w:w="1701" w:type="dxa"/>
            <w:noWrap/>
            <w:hideMark/>
          </w:tcPr>
          <w:p w:rsidR="00C15E22" w:rsidRPr="00BB2478" w:rsidRDefault="00C15E22" w:rsidP="00C15E22">
            <w:pPr>
              <w:jc w:val="right"/>
              <w:cnfStyle w:val="000000000000" w:firstRow="0" w:lastRow="0" w:firstColumn="0" w:lastColumn="0" w:oddVBand="0" w:evenVBand="0" w:oddHBand="0" w:evenHBand="0" w:firstRowFirstColumn="0" w:firstRowLastColumn="0" w:lastRowFirstColumn="0" w:lastRowLastColumn="0"/>
              <w:rPr>
                <w:b/>
              </w:rPr>
            </w:pPr>
            <w:r w:rsidRPr="00BB2478">
              <w:rPr>
                <w:b/>
              </w:rPr>
              <w:t>188</w:t>
            </w:r>
          </w:p>
        </w:tc>
      </w:tr>
    </w:tbl>
    <w:p w:rsidR="00D53729" w:rsidRDefault="00D53729" w:rsidP="00223D39"/>
    <w:p w:rsidR="00875770" w:rsidRDefault="00875770" w:rsidP="00223D39">
      <w:r>
        <w:t>The following tables (</w:t>
      </w:r>
      <w:r>
        <w:fldChar w:fldCharType="begin"/>
      </w:r>
      <w:r>
        <w:instrText xml:space="preserve"> REF _Ref386100404 \h </w:instrText>
      </w:r>
      <w:r>
        <w:fldChar w:fldCharType="separate"/>
      </w:r>
      <w:r w:rsidR="00F3134D">
        <w:t xml:space="preserve">Table </w:t>
      </w:r>
      <w:r w:rsidR="00F3134D">
        <w:rPr>
          <w:noProof/>
        </w:rPr>
        <w:t>12</w:t>
      </w:r>
      <w:r>
        <w:fldChar w:fldCharType="end"/>
      </w:r>
      <w:r w:rsidR="00750555">
        <w:t xml:space="preserve">, </w:t>
      </w:r>
      <w:r>
        <w:fldChar w:fldCharType="begin"/>
      </w:r>
      <w:r>
        <w:instrText xml:space="preserve"> REF _Ref386100414 \h </w:instrText>
      </w:r>
      <w:r>
        <w:fldChar w:fldCharType="separate"/>
      </w:r>
      <w:r w:rsidR="00F3134D">
        <w:t xml:space="preserve">Table </w:t>
      </w:r>
      <w:r w:rsidR="00F3134D">
        <w:rPr>
          <w:noProof/>
        </w:rPr>
        <w:t>13</w:t>
      </w:r>
      <w:r>
        <w:fldChar w:fldCharType="end"/>
      </w:r>
      <w:r w:rsidR="00750555">
        <w:t xml:space="preserve">, </w:t>
      </w:r>
      <w:r>
        <w:fldChar w:fldCharType="begin"/>
      </w:r>
      <w:r>
        <w:instrText xml:space="preserve"> REF _Ref386100419 \h </w:instrText>
      </w:r>
      <w:r>
        <w:fldChar w:fldCharType="separate"/>
      </w:r>
      <w:r w:rsidR="00F3134D">
        <w:t xml:space="preserve">Table </w:t>
      </w:r>
      <w:r w:rsidR="00F3134D">
        <w:rPr>
          <w:noProof/>
        </w:rPr>
        <w:t>14</w:t>
      </w:r>
      <w:r>
        <w:fldChar w:fldCharType="end"/>
      </w:r>
      <w:r w:rsidR="00750555">
        <w:t xml:space="preserve">, </w:t>
      </w:r>
      <w:r>
        <w:fldChar w:fldCharType="begin"/>
      </w:r>
      <w:r>
        <w:instrText xml:space="preserve"> REF _Ref386100426 \h </w:instrText>
      </w:r>
      <w:r>
        <w:fldChar w:fldCharType="separate"/>
      </w:r>
      <w:r w:rsidR="00F3134D">
        <w:t xml:space="preserve">Table </w:t>
      </w:r>
      <w:r w:rsidR="00F3134D">
        <w:rPr>
          <w:noProof/>
        </w:rPr>
        <w:t>15</w:t>
      </w:r>
      <w:r>
        <w:fldChar w:fldCharType="end"/>
      </w:r>
      <w:r w:rsidR="00150C63">
        <w:t xml:space="preserve"> and</w:t>
      </w:r>
      <w:r w:rsidR="00750555">
        <w:t xml:space="preserve"> </w:t>
      </w:r>
      <w:r>
        <w:fldChar w:fldCharType="begin"/>
      </w:r>
      <w:r>
        <w:instrText xml:space="preserve"> REF _Ref386100433 \h </w:instrText>
      </w:r>
      <w:r>
        <w:fldChar w:fldCharType="separate"/>
      </w:r>
      <w:r w:rsidR="00F3134D">
        <w:t xml:space="preserve">Table </w:t>
      </w:r>
      <w:r w:rsidR="00F3134D">
        <w:rPr>
          <w:noProof/>
        </w:rPr>
        <w:t>16</w:t>
      </w:r>
      <w:r>
        <w:fldChar w:fldCharType="end"/>
      </w:r>
      <w:r>
        <w:t xml:space="preserve">) show the patient numbers for </w:t>
      </w:r>
      <w:r w:rsidR="00D50CEA">
        <w:t>states and territories</w:t>
      </w:r>
      <w:r>
        <w:t xml:space="preserve"> over time for specific </w:t>
      </w:r>
      <w:r w:rsidR="00B04685">
        <w:t>conditions</w:t>
      </w:r>
      <w:r>
        <w:t>.</w:t>
      </w:r>
    </w:p>
    <w:p w:rsidR="004D5232" w:rsidRDefault="004D5232" w:rsidP="004D5232">
      <w:pPr>
        <w:pStyle w:val="Caption"/>
        <w:keepNext/>
      </w:pPr>
      <w:bookmarkStart w:id="122" w:name="_Ref386100404"/>
      <w:bookmarkStart w:id="123" w:name="_Toc456266155"/>
      <w:bookmarkStart w:id="124" w:name="_Toc456266991"/>
      <w:r>
        <w:t xml:space="preserve">Table </w:t>
      </w:r>
      <w:fldSimple w:instr=" SEQ Table \* ARABIC ">
        <w:r w:rsidR="00F3134D">
          <w:rPr>
            <w:noProof/>
          </w:rPr>
          <w:t>12</w:t>
        </w:r>
      </w:fldSimple>
      <w:bookmarkEnd w:id="122"/>
      <w:r>
        <w:tab/>
      </w:r>
      <w:r w:rsidR="00A84591">
        <w:t>P</w:t>
      </w:r>
      <w:r w:rsidR="00002F3F">
        <w:t xml:space="preserve">atient numbers by </w:t>
      </w:r>
      <w:r w:rsidR="00D50CEA">
        <w:t>state and territory</w:t>
      </w:r>
      <w:r w:rsidR="00A84591">
        <w:t>:</w:t>
      </w:r>
      <w:r w:rsidR="00002F3F">
        <w:t xml:space="preserve"> </w:t>
      </w:r>
      <w:r>
        <w:t>c</w:t>
      </w:r>
      <w:r w:rsidRPr="004D5232">
        <w:t>hronic inflammatory demyelinating polyneuropathy</w:t>
      </w:r>
      <w:bookmarkEnd w:id="123"/>
      <w:bookmarkEnd w:id="124"/>
    </w:p>
    <w:tbl>
      <w:tblPr>
        <w:tblStyle w:val="NBATableStyle2"/>
        <w:tblW w:w="0" w:type="auto"/>
        <w:tblLayout w:type="fixed"/>
        <w:tblLook w:val="04A0" w:firstRow="1" w:lastRow="0" w:firstColumn="1" w:lastColumn="0" w:noHBand="0" w:noVBand="1"/>
      </w:tblPr>
      <w:tblGrid>
        <w:gridCol w:w="4219"/>
        <w:gridCol w:w="992"/>
        <w:gridCol w:w="993"/>
        <w:gridCol w:w="992"/>
        <w:gridCol w:w="992"/>
        <w:gridCol w:w="992"/>
      </w:tblGrid>
      <w:tr w:rsidR="00C15E22" w:rsidRPr="0029120E" w:rsidTr="00C15E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CC3E5B" w:rsidRDefault="00C15E22" w:rsidP="00BF07A9">
            <w:pPr>
              <w:spacing w:after="0"/>
              <w:jc w:val="left"/>
              <w:rPr>
                <w:rFonts w:eastAsia="Times New Roman"/>
                <w:b w:val="0"/>
                <w:lang w:eastAsia="en-US"/>
              </w:rPr>
            </w:pPr>
            <w:r w:rsidRPr="00CC3E5B">
              <w:t>Chronic inflammatory demyelinating polyneuropathy</w:t>
            </w:r>
          </w:p>
        </w:tc>
        <w:tc>
          <w:tcPr>
            <w:tcW w:w="992" w:type="dxa"/>
            <w:noWrap/>
            <w:hideMark/>
          </w:tcPr>
          <w:p w:rsidR="00C15E22" w:rsidRPr="00C15E22" w:rsidRDefault="00C15E2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2010-11</w:t>
            </w:r>
          </w:p>
        </w:tc>
        <w:tc>
          <w:tcPr>
            <w:tcW w:w="993" w:type="dxa"/>
            <w:noWrap/>
            <w:hideMark/>
          </w:tcPr>
          <w:p w:rsidR="00C15E22" w:rsidRPr="00C15E22" w:rsidRDefault="00C15E2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2011-12</w:t>
            </w:r>
          </w:p>
        </w:tc>
        <w:tc>
          <w:tcPr>
            <w:tcW w:w="992" w:type="dxa"/>
            <w:noWrap/>
            <w:hideMark/>
          </w:tcPr>
          <w:p w:rsidR="00C15E22" w:rsidRPr="00C15E22" w:rsidRDefault="00C15E2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2012-13</w:t>
            </w:r>
          </w:p>
        </w:tc>
        <w:tc>
          <w:tcPr>
            <w:tcW w:w="992" w:type="dxa"/>
            <w:noWrap/>
            <w:hideMark/>
          </w:tcPr>
          <w:p w:rsidR="00C15E22" w:rsidRPr="00C15E22" w:rsidRDefault="00C15E2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2013-14</w:t>
            </w:r>
          </w:p>
        </w:tc>
        <w:tc>
          <w:tcPr>
            <w:tcW w:w="992" w:type="dxa"/>
          </w:tcPr>
          <w:p w:rsidR="00C15E22" w:rsidRPr="00C15E22" w:rsidRDefault="00C15E2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2014-15</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NSW</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539</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598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652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704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772</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VIC</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339</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447</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464</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QLD</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312</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529</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580</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WA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90</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108</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123</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SA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70</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81</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81</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TAS</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ACT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29120E">
            <w:pPr>
              <w:spacing w:after="0"/>
              <w:rPr>
                <w:rFonts w:eastAsia="Times New Roman"/>
                <w:color w:val="000000"/>
              </w:rPr>
            </w:pPr>
            <w:r>
              <w:rPr>
                <w:color w:val="000000"/>
              </w:rPr>
              <w:t>NT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3"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w:t>
            </w:r>
          </w:p>
        </w:tc>
      </w:tr>
      <w:tr w:rsidR="00C15E22" w:rsidRPr="0029120E" w:rsidTr="0015311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BB2478" w:rsidRDefault="00C15E22" w:rsidP="0029120E">
            <w:pPr>
              <w:spacing w:after="0"/>
              <w:rPr>
                <w:rFonts w:eastAsia="Times New Roman"/>
                <w:b/>
                <w:color w:val="000000"/>
              </w:rPr>
            </w:pPr>
            <w:r w:rsidRPr="00BB2478">
              <w:rPr>
                <w:b/>
                <w:color w:val="000000"/>
              </w:rPr>
              <w:t>Australia</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1,372</w:t>
            </w:r>
          </w:p>
        </w:tc>
        <w:tc>
          <w:tcPr>
            <w:tcW w:w="993"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1,551</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1,753</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1,903</w:t>
            </w:r>
          </w:p>
        </w:tc>
        <w:tc>
          <w:tcPr>
            <w:tcW w:w="992" w:type="dxa"/>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2,054</w:t>
            </w:r>
          </w:p>
        </w:tc>
      </w:tr>
    </w:tbl>
    <w:p w:rsidR="00353CA7" w:rsidRDefault="00353CA7" w:rsidP="00353CA7">
      <w:r>
        <w:br w:type="page"/>
      </w:r>
    </w:p>
    <w:p w:rsidR="004D5232" w:rsidRDefault="004D5232" w:rsidP="004D5232">
      <w:pPr>
        <w:pStyle w:val="Caption"/>
        <w:keepNext/>
      </w:pPr>
      <w:bookmarkStart w:id="125" w:name="_Ref386100414"/>
      <w:bookmarkStart w:id="126" w:name="_Toc456266156"/>
      <w:bookmarkStart w:id="127" w:name="_Toc456266992"/>
      <w:r>
        <w:lastRenderedPageBreak/>
        <w:t xml:space="preserve">Table </w:t>
      </w:r>
      <w:fldSimple w:instr=" SEQ Table \* ARABIC ">
        <w:r w:rsidR="00F3134D">
          <w:rPr>
            <w:noProof/>
          </w:rPr>
          <w:t>13</w:t>
        </w:r>
      </w:fldSimple>
      <w:bookmarkEnd w:id="125"/>
      <w:r>
        <w:tab/>
      </w:r>
      <w:r w:rsidR="00A84591">
        <w:t>P</w:t>
      </w:r>
      <w:r w:rsidR="00002F3F">
        <w:t xml:space="preserve">atient numbers by </w:t>
      </w:r>
      <w:r w:rsidR="00D50CEA">
        <w:t>state and territory</w:t>
      </w:r>
      <w:r w:rsidR="00A84591">
        <w:t>:</w:t>
      </w:r>
      <w:r w:rsidR="00002F3F">
        <w:t xml:space="preserve"> </w:t>
      </w:r>
      <w:r>
        <w:t>c</w:t>
      </w:r>
      <w:r w:rsidRPr="004D5232">
        <w:t>ommon variable immunodeficiency disease</w:t>
      </w:r>
      <w:bookmarkEnd w:id="126"/>
      <w:bookmarkEnd w:id="127"/>
    </w:p>
    <w:tbl>
      <w:tblPr>
        <w:tblStyle w:val="NBATableStyle2"/>
        <w:tblW w:w="0" w:type="auto"/>
        <w:tblLayout w:type="fixed"/>
        <w:tblLook w:val="04A0" w:firstRow="1" w:lastRow="0" w:firstColumn="1" w:lastColumn="0" w:noHBand="0" w:noVBand="1"/>
      </w:tblPr>
      <w:tblGrid>
        <w:gridCol w:w="4219"/>
        <w:gridCol w:w="992"/>
        <w:gridCol w:w="992"/>
        <w:gridCol w:w="992"/>
        <w:gridCol w:w="992"/>
        <w:gridCol w:w="992"/>
      </w:tblGrid>
      <w:tr w:rsidR="00C15E22"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CC3E5B" w:rsidRDefault="00C15E22" w:rsidP="00BF07A9">
            <w:pPr>
              <w:spacing w:after="0"/>
              <w:jc w:val="left"/>
              <w:rPr>
                <w:rFonts w:eastAsia="Times New Roman"/>
                <w:b w:val="0"/>
                <w:lang w:eastAsia="en-US"/>
              </w:rPr>
            </w:pPr>
            <w:r w:rsidRPr="00CC3E5B">
              <w:rPr>
                <w:rFonts w:eastAsia="Times New Roman"/>
              </w:rPr>
              <w:t>Common variable immunodeficiency disease</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2010-11</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562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617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650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721</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793</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265</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276</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317</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338</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78</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88</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110</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66</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C15E22" w:rsidRPr="00BB2478" w:rsidRDefault="00C15E22" w:rsidP="00BF07A9">
            <w:pPr>
              <w:spacing w:after="0"/>
              <w:rPr>
                <w:rFonts w:eastAsia="Times New Roman"/>
                <w:b/>
                <w:color w:val="000000"/>
                <w:lang w:eastAsia="en-US"/>
              </w:rPr>
            </w:pPr>
            <w:r w:rsidRPr="00BB2478">
              <w:rPr>
                <w:rFonts w:eastAsia="Times New Roman"/>
                <w:b/>
                <w:color w:val="000000"/>
              </w:rPr>
              <w:t>Australia</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1,247</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1,323</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1,406</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1,543</w:t>
            </w:r>
          </w:p>
        </w:tc>
        <w:tc>
          <w:tcPr>
            <w:tcW w:w="992" w:type="dxa"/>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1,656</w:t>
            </w:r>
          </w:p>
        </w:tc>
      </w:tr>
    </w:tbl>
    <w:p w:rsidR="0029120E" w:rsidRDefault="0029120E" w:rsidP="00223D39"/>
    <w:p w:rsidR="004D5232" w:rsidRDefault="004D5232" w:rsidP="004D5232">
      <w:pPr>
        <w:pStyle w:val="Caption"/>
        <w:keepNext/>
      </w:pPr>
      <w:bookmarkStart w:id="128" w:name="_Ref386100419"/>
      <w:bookmarkStart w:id="129" w:name="_Toc456266157"/>
      <w:bookmarkStart w:id="130" w:name="_Toc456266993"/>
      <w:r>
        <w:t xml:space="preserve">Table </w:t>
      </w:r>
      <w:fldSimple w:instr=" SEQ Table \* ARABIC ">
        <w:r w:rsidR="00F3134D">
          <w:rPr>
            <w:noProof/>
          </w:rPr>
          <w:t>14</w:t>
        </w:r>
      </w:fldSimple>
      <w:bookmarkEnd w:id="128"/>
      <w:r>
        <w:tab/>
      </w:r>
      <w:r w:rsidR="00A84591">
        <w:t>P</w:t>
      </w:r>
      <w:r w:rsidR="00002F3F">
        <w:t xml:space="preserve">atient numbers by </w:t>
      </w:r>
      <w:r w:rsidR="00D50CEA">
        <w:t>state and territory</w:t>
      </w:r>
      <w:r w:rsidR="00A84591">
        <w:t>:</w:t>
      </w:r>
      <w:r w:rsidR="00002F3F">
        <w:t xml:space="preserve"> </w:t>
      </w:r>
      <w:r>
        <w:t>m</w:t>
      </w:r>
      <w:r w:rsidRPr="004D5232">
        <w:t>yasthenia gravis</w:t>
      </w:r>
      <w:bookmarkEnd w:id="129"/>
      <w:bookmarkEnd w:id="130"/>
    </w:p>
    <w:tbl>
      <w:tblPr>
        <w:tblStyle w:val="NBATableStyle2"/>
        <w:tblW w:w="0" w:type="auto"/>
        <w:tblLayout w:type="fixed"/>
        <w:tblLook w:val="04A0" w:firstRow="1" w:lastRow="0" w:firstColumn="1" w:lastColumn="0" w:noHBand="0" w:noVBand="1"/>
      </w:tblPr>
      <w:tblGrid>
        <w:gridCol w:w="4218"/>
        <w:gridCol w:w="992"/>
        <w:gridCol w:w="992"/>
        <w:gridCol w:w="992"/>
        <w:gridCol w:w="992"/>
        <w:gridCol w:w="992"/>
      </w:tblGrid>
      <w:tr w:rsidR="00C15E22"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CC3E5B" w:rsidRDefault="00C15E22" w:rsidP="00BF07A9">
            <w:pPr>
              <w:spacing w:after="0"/>
              <w:jc w:val="left"/>
              <w:rPr>
                <w:rFonts w:eastAsia="Times New Roman"/>
                <w:b w:val="0"/>
                <w:lang w:eastAsia="en-US"/>
              </w:rPr>
            </w:pPr>
            <w:r w:rsidRPr="00CC3E5B">
              <w:rPr>
                <w:rFonts w:eastAsia="Times New Roman"/>
              </w:rPr>
              <w:t>Myasthenia gravis</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2010-11</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267</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297</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122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186</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199</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212</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41</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r>
      <w:tr w:rsidR="00C15E22" w:rsidRPr="0029120E" w:rsidTr="00BB2478">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NT</w:t>
            </w:r>
          </w:p>
        </w:tc>
        <w:tc>
          <w:tcPr>
            <w:tcW w:w="992" w:type="dxa"/>
            <w:noWrap/>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noWrap/>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noWrap/>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noWrap/>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BB2478" w:rsidRDefault="00C15E22" w:rsidP="00BF07A9">
            <w:pPr>
              <w:spacing w:after="0"/>
              <w:rPr>
                <w:rFonts w:eastAsia="Times New Roman"/>
                <w:b/>
                <w:color w:val="000000"/>
                <w:lang w:eastAsia="en-US"/>
              </w:rPr>
            </w:pPr>
            <w:r w:rsidRPr="00BB2478">
              <w:rPr>
                <w:rFonts w:eastAsia="Times New Roman"/>
                <w:b/>
                <w:color w:val="000000"/>
              </w:rPr>
              <w:t>Australia</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521</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609</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671</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747</w:t>
            </w:r>
          </w:p>
        </w:tc>
        <w:tc>
          <w:tcPr>
            <w:tcW w:w="992" w:type="dxa"/>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818</w:t>
            </w:r>
          </w:p>
        </w:tc>
      </w:tr>
    </w:tbl>
    <w:p w:rsidR="00353CA7" w:rsidRDefault="00353CA7" w:rsidP="00223D39"/>
    <w:p w:rsidR="00353CA7" w:rsidRDefault="00353CA7" w:rsidP="00353CA7">
      <w:r>
        <w:br w:type="page"/>
      </w:r>
    </w:p>
    <w:p w:rsidR="004D5232" w:rsidRDefault="004D5232" w:rsidP="004D5232">
      <w:pPr>
        <w:pStyle w:val="Caption"/>
        <w:keepNext/>
      </w:pPr>
      <w:bookmarkStart w:id="131" w:name="_Ref386100426"/>
      <w:bookmarkStart w:id="132" w:name="_Toc456266158"/>
      <w:bookmarkStart w:id="133" w:name="_Toc456266994"/>
      <w:r>
        <w:lastRenderedPageBreak/>
        <w:t xml:space="preserve">Table </w:t>
      </w:r>
      <w:fldSimple w:instr=" SEQ Table \* ARABIC ">
        <w:r w:rsidR="00F3134D">
          <w:rPr>
            <w:noProof/>
          </w:rPr>
          <w:t>15</w:t>
        </w:r>
      </w:fldSimple>
      <w:bookmarkEnd w:id="131"/>
      <w:r>
        <w:tab/>
      </w:r>
      <w:r w:rsidR="00A84591">
        <w:t>P</w:t>
      </w:r>
      <w:r w:rsidR="00002F3F">
        <w:t xml:space="preserve">atient numbers by </w:t>
      </w:r>
      <w:r w:rsidR="00D50CEA">
        <w:t>state and territory</w:t>
      </w:r>
      <w:r w:rsidR="00A84591">
        <w:t>:</w:t>
      </w:r>
      <w:r w:rsidR="00002F3F">
        <w:t xml:space="preserve"> </w:t>
      </w:r>
      <w:r>
        <w:t>c</w:t>
      </w:r>
      <w:r w:rsidRPr="004D5232">
        <w:t>hronic lymphocytic leukaemia</w:t>
      </w:r>
      <w:bookmarkEnd w:id="132"/>
      <w:bookmarkEnd w:id="133"/>
    </w:p>
    <w:tbl>
      <w:tblPr>
        <w:tblStyle w:val="NBATableStyle2"/>
        <w:tblW w:w="0" w:type="auto"/>
        <w:tblLook w:val="04A0" w:firstRow="1" w:lastRow="0" w:firstColumn="1" w:lastColumn="0" w:noHBand="0" w:noVBand="1"/>
      </w:tblPr>
      <w:tblGrid>
        <w:gridCol w:w="4218"/>
        <w:gridCol w:w="992"/>
        <w:gridCol w:w="992"/>
        <w:gridCol w:w="992"/>
        <w:gridCol w:w="992"/>
        <w:gridCol w:w="992"/>
      </w:tblGrid>
      <w:tr w:rsidR="00C15E22"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CC3E5B" w:rsidRDefault="00C15E22" w:rsidP="00BF07A9">
            <w:pPr>
              <w:spacing w:after="0"/>
              <w:jc w:val="left"/>
              <w:rPr>
                <w:rFonts w:eastAsia="Times New Roman"/>
                <w:b w:val="0"/>
                <w:lang w:eastAsia="en-US"/>
              </w:rPr>
            </w:pPr>
            <w:r w:rsidRPr="00CC3E5B">
              <w:rPr>
                <w:rFonts w:eastAsia="Times New Roman"/>
              </w:rPr>
              <w:t>Chronic lymphocytic leukaemia</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2010-11</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431</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483</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271</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290</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292</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318</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45</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64</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86</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77</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BB2478" w:rsidRDefault="00C15E22" w:rsidP="00BF07A9">
            <w:pPr>
              <w:spacing w:after="0"/>
              <w:rPr>
                <w:rFonts w:eastAsia="Times New Roman"/>
                <w:b/>
                <w:color w:val="000000"/>
                <w:lang w:eastAsia="en-US"/>
              </w:rPr>
            </w:pPr>
            <w:r w:rsidRPr="00BB2478">
              <w:rPr>
                <w:rFonts w:eastAsia="Times New Roman"/>
                <w:b/>
                <w:color w:val="000000"/>
              </w:rPr>
              <w:t>Australia</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1,024</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1,060</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1,078</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1,179</w:t>
            </w:r>
          </w:p>
        </w:tc>
        <w:tc>
          <w:tcPr>
            <w:tcW w:w="992" w:type="dxa"/>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1,283</w:t>
            </w:r>
          </w:p>
        </w:tc>
      </w:tr>
    </w:tbl>
    <w:p w:rsidR="0029120E" w:rsidRDefault="0029120E" w:rsidP="00223D39"/>
    <w:p w:rsidR="004D5232" w:rsidRDefault="004D5232" w:rsidP="004D5232">
      <w:pPr>
        <w:pStyle w:val="Caption"/>
        <w:keepNext/>
      </w:pPr>
      <w:bookmarkStart w:id="134" w:name="_Ref386100433"/>
      <w:bookmarkStart w:id="135" w:name="_Toc456266159"/>
      <w:bookmarkStart w:id="136" w:name="_Toc456266995"/>
      <w:r>
        <w:t xml:space="preserve">Table </w:t>
      </w:r>
      <w:fldSimple w:instr=" SEQ Table \* ARABIC ">
        <w:r w:rsidR="00F3134D">
          <w:rPr>
            <w:noProof/>
          </w:rPr>
          <w:t>16</w:t>
        </w:r>
      </w:fldSimple>
      <w:bookmarkEnd w:id="134"/>
      <w:r>
        <w:tab/>
      </w:r>
      <w:r w:rsidR="00A84591">
        <w:t>P</w:t>
      </w:r>
      <w:r>
        <w:t>atient numbers</w:t>
      </w:r>
      <w:r w:rsidR="00002F3F">
        <w:t xml:space="preserve"> by </w:t>
      </w:r>
      <w:r w:rsidR="00D50CEA">
        <w:t>state and territory</w:t>
      </w:r>
      <w:r w:rsidR="00A84591">
        <w:t>:</w:t>
      </w:r>
      <w:r>
        <w:t xml:space="preserve"> m</w:t>
      </w:r>
      <w:r w:rsidRPr="004D5232">
        <w:t>ultiple myeloma</w:t>
      </w:r>
      <w:bookmarkEnd w:id="135"/>
      <w:bookmarkEnd w:id="136"/>
    </w:p>
    <w:tbl>
      <w:tblPr>
        <w:tblStyle w:val="NBATableStyle2"/>
        <w:tblW w:w="0" w:type="auto"/>
        <w:tblLook w:val="04A0" w:firstRow="1" w:lastRow="0" w:firstColumn="1" w:lastColumn="0" w:noHBand="0" w:noVBand="1"/>
      </w:tblPr>
      <w:tblGrid>
        <w:gridCol w:w="4218"/>
        <w:gridCol w:w="992"/>
        <w:gridCol w:w="992"/>
        <w:gridCol w:w="992"/>
        <w:gridCol w:w="992"/>
        <w:gridCol w:w="992"/>
      </w:tblGrid>
      <w:tr w:rsidR="00C15E22"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CC3E5B" w:rsidRDefault="00C15E22" w:rsidP="00BF07A9">
            <w:pPr>
              <w:spacing w:after="0"/>
              <w:jc w:val="left"/>
              <w:rPr>
                <w:rFonts w:eastAsia="Times New Roman"/>
                <w:b w:val="0"/>
                <w:lang w:eastAsia="en-US"/>
              </w:rPr>
            </w:pPr>
            <w:r w:rsidRPr="00CC3E5B">
              <w:rPr>
                <w:rFonts w:eastAsia="Times New Roman"/>
              </w:rPr>
              <w:t>Multiple myeloma</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2010-11</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noWrap/>
            <w:hideMark/>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C15E22" w:rsidRPr="00C15E22" w:rsidRDefault="00C15E22" w:rsidP="00C15E2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389</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153</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176</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47</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29120E" w:rsidRDefault="00C15E22"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C15E22" w:rsidRDefault="00C15E2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C15E22"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C15E22" w:rsidRPr="00BB2478" w:rsidRDefault="00C15E22" w:rsidP="00BF07A9">
            <w:pPr>
              <w:spacing w:after="0"/>
              <w:rPr>
                <w:rFonts w:eastAsia="Times New Roman"/>
                <w:b/>
                <w:color w:val="000000"/>
                <w:lang w:eastAsia="en-US"/>
              </w:rPr>
            </w:pPr>
            <w:r w:rsidRPr="00BB2478">
              <w:rPr>
                <w:rFonts w:eastAsia="Times New Roman"/>
                <w:b/>
                <w:color w:val="000000"/>
              </w:rPr>
              <w:t>Australia</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878</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901</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969</w:t>
            </w:r>
          </w:p>
        </w:tc>
        <w:tc>
          <w:tcPr>
            <w:tcW w:w="992" w:type="dxa"/>
            <w:noWrap/>
            <w:hideMark/>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1,012</w:t>
            </w:r>
          </w:p>
        </w:tc>
        <w:tc>
          <w:tcPr>
            <w:tcW w:w="992" w:type="dxa"/>
          </w:tcPr>
          <w:p w:rsidR="00C15E22" w:rsidRPr="00BB2478" w:rsidRDefault="00C15E2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1,100</w:t>
            </w:r>
          </w:p>
        </w:tc>
      </w:tr>
    </w:tbl>
    <w:p w:rsidR="00C119CD" w:rsidRDefault="00C119CD" w:rsidP="00223D39"/>
    <w:p w:rsidR="00C119CD" w:rsidRDefault="00223D39" w:rsidP="00223D39">
      <w:r>
        <w:br w:type="page"/>
      </w:r>
    </w:p>
    <w:p w:rsidR="0021560A" w:rsidRDefault="0021560A" w:rsidP="0021560A">
      <w:pPr>
        <w:pStyle w:val="Caption"/>
      </w:pPr>
      <w:bookmarkStart w:id="137" w:name="_Ref406138226"/>
      <w:bookmarkStart w:id="138" w:name="_Toc456266160"/>
      <w:bookmarkStart w:id="139" w:name="_Toc456266996"/>
      <w:r>
        <w:lastRenderedPageBreak/>
        <w:t xml:space="preserve">Table </w:t>
      </w:r>
      <w:fldSimple w:instr=" SEQ Table \* ARABIC ">
        <w:r w:rsidR="00F3134D">
          <w:rPr>
            <w:noProof/>
          </w:rPr>
          <w:t>17</w:t>
        </w:r>
      </w:fldSimple>
      <w:bookmarkEnd w:id="137"/>
      <w:r>
        <w:tab/>
      </w:r>
      <w:r w:rsidR="00716977">
        <w:t>Ig</w:t>
      </w:r>
      <w:r>
        <w:t xml:space="preserve"> issued per 1,000 population by state and territory</w:t>
      </w:r>
      <w:r w:rsidR="002D0420">
        <w:t xml:space="preserve"> for top 10 conditions</w:t>
      </w:r>
      <w:bookmarkEnd w:id="138"/>
      <w:bookmarkEnd w:id="139"/>
    </w:p>
    <w:tbl>
      <w:tblPr>
        <w:tblStyle w:val="NBATableStyle2"/>
        <w:tblW w:w="9274" w:type="dxa"/>
        <w:tblLook w:val="04A0" w:firstRow="1" w:lastRow="0" w:firstColumn="1" w:lastColumn="0" w:noHBand="0" w:noVBand="1"/>
      </w:tblPr>
      <w:tblGrid>
        <w:gridCol w:w="2593"/>
        <w:gridCol w:w="665"/>
        <w:gridCol w:w="536"/>
        <w:gridCol w:w="599"/>
        <w:gridCol w:w="549"/>
        <w:gridCol w:w="553"/>
        <w:gridCol w:w="563"/>
        <w:gridCol w:w="575"/>
        <w:gridCol w:w="470"/>
        <w:gridCol w:w="999"/>
        <w:gridCol w:w="1172"/>
      </w:tblGrid>
      <w:tr w:rsidR="0021560A" w:rsidRPr="00305284" w:rsidTr="00082B6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305284" w:rsidRDefault="0021560A" w:rsidP="00082B62">
            <w:pPr>
              <w:spacing w:after="0"/>
              <w:rPr>
                <w:rFonts w:eastAsia="Times New Roman"/>
              </w:rPr>
            </w:pPr>
            <w:r>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WA</w:t>
            </w:r>
          </w:p>
        </w:tc>
        <w:tc>
          <w:tcPr>
            <w:tcW w:w="55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SA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ACT</w:t>
            </w:r>
          </w:p>
        </w:tc>
        <w:tc>
          <w:tcPr>
            <w:tcW w:w="470"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NT</w:t>
            </w:r>
          </w:p>
        </w:tc>
        <w:tc>
          <w:tcPr>
            <w:tcW w:w="999" w:type="dxa"/>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National</w:t>
            </w:r>
          </w:p>
        </w:tc>
        <w:tc>
          <w:tcPr>
            <w:tcW w:w="1172"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Chronic inflammatory demyelinating polyneuropathy</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Common variable immunodeficiency disease</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Myasthenia gravis</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Chronic lymphocytic leukaemia</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Non-Hodgkins lymphoma</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Multifocal motor neuropathy</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Multiple myeloma</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Polymyositis</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Secondary hypogammaglobulinaemia (excludes haem malignancies)</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A97D1B" w:rsidRPr="00305284" w:rsidTr="00A97D1B">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A97D1B" w:rsidRDefault="00A97D1B" w:rsidP="00A97D1B">
            <w:pPr>
              <w:rPr>
                <w:color w:val="000000"/>
              </w:rPr>
            </w:pPr>
            <w:r>
              <w:rPr>
                <w:color w:val="000000"/>
              </w:rPr>
              <w:t>Guillain-Barré syndrome</w:t>
            </w:r>
          </w:p>
        </w:tc>
        <w:tc>
          <w:tcPr>
            <w:tcW w:w="66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36"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9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49"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5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75"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470"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9" w:type="dxa"/>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1172" w:type="dxa"/>
            <w:noWrap/>
          </w:tcPr>
          <w:p w:rsidR="00A97D1B" w:rsidRDefault="00A97D1B" w:rsidP="00A97D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bl>
    <w:p w:rsidR="00BB4B49" w:rsidRPr="00BB4B49" w:rsidRDefault="00D80C8E" w:rsidP="002D0420">
      <w:pPr>
        <w:rPr>
          <w:b/>
        </w:rPr>
      </w:pPr>
      <w:r w:rsidRPr="00BB4B49">
        <w:t>*</w:t>
      </w:r>
      <w:r w:rsidR="00486C69" w:rsidRPr="00BB4B49">
        <w:t xml:space="preserve">The Fold </w:t>
      </w:r>
      <w:r w:rsidRPr="00BB4B49">
        <w:t xml:space="preserve">Variation </w:t>
      </w:r>
      <w:r w:rsidR="00BB4B49">
        <w:t xml:space="preserve">in </w:t>
      </w:r>
      <w:r w:rsidR="002D0420" w:rsidRPr="002D0420">
        <w:fldChar w:fldCharType="begin"/>
      </w:r>
      <w:r w:rsidR="002D0420" w:rsidRPr="002D0420">
        <w:instrText xml:space="preserve"> REF _Ref406138226 \h </w:instrText>
      </w:r>
      <w:r w:rsidR="002D0420">
        <w:instrText xml:space="preserve"> \* MERGEFORMAT </w:instrText>
      </w:r>
      <w:r w:rsidR="002D0420" w:rsidRPr="002D0420">
        <w:fldChar w:fldCharType="separate"/>
      </w:r>
      <w:r w:rsidR="00F3134D">
        <w:t>Table 17</w:t>
      </w:r>
      <w:r w:rsidR="002D0420" w:rsidRPr="002D0420">
        <w:fldChar w:fldCharType="end"/>
      </w:r>
      <w:r w:rsidR="002D0420">
        <w:rPr>
          <w:b/>
        </w:rPr>
        <w:t xml:space="preserve"> </w:t>
      </w:r>
      <w:r w:rsidRPr="00BB4B49">
        <w:t xml:space="preserve">is </w:t>
      </w:r>
      <w:r w:rsidR="00486C69" w:rsidRPr="00BB4B49">
        <w:t xml:space="preserve">a </w:t>
      </w:r>
      <w:r w:rsidRPr="00BB4B49">
        <w:t>measure</w:t>
      </w:r>
      <w:r w:rsidR="00486C69" w:rsidRPr="00BB4B49">
        <w:t xml:space="preserve"> describing </w:t>
      </w:r>
      <w:r w:rsidR="0021560A">
        <w:t>difference in</w:t>
      </w:r>
      <w:r w:rsidR="00486C69" w:rsidRPr="00BB4B49">
        <w:t xml:space="preserve"> the </w:t>
      </w:r>
      <w:r w:rsidR="00716977">
        <w:t>Ig</w:t>
      </w:r>
      <w:r w:rsidR="0021560A" w:rsidRPr="00BB4B49">
        <w:t xml:space="preserve"> </w:t>
      </w:r>
      <w:r w:rsidR="00486C69" w:rsidRPr="00BB4B49">
        <w:t>grams per 1</w:t>
      </w:r>
      <w:r w:rsidR="0021560A">
        <w:t>,</w:t>
      </w:r>
      <w:r w:rsidR="00486C69" w:rsidRPr="00BB4B49">
        <w:t xml:space="preserve">000 population </w:t>
      </w:r>
      <w:r w:rsidR="0021560A">
        <w:t>between the state being issued the least to the state being issued the most</w:t>
      </w:r>
      <w:r w:rsidRPr="00BB4B49">
        <w:t>, using only data from the five largest states</w:t>
      </w:r>
      <w:r w:rsidR="00486C69" w:rsidRPr="00BB4B49">
        <w:t>. For</w:t>
      </w:r>
      <w:r w:rsidR="002033F2" w:rsidRPr="00BB4B49">
        <w:t xml:space="preserve"> </w:t>
      </w:r>
      <w:r w:rsidR="00486C69" w:rsidRPr="00BB4B49">
        <w:t xml:space="preserve">example, a </w:t>
      </w:r>
      <w:r w:rsidR="0021560A">
        <w:t>low</w:t>
      </w:r>
      <w:r w:rsidR="0021560A" w:rsidRPr="00BB4B49">
        <w:t xml:space="preserve"> </w:t>
      </w:r>
      <w:r w:rsidR="00486C69" w:rsidRPr="00BB4B49">
        <w:t xml:space="preserve">value of 30 and a </w:t>
      </w:r>
      <w:r w:rsidR="0021560A">
        <w:t>high</w:t>
      </w:r>
      <w:r w:rsidR="0021560A" w:rsidRPr="00BB4B49">
        <w:t xml:space="preserve"> </w:t>
      </w:r>
      <w:r w:rsidR="00486C69" w:rsidRPr="00BB4B49">
        <w:t xml:space="preserve">value of 60 correspond to a fold variation of 2, or in common terms, a two-fold increase. </w:t>
      </w:r>
      <w:bookmarkStart w:id="140" w:name="_Ref379894861"/>
    </w:p>
    <w:p w:rsidR="000E1B2A" w:rsidRDefault="00566E89" w:rsidP="00566E89">
      <w:pPr>
        <w:pStyle w:val="Heading1"/>
      </w:pPr>
      <w:bookmarkStart w:id="141" w:name="_Toc456267423"/>
      <w:bookmarkEnd w:id="140"/>
      <w:r>
        <w:lastRenderedPageBreak/>
        <w:t>Dosing</w:t>
      </w:r>
      <w:bookmarkEnd w:id="141"/>
    </w:p>
    <w:p w:rsidR="004048AA" w:rsidRDefault="00C15E22" w:rsidP="00747F48">
      <w:pPr>
        <w:spacing w:before="120"/>
      </w:pPr>
      <w:r>
        <w:rPr>
          <w:noProof/>
          <w:lang w:eastAsia="en-AU"/>
        </w:rPr>
        <w:drawing>
          <wp:inline distT="0" distB="0" distL="0" distR="0" wp14:anchorId="6F87DCBC" wp14:editId="4A2C0A6A">
            <wp:extent cx="5926455" cy="3384284"/>
            <wp:effectExtent l="0" t="0" r="17145" b="260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16D4" w:rsidRDefault="004B16D4" w:rsidP="004B16D4">
      <w:pPr>
        <w:pStyle w:val="Caption"/>
      </w:pPr>
      <w:bookmarkStart w:id="142" w:name="_Ref386112223"/>
      <w:bookmarkStart w:id="143" w:name="_Toc390098191"/>
      <w:bookmarkStart w:id="144" w:name="_Toc456266177"/>
      <w:r>
        <w:t xml:space="preserve">Figure </w:t>
      </w:r>
      <w:r w:rsidR="00E5706B">
        <w:fldChar w:fldCharType="begin"/>
      </w:r>
      <w:r w:rsidR="000622C5">
        <w:instrText xml:space="preserve"> SEQ Figure \* ARABIC </w:instrText>
      </w:r>
      <w:r w:rsidR="00E5706B">
        <w:fldChar w:fldCharType="separate"/>
      </w:r>
      <w:r w:rsidR="00F3134D">
        <w:rPr>
          <w:noProof/>
        </w:rPr>
        <w:t>12</w:t>
      </w:r>
      <w:r w:rsidR="00E5706B">
        <w:rPr>
          <w:noProof/>
        </w:rPr>
        <w:fldChar w:fldCharType="end"/>
      </w:r>
      <w:bookmarkEnd w:id="142"/>
      <w:r>
        <w:tab/>
        <w:t xml:space="preserve">Grams per episode by </w:t>
      </w:r>
      <w:r w:rsidR="00B04685">
        <w:t>condition</w:t>
      </w:r>
      <w:bookmarkEnd w:id="143"/>
      <w:bookmarkEnd w:id="144"/>
    </w:p>
    <w:p w:rsidR="004B16D4" w:rsidRPr="004B16D4" w:rsidRDefault="004B16D4" w:rsidP="004B16D4">
      <w:pPr>
        <w:pStyle w:val="Caption"/>
      </w:pPr>
    </w:p>
    <w:p w:rsidR="00742936" w:rsidRPr="004D7B46" w:rsidRDefault="009B1399" w:rsidP="00742936">
      <w:pPr>
        <w:pStyle w:val="CommentText"/>
        <w:rPr>
          <w:sz w:val="22"/>
          <w:szCs w:val="22"/>
        </w:rPr>
      </w:pPr>
      <w:r w:rsidRPr="004D7B46">
        <w:rPr>
          <w:sz w:val="22"/>
          <w:szCs w:val="22"/>
        </w:rPr>
        <w:t xml:space="preserve">The data shows that there is significant variance in the dosing of the top 10 </w:t>
      </w:r>
      <w:r w:rsidR="00B04685" w:rsidRPr="004D7B46">
        <w:rPr>
          <w:sz w:val="22"/>
          <w:szCs w:val="22"/>
        </w:rPr>
        <w:t>conditions</w:t>
      </w:r>
      <w:r w:rsidR="00002F3F" w:rsidRPr="004D7B46">
        <w:rPr>
          <w:sz w:val="22"/>
          <w:szCs w:val="22"/>
        </w:rPr>
        <w:t>; where dosing is calculated as number of grams administered in each episode</w:t>
      </w:r>
      <w:r w:rsidR="00A84591" w:rsidRPr="004D7B46">
        <w:rPr>
          <w:sz w:val="22"/>
          <w:szCs w:val="22"/>
        </w:rPr>
        <w:t xml:space="preserve"> </w:t>
      </w:r>
      <w:r w:rsidR="00002F3F" w:rsidRPr="004D7B46">
        <w:rPr>
          <w:sz w:val="22"/>
          <w:szCs w:val="22"/>
        </w:rPr>
        <w:t>(</w:t>
      </w:r>
      <w:r w:rsidR="00002F3F" w:rsidRPr="004D7B46">
        <w:rPr>
          <w:sz w:val="22"/>
          <w:szCs w:val="22"/>
        </w:rPr>
        <w:fldChar w:fldCharType="begin"/>
      </w:r>
      <w:r w:rsidR="00002F3F" w:rsidRPr="004D7B46">
        <w:rPr>
          <w:sz w:val="22"/>
          <w:szCs w:val="22"/>
        </w:rPr>
        <w:instrText xml:space="preserve"> REF _Ref386112223 \h </w:instrText>
      </w:r>
      <w:r w:rsidR="004D7B46">
        <w:rPr>
          <w:sz w:val="22"/>
          <w:szCs w:val="22"/>
        </w:rPr>
        <w:instrText xml:space="preserve"> \* MERGEFORMAT </w:instrText>
      </w:r>
      <w:r w:rsidR="00002F3F" w:rsidRPr="004D7B46">
        <w:rPr>
          <w:sz w:val="22"/>
          <w:szCs w:val="22"/>
        </w:rPr>
      </w:r>
      <w:r w:rsidR="00002F3F" w:rsidRPr="004D7B46">
        <w:rPr>
          <w:sz w:val="22"/>
          <w:szCs w:val="22"/>
        </w:rPr>
        <w:fldChar w:fldCharType="separate"/>
      </w:r>
      <w:r w:rsidR="00F3134D" w:rsidRPr="00F3134D">
        <w:rPr>
          <w:sz w:val="22"/>
          <w:szCs w:val="22"/>
        </w:rPr>
        <w:t xml:space="preserve">Figure </w:t>
      </w:r>
      <w:r w:rsidR="00F3134D" w:rsidRPr="00F3134D">
        <w:rPr>
          <w:noProof/>
          <w:sz w:val="22"/>
          <w:szCs w:val="22"/>
        </w:rPr>
        <w:t>12</w:t>
      </w:r>
      <w:r w:rsidR="00002F3F" w:rsidRPr="004D7B46">
        <w:rPr>
          <w:sz w:val="22"/>
          <w:szCs w:val="22"/>
        </w:rPr>
        <w:fldChar w:fldCharType="end"/>
      </w:r>
      <w:r w:rsidR="00002F3F" w:rsidRPr="004D7B46">
        <w:rPr>
          <w:sz w:val="22"/>
          <w:szCs w:val="22"/>
        </w:rPr>
        <w:t xml:space="preserve">). </w:t>
      </w:r>
      <w:r w:rsidR="00742936" w:rsidRPr="004D7B46">
        <w:rPr>
          <w:sz w:val="22"/>
          <w:szCs w:val="22"/>
        </w:rPr>
        <w:t xml:space="preserve">The </w:t>
      </w:r>
      <w:r w:rsidR="0021560A" w:rsidRPr="004D7B46">
        <w:rPr>
          <w:sz w:val="22"/>
          <w:szCs w:val="22"/>
        </w:rPr>
        <w:t xml:space="preserve">definition </w:t>
      </w:r>
      <w:r w:rsidR="00742936" w:rsidRPr="004D7B46">
        <w:rPr>
          <w:sz w:val="22"/>
          <w:szCs w:val="22"/>
        </w:rPr>
        <w:t xml:space="preserve">of episode </w:t>
      </w:r>
      <w:r w:rsidR="0021560A" w:rsidRPr="004D7B46">
        <w:rPr>
          <w:sz w:val="22"/>
          <w:szCs w:val="22"/>
        </w:rPr>
        <w:t xml:space="preserve">in the data </w:t>
      </w:r>
      <w:r w:rsidR="00742936" w:rsidRPr="004D7B46">
        <w:rPr>
          <w:sz w:val="22"/>
          <w:szCs w:val="22"/>
        </w:rPr>
        <w:t xml:space="preserve">is not uniform and </w:t>
      </w:r>
      <w:r w:rsidR="0021560A" w:rsidRPr="004D7B46">
        <w:rPr>
          <w:sz w:val="22"/>
          <w:szCs w:val="22"/>
        </w:rPr>
        <w:t>therefore this data should be interpreted with caution</w:t>
      </w:r>
      <w:r w:rsidR="00742936" w:rsidRPr="004D7B46">
        <w:rPr>
          <w:sz w:val="22"/>
          <w:szCs w:val="22"/>
        </w:rPr>
        <w:t xml:space="preserve">. Variations are expected as the doses and frequency of dose varies as the underlying method for calculating the dose also varies.  Also note that the </w:t>
      </w:r>
      <w:r w:rsidR="00742936" w:rsidRPr="004D7B46">
        <w:rPr>
          <w:i/>
          <w:sz w:val="22"/>
          <w:szCs w:val="22"/>
        </w:rPr>
        <w:t>Criteria</w:t>
      </w:r>
      <w:r w:rsidR="00742936" w:rsidRPr="004D7B46">
        <w:rPr>
          <w:sz w:val="22"/>
          <w:szCs w:val="22"/>
        </w:rPr>
        <w:t xml:space="preserve"> requires the lowest possible dose to achieve the desired clinical outcome</w:t>
      </w:r>
      <w:r w:rsidR="0021560A" w:rsidRPr="004D7B46">
        <w:rPr>
          <w:sz w:val="22"/>
          <w:szCs w:val="22"/>
        </w:rPr>
        <w:t>,</w:t>
      </w:r>
      <w:r w:rsidR="00742936" w:rsidRPr="004D7B46">
        <w:rPr>
          <w:sz w:val="22"/>
          <w:szCs w:val="22"/>
        </w:rPr>
        <w:t xml:space="preserve"> so the ‘dose’ is not ‘mandated’ but rather suggested and guided to the lower end to achieve efficacy which </w:t>
      </w:r>
      <w:r w:rsidR="0021560A" w:rsidRPr="004D7B46">
        <w:rPr>
          <w:sz w:val="22"/>
          <w:szCs w:val="22"/>
        </w:rPr>
        <w:t>may contribute to the differences in dosing between conditions</w:t>
      </w:r>
      <w:r w:rsidR="00742936" w:rsidRPr="004D7B46">
        <w:rPr>
          <w:sz w:val="22"/>
          <w:szCs w:val="22"/>
        </w:rPr>
        <w:t xml:space="preserve">. </w:t>
      </w:r>
      <w:r w:rsidR="004D7B46">
        <w:rPr>
          <w:sz w:val="22"/>
          <w:szCs w:val="22"/>
        </w:rPr>
        <w:t>The dosing is stable compared to the 201</w:t>
      </w:r>
      <w:r w:rsidR="000F7372">
        <w:rPr>
          <w:sz w:val="22"/>
          <w:szCs w:val="22"/>
        </w:rPr>
        <w:t>3</w:t>
      </w:r>
      <w:r w:rsidR="004D7B46">
        <w:rPr>
          <w:sz w:val="22"/>
          <w:szCs w:val="22"/>
        </w:rPr>
        <w:t>-1</w:t>
      </w:r>
      <w:r w:rsidR="000F7372">
        <w:rPr>
          <w:sz w:val="22"/>
          <w:szCs w:val="22"/>
        </w:rPr>
        <w:t>4</w:t>
      </w:r>
      <w:r w:rsidR="004D7B46">
        <w:rPr>
          <w:sz w:val="22"/>
          <w:szCs w:val="22"/>
        </w:rPr>
        <w:t xml:space="preserve"> year.</w:t>
      </w:r>
    </w:p>
    <w:p w:rsidR="00D2361F" w:rsidRPr="007D56EB" w:rsidRDefault="00D2361F" w:rsidP="00321CC6">
      <w:pPr>
        <w:rPr>
          <w:b/>
          <w:i/>
        </w:rPr>
      </w:pPr>
      <w:r>
        <w:t>Dosing in the neurological conditions is high</w:t>
      </w:r>
      <w:r w:rsidR="00B71033">
        <w:t>er</w:t>
      </w:r>
      <w:r>
        <w:t xml:space="preserve"> than for other conditions, as provided for in the </w:t>
      </w:r>
      <w:r w:rsidRPr="00AF2CBC">
        <w:rPr>
          <w:i/>
        </w:rPr>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fldLock="1"/>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FD0FD6" w:rsidRPr="00FD0FD6">
        <w:rPr>
          <w:b/>
        </w:rPr>
        <w:t>Appendix D</w:t>
      </w:r>
      <w:r w:rsidR="0024311D" w:rsidRPr="007D56EB">
        <w:rPr>
          <w:b/>
        </w:rPr>
        <w:fldChar w:fldCharType="end"/>
      </w:r>
      <w:r w:rsidR="0024311D" w:rsidRPr="007D56EB">
        <w:rPr>
          <w:b/>
        </w:rPr>
        <w:t>.</w:t>
      </w:r>
    </w:p>
    <w:p w:rsidR="009B1399" w:rsidRPr="0024311D" w:rsidRDefault="00321CC6" w:rsidP="00321CC6">
      <w:pPr>
        <w:rPr>
          <w:b/>
        </w:rPr>
      </w:pPr>
      <w:r>
        <w:t xml:space="preserve">The </w:t>
      </w:r>
      <w:r w:rsidR="00055CA8">
        <w:t>grams per kilogram were</w:t>
      </w:r>
      <w:r w:rsidR="0024311D">
        <w:t xml:space="preserve"> calculated for each infusion episode (</w:t>
      </w:r>
      <w:r w:rsidR="004D5232">
        <w:fldChar w:fldCharType="begin"/>
      </w:r>
      <w:r w:rsidR="004D5232">
        <w:instrText xml:space="preserve"> REF _Ref386094763 \h </w:instrText>
      </w:r>
      <w:r w:rsidR="004D5232">
        <w:fldChar w:fldCharType="separate"/>
      </w:r>
      <w:r w:rsidR="00F3134D">
        <w:t xml:space="preserve">Table </w:t>
      </w:r>
      <w:r w:rsidR="00F3134D">
        <w:rPr>
          <w:noProof/>
        </w:rPr>
        <w:t>18</w:t>
      </w:r>
      <w:r w:rsidR="004D5232">
        <w:fldChar w:fldCharType="end"/>
      </w:r>
      <w:r w:rsidR="0024311D">
        <w:t xml:space="preserve">). From </w:t>
      </w:r>
      <w:r w:rsidR="00D63965">
        <w:t xml:space="preserve">this </w:t>
      </w:r>
      <w:r w:rsidR="0024311D">
        <w:t>data it is difficult to assess whether the dosing strategy utilised was in accord</w:t>
      </w:r>
      <w:r w:rsidR="00002F3F">
        <w:t>ance</w:t>
      </w:r>
      <w:r w:rsidR="0024311D">
        <w:t xml:space="preserve"> with that provided for under the </w:t>
      </w:r>
      <w:r w:rsidR="0024311D">
        <w:rPr>
          <w:i/>
        </w:rPr>
        <w:t xml:space="preserve">Criteria. </w:t>
      </w:r>
      <w:r w:rsidR="0024311D">
        <w:t>This is particularly difficult as the patient weight data is not updated for every episode and may change over time.</w:t>
      </w:r>
    </w:p>
    <w:p w:rsidR="002D7833" w:rsidRDefault="009B1399" w:rsidP="009B1399">
      <w:r>
        <w:br w:type="page"/>
      </w:r>
    </w:p>
    <w:tbl>
      <w:tblPr>
        <w:tblStyle w:val="NBATableStyle2"/>
        <w:tblpPr w:leftFromText="180" w:rightFromText="180" w:vertAnchor="text" w:horzAnchor="margin" w:tblpY="493"/>
        <w:tblW w:w="10173" w:type="dxa"/>
        <w:tblLayout w:type="fixed"/>
        <w:tblLook w:val="04A0" w:firstRow="1" w:lastRow="0" w:firstColumn="1" w:lastColumn="0" w:noHBand="0" w:noVBand="1"/>
      </w:tblPr>
      <w:tblGrid>
        <w:gridCol w:w="2660"/>
        <w:gridCol w:w="1559"/>
        <w:gridCol w:w="1559"/>
        <w:gridCol w:w="1560"/>
        <w:gridCol w:w="1559"/>
        <w:gridCol w:w="1276"/>
      </w:tblGrid>
      <w:tr w:rsidR="00642EB7" w:rsidRPr="002D7833" w:rsidTr="00642E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color w:val="000000"/>
              </w:rPr>
            </w:pPr>
            <w:bookmarkStart w:id="145" w:name="_Ref379895229"/>
            <w:r>
              <w:rPr>
                <w:rFonts w:eastAsia="Times New Roman"/>
              </w:rPr>
              <w:lastRenderedPageBreak/>
              <w:t>Condition</w:t>
            </w:r>
          </w:p>
        </w:tc>
        <w:tc>
          <w:tcPr>
            <w:tcW w:w="1559" w:type="dxa"/>
            <w:noWrap/>
          </w:tcPr>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&lt;=0.4</w:t>
            </w:r>
            <w:r>
              <w:rPr>
                <w:rFonts w:eastAsia="Times New Roman"/>
                <w:bCs/>
                <w:color w:val="FFFFFF"/>
              </w:rPr>
              <w:t xml:space="preserve"> g/kg/episode</w:t>
            </w:r>
          </w:p>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 xml:space="preserve">0.4 – </w:t>
            </w:r>
            <w:r>
              <w:rPr>
                <w:rFonts w:eastAsia="Times New Roman"/>
                <w:bCs/>
                <w:color w:val="FFFFFF"/>
              </w:rPr>
              <w:t>0.99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60"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1 – 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&gt;2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r w:rsidRPr="002D7833">
              <w:rPr>
                <w:rFonts w:eastAsia="Times New Roman"/>
                <w:color w:val="000000"/>
              </w:rPr>
              <w:t>  </w:t>
            </w:r>
            <w:r w:rsidRPr="002D7833">
              <w:rPr>
                <w:rFonts w:eastAsia="Times New Roman"/>
                <w:bCs/>
                <w:color w:val="000000"/>
              </w:rPr>
              <w:t> </w:t>
            </w:r>
          </w:p>
        </w:tc>
        <w:tc>
          <w:tcPr>
            <w:tcW w:w="1276" w:type="dxa"/>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No weight Data</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Chronic inflammatory demyelinating polyneuropathy</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8,198 (38%)</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11,791 (55%)</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906 (4%)</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20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501 (2%)</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Common variable immunodeficiency disease</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8,352 (46%)</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8,178 (45%)</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64 (0%)</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1,697 (9%)</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Myasthenia gravis</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3,394 (42%)</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4,312 (53%)</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235 (3%)</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5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120 (1%)</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Chronic lymphocytic leukaemia</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6,272 (58%)</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4,312 (40%)</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8 (0%)</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0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253 (2%)</w:t>
            </w:r>
          </w:p>
        </w:tc>
      </w:tr>
      <w:tr w:rsidR="00791E31" w:rsidRPr="002D7833" w:rsidTr="00D5521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791E31" w:rsidRPr="00596F53" w:rsidRDefault="00791E31" w:rsidP="00791E31">
            <w:r w:rsidRPr="00596F53">
              <w:t>Non-Hodgkin lymphoma</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6,406 (63%)</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3,580 (35%)</w:t>
            </w:r>
          </w:p>
        </w:tc>
        <w:tc>
          <w:tcPr>
            <w:tcW w:w="1560"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6 (0%)</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0 (0%)</w:t>
            </w:r>
          </w:p>
        </w:tc>
        <w:tc>
          <w:tcPr>
            <w:tcW w:w="1276" w:type="dxa"/>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182 (2%)</w:t>
            </w:r>
          </w:p>
        </w:tc>
      </w:tr>
      <w:tr w:rsidR="00791E31"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791E31" w:rsidRPr="00596F53" w:rsidRDefault="00791E31" w:rsidP="00791E31">
            <w:r w:rsidRPr="00596F53">
              <w:t>Multiple myeloma</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5,600 (62%)</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3,219 (36%)</w:t>
            </w:r>
          </w:p>
        </w:tc>
        <w:tc>
          <w:tcPr>
            <w:tcW w:w="1560"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2 (0%)</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0 (0%)</w:t>
            </w:r>
          </w:p>
        </w:tc>
        <w:tc>
          <w:tcPr>
            <w:tcW w:w="1276" w:type="dxa"/>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150 (2%)</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Multifocal motor neuropathy</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1,341 (28%)</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2,837 (59%)</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452 (9%)</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3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138 (3%)</w:t>
            </w:r>
          </w:p>
        </w:tc>
      </w:tr>
      <w:tr w:rsidR="00F32552"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F32552" w:rsidRPr="00596F53" w:rsidRDefault="00F32552" w:rsidP="004D7B46">
            <w:r w:rsidRPr="00596F53">
              <w:t>Polymyositis</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1,195 (38%)</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1,749 (56%)</w:t>
            </w:r>
          </w:p>
        </w:tc>
        <w:tc>
          <w:tcPr>
            <w:tcW w:w="1560"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150 (5%)</w:t>
            </w:r>
          </w:p>
        </w:tc>
        <w:tc>
          <w:tcPr>
            <w:tcW w:w="1559" w:type="dxa"/>
            <w:noWrap/>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2 (0%)</w:t>
            </w:r>
          </w:p>
        </w:tc>
        <w:tc>
          <w:tcPr>
            <w:tcW w:w="1276" w:type="dxa"/>
          </w:tcPr>
          <w:p w:rsidR="00F32552" w:rsidRPr="00646691" w:rsidRDefault="00F32552" w:rsidP="00F32552">
            <w:pPr>
              <w:jc w:val="right"/>
              <w:cnfStyle w:val="000000000000" w:firstRow="0" w:lastRow="0" w:firstColumn="0" w:lastColumn="0" w:oddVBand="0" w:evenVBand="0" w:oddHBand="0" w:evenHBand="0" w:firstRowFirstColumn="0" w:firstRowLastColumn="0" w:lastRowFirstColumn="0" w:lastRowLastColumn="0"/>
            </w:pPr>
            <w:r w:rsidRPr="00646691">
              <w:t>38 (1%)</w:t>
            </w:r>
          </w:p>
        </w:tc>
      </w:tr>
      <w:tr w:rsidR="00791E31"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791E31" w:rsidRDefault="00791E31" w:rsidP="00791E31">
            <w:r w:rsidRPr="00596F53">
              <w:t>Secondary hypogammaglobulinaemia (excludes haem malignancies)</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2,699 (57%)</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1,842 (39%)</w:t>
            </w:r>
          </w:p>
        </w:tc>
        <w:tc>
          <w:tcPr>
            <w:tcW w:w="1560"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68 (1%)</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5 (0%)</w:t>
            </w:r>
          </w:p>
        </w:tc>
        <w:tc>
          <w:tcPr>
            <w:tcW w:w="1276" w:type="dxa"/>
          </w:tcPr>
          <w:p w:rsidR="00791E3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99 (2%)</w:t>
            </w:r>
          </w:p>
        </w:tc>
      </w:tr>
      <w:tr w:rsidR="00791E31" w:rsidRPr="002D7833" w:rsidTr="00F325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791E31" w:rsidRPr="00596F53" w:rsidRDefault="00791E31" w:rsidP="00791E31">
            <w:r w:rsidRPr="00596F53">
              <w:t>Guillain-Barré syndrome</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356 (44%)</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370 (46%)</w:t>
            </w:r>
          </w:p>
        </w:tc>
        <w:tc>
          <w:tcPr>
            <w:tcW w:w="1560"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74 (9%)</w:t>
            </w:r>
          </w:p>
        </w:tc>
        <w:tc>
          <w:tcPr>
            <w:tcW w:w="1559" w:type="dxa"/>
            <w:noWrap/>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13 (2%)</w:t>
            </w:r>
          </w:p>
        </w:tc>
        <w:tc>
          <w:tcPr>
            <w:tcW w:w="1276" w:type="dxa"/>
          </w:tcPr>
          <w:p w:rsidR="00791E31" w:rsidRPr="00646691" w:rsidRDefault="00791E31" w:rsidP="00791E31">
            <w:pPr>
              <w:jc w:val="right"/>
              <w:cnfStyle w:val="000000000000" w:firstRow="0" w:lastRow="0" w:firstColumn="0" w:lastColumn="0" w:oddVBand="0" w:evenVBand="0" w:oddHBand="0" w:evenHBand="0" w:firstRowFirstColumn="0" w:firstRowLastColumn="0" w:lastRowFirstColumn="0" w:lastRowLastColumn="0"/>
            </w:pPr>
            <w:r w:rsidRPr="00646691">
              <w:t>0 (0%)</w:t>
            </w:r>
          </w:p>
        </w:tc>
      </w:tr>
    </w:tbl>
    <w:p w:rsidR="00742936" w:rsidRDefault="004B16D4" w:rsidP="00B46D1F">
      <w:pPr>
        <w:pStyle w:val="Caption"/>
        <w:keepNext/>
      </w:pPr>
      <w:bookmarkStart w:id="146" w:name="_Ref386094763"/>
      <w:bookmarkStart w:id="147" w:name="_Toc456266161"/>
      <w:bookmarkStart w:id="148" w:name="_Toc456266997"/>
      <w:r>
        <w:t xml:space="preserve">Table </w:t>
      </w:r>
      <w:r w:rsidR="00E5706B">
        <w:fldChar w:fldCharType="begin"/>
      </w:r>
      <w:r w:rsidR="000622C5">
        <w:instrText xml:space="preserve"> SEQ Table \* ARABIC </w:instrText>
      </w:r>
      <w:r w:rsidR="00E5706B">
        <w:fldChar w:fldCharType="separate"/>
      </w:r>
      <w:r w:rsidR="00F3134D">
        <w:rPr>
          <w:noProof/>
        </w:rPr>
        <w:t>18</w:t>
      </w:r>
      <w:r w:rsidR="00E5706B">
        <w:rPr>
          <w:noProof/>
        </w:rPr>
        <w:fldChar w:fldCharType="end"/>
      </w:r>
      <w:bookmarkEnd w:id="145"/>
      <w:bookmarkEnd w:id="146"/>
      <w:r w:rsidR="00B46D1F">
        <w:tab/>
      </w:r>
      <w:r w:rsidR="00716977">
        <w:t>Ig</w:t>
      </w:r>
      <w:r w:rsidR="00257135">
        <w:t xml:space="preserve"> grams per episode</w:t>
      </w:r>
      <w:bookmarkEnd w:id="147"/>
      <w:bookmarkEnd w:id="148"/>
    </w:p>
    <w:p w:rsidR="001631DE" w:rsidRDefault="001631DE">
      <w:pPr>
        <w:spacing w:after="0"/>
      </w:pPr>
      <w:r>
        <w:br w:type="page"/>
      </w:r>
    </w:p>
    <w:p w:rsidR="001631DE" w:rsidRDefault="001631DE" w:rsidP="001631DE">
      <w:pPr>
        <w:pStyle w:val="Heading1"/>
      </w:pPr>
      <w:bookmarkStart w:id="149" w:name="_Toc456267424"/>
      <w:r>
        <w:lastRenderedPageBreak/>
        <w:t>Products and Use</w:t>
      </w:r>
      <w:bookmarkEnd w:id="149"/>
    </w:p>
    <w:p w:rsidR="001631DE" w:rsidRPr="00BE5985" w:rsidRDefault="001631DE" w:rsidP="001631DE">
      <w:r w:rsidRPr="00DB394D">
        <w:t xml:space="preserve">In March 2013, the JBC approved the introduction of SCIg under the national blood arrangements. The first phase of implementation </w:t>
      </w:r>
      <w:r w:rsidR="00294E23">
        <w:t>was</w:t>
      </w:r>
      <w:r w:rsidRPr="00DB394D">
        <w:t xml:space="preserve"> through hospital-based management arrangements, with no additional cost to patients, and further work will be undertaken to support supply of SCIg for other pathways of care. In </w:t>
      </w:r>
      <w:r w:rsidRPr="00BE5985">
        <w:t>2013-14 the NBA established arrangements for supply of the following SCIg products:</w:t>
      </w:r>
    </w:p>
    <w:p w:rsidR="001631DE" w:rsidRPr="00BE5985" w:rsidRDefault="001631DE" w:rsidP="001631DE">
      <w:pPr>
        <w:pStyle w:val="ListParagraph"/>
        <w:numPr>
          <w:ilvl w:val="0"/>
          <w:numId w:val="19"/>
        </w:numPr>
      </w:pPr>
      <w:r w:rsidRPr="00BE5985">
        <w:t xml:space="preserve">Evogam 16% vial size 0.8g/5ml and 3.2g/20ml supplied by CSL Behring (Australia) Pty Ltd (domestic) </w:t>
      </w:r>
    </w:p>
    <w:p w:rsidR="001631DE" w:rsidRPr="00BE5985" w:rsidRDefault="001631DE" w:rsidP="001631DE">
      <w:pPr>
        <w:pStyle w:val="ListParagraph"/>
        <w:numPr>
          <w:ilvl w:val="0"/>
          <w:numId w:val="19"/>
        </w:numPr>
      </w:pPr>
      <w:r w:rsidRPr="00BE5985">
        <w:t xml:space="preserve">Gammanorm 16% 1650mg/10ml and 3300mg/20ml supplied by Octapharma Australia Pty Ltd (imported) </w:t>
      </w:r>
    </w:p>
    <w:p w:rsidR="001631DE" w:rsidRPr="00BE5985" w:rsidRDefault="001631DE" w:rsidP="001631DE">
      <w:pPr>
        <w:pStyle w:val="ListParagraph"/>
        <w:numPr>
          <w:ilvl w:val="0"/>
          <w:numId w:val="19"/>
        </w:numPr>
      </w:pPr>
      <w:r w:rsidRPr="00BE5985">
        <w:t xml:space="preserve">Kiovig 10% 1g/10ml, 2.5g/25ml, 5gm/50ml, 10g/100ml and 20g/200ml supplied by Baxter Healthcare (imported) </w:t>
      </w:r>
    </w:p>
    <w:p w:rsidR="001631DE" w:rsidRDefault="001631DE" w:rsidP="001631DE">
      <w:r w:rsidRPr="001631DE">
        <w:t xml:space="preserve">These products are authorised and distributed by the Blood Service in the same manner as IVIg. </w:t>
      </w:r>
    </w:p>
    <w:p w:rsidR="00D64F90" w:rsidRDefault="00D64F90" w:rsidP="00D64F90">
      <w:r>
        <w:t>The following tables show the patient numbers, grams issued by states and territories or by condition for IVIg and SCIg products in 2014-15.</w:t>
      </w:r>
    </w:p>
    <w:p w:rsidR="00CC76C3" w:rsidRDefault="00CC76C3" w:rsidP="00CC76C3">
      <w:pPr>
        <w:pStyle w:val="Caption"/>
        <w:keepNext/>
      </w:pPr>
      <w:bookmarkStart w:id="150" w:name="_Toc456266162"/>
      <w:bookmarkStart w:id="151" w:name="_Toc456266998"/>
      <w:r>
        <w:t xml:space="preserve">Table </w:t>
      </w:r>
      <w:fldSimple w:instr=" SEQ Table \* ARABIC ">
        <w:r w:rsidR="00F3134D">
          <w:rPr>
            <w:noProof/>
          </w:rPr>
          <w:t>19</w:t>
        </w:r>
      </w:fldSimple>
      <w:r>
        <w:tab/>
      </w:r>
      <w:r w:rsidR="00D64F90">
        <w:t xml:space="preserve">Patient numbers </w:t>
      </w:r>
      <w:r w:rsidR="006F0B76">
        <w:t>for products issued by state and territory in 2014-15</w:t>
      </w:r>
      <w:bookmarkEnd w:id="150"/>
      <w:bookmarkEnd w:id="151"/>
    </w:p>
    <w:p w:rsidR="003A506C" w:rsidRPr="003A506C" w:rsidRDefault="003A506C" w:rsidP="003A506C">
      <w:pPr>
        <w:pStyle w:val="Caption"/>
        <w:keepNext/>
      </w:pPr>
    </w:p>
    <w:tbl>
      <w:tblPr>
        <w:tblW w:w="10245" w:type="dxa"/>
        <w:tblInd w:w="93" w:type="dxa"/>
        <w:tblLook w:val="04A0" w:firstRow="1" w:lastRow="0" w:firstColumn="1" w:lastColumn="0" w:noHBand="0" w:noVBand="1"/>
      </w:tblPr>
      <w:tblGrid>
        <w:gridCol w:w="960"/>
        <w:gridCol w:w="992"/>
        <w:gridCol w:w="992"/>
        <w:gridCol w:w="992"/>
        <w:gridCol w:w="992"/>
        <w:gridCol w:w="992"/>
        <w:gridCol w:w="1315"/>
        <w:gridCol w:w="992"/>
        <w:gridCol w:w="992"/>
        <w:gridCol w:w="1026"/>
      </w:tblGrid>
      <w:tr w:rsidR="00CC76C3" w:rsidRPr="00620B3A" w:rsidTr="00D64F90">
        <w:trPr>
          <w:trHeight w:val="315"/>
        </w:trPr>
        <w:tc>
          <w:tcPr>
            <w:tcW w:w="960" w:type="dxa"/>
            <w:tcBorders>
              <w:top w:val="nil"/>
              <w:left w:val="nil"/>
              <w:bottom w:val="nil"/>
              <w:right w:val="nil"/>
            </w:tcBorders>
            <w:shd w:val="clear" w:color="auto" w:fill="auto"/>
            <w:noWrap/>
            <w:vAlign w:val="bottom"/>
            <w:hideMark/>
          </w:tcPr>
          <w:p w:rsidR="00CC76C3" w:rsidRPr="00620B3A" w:rsidRDefault="00CC76C3" w:rsidP="00D64F90">
            <w:pPr>
              <w:spacing w:after="0"/>
              <w:rPr>
                <w:rFonts w:eastAsia="Times New Roman" w:cs="Times New Roman"/>
                <w:color w:val="000000"/>
                <w:lang w:eastAsia="en-AU"/>
              </w:rPr>
            </w:pPr>
          </w:p>
        </w:tc>
        <w:tc>
          <w:tcPr>
            <w:tcW w:w="3968" w:type="dxa"/>
            <w:gridSpan w:val="4"/>
            <w:tcBorders>
              <w:top w:val="nil"/>
              <w:left w:val="nil"/>
              <w:bottom w:val="single" w:sz="8" w:space="0" w:color="FFFFFF"/>
              <w:right w:val="single" w:sz="8" w:space="0" w:color="FFFFFF"/>
            </w:tcBorders>
            <w:shd w:val="clear" w:color="000000" w:fill="C00000"/>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IVIg</w:t>
            </w:r>
          </w:p>
        </w:tc>
        <w:tc>
          <w:tcPr>
            <w:tcW w:w="4291" w:type="dxa"/>
            <w:gridSpan w:val="4"/>
            <w:tcBorders>
              <w:top w:val="nil"/>
              <w:left w:val="single" w:sz="8" w:space="0" w:color="FFFFFF"/>
              <w:bottom w:val="single" w:sz="8" w:space="0" w:color="FFFFFF"/>
              <w:right w:val="single" w:sz="8" w:space="0" w:color="FFFFFF"/>
            </w:tcBorders>
            <w:shd w:val="clear" w:color="000000" w:fill="C00000"/>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SCIg</w:t>
            </w:r>
          </w:p>
        </w:tc>
        <w:tc>
          <w:tcPr>
            <w:tcW w:w="1026" w:type="dxa"/>
            <w:tcBorders>
              <w:top w:val="nil"/>
              <w:left w:val="nil"/>
              <w:bottom w:val="nil"/>
              <w:right w:val="nil"/>
            </w:tcBorders>
            <w:shd w:val="clear" w:color="auto" w:fill="auto"/>
            <w:noWrap/>
            <w:vAlign w:val="bottom"/>
            <w:hideMark/>
          </w:tcPr>
          <w:p w:rsidR="00CC76C3" w:rsidRPr="00620B3A" w:rsidRDefault="00CC76C3" w:rsidP="00D64F90">
            <w:pPr>
              <w:spacing w:after="0"/>
              <w:rPr>
                <w:rFonts w:eastAsia="Times New Roman" w:cs="Times New Roman"/>
                <w:color w:val="000000"/>
                <w:lang w:eastAsia="en-AU"/>
              </w:rPr>
            </w:pP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State</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Intragam P</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Kiovig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Octagam 5%</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Octagam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Evogam</w:t>
            </w:r>
          </w:p>
        </w:tc>
        <w:tc>
          <w:tcPr>
            <w:tcW w:w="1315"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Gammanorm</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Kiovig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Total</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NSW</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3,730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527</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758</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544</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49</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60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5,480</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VIC</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2,002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461</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717</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346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44</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3,447</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QLD</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2,334</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555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510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607</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37</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&lt;3,905</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WA</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550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130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116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61</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32</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844</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SA</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512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319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27</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&lt;845</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TAS</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182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13</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11</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136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&lt;340</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ACT</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210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46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&lt;280</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NT</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40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39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620B3A" w:rsidRDefault="00CC76C3" w:rsidP="00D64F90">
            <w:pPr>
              <w:spacing w:after="0"/>
              <w:jc w:val="right"/>
              <w:rPr>
                <w:rFonts w:eastAsia="Times New Roman" w:cs="Times New Roman"/>
                <w:color w:val="000000"/>
                <w:sz w:val="20"/>
                <w:szCs w:val="20"/>
                <w:lang w:eastAsia="en-AU"/>
              </w:rPr>
            </w:pPr>
            <w:r w:rsidRPr="00620B3A">
              <w:rPr>
                <w:rFonts w:eastAsia="Times New Roman" w:cs="Times New Roman"/>
                <w:color w:val="000000"/>
                <w:sz w:val="20"/>
                <w:szCs w:val="20"/>
                <w:lang w:eastAsia="en-AU"/>
              </w:rPr>
              <w:t>&lt;80</w:t>
            </w:r>
          </w:p>
        </w:tc>
      </w:tr>
      <w:tr w:rsidR="00CC76C3" w:rsidRPr="00620B3A" w:rsidTr="00D64F90">
        <w:trPr>
          <w:gridAfter w:val="1"/>
          <w:wAfter w:w="1026" w:type="dxa"/>
          <w:trHeight w:val="315"/>
        </w:trPr>
        <w:tc>
          <w:tcPr>
            <w:tcW w:w="960"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BB2478" w:rsidRDefault="00CC76C3" w:rsidP="00D64F90">
            <w:pPr>
              <w:spacing w:after="0"/>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AUS</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9,422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2,071</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&lt;2,210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&lt;1,695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&lt;190</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&lt;105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D64F90">
            <w:pPr>
              <w:spacing w:after="0"/>
              <w:jc w:val="right"/>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&lt;15,010</w:t>
            </w:r>
          </w:p>
        </w:tc>
      </w:tr>
    </w:tbl>
    <w:p w:rsidR="00CC76C3" w:rsidRDefault="00CC76C3" w:rsidP="001631DE"/>
    <w:p w:rsidR="008A2411" w:rsidRDefault="008A2411">
      <w:pPr>
        <w:spacing w:after="0"/>
        <w:rPr>
          <w:b/>
          <w:bCs/>
          <w:color w:val="A6A6A6" w:themeColor="background1" w:themeShade="A6"/>
          <w:szCs w:val="18"/>
        </w:rPr>
      </w:pPr>
      <w:r>
        <w:br w:type="page"/>
      </w:r>
    </w:p>
    <w:p w:rsidR="006F0B76" w:rsidRDefault="00CC76C3" w:rsidP="006F0B76">
      <w:pPr>
        <w:pStyle w:val="Caption"/>
        <w:keepNext/>
      </w:pPr>
      <w:bookmarkStart w:id="152" w:name="_Toc456266163"/>
      <w:bookmarkStart w:id="153" w:name="_Toc456266999"/>
      <w:r>
        <w:lastRenderedPageBreak/>
        <w:t xml:space="preserve">Table </w:t>
      </w:r>
      <w:fldSimple w:instr=" SEQ Table \* ARABIC ">
        <w:r w:rsidR="00F3134D">
          <w:rPr>
            <w:noProof/>
          </w:rPr>
          <w:t>20</w:t>
        </w:r>
      </w:fldSimple>
      <w:r>
        <w:tab/>
      </w:r>
      <w:r w:rsidR="006F0B76">
        <w:t xml:space="preserve">Grams </w:t>
      </w:r>
      <w:r w:rsidR="008A2411">
        <w:t xml:space="preserve">of product </w:t>
      </w:r>
      <w:r w:rsidR="006F0B76">
        <w:t>issued by state and territory in 2014-15</w:t>
      </w:r>
      <w:bookmarkEnd w:id="152"/>
      <w:bookmarkEnd w:id="153"/>
    </w:p>
    <w:p w:rsidR="00CC76C3" w:rsidRDefault="00CC76C3" w:rsidP="00CC76C3">
      <w:pPr>
        <w:pStyle w:val="Caption"/>
        <w:keepNext/>
      </w:pPr>
    </w:p>
    <w:tbl>
      <w:tblPr>
        <w:tblW w:w="9327" w:type="dxa"/>
        <w:tblInd w:w="93" w:type="dxa"/>
        <w:tblLook w:val="04A0" w:firstRow="1" w:lastRow="0" w:firstColumn="1" w:lastColumn="0" w:noHBand="0" w:noVBand="1"/>
      </w:tblPr>
      <w:tblGrid>
        <w:gridCol w:w="1068"/>
        <w:gridCol w:w="1029"/>
        <w:gridCol w:w="992"/>
        <w:gridCol w:w="992"/>
        <w:gridCol w:w="992"/>
        <w:gridCol w:w="992"/>
        <w:gridCol w:w="1315"/>
        <w:gridCol w:w="992"/>
        <w:gridCol w:w="1029"/>
      </w:tblGrid>
      <w:tr w:rsidR="00CC76C3" w:rsidRPr="00620B3A" w:rsidTr="00CC76C3">
        <w:trPr>
          <w:trHeight w:val="315"/>
        </w:trPr>
        <w:tc>
          <w:tcPr>
            <w:tcW w:w="1068" w:type="dxa"/>
            <w:tcBorders>
              <w:top w:val="nil"/>
              <w:left w:val="nil"/>
              <w:bottom w:val="nil"/>
              <w:right w:val="nil"/>
            </w:tcBorders>
            <w:shd w:val="clear" w:color="auto" w:fill="auto"/>
            <w:noWrap/>
            <w:vAlign w:val="bottom"/>
            <w:hideMark/>
          </w:tcPr>
          <w:p w:rsidR="00CC76C3" w:rsidRPr="00620B3A" w:rsidRDefault="00CC76C3" w:rsidP="00D64F90">
            <w:pPr>
              <w:spacing w:after="0"/>
              <w:rPr>
                <w:rFonts w:eastAsia="Times New Roman" w:cs="Times New Roman"/>
                <w:color w:val="000000"/>
                <w:lang w:eastAsia="en-AU"/>
              </w:rPr>
            </w:pPr>
          </w:p>
        </w:tc>
        <w:tc>
          <w:tcPr>
            <w:tcW w:w="3968" w:type="dxa"/>
            <w:gridSpan w:val="4"/>
            <w:tcBorders>
              <w:top w:val="nil"/>
              <w:left w:val="nil"/>
              <w:bottom w:val="single" w:sz="8" w:space="0" w:color="FFFFFF"/>
              <w:right w:val="single" w:sz="8" w:space="0" w:color="FFFFFF"/>
            </w:tcBorders>
            <w:shd w:val="clear" w:color="000000" w:fill="C00000"/>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IVIg</w:t>
            </w:r>
          </w:p>
        </w:tc>
        <w:tc>
          <w:tcPr>
            <w:tcW w:w="4291" w:type="dxa"/>
            <w:gridSpan w:val="4"/>
            <w:tcBorders>
              <w:top w:val="nil"/>
              <w:left w:val="single" w:sz="8" w:space="0" w:color="FFFFFF"/>
              <w:bottom w:val="single" w:sz="8" w:space="0" w:color="FFFFFF"/>
              <w:right w:val="single" w:sz="8" w:space="0" w:color="FFFFFF"/>
            </w:tcBorders>
            <w:shd w:val="clear" w:color="000000" w:fill="C00000"/>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SCIg</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State</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Intragam P</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Kiovig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Octagam 5%</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Octagam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Evogam</w:t>
            </w:r>
          </w:p>
        </w:tc>
        <w:tc>
          <w:tcPr>
            <w:tcW w:w="1315"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Gammanorm</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Kiovig 10%</w:t>
            </w:r>
          </w:p>
        </w:tc>
        <w:tc>
          <w:tcPr>
            <w:tcW w:w="992" w:type="dxa"/>
            <w:tcBorders>
              <w:top w:val="nil"/>
              <w:left w:val="nil"/>
              <w:bottom w:val="single" w:sz="8" w:space="0" w:color="FFFFFF"/>
              <w:right w:val="single" w:sz="8" w:space="0" w:color="FFFFFF"/>
            </w:tcBorders>
            <w:shd w:val="clear" w:color="000000" w:fill="C00000"/>
            <w:noWrap/>
            <w:vAlign w:val="center"/>
            <w:hideMark/>
          </w:tcPr>
          <w:p w:rsidR="00CC76C3" w:rsidRPr="00620B3A" w:rsidRDefault="00CC76C3" w:rsidP="00D64F90">
            <w:pPr>
              <w:spacing w:after="0"/>
              <w:jc w:val="center"/>
              <w:rPr>
                <w:rFonts w:eastAsia="Times New Roman" w:cs="Times New Roman"/>
                <w:b/>
                <w:bCs/>
                <w:color w:val="FFFFFF"/>
                <w:sz w:val="20"/>
                <w:szCs w:val="20"/>
                <w:lang w:eastAsia="en-AU"/>
              </w:rPr>
            </w:pPr>
            <w:r w:rsidRPr="00620B3A">
              <w:rPr>
                <w:rFonts w:eastAsia="Times New Roman" w:cs="Times New Roman"/>
                <w:b/>
                <w:bCs/>
                <w:color w:val="FFFFFF"/>
                <w:sz w:val="20"/>
                <w:szCs w:val="20"/>
                <w:lang w:eastAsia="en-AU"/>
              </w:rPr>
              <w:t>Total</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NSW</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940,329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168,172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265,945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158,492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10,598</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11,788</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1,555,324</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VIC</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569,970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145,379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194,366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81,424</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6,491</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66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997,695</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QLD</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716,892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161,495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151,785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137,498</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10,220</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2,162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180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1,180,232</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WA</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153,162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40,767</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54,349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16,634</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4,973</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1,011</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270,895</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SA</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132,627</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104,153</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75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5,398</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3,493</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245,746</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TAS</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58,425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3,909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3,675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33,812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282</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574</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100,676</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ACT</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58,212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22,453</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1,475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5,050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51</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2,686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89,927</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620B3A" w:rsidRDefault="00CC76C3" w:rsidP="00D64F90">
            <w:pPr>
              <w:spacing w:after="0"/>
              <w:rPr>
                <w:rFonts w:eastAsia="Times New Roman" w:cs="Times New Roman"/>
                <w:color w:val="000000"/>
                <w:sz w:val="20"/>
                <w:szCs w:val="20"/>
                <w:lang w:eastAsia="en-AU"/>
              </w:rPr>
            </w:pPr>
            <w:r w:rsidRPr="00620B3A">
              <w:rPr>
                <w:rFonts w:eastAsia="Times New Roman" w:cs="Times New Roman"/>
                <w:color w:val="000000"/>
                <w:sz w:val="20"/>
                <w:szCs w:val="20"/>
                <w:lang w:eastAsia="en-AU"/>
              </w:rPr>
              <w:t>NT</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4,905</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12,786</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139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Default="00CC76C3" w:rsidP="00CC76C3">
            <w:pPr>
              <w:spacing w:after="0"/>
              <w:jc w:val="right"/>
              <w:rPr>
                <w:color w:val="000000"/>
                <w:sz w:val="20"/>
                <w:szCs w:val="20"/>
              </w:rPr>
            </w:pPr>
            <w:r>
              <w:rPr>
                <w:color w:val="000000"/>
                <w:sz w:val="20"/>
                <w:szCs w:val="20"/>
              </w:rPr>
              <w:t>17,830</w:t>
            </w:r>
          </w:p>
        </w:tc>
      </w:tr>
      <w:tr w:rsidR="00CC76C3" w:rsidRPr="00620B3A" w:rsidTr="00CC76C3">
        <w:trPr>
          <w:trHeight w:val="315"/>
        </w:trPr>
        <w:tc>
          <w:tcPr>
            <w:tcW w:w="1068" w:type="dxa"/>
            <w:tcBorders>
              <w:top w:val="nil"/>
              <w:left w:val="single" w:sz="8" w:space="0" w:color="FFFFFF"/>
              <w:bottom w:val="single" w:sz="8" w:space="0" w:color="FFFFFF"/>
              <w:right w:val="single" w:sz="8" w:space="0" w:color="FFFFFF"/>
            </w:tcBorders>
            <w:shd w:val="clear" w:color="000000" w:fill="FFD5D5"/>
            <w:noWrap/>
            <w:vAlign w:val="center"/>
            <w:hideMark/>
          </w:tcPr>
          <w:p w:rsidR="00CC76C3" w:rsidRPr="00BB2478" w:rsidRDefault="00CC76C3" w:rsidP="00D64F90">
            <w:pPr>
              <w:spacing w:after="0"/>
              <w:rPr>
                <w:rFonts w:eastAsia="Times New Roman" w:cs="Times New Roman"/>
                <w:b/>
                <w:color w:val="000000"/>
                <w:sz w:val="20"/>
                <w:szCs w:val="20"/>
                <w:lang w:eastAsia="en-AU"/>
              </w:rPr>
            </w:pPr>
            <w:r w:rsidRPr="00BB2478">
              <w:rPr>
                <w:rFonts w:eastAsia="Times New Roman" w:cs="Times New Roman"/>
                <w:b/>
                <w:color w:val="000000"/>
                <w:sz w:val="20"/>
                <w:szCs w:val="20"/>
                <w:lang w:eastAsia="en-AU"/>
              </w:rPr>
              <w:t>AUS</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2,634,522</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659,113</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671,669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433,049</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38,014</w:t>
            </w:r>
          </w:p>
        </w:tc>
        <w:tc>
          <w:tcPr>
            <w:tcW w:w="1315"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21,780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180</w:t>
            </w:r>
          </w:p>
        </w:tc>
        <w:tc>
          <w:tcPr>
            <w:tcW w:w="992" w:type="dxa"/>
            <w:tcBorders>
              <w:top w:val="nil"/>
              <w:left w:val="nil"/>
              <w:bottom w:val="single" w:sz="8" w:space="0" w:color="FFFFFF"/>
              <w:right w:val="single" w:sz="8" w:space="0" w:color="FFFFFF"/>
            </w:tcBorders>
            <w:shd w:val="clear" w:color="000000" w:fill="F2F2F2"/>
            <w:noWrap/>
            <w:vAlign w:val="center"/>
            <w:hideMark/>
          </w:tcPr>
          <w:p w:rsidR="00CC76C3" w:rsidRPr="00BB2478" w:rsidRDefault="00CC76C3" w:rsidP="00CC76C3">
            <w:pPr>
              <w:spacing w:after="0"/>
              <w:jc w:val="right"/>
              <w:rPr>
                <w:b/>
                <w:color w:val="000000"/>
                <w:sz w:val="20"/>
                <w:szCs w:val="20"/>
              </w:rPr>
            </w:pPr>
            <w:r w:rsidRPr="00BB2478">
              <w:rPr>
                <w:b/>
                <w:color w:val="000000"/>
                <w:sz w:val="20"/>
                <w:szCs w:val="20"/>
              </w:rPr>
              <w:t>4,458,326</w:t>
            </w:r>
          </w:p>
        </w:tc>
      </w:tr>
    </w:tbl>
    <w:p w:rsidR="00A85C1B" w:rsidRDefault="00A85C1B" w:rsidP="001631DE"/>
    <w:p w:rsidR="003A506C" w:rsidRDefault="008A2411" w:rsidP="008A2411">
      <w:pPr>
        <w:pStyle w:val="Caption"/>
        <w:keepNext/>
      </w:pPr>
      <w:bookmarkStart w:id="154" w:name="_Toc456266164"/>
      <w:bookmarkStart w:id="155" w:name="_Toc456267000"/>
      <w:r>
        <w:t xml:space="preserve">Table </w:t>
      </w:r>
      <w:fldSimple w:instr=" SEQ Table \* ARABIC ">
        <w:r w:rsidR="00F3134D">
          <w:rPr>
            <w:noProof/>
          </w:rPr>
          <w:t>21</w:t>
        </w:r>
      </w:fldSimple>
      <w:r>
        <w:tab/>
      </w:r>
      <w:r w:rsidR="003A506C">
        <w:t xml:space="preserve">Patient numbers for products issued </w:t>
      </w:r>
      <w:r w:rsidR="00BA37C4">
        <w:t>by diagnostic group</w:t>
      </w:r>
      <w:r w:rsidR="003A506C">
        <w:t xml:space="preserve"> in 2014-15</w:t>
      </w:r>
      <w:bookmarkEnd w:id="154"/>
      <w:bookmarkEnd w:id="155"/>
    </w:p>
    <w:p w:rsidR="003A506C" w:rsidRPr="003A506C" w:rsidRDefault="003A506C" w:rsidP="003A506C">
      <w:pPr>
        <w:pStyle w:val="Caption"/>
        <w:keepNext/>
      </w:pPr>
    </w:p>
    <w:tbl>
      <w:tblPr>
        <w:tblW w:w="9229" w:type="dxa"/>
        <w:tblInd w:w="93" w:type="dxa"/>
        <w:tblLayout w:type="fixed"/>
        <w:tblLook w:val="04A0" w:firstRow="1" w:lastRow="0" w:firstColumn="1" w:lastColumn="0" w:noHBand="0" w:noVBand="1"/>
      </w:tblPr>
      <w:tblGrid>
        <w:gridCol w:w="2373"/>
        <w:gridCol w:w="1044"/>
        <w:gridCol w:w="851"/>
        <w:gridCol w:w="850"/>
        <w:gridCol w:w="851"/>
        <w:gridCol w:w="850"/>
        <w:gridCol w:w="851"/>
        <w:gridCol w:w="567"/>
        <w:gridCol w:w="992"/>
      </w:tblGrid>
      <w:tr w:rsidR="003A506C" w:rsidRPr="00620B3A" w:rsidTr="003A506C">
        <w:trPr>
          <w:trHeight w:val="315"/>
        </w:trPr>
        <w:tc>
          <w:tcPr>
            <w:tcW w:w="2373" w:type="dxa"/>
            <w:tcBorders>
              <w:top w:val="nil"/>
              <w:left w:val="nil"/>
              <w:bottom w:val="nil"/>
              <w:right w:val="nil"/>
            </w:tcBorders>
            <w:shd w:val="clear" w:color="auto" w:fill="auto"/>
            <w:noWrap/>
            <w:vAlign w:val="bottom"/>
            <w:hideMark/>
          </w:tcPr>
          <w:p w:rsidR="003A506C" w:rsidRPr="00620B3A" w:rsidRDefault="003A506C" w:rsidP="003A506C">
            <w:pPr>
              <w:spacing w:after="0"/>
              <w:rPr>
                <w:rFonts w:eastAsia="Times New Roman" w:cs="Times New Roman"/>
                <w:color w:val="000000"/>
                <w:lang w:eastAsia="en-AU"/>
              </w:rPr>
            </w:pPr>
          </w:p>
        </w:tc>
        <w:tc>
          <w:tcPr>
            <w:tcW w:w="3596" w:type="dxa"/>
            <w:gridSpan w:val="4"/>
            <w:tcBorders>
              <w:top w:val="nil"/>
              <w:left w:val="nil"/>
              <w:bottom w:val="single" w:sz="8" w:space="0" w:color="FFFFFF"/>
              <w:right w:val="single" w:sz="8" w:space="0" w:color="FFFFFF"/>
            </w:tcBorders>
            <w:shd w:val="clear" w:color="000000" w:fill="C00000"/>
            <w:vAlign w:val="center"/>
            <w:hideMark/>
          </w:tcPr>
          <w:p w:rsidR="003A506C" w:rsidRPr="00E712BD" w:rsidRDefault="003A506C" w:rsidP="003A506C">
            <w:pPr>
              <w:spacing w:after="0"/>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IVIg</w:t>
            </w:r>
          </w:p>
        </w:tc>
        <w:tc>
          <w:tcPr>
            <w:tcW w:w="3260" w:type="dxa"/>
            <w:gridSpan w:val="4"/>
            <w:tcBorders>
              <w:top w:val="nil"/>
              <w:left w:val="single" w:sz="8" w:space="0" w:color="FFFFFF"/>
              <w:bottom w:val="single" w:sz="8" w:space="0" w:color="FFFFFF"/>
              <w:right w:val="single" w:sz="8" w:space="0" w:color="FFFFFF"/>
            </w:tcBorders>
            <w:shd w:val="clear" w:color="000000" w:fill="C00000"/>
            <w:vAlign w:val="center"/>
            <w:hideMark/>
          </w:tcPr>
          <w:p w:rsidR="003A506C" w:rsidRPr="00E712BD" w:rsidRDefault="003A506C" w:rsidP="003A506C">
            <w:pPr>
              <w:spacing w:after="0"/>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SCIg</w:t>
            </w:r>
          </w:p>
        </w:tc>
      </w:tr>
      <w:tr w:rsidR="003A506C" w:rsidRPr="00E712BD" w:rsidTr="003A506C">
        <w:trPr>
          <w:cantSplit/>
          <w:trHeight w:val="1333"/>
        </w:trPr>
        <w:tc>
          <w:tcPr>
            <w:tcW w:w="2373" w:type="dxa"/>
            <w:tcBorders>
              <w:top w:val="nil"/>
              <w:left w:val="single" w:sz="8" w:space="0" w:color="FFFFFF"/>
              <w:bottom w:val="single" w:sz="8" w:space="0" w:color="FFFFFF"/>
              <w:right w:val="single" w:sz="8" w:space="0" w:color="FFFFFF"/>
            </w:tcBorders>
            <w:shd w:val="clear" w:color="000000" w:fill="C00000"/>
            <w:noWrap/>
            <w:vAlign w:val="center"/>
            <w:hideMark/>
          </w:tcPr>
          <w:p w:rsidR="003A506C" w:rsidRPr="00E712BD" w:rsidRDefault="003A506C" w:rsidP="003A506C">
            <w:pPr>
              <w:spacing w:after="0"/>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Diagnostic Group</w:t>
            </w:r>
          </w:p>
        </w:tc>
        <w:tc>
          <w:tcPr>
            <w:tcW w:w="1044"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Intragam P</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Kiovig 10%</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Octagam 5%</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Octagam 10%</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Evogam</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Gammanorm</w:t>
            </w:r>
          </w:p>
        </w:tc>
        <w:tc>
          <w:tcPr>
            <w:tcW w:w="567"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Kiovig 10%</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3A506C" w:rsidRPr="00E712BD" w:rsidRDefault="003A506C" w:rsidP="003A506C">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Total</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Acquired hypogammaglobulinaemia secondary to haematological malignancies</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3,625</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282</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220</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243</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12</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12</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4,307</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Chronic inflammatory demyelinating polyneuropathy</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895</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456</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529</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308</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2,056</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Primary immunodeficiency diseases</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1,715</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53</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34</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31</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146</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73</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&lt;5</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&lt;1,935</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Myasthenia gravis</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234</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193</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262</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166</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818</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Multifocal motor neuropathy</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170</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125</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125</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46</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444</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Inflammatory myopathies</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284</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145</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141</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84</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638</w:t>
            </w:r>
          </w:p>
        </w:tc>
      </w:tr>
      <w:tr w:rsidR="00BA37C4" w:rsidRPr="00620B3A" w:rsidTr="00BA37C4">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ITP in adults</w:t>
            </w:r>
          </w:p>
        </w:tc>
        <w:tc>
          <w:tcPr>
            <w:tcW w:w="1044"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466</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285</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217</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230</w:t>
            </w:r>
          </w:p>
        </w:tc>
        <w:tc>
          <w:tcPr>
            <w:tcW w:w="850"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nil"/>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1,150</w:t>
            </w:r>
          </w:p>
        </w:tc>
      </w:tr>
      <w:tr w:rsidR="00BA37C4" w:rsidRPr="00620B3A" w:rsidTr="00BA37C4">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Secondary hypogammaglobulinaemia</w:t>
            </w:r>
          </w:p>
        </w:tc>
        <w:tc>
          <w:tcPr>
            <w:tcW w:w="1044"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468</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39</w:t>
            </w:r>
          </w:p>
        </w:tc>
        <w:tc>
          <w:tcPr>
            <w:tcW w:w="850"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35</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35</w:t>
            </w:r>
          </w:p>
        </w:tc>
        <w:tc>
          <w:tcPr>
            <w:tcW w:w="850"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11</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&lt;5</w:t>
            </w:r>
          </w:p>
        </w:tc>
        <w:tc>
          <w:tcPr>
            <w:tcW w:w="567"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single" w:sz="8" w:space="0" w:color="FFFFFF"/>
              <w:left w:val="nil"/>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&lt;585</w:t>
            </w:r>
          </w:p>
        </w:tc>
      </w:tr>
      <w:tr w:rsidR="00BA37C4" w:rsidRPr="00E712BD" w:rsidTr="00BA37C4">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hideMark/>
          </w:tcPr>
          <w:p w:rsidR="00BA37C4" w:rsidRPr="008C6C2E" w:rsidRDefault="00BA37C4" w:rsidP="003A506C">
            <w:pPr>
              <w:spacing w:after="0"/>
              <w:rPr>
                <w:color w:val="000000"/>
                <w:sz w:val="18"/>
                <w:szCs w:val="18"/>
              </w:rPr>
            </w:pPr>
            <w:r w:rsidRPr="008C6C2E">
              <w:rPr>
                <w:color w:val="000000"/>
                <w:sz w:val="18"/>
                <w:szCs w:val="18"/>
              </w:rPr>
              <w:t>Guillain-Barré syndrome</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143</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169</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178</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149</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628</w:t>
            </w:r>
          </w:p>
        </w:tc>
      </w:tr>
      <w:tr w:rsidR="00BA37C4" w:rsidRPr="00E712BD" w:rsidTr="00BA37C4">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tcPr>
          <w:p w:rsidR="00BA37C4" w:rsidRPr="008C6C2E" w:rsidRDefault="00BA37C4" w:rsidP="003A506C">
            <w:pPr>
              <w:spacing w:after="0"/>
              <w:rPr>
                <w:color w:val="000000"/>
                <w:sz w:val="18"/>
                <w:szCs w:val="18"/>
              </w:rPr>
            </w:pPr>
            <w:r w:rsidRPr="008C6C2E">
              <w:rPr>
                <w:color w:val="000000"/>
                <w:sz w:val="18"/>
                <w:szCs w:val="18"/>
              </w:rPr>
              <w:t>Kidney transplantation</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77</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58</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117</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148</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384</w:t>
            </w:r>
          </w:p>
        </w:tc>
      </w:tr>
      <w:tr w:rsidR="00BA37C4" w:rsidRPr="00E712BD" w:rsidTr="00BA37C4">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tcPr>
          <w:p w:rsidR="00BA37C4" w:rsidRPr="008C6C2E" w:rsidRDefault="00BA37C4" w:rsidP="003A506C">
            <w:pPr>
              <w:spacing w:after="0"/>
              <w:rPr>
                <w:color w:val="000000"/>
                <w:sz w:val="18"/>
                <w:szCs w:val="18"/>
              </w:rPr>
            </w:pPr>
            <w:r w:rsidRPr="008C6C2E">
              <w:rPr>
                <w:color w:val="000000"/>
                <w:sz w:val="18"/>
                <w:szCs w:val="18"/>
              </w:rPr>
              <w:t>Specific antibody deficiency</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264</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10</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14</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5</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16</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13</w:t>
            </w: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 </w:t>
            </w: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BA37C4" w:rsidRPr="00BA37C4" w:rsidRDefault="00BA37C4" w:rsidP="00BA37C4">
            <w:pPr>
              <w:spacing w:after="0"/>
              <w:jc w:val="right"/>
              <w:rPr>
                <w:color w:val="000000"/>
                <w:sz w:val="18"/>
                <w:szCs w:val="18"/>
              </w:rPr>
            </w:pPr>
            <w:r w:rsidRPr="00BA37C4">
              <w:rPr>
                <w:color w:val="000000"/>
                <w:sz w:val="18"/>
                <w:szCs w:val="18"/>
              </w:rPr>
              <w:t>309</w:t>
            </w:r>
          </w:p>
        </w:tc>
      </w:tr>
    </w:tbl>
    <w:p w:rsidR="00BA37C4" w:rsidRDefault="00BA37C4" w:rsidP="008A2411">
      <w:pPr>
        <w:pStyle w:val="Caption"/>
        <w:keepNext/>
      </w:pPr>
    </w:p>
    <w:p w:rsidR="00BA37C4" w:rsidRDefault="00BA37C4">
      <w:pPr>
        <w:spacing w:after="0"/>
        <w:rPr>
          <w:b/>
          <w:bCs/>
          <w:color w:val="A6A6A6" w:themeColor="background1" w:themeShade="A6"/>
          <w:szCs w:val="18"/>
        </w:rPr>
      </w:pPr>
      <w:r>
        <w:br w:type="page"/>
      </w:r>
    </w:p>
    <w:p w:rsidR="003A506C" w:rsidRDefault="003A506C" w:rsidP="008A2411">
      <w:pPr>
        <w:pStyle w:val="Caption"/>
        <w:keepNext/>
      </w:pPr>
    </w:p>
    <w:p w:rsidR="008A2411" w:rsidRDefault="003A506C" w:rsidP="008A2411">
      <w:pPr>
        <w:pStyle w:val="Caption"/>
        <w:keepNext/>
      </w:pPr>
      <w:bookmarkStart w:id="156" w:name="_Toc456266165"/>
      <w:bookmarkStart w:id="157" w:name="_Toc456267001"/>
      <w:r>
        <w:t xml:space="preserve">Table </w:t>
      </w:r>
      <w:fldSimple w:instr=" SEQ Table \* ARABIC ">
        <w:r w:rsidR="00F3134D">
          <w:rPr>
            <w:noProof/>
          </w:rPr>
          <w:t>22</w:t>
        </w:r>
      </w:fldSimple>
      <w:r>
        <w:tab/>
      </w:r>
      <w:r w:rsidR="008A2411">
        <w:t>Grams of product issued by diagnostic group in 2014-15</w:t>
      </w:r>
      <w:bookmarkEnd w:id="156"/>
      <w:bookmarkEnd w:id="157"/>
    </w:p>
    <w:p w:rsidR="003A506C" w:rsidRPr="003A506C" w:rsidRDefault="003A506C" w:rsidP="003A506C">
      <w:pPr>
        <w:pStyle w:val="Caption"/>
        <w:keepNext/>
      </w:pPr>
    </w:p>
    <w:tbl>
      <w:tblPr>
        <w:tblW w:w="9229" w:type="dxa"/>
        <w:tblInd w:w="93" w:type="dxa"/>
        <w:tblLayout w:type="fixed"/>
        <w:tblLook w:val="04A0" w:firstRow="1" w:lastRow="0" w:firstColumn="1" w:lastColumn="0" w:noHBand="0" w:noVBand="1"/>
      </w:tblPr>
      <w:tblGrid>
        <w:gridCol w:w="2373"/>
        <w:gridCol w:w="1044"/>
        <w:gridCol w:w="851"/>
        <w:gridCol w:w="850"/>
        <w:gridCol w:w="851"/>
        <w:gridCol w:w="850"/>
        <w:gridCol w:w="851"/>
        <w:gridCol w:w="567"/>
        <w:gridCol w:w="992"/>
      </w:tblGrid>
      <w:tr w:rsidR="008C6C2E" w:rsidRPr="00620B3A" w:rsidTr="003A506C">
        <w:trPr>
          <w:trHeight w:val="315"/>
        </w:trPr>
        <w:tc>
          <w:tcPr>
            <w:tcW w:w="2373" w:type="dxa"/>
            <w:tcBorders>
              <w:top w:val="nil"/>
              <w:left w:val="nil"/>
              <w:bottom w:val="nil"/>
              <w:right w:val="nil"/>
            </w:tcBorders>
            <w:shd w:val="clear" w:color="auto" w:fill="auto"/>
            <w:noWrap/>
            <w:vAlign w:val="bottom"/>
            <w:hideMark/>
          </w:tcPr>
          <w:p w:rsidR="00CC76C3" w:rsidRPr="00620B3A" w:rsidRDefault="00CC76C3" w:rsidP="00D64F90">
            <w:pPr>
              <w:spacing w:after="0"/>
              <w:rPr>
                <w:rFonts w:eastAsia="Times New Roman" w:cs="Times New Roman"/>
                <w:color w:val="000000"/>
                <w:lang w:eastAsia="en-AU"/>
              </w:rPr>
            </w:pPr>
          </w:p>
        </w:tc>
        <w:tc>
          <w:tcPr>
            <w:tcW w:w="3596" w:type="dxa"/>
            <w:gridSpan w:val="4"/>
            <w:tcBorders>
              <w:top w:val="nil"/>
              <w:left w:val="nil"/>
              <w:bottom w:val="single" w:sz="8" w:space="0" w:color="FFFFFF"/>
              <w:right w:val="single" w:sz="8" w:space="0" w:color="FFFFFF"/>
            </w:tcBorders>
            <w:shd w:val="clear" w:color="000000" w:fill="C00000"/>
            <w:vAlign w:val="center"/>
            <w:hideMark/>
          </w:tcPr>
          <w:p w:rsidR="00CC76C3" w:rsidRPr="00E712BD" w:rsidRDefault="00CC76C3" w:rsidP="00D64F90">
            <w:pPr>
              <w:spacing w:after="0"/>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IVIg</w:t>
            </w:r>
          </w:p>
        </w:tc>
        <w:tc>
          <w:tcPr>
            <w:tcW w:w="3260" w:type="dxa"/>
            <w:gridSpan w:val="4"/>
            <w:tcBorders>
              <w:top w:val="nil"/>
              <w:left w:val="single" w:sz="8" w:space="0" w:color="FFFFFF"/>
              <w:bottom w:val="single" w:sz="8" w:space="0" w:color="FFFFFF"/>
              <w:right w:val="single" w:sz="8" w:space="0" w:color="FFFFFF"/>
            </w:tcBorders>
            <w:shd w:val="clear" w:color="000000" w:fill="C00000"/>
            <w:vAlign w:val="center"/>
            <w:hideMark/>
          </w:tcPr>
          <w:p w:rsidR="00CC76C3" w:rsidRPr="00E712BD" w:rsidRDefault="00CC76C3" w:rsidP="00D64F90">
            <w:pPr>
              <w:spacing w:after="0"/>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SCIg</w:t>
            </w:r>
          </w:p>
        </w:tc>
      </w:tr>
      <w:tr w:rsidR="008C6C2E" w:rsidRPr="00E712BD" w:rsidTr="00E712BD">
        <w:trPr>
          <w:cantSplit/>
          <w:trHeight w:val="1333"/>
        </w:trPr>
        <w:tc>
          <w:tcPr>
            <w:tcW w:w="2373" w:type="dxa"/>
            <w:tcBorders>
              <w:top w:val="nil"/>
              <w:left w:val="single" w:sz="8" w:space="0" w:color="FFFFFF"/>
              <w:bottom w:val="single" w:sz="8" w:space="0" w:color="FFFFFF"/>
              <w:right w:val="single" w:sz="8" w:space="0" w:color="FFFFFF"/>
            </w:tcBorders>
            <w:shd w:val="clear" w:color="000000" w:fill="C00000"/>
            <w:noWrap/>
            <w:vAlign w:val="center"/>
            <w:hideMark/>
          </w:tcPr>
          <w:p w:rsidR="00CC76C3" w:rsidRPr="00E712BD" w:rsidRDefault="008A2411" w:rsidP="008A2411">
            <w:pPr>
              <w:spacing w:after="0"/>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Diagnostic Group</w:t>
            </w:r>
          </w:p>
        </w:tc>
        <w:tc>
          <w:tcPr>
            <w:tcW w:w="1044"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Intragam P</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Kiovig 10%</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Octagam 5%</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Octagam 10%</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Evogam</w:t>
            </w:r>
          </w:p>
        </w:tc>
        <w:tc>
          <w:tcPr>
            <w:tcW w:w="851"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Gammanorm</w:t>
            </w:r>
          </w:p>
        </w:tc>
        <w:tc>
          <w:tcPr>
            <w:tcW w:w="567"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Kiovig 10%</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CC76C3" w:rsidRPr="00E712BD" w:rsidRDefault="00CC76C3" w:rsidP="008A2411">
            <w:pPr>
              <w:spacing w:after="0"/>
              <w:ind w:left="113" w:right="113"/>
              <w:jc w:val="center"/>
              <w:rPr>
                <w:rFonts w:eastAsia="Times New Roman" w:cs="Times New Roman"/>
                <w:b/>
                <w:bCs/>
                <w:color w:val="FFFFFF"/>
                <w:sz w:val="18"/>
                <w:szCs w:val="18"/>
                <w:lang w:eastAsia="en-AU"/>
              </w:rPr>
            </w:pPr>
            <w:r w:rsidRPr="00E712BD">
              <w:rPr>
                <w:rFonts w:eastAsia="Times New Roman" w:cs="Times New Roman"/>
                <w:b/>
                <w:bCs/>
                <w:color w:val="FFFFFF"/>
                <w:sz w:val="18"/>
                <w:szCs w:val="18"/>
                <w:lang w:eastAsia="en-AU"/>
              </w:rPr>
              <w:t>Total</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Acquired hypogammaglobulinaemia secondary to haematological malignancies</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857,700</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50,759</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34,282</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36,189</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2,158</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1,686</w:t>
            </w: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982,773</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Chronic inflammatory demyelinating polyneuropathy</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441,324</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185,068</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235,047</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112,819</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974,258</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Primary immunodeficiency diseases</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533,871</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14,490</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8,903</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8,812</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31,909</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16,617</w:t>
            </w: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180</w:t>
            </w: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614,781</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Myasthenia gravis</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102,399</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79,827</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105,593</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60,517</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348,336</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Multifocal motor neuropathy</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91,581</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74,888</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67,131</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22,441</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256,041</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Inflammatory myopathies</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113,055</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59,362</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51,366</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25,446</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249,229</w:t>
            </w:r>
          </w:p>
        </w:tc>
      </w:tr>
      <w:tr w:rsidR="00E712BD" w:rsidRPr="00620B3A" w:rsidTr="00E712BD">
        <w:trPr>
          <w:trHeight w:val="315"/>
        </w:trPr>
        <w:tc>
          <w:tcPr>
            <w:tcW w:w="2373" w:type="dxa"/>
            <w:tcBorders>
              <w:top w:val="nil"/>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ITP in adults</w:t>
            </w:r>
          </w:p>
        </w:tc>
        <w:tc>
          <w:tcPr>
            <w:tcW w:w="1044"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68,289</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48,402</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34,740</w:t>
            </w: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36,190</w:t>
            </w:r>
          </w:p>
        </w:tc>
        <w:tc>
          <w:tcPr>
            <w:tcW w:w="850"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nil"/>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187,621</w:t>
            </w:r>
          </w:p>
        </w:tc>
      </w:tr>
      <w:tr w:rsidR="00E712BD" w:rsidRPr="00620B3A" w:rsidTr="00E712BD">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Secondary hypogammaglobulinaemia</w:t>
            </w:r>
          </w:p>
        </w:tc>
        <w:tc>
          <w:tcPr>
            <w:tcW w:w="1044"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102,942</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8,040</w:t>
            </w:r>
          </w:p>
        </w:tc>
        <w:tc>
          <w:tcPr>
            <w:tcW w:w="850"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8,346</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4,537</w:t>
            </w:r>
          </w:p>
        </w:tc>
        <w:tc>
          <w:tcPr>
            <w:tcW w:w="850"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1,261</w:t>
            </w:r>
          </w:p>
        </w:tc>
        <w:tc>
          <w:tcPr>
            <w:tcW w:w="851"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1,436</w:t>
            </w:r>
          </w:p>
        </w:tc>
        <w:tc>
          <w:tcPr>
            <w:tcW w:w="567"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single" w:sz="8" w:space="0" w:color="FFFFFF"/>
              <w:left w:val="nil"/>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126,561</w:t>
            </w:r>
          </w:p>
        </w:tc>
      </w:tr>
      <w:tr w:rsidR="00E712BD" w:rsidRPr="00E712BD" w:rsidTr="00E712BD">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hideMark/>
          </w:tcPr>
          <w:p w:rsidR="00E712BD" w:rsidRPr="008C6C2E" w:rsidRDefault="00E712BD" w:rsidP="00E712BD">
            <w:pPr>
              <w:spacing w:after="0"/>
              <w:rPr>
                <w:color w:val="000000"/>
                <w:sz w:val="18"/>
                <w:szCs w:val="18"/>
              </w:rPr>
            </w:pPr>
            <w:r w:rsidRPr="008C6C2E">
              <w:rPr>
                <w:color w:val="000000"/>
                <w:sz w:val="18"/>
                <w:szCs w:val="18"/>
              </w:rPr>
              <w:t>Guillain-Barré syndrome</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19,281</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28,287</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31,309</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26,690</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105,567</w:t>
            </w:r>
          </w:p>
        </w:tc>
      </w:tr>
      <w:tr w:rsidR="00E712BD" w:rsidRPr="00E712BD" w:rsidTr="00E712BD">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tcPr>
          <w:p w:rsidR="00E712BD" w:rsidRPr="008C6C2E" w:rsidRDefault="00E712BD" w:rsidP="00E712BD">
            <w:pPr>
              <w:spacing w:after="0"/>
              <w:rPr>
                <w:color w:val="000000"/>
                <w:sz w:val="18"/>
                <w:szCs w:val="18"/>
              </w:rPr>
            </w:pPr>
            <w:r w:rsidRPr="008C6C2E">
              <w:rPr>
                <w:color w:val="000000"/>
                <w:sz w:val="18"/>
                <w:szCs w:val="18"/>
              </w:rPr>
              <w:t>Kidney transplantation</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15,372</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11,671</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28,840</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34,149</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90,031</w:t>
            </w:r>
          </w:p>
        </w:tc>
      </w:tr>
      <w:tr w:rsidR="00E712BD" w:rsidRPr="00E712BD" w:rsidTr="00E712BD">
        <w:trPr>
          <w:trHeight w:val="315"/>
        </w:trPr>
        <w:tc>
          <w:tcPr>
            <w:tcW w:w="2373" w:type="dxa"/>
            <w:tcBorders>
              <w:top w:val="single" w:sz="8" w:space="0" w:color="FFFFFF"/>
              <w:left w:val="single" w:sz="8" w:space="0" w:color="FFFFFF"/>
              <w:bottom w:val="single" w:sz="8" w:space="0" w:color="FFFFFF"/>
              <w:right w:val="single" w:sz="8" w:space="0" w:color="FFFFFF"/>
            </w:tcBorders>
            <w:shd w:val="clear" w:color="000000" w:fill="FFD5D5"/>
            <w:noWrap/>
            <w:vAlign w:val="center"/>
          </w:tcPr>
          <w:p w:rsidR="00E712BD" w:rsidRPr="008C6C2E" w:rsidRDefault="00E712BD" w:rsidP="00E712BD">
            <w:pPr>
              <w:spacing w:after="0"/>
              <w:rPr>
                <w:color w:val="000000"/>
                <w:sz w:val="18"/>
                <w:szCs w:val="18"/>
              </w:rPr>
            </w:pPr>
            <w:r w:rsidRPr="008C6C2E">
              <w:rPr>
                <w:color w:val="000000"/>
                <w:sz w:val="18"/>
                <w:szCs w:val="18"/>
              </w:rPr>
              <w:t>Specific antibody deficiency</w:t>
            </w:r>
          </w:p>
        </w:tc>
        <w:tc>
          <w:tcPr>
            <w:tcW w:w="1044"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73,248</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1,662</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2,720</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1,025</w:t>
            </w:r>
          </w:p>
        </w:tc>
        <w:tc>
          <w:tcPr>
            <w:tcW w:w="850"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2,686</w:t>
            </w:r>
          </w:p>
        </w:tc>
        <w:tc>
          <w:tcPr>
            <w:tcW w:w="851"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2,041</w:t>
            </w:r>
          </w:p>
        </w:tc>
        <w:tc>
          <w:tcPr>
            <w:tcW w:w="567"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000000" w:fill="F2F2F2"/>
            <w:noWrap/>
            <w:vAlign w:val="center"/>
          </w:tcPr>
          <w:p w:rsidR="00E712BD" w:rsidRPr="00E712BD" w:rsidRDefault="00E712BD" w:rsidP="00E712BD">
            <w:pPr>
              <w:spacing w:after="0"/>
              <w:jc w:val="right"/>
              <w:rPr>
                <w:color w:val="000000"/>
                <w:sz w:val="18"/>
                <w:szCs w:val="18"/>
              </w:rPr>
            </w:pPr>
            <w:r w:rsidRPr="00E712BD">
              <w:rPr>
                <w:color w:val="000000"/>
                <w:sz w:val="18"/>
                <w:szCs w:val="18"/>
              </w:rPr>
              <w:t>83,381</w:t>
            </w:r>
          </w:p>
        </w:tc>
      </w:tr>
    </w:tbl>
    <w:p w:rsidR="00CC76C3" w:rsidRDefault="00CC76C3"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A85C1B" w:rsidRDefault="00A85C1B" w:rsidP="001631DE"/>
    <w:p w:rsidR="0025596C" w:rsidRDefault="0025596C" w:rsidP="0025596C">
      <w:pPr>
        <w:pStyle w:val="Heading1"/>
      </w:pPr>
      <w:bookmarkStart w:id="158" w:name="_Toc361570452"/>
      <w:bookmarkStart w:id="159" w:name="_Toc364776964"/>
      <w:bookmarkStart w:id="160" w:name="_Ref253556442"/>
      <w:bookmarkStart w:id="161" w:name="_Ref384557528"/>
      <w:bookmarkStart w:id="162" w:name="_Toc456267425"/>
      <w:bookmarkStart w:id="163" w:name="_Toc361570449"/>
      <w:bookmarkStart w:id="164" w:name="_Toc364776961"/>
      <w:bookmarkStart w:id="165" w:name="_Ref253556358"/>
      <w:bookmarkStart w:id="166" w:name="_Ref253556370"/>
      <w:bookmarkStart w:id="167" w:name="_Ref253556397"/>
      <w:bookmarkStart w:id="168" w:name="_Ref253556408"/>
      <w:bookmarkStart w:id="169" w:name="_Ref253556413"/>
      <w:r>
        <w:lastRenderedPageBreak/>
        <w:t>Appendix A – Background</w:t>
      </w:r>
      <w:bookmarkEnd w:id="158"/>
      <w:bookmarkEnd w:id="159"/>
      <w:bookmarkEnd w:id="160"/>
      <w:bookmarkEnd w:id="161"/>
      <w:bookmarkEnd w:id="162"/>
    </w:p>
    <w:p w:rsidR="0025596C" w:rsidRPr="00392AF0" w:rsidRDefault="0025596C" w:rsidP="0025596C">
      <w:pPr>
        <w:spacing w:after="0"/>
        <w:rPr>
          <w:b/>
          <w:color w:val="4F81BD" w:themeColor="accent1"/>
        </w:rPr>
      </w:pPr>
      <w:bookmarkStart w:id="170" w:name="_Toc361570453"/>
      <w:r w:rsidRPr="00392AF0">
        <w:rPr>
          <w:b/>
          <w:color w:val="4F81BD" w:themeColor="accent1"/>
        </w:rPr>
        <w:t xml:space="preserve">Funding for </w:t>
      </w:r>
      <w:bookmarkEnd w:id="170"/>
      <w:r w:rsidR="00716977">
        <w:rPr>
          <w:b/>
          <w:color w:val="4F81BD" w:themeColor="accent1"/>
        </w:rPr>
        <w:t>Ig</w:t>
      </w:r>
    </w:p>
    <w:p w:rsidR="0025596C" w:rsidRPr="00392AF0" w:rsidRDefault="00716977" w:rsidP="0025596C">
      <w:r>
        <w:t>Ig</w:t>
      </w:r>
      <w:r w:rsidR="0025596C">
        <w:t xml:space="preserve"> supplied under national blood arrangements is funded 63% by the Commonwealth government, with the remaining 37% being funded by the </w:t>
      </w:r>
      <w:r w:rsidR="00D50CEA">
        <w:t>state and territory</w:t>
      </w:r>
      <w:r w:rsidR="0025596C">
        <w:t xml:space="preserve"> to which the product is supplied.</w:t>
      </w:r>
    </w:p>
    <w:p w:rsidR="0025596C" w:rsidRPr="00392AF0" w:rsidRDefault="0025596C" w:rsidP="0025596C">
      <w:pPr>
        <w:spacing w:after="0"/>
        <w:rPr>
          <w:b/>
          <w:color w:val="4F81BD" w:themeColor="accent1"/>
        </w:rPr>
      </w:pPr>
      <w:r w:rsidRPr="00392AF0">
        <w:rPr>
          <w:b/>
          <w:color w:val="4F81BD" w:themeColor="accent1"/>
        </w:rPr>
        <w:t>The Criteria</w:t>
      </w:r>
    </w:p>
    <w:p w:rsidR="0025596C" w:rsidRPr="002B7CC0" w:rsidRDefault="0025596C" w:rsidP="0025596C">
      <w:r w:rsidRPr="00392AF0">
        <w:t xml:space="preserve">A process to review the Australian Health Ministers’ Advisory Council (AHMAC) (2000) guidelines commenced in 2004. </w:t>
      </w:r>
      <w:r>
        <w:t>A result was</w:t>
      </w:r>
      <w:r w:rsidRPr="00392AF0">
        <w:t xml:space="preserve"> the</w:t>
      </w:r>
      <w:r>
        <w:t xml:space="preserve"> approval of the</w:t>
      </w:r>
      <w:r w:rsidRPr="00392AF0">
        <w:t xml:space="preserve"> first edition of </w:t>
      </w:r>
      <w:r w:rsidRPr="00A435B6">
        <w:t xml:space="preserve">the </w:t>
      </w:r>
      <w:r w:rsidRPr="00673908">
        <w:rPr>
          <w:i/>
        </w:rPr>
        <w:t>Criteria</w:t>
      </w:r>
      <w:r w:rsidRPr="00392AF0">
        <w:t xml:space="preserve"> by Health Ministers in December 2007</w:t>
      </w:r>
      <w:r>
        <w:t>.</w:t>
      </w:r>
      <w:r w:rsidRPr="00392AF0">
        <w:t xml:space="preserve"> </w:t>
      </w:r>
      <w:r w:rsidRPr="002B7CC0">
        <w:t xml:space="preserve">The first </w:t>
      </w:r>
      <w:r>
        <w:t>edition</w:t>
      </w:r>
      <w:r w:rsidRPr="002B7CC0">
        <w:t xml:space="preserve"> of the </w:t>
      </w:r>
      <w:r w:rsidRPr="00A435B6">
        <w:t>Criteria</w:t>
      </w:r>
      <w:r w:rsidRPr="002B7CC0">
        <w:t xml:space="preserve"> was made available to clinicians on 3 March 2008 and applied to all new patients from that date. For patients already receiving </w:t>
      </w:r>
      <w:r w:rsidR="00716977">
        <w:t>Ig</w:t>
      </w:r>
      <w:r w:rsidRPr="002B7CC0">
        <w:t xml:space="preserve"> for an indication not li</w:t>
      </w:r>
      <w:r>
        <w:t>sted as being funded under national bl</w:t>
      </w:r>
      <w:r w:rsidRPr="002B7CC0">
        <w:t xml:space="preserve">ood </w:t>
      </w:r>
      <w:r>
        <w:t>arrangements</w:t>
      </w:r>
      <w:r w:rsidRPr="002B7CC0">
        <w:t>, a six month transition period was allowed to enable treatment strategies to be reviewed</w:t>
      </w:r>
      <w:r>
        <w:t xml:space="preserve">, with the exception of IgG subclass deficiency, where grandfathering of the use of </w:t>
      </w:r>
      <w:r w:rsidR="00716977">
        <w:t>Ig</w:t>
      </w:r>
      <w:r>
        <w:t xml:space="preserve"> was permitted under defined circumstances.</w:t>
      </w:r>
    </w:p>
    <w:p w:rsidR="0025596C" w:rsidRPr="00BF4CC1" w:rsidRDefault="0025596C" w:rsidP="0025596C">
      <w:r w:rsidRPr="00BF4CC1">
        <w:t xml:space="preserve">The </w:t>
      </w:r>
      <w:r w:rsidRPr="00673908">
        <w:rPr>
          <w:i/>
        </w:rPr>
        <w:t>Criteria</w:t>
      </w:r>
      <w:r w:rsidRPr="00BF4CC1">
        <w:t xml:space="preserve"> is a </w:t>
      </w:r>
      <w:r>
        <w:t>publication</w:t>
      </w:r>
      <w:r w:rsidRPr="00BF4CC1">
        <w:t xml:space="preserve"> that describes the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Pr>
          <w:i/>
        </w:rPr>
        <w:t>Criteria</w:t>
      </w:r>
      <w:r w:rsidRPr="00BF4CC1">
        <w:t xml:space="preserve">. The </w:t>
      </w:r>
      <w:r w:rsidRPr="00673908">
        <w:rPr>
          <w:i/>
        </w:rPr>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673908">
        <w:rPr>
          <w:i/>
        </w:rPr>
        <w:t>Criteria</w:t>
      </w:r>
      <w:r w:rsidRPr="00BF4CC1">
        <w:t xml:space="preserve"> was developed using the best available medical evidence and expertise.</w:t>
      </w:r>
    </w:p>
    <w:p w:rsidR="0025596C" w:rsidRPr="00A435B6" w:rsidRDefault="0025596C" w:rsidP="0025596C">
      <w:r w:rsidRPr="00BF4CC1">
        <w:t xml:space="preserve">As part of the process to implement the new </w:t>
      </w:r>
      <w:r w:rsidRPr="00673908">
        <w:rPr>
          <w:i/>
        </w:rPr>
        <w:t>Criteria</w:t>
      </w:r>
      <w:r>
        <w:t xml:space="preserve">, the </w:t>
      </w:r>
      <w:r w:rsidRPr="00BF4CC1">
        <w:t xml:space="preserve">NBA established a clarification process in November 2008. A consultation group was consulted on specific queries that arose in relation to interpretation of </w:t>
      </w:r>
      <w:r w:rsidRPr="00A435B6">
        <w:t xml:space="preserve">the </w:t>
      </w:r>
      <w:r w:rsidRPr="00673908">
        <w:rPr>
          <w:i/>
        </w:rPr>
        <w:t>Criteria.</w:t>
      </w:r>
      <w:r w:rsidRPr="00BF4CC1">
        <w:t xml:space="preserve"> </w:t>
      </w:r>
      <w:r>
        <w:t>C</w:t>
      </w:r>
      <w:r w:rsidRPr="00BF4CC1">
        <w:t xml:space="preserve">onsideration of the queries and comments resulted in some amendments to specific indications in </w:t>
      </w:r>
      <w:r w:rsidRPr="00A435B6">
        <w:t xml:space="preserve">the </w:t>
      </w:r>
      <w:r w:rsidRPr="00673908">
        <w:rPr>
          <w:i/>
        </w:rPr>
        <w:t>Criteria</w:t>
      </w:r>
      <w:r w:rsidRPr="00BF4CC1">
        <w:t>. The revisions</w:t>
      </w:r>
      <w:r w:rsidRPr="00A435B6">
        <w:t xml:space="preserve"> were published on the NBA’s website in February 2009.</w:t>
      </w:r>
    </w:p>
    <w:p w:rsidR="0025596C" w:rsidRPr="00BF4CC1" w:rsidRDefault="0025596C" w:rsidP="0025596C">
      <w:r>
        <w:t>A</w:t>
      </w:r>
      <w:r w:rsidRPr="00BF4CC1">
        <w:t xml:space="preserve"> review of </w:t>
      </w:r>
      <w:r w:rsidRPr="00A435B6">
        <w:t xml:space="preserve">the </w:t>
      </w:r>
      <w:r w:rsidRPr="00673908">
        <w:rPr>
          <w:i/>
        </w:rPr>
        <w:t>Criteria</w:t>
      </w:r>
      <w:r w:rsidRPr="00BF4CC1">
        <w:t xml:space="preserve"> </w:t>
      </w:r>
      <w:r>
        <w:t xml:space="preserve">commenced </w:t>
      </w:r>
      <w:r w:rsidRPr="00BF4CC1">
        <w:t xml:space="preserve">in 2010. A National </w:t>
      </w:r>
      <w:r w:rsidR="00716977">
        <w:t>Ig</w:t>
      </w:r>
      <w:r w:rsidRPr="00BF4CC1">
        <w:t xml:space="preserve"> Criteria Review Working Group was established to oversee the 2010–11 </w:t>
      </w:r>
      <w:r w:rsidRPr="00673908">
        <w:rPr>
          <w:i/>
        </w:rPr>
        <w:t xml:space="preserve">Criteria </w:t>
      </w:r>
      <w:r>
        <w:t>r</w:t>
      </w:r>
      <w:r w:rsidRPr="00BF4CC1">
        <w:t>eview process.</w:t>
      </w:r>
      <w:r>
        <w:t xml:space="preserve"> </w:t>
      </w:r>
      <w:r w:rsidRPr="00BF4CC1">
        <w:t xml:space="preserve">The </w:t>
      </w:r>
      <w:r w:rsidRPr="00673908">
        <w:rPr>
          <w:i/>
        </w:rPr>
        <w:t xml:space="preserve">Criteria </w:t>
      </w:r>
      <w:r w:rsidRPr="00BF4CC1">
        <w:t xml:space="preserve">second edition </w:t>
      </w:r>
      <w:r>
        <w:t>was</w:t>
      </w:r>
      <w:r w:rsidRPr="00BF4CC1">
        <w:t xml:space="preserve"> made available to clinicians on 10 August 2012 and </w:t>
      </w:r>
      <w:r>
        <w:t>applied</w:t>
      </w:r>
      <w:r w:rsidRPr="00BF4CC1">
        <w:t xml:space="preserve"> to all new patients from that date. For patients already receiving </w:t>
      </w:r>
      <w:r w:rsidR="00716977">
        <w:t>Ig</w:t>
      </w:r>
      <w:r w:rsidRPr="00BF4CC1">
        <w:t xml:space="preserve"> for an indication where the specific criteria have changed, a six month transition period </w:t>
      </w:r>
      <w:r>
        <w:t>was</w:t>
      </w:r>
      <w:r w:rsidRPr="00BF4CC1">
        <w:t xml:space="preserve"> been allowed to enable treatment strategies to be reviewed</w:t>
      </w:r>
      <w:r>
        <w:t>, with the exception of IgG subclass deficiency patients, as described above</w:t>
      </w:r>
      <w:r w:rsidRPr="00BF4CC1">
        <w:t>.</w:t>
      </w:r>
    </w:p>
    <w:p w:rsidR="0025596C" w:rsidRPr="00BA45F7" w:rsidRDefault="0025596C" w:rsidP="0025596C">
      <w:pPr>
        <w:spacing w:after="0"/>
        <w:rPr>
          <w:b/>
          <w:color w:val="4F81BD" w:themeColor="accent1"/>
        </w:rPr>
      </w:pPr>
      <w:r>
        <w:rPr>
          <w:b/>
          <w:color w:val="4F81BD" w:themeColor="accent1"/>
        </w:rPr>
        <w:t>Supply of Product</w:t>
      </w:r>
    </w:p>
    <w:p w:rsidR="0025596C" w:rsidRDefault="00BA37C4" w:rsidP="0025596C">
      <w:r>
        <w:t>I</w:t>
      </w:r>
      <w:r w:rsidR="0025596C">
        <w:t>mmunoglobulin</w:t>
      </w:r>
      <w:r w:rsidR="0025596C" w:rsidRPr="00BF4CC1">
        <w:t xml:space="preserve"> is made from </w:t>
      </w:r>
      <w:r w:rsidR="0025596C">
        <w:t>donated human plasma</w:t>
      </w:r>
      <w:r w:rsidR="0025596C" w:rsidRPr="00BF4CC1">
        <w:t xml:space="preserve">. Australia has not been able to make enough </w:t>
      </w:r>
      <w:r w:rsidR="00716977">
        <w:t>Ig</w:t>
      </w:r>
      <w:r w:rsidR="0025596C" w:rsidRPr="00BF4CC1">
        <w:t xml:space="preserve"> from Australian blood donations for a number of years. While NBA makes sure there is enough </w:t>
      </w:r>
      <w:r w:rsidR="00716977">
        <w:t>Ig</w:t>
      </w:r>
      <w:r w:rsidR="0025596C" w:rsidRPr="00BF4CC1">
        <w:t xml:space="preserve"> by importing this product, there is a finite international supply.</w:t>
      </w:r>
    </w:p>
    <w:p w:rsidR="0025596C" w:rsidRPr="00915D2A" w:rsidRDefault="0025596C" w:rsidP="0025596C">
      <w:r w:rsidRPr="00915D2A">
        <w:t xml:space="preserve">There are two main ways </w:t>
      </w:r>
      <w:r w:rsidR="00716977">
        <w:t>Ig</w:t>
      </w:r>
      <w:r w:rsidRPr="00915D2A">
        <w:t xml:space="preserve"> is available in Australia:</w:t>
      </w:r>
    </w:p>
    <w:p w:rsidR="0025596C" w:rsidRDefault="0025596C" w:rsidP="0025596C">
      <w:pPr>
        <w:pStyle w:val="ListParagraph"/>
        <w:numPr>
          <w:ilvl w:val="0"/>
          <w:numId w:val="10"/>
        </w:numPr>
        <w:ind w:left="567" w:hanging="567"/>
      </w:pPr>
      <w:r w:rsidRPr="00915D2A">
        <w:t>Supply under</w:t>
      </w:r>
      <w:r>
        <w:t xml:space="preserve"> national blood arrangements</w:t>
      </w:r>
    </w:p>
    <w:p w:rsidR="0025596C" w:rsidRPr="00915D2A" w:rsidRDefault="0025596C" w:rsidP="0025596C">
      <w:r w:rsidRPr="00915D2A">
        <w:t xml:space="preserve">If the </w:t>
      </w:r>
      <w:r w:rsidR="00716977">
        <w:t>Ig</w:t>
      </w:r>
      <w:r w:rsidRPr="00915D2A">
        <w:t xml:space="preserve"> is ordered to treat a medical condition which is funded under the </w:t>
      </w:r>
      <w:r w:rsidRPr="00BA45F7">
        <w:rPr>
          <w:i/>
        </w:rPr>
        <w:t>Criteria</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rsidR="0025596C" w:rsidRPr="00915D2A" w:rsidRDefault="0025596C" w:rsidP="0025596C">
      <w:r w:rsidRPr="00915D2A">
        <w:t xml:space="preserve">Orders for </w:t>
      </w:r>
      <w:r w:rsidR="00716977">
        <w:t>Ig</w:t>
      </w:r>
      <w:r w:rsidRPr="00915D2A">
        <w:t xml:space="preserve"> under </w:t>
      </w:r>
      <w:r>
        <w:t>national blood arrangements</w:t>
      </w:r>
      <w:r w:rsidRPr="00915D2A">
        <w:t xml:space="preserve"> are made to the Blood Service, which is contracted by the NBA as the authoriser and distributor of all </w:t>
      </w:r>
      <w:r w:rsidR="00716977">
        <w:t>Ig</w:t>
      </w:r>
      <w:r w:rsidRPr="00915D2A">
        <w:t xml:space="preserve"> funded under these arrangements. In seeking authorisation, the requesting clinician will be asked to provide information to the Blood Service to </w:t>
      </w:r>
      <w:r w:rsidRPr="00915D2A">
        <w:lastRenderedPageBreak/>
        <w:t xml:space="preserve">establish that the request meets the </w:t>
      </w:r>
      <w:r w:rsidRPr="00BA45F7">
        <w:rPr>
          <w:i/>
        </w:rPr>
        <w:t>Criteria</w:t>
      </w:r>
      <w:r w:rsidRPr="00915D2A">
        <w:t xml:space="preserve">. For ongoing conditions, the </w:t>
      </w:r>
      <w:r w:rsidRPr="00BA45F7">
        <w:rPr>
          <w:i/>
        </w:rPr>
        <w:t>Criteria</w:t>
      </w:r>
      <w:r w:rsidRPr="00915D2A">
        <w:t xml:space="preserve"> may specify review criteria to be applied in reviewing the patient to determine whether access to funded </w:t>
      </w:r>
      <w:r w:rsidR="00716977">
        <w:t>Ig</w:t>
      </w:r>
      <w:r w:rsidRPr="00915D2A">
        <w:t xml:space="preserve"> will continue.</w:t>
      </w:r>
    </w:p>
    <w:p w:rsidR="0025596C" w:rsidRPr="00915D2A" w:rsidRDefault="0025596C" w:rsidP="0025596C">
      <w:r w:rsidRPr="00915D2A">
        <w:t xml:space="preserve">In the role as authoriser of requests for </w:t>
      </w:r>
      <w:r w:rsidR="00716977">
        <w:t>Ig</w:t>
      </w:r>
      <w:r w:rsidRPr="00915D2A">
        <w:t xml:space="preserve">, the Blood Service maintains a database of requests, and provides data to the NBA which is used as a basis for reporting on the </w:t>
      </w:r>
      <w:hyperlink r:id="rId36" w:history="1">
        <w:r w:rsidRPr="00915D2A">
          <w:t xml:space="preserve">annual use of </w:t>
        </w:r>
        <w:r w:rsidR="00716977">
          <w:t>Ig</w:t>
        </w:r>
        <w:r w:rsidRPr="00915D2A">
          <w:t xml:space="preserve"> in Australia</w:t>
        </w:r>
      </w:hyperlink>
      <w:r w:rsidRPr="00915D2A">
        <w:t>.</w:t>
      </w:r>
    </w:p>
    <w:p w:rsidR="0025596C" w:rsidRPr="00915D2A" w:rsidRDefault="0025596C" w:rsidP="0025596C">
      <w:pPr>
        <w:pStyle w:val="ListParagraph"/>
        <w:numPr>
          <w:ilvl w:val="0"/>
          <w:numId w:val="10"/>
        </w:numPr>
        <w:ind w:left="567" w:hanging="567"/>
      </w:pPr>
      <w:r>
        <w:t>D</w:t>
      </w:r>
      <w:r w:rsidRPr="00915D2A">
        <w:t>irect order and other supply arrangements</w:t>
      </w:r>
    </w:p>
    <w:p w:rsidR="0025596C" w:rsidRDefault="0025596C" w:rsidP="0025596C">
      <w:r w:rsidRPr="00915D2A">
        <w:t xml:space="preserve">If the </w:t>
      </w:r>
      <w:r w:rsidR="00716977">
        <w:t>Ig</w:t>
      </w:r>
      <w:r w:rsidRPr="00915D2A">
        <w:t xml:space="preserve"> is to treat a medical condition that is not funded under the </w:t>
      </w:r>
      <w:r w:rsidRPr="00BA45F7">
        <w:rPr>
          <w:i/>
        </w:rPr>
        <w:t>Criteria</w:t>
      </w:r>
      <w:r w:rsidRPr="00915D2A">
        <w:t xml:space="preserve">, then the individual state or territory may approve the accessing of product under the </w:t>
      </w:r>
      <w:r>
        <w:t>D</w:t>
      </w:r>
      <w:r w:rsidRPr="00915D2A">
        <w:t>ire</w:t>
      </w:r>
      <w:r>
        <w:t>ct</w:t>
      </w:r>
      <w:r w:rsidRPr="00915D2A">
        <w:t xml:space="preserve"> </w:t>
      </w:r>
      <w:r>
        <w:t>O</w:t>
      </w:r>
      <w:r w:rsidRPr="00915D2A">
        <w:t xml:space="preserve">rder arrangements established by the NBA, or the product may be ordered directly from a commercial supplier of </w:t>
      </w:r>
      <w:r w:rsidR="00716977">
        <w:t>Ig</w:t>
      </w:r>
      <w:r w:rsidRPr="00915D2A">
        <w:t xml:space="preserve">. In this case the supply of the product is not funded under </w:t>
      </w:r>
      <w:r>
        <w:t>national blood arrangements</w:t>
      </w:r>
      <w:r w:rsidRPr="00915D2A">
        <w:t>, and the cost must be met in some other way.</w:t>
      </w:r>
    </w:p>
    <w:p w:rsidR="0025596C" w:rsidRPr="00BF4CC1" w:rsidRDefault="0025596C" w:rsidP="0025596C">
      <w:pPr>
        <w:spacing w:after="0"/>
        <w:rPr>
          <w:b/>
          <w:color w:val="4F81BD" w:themeColor="accent1"/>
        </w:rPr>
      </w:pPr>
      <w:r w:rsidRPr="00BF4CC1">
        <w:rPr>
          <w:b/>
          <w:color w:val="4F81BD" w:themeColor="accent1"/>
        </w:rPr>
        <w:t>History</w:t>
      </w:r>
    </w:p>
    <w:p w:rsidR="0025596C" w:rsidRPr="00012F21" w:rsidRDefault="0025596C" w:rsidP="0025596C">
      <w:r w:rsidRPr="00012F21">
        <w:t xml:space="preserve">In </w:t>
      </w:r>
      <w:r w:rsidRPr="00297376">
        <w:rPr>
          <w:b/>
        </w:rPr>
        <w:t>2003-04</w:t>
      </w:r>
      <w:r w:rsidRPr="00012F21">
        <w:t xml:space="preserve"> the NBA coordinated demand management activities for two products in short supply</w:t>
      </w:r>
      <w:r>
        <w:t xml:space="preserve">; </w:t>
      </w:r>
      <w:r w:rsidRPr="00012F21">
        <w:t xml:space="preserve">Biostate (plasma-derived Factor VIII) and Intragam P (plasma-derived </w:t>
      </w:r>
      <w:r w:rsidR="00716977">
        <w:t>Ig</w:t>
      </w:r>
      <w:r w:rsidRPr="00012F21">
        <w:t>).</w:t>
      </w:r>
      <w:r>
        <w:t xml:space="preserve"> </w:t>
      </w:r>
      <w:r w:rsidRPr="00012F21">
        <w:t xml:space="preserve">At all times, the NBA successfully met the blood and blood product needs of all Australian </w:t>
      </w:r>
      <w:r w:rsidR="00D50CEA">
        <w:t>states and territories</w:t>
      </w:r>
      <w:r w:rsidRPr="00012F21">
        <w:t xml:space="preserve"> through intensive management of the product, via its contracts with the Blood Service and CSL Limited and the importation of substitutable products from overseas. The NBA arranged for an imported product to be purchased to make up for the shortfall, and this product was made available to patients in March 2004.</w:t>
      </w:r>
    </w:p>
    <w:p w:rsidR="0025596C" w:rsidRDefault="0025596C" w:rsidP="0025596C">
      <w:r w:rsidRPr="00297376">
        <w:t xml:space="preserve">In </w:t>
      </w:r>
      <w:r w:rsidRPr="00297376">
        <w:rPr>
          <w:b/>
        </w:rPr>
        <w:t>2004-05</w:t>
      </w:r>
      <w:r w:rsidRPr="00297376">
        <w:t xml:space="preserve"> the NBA successfully negotiated a new Plasma Products Agreement with CSL Limited, which came into effect from 1 January 2005.</w:t>
      </w:r>
    </w:p>
    <w:p w:rsidR="0025596C" w:rsidRDefault="0025596C" w:rsidP="0025596C">
      <w:r w:rsidRPr="00297376">
        <w:t xml:space="preserve">In December 2004 the NBA also signed a Standing Offer contract with CSL Limited (for the supply of Sandoglobulin), as well as with Octapharma Australia Pty Ltd (for the supply of Octagam) for a two-year period in order to allow access to imported </w:t>
      </w:r>
      <w:r w:rsidR="00716977">
        <w:t>Ig</w:t>
      </w:r>
      <w:r w:rsidRPr="00297376">
        <w:t xml:space="preserve"> as a contingency supply if and when needed to supplement shortfalls in the domestic </w:t>
      </w:r>
      <w:r w:rsidR="00716977">
        <w:t>Ig</w:t>
      </w:r>
      <w:r w:rsidRPr="00297376">
        <w:t xml:space="preserve"> supply. The </w:t>
      </w:r>
      <w:r w:rsidR="00716977">
        <w:t>Ig</w:t>
      </w:r>
      <w:r w:rsidRPr="00297376">
        <w:t xml:space="preserve"> Standing Offer comprised two components</w:t>
      </w:r>
      <w:r>
        <w:t xml:space="preserve">, </w:t>
      </w:r>
      <w:r w:rsidRPr="00297376">
        <w:t xml:space="preserve">a National Blood Supply component whereby imported </w:t>
      </w:r>
      <w:r w:rsidR="00716977">
        <w:t>Ig</w:t>
      </w:r>
      <w:r w:rsidRPr="00297376">
        <w:t xml:space="preserve"> </w:t>
      </w:r>
      <w:r>
        <w:t>was</w:t>
      </w:r>
      <w:r w:rsidRPr="00297376">
        <w:t xml:space="preserve"> procured by the NBA for use under the National Blood Agreement (i.e. for those conditions covered under the nationally agreed cost sharing arrangements) and a Jurisdictional Direct Order component which allow</w:t>
      </w:r>
      <w:r>
        <w:t>ed</w:t>
      </w:r>
      <w:r w:rsidRPr="00297376">
        <w:t xml:space="preserve"> approved recipients to access imported </w:t>
      </w:r>
      <w:r w:rsidR="00716977">
        <w:t>Ig</w:t>
      </w:r>
      <w:r w:rsidRPr="00297376">
        <w:t xml:space="preserve"> for all other conditions.</w:t>
      </w:r>
    </w:p>
    <w:p w:rsidR="0025596C" w:rsidRPr="00297376" w:rsidRDefault="0025596C" w:rsidP="0025596C">
      <w:r w:rsidRPr="00297376">
        <w:t xml:space="preserve"> </w:t>
      </w:r>
      <w:r w:rsidR="00716977">
        <w:t>Ig</w:t>
      </w:r>
      <w:r w:rsidRPr="00297376">
        <w:t xml:space="preserve"> had to be intensively managed again in 2004–05 due to ongoing increases in demand and indications for its clinical use for over 60 clinical syndromes and conditions.</w:t>
      </w:r>
    </w:p>
    <w:p w:rsidR="0025596C" w:rsidRPr="00297376" w:rsidRDefault="0025596C" w:rsidP="0025596C">
      <w:r w:rsidRPr="00297376">
        <w:t xml:space="preserve">As part of a strategic solution to the shortage of </w:t>
      </w:r>
      <w:r w:rsidR="00716977">
        <w:t>Ig</w:t>
      </w:r>
      <w:r w:rsidRPr="00297376">
        <w:t xml:space="preserve">, governments purchased imported </w:t>
      </w:r>
      <w:r w:rsidR="00716977">
        <w:t>Ig</w:t>
      </w:r>
      <w:r>
        <w:t xml:space="preserve"> </w:t>
      </w:r>
      <w:r w:rsidRPr="00297376">
        <w:t xml:space="preserve">(Sandoglobulin®) in 2003 and placed it in the National Reserve of Plasma Products. In order to optimise the use of the stocks in the National Reserve, the NBA in conjunction with </w:t>
      </w:r>
      <w:r w:rsidR="00D50CEA">
        <w:t>states and territories</w:t>
      </w:r>
      <w:r w:rsidRPr="00297376">
        <w:t>, the Blood Service and CSL Limited, developed and implemented a plan to rotate the Sandoglobulin® stocks out of the National Reserve. This rotation commenced in October 2004</w:t>
      </w:r>
      <w:r>
        <w:t>.</w:t>
      </w:r>
    </w:p>
    <w:p w:rsidR="0025596C" w:rsidRPr="00297376" w:rsidRDefault="0025596C" w:rsidP="0025596C">
      <w:r w:rsidRPr="00297376">
        <w:t xml:space="preserve">In </w:t>
      </w:r>
      <w:r w:rsidRPr="00297376">
        <w:rPr>
          <w:b/>
        </w:rPr>
        <w:t>2005–06</w:t>
      </w:r>
      <w:r w:rsidRPr="00297376">
        <w:t xml:space="preserve">, the challenges in supply of domestic </w:t>
      </w:r>
      <w:r w:rsidR="00716977">
        <w:t>Ig</w:t>
      </w:r>
      <w:r w:rsidRPr="00297376">
        <w:t xml:space="preserve"> required the NBA to adopt the same intensive product management arrangements as it had in 2004-05</w:t>
      </w:r>
      <w:r>
        <w:t xml:space="preserve"> with the continued rotation of </w:t>
      </w:r>
      <w:r w:rsidRPr="00297376">
        <w:t>Sandoglobulin®.</w:t>
      </w:r>
    </w:p>
    <w:p w:rsidR="0025596C" w:rsidRPr="00297376" w:rsidRDefault="0025596C" w:rsidP="0025596C">
      <w:r w:rsidRPr="00297376">
        <w:t xml:space="preserve">In </w:t>
      </w:r>
      <w:r w:rsidRPr="00297376">
        <w:rPr>
          <w:b/>
        </w:rPr>
        <w:t>2006-07</w:t>
      </w:r>
      <w:r w:rsidRPr="00297376">
        <w:t xml:space="preserve"> in order to ensure </w:t>
      </w:r>
      <w:r w:rsidR="00716977">
        <w:t>Ig</w:t>
      </w:r>
      <w:r w:rsidRPr="00297376">
        <w:t xml:space="preserve"> remain</w:t>
      </w:r>
      <w:r>
        <w:t>ed</w:t>
      </w:r>
      <w:r w:rsidRPr="00297376">
        <w:t xml:space="preserve"> available to all Australians, the </w:t>
      </w:r>
      <w:r>
        <w:t>NBA</w:t>
      </w:r>
      <w:r w:rsidRPr="00297376">
        <w:t xml:space="preserve"> negotiated a further 12-month extension to the </w:t>
      </w:r>
      <w:r w:rsidR="00716977">
        <w:t>Ig</w:t>
      </w:r>
      <w:r>
        <w:t xml:space="preserve"> Standing Offer</w:t>
      </w:r>
      <w:r w:rsidRPr="00297376">
        <w:t xml:space="preserve"> in December 2006. A procurement process for the renewal of the standing offer arrangements commenced in early 2007.</w:t>
      </w:r>
    </w:p>
    <w:p w:rsidR="0025596C" w:rsidRPr="00297376" w:rsidRDefault="0025596C" w:rsidP="0025596C">
      <w:r w:rsidRPr="00297376">
        <w:t xml:space="preserve">Intensive </w:t>
      </w:r>
      <w:r w:rsidR="00AE6168">
        <w:t xml:space="preserve">product </w:t>
      </w:r>
      <w:r w:rsidRPr="00297376">
        <w:t xml:space="preserve">management was successfully undertaken in 2006–07 to avert a number of temporary and longer-term potential shortages, including shortages of </w:t>
      </w:r>
      <w:r w:rsidR="00716977">
        <w:t>Ig</w:t>
      </w:r>
      <w:r w:rsidRPr="00297376">
        <w:t xml:space="preserve"> and plasma-derived Factor VIII.</w:t>
      </w:r>
    </w:p>
    <w:p w:rsidR="0025596C" w:rsidRDefault="0025596C" w:rsidP="0025596C">
      <w:r w:rsidRPr="00297376">
        <w:lastRenderedPageBreak/>
        <w:t xml:space="preserve">In </w:t>
      </w:r>
      <w:r w:rsidRPr="00297376">
        <w:rPr>
          <w:b/>
        </w:rPr>
        <w:t>2007-08</w:t>
      </w:r>
      <w:r w:rsidRPr="00297376">
        <w:t xml:space="preserve"> </w:t>
      </w:r>
      <w:r w:rsidRPr="00507F72">
        <w:t>the NBA commenced a procurement process for new contracts in mid-2007. The outcome of the procurement was the finalisation of a new fixed price contract with Octapharma Australia Pty Ltd for the supply of Octagam for three years under the National Blood Supply arrangement.</w:t>
      </w:r>
      <w:r>
        <w:t xml:space="preserve"> </w:t>
      </w:r>
      <w:r w:rsidRPr="00507F72">
        <w:t xml:space="preserve">Octagam and a CSL Ltd imported product, Sandoglobulin Liquid, </w:t>
      </w:r>
      <w:r>
        <w:t>were</w:t>
      </w:r>
      <w:r w:rsidRPr="00507F72">
        <w:t xml:space="preserve"> also supplied unde</w:t>
      </w:r>
      <w:r>
        <w:t xml:space="preserve">r Direct Order </w:t>
      </w:r>
      <w:r w:rsidRPr="00507F72">
        <w:t>arrangements negotiated by the NBA</w:t>
      </w:r>
      <w:r>
        <w:t>.</w:t>
      </w:r>
    </w:p>
    <w:p w:rsidR="0025596C" w:rsidRDefault="0025596C" w:rsidP="0025596C">
      <w:r w:rsidRPr="009A0433">
        <w:t xml:space="preserve">In </w:t>
      </w:r>
      <w:r w:rsidRPr="009A0433">
        <w:rPr>
          <w:b/>
        </w:rPr>
        <w:t>2008</w:t>
      </w:r>
      <w:r>
        <w:rPr>
          <w:b/>
        </w:rPr>
        <w:t>-</w:t>
      </w:r>
      <w:r w:rsidRPr="009A0433">
        <w:rPr>
          <w:b/>
        </w:rPr>
        <w:t>09</w:t>
      </w:r>
      <w:r w:rsidRPr="009A0433">
        <w:t xml:space="preserve"> the NBA continued imports of intravenous immunoglobulin to </w:t>
      </w:r>
      <w:r w:rsidR="00BA37C4">
        <w:t>be able to</w:t>
      </w:r>
      <w:r w:rsidRPr="009A0433">
        <w:t xml:space="preserve"> meet domestic clinical demand.</w:t>
      </w:r>
    </w:p>
    <w:p w:rsidR="0025596C" w:rsidRDefault="0025596C" w:rsidP="0025596C">
      <w:pPr>
        <w:rPr>
          <w:rFonts w:ascii="Lucida Sans Unicode" w:hAnsi="Lucida Sans Unicode" w:cs="Lucida Sans Unicode"/>
          <w:sz w:val="17"/>
          <w:szCs w:val="17"/>
        </w:rPr>
      </w:pPr>
      <w:r w:rsidRPr="00297376">
        <w:t xml:space="preserve">During </w:t>
      </w:r>
      <w:r w:rsidRPr="00297376">
        <w:rPr>
          <w:b/>
        </w:rPr>
        <w:t>2009–10</w:t>
      </w:r>
      <w:r w:rsidRPr="00297376">
        <w:t xml:space="preserve"> </w:t>
      </w:r>
      <w:r>
        <w:t xml:space="preserve">the </w:t>
      </w:r>
      <w:r w:rsidRPr="00297376">
        <w:t>plasma fractionation arrangements were governed by the five-year Plasma Products Agreement between the NBA and CSL Limited, which expired on 31 December 2009, and a new CSL Australian Fractionation Agreement which took effect on 1 January 2010.</w:t>
      </w:r>
    </w:p>
    <w:p w:rsidR="0025596C" w:rsidRPr="00991681" w:rsidRDefault="0025596C" w:rsidP="0025596C">
      <w:r w:rsidRPr="00991681">
        <w:t xml:space="preserve">The contract with Octapharma Australia Pty Ltd for the supply of Octagam was due to expire on 31 December 2010, with the NBA having an option to extend the contract by one year. </w:t>
      </w:r>
      <w:r>
        <w:t>I</w:t>
      </w:r>
      <w:r w:rsidRPr="00991681">
        <w:t>n May 2010 the NBA moved to exercise the option to extend the current contract with Octapharma Australia Pty Ltd, with improved value for money, for a further 12 months.</w:t>
      </w:r>
    </w:p>
    <w:p w:rsidR="0025596C" w:rsidRDefault="0025596C" w:rsidP="0025596C">
      <w:r w:rsidRPr="00991681">
        <w:t>A contract with CSL Limited for the supply of Sandoglobulin NF (nanofiltration) Liquid under the Direct Order arrangement expired at the end of December 2009.</w:t>
      </w:r>
    </w:p>
    <w:p w:rsidR="0025596C" w:rsidRPr="00297376" w:rsidRDefault="0025596C" w:rsidP="0025596C">
      <w:r>
        <w:t>T</w:t>
      </w:r>
      <w:r w:rsidRPr="00991681">
        <w:t>he NBA entered into a three-year contract with Lateral Grifols Pty Ltd for the supply of Flebogamma 5% DIF (dual inactivation plus nanofiltration) under Direct Orders, which commenced on 1 January 2010.</w:t>
      </w:r>
    </w:p>
    <w:p w:rsidR="0025596C" w:rsidRPr="009A0433" w:rsidRDefault="0025596C" w:rsidP="0025596C">
      <w:r w:rsidRPr="009A0433">
        <w:t xml:space="preserve">During </w:t>
      </w:r>
      <w:r w:rsidRPr="009A0433">
        <w:rPr>
          <w:b/>
        </w:rPr>
        <w:t>2010-11</w:t>
      </w:r>
      <w:r w:rsidRPr="009A0433">
        <w:t xml:space="preserve"> imported intravenous immunoglobulin continued to supplement domestic </w:t>
      </w:r>
      <w:r w:rsidR="00716977">
        <w:t>Ig</w:t>
      </w:r>
      <w:r w:rsidRPr="009A0433">
        <w:t xml:space="preserve"> production to meet clinical demand in Australia. In September 2010, Octapharma issued a nationwide voluntary recall of Octagam due to production concerns.</w:t>
      </w:r>
      <w:r>
        <w:t xml:space="preserve"> </w:t>
      </w:r>
      <w:r w:rsidRPr="009A0433">
        <w:t xml:space="preserve">To enable domestic demand to be met, the NBA invoked relevant clauses that had been included in the contract with Lateral Diagnostics to allow supply of Flebogamma through </w:t>
      </w:r>
      <w:r>
        <w:t>national blood</w:t>
      </w:r>
      <w:r w:rsidRPr="009A0433">
        <w:t xml:space="preserve"> arrangements (in addition to the Direct Orders supply). Lateral Diagnostics, working with the Spanish-based manufacturer of Flebogamma, Grifols S.A., responded rapidly and fully to the NBA’s additional requirements and this arrangement continued for the remainder of the year. The voluntary recall of Octagam was still in place in Australia at 30 June 2011.</w:t>
      </w:r>
    </w:p>
    <w:p w:rsidR="0025596C" w:rsidRPr="004A038F" w:rsidRDefault="0025596C" w:rsidP="0025596C">
      <w:r w:rsidRPr="005A5922">
        <w:t xml:space="preserve">In </w:t>
      </w:r>
      <w:r w:rsidRPr="005A5922">
        <w:rPr>
          <w:b/>
        </w:rPr>
        <w:t>2011-12</w:t>
      </w:r>
      <w:r w:rsidRPr="005A5922">
        <w:t xml:space="preserve"> </w:t>
      </w:r>
      <w:r>
        <w:t>CSL Limited experience</w:t>
      </w:r>
      <w:r w:rsidR="00DB394D">
        <w:t>d</w:t>
      </w:r>
      <w:r>
        <w:t xml:space="preserve"> a decline </w:t>
      </w:r>
      <w:r w:rsidRPr="004A038F">
        <w:t>in its immunoglobulin (IgG) yield</w:t>
      </w:r>
      <w:r>
        <w:t>.</w:t>
      </w:r>
      <w:r w:rsidRPr="004A038F">
        <w:t xml:space="preserve"> As a result of th</w:t>
      </w:r>
      <w:r>
        <w:t>e</w:t>
      </w:r>
      <w:r w:rsidRPr="004A038F">
        <w:t xml:space="preserve"> reduction in yield, and other logistical factors, CSL Limited was unable to supply Intragam P 200ml from its working inventory against the full annual supply estimate amounts. The NBA also gave approval for CSL Limited to access the Minimum Product Inventory and the National CSL Reserve to augment supply. By the end of June 2012 CSL Limited had fully restocked the Minimum Product Inventory and the National CSL Reserve, although the NBA </w:t>
      </w:r>
      <w:r w:rsidRPr="005A5922">
        <w:t>c</w:t>
      </w:r>
      <w:r w:rsidRPr="004A038F">
        <w:t>ontinue</w:t>
      </w:r>
      <w:r w:rsidRPr="005A5922">
        <w:t>d</w:t>
      </w:r>
      <w:r w:rsidRPr="004A038F">
        <w:t xml:space="preserve"> to carefully manage the planned supply of Intragam P in 2012-13.</w:t>
      </w:r>
    </w:p>
    <w:p w:rsidR="0025596C" w:rsidRPr="005A5922" w:rsidRDefault="0025596C" w:rsidP="0025596C">
      <w:r w:rsidRPr="005A5922">
        <w:t xml:space="preserve">The </w:t>
      </w:r>
      <w:r>
        <w:t>Therapeutic Goods Administration (TGA), Australia’s national regulator for drugs and regulatory devices,</w:t>
      </w:r>
      <w:r w:rsidRPr="005A5922">
        <w:t xml:space="preserve"> approved the re-introduction of Octagam 5</w:t>
      </w:r>
      <w:r>
        <w:t>%</w:t>
      </w:r>
      <w:r w:rsidRPr="005A5922">
        <w:t xml:space="preserve"> in October 2011 following the voluntary recall of product in September 2010</w:t>
      </w:r>
      <w:r>
        <w:t>.</w:t>
      </w:r>
      <w:r w:rsidRPr="005A5922">
        <w:t xml:space="preserve"> The NBA worked with the Blood Service, Octapharma Australia Pty Ltd and Grifols Australia Pty Ltd to manage the transition of patients from Flebogamma 5 </w:t>
      </w:r>
      <w:r>
        <w:t>%</w:t>
      </w:r>
      <w:r w:rsidRPr="005A5922">
        <w:t xml:space="preserve"> DIF under the national supply arrangements; this was achieved by March 2012.</w:t>
      </w:r>
    </w:p>
    <w:p w:rsidR="0025596C" w:rsidRDefault="0025596C" w:rsidP="0025596C">
      <w:r w:rsidRPr="005A5922">
        <w:t xml:space="preserve">In October 2011 the NBA signed contracts for the supply of imported </w:t>
      </w:r>
      <w:r w:rsidR="00716977">
        <w:t>Ig</w:t>
      </w:r>
      <w:r>
        <w:t xml:space="preserve"> with</w:t>
      </w:r>
      <w:r w:rsidRPr="005A5922">
        <w:t xml:space="preserve"> Octapharma Australia Pty Ltd for the supply of Octagam 5</w:t>
      </w:r>
      <w:r>
        <w:t>%</w:t>
      </w:r>
      <w:r w:rsidRPr="005A5922">
        <w:t xml:space="preserve">. </w:t>
      </w:r>
      <w:r>
        <w:t>The</w:t>
      </w:r>
      <w:r w:rsidRPr="005A5922">
        <w:t xml:space="preserve"> new contract took effect on 1 January 2012. A 10</w:t>
      </w:r>
      <w:r>
        <w:t>%</w:t>
      </w:r>
      <w:r w:rsidRPr="005A5922">
        <w:t xml:space="preserve"> formulation of this product became available in July 2012</w:t>
      </w:r>
      <w:r>
        <w:t xml:space="preserve">; </w:t>
      </w:r>
      <w:r w:rsidRPr="005A5922">
        <w:t xml:space="preserve">Baxter Healthcare Pty Ltd for the supply of Kiovig 10 </w:t>
      </w:r>
      <w:r w:rsidR="004B4722">
        <w:t>%</w:t>
      </w:r>
      <w:r w:rsidRPr="005A5922">
        <w:t xml:space="preserve"> from 1 January 2012 </w:t>
      </w:r>
      <w:r>
        <w:t xml:space="preserve">and with </w:t>
      </w:r>
      <w:r w:rsidRPr="005A5922">
        <w:t>Grifols Australia Pty Ltd for a direct order contract operating until 31 December 2012 for the supply of Flebogamma 5</w:t>
      </w:r>
      <w:r w:rsidR="004B4722">
        <w:t>%</w:t>
      </w:r>
      <w:r w:rsidR="00BB4B49">
        <w:t xml:space="preserve"> </w:t>
      </w:r>
      <w:r w:rsidRPr="005A5922">
        <w:t>DIF. A new direct order contract for continued supply of Flebogamma 5</w:t>
      </w:r>
      <w:r w:rsidR="00B550EA">
        <w:t>%</w:t>
      </w:r>
      <w:r w:rsidR="00BB4B49">
        <w:t xml:space="preserve"> </w:t>
      </w:r>
      <w:r>
        <w:t>commenced on 1 January 2012.</w:t>
      </w:r>
    </w:p>
    <w:p w:rsidR="00DB394D" w:rsidRDefault="00DB394D" w:rsidP="00DB394D">
      <w:r w:rsidRPr="00DB394D">
        <w:lastRenderedPageBreak/>
        <w:t xml:space="preserve">In </w:t>
      </w:r>
      <w:r w:rsidRPr="00DB394D">
        <w:rPr>
          <w:b/>
        </w:rPr>
        <w:t>2012-13</w:t>
      </w:r>
      <w:r w:rsidRPr="00DB394D">
        <w:t xml:space="preserve"> </w:t>
      </w:r>
      <w:r>
        <w:t>t</w:t>
      </w:r>
      <w:r w:rsidRPr="00DB394D">
        <w:t xml:space="preserve">wo contracts </w:t>
      </w:r>
      <w:r w:rsidR="005C4775">
        <w:t>were</w:t>
      </w:r>
      <w:r w:rsidRPr="00DB394D">
        <w:t xml:space="preserve"> place for supply of imported </w:t>
      </w:r>
      <w:r w:rsidR="00716977">
        <w:t>Ig</w:t>
      </w:r>
      <w:r w:rsidRPr="00DB394D">
        <w:t xml:space="preserve"> under the national blood arrangements. The contracts commenced on 1 January 2012 for a period of three years and have provision for a one year extension. The suppliers are Baxter Healthcare Pty Ltd and Octapharma Australia Pty Ltd.</w:t>
      </w:r>
      <w:r>
        <w:t xml:space="preserve"> </w:t>
      </w:r>
    </w:p>
    <w:p w:rsidR="00DB394D" w:rsidRPr="00DB394D" w:rsidRDefault="00DB394D" w:rsidP="00DB394D">
      <w:r w:rsidRPr="00DB394D">
        <w:t xml:space="preserve">The NBA, on behalf of all Australian governments, completed a review of the adequacy of the current </w:t>
      </w:r>
      <w:r w:rsidR="00716977">
        <w:t>Ig</w:t>
      </w:r>
      <w:r w:rsidRPr="00DB394D">
        <w:t xml:space="preserve"> authorisation and clinical governance arrangements. The aim of the review was to identify options for improvements in the management of </w:t>
      </w:r>
      <w:r w:rsidR="00716977">
        <w:t>Ig</w:t>
      </w:r>
      <w:r w:rsidRPr="00DB394D">
        <w:t xml:space="preserve">. The review also analysed the issues, benefits and risks of potentially including NIg and subcutaneous immunoglobulin (SCIg) in the </w:t>
      </w:r>
      <w:r w:rsidR="00716977">
        <w:t>Ig</w:t>
      </w:r>
      <w:r w:rsidRPr="00DB394D">
        <w:t xml:space="preserve"> management framework.</w:t>
      </w:r>
    </w:p>
    <w:p w:rsidR="00DB394D" w:rsidRPr="00DB394D" w:rsidRDefault="00DB394D" w:rsidP="00DB394D">
      <w:r w:rsidRPr="00DB394D">
        <w:t xml:space="preserve">The review identified that there are significant variations in </w:t>
      </w:r>
      <w:r w:rsidR="00716977">
        <w:t>Ig</w:t>
      </w:r>
      <w:r w:rsidRPr="00DB394D">
        <w:t xml:space="preserve"> management processes nationally, with process inefficiencies, under investment in integrated data systems and limited evidence of alternative therapies being considered before prescription. It also found variation in dosing, high prescription rates in some conditions compared to international rates of use, limited transparency of price implications and no accountability for cost with the prescriber.</w:t>
      </w:r>
    </w:p>
    <w:p w:rsidR="00DB394D" w:rsidRPr="00DB394D" w:rsidRDefault="00DB394D" w:rsidP="00DB394D">
      <w:r w:rsidRPr="00DB394D">
        <w:t>In March 2013, the J</w:t>
      </w:r>
      <w:r w:rsidR="006F525A">
        <w:t xml:space="preserve">urisdictional </w:t>
      </w:r>
      <w:r w:rsidRPr="00DB394D">
        <w:t>B</w:t>
      </w:r>
      <w:r w:rsidR="006F525A">
        <w:t xml:space="preserve">lood </w:t>
      </w:r>
      <w:r w:rsidRPr="00DB394D">
        <w:t>C</w:t>
      </w:r>
      <w:r w:rsidR="006F525A">
        <w:t>ommittee (JBC)</w:t>
      </w:r>
      <w:r w:rsidRPr="00DB394D">
        <w:t xml:space="preserve"> considered the final report of the review and endorsed the NBA commencing work to implement five short term improvement projects recommended by the review. The five projects are to:</w:t>
      </w:r>
    </w:p>
    <w:p w:rsidR="00DB394D" w:rsidRPr="00DB394D" w:rsidRDefault="00DB394D" w:rsidP="00DB394D">
      <w:pPr>
        <w:pStyle w:val="ListParagraph"/>
        <w:numPr>
          <w:ilvl w:val="0"/>
          <w:numId w:val="16"/>
        </w:numPr>
      </w:pPr>
      <w:r w:rsidRPr="00DB394D">
        <w:t xml:space="preserve">describe the functional model for the current authorisation and clinical governance arrangements, and formally allocate responsibility in each jurisdiction </w:t>
      </w:r>
    </w:p>
    <w:p w:rsidR="00DB394D" w:rsidRPr="00DB394D" w:rsidRDefault="00DB394D" w:rsidP="00DB394D">
      <w:pPr>
        <w:pStyle w:val="ListParagraph"/>
        <w:numPr>
          <w:ilvl w:val="0"/>
          <w:numId w:val="16"/>
        </w:numPr>
      </w:pPr>
      <w:r w:rsidRPr="00DB394D">
        <w:t xml:space="preserve">introduce new management processes to include NIg and SCIg in the </w:t>
      </w:r>
      <w:r w:rsidR="00716977">
        <w:t>Ig</w:t>
      </w:r>
      <w:r w:rsidRPr="00DB394D">
        <w:t xml:space="preserve"> authorisation process </w:t>
      </w:r>
    </w:p>
    <w:p w:rsidR="00DB394D" w:rsidRPr="00DB394D" w:rsidRDefault="00DB394D" w:rsidP="00DB394D">
      <w:pPr>
        <w:pStyle w:val="ListParagraph"/>
        <w:numPr>
          <w:ilvl w:val="0"/>
          <w:numId w:val="16"/>
        </w:numPr>
      </w:pPr>
      <w:r w:rsidRPr="00DB394D">
        <w:t xml:space="preserve">improve patient information to ensure patients are aware of the Criteria requirements for eligibility and ongoing therapy </w:t>
      </w:r>
    </w:p>
    <w:p w:rsidR="00DB394D" w:rsidRPr="00DB394D" w:rsidRDefault="00DB394D" w:rsidP="00DB394D">
      <w:pPr>
        <w:pStyle w:val="ListParagraph"/>
        <w:numPr>
          <w:ilvl w:val="0"/>
          <w:numId w:val="16"/>
        </w:numPr>
      </w:pPr>
      <w:r w:rsidRPr="00DB394D">
        <w:t xml:space="preserve">centralise hospital ordering and product management at the blood bank or pharmacy for improved management, and define when and how emergency stock should be managed </w:t>
      </w:r>
    </w:p>
    <w:p w:rsidR="00DB394D" w:rsidRPr="00DB394D" w:rsidRDefault="00DB394D" w:rsidP="00DB394D">
      <w:pPr>
        <w:pStyle w:val="ListParagraph"/>
        <w:numPr>
          <w:ilvl w:val="0"/>
          <w:numId w:val="16"/>
        </w:numPr>
      </w:pPr>
      <w:r w:rsidRPr="00DB394D">
        <w:t xml:space="preserve">define and deliver a package of information concerning current </w:t>
      </w:r>
      <w:r w:rsidR="00716977">
        <w:t>Ig</w:t>
      </w:r>
      <w:r w:rsidRPr="00DB394D">
        <w:t xml:space="preserve"> products and arrangements, particularly for junior medical and nursing staff. </w:t>
      </w:r>
    </w:p>
    <w:p w:rsidR="00DB394D" w:rsidRPr="00DB394D" w:rsidRDefault="00DB394D" w:rsidP="00DB394D">
      <w:r w:rsidRPr="00DB394D">
        <w:t>Key longer term strategic projects recommended by the review will be considered in 2013-14 for establishing an improved framework for strengthening the clinical governance and authorisation of immunoglobulin in Australia.</w:t>
      </w:r>
    </w:p>
    <w:p w:rsidR="00DB394D" w:rsidRPr="00DB394D" w:rsidRDefault="00DB394D" w:rsidP="00DB394D">
      <w:r w:rsidRPr="00DB394D">
        <w:t>In March 2013, the JBC approved the introduction of SCIg under the national blood arrangements. The first phase of implementation will be through hospital-based management arrangements, with no additional cost to patients, and further work will be undertaken to support supply of SCIg for other pathways of care. Supply of SCIg commence</w:t>
      </w:r>
      <w:r w:rsidR="001631DE">
        <w:t>d</w:t>
      </w:r>
      <w:r w:rsidRPr="00DB394D">
        <w:t xml:space="preserve"> in September 2013, including both domestically manufactured and imported SCIg products.</w:t>
      </w:r>
    </w:p>
    <w:p w:rsidR="00BE5985" w:rsidRPr="00BE5985" w:rsidRDefault="00147328" w:rsidP="00BE5985">
      <w:r w:rsidRPr="00DB394D">
        <w:t xml:space="preserve">In </w:t>
      </w:r>
      <w:r w:rsidRPr="00BE5985">
        <w:t xml:space="preserve">2013-14 </w:t>
      </w:r>
      <w:r w:rsidR="00BE5985" w:rsidRPr="00BE5985">
        <w:t>the NBA established arrangements for supply of the following SCIg products:</w:t>
      </w:r>
    </w:p>
    <w:p w:rsidR="00BE5985" w:rsidRPr="00BE5985" w:rsidRDefault="00BE5985" w:rsidP="00BE5985">
      <w:pPr>
        <w:pStyle w:val="ListParagraph"/>
        <w:numPr>
          <w:ilvl w:val="0"/>
          <w:numId w:val="19"/>
        </w:numPr>
      </w:pPr>
      <w:r w:rsidRPr="00BE5985">
        <w:t xml:space="preserve">Evogam 16% vial size 0.8g/5ml and 3.2g/20ml supplied by CSL Behring (Australia) Pty Ltd (domestic) </w:t>
      </w:r>
    </w:p>
    <w:p w:rsidR="00BE5985" w:rsidRPr="00BE5985" w:rsidRDefault="00BE5985" w:rsidP="00BE5985">
      <w:pPr>
        <w:pStyle w:val="ListParagraph"/>
        <w:numPr>
          <w:ilvl w:val="0"/>
          <w:numId w:val="19"/>
        </w:numPr>
      </w:pPr>
      <w:r w:rsidRPr="00BE5985">
        <w:t xml:space="preserve">Gammanorm 16% 1650mg/10ml and 3300mg/20ml supplied by Octapharma Australia Pty Ltd (imported) </w:t>
      </w:r>
    </w:p>
    <w:p w:rsidR="00BE5985" w:rsidRPr="00BE5985" w:rsidRDefault="00BE5985" w:rsidP="00BE5985">
      <w:pPr>
        <w:pStyle w:val="ListParagraph"/>
        <w:numPr>
          <w:ilvl w:val="0"/>
          <w:numId w:val="19"/>
        </w:numPr>
      </w:pPr>
      <w:r w:rsidRPr="00BE5985">
        <w:t xml:space="preserve">Kiovig 10% 1g/10ml, 2.5g/25ml, 5gm/50ml, 10g/100ml and 20g/200ml supplied by Baxter Healthcare (imported) </w:t>
      </w:r>
    </w:p>
    <w:p w:rsidR="00DB394D" w:rsidRDefault="00DB394D" w:rsidP="0025596C"/>
    <w:p w:rsidR="000E1B2A" w:rsidRDefault="000E1B2A" w:rsidP="000E1B2A">
      <w:pPr>
        <w:pStyle w:val="Heading1"/>
      </w:pPr>
      <w:bookmarkStart w:id="171" w:name="_Ref384558524"/>
      <w:bookmarkStart w:id="172" w:name="_Toc456267426"/>
      <w:r>
        <w:lastRenderedPageBreak/>
        <w:t xml:space="preserve">Appendix </w:t>
      </w:r>
      <w:r w:rsidR="0025596C">
        <w:t>B</w:t>
      </w:r>
      <w:r>
        <w:t xml:space="preserve"> – Acronyms and Glossary</w:t>
      </w:r>
      <w:bookmarkEnd w:id="163"/>
      <w:bookmarkEnd w:id="164"/>
      <w:bookmarkEnd w:id="165"/>
      <w:bookmarkEnd w:id="166"/>
      <w:bookmarkEnd w:id="167"/>
      <w:bookmarkEnd w:id="168"/>
      <w:bookmarkEnd w:id="169"/>
      <w:bookmarkEnd w:id="171"/>
      <w:bookmarkEnd w:id="172"/>
    </w:p>
    <w:p w:rsidR="000E1B2A" w:rsidRDefault="000E1B2A" w:rsidP="000E1B2A">
      <w:pPr>
        <w:pStyle w:val="Heading2"/>
      </w:pPr>
      <w:bookmarkStart w:id="173" w:name="_Toc351111363"/>
      <w:bookmarkStart w:id="174" w:name="_Toc359234403"/>
      <w:bookmarkStart w:id="175" w:name="_Toc361570450"/>
      <w:bookmarkStart w:id="176" w:name="_Toc364776962"/>
      <w:bookmarkStart w:id="177" w:name="_Toc456267427"/>
      <w:r>
        <w:t>Acronyms</w:t>
      </w:r>
      <w:bookmarkEnd w:id="173"/>
      <w:bookmarkEnd w:id="174"/>
      <w:bookmarkEnd w:id="175"/>
      <w:bookmarkEnd w:id="176"/>
      <w:bookmarkEnd w:id="177"/>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ACT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AHMAC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AHMC </w:t>
            </w:r>
          </w:p>
        </w:tc>
        <w:tc>
          <w:tcPr>
            <w:tcW w:w="6804" w:type="dxa"/>
            <w:tcBorders>
              <w:top w:val="nil"/>
              <w:left w:val="nil"/>
              <w:bottom w:val="nil"/>
              <w:right w:val="nil"/>
            </w:tcBorders>
            <w:shd w:val="clear" w:color="auto" w:fill="auto"/>
            <w:noWrap/>
            <w:vAlign w:val="center"/>
          </w:tcPr>
          <w:p w:rsidR="001D3923" w:rsidRPr="00946110" w:rsidRDefault="0024311D" w:rsidP="001D3923">
            <w:pPr>
              <w:spacing w:after="0"/>
              <w:rPr>
                <w:rFonts w:eastAsia="Times New Roman"/>
                <w:color w:val="000000"/>
                <w:lang w:eastAsia="en-AU"/>
              </w:rPr>
            </w:pPr>
            <w:r w:rsidRPr="00946110">
              <w:rPr>
                <w:rFonts w:eastAsia="Times New Roman"/>
                <w:color w:val="000000"/>
                <w:lang w:eastAsia="en-AU"/>
              </w:rPr>
              <w:t>See SCoH</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AHP </w:t>
            </w:r>
          </w:p>
        </w:tc>
        <w:tc>
          <w:tcPr>
            <w:tcW w:w="6804" w:type="dxa"/>
            <w:tcBorders>
              <w:top w:val="nil"/>
              <w:left w:val="nil"/>
              <w:bottom w:val="nil"/>
              <w:right w:val="nil"/>
            </w:tcBorders>
            <w:shd w:val="clear" w:color="auto" w:fill="auto"/>
            <w:noWrap/>
            <w:vAlign w:val="center"/>
          </w:tcPr>
          <w:p w:rsidR="001D3923" w:rsidRPr="00946110" w:rsidRDefault="001D3923" w:rsidP="0024311D">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roviders</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2A066B" w:rsidP="0024311D">
            <w:pPr>
              <w:spacing w:after="0"/>
              <w:rPr>
                <w:rFonts w:eastAsia="Times New Roman"/>
                <w:color w:val="000000"/>
                <w:lang w:eastAsia="en-AU"/>
              </w:rPr>
            </w:pPr>
            <w:hyperlink r:id="rId37"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DE379B" w:rsidRPr="00946110">
        <w:trPr>
          <w:trHeight w:val="300"/>
        </w:trPr>
        <w:tc>
          <w:tcPr>
            <w:tcW w:w="2425" w:type="dxa"/>
            <w:tcBorders>
              <w:top w:val="nil"/>
              <w:left w:val="nil"/>
              <w:bottom w:val="nil"/>
              <w:right w:val="nil"/>
            </w:tcBorders>
            <w:shd w:val="clear" w:color="auto" w:fill="auto"/>
            <w:noWrap/>
            <w:vAlign w:val="center"/>
          </w:tcPr>
          <w:p w:rsidR="00DE379B" w:rsidRDefault="00DE379B" w:rsidP="001D3923">
            <w:pPr>
              <w:spacing w:after="0"/>
              <w:rPr>
                <w:rFonts w:eastAsia="Times New Roman"/>
                <w:color w:val="000000"/>
                <w:lang w:eastAsia="en-AU"/>
              </w:rPr>
            </w:pPr>
            <w:r>
              <w:rPr>
                <w:rFonts w:eastAsia="Times New Roman"/>
                <w:color w:val="000000"/>
                <w:lang w:eastAsia="en-AU"/>
              </w:rPr>
              <w:t>AUS</w:t>
            </w:r>
          </w:p>
        </w:tc>
        <w:tc>
          <w:tcPr>
            <w:tcW w:w="6804" w:type="dxa"/>
            <w:tcBorders>
              <w:top w:val="nil"/>
              <w:left w:val="nil"/>
              <w:bottom w:val="nil"/>
              <w:right w:val="nil"/>
            </w:tcBorders>
            <w:shd w:val="clear" w:color="auto" w:fill="auto"/>
            <w:noWrap/>
            <w:vAlign w:val="center"/>
          </w:tcPr>
          <w:p w:rsidR="00DE379B" w:rsidRDefault="00DE379B" w:rsidP="0024311D">
            <w:pPr>
              <w:spacing w:after="0"/>
              <w:rPr>
                <w:rFonts w:eastAsia="Times New Roman"/>
                <w:color w:val="000000"/>
                <w:lang w:eastAsia="en-AU"/>
              </w:rPr>
            </w:pPr>
            <w:r>
              <w:rPr>
                <w:rFonts w:eastAsia="Times New Roman"/>
                <w:color w:val="000000"/>
                <w:lang w:eastAsia="en-AU"/>
              </w:rPr>
              <w:t>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E56DCA" w:rsidRDefault="00E56DCA" w:rsidP="001D3923">
            <w:pPr>
              <w:spacing w:after="0"/>
              <w:rPr>
                <w:rFonts w:eastAsia="Times New Roman"/>
                <w:color w:val="000000"/>
                <w:lang w:eastAsia="en-AU"/>
              </w:rPr>
            </w:pPr>
            <w:r>
              <w:rPr>
                <w:rFonts w:eastAsia="Times New Roman"/>
                <w:color w:val="000000"/>
                <w:lang w:eastAsia="en-AU"/>
              </w:rPr>
              <w:t>DO</w:t>
            </w:r>
          </w:p>
          <w:p w:rsidR="00147328" w:rsidRPr="001D3923" w:rsidRDefault="00147328" w:rsidP="001D3923">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E56DCA" w:rsidRDefault="00E56DCA" w:rsidP="0024311D">
            <w:pPr>
              <w:spacing w:after="0"/>
              <w:rPr>
                <w:rFonts w:eastAsia="Times New Roman"/>
                <w:color w:val="000000"/>
                <w:lang w:eastAsia="en-AU"/>
              </w:rPr>
            </w:pPr>
            <w:r>
              <w:rPr>
                <w:rFonts w:eastAsia="Times New Roman"/>
                <w:color w:val="000000"/>
                <w:lang w:eastAsia="en-AU"/>
              </w:rPr>
              <w:t>Direct Order</w:t>
            </w:r>
          </w:p>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Human immunodeficiency virus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Default="00147328"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IDMS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47328">
            <w:pPr>
              <w:spacing w:after="0"/>
              <w:rPr>
                <w:rFonts w:eastAsia="Times New Roman"/>
                <w:color w:val="000000"/>
                <w:lang w:eastAsia="en-AU"/>
              </w:rPr>
            </w:pPr>
            <w:r>
              <w:rPr>
                <w:rFonts w:eastAsia="Times New Roman"/>
                <w:color w:val="000000"/>
                <w:lang w:eastAsia="en-AU"/>
              </w:rPr>
              <w:t>Ig</w:t>
            </w:r>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47328" w:rsidRPr="00946110" w:rsidRDefault="00147328" w:rsidP="0014732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Idiopathic thrombocytopenic purpura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Intravenous immunoglobulin</w:t>
            </w:r>
          </w:p>
        </w:tc>
      </w:tr>
      <w:tr w:rsidR="00147328" w:rsidRPr="00946110">
        <w:trPr>
          <w:trHeight w:val="300"/>
        </w:trPr>
        <w:tc>
          <w:tcPr>
            <w:tcW w:w="2425"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JBC</w:t>
            </w:r>
          </w:p>
          <w:p w:rsidR="00E56DCA" w:rsidRDefault="00E56DCA" w:rsidP="001D3923">
            <w:pPr>
              <w:spacing w:after="0"/>
              <w:rPr>
                <w:rFonts w:eastAsia="Times New Roman"/>
                <w:color w:val="000000"/>
                <w:lang w:eastAsia="en-AU"/>
              </w:rPr>
            </w:pPr>
            <w:r>
              <w:rPr>
                <w:rFonts w:eastAsia="Times New Roman"/>
                <w:color w:val="000000"/>
                <w:lang w:eastAsia="en-AU"/>
              </w:rPr>
              <w:t>JDO</w:t>
            </w:r>
          </w:p>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NBA </w:t>
            </w:r>
          </w:p>
        </w:tc>
        <w:tc>
          <w:tcPr>
            <w:tcW w:w="6804"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Jurisdictional Blood Committee</w:t>
            </w:r>
          </w:p>
          <w:p w:rsidR="00E56DCA" w:rsidRDefault="00E56DCA" w:rsidP="001D3923">
            <w:pPr>
              <w:spacing w:after="0"/>
              <w:rPr>
                <w:rFonts w:eastAsia="Times New Roman"/>
                <w:color w:val="000000"/>
                <w:lang w:eastAsia="en-AU"/>
              </w:rPr>
            </w:pPr>
            <w:r>
              <w:rPr>
                <w:rFonts w:eastAsia="Times New Roman"/>
                <w:color w:val="000000"/>
                <w:lang w:eastAsia="en-AU"/>
              </w:rPr>
              <w:t>Jurisdictional Direct Order</w:t>
            </w:r>
          </w:p>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NIg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Normal immunoglobulin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New South Wales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NT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Northern Territory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147328" w:rsidRPr="00946110" w:rsidRDefault="00147328"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QLD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Queensland</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SA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South 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SCIg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FB258E" w:rsidRPr="00946110">
        <w:trPr>
          <w:trHeight w:val="300"/>
        </w:trPr>
        <w:tc>
          <w:tcPr>
            <w:tcW w:w="2425"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SCoH</w:t>
            </w:r>
          </w:p>
          <w:p w:rsidR="00FB258E" w:rsidRPr="001D3923" w:rsidRDefault="00FB258E"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0F1D59" w:rsidRDefault="000F1D59" w:rsidP="001D3923">
            <w:pPr>
              <w:spacing w:after="0"/>
            </w:pPr>
            <w:r>
              <w:t>Standing Council of Health</w:t>
            </w:r>
          </w:p>
          <w:p w:rsidR="00FB258E" w:rsidRPr="00946110" w:rsidRDefault="00FB258E" w:rsidP="001D3923">
            <w:pPr>
              <w:spacing w:after="0"/>
              <w:rPr>
                <w:rFonts w:eastAsia="Times New Roman"/>
                <w:color w:val="000000"/>
                <w:lang w:eastAsia="en-AU"/>
              </w:rPr>
            </w:pPr>
            <w:r w:rsidRPr="003D06BA">
              <w:t>Supply Tracking Analysis Recording System</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TAS </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Tasmania</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TGA </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Toxic shock syndrome</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Victoria</w:t>
            </w:r>
          </w:p>
        </w:tc>
      </w:tr>
      <w:tr w:rsidR="00FB258E" w:rsidRPr="00946110" w:rsidTr="001F7D15">
        <w:trPr>
          <w:trHeight w:val="300"/>
        </w:trPr>
        <w:tc>
          <w:tcPr>
            <w:tcW w:w="2425" w:type="dxa"/>
            <w:tcBorders>
              <w:top w:val="nil"/>
              <w:left w:val="nil"/>
              <w:bottom w:val="nil"/>
              <w:right w:val="nil"/>
            </w:tcBorders>
            <w:shd w:val="clear" w:color="auto" w:fill="auto"/>
            <w:noWrap/>
            <w:vAlign w:val="bottom"/>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WA </w:t>
            </w:r>
          </w:p>
        </w:tc>
        <w:tc>
          <w:tcPr>
            <w:tcW w:w="6804" w:type="dxa"/>
            <w:tcBorders>
              <w:top w:val="nil"/>
              <w:left w:val="nil"/>
              <w:bottom w:val="nil"/>
              <w:right w:val="nil"/>
            </w:tcBorders>
            <w:shd w:val="clear" w:color="auto" w:fill="auto"/>
            <w:noWrap/>
            <w:vAlign w:val="bottom"/>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7304B1" w:rsidRDefault="000E1B2A" w:rsidP="000E1B2A"/>
    <w:p w:rsidR="000E1B2A" w:rsidRDefault="000E1B2A" w:rsidP="000E1B2A">
      <w:pPr>
        <w:spacing w:after="0"/>
        <w:rPr>
          <w:rFonts w:ascii="Arial" w:hAnsi="Arial" w:cs="Arial"/>
          <w:caps/>
          <w:sz w:val="32"/>
          <w:szCs w:val="32"/>
        </w:rPr>
      </w:pPr>
      <w:bookmarkStart w:id="178" w:name="_Toc351111364"/>
      <w:bookmarkStart w:id="179" w:name="_Toc359234404"/>
      <w:bookmarkStart w:id="180" w:name="_Toc361570451"/>
      <w:r>
        <w:br w:type="page"/>
      </w:r>
    </w:p>
    <w:p w:rsidR="000E1B2A" w:rsidRDefault="000E1B2A" w:rsidP="000E1B2A">
      <w:pPr>
        <w:pStyle w:val="Heading2"/>
      </w:pPr>
      <w:bookmarkStart w:id="181" w:name="_Toc364776963"/>
      <w:bookmarkStart w:id="182" w:name="_Toc456267428"/>
      <w:r>
        <w:lastRenderedPageBreak/>
        <w:t>Glossary of terms</w:t>
      </w:r>
      <w:bookmarkEnd w:id="178"/>
      <w:bookmarkEnd w:id="179"/>
      <w:bookmarkEnd w:id="180"/>
      <w:bookmarkEnd w:id="181"/>
      <w:bookmarkEnd w:id="182"/>
    </w:p>
    <w:p w:rsidR="00747F48" w:rsidRPr="00747F48" w:rsidRDefault="00747F48" w:rsidP="00747F48"/>
    <w:tbl>
      <w:tblPr>
        <w:tblStyle w:val="LightList-Accent23"/>
        <w:tblW w:w="0" w:type="auto"/>
        <w:tblLook w:val="04A0" w:firstRow="1" w:lastRow="0" w:firstColumn="1" w:lastColumn="0" w:noHBand="0" w:noVBand="1"/>
      </w:tblPr>
      <w:tblGrid>
        <w:gridCol w:w="2654"/>
        <w:gridCol w:w="6781"/>
      </w:tblGrid>
      <w:tr w:rsidR="000E1B2A" w:rsidRPr="00DB3ADC" w:rsidTr="009C49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tcMar>
              <w:top w:w="57" w:type="dxa"/>
              <w:bottom w:w="57" w:type="dxa"/>
            </w:tcMar>
          </w:tcPr>
          <w:p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0E1B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Products manufactured from donated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8C0886"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8C0886" w:rsidRPr="00DB3ADC" w:rsidRDefault="008C0886" w:rsidP="008172DE">
            <w:pPr>
              <w:rPr>
                <w:rFonts w:asciiTheme="minorHAnsi" w:hAnsiTheme="minorHAnsi" w:cstheme="minorHAnsi"/>
              </w:rPr>
            </w:pPr>
            <w:r>
              <w:rPr>
                <w:rFonts w:asciiTheme="minorHAnsi" w:hAnsiTheme="minorHAnsi" w:cstheme="minorHAnsi"/>
              </w:rPr>
              <w:t>Clinical Discipline</w:t>
            </w:r>
          </w:p>
        </w:tc>
        <w:tc>
          <w:tcPr>
            <w:tcW w:w="6781" w:type="dxa"/>
            <w:tcMar>
              <w:top w:w="57" w:type="dxa"/>
              <w:bottom w:w="57" w:type="dxa"/>
            </w:tcMar>
          </w:tcPr>
          <w:p w:rsidR="008C0886" w:rsidRPr="00DB3ADC" w:rsidRDefault="00D53729" w:rsidP="00DB39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Classification of the </w:t>
            </w:r>
            <w:r w:rsidR="00DB394D">
              <w:rPr>
                <w:rFonts w:asciiTheme="minorHAnsi" w:hAnsiTheme="minorHAnsi" w:cstheme="minorHAnsi"/>
              </w:rPr>
              <w:t>conditions</w:t>
            </w:r>
            <w:r>
              <w:rPr>
                <w:rFonts w:asciiTheme="minorHAnsi" w:hAnsiTheme="minorHAnsi" w:cstheme="minorHAnsi"/>
              </w:rPr>
              <w:t xml:space="preserve"> according to the clinical discipline</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E1B2A" w:rsidRPr="0062533E" w:rsidRDefault="007B745A" w:rsidP="00A7301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Specific diagnoses within a diagnostic group. Also known as the primary diagnosis</w:t>
            </w:r>
            <w:r w:rsidR="00551611">
              <w:t>.</w:t>
            </w:r>
            <w:r w:rsidR="0062533E">
              <w:t xml:space="preserve"> In some instances the diagnostic group may be the same as the condition,</w:t>
            </w:r>
            <w:r w:rsidR="00551611">
              <w:t xml:space="preserve"> For example – Myasthenia gravis is the condition</w:t>
            </w:r>
            <w:r w:rsidR="00A73015">
              <w:t xml:space="preserve"> and Diagnostic Group.</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2030BB">
            <w:pPr>
              <w:rPr>
                <w:rFonts w:asciiTheme="minorHAnsi" w:hAnsiTheme="minorHAnsi" w:cstheme="minorHAnsi"/>
                <w:i/>
              </w:rPr>
            </w:pPr>
            <w:r w:rsidRPr="009D71C0">
              <w:rPr>
                <w:rFonts w:asciiTheme="minorHAnsi" w:hAnsiTheme="minorHAnsi" w:cstheme="minorHAnsi"/>
                <w:i/>
              </w:rPr>
              <w:t>Criteria for the clinical use of intravenous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document describing the </w:t>
            </w:r>
            <w:r w:rsidR="000E1B2A" w:rsidRPr="00DB3ADC">
              <w:rPr>
                <w:rFonts w:asciiTheme="minorHAnsi" w:hAnsiTheme="minorHAnsi" w:cstheme="minorHAnsi"/>
              </w:rPr>
              <w:t xml:space="preserve">indications for which IVIg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3124A8"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Met</w:t>
            </w:r>
          </w:p>
        </w:tc>
        <w:tc>
          <w:tcPr>
            <w:tcW w:w="6781" w:type="dxa"/>
            <w:tcMar>
              <w:top w:w="57" w:type="dxa"/>
              <w:bottom w:w="57" w:type="dxa"/>
            </w:tcMar>
          </w:tcPr>
          <w:p w:rsidR="000E1B2A" w:rsidRPr="003124A8" w:rsidRDefault="000E1B2A" w:rsidP="0008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w:t>
            </w:r>
            <w:r w:rsidR="00716977">
              <w:rPr>
                <w:rFonts w:asciiTheme="minorHAnsi" w:hAnsiTheme="minorHAnsi" w:cstheme="minorHAnsi"/>
              </w:rPr>
              <w:t>Ig</w:t>
            </w:r>
            <w:r w:rsidRPr="003124A8">
              <w:rPr>
                <w:rFonts w:asciiTheme="minorHAnsi" w:hAnsiTheme="minorHAnsi" w:cstheme="minorHAnsi"/>
              </w:rPr>
              <w:t xml:space="preserve"> is considered appropriate to be funded in Australia</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Not Met</w:t>
            </w:r>
            <w:r w:rsidR="007B745A">
              <w:rPr>
                <w:rFonts w:asciiTheme="minorHAnsi" w:hAnsiTheme="minorHAnsi" w:cstheme="minorHAnsi"/>
              </w:rPr>
              <w:t xml:space="preserve"> or Qualifying (Q) </w:t>
            </w:r>
            <w:r>
              <w:rPr>
                <w:rFonts w:asciiTheme="minorHAnsi" w:hAnsiTheme="minorHAnsi" w:cstheme="minorHAnsi"/>
              </w:rPr>
              <w:t>Criteria Not Met</w:t>
            </w:r>
          </w:p>
        </w:tc>
        <w:tc>
          <w:tcPr>
            <w:tcW w:w="6781" w:type="dxa"/>
            <w:tcMar>
              <w:top w:w="57" w:type="dxa"/>
              <w:bottom w:w="57" w:type="dxa"/>
            </w:tcMar>
          </w:tcPr>
          <w:p w:rsidR="000E1B2A" w:rsidRPr="00DB3ADC" w:rsidRDefault="000E1B2A" w:rsidP="0008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w:t>
            </w:r>
            <w:r w:rsidR="00716977">
              <w:rPr>
                <w:rFonts w:asciiTheme="minorHAnsi" w:hAnsiTheme="minorHAnsi" w:cstheme="minorHAnsi"/>
              </w:rPr>
              <w:t>Ig</w:t>
            </w:r>
            <w:r w:rsidRPr="003124A8">
              <w:rPr>
                <w:rFonts w:asciiTheme="minorHAnsi" w:hAnsiTheme="minorHAnsi" w:cstheme="minorHAnsi"/>
              </w:rPr>
              <w:t xml:space="preserve"> is not considered appropriate to be funded in Australia</w:t>
            </w:r>
            <w:r w:rsidRPr="00DB3ADC">
              <w:rPr>
                <w:rFonts w:asciiTheme="minorHAnsi" w:hAnsiTheme="minorHAnsi" w:cstheme="minorHAnsi"/>
              </w:rPr>
              <w:t xml:space="preserve">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0E1B2A" w:rsidRDefault="000E1B2A"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w:t>
            </w:r>
            <w:r w:rsidR="00716977">
              <w:rPr>
                <w:rFonts w:asciiTheme="minorHAnsi" w:hAnsiTheme="minorHAnsi" w:cstheme="minorHAnsi"/>
              </w:rPr>
              <w:t>Ig</w:t>
            </w:r>
            <w:r w:rsidRPr="00DB3ADC">
              <w:rPr>
                <w:rFonts w:asciiTheme="minorHAnsi" w:hAnsiTheme="minorHAnsi" w:cstheme="minorHAnsi"/>
              </w:rPr>
              <w:t xml:space="preserve">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Criteria for the clinical use of IVIg in Australia</w:t>
            </w:r>
          </w:p>
          <w:p w:rsidR="005E4EB6" w:rsidRPr="00DB3ADC" w:rsidRDefault="005E4EB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1330D" w:rsidRPr="00DB3ADC" w:rsidTr="00FE46F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61330D" w:rsidRPr="004936FF" w:rsidRDefault="0061330D" w:rsidP="000E1B2A">
            <w:pPr>
              <w:rPr>
                <w:rFonts w:asciiTheme="minorHAnsi" w:hAnsiTheme="minorHAnsi" w:cstheme="minorHAnsi"/>
              </w:rPr>
            </w:pPr>
            <w:r>
              <w:rPr>
                <w:rFonts w:asciiTheme="minorHAnsi" w:hAnsiTheme="minorHAnsi" w:cstheme="minorHAnsi"/>
              </w:rPr>
              <w:t>Diagnostic Group</w:t>
            </w:r>
          </w:p>
        </w:tc>
        <w:tc>
          <w:tcPr>
            <w:tcW w:w="6781" w:type="dxa"/>
            <w:tcMar>
              <w:top w:w="57" w:type="dxa"/>
              <w:bottom w:w="57" w:type="dxa"/>
            </w:tcMar>
          </w:tcPr>
          <w:p w:rsidR="0061330D" w:rsidRPr="005E4EB6" w:rsidRDefault="0061330D" w:rsidP="005E4EB6">
            <w:pPr>
              <w:pStyle w:val="CommentText"/>
              <w:cnfStyle w:val="000000100000" w:firstRow="0" w:lastRow="0" w:firstColumn="0" w:lastColumn="0" w:oddVBand="0" w:evenVBand="0" w:oddHBand="1" w:evenHBand="0" w:firstRowFirstColumn="0" w:firstRowLastColumn="0" w:lastRowFirstColumn="0" w:lastRowLastColumn="0"/>
              <w:rPr>
                <w:sz w:val="22"/>
              </w:rPr>
            </w:pPr>
            <w:r w:rsidRPr="002D0420">
              <w:rPr>
                <w:rFonts w:asciiTheme="minorHAnsi" w:hAnsiTheme="minorHAnsi" w:cstheme="minorHAnsi"/>
                <w:sz w:val="22"/>
              </w:rPr>
              <w:t>A grouping of clinical</w:t>
            </w:r>
            <w:r w:rsidR="00551611" w:rsidRPr="002D0420">
              <w:rPr>
                <w:rFonts w:asciiTheme="minorHAnsi" w:hAnsiTheme="minorHAnsi" w:cstheme="minorHAnsi"/>
                <w:sz w:val="22"/>
              </w:rPr>
              <w:t xml:space="preserve">/medical </w:t>
            </w:r>
            <w:r w:rsidRPr="002D0420">
              <w:rPr>
                <w:rFonts w:asciiTheme="minorHAnsi" w:hAnsiTheme="minorHAnsi" w:cstheme="minorHAnsi"/>
                <w:sz w:val="22"/>
              </w:rPr>
              <w:t xml:space="preserve">conditions, as outlined in the </w:t>
            </w:r>
            <w:r w:rsidRPr="002D0420">
              <w:rPr>
                <w:rFonts w:asciiTheme="minorHAnsi" w:hAnsiTheme="minorHAnsi" w:cstheme="minorHAnsi"/>
                <w:i/>
                <w:sz w:val="22"/>
              </w:rPr>
              <w:t xml:space="preserve">Criteria. </w:t>
            </w:r>
            <w:r w:rsidRPr="002D0420">
              <w:rPr>
                <w:rFonts w:asciiTheme="minorHAnsi" w:hAnsiTheme="minorHAnsi" w:cstheme="minorHAnsi"/>
                <w:sz w:val="22"/>
              </w:rPr>
              <w:t>Also known as disease group</w:t>
            </w:r>
            <w:r w:rsidR="005E4EB6">
              <w:rPr>
                <w:sz w:val="22"/>
              </w:rPr>
              <w:t xml:space="preserve">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4936FF">
              <w:rPr>
                <w:rFonts w:asciiTheme="minorHAnsi" w:hAnsiTheme="minorHAnsi" w:cstheme="minorHAnsi"/>
              </w:rPr>
              <w:t>Disease Group</w:t>
            </w:r>
          </w:p>
        </w:tc>
        <w:tc>
          <w:tcPr>
            <w:tcW w:w="6781" w:type="dxa"/>
            <w:tcMar>
              <w:top w:w="57" w:type="dxa"/>
              <w:bottom w:w="57" w:type="dxa"/>
            </w:tcMar>
          </w:tcPr>
          <w:p w:rsidR="000E1B2A" w:rsidRPr="00DB3ADC" w:rsidRDefault="0061330D"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See diagnostic group</w:t>
            </w:r>
            <w:r w:rsidR="007B745A">
              <w:rPr>
                <w:rFonts w:asciiTheme="minorHAnsi" w:hAnsiTheme="minorHAnsi" w:cstheme="minorHAnsi"/>
                <w:i/>
              </w:rPr>
              <w:t xml:space="preserve"> </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Pr>
                <w:rFonts w:asciiTheme="minorHAnsi" w:hAnsiTheme="minorHAnsi" w:cstheme="minorHAnsi"/>
              </w:rPr>
              <w:t>components</w:t>
            </w:r>
          </w:p>
        </w:tc>
      </w:tr>
      <w:tr w:rsidR="004872FD"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r>
              <w:rPr>
                <w:rFonts w:asciiTheme="minorHAnsi" w:hAnsiTheme="minorHAnsi" w:cstheme="minorHAnsi"/>
              </w:rPr>
              <w:t>Imprest stock</w:t>
            </w:r>
          </w:p>
        </w:tc>
        <w:tc>
          <w:tcPr>
            <w:tcW w:w="6781" w:type="dxa"/>
            <w:tcMar>
              <w:top w:w="57" w:type="dxa"/>
              <w:bottom w:w="57" w:type="dxa"/>
            </w:tcMar>
          </w:tcPr>
          <w:p w:rsidR="004872FD" w:rsidRDefault="004872FD" w:rsidP="00CC3E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000E1B2A" w:rsidRPr="00DB3ADC">
              <w:rPr>
                <w:rFonts w:asciiTheme="minorHAnsi" w:hAnsiTheme="minorHAnsi" w:cstheme="minorHAnsi"/>
              </w:rPr>
              <w:t>administered intravenously</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lastRenderedPageBreak/>
              <w:t xml:space="preserve">Jurisdiction </w:t>
            </w:r>
          </w:p>
        </w:tc>
        <w:tc>
          <w:tcPr>
            <w:tcW w:w="6781" w:type="dxa"/>
            <w:tcMar>
              <w:top w:w="57" w:type="dxa"/>
              <w:bottom w:w="57" w:type="dxa"/>
            </w:tcMar>
          </w:tcPr>
          <w:p w:rsidR="000E1B2A" w:rsidRPr="00DB3ADC" w:rsidRDefault="006958A6"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parties to the Australian </w:t>
            </w:r>
            <w:r w:rsidR="000E1B2A" w:rsidRPr="00DB3ADC">
              <w:rPr>
                <w:rFonts w:asciiTheme="minorHAnsi" w:hAnsiTheme="minorHAnsi" w:cstheme="minorHAnsi"/>
              </w:rPr>
              <w:t>National Blood Agreement</w:t>
            </w:r>
            <w:r>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minimum inventory of </w:t>
            </w:r>
            <w:r w:rsidR="00716977">
              <w:rPr>
                <w:rFonts w:asciiTheme="minorHAnsi" w:hAnsiTheme="minorHAnsi" w:cstheme="minorHAnsi"/>
              </w:rPr>
              <w:t>Ig</w:t>
            </w:r>
            <w:r>
              <w:rPr>
                <w:rFonts w:asciiTheme="minorHAnsi" w:hAnsiTheme="minorHAnsi" w:cstheme="minorHAnsi"/>
              </w:rPr>
              <w:t xml:space="preserve"> held by CSL to meet contract obligations</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National CSL Reserve</w:t>
            </w:r>
          </w:p>
        </w:tc>
        <w:tc>
          <w:tcPr>
            <w:tcW w:w="6781" w:type="dxa"/>
            <w:tcMar>
              <w:top w:w="57" w:type="dxa"/>
              <w:bottom w:w="57" w:type="dxa"/>
            </w:tcMar>
          </w:tcPr>
          <w:p w:rsidR="00946110" w:rsidRDefault="009C2E79" w:rsidP="006133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w:t>
            </w:r>
            <w:r w:rsidR="00716977">
              <w:rPr>
                <w:rFonts w:asciiTheme="minorHAnsi" w:hAnsiTheme="minorHAnsi" w:cstheme="minorHAnsi"/>
              </w:rPr>
              <w:t>Ig</w:t>
            </w:r>
            <w:r>
              <w:rPr>
                <w:rFonts w:asciiTheme="minorHAnsi" w:hAnsiTheme="minorHAnsi" w:cstheme="minorHAnsi"/>
              </w:rPr>
              <w:t xml:space="preserve"> that CSL Behring </w:t>
            </w:r>
            <w:r w:rsidR="0061330D">
              <w:rPr>
                <w:rFonts w:asciiTheme="minorHAnsi" w:hAnsiTheme="minorHAnsi" w:cstheme="minorHAnsi"/>
              </w:rPr>
              <w:t>manages on behalf of the NBA for contingency purposes</w:t>
            </w:r>
            <w:r>
              <w:rPr>
                <w:rFonts w:asciiTheme="minorHAnsi" w:hAnsiTheme="minorHAnsi" w:cstheme="minorHAnsi"/>
              </w:rPr>
              <w:t>.</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17A19">
            <w:pPr>
              <w:rPr>
                <w:rFonts w:asciiTheme="minorHAnsi" w:hAnsiTheme="minorHAnsi" w:cstheme="minorHAnsi"/>
              </w:rPr>
            </w:pPr>
            <w:r>
              <w:rPr>
                <w:rFonts w:asciiTheme="minorHAnsi" w:hAnsiTheme="minorHAnsi" w:cstheme="minorHAnsi"/>
              </w:rPr>
              <w:t xml:space="preserve">Primary </w:t>
            </w:r>
            <w:r w:rsidR="00017A19">
              <w:rPr>
                <w:rFonts w:asciiTheme="minorHAnsi" w:hAnsiTheme="minorHAnsi" w:cstheme="minorHAnsi"/>
              </w:rPr>
              <w:t>d</w:t>
            </w:r>
            <w:r>
              <w:rPr>
                <w:rFonts w:asciiTheme="minorHAnsi" w:hAnsiTheme="minorHAnsi" w:cstheme="minorHAnsi"/>
              </w:rPr>
              <w:t>iagnosis</w:t>
            </w:r>
          </w:p>
        </w:tc>
        <w:tc>
          <w:tcPr>
            <w:tcW w:w="6781" w:type="dxa"/>
            <w:tcMar>
              <w:top w:w="57" w:type="dxa"/>
              <w:bottom w:w="57" w:type="dxa"/>
            </w:tcMar>
          </w:tcPr>
          <w:p w:rsidR="000E1B2A" w:rsidRPr="00DB3ADC" w:rsidRDefault="00017A19"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See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17A19"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Pr>
                <w:rFonts w:asciiTheme="minorHAnsi" w:hAnsiTheme="minorHAnsi" w:cstheme="minorHAnsi"/>
              </w:rPr>
              <w:t>subcutaneously</w:t>
            </w:r>
          </w:p>
        </w:tc>
      </w:tr>
      <w:tr w:rsidR="00A56590" w:rsidRPr="00DB3ADC" w:rsidTr="000A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A565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each episode occurring every 4 weeks. For example; 1 dose of transfused product every two weeks for 6 months would be 13 treatment episodes </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94576C">
          <w:footerReference w:type="default" r:id="rId38"/>
          <w:pgSz w:w="11906" w:h="16838"/>
          <w:pgMar w:top="1440" w:right="1133" w:bottom="1440" w:left="1440" w:header="708" w:footer="708" w:gutter="0"/>
          <w:cols w:space="708"/>
          <w:titlePg/>
          <w:docGrid w:linePitch="360"/>
        </w:sectPr>
      </w:pPr>
    </w:p>
    <w:p w:rsidR="00F67926" w:rsidRDefault="00F67926" w:rsidP="00F67926">
      <w:pPr>
        <w:pStyle w:val="Heading1"/>
      </w:pPr>
      <w:bookmarkStart w:id="183" w:name="_Ref254185778"/>
      <w:bookmarkStart w:id="184" w:name="_Ref254185785"/>
      <w:bookmarkStart w:id="185" w:name="_Ref254185789"/>
      <w:bookmarkStart w:id="186" w:name="_Ref254185852"/>
      <w:bookmarkStart w:id="187" w:name="_Ref254185857"/>
      <w:bookmarkStart w:id="188" w:name="_Ref254185859"/>
      <w:bookmarkStart w:id="189" w:name="_Ref254185862"/>
      <w:bookmarkStart w:id="190" w:name="_Ref254185866"/>
      <w:bookmarkStart w:id="191" w:name="_Ref384558593"/>
      <w:bookmarkStart w:id="192" w:name="_Toc456267429"/>
      <w:r>
        <w:lastRenderedPageBreak/>
        <w:t>Appendix C</w:t>
      </w:r>
      <w:r w:rsidR="003B5DD7">
        <w:t xml:space="preserve"> – </w:t>
      </w:r>
      <w:r w:rsidR="0061330D">
        <w:t xml:space="preserve">Clinical </w:t>
      </w:r>
      <w:r>
        <w:t>Discipline mapping table</w:t>
      </w:r>
      <w:bookmarkEnd w:id="183"/>
      <w:bookmarkEnd w:id="184"/>
      <w:bookmarkEnd w:id="185"/>
      <w:bookmarkEnd w:id="186"/>
      <w:bookmarkEnd w:id="187"/>
      <w:bookmarkEnd w:id="188"/>
      <w:bookmarkEnd w:id="189"/>
      <w:bookmarkEnd w:id="190"/>
      <w:bookmarkEnd w:id="191"/>
      <w:bookmarkEnd w:id="192"/>
    </w:p>
    <w:tbl>
      <w:tblPr>
        <w:tblStyle w:val="LightList-Accent22"/>
        <w:tblW w:w="10367" w:type="dxa"/>
        <w:tblLook w:val="04A0" w:firstRow="1" w:lastRow="0" w:firstColumn="1" w:lastColumn="0" w:noHBand="0" w:noVBand="1"/>
      </w:tblPr>
      <w:tblGrid>
        <w:gridCol w:w="3085"/>
        <w:gridCol w:w="1276"/>
        <w:gridCol w:w="4252"/>
        <w:gridCol w:w="1754"/>
      </w:tblGrid>
      <w:tr w:rsidR="009B1399" w:rsidRPr="00CC3E5B" w:rsidTr="009C497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CC3E5B" w:rsidRDefault="009B1399" w:rsidP="009B1399">
            <w:pPr>
              <w:spacing w:after="0"/>
              <w:rPr>
                <w:rFonts w:eastAsia="Times New Roman"/>
                <w:bCs w:val="0"/>
                <w:lang w:eastAsia="en-AU"/>
              </w:rPr>
            </w:pPr>
            <w:r w:rsidRPr="00CC3E5B">
              <w:rPr>
                <w:rFonts w:eastAsia="Times New Roman"/>
                <w:bCs w:val="0"/>
                <w:lang w:eastAsia="en-AU"/>
              </w:rPr>
              <w:t>Condition</w:t>
            </w:r>
          </w:p>
        </w:tc>
        <w:tc>
          <w:tcPr>
            <w:tcW w:w="1276" w:type="dxa"/>
            <w:noWrap/>
          </w:tcPr>
          <w:p w:rsidR="009B1399" w:rsidRPr="00CC3E5B" w:rsidRDefault="009B1399"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Chapter</w:t>
            </w:r>
          </w:p>
        </w:tc>
        <w:tc>
          <w:tcPr>
            <w:tcW w:w="4252" w:type="dxa"/>
            <w:noWrap/>
          </w:tcPr>
          <w:p w:rsidR="009B1399" w:rsidRPr="00CC3E5B" w:rsidRDefault="0061330D" w:rsidP="00CC3E5B">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Diagnostic</w:t>
            </w:r>
            <w:r w:rsidR="009B1399" w:rsidRPr="00CC3E5B">
              <w:rPr>
                <w:rFonts w:eastAsia="Times New Roman"/>
                <w:bCs w:val="0"/>
                <w:lang w:eastAsia="en-AU"/>
              </w:rPr>
              <w:t xml:space="preserve"> Group</w:t>
            </w:r>
          </w:p>
        </w:tc>
        <w:tc>
          <w:tcPr>
            <w:tcW w:w="1754" w:type="dxa"/>
            <w:noWrap/>
          </w:tcPr>
          <w:p w:rsidR="009B1399" w:rsidRPr="00CC3E5B" w:rsidRDefault="0061330D"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 xml:space="preserve">Clinical </w:t>
            </w:r>
            <w:r w:rsidR="009B1399" w:rsidRPr="00CC3E5B">
              <w:rPr>
                <w:rFonts w:eastAsia="Times New Roman"/>
                <w:bCs w:val="0"/>
                <w:lang w:eastAsia="en-AU"/>
              </w:rPr>
              <w:t>Discipline</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lymphocytic leukaemia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myeloma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Non-Hodgkin’s lymphoma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Other relevant haematological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Post-haemopoietic stem cell transplantation (HSCT)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inflammatory demyelinating polyneuropathy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Chronic inflammatory demyelinating polyneuropathy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Guillain-Barré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Guillain-Barré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Dermatomyositis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Inclusion body myositis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thrombocytopenic purpura - Adult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associated with HIV</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pregnancy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Specific circumstances (surgery, corticosteroids contraindicated, chronic ITP)</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Refractory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with life-threatening haemorrhage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Kawasaki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Kawasaki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Lambert-Eaton myasthenic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Lambert-Eaton myasthenic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 with persistent conduction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Myasthenia gravis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Myasthenia gravis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Neonatal haemochromatosis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Neonatal haemochromatosis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 - Haem/Immun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Common variable </w:t>
            </w:r>
            <w:r w:rsidR="00BA55BD">
              <w:rPr>
                <w:rFonts w:eastAsia="Times New Roman"/>
                <w:b w:val="0"/>
                <w:color w:val="000000"/>
                <w:lang w:eastAsia="en-AU"/>
              </w:rPr>
              <w:t>immunodeficiency</w:t>
            </w:r>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Other Primary </w:t>
            </w:r>
            <w:r w:rsidR="00BA55BD">
              <w:rPr>
                <w:rFonts w:eastAsia="Times New Roman"/>
                <w:b w:val="0"/>
                <w:color w:val="000000"/>
                <w:lang w:eastAsia="en-AU"/>
              </w:rPr>
              <w:lastRenderedPageBreak/>
              <w:t>Immunodeficiency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 xml:space="preserve">Severe combined </w:t>
            </w:r>
            <w:r w:rsidR="00BA55BD">
              <w:rPr>
                <w:rFonts w:eastAsia="Times New Roman"/>
                <w:b w:val="0"/>
                <w:color w:val="000000"/>
                <w:lang w:eastAsia="en-AU"/>
              </w:rPr>
              <w:t>Immunodeficiency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Transient hypogammaglobulinaemia of infancy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Wiskott-Aldrich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X linked agammaglobulinaemia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Stiff person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Stiff person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disseminated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disseminated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ANCA (PR3 or MPO)-positive idiopathic rapidly progressive glomerulonephritis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Churg-Strauss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Microscopic polyangiitis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Wegener</w:t>
            </w:r>
            <w:r w:rsidR="0021560A">
              <w:rPr>
                <w:rFonts w:eastAsia="Times New Roman"/>
                <w:b w:val="0"/>
                <w:color w:val="000000"/>
                <w:lang w:eastAsia="en-AU"/>
              </w:rPr>
              <w:t>’</w:t>
            </w:r>
            <w:r w:rsidRPr="00136734">
              <w:rPr>
                <w:rFonts w:eastAsia="Times New Roman"/>
                <w:b w:val="0"/>
                <w:color w:val="000000"/>
                <w:lang w:eastAsia="en-AU"/>
              </w:rPr>
              <w:t>s granulomatosis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haemolytic anaemia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haemolytic anaemia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Evans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Evans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(Antenatal)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Haemophagocytic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Haemophagocytic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HSCT (for prevention of GvHD in high risk Allogeneic HSCT).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HSCT (for prevention of GvHD in high risk Allogeneic HSCT).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IgM para-proteinaemic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IgM para-proteinaemic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2D0FA8" w:rsidP="009B1399">
            <w:pPr>
              <w:spacing w:after="0"/>
              <w:rPr>
                <w:rFonts w:eastAsia="Times New Roman"/>
                <w:b w:val="0"/>
                <w:color w:val="000000"/>
                <w:lang w:eastAsia="en-AU"/>
              </w:rPr>
            </w:pPr>
            <w:r>
              <w:rPr>
                <w:rFonts w:eastAsia="Times New Roman"/>
                <w:b w:val="0"/>
                <w:color w:val="000000"/>
                <w:lang w:eastAsia="en-AU"/>
              </w:rPr>
              <w:t>Multiple sclerosis</w:t>
            </w:r>
            <w:r w:rsidR="009B1399" w:rsidRPr="00136734">
              <w:rPr>
                <w:rFonts w:eastAsia="Times New Roman"/>
                <w:b w:val="0"/>
                <w:color w:val="000000"/>
                <w:lang w:eastAsia="en-AU"/>
              </w:rPr>
              <w:t xml:space="preserve"> - Severe relapse with no response to high dose methylprednisolone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Sclerosis in Pregnancy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Multiple Sclerosis in young patients </w:t>
            </w:r>
            <w:r w:rsidRPr="00136734">
              <w:rPr>
                <w:rFonts w:eastAsia="Times New Roman"/>
                <w:b w:val="0"/>
                <w:color w:val="000000"/>
                <w:lang w:eastAsia="en-AU"/>
              </w:rPr>
              <w:lastRenderedPageBreak/>
              <w:t>severe/relapsing/remitting in whom other therapies have failed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Opsoclonus myoclonus ataxia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Opsoclonus myoclonus ataxia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Bullous pemphigoid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Cicatricial pemphigoid</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foliaceus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vulgaris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 transfusion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Post transfusion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Secondary hypogammaglobulinaemia (excludes haem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Secondary hypogammaglobulinaemia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IgG subclass deficiency EXISTING patients only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Specific antibody 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IgG subclass deficiency. </w:t>
            </w:r>
            <w:r w:rsidR="00693AC5" w:rsidRPr="00136734">
              <w:rPr>
                <w:rFonts w:eastAsia="Times New Roman"/>
                <w:b w:val="0"/>
                <w:color w:val="000000"/>
                <w:lang w:eastAsia="en-AU"/>
              </w:rPr>
              <w:t>Existing</w:t>
            </w:r>
            <w:r w:rsidRPr="00136734">
              <w:rPr>
                <w:rFonts w:eastAsia="Times New Roman"/>
                <w:b w:val="0"/>
                <w:color w:val="000000"/>
                <w:lang w:eastAsia="en-AU"/>
              </w:rPr>
              <w:t xml:space="preserve"> patient with suppurative lung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Specific antibody </w:t>
            </w:r>
            <w:r w:rsidR="00693AC5" w:rsidRPr="009B1399">
              <w:rPr>
                <w:rFonts w:eastAsia="Times New Roman"/>
                <w:color w:val="000000"/>
                <w:lang w:eastAsia="en-AU"/>
              </w:rPr>
              <w:t>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Toxic epidermal necrolysis/Steven Johnson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epidermal necrolysis/Steven Johnson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Staphylococcal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Streptococcal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leukaemia in children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leukaemia in children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congenital heart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congenital heart block</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diabetic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diabetic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neutropenia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neutropenia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uveitis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uveitis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Catastrophic antiphospholipid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Catastrophic antiphospholipid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Coagulation factor inhibitors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Coagulation factor inhibitors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Devic disease (neuromyelitis optica)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Devic disease (neuromyelitis optica)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Diabetic Amyotrophy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Diabetic Amytrophy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Epidermolysis bullosa acquisita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Epidermolysis bullosa acquisita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Epilepsy (rare childhood cases)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Epilepsy (rare childhood cases)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Graves ophthalmopathy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Graves ophthalmopathy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disease of the newborn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disease of the newborn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transfusion reaction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transfusion reaction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Hashimoto encephalopathy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Hashimoto enecephalopathy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HIV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encephalitis-nonparaneoplastic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Limbic encephalitis-nonparaneoplastic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Myocarditis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Myocarditis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PANDAS/tic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PANDAS/tic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encephalitis-paraneoplastic</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cerebellar degeneration (Yo antibodies)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Subacute Sensory 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syndromes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Potassium channel antibody-associated encephalopathy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Potassium channel antibody-associated encephalopathy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red cell aplasia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red cell aplasia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white cell aplasia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white cell aplasia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Pyoderma gangrenosum</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Pyoderma gangrenosum</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Rasmussen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Rasmussen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Scleromyxedema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Scleromyxedema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 neonatal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Paediatrician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Liver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Other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Pancreas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 - Solid Organ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Transplants - Allogeneic stem cell or bone marrow</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Susac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Susac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Capillary Leak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Capillary Leak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optic neuritis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optic neuritis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rheumatic fever</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rheumatic fever</w:t>
            </w:r>
          </w:p>
        </w:tc>
        <w:tc>
          <w:tcPr>
            <w:tcW w:w="1754" w:type="dxa"/>
            <w:noWrap/>
          </w:tcPr>
          <w:p w:rsidR="009B1399" w:rsidRPr="009B1399" w:rsidRDefault="00693AC5"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Adrenoleukodystrophy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Adrenoleukodystrophy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Amegakaryocytic </w:t>
            </w:r>
            <w:r w:rsidRPr="00136734">
              <w:rPr>
                <w:rFonts w:eastAsia="Times New Roman"/>
                <w:b w:val="0"/>
                <w:color w:val="000000"/>
                <w:lang w:eastAsia="en-AU"/>
              </w:rPr>
              <w:lastRenderedPageBreak/>
              <w:t>thrombocytopenia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Amegakaryocytic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Antiphospholipid syndrome (non obstetric)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Antiphospholipid syndrome (non obstetric)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Aplastic anaemia/pancytopenia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Aplastic anaemia/pancytopenia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Asthma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Asthma</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Atopic dermatitis/eczema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Atopic dermatitis/eczema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Autism – young adults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Autism – young adults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Autologous haemopoietic stem cell transplantation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Autologous haemopoietic stem cell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Behcet's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Behcet's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Cardiac surgery with bypass – prophylaxis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Cardiac surgery with bypass – prophylaxis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Congestive cardiac failure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Congestive cardiac failure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Crohn’s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Crohn’s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Diamond Blackfan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Diamond Blackfan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Female infertility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Female infertility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Glomerulonephritis – IgA 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Glomerulonephritis – IgA nephritis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uraemic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uraemic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Henoch-Schonlein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Henoch-Schonlein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HIV/AIDS – adult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HIV/AIDS – adult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dilated cardiomyopathy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Idiopathic dilated cardiomyopathy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Linear IgA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Linear IgA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cerebritis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cerebritis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nephritis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nephritis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Motor neuron disease/amyotrophic lateral sclerosis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Motor neuron disease/amyotrophic lateral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Myalgic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Myalgic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Narcolepsy/cataplexy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Narcolepsy/cataplexy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Nephrotic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Nephrotic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Obsessive compulsive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Obsessive compulsive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Polyneuropathy of critical illness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Polyneuropathy of critical illness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Recurrent foetal loss (with or without antiphospholipid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Recurrent foetal loss (with or without antiphospholipid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Rheumatoid arthritis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Rheumatoid arthritis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(other than neonatal sepsis)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(other than neonatal sepsis)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Sickle cell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Sickle cell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lupus erythematosus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lupus erythematosus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Ulcerative colitis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Ulcerative colitis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JDO issue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 Chapter</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Idiopathic Dysautomia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9B1399"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61330D">
              <w:rPr>
                <w:rFonts w:eastAsia="Times New Roman"/>
                <w:i/>
                <w:color w:val="000000"/>
                <w:lang w:eastAsia="en-AU"/>
              </w:rPr>
              <w:t>Criteria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Neutropenia In Infancy</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Thrombocytopenia Neonatal</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Autoimmune Thrombocytopenic</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Cutaneous Vasculitis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 Unclassified</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Immunological Miscellaneous, No diagnosis recorded</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Miscellaneous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Myelopathy due to HTLV-1</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Necrotising Myelitis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Other Lymphoproliferative / 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Paediatric Myocarditis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Sensory neuropathy associated with anti-Hu antibodies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Septic thrombocytopenia</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Stills Disease - Adults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Trauma - Burns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bl>
    <w:p w:rsidR="00F67926" w:rsidRDefault="00F67926" w:rsidP="000E1B2A"/>
    <w:p w:rsidR="00F67926" w:rsidRDefault="00F67926" w:rsidP="000E1B2A">
      <w:pPr>
        <w:sectPr w:rsidR="00F67926" w:rsidSect="0094576C">
          <w:pgSz w:w="11904" w:h="16834"/>
          <w:pgMar w:top="1440" w:right="1440" w:bottom="1440" w:left="1133" w:header="708" w:footer="708" w:gutter="0"/>
          <w:cols w:space="708"/>
          <w:titlePg/>
          <w:docGrid w:linePitch="360"/>
        </w:sectPr>
      </w:pPr>
    </w:p>
    <w:p w:rsidR="00FF1C08" w:rsidRDefault="000E1B2A" w:rsidP="00417D9E">
      <w:pPr>
        <w:pStyle w:val="Heading1"/>
        <w:pBdr>
          <w:left w:val="single" w:sz="48" w:space="1" w:color="D1282E"/>
        </w:pBdr>
        <w:ind w:left="3119" w:hanging="3119"/>
      </w:pPr>
      <w:bookmarkStart w:id="193" w:name="_Ref355357432"/>
      <w:bookmarkStart w:id="194" w:name="_Toc356377400"/>
      <w:bookmarkStart w:id="195" w:name="_Toc361570455"/>
      <w:bookmarkStart w:id="196" w:name="_Toc364776965"/>
      <w:bookmarkStart w:id="197" w:name="_Ref379893813"/>
      <w:bookmarkStart w:id="198" w:name="_Ref379894780"/>
      <w:bookmarkStart w:id="199" w:name="_Ref379895385"/>
      <w:bookmarkStart w:id="200" w:name="_Toc456267430"/>
      <w:r>
        <w:lastRenderedPageBreak/>
        <w:t xml:space="preserve">Appendix </w:t>
      </w:r>
      <w:r w:rsidR="00F67926">
        <w:t>D</w:t>
      </w:r>
      <w:r>
        <w:t xml:space="preserve"> </w:t>
      </w:r>
      <w:bookmarkEnd w:id="193"/>
      <w:bookmarkEnd w:id="194"/>
      <w:r>
        <w:t xml:space="preserve">– </w:t>
      </w:r>
      <w:bookmarkEnd w:id="195"/>
      <w:bookmarkEnd w:id="196"/>
      <w:r w:rsidR="004048AA">
        <w:t xml:space="preserve">Dataset of </w:t>
      </w:r>
      <w:r w:rsidR="00716977">
        <w:t>Ig</w:t>
      </w:r>
      <w:r w:rsidR="004048AA">
        <w:t xml:space="preserve"> supply by state/</w:t>
      </w:r>
      <w:r w:rsidR="006F7EF4">
        <w:t>territory 201</w:t>
      </w:r>
      <w:r w:rsidR="00187599">
        <w:t>4</w:t>
      </w:r>
      <w:r w:rsidR="006F7EF4">
        <w:t>-1</w:t>
      </w:r>
      <w:bookmarkEnd w:id="197"/>
      <w:bookmarkEnd w:id="198"/>
      <w:bookmarkEnd w:id="199"/>
      <w:r w:rsidR="00187599">
        <w:t>5</w:t>
      </w:r>
      <w:bookmarkEnd w:id="200"/>
    </w:p>
    <w:tbl>
      <w:tblPr>
        <w:tblStyle w:val="LightList-Accent23"/>
        <w:tblW w:w="14879" w:type="dxa"/>
        <w:tblLayout w:type="fixed"/>
        <w:tblCellMar>
          <w:bottom w:w="28" w:type="dxa"/>
        </w:tblCellMar>
        <w:tblLook w:val="04A0" w:firstRow="1" w:lastRow="0" w:firstColumn="1" w:lastColumn="0" w:noHBand="0" w:noVBand="1"/>
      </w:tblPr>
      <w:tblGrid>
        <w:gridCol w:w="2660"/>
        <w:gridCol w:w="1843"/>
        <w:gridCol w:w="1275"/>
        <w:gridCol w:w="1077"/>
        <w:gridCol w:w="1333"/>
        <w:gridCol w:w="1077"/>
        <w:gridCol w:w="1077"/>
        <w:gridCol w:w="1077"/>
        <w:gridCol w:w="1077"/>
        <w:gridCol w:w="1077"/>
        <w:gridCol w:w="1306"/>
      </w:tblGrid>
      <w:tr w:rsidR="001D7796" w:rsidRPr="0094576C" w:rsidTr="00BB2478">
        <w:trPr>
          <w:cnfStyle w:val="100000000000" w:firstRow="1" w:lastRow="0" w:firstColumn="0" w:lastColumn="0" w:oddVBand="0" w:evenVBand="0" w:oddHBand="0" w:evenHBand="0" w:firstRowFirstColumn="0" w:firstRowLastColumn="0" w:lastRowFirstColumn="0" w:lastRowLastColumn="0"/>
          <w:cantSplit/>
          <w:trHeight w:hRule="exact" w:val="284"/>
          <w:tblHead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1D7796" w:rsidRPr="0094576C" w:rsidRDefault="001D7796" w:rsidP="00182E01">
            <w:r>
              <w:t>Condition</w:t>
            </w:r>
          </w:p>
        </w:tc>
        <w:tc>
          <w:tcPr>
            <w:tcW w:w="1843" w:type="dxa"/>
            <w:noWrap/>
            <w:hideMark/>
          </w:tcPr>
          <w:p w:rsidR="001D7796" w:rsidRPr="0094576C" w:rsidRDefault="001D7796">
            <w:pPr>
              <w:cnfStyle w:val="100000000000" w:firstRow="1" w:lastRow="0" w:firstColumn="0" w:lastColumn="0" w:oddVBand="0" w:evenVBand="0" w:oddHBand="0" w:evenHBand="0" w:firstRowFirstColumn="0" w:firstRowLastColumn="0" w:lastRowFirstColumn="0" w:lastRowLastColumn="0"/>
            </w:pPr>
          </w:p>
        </w:tc>
        <w:tc>
          <w:tcPr>
            <w:tcW w:w="1275"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NSW</w:t>
            </w:r>
          </w:p>
        </w:tc>
        <w:tc>
          <w:tcPr>
            <w:tcW w:w="1077"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VIC</w:t>
            </w:r>
          </w:p>
        </w:tc>
        <w:tc>
          <w:tcPr>
            <w:tcW w:w="1333" w:type="dxa"/>
            <w:noWrap/>
            <w:hideMark/>
          </w:tcPr>
          <w:p w:rsidR="001D7796" w:rsidRPr="0094576C" w:rsidRDefault="001D7796" w:rsidP="001D7796">
            <w:pPr>
              <w:jc w:val="right"/>
              <w:cnfStyle w:val="100000000000" w:firstRow="1" w:lastRow="0" w:firstColumn="0" w:lastColumn="0" w:oddVBand="0" w:evenVBand="0" w:oddHBand="0" w:evenHBand="0" w:firstRowFirstColumn="0" w:firstRowLastColumn="0" w:lastRowFirstColumn="0" w:lastRowLastColumn="0"/>
            </w:pPr>
            <w:r>
              <w:t>QLD</w:t>
            </w:r>
          </w:p>
        </w:tc>
        <w:tc>
          <w:tcPr>
            <w:tcW w:w="1077" w:type="dxa"/>
          </w:tcPr>
          <w:p w:rsidR="001D7796" w:rsidRPr="0094576C" w:rsidRDefault="001D7796" w:rsidP="00742175">
            <w:pPr>
              <w:jc w:val="right"/>
              <w:cnfStyle w:val="100000000000" w:firstRow="1" w:lastRow="0" w:firstColumn="0" w:lastColumn="0" w:oddVBand="0" w:evenVBand="0" w:oddHBand="0" w:evenHBand="0" w:firstRowFirstColumn="0" w:firstRowLastColumn="0" w:lastRowFirstColumn="0" w:lastRowLastColumn="0"/>
            </w:pPr>
            <w:r>
              <w:t>WA</w:t>
            </w:r>
          </w:p>
        </w:tc>
        <w:tc>
          <w:tcPr>
            <w:tcW w:w="1077"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SA</w:t>
            </w:r>
          </w:p>
        </w:tc>
        <w:tc>
          <w:tcPr>
            <w:tcW w:w="1077"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TAS</w:t>
            </w:r>
          </w:p>
        </w:tc>
        <w:tc>
          <w:tcPr>
            <w:tcW w:w="1077"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ACT</w:t>
            </w:r>
          </w:p>
        </w:tc>
        <w:tc>
          <w:tcPr>
            <w:tcW w:w="1077"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NT</w:t>
            </w:r>
          </w:p>
        </w:tc>
        <w:tc>
          <w:tcPr>
            <w:tcW w:w="1306" w:type="dxa"/>
            <w:noWrap/>
            <w:hideMark/>
          </w:tcPr>
          <w:p w:rsidR="001D7796" w:rsidRPr="0094576C" w:rsidRDefault="001D7796" w:rsidP="003D0E89">
            <w:pPr>
              <w:jc w:val="right"/>
              <w:cnfStyle w:val="100000000000" w:firstRow="1" w:lastRow="0" w:firstColumn="0" w:lastColumn="0" w:oddVBand="0" w:evenVBand="0" w:oddHBand="0" w:evenHBand="0" w:firstRowFirstColumn="0" w:firstRowLastColumn="0" w:lastRowFirstColumn="0" w:lastRowLastColumn="0"/>
            </w:pPr>
            <w:r w:rsidRPr="0094576C">
              <w:t>National</w:t>
            </w:r>
          </w:p>
        </w:tc>
      </w:tr>
      <w:tr w:rsidR="001D7796"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1D7796" w:rsidRPr="0094576C" w:rsidRDefault="001D7796" w:rsidP="00182E01">
            <w:pPr>
              <w:pStyle w:val="NoSpacing"/>
            </w:pPr>
            <w:r w:rsidRPr="0094576C">
              <w:t>Chapter 5</w:t>
            </w:r>
          </w:p>
        </w:tc>
        <w:tc>
          <w:tcPr>
            <w:tcW w:w="1843" w:type="dxa"/>
            <w:noWrap/>
            <w:hideMark/>
          </w:tcPr>
          <w:p w:rsidR="001D7796" w:rsidRPr="0094576C" w:rsidRDefault="001D7796">
            <w:pPr>
              <w:cnfStyle w:val="000000100000" w:firstRow="0" w:lastRow="0" w:firstColumn="0" w:lastColumn="0" w:oddVBand="0" w:evenVBand="0" w:oddHBand="1" w:evenHBand="0" w:firstRowFirstColumn="0" w:firstRowLastColumn="0" w:lastRowFirstColumn="0" w:lastRowLastColumn="0"/>
            </w:pPr>
          </w:p>
        </w:tc>
        <w:tc>
          <w:tcPr>
            <w:tcW w:w="1275"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077"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333"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077" w:type="dxa"/>
          </w:tcPr>
          <w:p w:rsidR="001D7796" w:rsidRPr="0094576C" w:rsidRDefault="001D7796" w:rsidP="00742175">
            <w:pPr>
              <w:jc w:val="right"/>
              <w:cnfStyle w:val="000000100000" w:firstRow="0" w:lastRow="0" w:firstColumn="0" w:lastColumn="0" w:oddVBand="0" w:evenVBand="0" w:oddHBand="1" w:evenHBand="0" w:firstRowFirstColumn="0" w:firstRowLastColumn="0" w:lastRowFirstColumn="0" w:lastRowLastColumn="0"/>
            </w:pPr>
          </w:p>
        </w:tc>
        <w:tc>
          <w:tcPr>
            <w:tcW w:w="1077"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077"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077"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077"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c>
          <w:tcPr>
            <w:tcW w:w="1306" w:type="dxa"/>
            <w:noWrap/>
            <w:hideMark/>
          </w:tcPr>
          <w:p w:rsidR="001D7796" w:rsidRPr="0094576C" w:rsidRDefault="001D7796" w:rsidP="003D0E89">
            <w:pPr>
              <w:jc w:val="right"/>
              <w:cnfStyle w:val="000000100000" w:firstRow="0" w:lastRow="0" w:firstColumn="0" w:lastColumn="0" w:oddVBand="0" w:evenVBand="0" w:oddHBand="1" w:evenHBand="0" w:firstRowFirstColumn="0" w:firstRowLastColumn="0" w:lastRowFirstColumn="0" w:lastRowLastColumn="0"/>
            </w:pP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Chronic inflammatory demyelinating polyneuropathy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772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464</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580</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2,054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330,311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229,623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247,123</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96,161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39,999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19,387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8,866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2,790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974,258</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39</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Chronic lymphocytic leukaemia</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483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1,283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118,762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70,932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76,671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10,616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20,659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8,452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7,791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1,324</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315,205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Common variable immunodeficiency disease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793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276</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1,656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246,707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89,346</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110,887</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27,399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34,270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7,052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21,588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336</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537,584</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23</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23</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Dermatomyositis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161</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21,564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11,075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12,448</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4,225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2,745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1,959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3,435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57,451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37</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41</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Guillain-Barré syndrome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163</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154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628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33,094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29,377</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25,209</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7,424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5,266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2,260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1,677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1,262</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105,567</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HSCT - post</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62</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307</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Next/>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19,977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9,265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9,954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578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1,107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1,596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42,738</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Next/>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Next/>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lastRenderedPageBreak/>
              <w:t>Inclusion body myositis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140</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16,270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18,024</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12,690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227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7,616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1,242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357</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56,676</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119</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ITP in pregnancy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89</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2,490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2,496</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5,214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640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1,089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546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12,534</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66</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ITP in specific circumstances (surgery, corticosteroids contraindicated, chronic ITP)</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92</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122</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373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14,422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10,775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24,626</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3,341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3,946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1,081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275</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58,465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92</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w:t>
            </w:r>
          </w:p>
        </w:tc>
      </w:tr>
      <w:tr w:rsidR="00A611D7" w:rsidRPr="0094576C" w:rsidTr="006C54DF">
        <w:trPr>
          <w:cnfStyle w:val="000000100000" w:firstRow="0" w:lastRow="0" w:firstColumn="0" w:lastColumn="0" w:oddVBand="0" w:evenVBand="0" w:oddHBand="1" w:evenHBand="0" w:firstRowFirstColumn="0" w:firstRowLastColumn="0" w:lastRowFirstColumn="0" w:lastRowLastColumn="0"/>
          <w:cantSplit/>
          <w:trHeight w:hRule="exact" w:val="435"/>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6C54DF">
            <w:pPr>
              <w:cnfStyle w:val="000000100000" w:firstRow="0" w:lastRow="0" w:firstColumn="0" w:lastColumn="0" w:oddVBand="0" w:evenVBand="0" w:oddHBand="1" w:evenHBand="0" w:firstRowFirstColumn="0" w:firstRowLastColumn="0" w:lastRowFirstColumn="0" w:lastRowLastColumn="0"/>
            </w:pPr>
            <w:r>
              <w:rPr>
                <w:color w:val="000000"/>
              </w:rPr>
              <w:t xml:space="preserve">Grams per 1,000 </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ITP refractory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163</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468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12,468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24,718</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20,532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3,909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10,827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1,458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318</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74,228</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ITP with life-threatening haemorrhage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200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297</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29,551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3,481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4,094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1,264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2,559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417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869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42,394</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51</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Kawasaki disease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108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116</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350</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4,737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4,964</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2,436</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1,023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834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630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222</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15,110</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Lambert-Eaton myasthenic syndrome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2,054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2,087</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6,262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845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290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11,538</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lastRenderedPageBreak/>
              <w:t>Multifocal motor neuropathy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84</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90</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Lines/>
              <w:pageBreakBefore/>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92,731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50,260</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41,519</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27,479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26,615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4,643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6,222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6,573</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256,041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Lines/>
              <w:pageBreakBefore/>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43</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58</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rsidP="00922E59">
            <w:pPr>
              <w:keepLines/>
              <w:pageBreakBefore/>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Multiple myeloma</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1,100</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89,334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44,289</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97,480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3,417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5,325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13,040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3,078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255,962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Myasthenia gravis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818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115,692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92,293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101,497</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21,105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5,891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4,367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7,491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348,336</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37</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Neonatal haemochromatosis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1,569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6,213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3,810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1,080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12,675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59</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Non-Hodgkins lymphoma</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247</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488</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1,208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73,136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56,685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124,770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6,010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14,079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8,177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4,973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69</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287,900</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Other Lymphoproliferative / Hypogammaglobulinaemia</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189</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189</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t>Other primary immunodeficiency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130</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13,269</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10,469</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1,977</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2,073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1,402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318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1,497</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31,146</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A611D7" w:rsidRPr="00E872E0" w:rsidRDefault="00A611D7" w:rsidP="00182E01">
            <w:pPr>
              <w:rPr>
                <w:b w:val="0"/>
                <w:color w:val="000000"/>
              </w:rPr>
            </w:pPr>
            <w:r w:rsidRPr="00E872E0">
              <w:rPr>
                <w:b w:val="0"/>
                <w:color w:val="000000"/>
              </w:rPr>
              <w:lastRenderedPageBreak/>
              <w:t>Other relevant haematological malignancies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113</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30,674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15,972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21,316</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4,468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5,680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1,488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1,245</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126</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80,969</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18</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Polymyositis</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154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50</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97</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9</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7</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341</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52,597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26,355</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40,559</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2,611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10,432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1,197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1,352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135,102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47</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37</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Severe combined Immunodeficiency</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8</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1,378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2,334</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3,804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7,686</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17</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Stiff person syndrome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14</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11,768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5,312</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9,352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918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27,500</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48</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44</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41</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45</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Wiskott-Aldrich syndrome</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580</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432</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408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1,420</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E872E0"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19</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E872E0"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tcPr>
          <w:p w:rsidR="00A611D7" w:rsidRPr="00E872E0" w:rsidRDefault="00A611D7" w:rsidP="00182E01">
            <w:pPr>
              <w:rPr>
                <w:b w:val="0"/>
                <w:color w:val="000000"/>
              </w:rPr>
            </w:pPr>
            <w:r w:rsidRPr="00E872E0">
              <w:rPr>
                <w:b w:val="0"/>
                <w:color w:val="000000"/>
              </w:rPr>
              <w:t>X linked agammaglobulinaemia</w:t>
            </w:r>
          </w:p>
          <w:p w:rsidR="00A611D7" w:rsidRPr="00E872E0" w:rsidRDefault="00A611D7" w:rsidP="00182E01">
            <w:pPr>
              <w:rPr>
                <w:b w:val="0"/>
                <w:color w:val="000000"/>
              </w:rPr>
            </w:pPr>
          </w:p>
        </w:tc>
        <w:tc>
          <w:tcPr>
            <w:tcW w:w="1843" w:type="dxa"/>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52</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&lt;5</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113</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376CF7"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10,543</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16,538</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5,154</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1,698</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2,154</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257</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600</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36,945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tcPr>
          <w:p w:rsidR="00A611D7" w:rsidRPr="00376CF7" w:rsidRDefault="00A611D7" w:rsidP="00182E01">
            <w:pPr>
              <w:rPr>
                <w:b w:val="0"/>
              </w:rPr>
            </w:pPr>
          </w:p>
        </w:tc>
        <w:tc>
          <w:tcPr>
            <w:tcW w:w="1843" w:type="dxa"/>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21</w:t>
            </w:r>
          </w:p>
        </w:tc>
        <w:tc>
          <w:tcPr>
            <w:tcW w:w="1333"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w:t>
            </w:r>
          </w:p>
        </w:tc>
        <w:tc>
          <w:tcPr>
            <w:tcW w:w="1077" w:type="dxa"/>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13</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5</w:t>
            </w:r>
          </w:p>
        </w:tc>
        <w:tc>
          <w:tcPr>
            <w:tcW w:w="1077"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24</w:t>
            </w:r>
          </w:p>
        </w:tc>
        <w:tc>
          <w:tcPr>
            <w:tcW w:w="1306" w:type="dxa"/>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22</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A611D7" w:rsidRPr="00376CF7" w:rsidRDefault="00A611D7" w:rsidP="00182E01">
            <w:pPr>
              <w:rPr>
                <w:b w:val="0"/>
              </w:rPr>
            </w:pPr>
          </w:p>
        </w:tc>
        <w:tc>
          <w:tcPr>
            <w:tcW w:w="1843" w:type="dxa"/>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w:t>
            </w:r>
          </w:p>
        </w:tc>
        <w:tc>
          <w:tcPr>
            <w:tcW w:w="1333"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0</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&lt;1</w:t>
            </w:r>
          </w:p>
        </w:tc>
        <w:tc>
          <w:tcPr>
            <w:tcW w:w="1077"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c>
          <w:tcPr>
            <w:tcW w:w="1306" w:type="dxa"/>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tcPr>
          <w:p w:rsidR="00A611D7" w:rsidRDefault="00A611D7" w:rsidP="00182E01">
            <w:pPr>
              <w:rPr>
                <w:color w:val="000000"/>
              </w:rPr>
            </w:pPr>
            <w:r>
              <w:rPr>
                <w:color w:val="000000"/>
              </w:rPr>
              <w:t>Chapter 5 Total</w:t>
            </w:r>
          </w:p>
          <w:p w:rsidR="00A611D7" w:rsidRDefault="00A611D7" w:rsidP="00182E01">
            <w:pPr>
              <w:rPr>
                <w:color w:val="000000"/>
              </w:rPr>
            </w:pPr>
          </w:p>
        </w:tc>
        <w:tc>
          <w:tcPr>
            <w:tcW w:w="1843" w:type="dxa"/>
            <w:shd w:val="clear" w:color="auto" w:fill="D9D9D9" w:themeFill="background1" w:themeFillShade="D9"/>
            <w:noWrap/>
            <w:vAlign w:val="bottom"/>
          </w:tcPr>
          <w:p w:rsidR="00A611D7" w:rsidRDefault="00A611D7">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4,589</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2,707</w:t>
            </w:r>
          </w:p>
        </w:tc>
        <w:tc>
          <w:tcPr>
            <w:tcW w:w="1333"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3275</w:t>
            </w:r>
          </w:p>
        </w:tc>
        <w:tc>
          <w:tcPr>
            <w:tcW w:w="1077" w:type="dxa"/>
            <w:shd w:val="clear" w:color="auto" w:fill="D9D9D9" w:themeFill="background1" w:themeFillShade="D9"/>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638</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677</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263</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220</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61</w:t>
            </w:r>
          </w:p>
        </w:tc>
        <w:tc>
          <w:tcPr>
            <w:tcW w:w="1306"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12,268</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A611D7" w:rsidRPr="0094576C" w:rsidRDefault="00A611D7" w:rsidP="00182E01">
            <w:pPr>
              <w:rPr>
                <w:b w:val="0"/>
              </w:rPr>
            </w:pPr>
          </w:p>
        </w:tc>
        <w:tc>
          <w:tcPr>
            <w:tcW w:w="1843" w:type="dxa"/>
            <w:shd w:val="clear" w:color="auto" w:fill="D9D9D9" w:themeFill="background1" w:themeFillShade="D9"/>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1,345,094</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833,649</w:t>
            </w:r>
          </w:p>
        </w:tc>
        <w:tc>
          <w:tcPr>
            <w:tcW w:w="1333"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1,009,814</w:t>
            </w:r>
          </w:p>
        </w:tc>
        <w:tc>
          <w:tcPr>
            <w:tcW w:w="1077" w:type="dxa"/>
            <w:shd w:val="clear" w:color="auto" w:fill="D9D9D9" w:themeFill="background1" w:themeFillShade="D9"/>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228,118</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202,538</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80,227</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69,793</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16,383</w:t>
            </w:r>
          </w:p>
        </w:tc>
        <w:tc>
          <w:tcPr>
            <w:tcW w:w="1306"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3,785,615</w:t>
            </w:r>
          </w:p>
        </w:tc>
      </w:tr>
      <w:tr w:rsidR="00A611D7"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A611D7" w:rsidRPr="0094576C" w:rsidRDefault="00A611D7" w:rsidP="00182E01">
            <w:pPr>
              <w:rPr>
                <w:b w:val="0"/>
              </w:rPr>
            </w:pPr>
          </w:p>
        </w:tc>
        <w:tc>
          <w:tcPr>
            <w:tcW w:w="1843" w:type="dxa"/>
            <w:shd w:val="clear" w:color="auto" w:fill="D9D9D9" w:themeFill="background1" w:themeFillShade="D9"/>
            <w:noWrap/>
            <w:vAlign w:val="bottom"/>
          </w:tcPr>
          <w:p w:rsidR="00A611D7" w:rsidRPr="0094576C" w:rsidRDefault="00A611D7">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31</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34</w:t>
            </w:r>
          </w:p>
        </w:tc>
        <w:tc>
          <w:tcPr>
            <w:tcW w:w="1333"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29</w:t>
            </w:r>
          </w:p>
        </w:tc>
        <w:tc>
          <w:tcPr>
            <w:tcW w:w="1077" w:type="dxa"/>
            <w:shd w:val="clear" w:color="auto" w:fill="D9D9D9" w:themeFill="background1" w:themeFillShade="D9"/>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39</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33</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28</w:t>
            </w:r>
          </w:p>
        </w:tc>
        <w:tc>
          <w:tcPr>
            <w:tcW w:w="1077"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42</w:t>
            </w:r>
          </w:p>
        </w:tc>
        <w:tc>
          <w:tcPr>
            <w:tcW w:w="1306" w:type="dxa"/>
            <w:shd w:val="clear" w:color="auto" w:fill="D9D9D9" w:themeFill="background1" w:themeFillShade="D9"/>
            <w:noWrap/>
            <w:vAlign w:val="center"/>
          </w:tcPr>
          <w:p w:rsidR="00A611D7" w:rsidRPr="00241F6C" w:rsidRDefault="00A611D7" w:rsidP="00182E01">
            <w:pPr>
              <w:jc w:val="right"/>
              <w:cnfStyle w:val="000000000000" w:firstRow="0" w:lastRow="0" w:firstColumn="0" w:lastColumn="0" w:oddVBand="0" w:evenVBand="0" w:oddHBand="0" w:evenHBand="0" w:firstRowFirstColumn="0" w:firstRowLastColumn="0" w:lastRowFirstColumn="0" w:lastRowLastColumn="0"/>
            </w:pPr>
            <w:r w:rsidRPr="00241F6C">
              <w:t>32</w:t>
            </w:r>
          </w:p>
        </w:tc>
      </w:tr>
      <w:tr w:rsidR="00A611D7"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A611D7" w:rsidRPr="0094576C" w:rsidRDefault="00A611D7" w:rsidP="00182E01">
            <w:pPr>
              <w:rPr>
                <w:b w:val="0"/>
              </w:rPr>
            </w:pPr>
          </w:p>
        </w:tc>
        <w:tc>
          <w:tcPr>
            <w:tcW w:w="1843" w:type="dxa"/>
            <w:shd w:val="clear" w:color="auto" w:fill="D9D9D9" w:themeFill="background1" w:themeFillShade="D9"/>
            <w:noWrap/>
            <w:vAlign w:val="bottom"/>
          </w:tcPr>
          <w:p w:rsidR="00A611D7" w:rsidRPr="0094576C" w:rsidRDefault="00A611D7">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178</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142</w:t>
            </w:r>
          </w:p>
        </w:tc>
        <w:tc>
          <w:tcPr>
            <w:tcW w:w="1333"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213</w:t>
            </w:r>
          </w:p>
        </w:tc>
        <w:tc>
          <w:tcPr>
            <w:tcW w:w="1077" w:type="dxa"/>
            <w:shd w:val="clear" w:color="auto" w:fill="D9D9D9" w:themeFill="background1" w:themeFillShade="D9"/>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88</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120</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156</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180</w:t>
            </w:r>
          </w:p>
        </w:tc>
        <w:tc>
          <w:tcPr>
            <w:tcW w:w="1077" w:type="dxa"/>
            <w:shd w:val="clear" w:color="auto" w:fill="D9D9D9" w:themeFill="background1" w:themeFillShade="D9"/>
            <w:noWrap/>
            <w:vAlign w:val="center"/>
          </w:tcPr>
          <w:p w:rsidR="00A611D7" w:rsidRPr="00241F6C"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67</w:t>
            </w:r>
          </w:p>
        </w:tc>
        <w:tc>
          <w:tcPr>
            <w:tcW w:w="1306" w:type="dxa"/>
            <w:shd w:val="clear" w:color="auto" w:fill="D9D9D9" w:themeFill="background1" w:themeFillShade="D9"/>
            <w:noWrap/>
            <w:vAlign w:val="center"/>
          </w:tcPr>
          <w:p w:rsidR="00A611D7" w:rsidRDefault="00A611D7" w:rsidP="00182E01">
            <w:pPr>
              <w:jc w:val="right"/>
              <w:cnfStyle w:val="000000100000" w:firstRow="0" w:lastRow="0" w:firstColumn="0" w:lastColumn="0" w:oddVBand="0" w:evenVBand="0" w:oddHBand="1" w:evenHBand="0" w:firstRowFirstColumn="0" w:firstRowLastColumn="0" w:lastRowFirstColumn="0" w:lastRowLastColumn="0"/>
            </w:pPr>
            <w:r w:rsidRPr="00241F6C">
              <w:t>160</w:t>
            </w:r>
          </w:p>
        </w:tc>
      </w:tr>
      <w:tr w:rsidR="001D7796"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rsidR="001D7796" w:rsidRDefault="001D7796" w:rsidP="00182E01">
            <w:pPr>
              <w:rPr>
                <w:color w:val="000000"/>
              </w:rPr>
            </w:pPr>
            <w:r>
              <w:rPr>
                <w:color w:val="000000"/>
              </w:rPr>
              <w:lastRenderedPageBreak/>
              <w:t>Chapter 6</w:t>
            </w:r>
          </w:p>
          <w:p w:rsidR="001D7796" w:rsidRDefault="001D7796" w:rsidP="00182E01">
            <w:pPr>
              <w:rPr>
                <w:color w:val="000000"/>
              </w:rPr>
            </w:pPr>
          </w:p>
        </w:tc>
        <w:tc>
          <w:tcPr>
            <w:tcW w:w="1843" w:type="dxa"/>
            <w:shd w:val="clear" w:color="auto" w:fill="auto"/>
            <w:noWrap/>
            <w:vAlign w:val="bottom"/>
          </w:tcPr>
          <w:p w:rsidR="001D7796" w:rsidRDefault="001D7796">
            <w:pPr>
              <w:cnfStyle w:val="000000000000" w:firstRow="0" w:lastRow="0" w:firstColumn="0" w:lastColumn="0" w:oddVBand="0" w:evenVBand="0" w:oddHBand="0" w:evenHBand="0" w:firstRowFirstColumn="0" w:firstRowLastColumn="0" w:lastRowFirstColumn="0" w:lastRowLastColumn="0"/>
              <w:rPr>
                <w:color w:val="000000"/>
              </w:rPr>
            </w:pPr>
          </w:p>
        </w:tc>
        <w:tc>
          <w:tcPr>
            <w:tcW w:w="1275"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333"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306" w:type="dxa"/>
            <w:shd w:val="clear" w:color="auto" w:fill="auto"/>
            <w:noWrap/>
            <w:vAlign w:val="center"/>
          </w:tcPr>
          <w:p w:rsidR="001D7796" w:rsidRDefault="001D7796" w:rsidP="00182E01">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tcPr>
          <w:p w:rsidR="00182E01" w:rsidRDefault="00182E01" w:rsidP="00182E01">
            <w:pPr>
              <w:rPr>
                <w:b w:val="0"/>
                <w:color w:val="000000"/>
              </w:rPr>
            </w:pPr>
            <w:r w:rsidRPr="004925E7">
              <w:rPr>
                <w:b w:val="0"/>
                <w:color w:val="000000"/>
              </w:rPr>
              <w:t>Acute disseminated encephalomyelitis</w:t>
            </w:r>
          </w:p>
          <w:p w:rsidR="00182E01" w:rsidRPr="004925E7" w:rsidRDefault="00182E01" w:rsidP="00182E01">
            <w:pPr>
              <w:rPr>
                <w:b w:val="0"/>
                <w:color w:val="000000"/>
              </w:rPr>
            </w:pPr>
          </w:p>
        </w:tc>
        <w:tc>
          <w:tcPr>
            <w:tcW w:w="1843" w:type="dxa"/>
            <w:shd w:val="clear" w:color="auto" w:fill="auto"/>
            <w:noWrap/>
            <w:vAlign w:val="bottom"/>
          </w:tcPr>
          <w:p w:rsidR="00182E01" w:rsidRDefault="00182E01" w:rsidP="004925E7">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333"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4925E7" w:rsidRDefault="00182E01" w:rsidP="00182E01">
            <w:pPr>
              <w:rPr>
                <w:b w:val="0"/>
                <w:color w:val="000000"/>
              </w:rPr>
            </w:pPr>
          </w:p>
        </w:tc>
        <w:tc>
          <w:tcPr>
            <w:tcW w:w="1843" w:type="dxa"/>
            <w:shd w:val="clear" w:color="auto" w:fill="auto"/>
            <w:noWrap/>
            <w:vAlign w:val="bottom"/>
          </w:tcPr>
          <w:p w:rsidR="00182E01" w:rsidRPr="0094576C" w:rsidRDefault="00182E01" w:rsidP="004925E7">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3,416</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2,108</w:t>
            </w:r>
          </w:p>
        </w:tc>
        <w:tc>
          <w:tcPr>
            <w:tcW w:w="1333"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2,883</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410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395</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36</w:t>
            </w:r>
          </w:p>
        </w:tc>
        <w:tc>
          <w:tcPr>
            <w:tcW w:w="1306"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9,248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4925E7" w:rsidRDefault="00182E01" w:rsidP="00182E01">
            <w:pPr>
              <w:rPr>
                <w:b w:val="0"/>
                <w:color w:val="000000"/>
              </w:rPr>
            </w:pPr>
          </w:p>
        </w:tc>
        <w:tc>
          <w:tcPr>
            <w:tcW w:w="1843" w:type="dxa"/>
            <w:shd w:val="clear" w:color="auto" w:fill="auto"/>
            <w:noWrap/>
            <w:vAlign w:val="bottom"/>
          </w:tcPr>
          <w:p w:rsidR="00182E01" w:rsidRPr="0094576C" w:rsidRDefault="00182E01" w:rsidP="004925E7">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31</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38</w:t>
            </w:r>
          </w:p>
        </w:tc>
        <w:tc>
          <w:tcPr>
            <w:tcW w:w="1333"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46</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306"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4925E7" w:rsidRDefault="00182E01" w:rsidP="00182E01">
            <w:pPr>
              <w:rPr>
                <w:b w:val="0"/>
                <w:color w:val="000000"/>
              </w:rPr>
            </w:pPr>
          </w:p>
        </w:tc>
        <w:tc>
          <w:tcPr>
            <w:tcW w:w="1843" w:type="dxa"/>
            <w:shd w:val="clear" w:color="auto" w:fill="auto"/>
            <w:noWrap/>
            <w:vAlign w:val="bottom"/>
          </w:tcPr>
          <w:p w:rsidR="00182E01" w:rsidRPr="0094576C" w:rsidRDefault="00182E01" w:rsidP="004925E7">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tcPr>
          <w:p w:rsidR="00182E01" w:rsidRPr="00E872E0" w:rsidRDefault="00182E01" w:rsidP="00182E01">
            <w:pPr>
              <w:rPr>
                <w:b w:val="0"/>
                <w:color w:val="000000"/>
              </w:rPr>
            </w:pPr>
            <w:r w:rsidRPr="00E872E0">
              <w:rPr>
                <w:b w:val="0"/>
                <w:color w:val="000000"/>
              </w:rPr>
              <w:t>ANCA (PR3 or MPO)-positive idiopathic rapidly progressive glomerulonephritis</w:t>
            </w:r>
          </w:p>
          <w:p w:rsidR="00182E01" w:rsidRPr="00E872E0" w:rsidRDefault="00182E01" w:rsidP="00182E01">
            <w:pPr>
              <w:rPr>
                <w:b w:val="0"/>
                <w:color w:val="000000"/>
              </w:rPr>
            </w:pPr>
          </w:p>
        </w:tc>
        <w:tc>
          <w:tcPr>
            <w:tcW w:w="1843" w:type="dxa"/>
            <w:shd w:val="clear" w:color="auto" w:fill="auto"/>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E872E0" w:rsidRDefault="00182E01" w:rsidP="00182E01">
            <w:pPr>
              <w:rPr>
                <w:b w:val="0"/>
              </w:rPr>
            </w:pPr>
          </w:p>
        </w:tc>
        <w:tc>
          <w:tcPr>
            <w:tcW w:w="1843" w:type="dxa"/>
            <w:shd w:val="clear" w:color="auto" w:fill="auto"/>
            <w:noWrap/>
            <w:vAlign w:val="bottom"/>
          </w:tcPr>
          <w:p w:rsidR="00182E01" w:rsidRPr="0094576C" w:rsidRDefault="00182E01" w:rsidP="0015311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512</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885</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shd w:val="clear" w:color="auto" w:fill="auto"/>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1,397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E872E0" w:rsidRDefault="00182E01" w:rsidP="00182E01">
            <w:pPr>
              <w:rPr>
                <w:b w:val="0"/>
              </w:rPr>
            </w:pPr>
          </w:p>
        </w:tc>
        <w:tc>
          <w:tcPr>
            <w:tcW w:w="1843" w:type="dxa"/>
            <w:shd w:val="clear" w:color="auto" w:fill="auto"/>
            <w:noWrap/>
            <w:vAlign w:val="bottom"/>
          </w:tcPr>
          <w:p w:rsidR="00182E01" w:rsidRPr="0094576C" w:rsidRDefault="00182E01" w:rsidP="0015311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34</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shd w:val="clear" w:color="auto" w:fill="auto"/>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noWrap/>
          </w:tcPr>
          <w:p w:rsidR="00182E01" w:rsidRPr="00E872E0" w:rsidRDefault="00182E01" w:rsidP="00182E01">
            <w:pPr>
              <w:pStyle w:val="NoSpacing"/>
              <w:rPr>
                <w:b w:val="0"/>
              </w:rPr>
            </w:pPr>
          </w:p>
        </w:tc>
        <w:tc>
          <w:tcPr>
            <w:tcW w:w="1843" w:type="dxa"/>
            <w:noWrap/>
            <w:vAlign w:val="bottom"/>
          </w:tcPr>
          <w:p w:rsidR="00182E01" w:rsidRPr="0094576C" w:rsidRDefault="00182E01" w:rsidP="0015311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Autoimmune haemolytic anaemia</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4,580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1,952</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7,536</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1,427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3,762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1,008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20,288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Bullous pemphigoid</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7,860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1,290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2,193</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420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198</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11,961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66</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Churg-Strauss syndrome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342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492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Cicatricial pemphigoid</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4,500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5,486</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4,160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1,890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4,315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20,621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69</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135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Evans syndrome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310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259</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766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78</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Foeto-maternal /neonatal alloimmune thrombocytopenia (Antenatal)</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2,427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1,743</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4,056</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1,197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4,320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13,821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Foeto-maternal /neonatal alloimmune thrombocytopenia (Neonatal)</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33</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93</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Haemophagocytic syndrome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2,788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2,679</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657</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183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225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200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6,758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31</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IgG subclass deficiency EXISTING patients only</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7,998</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870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1,524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1,548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12,018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21</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IgG subclass deficiency. Exisitng patient with suppurative lung disease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7,609</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7,717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IgM para-proteinaemic neuropathy</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77</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9,522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3,473</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11,697</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2,970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1,249</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28,911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41</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ITP in children</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48</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133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1,871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761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1,587</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426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1,176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205</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6,119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51</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Kidney transplantation  post-transplant</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172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9,483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48,496</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16,973</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2,788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1,621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3,555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83,131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Kidney transplantation  pre-transplant</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2,160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3,398</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1,238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6,901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17</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Microscopic polyangiitis</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570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762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Multiple sclerosis - severe relapse with no response to high dose methylprednisolone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1,797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784</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1,990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4,571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Multiple sclerosis in pregnancy</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732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318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1,050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6C54DF">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Multiple sclerosis in young patients severe/relapsing/remitting in whom other therapies have failed</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4,399</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156</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1,110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5,665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78</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w:t>
            </w:r>
          </w:p>
        </w:tc>
      </w:tr>
      <w:tr w:rsidR="00182E01" w:rsidRPr="0094576C" w:rsidTr="006C54DF">
        <w:trPr>
          <w:cantSplit/>
          <w:trHeight w:hRule="exact" w:val="397"/>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6C54DF" w:rsidP="006C54DF">
            <w:pPr>
              <w:cnfStyle w:val="000000000000" w:firstRow="0" w:lastRow="0" w:firstColumn="0" w:lastColumn="0" w:oddVBand="0" w:evenVBand="0" w:oddHBand="0" w:evenHBand="0" w:firstRowFirstColumn="0" w:firstRowLastColumn="0" w:lastRowFirstColumn="0" w:lastRowLastColumn="0"/>
            </w:pPr>
            <w:r>
              <w:rPr>
                <w:color w:val="000000"/>
              </w:rPr>
              <w:t>Grams per 1,000</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 xml:space="preserve">Opsoclonus myoclonus </w:t>
            </w:r>
            <w:r w:rsidRPr="00E872E0">
              <w:rPr>
                <w:b w:val="0"/>
                <w:color w:val="000000"/>
              </w:rPr>
              <w:lastRenderedPageBreak/>
              <w:t>ataxia</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2,721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1,311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261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1,533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5,925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Pemphigus foliaceus</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2,458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418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2,876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Pemphigus vulgaris</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11,205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2,909</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3,069</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1,440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1,450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1,980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22,052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69</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145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180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Post transfusion purpura</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240</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295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Secondary hypogammaglobulinaemia (excludes haem malignancies)</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183</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580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49,941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18,561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44,542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3,904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3,066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5,656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681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126,561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42</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9</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Specific antibody deficiency</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57</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22,260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8,553</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14,168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11,065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5,387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746</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1,359</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109</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63,646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Toxic epidermal necrolysis/Steven Johnson syndrome</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20</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2,137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3,421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718</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449</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390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790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237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8,142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60</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113</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TSS - staphylococcal</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1,508</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4,142</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509</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795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57</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395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464</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7,869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109</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64</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61</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116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89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TSS - streptococcal</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32</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4,402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4,281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1,151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1,645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1,095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890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563</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14,027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73</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58</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72</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94</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76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Wegeners granulomatosis</w:t>
            </w:r>
          </w:p>
          <w:p w:rsidR="00182E01" w:rsidRPr="00E872E0" w:rsidRDefault="00182E01" w:rsidP="00182E01">
            <w:pPr>
              <w:rPr>
                <w:b w:val="0"/>
                <w:color w:val="000000"/>
              </w:rPr>
            </w:pPr>
          </w:p>
        </w:tc>
        <w:tc>
          <w:tcPr>
            <w:tcW w:w="1843" w:type="dxa"/>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&lt;5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376CF7"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135</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312</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351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810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376CF7"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24</w:t>
            </w:r>
          </w:p>
        </w:tc>
        <w:tc>
          <w:tcPr>
            <w:tcW w:w="1333"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w:t>
            </w:r>
          </w:p>
        </w:tc>
        <w:tc>
          <w:tcPr>
            <w:tcW w:w="1077" w:type="dxa"/>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376CF7"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333"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077"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0</w:t>
            </w:r>
          </w:p>
        </w:tc>
        <w:tc>
          <w:tcPr>
            <w:tcW w:w="1306" w:type="dxa"/>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&lt;1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tcPr>
          <w:p w:rsidR="00182E01" w:rsidRDefault="00182E01" w:rsidP="00182E01">
            <w:pPr>
              <w:rPr>
                <w:color w:val="000000"/>
              </w:rPr>
            </w:pPr>
            <w:r>
              <w:rPr>
                <w:color w:val="000000"/>
              </w:rPr>
              <w:t>Chapter 6 Total</w:t>
            </w:r>
          </w:p>
          <w:p w:rsidR="00182E01" w:rsidRDefault="00182E01" w:rsidP="00182E01">
            <w:pPr>
              <w:rPr>
                <w:color w:val="000000"/>
              </w:rPr>
            </w:pPr>
          </w:p>
        </w:tc>
        <w:tc>
          <w:tcPr>
            <w:tcW w:w="1843" w:type="dxa"/>
            <w:shd w:val="clear" w:color="auto" w:fill="D9D9D9" w:themeFill="background1" w:themeFillShade="D9"/>
            <w:noWrap/>
            <w:vAlign w:val="bottom"/>
          </w:tcPr>
          <w:p w:rsidR="00182E01" w:rsidRDefault="00182E01">
            <w:pPr>
              <w:cnfStyle w:val="000000100000" w:firstRow="0" w:lastRow="0" w:firstColumn="0" w:lastColumn="0" w:oddVBand="0" w:evenVBand="0" w:oddHBand="1" w:evenHBand="0" w:firstRowFirstColumn="0" w:firstRowLastColumn="0" w:lastRowFirstColumn="0" w:lastRowLastColumn="0"/>
              <w:rPr>
                <w:color w:val="000000"/>
              </w:rPr>
            </w:pPr>
            <w:r>
              <w:rPr>
                <w:color w:val="000000"/>
              </w:rPr>
              <w:t>Patients</w:t>
            </w:r>
          </w:p>
        </w:tc>
        <w:tc>
          <w:tcPr>
            <w:tcW w:w="1275"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698</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555</w:t>
            </w:r>
          </w:p>
        </w:tc>
        <w:tc>
          <w:tcPr>
            <w:tcW w:w="1333"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501</w:t>
            </w:r>
          </w:p>
        </w:tc>
        <w:tc>
          <w:tcPr>
            <w:tcW w:w="1077" w:type="dxa"/>
            <w:shd w:val="clear" w:color="auto" w:fill="D9D9D9" w:themeFill="background1" w:themeFillShade="D9"/>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150</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123</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57</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34</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10</w:t>
            </w:r>
          </w:p>
        </w:tc>
        <w:tc>
          <w:tcPr>
            <w:tcW w:w="1306"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2,103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376CF7" w:rsidRDefault="00182E01" w:rsidP="00182E01">
            <w:pPr>
              <w:rPr>
                <w:b w:val="0"/>
              </w:rPr>
            </w:pPr>
          </w:p>
        </w:tc>
        <w:tc>
          <w:tcPr>
            <w:tcW w:w="1843" w:type="dxa"/>
            <w:shd w:val="clear" w:color="auto" w:fill="D9D9D9" w:themeFill="background1" w:themeFillShade="D9"/>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w:t>
            </w:r>
          </w:p>
        </w:tc>
        <w:tc>
          <w:tcPr>
            <w:tcW w:w="1275"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160,886</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124,394</w:t>
            </w:r>
          </w:p>
        </w:tc>
        <w:tc>
          <w:tcPr>
            <w:tcW w:w="1333"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122,582</w:t>
            </w:r>
          </w:p>
        </w:tc>
        <w:tc>
          <w:tcPr>
            <w:tcW w:w="1077" w:type="dxa"/>
            <w:shd w:val="clear" w:color="auto" w:fill="D9D9D9" w:themeFill="background1" w:themeFillShade="D9"/>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31,094</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29,201</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15,220</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10,333</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779</w:t>
            </w:r>
          </w:p>
        </w:tc>
        <w:tc>
          <w:tcPr>
            <w:tcW w:w="1306"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494,489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376CF7" w:rsidRDefault="00182E01" w:rsidP="00182E01">
            <w:pPr>
              <w:rPr>
                <w:b w:val="0"/>
              </w:rPr>
            </w:pPr>
          </w:p>
        </w:tc>
        <w:tc>
          <w:tcPr>
            <w:tcW w:w="1843" w:type="dxa"/>
            <w:shd w:val="clear" w:color="auto" w:fill="D9D9D9" w:themeFill="background1" w:themeFillShade="D9"/>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Grams/Episode</w:t>
            </w:r>
          </w:p>
        </w:tc>
        <w:tc>
          <w:tcPr>
            <w:tcW w:w="1275"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32</w:t>
            </w:r>
          </w:p>
        </w:tc>
        <w:tc>
          <w:tcPr>
            <w:tcW w:w="1333"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28</w:t>
            </w:r>
          </w:p>
        </w:tc>
        <w:tc>
          <w:tcPr>
            <w:tcW w:w="1077" w:type="dxa"/>
            <w:shd w:val="clear" w:color="auto" w:fill="D9D9D9" w:themeFill="background1" w:themeFillShade="D9"/>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27</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41</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55</w:t>
            </w:r>
          </w:p>
        </w:tc>
        <w:tc>
          <w:tcPr>
            <w:tcW w:w="1077"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26</w:t>
            </w:r>
          </w:p>
        </w:tc>
        <w:tc>
          <w:tcPr>
            <w:tcW w:w="1306" w:type="dxa"/>
            <w:shd w:val="clear" w:color="auto" w:fill="D9D9D9" w:themeFill="background1" w:themeFillShade="D9"/>
            <w:noWrap/>
            <w:vAlign w:val="center"/>
          </w:tcPr>
          <w:p w:rsidR="00182E01" w:rsidRPr="000F6EFD"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0F6EFD">
              <w:t>30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376CF7" w:rsidRDefault="00182E01" w:rsidP="00182E01">
            <w:pPr>
              <w:rPr>
                <w:b w:val="0"/>
              </w:rPr>
            </w:pPr>
          </w:p>
        </w:tc>
        <w:tc>
          <w:tcPr>
            <w:tcW w:w="1843" w:type="dxa"/>
            <w:shd w:val="clear" w:color="auto" w:fill="D9D9D9" w:themeFill="background1" w:themeFillShade="D9"/>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 per 1,000 Population</w:t>
            </w:r>
          </w:p>
        </w:tc>
        <w:tc>
          <w:tcPr>
            <w:tcW w:w="1275"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w:t>
            </w:r>
          </w:p>
        </w:tc>
        <w:tc>
          <w:tcPr>
            <w:tcW w:w="1333"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26</w:t>
            </w:r>
          </w:p>
        </w:tc>
        <w:tc>
          <w:tcPr>
            <w:tcW w:w="1077" w:type="dxa"/>
            <w:shd w:val="clear" w:color="auto" w:fill="D9D9D9" w:themeFill="background1" w:themeFillShade="D9"/>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12</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17</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30</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27</w:t>
            </w:r>
          </w:p>
        </w:tc>
        <w:tc>
          <w:tcPr>
            <w:tcW w:w="1077" w:type="dxa"/>
            <w:shd w:val="clear" w:color="auto" w:fill="D9D9D9" w:themeFill="background1" w:themeFillShade="D9"/>
            <w:noWrap/>
            <w:vAlign w:val="center"/>
          </w:tcPr>
          <w:p w:rsidR="00182E01" w:rsidRPr="000F6EFD"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3</w:t>
            </w:r>
          </w:p>
        </w:tc>
        <w:tc>
          <w:tcPr>
            <w:tcW w:w="1306" w:type="dxa"/>
            <w:shd w:val="clear" w:color="auto" w:fill="D9D9D9" w:themeFill="background1" w:themeFillShade="D9"/>
            <w:noWrap/>
            <w:vAlign w:val="center"/>
          </w:tcPr>
          <w:p w:rsidR="00182E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0F6EFD">
              <w:t>21</w:t>
            </w:r>
          </w:p>
        </w:tc>
      </w:tr>
      <w:tr w:rsidR="001D7796"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rsidR="001D7796" w:rsidRDefault="001D7796" w:rsidP="00182E01">
            <w:pPr>
              <w:rPr>
                <w:color w:val="000000"/>
              </w:rPr>
            </w:pPr>
            <w:r>
              <w:rPr>
                <w:color w:val="000000"/>
              </w:rPr>
              <w:t>Chapter 7</w:t>
            </w:r>
          </w:p>
          <w:p w:rsidR="001D7796" w:rsidRDefault="001D7796" w:rsidP="00182E01">
            <w:pPr>
              <w:rPr>
                <w:color w:val="000000"/>
              </w:rPr>
            </w:pPr>
          </w:p>
        </w:tc>
        <w:tc>
          <w:tcPr>
            <w:tcW w:w="1843" w:type="dxa"/>
            <w:shd w:val="clear" w:color="auto" w:fill="auto"/>
            <w:noWrap/>
            <w:vAlign w:val="bottom"/>
          </w:tcPr>
          <w:p w:rsidR="001D7796" w:rsidRDefault="001D7796">
            <w:pPr>
              <w:cnfStyle w:val="000000100000" w:firstRow="0" w:lastRow="0" w:firstColumn="0" w:lastColumn="0" w:oddVBand="0" w:evenVBand="0" w:oddHBand="1" w:evenHBand="0" w:firstRowFirstColumn="0" w:firstRowLastColumn="0" w:lastRowFirstColumn="0" w:lastRowLastColumn="0"/>
              <w:rPr>
                <w:color w:val="000000"/>
              </w:rPr>
            </w:pPr>
          </w:p>
        </w:tc>
        <w:tc>
          <w:tcPr>
            <w:tcW w:w="1275"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333"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077"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306" w:type="dxa"/>
            <w:shd w:val="clear" w:color="auto" w:fill="auto"/>
            <w:noWrap/>
            <w:vAlign w:val="center"/>
          </w:tcPr>
          <w:p w:rsidR="001D7796" w:rsidRDefault="001D7796" w:rsidP="00182E01">
            <w:pPr>
              <w:jc w:val="right"/>
              <w:cnfStyle w:val="000000100000" w:firstRow="0" w:lastRow="0" w:firstColumn="0" w:lastColumn="0" w:oddVBand="0" w:evenVBand="0" w:oddHBand="1" w:evenHBand="0" w:firstRowFirstColumn="0" w:firstRowLastColumn="0" w:lastRowFirstColumn="0" w:lastRowLastColumn="0"/>
              <w:rPr>
                <w:color w:val="000000"/>
              </w:rPr>
            </w:pP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noWrap/>
          </w:tcPr>
          <w:p w:rsidR="00182E01" w:rsidRPr="00E872E0" w:rsidRDefault="00182E01" w:rsidP="00182E01">
            <w:pPr>
              <w:rPr>
                <w:b w:val="0"/>
                <w:color w:val="000000"/>
              </w:rPr>
            </w:pPr>
            <w:r w:rsidRPr="00E872E0">
              <w:rPr>
                <w:b w:val="0"/>
                <w:color w:val="000000"/>
              </w:rPr>
              <w:t>Acute leukaemia in children</w:t>
            </w:r>
          </w:p>
          <w:p w:rsidR="00182E01" w:rsidRPr="00E872E0" w:rsidRDefault="00182E01" w:rsidP="00182E01">
            <w:pPr>
              <w:rPr>
                <w:b w:val="0"/>
                <w:color w:val="000000"/>
              </w:rPr>
            </w:pPr>
          </w:p>
        </w:tc>
        <w:tc>
          <w:tcPr>
            <w:tcW w:w="1843" w:type="dxa"/>
            <w:shd w:val="clear" w:color="auto" w:fill="auto"/>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333"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E872E0" w:rsidRDefault="00182E01" w:rsidP="00182E01">
            <w:pPr>
              <w:rPr>
                <w:b w:val="0"/>
              </w:rPr>
            </w:pPr>
          </w:p>
        </w:tc>
        <w:tc>
          <w:tcPr>
            <w:tcW w:w="1843" w:type="dxa"/>
            <w:shd w:val="clear" w:color="auto" w:fill="auto"/>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291</w:t>
            </w:r>
          </w:p>
        </w:tc>
        <w:tc>
          <w:tcPr>
            <w:tcW w:w="1333"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shd w:val="clear" w:color="auto" w:fill="auto"/>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291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E872E0" w:rsidRDefault="00182E01" w:rsidP="00182E01">
            <w:pPr>
              <w:rPr>
                <w:b w:val="0"/>
              </w:rPr>
            </w:pPr>
          </w:p>
        </w:tc>
        <w:tc>
          <w:tcPr>
            <w:tcW w:w="1843" w:type="dxa"/>
            <w:shd w:val="clear" w:color="auto" w:fill="auto"/>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c>
          <w:tcPr>
            <w:tcW w:w="1333"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shd w:val="clear" w:color="auto" w:fill="auto"/>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Autoimmune neutropenia</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2,103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155</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685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2,943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52</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Autoimmune uveitis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475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135</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753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 xml:space="preserve">Catastrophic </w:t>
            </w:r>
            <w:r w:rsidRPr="00E872E0">
              <w:rPr>
                <w:b w:val="0"/>
                <w:color w:val="000000"/>
              </w:rPr>
              <w:lastRenderedPageBreak/>
              <w:t>antiphospholipid syndrome</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813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288</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1,944</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3,216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Coagulation factor inhibitors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132</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1,699</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719</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2,790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94</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Devic disease (neuromyelitis optica)</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4,984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885</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1,662</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350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8,821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28</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128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Diabetic Amyotrophy</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1,647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1,338</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705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3,726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Epidermolysis bullosa acquisita</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1,461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1,170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2,631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Epilepsy (rare childhood cases)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360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2,480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1,217</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1,324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126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5,507</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Graves ophthalmopathy</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2,490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2,490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 xml:space="preserve">Haemolytic disease of the </w:t>
            </w:r>
            <w:r w:rsidRPr="00E872E0">
              <w:rPr>
                <w:b w:val="0"/>
                <w:color w:val="000000"/>
              </w:rPr>
              <w:lastRenderedPageBreak/>
              <w:t>newborn</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183</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1,035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609</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2,013</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41</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Hashimoto encephalopathy</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627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973</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660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1,270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3,530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Limbic Encephalitis (nonparaneoplastic)</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147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7,850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6,646</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15,559</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1,027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861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410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3,438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287</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36,076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41</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Limbic Encephalitis (Paraneoplastic)</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643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1,528</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3,067</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510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132</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6,080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28</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Myocarditis in children</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99</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273</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349</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778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PANDAS/tic disorders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718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864</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288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204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2,161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51</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Paraneoplastic cerebellar degeneration (Yo antibodies)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630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85</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1,503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512</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3,005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 xml:space="preserve">Paraneoplastic Subacute </w:t>
            </w:r>
            <w:r w:rsidRPr="00E872E0">
              <w:rPr>
                <w:b w:val="0"/>
                <w:color w:val="000000"/>
              </w:rPr>
              <w:lastRenderedPageBreak/>
              <w:t>Sensory Neuropathy</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630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812</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400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208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2,249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41</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Paraneoplastic syndromes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1,195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363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1,558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Potassium channel antibody-associated encephalopathy</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4,540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639</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426</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998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1,800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754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9,396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39</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111</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44</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Pure red cell aplasia</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12</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1,790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497</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2,754</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1,510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1,440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8,091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44</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51</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84</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Pyoderma gangrenosum</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1,703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7,627</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1,200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2,592</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135</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13,256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59</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Rasmussen Syndrome</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2,451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486</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549</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510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363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5,249</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Scleromyxedema</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4,285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1,161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980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6,426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23</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43</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Sjogren's Syndrome</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1,936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1,089</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1,445</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2,476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2,715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9,761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41</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heart</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461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1,340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396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3,137</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57</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140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44</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heart/lung</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838</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324</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1,258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23</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liver</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733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93</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65</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915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47</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lung</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94</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5,663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6,502</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2,759</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406</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559</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423</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16,311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48</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23</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29</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other</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Solid organ - pancreas</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335</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335</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12</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Susac syndrome</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2,274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2,610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4,884</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47</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Systemic Capillary Leak syndrome</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9</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1,518</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1,980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3,060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1,680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8,238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104</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113</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872E0"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tcPr>
          <w:p w:rsidR="00182E01" w:rsidRPr="00E872E0" w:rsidRDefault="00182E01" w:rsidP="00182E01">
            <w:pPr>
              <w:rPr>
                <w:b w:val="0"/>
                <w:color w:val="000000"/>
              </w:rPr>
            </w:pPr>
            <w:r w:rsidRPr="00E872E0">
              <w:rPr>
                <w:b w:val="0"/>
                <w:color w:val="000000"/>
              </w:rPr>
              <w:t>Transplant - Solid Organ</w:t>
            </w:r>
          </w:p>
          <w:p w:rsidR="00182E01" w:rsidRPr="00E872E0" w:rsidRDefault="00182E01" w:rsidP="00182E01">
            <w:pPr>
              <w:rPr>
                <w:b w:val="0"/>
                <w:color w:val="000000"/>
              </w:rPr>
            </w:pPr>
          </w:p>
        </w:tc>
        <w:tc>
          <w:tcPr>
            <w:tcW w:w="1843" w:type="dxa"/>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&lt;5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64829"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270</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64829" w:rsidRDefault="00182E01" w:rsidP="00182E01">
            <w:pPr>
              <w:rPr>
                <w:b w:val="0"/>
              </w:rPr>
            </w:pPr>
          </w:p>
        </w:tc>
        <w:tc>
          <w:tcPr>
            <w:tcW w:w="1843" w:type="dxa"/>
            <w:noWrap/>
            <w:vAlign w:val="bottom"/>
          </w:tcPr>
          <w:p w:rsidR="00182E01" w:rsidRPr="0094576C" w:rsidRDefault="00182E01">
            <w:pPr>
              <w:cnfStyle w:val="000000000000" w:firstRow="0" w:lastRow="0" w:firstColumn="0" w:lastColumn="0" w:oddVBand="0" w:evenVBand="0" w:oddHBand="0" w:evenHBand="0" w:firstRowFirstColumn="0" w:firstRowLastColumn="0" w:lastRowFirstColumn="0" w:lastRowLastColumn="0"/>
            </w:pPr>
            <w:r>
              <w:rPr>
                <w:color w:val="000000"/>
              </w:rPr>
              <w:t>Grams/Episode</w:t>
            </w:r>
          </w:p>
        </w:tc>
        <w:tc>
          <w:tcPr>
            <w:tcW w:w="1275"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15</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15</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Pr>
          <w:p w:rsidR="00182E01" w:rsidRPr="00E64829" w:rsidRDefault="00182E01" w:rsidP="00182E01">
            <w:pPr>
              <w:rPr>
                <w:b w:val="0"/>
              </w:rPr>
            </w:pPr>
          </w:p>
        </w:tc>
        <w:tc>
          <w:tcPr>
            <w:tcW w:w="1843" w:type="dxa"/>
            <w:noWrap/>
            <w:vAlign w:val="bottom"/>
          </w:tcPr>
          <w:p w:rsidR="00182E01" w:rsidRPr="0094576C" w:rsidRDefault="00182E01">
            <w:pPr>
              <w:cnfStyle w:val="000000100000" w:firstRow="0" w:lastRow="0" w:firstColumn="0" w:lastColumn="0" w:oddVBand="0" w:evenVBand="0" w:oddHBand="1" w:evenHBand="0" w:firstRowFirstColumn="0" w:firstRowLastColumn="0" w:lastRowFirstColumn="0" w:lastRowLastColumn="0"/>
            </w:pPr>
            <w:r>
              <w:rPr>
                <w:color w:val="000000"/>
              </w:rPr>
              <w:t>Grams per 1,000 Population</w:t>
            </w:r>
          </w:p>
        </w:tc>
        <w:tc>
          <w:tcPr>
            <w:tcW w:w="1275"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33"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077"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0</w:t>
            </w:r>
          </w:p>
        </w:tc>
        <w:tc>
          <w:tcPr>
            <w:tcW w:w="1306" w:type="dxa"/>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&lt;1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tcPr>
          <w:p w:rsidR="00182E01" w:rsidRDefault="00182E01" w:rsidP="00182E01">
            <w:pPr>
              <w:rPr>
                <w:color w:val="000000"/>
              </w:rPr>
            </w:pPr>
            <w:r>
              <w:rPr>
                <w:color w:val="000000"/>
              </w:rPr>
              <w:t>Chapter 7 Total</w:t>
            </w:r>
          </w:p>
          <w:p w:rsidR="00182E01" w:rsidRDefault="00182E01" w:rsidP="00182E01">
            <w:pPr>
              <w:rPr>
                <w:color w:val="000000"/>
              </w:rPr>
            </w:pPr>
          </w:p>
        </w:tc>
        <w:tc>
          <w:tcPr>
            <w:tcW w:w="1843" w:type="dxa"/>
            <w:shd w:val="clear" w:color="auto" w:fill="D9D9D9" w:themeFill="background1" w:themeFillShade="D9"/>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218</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200</w:t>
            </w:r>
          </w:p>
        </w:tc>
        <w:tc>
          <w:tcPr>
            <w:tcW w:w="1333"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163</w:t>
            </w:r>
          </w:p>
        </w:tc>
        <w:tc>
          <w:tcPr>
            <w:tcW w:w="1077" w:type="dxa"/>
            <w:shd w:val="clear" w:color="auto" w:fill="D9D9D9" w:themeFill="background1" w:themeFillShade="D9"/>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51</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48</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16</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24</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6</w:t>
            </w:r>
          </w:p>
        </w:tc>
        <w:tc>
          <w:tcPr>
            <w:tcW w:w="1306"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716</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color w:val="000000"/>
              </w:rPr>
            </w:pPr>
          </w:p>
        </w:tc>
        <w:tc>
          <w:tcPr>
            <w:tcW w:w="1843" w:type="dxa"/>
            <w:shd w:val="clear" w:color="auto" w:fill="D9D9D9" w:themeFill="background1" w:themeFillShade="D9"/>
            <w:noWrap/>
            <w:vAlign w:val="bottom"/>
          </w:tcPr>
          <w:p w:rsidR="00182E01" w:rsidRPr="00E25303" w:rsidRDefault="00182E01">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Grams</w:t>
            </w:r>
          </w:p>
        </w:tc>
        <w:tc>
          <w:tcPr>
            <w:tcW w:w="1275"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49,344</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39,652</w:t>
            </w:r>
          </w:p>
        </w:tc>
        <w:tc>
          <w:tcPr>
            <w:tcW w:w="1333"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47,836</w:t>
            </w:r>
          </w:p>
        </w:tc>
        <w:tc>
          <w:tcPr>
            <w:tcW w:w="1077" w:type="dxa"/>
            <w:shd w:val="clear" w:color="auto" w:fill="D9D9D9" w:themeFill="background1" w:themeFillShade="D9"/>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11,683</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14,008</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5,229</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9,801</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669</w:t>
            </w:r>
          </w:p>
        </w:tc>
        <w:tc>
          <w:tcPr>
            <w:tcW w:w="1306"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178,221</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color w:val="000000"/>
              </w:rPr>
            </w:pPr>
          </w:p>
        </w:tc>
        <w:tc>
          <w:tcPr>
            <w:tcW w:w="1843" w:type="dxa"/>
            <w:shd w:val="clear" w:color="auto" w:fill="D9D9D9" w:themeFill="background1" w:themeFillShade="D9"/>
            <w:noWrap/>
            <w:vAlign w:val="bottom"/>
          </w:tcPr>
          <w:p w:rsidR="00182E01" w:rsidRPr="00E25303" w:rsidRDefault="00182E01">
            <w:pPr>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Grams/Episode</w:t>
            </w:r>
          </w:p>
        </w:tc>
        <w:tc>
          <w:tcPr>
            <w:tcW w:w="1275"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35</w:t>
            </w:r>
          </w:p>
        </w:tc>
        <w:tc>
          <w:tcPr>
            <w:tcW w:w="1333"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36</w:t>
            </w:r>
          </w:p>
        </w:tc>
        <w:tc>
          <w:tcPr>
            <w:tcW w:w="1077" w:type="dxa"/>
            <w:shd w:val="clear" w:color="auto" w:fill="D9D9D9" w:themeFill="background1" w:themeFillShade="D9"/>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55</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47</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55</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30</w:t>
            </w:r>
          </w:p>
        </w:tc>
        <w:tc>
          <w:tcPr>
            <w:tcW w:w="1306"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38</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color w:val="000000"/>
              </w:rPr>
            </w:pPr>
          </w:p>
        </w:tc>
        <w:tc>
          <w:tcPr>
            <w:tcW w:w="1843" w:type="dxa"/>
            <w:shd w:val="clear" w:color="auto" w:fill="D9D9D9" w:themeFill="background1" w:themeFillShade="D9"/>
            <w:noWrap/>
            <w:vAlign w:val="bottom"/>
          </w:tcPr>
          <w:p w:rsidR="00182E01" w:rsidRPr="00E25303" w:rsidRDefault="00182E01">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Grams per 1,000 Population</w:t>
            </w:r>
          </w:p>
        </w:tc>
        <w:tc>
          <w:tcPr>
            <w:tcW w:w="1275"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w:t>
            </w:r>
          </w:p>
        </w:tc>
        <w:tc>
          <w:tcPr>
            <w:tcW w:w="1333"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w:t>
            </w:r>
          </w:p>
        </w:tc>
        <w:tc>
          <w:tcPr>
            <w:tcW w:w="1077" w:type="dxa"/>
            <w:shd w:val="clear" w:color="auto" w:fill="D9D9D9" w:themeFill="background1" w:themeFillShade="D9"/>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3</w:t>
            </w:r>
          </w:p>
        </w:tc>
        <w:tc>
          <w:tcPr>
            <w:tcW w:w="1306"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tcPr>
          <w:p w:rsidR="00182E01" w:rsidRDefault="00182E01" w:rsidP="00182E01">
            <w:pPr>
              <w:rPr>
                <w:color w:val="000000"/>
              </w:rPr>
            </w:pPr>
            <w:r>
              <w:rPr>
                <w:color w:val="000000"/>
              </w:rPr>
              <w:t>Total</w:t>
            </w:r>
          </w:p>
          <w:p w:rsidR="00182E01" w:rsidRDefault="00182E01" w:rsidP="00182E01">
            <w:pPr>
              <w:rPr>
                <w:color w:val="000000"/>
              </w:rPr>
            </w:pPr>
          </w:p>
        </w:tc>
        <w:tc>
          <w:tcPr>
            <w:tcW w:w="1843" w:type="dxa"/>
            <w:shd w:val="clear" w:color="auto" w:fill="D9D9D9" w:themeFill="background1" w:themeFillShade="D9"/>
            <w:noWrap/>
            <w:vAlign w:val="bottom"/>
          </w:tcPr>
          <w:p w:rsidR="00182E01" w:rsidRDefault="00182E01">
            <w:pPr>
              <w:cnfStyle w:val="000000000000" w:firstRow="0" w:lastRow="0" w:firstColumn="0" w:lastColumn="0" w:oddVBand="0" w:evenVBand="0" w:oddHBand="0" w:evenHBand="0" w:firstRowFirstColumn="0" w:firstRowLastColumn="0" w:lastRowFirstColumn="0" w:lastRowLastColumn="0"/>
              <w:rPr>
                <w:color w:val="000000"/>
              </w:rPr>
            </w:pPr>
            <w:r>
              <w:rPr>
                <w:color w:val="000000"/>
              </w:rPr>
              <w:t>Patients</w:t>
            </w:r>
          </w:p>
        </w:tc>
        <w:tc>
          <w:tcPr>
            <w:tcW w:w="1275"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5,465</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3,447</w:t>
            </w:r>
          </w:p>
        </w:tc>
        <w:tc>
          <w:tcPr>
            <w:tcW w:w="1333"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3901</w:t>
            </w:r>
          </w:p>
        </w:tc>
        <w:tc>
          <w:tcPr>
            <w:tcW w:w="1077" w:type="dxa"/>
            <w:shd w:val="clear" w:color="auto" w:fill="D9D9D9" w:themeFill="background1" w:themeFillShade="D9"/>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837</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843</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336</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276</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76</w:t>
            </w:r>
          </w:p>
        </w:tc>
        <w:tc>
          <w:tcPr>
            <w:tcW w:w="1306"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14,983</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b w:val="0"/>
                <w:color w:val="000000"/>
              </w:rPr>
            </w:pPr>
          </w:p>
        </w:tc>
        <w:tc>
          <w:tcPr>
            <w:tcW w:w="1843" w:type="dxa"/>
            <w:shd w:val="clear" w:color="auto" w:fill="D9D9D9" w:themeFill="background1" w:themeFillShade="D9"/>
            <w:noWrap/>
            <w:vAlign w:val="bottom"/>
          </w:tcPr>
          <w:p w:rsidR="00182E01" w:rsidRPr="00E25303" w:rsidRDefault="00182E01">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Grams</w:t>
            </w:r>
          </w:p>
        </w:tc>
        <w:tc>
          <w:tcPr>
            <w:tcW w:w="1275"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1,555,324</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997,695</w:t>
            </w:r>
          </w:p>
        </w:tc>
        <w:tc>
          <w:tcPr>
            <w:tcW w:w="1333"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1,180,232</w:t>
            </w:r>
          </w:p>
        </w:tc>
        <w:tc>
          <w:tcPr>
            <w:tcW w:w="1077" w:type="dxa"/>
            <w:shd w:val="clear" w:color="auto" w:fill="D9D9D9" w:themeFill="background1" w:themeFillShade="D9"/>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270,895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245,746</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100,676</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89,927</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17,830</w:t>
            </w:r>
          </w:p>
        </w:tc>
        <w:tc>
          <w:tcPr>
            <w:tcW w:w="1306"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4,458,326</w:t>
            </w:r>
          </w:p>
        </w:tc>
      </w:tr>
      <w:tr w:rsidR="00182E01" w:rsidRPr="0094576C" w:rsidTr="00BB2478">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b w:val="0"/>
                <w:color w:val="000000"/>
              </w:rPr>
            </w:pPr>
          </w:p>
        </w:tc>
        <w:tc>
          <w:tcPr>
            <w:tcW w:w="1843" w:type="dxa"/>
            <w:shd w:val="clear" w:color="auto" w:fill="D9D9D9" w:themeFill="background1" w:themeFillShade="D9"/>
            <w:noWrap/>
            <w:vAlign w:val="bottom"/>
          </w:tcPr>
          <w:p w:rsidR="00182E01" w:rsidRPr="00E25303" w:rsidRDefault="00182E01">
            <w:pPr>
              <w:cnfStyle w:val="000000000000" w:firstRow="0" w:lastRow="0" w:firstColumn="0" w:lastColumn="0" w:oddVBand="0" w:evenVBand="0" w:oddHBand="0" w:evenHBand="0" w:firstRowFirstColumn="0" w:firstRowLastColumn="0" w:lastRowFirstColumn="0" w:lastRowLastColumn="0"/>
              <w:rPr>
                <w:b/>
                <w:bCs/>
                <w:color w:val="000000"/>
              </w:rPr>
            </w:pPr>
            <w:r>
              <w:rPr>
                <w:color w:val="000000"/>
              </w:rPr>
              <w:t>Grams/Episode</w:t>
            </w:r>
          </w:p>
        </w:tc>
        <w:tc>
          <w:tcPr>
            <w:tcW w:w="1275"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333"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30</w:t>
            </w:r>
          </w:p>
        </w:tc>
        <w:tc>
          <w:tcPr>
            <w:tcW w:w="1077" w:type="dxa"/>
            <w:shd w:val="clear" w:color="auto" w:fill="D9D9D9" w:themeFill="background1" w:themeFillShade="D9"/>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37</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33</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31</w:t>
            </w:r>
          </w:p>
        </w:tc>
        <w:tc>
          <w:tcPr>
            <w:tcW w:w="1077"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40</w:t>
            </w:r>
          </w:p>
        </w:tc>
        <w:tc>
          <w:tcPr>
            <w:tcW w:w="1306" w:type="dxa"/>
            <w:shd w:val="clear" w:color="auto" w:fill="D9D9D9" w:themeFill="background1" w:themeFillShade="D9"/>
            <w:noWrap/>
            <w:vAlign w:val="center"/>
          </w:tcPr>
          <w:p w:rsidR="00182E01" w:rsidRPr="00DA3801" w:rsidRDefault="00182E01" w:rsidP="00182E01">
            <w:pPr>
              <w:jc w:val="right"/>
              <w:cnfStyle w:val="000000000000" w:firstRow="0" w:lastRow="0" w:firstColumn="0" w:lastColumn="0" w:oddVBand="0" w:evenVBand="0" w:oddHBand="0" w:evenHBand="0" w:firstRowFirstColumn="0" w:firstRowLastColumn="0" w:lastRowFirstColumn="0" w:lastRowLastColumn="0"/>
            </w:pPr>
            <w:r w:rsidRPr="00DA3801">
              <w:t>32</w:t>
            </w:r>
          </w:p>
        </w:tc>
      </w:tr>
      <w:tr w:rsidR="00182E01" w:rsidRPr="0094576C" w:rsidTr="00BB247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182E01" w:rsidRPr="00E25303" w:rsidRDefault="00182E01" w:rsidP="00182E01">
            <w:pPr>
              <w:rPr>
                <w:b w:val="0"/>
                <w:color w:val="000000"/>
              </w:rPr>
            </w:pPr>
          </w:p>
        </w:tc>
        <w:tc>
          <w:tcPr>
            <w:tcW w:w="1843" w:type="dxa"/>
            <w:shd w:val="clear" w:color="auto" w:fill="D9D9D9" w:themeFill="background1" w:themeFillShade="D9"/>
            <w:noWrap/>
            <w:vAlign w:val="bottom"/>
          </w:tcPr>
          <w:p w:rsidR="00182E01" w:rsidRPr="00E25303" w:rsidRDefault="00182E01">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Grams per 1,000 Population</w:t>
            </w:r>
          </w:p>
        </w:tc>
        <w:tc>
          <w:tcPr>
            <w:tcW w:w="1275"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206</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169</w:t>
            </w:r>
          </w:p>
        </w:tc>
        <w:tc>
          <w:tcPr>
            <w:tcW w:w="1333"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248</w:t>
            </w:r>
          </w:p>
        </w:tc>
        <w:tc>
          <w:tcPr>
            <w:tcW w:w="1077" w:type="dxa"/>
            <w:shd w:val="clear" w:color="auto" w:fill="D9D9D9" w:themeFill="background1" w:themeFillShade="D9"/>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105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145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195</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232</w:t>
            </w:r>
          </w:p>
        </w:tc>
        <w:tc>
          <w:tcPr>
            <w:tcW w:w="1077" w:type="dxa"/>
            <w:shd w:val="clear" w:color="auto" w:fill="D9D9D9" w:themeFill="background1" w:themeFillShade="D9"/>
            <w:noWrap/>
            <w:vAlign w:val="center"/>
          </w:tcPr>
          <w:p w:rsidR="00182E01" w:rsidRPr="00DA38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73</w:t>
            </w:r>
          </w:p>
        </w:tc>
        <w:tc>
          <w:tcPr>
            <w:tcW w:w="1306" w:type="dxa"/>
            <w:shd w:val="clear" w:color="auto" w:fill="D9D9D9" w:themeFill="background1" w:themeFillShade="D9"/>
            <w:noWrap/>
            <w:vAlign w:val="center"/>
          </w:tcPr>
          <w:p w:rsidR="00182E01" w:rsidRDefault="00182E01" w:rsidP="00182E01">
            <w:pPr>
              <w:jc w:val="right"/>
              <w:cnfStyle w:val="000000100000" w:firstRow="0" w:lastRow="0" w:firstColumn="0" w:lastColumn="0" w:oddVBand="0" w:evenVBand="0" w:oddHBand="1" w:evenHBand="0" w:firstRowFirstColumn="0" w:firstRowLastColumn="0" w:lastRowFirstColumn="0" w:lastRowLastColumn="0"/>
            </w:pPr>
            <w:r w:rsidRPr="00DA3801">
              <w:t>189</w:t>
            </w:r>
          </w:p>
        </w:tc>
      </w:tr>
    </w:tbl>
    <w:p w:rsidR="00FD4AF6" w:rsidRDefault="00FD4AF6" w:rsidP="00FD4AF6">
      <w:pPr>
        <w:sectPr w:rsidR="00FD4AF6" w:rsidSect="00F429C4">
          <w:pgSz w:w="16834" w:h="11904" w:orient="landscape"/>
          <w:pgMar w:top="1134" w:right="1440" w:bottom="1134" w:left="1440" w:header="709" w:footer="709" w:gutter="340"/>
          <w:cols w:space="708"/>
          <w:docGrid w:linePitch="360"/>
        </w:sectPr>
      </w:pPr>
    </w:p>
    <w:p w:rsidR="00FD4AF6" w:rsidRDefault="00FD4AF6" w:rsidP="00FD4AF6">
      <w:pPr>
        <w:pStyle w:val="Heading1"/>
      </w:pPr>
      <w:bookmarkStart w:id="201" w:name="_Ref386115639"/>
      <w:bookmarkStart w:id="202" w:name="_Ref386115776"/>
      <w:bookmarkStart w:id="203" w:name="_Ref393440546"/>
      <w:bookmarkStart w:id="204" w:name="_Toc456267431"/>
      <w:r>
        <w:lastRenderedPageBreak/>
        <w:t xml:space="preserve">Appendix E – Grams </w:t>
      </w:r>
      <w:r w:rsidR="00716977">
        <w:t>Ig</w:t>
      </w:r>
      <w:r>
        <w:t xml:space="preserve"> </w:t>
      </w:r>
      <w:r w:rsidR="001D0C4E">
        <w:t>I</w:t>
      </w:r>
      <w:r>
        <w:t xml:space="preserve">ssued by </w:t>
      </w:r>
      <w:bookmarkEnd w:id="201"/>
      <w:bookmarkEnd w:id="202"/>
      <w:r w:rsidR="001D0C4E">
        <w:t>S</w:t>
      </w:r>
      <w:r w:rsidR="00D50CEA">
        <w:t xml:space="preserve">tate and </w:t>
      </w:r>
      <w:r w:rsidR="001D0C4E">
        <w:t>T</w:t>
      </w:r>
      <w:r w:rsidR="00D50CEA">
        <w:t>erritory</w:t>
      </w:r>
      <w:bookmarkEnd w:id="203"/>
      <w:bookmarkEnd w:id="204"/>
      <w:r>
        <w:t xml:space="preserve"> </w:t>
      </w:r>
    </w:p>
    <w:tbl>
      <w:tblPr>
        <w:tblStyle w:val="LightList-Accent23"/>
        <w:tblW w:w="11189" w:type="dxa"/>
        <w:tblLook w:val="04A0" w:firstRow="1" w:lastRow="0" w:firstColumn="1" w:lastColumn="0" w:noHBand="0" w:noVBand="1"/>
      </w:tblPr>
      <w:tblGrid>
        <w:gridCol w:w="976"/>
        <w:gridCol w:w="1341"/>
        <w:gridCol w:w="1056"/>
        <w:gridCol w:w="976"/>
        <w:gridCol w:w="1518"/>
        <w:gridCol w:w="1418"/>
        <w:gridCol w:w="976"/>
        <w:gridCol w:w="976"/>
        <w:gridCol w:w="976"/>
        <w:gridCol w:w="976"/>
      </w:tblGrid>
      <w:tr w:rsidR="00FD4AF6" w:rsidRPr="00FD4AF6" w:rsidTr="00A53B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FD4AF6" w:rsidRPr="00FD4AF6" w:rsidRDefault="00FD4AF6" w:rsidP="00FD4AF6">
            <w:pPr>
              <w:spacing w:after="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341" w:type="dxa"/>
            <w:noWrap/>
            <w:hideMark/>
          </w:tcPr>
          <w:p w:rsidR="00FD4AF6" w:rsidRPr="00FD4AF6" w:rsidRDefault="00FD4AF6" w:rsidP="00FD4A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05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NSW</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VIC</w:t>
            </w:r>
          </w:p>
        </w:tc>
        <w:tc>
          <w:tcPr>
            <w:tcW w:w="1518"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QLD</w:t>
            </w:r>
          </w:p>
        </w:tc>
        <w:tc>
          <w:tcPr>
            <w:tcW w:w="1418"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WA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SA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TAS</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ACT</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NT</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2004-05</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FD4AF6">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22,200</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3,000</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2,856</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FD4AF6">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410,505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318,762</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306,639</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125,094</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110,031</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40,353</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23,895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6,321</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2005-06</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41,376</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13,860</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19,992</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5,922</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420,858</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326,130</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284,043</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148,200</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95,403</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46,065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24,615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7,806</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2006-07</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76,368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52,097</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134,475</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7,765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15,300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13,608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8,165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452,565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361,665</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219,633</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152,127</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109,515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33,837</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21,774</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8,004</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2007-08</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103,270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88,398</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79,393</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20,577</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18,375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11,065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7,170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493,172</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407,244</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337,301</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155,821</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92,958</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50,583</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26,470</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6,732</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2008-09</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105,633</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111,010</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85,055</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38,445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18,416</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11,740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16,875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599,126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423,170</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400,144</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148,986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108,596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52,755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27,393</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6,825</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2009-10</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249,905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131,228</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171,367</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42,895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27,604</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19,965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14,200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562,320</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417,574</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383,865</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143,628</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128,511</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53,745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22,841</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10,503</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2010-11</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252,416</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101,930</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200,264</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16,248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31,244</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17,110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11,550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668,526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507,038</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439,089</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162,963</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143,285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61,686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33,225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8,610</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2011-12</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136,728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93,835</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107,798</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30,108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27,383</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8,843</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11,900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887,016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577,260</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631,545</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167,745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139,296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76,197</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45,540</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9,099</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14038F" w:rsidRDefault="00835962" w:rsidP="002216E4">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2012-13</w:t>
            </w:r>
          </w:p>
          <w:p w:rsidR="00835962" w:rsidRPr="0014038F" w:rsidRDefault="00835962" w:rsidP="002216E4">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265,995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144,284</w:t>
            </w:r>
          </w:p>
        </w:tc>
        <w:tc>
          <w:tcPr>
            <w:tcW w:w="15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183,435</w:t>
            </w:r>
          </w:p>
        </w:tc>
        <w:tc>
          <w:tcPr>
            <w:tcW w:w="1418"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59,900</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35,775</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12,138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14,708</w:t>
            </w:r>
          </w:p>
        </w:tc>
        <w:tc>
          <w:tcPr>
            <w:tcW w:w="976" w:type="dxa"/>
            <w:noWrap/>
            <w:vAlign w:val="center"/>
            <w:hideMark/>
          </w:tcPr>
          <w:p w:rsidR="00835962" w:rsidRPr="00FD4AF6" w:rsidRDefault="00835962"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w:t>
            </w:r>
          </w:p>
        </w:tc>
      </w:tr>
      <w:tr w:rsidR="00835962"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35962" w:rsidRPr="0014038F" w:rsidRDefault="00835962" w:rsidP="00FD4AF6">
            <w:pPr>
              <w:spacing w:after="0"/>
              <w:rPr>
                <w:rFonts w:ascii="Arial" w:eastAsia="Times New Roman" w:hAnsi="Arial" w:cs="Arial"/>
                <w:bCs w:val="0"/>
                <w:sz w:val="18"/>
                <w:szCs w:val="18"/>
                <w:lang w:eastAsia="en-AU"/>
              </w:rPr>
            </w:pPr>
          </w:p>
        </w:tc>
        <w:tc>
          <w:tcPr>
            <w:tcW w:w="1341" w:type="dxa"/>
            <w:noWrap/>
            <w:hideMark/>
          </w:tcPr>
          <w:p w:rsidR="00835962" w:rsidRPr="00840A1A" w:rsidRDefault="00835962"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874,995</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570,969</w:t>
            </w:r>
          </w:p>
        </w:tc>
        <w:tc>
          <w:tcPr>
            <w:tcW w:w="15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674,277</w:t>
            </w:r>
          </w:p>
        </w:tc>
        <w:tc>
          <w:tcPr>
            <w:tcW w:w="1418"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150,294</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145,134</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73,491</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52,446</w:t>
            </w:r>
          </w:p>
        </w:tc>
        <w:tc>
          <w:tcPr>
            <w:tcW w:w="976" w:type="dxa"/>
            <w:noWrap/>
            <w:vAlign w:val="center"/>
            <w:hideMark/>
          </w:tcPr>
          <w:p w:rsidR="00835962" w:rsidRPr="00FD4AF6" w:rsidRDefault="00835962"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13,440</w:t>
            </w:r>
          </w:p>
        </w:tc>
      </w:tr>
      <w:tr w:rsidR="00835962"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35962" w:rsidRPr="00353B91" w:rsidRDefault="00835962" w:rsidP="002216E4">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2013-14</w:t>
            </w:r>
          </w:p>
        </w:tc>
        <w:tc>
          <w:tcPr>
            <w:tcW w:w="1341" w:type="dxa"/>
            <w:noWrap/>
            <w:hideMark/>
          </w:tcPr>
          <w:p w:rsidR="00835962" w:rsidRPr="00840A1A" w:rsidRDefault="00835962"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467,371</w:t>
            </w:r>
          </w:p>
        </w:tc>
        <w:tc>
          <w:tcPr>
            <w:tcW w:w="97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321,085</w:t>
            </w:r>
          </w:p>
        </w:tc>
        <w:tc>
          <w:tcPr>
            <w:tcW w:w="1518"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361,654</w:t>
            </w:r>
          </w:p>
        </w:tc>
        <w:tc>
          <w:tcPr>
            <w:tcW w:w="1418"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92,914</w:t>
            </w:r>
          </w:p>
        </w:tc>
        <w:tc>
          <w:tcPr>
            <w:tcW w:w="97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72,613</w:t>
            </w:r>
          </w:p>
        </w:tc>
        <w:tc>
          <w:tcPr>
            <w:tcW w:w="97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16,436</w:t>
            </w:r>
          </w:p>
        </w:tc>
        <w:tc>
          <w:tcPr>
            <w:tcW w:w="97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26,648</w:t>
            </w:r>
          </w:p>
        </w:tc>
        <w:tc>
          <w:tcPr>
            <w:tcW w:w="976" w:type="dxa"/>
            <w:noWrap/>
            <w:vAlign w:val="center"/>
            <w:hideMark/>
          </w:tcPr>
          <w:p w:rsidR="00835962" w:rsidRPr="00A53BDF" w:rsidRDefault="00835962"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9,551</w:t>
            </w:r>
          </w:p>
        </w:tc>
      </w:tr>
      <w:tr w:rsidR="00A53BDF"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A53BDF" w:rsidRPr="00840A1A" w:rsidRDefault="00A53BDF" w:rsidP="00FD4AF6">
            <w:pPr>
              <w:spacing w:after="0"/>
              <w:rPr>
                <w:rFonts w:ascii="Arial" w:eastAsia="Times New Roman" w:hAnsi="Arial" w:cs="Arial"/>
                <w:b w:val="0"/>
                <w:bCs w:val="0"/>
                <w:sz w:val="18"/>
                <w:szCs w:val="18"/>
                <w:lang w:eastAsia="en-AU"/>
              </w:rPr>
            </w:pPr>
          </w:p>
        </w:tc>
        <w:tc>
          <w:tcPr>
            <w:tcW w:w="1341" w:type="dxa"/>
            <w:noWrap/>
            <w:hideMark/>
          </w:tcPr>
          <w:p w:rsidR="00A53BDF" w:rsidRPr="00840A1A" w:rsidRDefault="00A53BDF"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804,375</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484,680</w:t>
            </w:r>
          </w:p>
        </w:tc>
        <w:tc>
          <w:tcPr>
            <w:tcW w:w="1518"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589,662</w:t>
            </w:r>
          </w:p>
        </w:tc>
        <w:tc>
          <w:tcPr>
            <w:tcW w:w="1418"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132,108</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123,810</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64,305</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48,480</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6,744</w:t>
            </w:r>
          </w:p>
        </w:tc>
      </w:tr>
      <w:tr w:rsidR="0087672B" w:rsidRPr="00FD4AF6"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87672B" w:rsidRPr="00353B91" w:rsidRDefault="0087672B" w:rsidP="0087672B">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w:t>
            </w:r>
            <w:r>
              <w:rPr>
                <w:rFonts w:ascii="Arial" w:eastAsia="Times New Roman" w:hAnsi="Arial" w:cs="Arial"/>
                <w:bCs w:val="0"/>
                <w:sz w:val="18"/>
                <w:szCs w:val="18"/>
                <w:lang w:eastAsia="en-AU"/>
              </w:rPr>
              <w:t>4</w:t>
            </w:r>
            <w:r w:rsidRPr="00353B91">
              <w:rPr>
                <w:rFonts w:ascii="Arial" w:eastAsia="Times New Roman" w:hAnsi="Arial" w:cs="Arial"/>
                <w:bCs w:val="0"/>
                <w:sz w:val="18"/>
                <w:szCs w:val="18"/>
                <w:lang w:eastAsia="en-AU"/>
              </w:rPr>
              <w:t>-1</w:t>
            </w:r>
            <w:r>
              <w:rPr>
                <w:rFonts w:ascii="Arial" w:eastAsia="Times New Roman" w:hAnsi="Arial" w:cs="Arial"/>
                <w:bCs w:val="0"/>
                <w:sz w:val="18"/>
                <w:szCs w:val="18"/>
                <w:lang w:eastAsia="en-AU"/>
              </w:rPr>
              <w:t>5</w:t>
            </w:r>
          </w:p>
        </w:tc>
        <w:tc>
          <w:tcPr>
            <w:tcW w:w="1341" w:type="dxa"/>
            <w:noWrap/>
          </w:tcPr>
          <w:p w:rsidR="0087672B" w:rsidRPr="00840A1A" w:rsidRDefault="0087672B" w:rsidP="009201D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930,412</w:t>
            </w:r>
          </w:p>
        </w:tc>
        <w:tc>
          <w:tcPr>
            <w:tcW w:w="97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579,560</w:t>
            </w:r>
          </w:p>
        </w:tc>
        <w:tc>
          <w:tcPr>
            <w:tcW w:w="1518"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735,658</w:t>
            </w:r>
          </w:p>
        </w:tc>
        <w:tc>
          <w:tcPr>
            <w:tcW w:w="1418"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155,977</w:t>
            </w:r>
          </w:p>
        </w:tc>
        <w:tc>
          <w:tcPr>
            <w:tcW w:w="97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135,795</w:t>
            </w:r>
          </w:p>
        </w:tc>
        <w:tc>
          <w:tcPr>
            <w:tcW w:w="97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57,987</w:t>
            </w:r>
          </w:p>
        </w:tc>
        <w:tc>
          <w:tcPr>
            <w:tcW w:w="97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59,210</w:t>
            </w:r>
          </w:p>
        </w:tc>
        <w:tc>
          <w:tcPr>
            <w:tcW w:w="976" w:type="dxa"/>
            <w:noWrap/>
          </w:tcPr>
          <w:p w:rsidR="0087672B" w:rsidRPr="0087672B" w:rsidRDefault="0087672B" w:rsidP="0087672B">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4,863</w:t>
            </w:r>
          </w:p>
        </w:tc>
      </w:tr>
      <w:tr w:rsidR="0087672B" w:rsidRPr="00FD4AF6"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87672B" w:rsidRPr="00840A1A" w:rsidRDefault="0087672B" w:rsidP="00FD4AF6">
            <w:pPr>
              <w:spacing w:after="0"/>
              <w:rPr>
                <w:rFonts w:ascii="Arial" w:eastAsia="Times New Roman" w:hAnsi="Arial" w:cs="Arial"/>
                <w:b w:val="0"/>
                <w:bCs w:val="0"/>
                <w:sz w:val="18"/>
                <w:szCs w:val="18"/>
                <w:lang w:eastAsia="en-AU"/>
              </w:rPr>
            </w:pPr>
          </w:p>
        </w:tc>
        <w:tc>
          <w:tcPr>
            <w:tcW w:w="1341" w:type="dxa"/>
            <w:noWrap/>
          </w:tcPr>
          <w:p w:rsidR="0087672B" w:rsidRPr="00840A1A" w:rsidRDefault="0087672B" w:rsidP="009201D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593,045</w:t>
            </w:r>
          </w:p>
        </w:tc>
        <w:tc>
          <w:tcPr>
            <w:tcW w:w="97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416,868</w:t>
            </w:r>
          </w:p>
        </w:tc>
        <w:tc>
          <w:tcPr>
            <w:tcW w:w="1518"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458,189</w:t>
            </w:r>
          </w:p>
        </w:tc>
        <w:tc>
          <w:tcPr>
            <w:tcW w:w="1418"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111,570</w:t>
            </w:r>
          </w:p>
        </w:tc>
        <w:tc>
          <w:tcPr>
            <w:tcW w:w="97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107,343</w:t>
            </w:r>
          </w:p>
        </w:tc>
        <w:tc>
          <w:tcPr>
            <w:tcW w:w="97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41,608</w:t>
            </w:r>
          </w:p>
        </w:tc>
        <w:tc>
          <w:tcPr>
            <w:tcW w:w="97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32,199</w:t>
            </w:r>
          </w:p>
        </w:tc>
        <w:tc>
          <w:tcPr>
            <w:tcW w:w="976" w:type="dxa"/>
            <w:noWrap/>
          </w:tcPr>
          <w:p w:rsidR="0087672B" w:rsidRPr="0087672B" w:rsidRDefault="0087672B" w:rsidP="0087672B">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12,861</w:t>
            </w:r>
          </w:p>
        </w:tc>
      </w:tr>
    </w:tbl>
    <w:p w:rsidR="001B2CDF" w:rsidRDefault="001B2CDF" w:rsidP="004A7679">
      <w:pPr>
        <w:sectPr w:rsidR="001B2CDF" w:rsidSect="001B2CDF">
          <w:pgSz w:w="16834" w:h="11904" w:orient="landscape"/>
          <w:pgMar w:top="1133" w:right="1440" w:bottom="1440" w:left="1440" w:header="708" w:footer="708" w:gutter="0"/>
          <w:cols w:space="708"/>
          <w:titlePg/>
          <w:docGrid w:linePitch="360"/>
        </w:sectPr>
      </w:pPr>
    </w:p>
    <w:p w:rsidR="004A7679" w:rsidRDefault="004A7679" w:rsidP="004A7679">
      <w:pPr>
        <w:pStyle w:val="Heading1"/>
      </w:pPr>
      <w:bookmarkStart w:id="205" w:name="_Ref386115652"/>
      <w:bookmarkStart w:id="206" w:name="_Ref393440549"/>
      <w:bookmarkStart w:id="207" w:name="_Toc456267432"/>
      <w:r>
        <w:lastRenderedPageBreak/>
        <w:t xml:space="preserve">Appendix F – </w:t>
      </w:r>
      <w:r w:rsidR="0014038F">
        <w:t xml:space="preserve">Unique Patients by Quarter and </w:t>
      </w:r>
      <w:bookmarkEnd w:id="205"/>
      <w:r w:rsidR="000E3AA4">
        <w:t>S</w:t>
      </w:r>
      <w:r w:rsidR="00D50CEA">
        <w:t xml:space="preserve">tate and </w:t>
      </w:r>
      <w:r w:rsidR="000E3AA4">
        <w:t>T</w:t>
      </w:r>
      <w:r w:rsidR="00D50CEA">
        <w:t>erritory</w:t>
      </w:r>
      <w:bookmarkEnd w:id="206"/>
      <w:bookmarkEnd w:id="207"/>
    </w:p>
    <w:tbl>
      <w:tblPr>
        <w:tblStyle w:val="LightList-Accent23"/>
        <w:tblW w:w="10329" w:type="dxa"/>
        <w:tblLook w:val="04A0" w:firstRow="1" w:lastRow="0" w:firstColumn="1" w:lastColumn="0" w:noHBand="0" w:noVBand="1"/>
      </w:tblPr>
      <w:tblGrid>
        <w:gridCol w:w="976"/>
        <w:gridCol w:w="938"/>
        <w:gridCol w:w="935"/>
        <w:gridCol w:w="935"/>
        <w:gridCol w:w="935"/>
        <w:gridCol w:w="935"/>
        <w:gridCol w:w="935"/>
        <w:gridCol w:w="935"/>
        <w:gridCol w:w="935"/>
        <w:gridCol w:w="935"/>
        <w:gridCol w:w="935"/>
      </w:tblGrid>
      <w:tr w:rsidR="004A7679" w:rsidRPr="004A7679" w:rsidTr="00565E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4A7679" w:rsidRPr="0014038F" w:rsidRDefault="004A7679" w:rsidP="004A7679">
            <w:pPr>
              <w:spacing w:after="0"/>
              <w:rPr>
                <w:rFonts w:eastAsia="Times New Roman"/>
                <w:lang w:eastAsia="en-AU"/>
              </w:rPr>
            </w:pPr>
            <w:r w:rsidRPr="0014038F">
              <w:rPr>
                <w:rFonts w:eastAsia="Times New Roman"/>
                <w:lang w:eastAsia="en-AU"/>
              </w:rPr>
              <w:t>Year</w:t>
            </w:r>
          </w:p>
        </w:tc>
        <w:tc>
          <w:tcPr>
            <w:tcW w:w="938" w:type="dxa"/>
            <w:noWrap/>
            <w:hideMark/>
          </w:tcPr>
          <w:p w:rsidR="004A7679" w:rsidRPr="0014038F" w:rsidRDefault="004A7679"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14038F">
              <w:rPr>
                <w:rFonts w:eastAsia="Times New Roman"/>
                <w:b w:val="0"/>
                <w:lang w:eastAsia="en-AU"/>
              </w:rPr>
              <w:t>WA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SA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ACT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2009-10</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2,434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1,367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112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6,508</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2,496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1,667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6,619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1,386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6,640</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2,602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1,451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120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6,889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2010-11</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2,692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1,492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7,148</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2,781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7,315</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2,752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7,262</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2,791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1,946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7,496</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2011-12</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2,921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1,658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7,794</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7,898</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1,590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7,860</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2,961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1,632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8,019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2012-13</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3,107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2,391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8,494</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3,139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2,360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8,557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3,211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2,298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8,465</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1,821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2,378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8,737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Pr>
                <w:rFonts w:eastAsia="Times New Roman"/>
                <w:color w:val="000000"/>
                <w:lang w:eastAsia="en-AU"/>
              </w:rPr>
              <w:t>2013-14</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3,406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2,472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9,081</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2,510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472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481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9,237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3,440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1,952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9,317</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3,550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2,660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493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9,653</w:t>
            </w:r>
          </w:p>
        </w:tc>
      </w:tr>
      <w:tr w:rsidR="00565E1F"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565E1F" w:rsidRPr="004A7679" w:rsidRDefault="00565E1F" w:rsidP="00565E1F">
            <w:pPr>
              <w:spacing w:after="0"/>
              <w:rPr>
                <w:rFonts w:eastAsia="Times New Roman"/>
                <w:color w:val="000000"/>
                <w:lang w:eastAsia="en-AU"/>
              </w:rPr>
            </w:pPr>
            <w:r>
              <w:rPr>
                <w:rFonts w:eastAsia="Times New Roman"/>
                <w:color w:val="000000"/>
                <w:lang w:eastAsia="en-AU"/>
              </w:rPr>
              <w:t>2014-15</w:t>
            </w:r>
          </w:p>
        </w:tc>
        <w:tc>
          <w:tcPr>
            <w:tcW w:w="938" w:type="dxa"/>
            <w:noWrap/>
          </w:tcPr>
          <w:p w:rsidR="00565E1F" w:rsidRPr="004A7679" w:rsidRDefault="00565E1F"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2,763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518</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545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238</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10,099</w:t>
            </w:r>
          </w:p>
        </w:tc>
      </w:tr>
      <w:tr w:rsidR="00565E1F"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3,725</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2,719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521</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228</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10,057</w:t>
            </w:r>
          </w:p>
        </w:tc>
      </w:tr>
      <w:tr w:rsidR="00565E1F"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3,733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2,772</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530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10,096</w:t>
            </w:r>
          </w:p>
        </w:tc>
      </w:tr>
      <w:tr w:rsidR="00565E1F"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3,846</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2,249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2,868</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514</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555</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223</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10,440</w:t>
            </w:r>
          </w:p>
        </w:tc>
      </w:tr>
    </w:tbl>
    <w:p w:rsidR="00136734" w:rsidRDefault="00136734" w:rsidP="00D90728">
      <w:pPr>
        <w:spacing w:after="0"/>
      </w:pPr>
    </w:p>
    <w:p w:rsidR="00FD4AF6" w:rsidRPr="00D90728" w:rsidRDefault="00FD4AF6" w:rsidP="00D90728">
      <w:pPr>
        <w:spacing w:after="0"/>
        <w:sectPr w:rsidR="00FD4AF6" w:rsidRPr="00D90728" w:rsidSect="001B2CDF">
          <w:pgSz w:w="11904" w:h="16834"/>
          <w:pgMar w:top="1440" w:right="1440" w:bottom="1440" w:left="1133" w:header="708" w:footer="708" w:gutter="0"/>
          <w:cols w:space="708"/>
          <w:titlePg/>
          <w:docGrid w:linePitch="360"/>
        </w:sectPr>
      </w:pPr>
    </w:p>
    <w:p w:rsidR="00F67926" w:rsidRDefault="00136734" w:rsidP="00136734">
      <w:pPr>
        <w:pStyle w:val="Heading1"/>
      </w:pPr>
      <w:bookmarkStart w:id="208" w:name="_Ref379897557"/>
      <w:bookmarkStart w:id="209" w:name="_Toc456267433"/>
      <w:r>
        <w:lastRenderedPageBreak/>
        <w:t xml:space="preserve">Appendix </w:t>
      </w:r>
      <w:r w:rsidR="00B72857">
        <w:t>G</w:t>
      </w:r>
      <w:r>
        <w:t xml:space="preserve"> – </w:t>
      </w:r>
      <w:r w:rsidR="00624255">
        <w:t xml:space="preserve">System </w:t>
      </w:r>
      <w:r>
        <w:t>Source for Tables and Figures</w:t>
      </w:r>
      <w:bookmarkEnd w:id="208"/>
      <w:bookmarkEnd w:id="209"/>
    </w:p>
    <w:p w:rsidR="000E3AA4" w:rsidRDefault="00E5706B">
      <w:pPr>
        <w:pStyle w:val="TableofFigures"/>
        <w:tabs>
          <w:tab w:val="left" w:pos="1100"/>
          <w:tab w:val="right" w:leader="dot" w:pos="13948"/>
        </w:tabs>
        <w:rPr>
          <w:rFonts w:asciiTheme="minorHAnsi" w:eastAsiaTheme="minorEastAsia" w:hAnsiTheme="minorHAnsi" w:cstheme="minorBidi"/>
          <w:noProof/>
          <w:lang w:eastAsia="en-AU"/>
        </w:rPr>
      </w:pPr>
      <w:r>
        <w:fldChar w:fldCharType="begin"/>
      </w:r>
      <w:r w:rsidR="00136734">
        <w:instrText xml:space="preserve"> TOC \h \z \c "Figure" </w:instrText>
      </w:r>
      <w:r>
        <w:fldChar w:fldCharType="separate"/>
      </w:r>
      <w:hyperlink w:anchor="_Toc390098180" w:history="1">
        <w:r w:rsidR="000E3AA4" w:rsidRPr="00323E54">
          <w:rPr>
            <w:rStyle w:val="Hyperlink"/>
            <w:noProof/>
          </w:rPr>
          <w:t>Figure 1</w:t>
        </w:r>
        <w:r w:rsidR="000E3AA4">
          <w:rPr>
            <w:rFonts w:asciiTheme="minorHAnsi" w:eastAsiaTheme="minorEastAsia" w:hAnsiTheme="minorHAnsi" w:cstheme="minorBidi"/>
            <w:noProof/>
            <w:lang w:eastAsia="en-AU"/>
          </w:rPr>
          <w:tab/>
        </w:r>
        <w:r w:rsidR="000E3AA4" w:rsidRPr="00323E54">
          <w:rPr>
            <w:rStyle w:val="Hyperlink"/>
            <w:noProof/>
          </w:rPr>
          <w:t xml:space="preserve">Ten year trends in issues of </w:t>
        </w:r>
        <w:r w:rsidR="00716977">
          <w:rPr>
            <w:rStyle w:val="Hyperlink"/>
            <w:noProof/>
          </w:rPr>
          <w:t>Ig</w:t>
        </w:r>
        <w:r w:rsidR="000E3AA4">
          <w:rPr>
            <w:noProof/>
            <w:webHidden/>
          </w:rPr>
          <w:tab/>
          <w:t>IDMS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1" w:history="1">
        <w:r w:rsidR="000E3AA4" w:rsidRPr="00323E54">
          <w:rPr>
            <w:rStyle w:val="Hyperlink"/>
            <w:noProof/>
          </w:rPr>
          <w:t>Figure 2</w:t>
        </w:r>
        <w:r w:rsidR="000E3AA4">
          <w:rPr>
            <w:rFonts w:asciiTheme="minorHAnsi" w:eastAsiaTheme="minorEastAsia" w:hAnsiTheme="minorHAnsi" w:cstheme="minorBidi"/>
            <w:noProof/>
            <w:lang w:eastAsia="en-AU"/>
          </w:rPr>
          <w:tab/>
        </w:r>
        <w:r w:rsidR="000E3AA4" w:rsidRPr="00323E54">
          <w:rPr>
            <w:rStyle w:val="Hyperlink"/>
            <w:noProof/>
          </w:rPr>
          <w:t xml:space="preserve">Ten year trends in expenditure on </w:t>
        </w:r>
        <w:r w:rsidR="00716977">
          <w:rPr>
            <w:rStyle w:val="Hyperlink"/>
            <w:noProof/>
          </w:rPr>
          <w:t>Ig</w:t>
        </w:r>
        <w:r w:rsidR="000E3AA4">
          <w:rPr>
            <w:noProof/>
            <w:webHidden/>
          </w:rPr>
          <w:tab/>
          <w:t>IDMS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2" w:history="1">
        <w:r w:rsidR="000E3AA4" w:rsidRPr="00323E54">
          <w:rPr>
            <w:rStyle w:val="Hyperlink"/>
            <w:noProof/>
          </w:rPr>
          <w:t>Figure 3</w:t>
        </w:r>
        <w:r w:rsidR="000E3AA4">
          <w:rPr>
            <w:rFonts w:asciiTheme="minorHAnsi" w:eastAsiaTheme="minorEastAsia" w:hAnsiTheme="minorHAnsi" w:cstheme="minorBidi"/>
            <w:noProof/>
            <w:lang w:eastAsia="en-AU"/>
          </w:rPr>
          <w:tab/>
        </w:r>
        <w:r w:rsidR="000E3AA4" w:rsidRPr="00323E54">
          <w:rPr>
            <w:rStyle w:val="Hyperlink"/>
            <w:noProof/>
          </w:rPr>
          <w:t>Patients per 1,000 population</w:t>
        </w:r>
        <w:r w:rsidR="007A08DE">
          <w:rPr>
            <w:rStyle w:val="Hyperlink"/>
            <w:noProof/>
          </w:rPr>
          <w:t xml:space="preserve"> 2013-14</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3" w:history="1">
        <w:r w:rsidR="000E3AA4" w:rsidRPr="00323E54">
          <w:rPr>
            <w:rStyle w:val="Hyperlink"/>
            <w:noProof/>
          </w:rPr>
          <w:t>Figure 4</w:t>
        </w:r>
        <w:r w:rsidR="000E3AA4">
          <w:rPr>
            <w:rFonts w:asciiTheme="minorHAnsi" w:eastAsiaTheme="minorEastAsia" w:hAnsiTheme="minorHAnsi" w:cstheme="minorBidi"/>
            <w:noProof/>
            <w:lang w:eastAsia="en-AU"/>
          </w:rPr>
          <w:tab/>
        </w:r>
        <w:r w:rsidR="000E3AA4" w:rsidRPr="00323E54">
          <w:rPr>
            <w:rStyle w:val="Hyperlink"/>
            <w:noProof/>
          </w:rPr>
          <w:t xml:space="preserve">Grams of </w:t>
        </w:r>
        <w:r w:rsidR="00716977">
          <w:rPr>
            <w:rStyle w:val="Hyperlink"/>
            <w:noProof/>
          </w:rPr>
          <w:t>Ig</w:t>
        </w:r>
        <w:r w:rsidR="000E3AA4" w:rsidRPr="00323E54">
          <w:rPr>
            <w:rStyle w:val="Hyperlink"/>
            <w:noProof/>
          </w:rPr>
          <w:t xml:space="preserve"> per 1,000 population by state and territory over time</w:t>
        </w:r>
        <w:r w:rsidR="000E3AA4">
          <w:rPr>
            <w:noProof/>
            <w:webHidden/>
          </w:rPr>
          <w:tab/>
          <w:t>IDMS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4" w:history="1">
        <w:r w:rsidR="000E3AA4" w:rsidRPr="00323E54">
          <w:rPr>
            <w:rStyle w:val="Hyperlink"/>
            <w:noProof/>
          </w:rPr>
          <w:t>Figure 5</w:t>
        </w:r>
        <w:r w:rsidR="000E3AA4">
          <w:rPr>
            <w:rFonts w:asciiTheme="minorHAnsi" w:eastAsiaTheme="minorEastAsia" w:hAnsiTheme="minorHAnsi" w:cstheme="minorBidi"/>
            <w:noProof/>
            <w:lang w:eastAsia="en-AU"/>
          </w:rPr>
          <w:tab/>
        </w:r>
        <w:r w:rsidR="000E3AA4" w:rsidRPr="00323E54">
          <w:rPr>
            <w:rStyle w:val="Hyperlink"/>
            <w:noProof/>
          </w:rPr>
          <w:t>Patient age compared to average Australian age</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5" w:history="1">
        <w:r w:rsidR="000E3AA4" w:rsidRPr="00323E54">
          <w:rPr>
            <w:rStyle w:val="Hyperlink"/>
            <w:noProof/>
          </w:rPr>
          <w:t>Figure 6</w:t>
        </w:r>
        <w:r w:rsidR="000E3AA4">
          <w:rPr>
            <w:rFonts w:asciiTheme="minorHAnsi" w:eastAsiaTheme="minorEastAsia" w:hAnsiTheme="minorHAnsi" w:cstheme="minorBidi"/>
            <w:noProof/>
            <w:lang w:eastAsia="en-AU"/>
          </w:rPr>
          <w:tab/>
        </w:r>
        <w:r w:rsidR="000E3AA4" w:rsidRPr="00323E54">
          <w:rPr>
            <w:rStyle w:val="Hyperlink"/>
            <w:noProof/>
          </w:rPr>
          <w:t>Patient weights relative to Australian average</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6" w:history="1">
        <w:r w:rsidR="000E3AA4" w:rsidRPr="00323E54">
          <w:rPr>
            <w:rStyle w:val="Hyperlink"/>
            <w:noProof/>
          </w:rPr>
          <w:t>Figure 7</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expenditure as a proportion of the national blood budget</w:t>
        </w:r>
        <w:r w:rsidR="000E3AA4">
          <w:rPr>
            <w:noProof/>
            <w:webHidden/>
          </w:rPr>
          <w:tab/>
          <w:t>IDMS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7" w:history="1">
        <w:r w:rsidR="000E3AA4" w:rsidRPr="00323E54">
          <w:rPr>
            <w:rStyle w:val="Hyperlink"/>
            <w:noProof/>
          </w:rPr>
          <w:t>Figure 8</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grams issued by diagnostic group</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8" w:history="1">
        <w:r w:rsidR="000E3AA4" w:rsidRPr="00323E54">
          <w:rPr>
            <w:rStyle w:val="Hyperlink"/>
            <w:noProof/>
          </w:rPr>
          <w:t>Figure 9</w:t>
        </w:r>
        <w:r w:rsidR="000E3AA4">
          <w:rPr>
            <w:rFonts w:asciiTheme="minorHAnsi" w:eastAsiaTheme="minorEastAsia" w:hAnsiTheme="minorHAnsi" w:cstheme="minorBidi"/>
            <w:noProof/>
            <w:lang w:eastAsia="en-AU"/>
          </w:rPr>
          <w:tab/>
        </w:r>
        <w:r w:rsidR="000E3AA4" w:rsidRPr="00323E54">
          <w:rPr>
            <w:rStyle w:val="Hyperlink"/>
            <w:noProof/>
          </w:rPr>
          <w:t xml:space="preserve">Proportion of </w:t>
        </w:r>
        <w:r w:rsidR="00716977">
          <w:rPr>
            <w:rStyle w:val="Hyperlink"/>
            <w:noProof/>
          </w:rPr>
          <w:t>Ig</w:t>
        </w:r>
        <w:r w:rsidR="000E3AA4" w:rsidRPr="00323E54">
          <w:rPr>
            <w:rStyle w:val="Hyperlink"/>
            <w:noProof/>
          </w:rPr>
          <w:t xml:space="preserve"> used for top 10 conditions</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89" w:history="1">
        <w:r w:rsidR="000E3AA4" w:rsidRPr="00323E54">
          <w:rPr>
            <w:rStyle w:val="Hyperlink"/>
            <w:noProof/>
          </w:rPr>
          <w:t>Figure 10</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issues by clinical discipline</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90" w:history="1">
        <w:r w:rsidR="000E3AA4" w:rsidRPr="00323E54">
          <w:rPr>
            <w:rStyle w:val="Hyperlink"/>
            <w:noProof/>
          </w:rPr>
          <w:t>Figure 11</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issues by clinical discipline for top 10 conditions by state and territory</w:t>
        </w:r>
        <w:r w:rsidR="000E3AA4">
          <w:rPr>
            <w:noProof/>
            <w:webHidden/>
          </w:rPr>
          <w:tab/>
          <w:t>STARS</w:t>
        </w:r>
      </w:hyperlink>
    </w:p>
    <w:p w:rsidR="000E3AA4"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390098191" w:history="1">
        <w:r w:rsidR="000E3AA4" w:rsidRPr="00323E54">
          <w:rPr>
            <w:rStyle w:val="Hyperlink"/>
            <w:noProof/>
          </w:rPr>
          <w:t>Figure 1</w:t>
        </w:r>
        <w:r w:rsidR="00C76878">
          <w:rPr>
            <w:rStyle w:val="Hyperlink"/>
            <w:noProof/>
          </w:rPr>
          <w:t>2</w:t>
        </w:r>
        <w:r w:rsidR="000E3AA4">
          <w:rPr>
            <w:rFonts w:asciiTheme="minorHAnsi" w:eastAsiaTheme="minorEastAsia" w:hAnsiTheme="minorHAnsi" w:cstheme="minorBidi"/>
            <w:noProof/>
            <w:lang w:eastAsia="en-AU"/>
          </w:rPr>
          <w:tab/>
        </w:r>
        <w:r w:rsidR="000E3AA4" w:rsidRPr="00323E54">
          <w:rPr>
            <w:rStyle w:val="Hyperlink"/>
            <w:noProof/>
          </w:rPr>
          <w:t>Grams per episode by condition</w:t>
        </w:r>
        <w:r w:rsidR="000E3AA4">
          <w:rPr>
            <w:noProof/>
            <w:webHidden/>
          </w:rPr>
          <w:tab/>
          <w:t>STARS</w:t>
        </w:r>
      </w:hyperlink>
    </w:p>
    <w:p w:rsidR="00D63965" w:rsidRDefault="00E5706B" w:rsidP="00136734">
      <w:r>
        <w:fldChar w:fldCharType="end"/>
      </w:r>
    </w:p>
    <w:p w:rsidR="00140B51" w:rsidRPr="00BB2478" w:rsidRDefault="00E5706B">
      <w:pPr>
        <w:pStyle w:val="TableofFigures"/>
        <w:tabs>
          <w:tab w:val="left" w:pos="880"/>
          <w:tab w:val="right" w:leader="dot" w:pos="13948"/>
        </w:tabs>
        <w:rPr>
          <w:rFonts w:asciiTheme="minorHAnsi" w:eastAsiaTheme="minorEastAsia" w:hAnsiTheme="minorHAnsi" w:cstheme="minorBidi"/>
          <w:noProof/>
          <w:lang w:eastAsia="en-AU"/>
        </w:rPr>
      </w:pPr>
      <w:r w:rsidRPr="00BB2478">
        <w:fldChar w:fldCharType="begin"/>
      </w:r>
      <w:r w:rsidR="00022192" w:rsidRPr="00BB2478">
        <w:instrText xml:space="preserve"> TOC \h \z \c "Table" </w:instrText>
      </w:r>
      <w:r w:rsidRPr="00BB2478">
        <w:fldChar w:fldCharType="separate"/>
      </w:r>
      <w:hyperlink w:anchor="_Toc456266980" w:history="1">
        <w:r w:rsidR="00140B51" w:rsidRPr="00BB2478">
          <w:rPr>
            <w:rStyle w:val="Hyperlink"/>
            <w:noProof/>
            <w:color w:val="auto"/>
            <w:u w:val="none"/>
          </w:rPr>
          <w:t>Table 1</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Growth in Ig grams issued since 2005</w:t>
        </w:r>
        <w:r w:rsidR="00140B51" w:rsidRPr="00BB2478">
          <w:rPr>
            <w:noProof/>
            <w:webHidden/>
          </w:rPr>
          <w:tab/>
        </w:r>
      </w:hyperlink>
      <w:r w:rsidR="00140B51" w:rsidRPr="00BB2478">
        <w:rPr>
          <w:rStyle w:val="Hyperlink"/>
          <w:noProof/>
          <w:color w:val="auto"/>
          <w:u w:val="none"/>
        </w:rPr>
        <w:t>IDMS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1" w:history="1">
        <w:r w:rsidR="00140B51" w:rsidRPr="00BB2478">
          <w:rPr>
            <w:rStyle w:val="Hyperlink"/>
            <w:noProof/>
            <w:color w:val="auto"/>
            <w:u w:val="none"/>
          </w:rPr>
          <w:t>Table 2</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Percentage change in grams issued over time by state and territory</w:t>
        </w:r>
        <w:r w:rsidR="00140B51" w:rsidRPr="00BB2478">
          <w:rPr>
            <w:noProof/>
            <w:webHidden/>
          </w:rPr>
          <w:tab/>
        </w:r>
      </w:hyperlink>
      <w:r w:rsidR="00140B51" w:rsidRPr="00BB2478">
        <w:rPr>
          <w:rStyle w:val="Hyperlink"/>
          <w:noProof/>
          <w:color w:val="auto"/>
          <w:u w:val="none"/>
        </w:rPr>
        <w:t>IDMS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2" w:history="1">
        <w:r w:rsidR="00140B51" w:rsidRPr="00BB2478">
          <w:rPr>
            <w:rStyle w:val="Hyperlink"/>
            <w:noProof/>
            <w:color w:val="auto"/>
            <w:u w:val="none"/>
          </w:rPr>
          <w:t>Table 3</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Annual numbers of patients, treatment episodes and grams</w:t>
        </w:r>
        <w:r w:rsidR="00140B51" w:rsidRPr="00BB2478">
          <w:rPr>
            <w:noProof/>
            <w:webHidden/>
          </w:rPr>
          <w:tab/>
        </w:r>
      </w:hyperlink>
      <w:r w:rsidR="00140B51" w:rsidRPr="00BB2478">
        <w:rPr>
          <w:rStyle w:val="Hyperlink"/>
          <w:noProof/>
          <w:color w:val="auto"/>
          <w:u w:val="none"/>
        </w:rPr>
        <w:t>STARS &amp; IDMS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3" w:history="1">
        <w:r w:rsidR="00140B51" w:rsidRPr="00BB2478">
          <w:rPr>
            <w:rStyle w:val="Hyperlink"/>
            <w:noProof/>
            <w:color w:val="auto"/>
            <w:u w:val="none"/>
          </w:rPr>
          <w:t>Table 4</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Basic numbers</w:t>
        </w:r>
        <w:r w:rsidR="00140B51" w:rsidRPr="00BB2478">
          <w:rPr>
            <w:noProof/>
            <w:webHidden/>
          </w:rPr>
          <w:tab/>
        </w:r>
      </w:hyperlink>
      <w:r w:rsidR="00140B51" w:rsidRPr="00BB2478">
        <w:rPr>
          <w:rStyle w:val="Hyperlink"/>
          <w:noProof/>
          <w:color w:val="auto"/>
          <w:u w:val="none"/>
        </w:rPr>
        <w:t>STARS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4" w:history="1">
        <w:r w:rsidR="00140B51" w:rsidRPr="00BB2478">
          <w:rPr>
            <w:rStyle w:val="Hyperlink"/>
            <w:noProof/>
            <w:color w:val="auto"/>
            <w:u w:val="none"/>
          </w:rPr>
          <w:t>Table 5</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Issues of domestic Ig compared with imported Ig</w:t>
        </w:r>
        <w:r w:rsidR="00140B51" w:rsidRPr="00BB2478">
          <w:rPr>
            <w:noProof/>
            <w:webHidden/>
          </w:rPr>
          <w:tab/>
        </w:r>
      </w:hyperlink>
      <w:r w:rsidR="00140B51" w:rsidRPr="00BB2478">
        <w:rPr>
          <w:rStyle w:val="Hyperlink"/>
          <w:noProof/>
          <w:color w:val="auto"/>
          <w:u w:val="none"/>
        </w:rPr>
        <w:t xml:space="preserve"> </w:t>
      </w:r>
      <w:r w:rsidR="005F4E3A" w:rsidRPr="00BB2478">
        <w:rPr>
          <w:rStyle w:val="Hyperlink"/>
          <w:noProof/>
          <w:color w:val="auto"/>
          <w:u w:val="none"/>
        </w:rPr>
        <w:t>IDMS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5" w:history="1">
        <w:r w:rsidR="00140B51" w:rsidRPr="00BB2478">
          <w:rPr>
            <w:rStyle w:val="Hyperlink"/>
            <w:noProof/>
            <w:color w:val="auto"/>
            <w:u w:val="none"/>
          </w:rPr>
          <w:t>Table 6</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issues (g) by Criteria chapter</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6" w:history="1">
        <w:r w:rsidR="00140B51" w:rsidRPr="00BB2478">
          <w:rPr>
            <w:rStyle w:val="Hyperlink"/>
            <w:noProof/>
            <w:color w:val="auto"/>
            <w:u w:val="none"/>
          </w:rPr>
          <w:t>Table 7</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issues by Criteria chapter (percentage)</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7" w:history="1">
        <w:r w:rsidR="00140B51" w:rsidRPr="00BB2478">
          <w:rPr>
            <w:rStyle w:val="Hyperlink"/>
            <w:noProof/>
            <w:color w:val="auto"/>
            <w:u w:val="none"/>
          </w:rPr>
          <w:t>Table 8</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grams issued for top 10 diagnostic groups over time</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880"/>
          <w:tab w:val="right" w:leader="dot" w:pos="13948"/>
        </w:tabs>
        <w:rPr>
          <w:rFonts w:asciiTheme="minorHAnsi" w:eastAsiaTheme="minorEastAsia" w:hAnsiTheme="minorHAnsi" w:cstheme="minorBidi"/>
          <w:noProof/>
          <w:lang w:eastAsia="en-AU"/>
        </w:rPr>
      </w:pPr>
      <w:hyperlink w:anchor="_Toc456266988" w:history="1">
        <w:r w:rsidR="00140B51" w:rsidRPr="00BB2478">
          <w:rPr>
            <w:rStyle w:val="Hyperlink"/>
            <w:noProof/>
            <w:color w:val="auto"/>
            <w:u w:val="none"/>
          </w:rPr>
          <w:t>Table 9</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and age for the top 20 conditions</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89" w:history="1">
        <w:r w:rsidR="00140B51" w:rsidRPr="00BB2478">
          <w:rPr>
            <w:rStyle w:val="Hyperlink"/>
            <w:noProof/>
            <w:color w:val="auto"/>
            <w:u w:val="none"/>
          </w:rPr>
          <w:t>Table 10</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grams issued by clinical discipline</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0" w:history="1">
        <w:r w:rsidR="00140B51" w:rsidRPr="00BB2478">
          <w:rPr>
            <w:rStyle w:val="Hyperlink"/>
            <w:noProof/>
            <w:color w:val="auto"/>
            <w:u w:val="none"/>
          </w:rPr>
          <w:t>Table 11</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Grams of Ig issued by state and territory</w:t>
        </w:r>
        <w:r w:rsidR="00140B51" w:rsidRPr="00BB2478">
          <w:rPr>
            <w:noProof/>
            <w:webHidden/>
          </w:rPr>
          <w:tab/>
        </w:r>
      </w:hyperlink>
      <w:r w:rsidR="00140B51" w:rsidRPr="00BB2478">
        <w:rPr>
          <w:rStyle w:val="Hyperlink"/>
          <w:noProof/>
          <w:color w:val="auto"/>
          <w:u w:val="none"/>
        </w:rPr>
        <w:t xml:space="preserve"> </w:t>
      </w:r>
      <w:r w:rsidR="005F4E3A" w:rsidRPr="00BB2478">
        <w:rPr>
          <w:rStyle w:val="Hyperlink"/>
          <w:noProof/>
          <w:color w:val="auto"/>
          <w:u w:val="none"/>
        </w:rPr>
        <w:t>IDMS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1" w:history="1">
        <w:r w:rsidR="00140B51" w:rsidRPr="00BB2478">
          <w:rPr>
            <w:rStyle w:val="Hyperlink"/>
            <w:noProof/>
            <w:color w:val="auto"/>
            <w:u w:val="none"/>
          </w:rPr>
          <w:t>Table 12</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by state and territory: chronic inflammatory demyelinating polyneuropathy</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2" w:history="1">
        <w:r w:rsidR="00140B51" w:rsidRPr="00BB2478">
          <w:rPr>
            <w:rStyle w:val="Hyperlink"/>
            <w:noProof/>
            <w:color w:val="auto"/>
            <w:u w:val="none"/>
          </w:rPr>
          <w:t>Table 13</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by state and territory: common variable immunodeficiency disease</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3" w:history="1">
        <w:r w:rsidR="00140B51" w:rsidRPr="00BB2478">
          <w:rPr>
            <w:rStyle w:val="Hyperlink"/>
            <w:noProof/>
            <w:color w:val="auto"/>
            <w:u w:val="none"/>
          </w:rPr>
          <w:t>Table 14</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by state and territory: myasthenia gravis</w:t>
        </w:r>
        <w:r w:rsidR="00140B51" w:rsidRPr="00BB2478">
          <w:rPr>
            <w:noProof/>
            <w:webHidden/>
          </w:rPr>
          <w:tab/>
        </w:r>
      </w:hyperlink>
      <w:r w:rsidR="00140B51"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4" w:history="1">
        <w:r w:rsidR="00140B51" w:rsidRPr="00BB2478">
          <w:rPr>
            <w:rStyle w:val="Hyperlink"/>
            <w:noProof/>
            <w:color w:val="auto"/>
            <w:u w:val="none"/>
          </w:rPr>
          <w:t>Table 15</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by state and territory: chronic lymphocytic leukaemia</w:t>
        </w:r>
        <w:r w:rsidR="00140B51" w:rsidRPr="00BB2478">
          <w:rPr>
            <w:noProof/>
            <w:webHidden/>
          </w:rPr>
          <w:tab/>
        </w:r>
      </w:hyperlink>
      <w:r w:rsidR="005F4E3A" w:rsidRPr="00BB2478">
        <w:rPr>
          <w:rStyle w:val="Hyperlink"/>
          <w:noProof/>
          <w:color w:val="auto"/>
          <w:u w:val="none"/>
        </w:rPr>
        <w:t>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5" w:history="1">
        <w:r w:rsidR="00140B51" w:rsidRPr="00BB2478">
          <w:rPr>
            <w:rStyle w:val="Hyperlink"/>
            <w:noProof/>
            <w:color w:val="auto"/>
            <w:u w:val="none"/>
          </w:rPr>
          <w:t>Table 16</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by state and territory: multiple myeloma</w:t>
        </w:r>
        <w:r w:rsidR="00140B51" w:rsidRPr="00BB2478">
          <w:rPr>
            <w:noProof/>
            <w:webHidden/>
          </w:rPr>
          <w:tab/>
        </w:r>
      </w:hyperlink>
      <w:r w:rsidR="005F4E3A" w:rsidRPr="00BB2478">
        <w:rPr>
          <w:rStyle w:val="Hyperlink"/>
          <w:noProof/>
          <w:color w:val="auto"/>
          <w:u w:val="none"/>
        </w:rPr>
        <w:t>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6" w:history="1">
        <w:r w:rsidR="00140B51" w:rsidRPr="00BB2478">
          <w:rPr>
            <w:rStyle w:val="Hyperlink"/>
            <w:noProof/>
            <w:color w:val="auto"/>
            <w:u w:val="none"/>
          </w:rPr>
          <w:t>Table 17</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issued per 1,000 population by state and territory for top 10 conditions</w:t>
        </w:r>
        <w:r w:rsidR="00140B51" w:rsidRPr="00BB2478">
          <w:rPr>
            <w:noProof/>
            <w:webHidden/>
          </w:rPr>
          <w:tab/>
        </w:r>
      </w:hyperlink>
      <w:r w:rsidR="005F4E3A"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7" w:history="1">
        <w:r w:rsidR="00140B51" w:rsidRPr="00BB2478">
          <w:rPr>
            <w:rStyle w:val="Hyperlink"/>
            <w:noProof/>
            <w:color w:val="auto"/>
            <w:u w:val="none"/>
          </w:rPr>
          <w:t>Table 18</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Ig grams per episode</w:t>
        </w:r>
        <w:r w:rsidR="00140B51" w:rsidRPr="00BB2478">
          <w:rPr>
            <w:noProof/>
            <w:webHidden/>
          </w:rPr>
          <w:tab/>
        </w:r>
      </w:hyperlink>
      <w:r w:rsidR="005F4E3A"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8" w:history="1">
        <w:r w:rsidR="00140B51" w:rsidRPr="00BB2478">
          <w:rPr>
            <w:rStyle w:val="Hyperlink"/>
            <w:noProof/>
            <w:color w:val="auto"/>
            <w:u w:val="none"/>
          </w:rPr>
          <w:t>Table 19</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for products issued by state and territory in 2014-15</w:t>
        </w:r>
        <w:r w:rsidR="00140B51" w:rsidRPr="00BB2478">
          <w:rPr>
            <w:noProof/>
            <w:webHidden/>
          </w:rPr>
          <w:tab/>
        </w:r>
      </w:hyperlink>
      <w:r w:rsidR="005F4E3A"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6999" w:history="1">
        <w:r w:rsidR="00140B51" w:rsidRPr="00BB2478">
          <w:rPr>
            <w:rStyle w:val="Hyperlink"/>
            <w:noProof/>
            <w:color w:val="auto"/>
            <w:u w:val="none"/>
          </w:rPr>
          <w:t>Table 20</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Grams of product issued by state and territory in 2014-15</w:t>
        </w:r>
        <w:r w:rsidR="00140B51" w:rsidRPr="00BB2478">
          <w:rPr>
            <w:noProof/>
            <w:webHidden/>
          </w:rPr>
          <w:tab/>
        </w:r>
      </w:hyperlink>
      <w:r w:rsidR="005F4E3A"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7000" w:history="1">
        <w:r w:rsidR="00140B51" w:rsidRPr="00BB2478">
          <w:rPr>
            <w:rStyle w:val="Hyperlink"/>
            <w:noProof/>
            <w:color w:val="auto"/>
            <w:u w:val="none"/>
          </w:rPr>
          <w:t>Table 21</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Patient numbers for products issued by diagnostic group in 2014-15</w:t>
        </w:r>
        <w:r w:rsidR="00140B51" w:rsidRPr="00BB2478">
          <w:rPr>
            <w:noProof/>
            <w:webHidden/>
          </w:rPr>
          <w:tab/>
        </w:r>
      </w:hyperlink>
      <w:r w:rsidR="005F4E3A" w:rsidRPr="00BB2478">
        <w:rPr>
          <w:rStyle w:val="Hyperlink"/>
          <w:noProof/>
          <w:color w:val="auto"/>
          <w:u w:val="none"/>
        </w:rPr>
        <w:t xml:space="preserve"> STARS</w:t>
      </w:r>
    </w:p>
    <w:p w:rsidR="00140B51" w:rsidRPr="00BB2478" w:rsidRDefault="002A066B">
      <w:pPr>
        <w:pStyle w:val="TableofFigures"/>
        <w:tabs>
          <w:tab w:val="left" w:pos="1100"/>
          <w:tab w:val="right" w:leader="dot" w:pos="13948"/>
        </w:tabs>
        <w:rPr>
          <w:rFonts w:asciiTheme="minorHAnsi" w:eastAsiaTheme="minorEastAsia" w:hAnsiTheme="minorHAnsi" w:cstheme="minorBidi"/>
          <w:noProof/>
          <w:lang w:eastAsia="en-AU"/>
        </w:rPr>
      </w:pPr>
      <w:hyperlink w:anchor="_Toc456267001" w:history="1">
        <w:r w:rsidR="00140B51" w:rsidRPr="00BB2478">
          <w:rPr>
            <w:rStyle w:val="Hyperlink"/>
            <w:noProof/>
            <w:color w:val="auto"/>
            <w:u w:val="none"/>
          </w:rPr>
          <w:t>Table 22</w:t>
        </w:r>
        <w:r w:rsidR="00140B51" w:rsidRPr="00BB2478">
          <w:rPr>
            <w:rFonts w:asciiTheme="minorHAnsi" w:eastAsiaTheme="minorEastAsia" w:hAnsiTheme="minorHAnsi" w:cstheme="minorBidi"/>
            <w:noProof/>
            <w:lang w:eastAsia="en-AU"/>
          </w:rPr>
          <w:tab/>
        </w:r>
        <w:r w:rsidR="00140B51" w:rsidRPr="00BB2478">
          <w:rPr>
            <w:rStyle w:val="Hyperlink"/>
            <w:noProof/>
            <w:color w:val="auto"/>
            <w:u w:val="none"/>
          </w:rPr>
          <w:t>Grams of product issued by diagnostic group in 2014-15</w:t>
        </w:r>
        <w:r w:rsidR="00140B51" w:rsidRPr="00BB2478">
          <w:rPr>
            <w:noProof/>
            <w:webHidden/>
          </w:rPr>
          <w:tab/>
        </w:r>
      </w:hyperlink>
      <w:r w:rsidR="005F4E3A" w:rsidRPr="00BB2478">
        <w:rPr>
          <w:rStyle w:val="Hyperlink"/>
          <w:noProof/>
          <w:color w:val="auto"/>
          <w:u w:val="none"/>
        </w:rPr>
        <w:t xml:space="preserve"> STARS</w:t>
      </w:r>
    </w:p>
    <w:p w:rsidR="00140B51" w:rsidRPr="00BB2478" w:rsidRDefault="00E5706B" w:rsidP="005F4E3A">
      <w:pPr>
        <w:pStyle w:val="TableofFigures"/>
        <w:tabs>
          <w:tab w:val="left" w:pos="1100"/>
          <w:tab w:val="right" w:leader="dot" w:pos="13948"/>
        </w:tabs>
      </w:pPr>
      <w:r w:rsidRPr="00BB2478">
        <w:fldChar w:fldCharType="end"/>
      </w:r>
      <w:r w:rsidR="00140B51" w:rsidRPr="00BB2478">
        <w:t xml:space="preserve"> </w:t>
      </w:r>
    </w:p>
    <w:p w:rsidR="00105B80" w:rsidRDefault="00105B80" w:rsidP="00624255">
      <w:pPr>
        <w:spacing w:after="0"/>
      </w:pPr>
      <w:r>
        <w:fldChar w:fldCharType="begin"/>
      </w:r>
      <w:r>
        <w:instrText xml:space="preserve"> REF _Ref379893813 \h  \* MERGEFORMAT </w:instrText>
      </w:r>
      <w:r>
        <w:fldChar w:fldCharType="separate"/>
      </w:r>
      <w:r w:rsidR="00F3134D">
        <w:t>Appendix D – Dataset of Ig supply by state/territory 2014-1</w:t>
      </w:r>
      <w:r>
        <w:fldChar w:fldCharType="end"/>
      </w:r>
      <w:r w:rsidR="00A53BDF">
        <w:t>4</w:t>
      </w:r>
      <w:r>
        <w:t>……………………………………………………………………………………………………………………………………</w:t>
      </w:r>
      <w:r w:rsidR="00BE5985">
        <w:t>…..</w:t>
      </w:r>
      <w:r>
        <w:t>…STARS</w:t>
      </w:r>
    </w:p>
    <w:p w:rsidR="00105B80" w:rsidRDefault="00105B80" w:rsidP="00624255">
      <w:pPr>
        <w:pStyle w:val="NoSpacing"/>
        <w:ind w:right="-76"/>
      </w:pPr>
      <w:r>
        <w:fldChar w:fldCharType="begin"/>
      </w:r>
      <w:r>
        <w:instrText xml:space="preserve"> REF _Ref393440546 \h </w:instrText>
      </w:r>
      <w:r>
        <w:fldChar w:fldCharType="separate"/>
      </w:r>
      <w:r w:rsidR="00F3134D">
        <w:t>Appendix E – Grams Ig Issued by State and Territory</w:t>
      </w:r>
      <w:r>
        <w:fldChar w:fldCharType="end"/>
      </w:r>
      <w:r>
        <w:t xml:space="preserve"> ……………………………………………………………………………………………………………………………………………</w:t>
      </w:r>
      <w:r w:rsidR="00BE5985">
        <w:t>.</w:t>
      </w:r>
      <w:r>
        <w:t>……</w:t>
      </w:r>
      <w:r w:rsidR="00BE5985">
        <w:t>..</w:t>
      </w:r>
      <w:r>
        <w:t>…</w:t>
      </w:r>
      <w:r w:rsidR="00BE5985">
        <w:t>..</w:t>
      </w:r>
      <w:r>
        <w:t>.IDMS</w:t>
      </w:r>
    </w:p>
    <w:p w:rsidR="003A7E26" w:rsidRDefault="00105B80" w:rsidP="00624255">
      <w:pPr>
        <w:pStyle w:val="NoSpacing"/>
        <w:ind w:right="-217"/>
      </w:pPr>
      <w:r>
        <w:fldChar w:fldCharType="begin"/>
      </w:r>
      <w:r>
        <w:instrText xml:space="preserve"> REF _Ref393440549 \h </w:instrText>
      </w:r>
      <w:r>
        <w:fldChar w:fldCharType="separate"/>
      </w:r>
      <w:r w:rsidR="00F3134D">
        <w:t>Appendix F – Unique Patients by Quarter and State and Territory</w:t>
      </w:r>
      <w:r>
        <w:fldChar w:fldCharType="end"/>
      </w:r>
      <w:r>
        <w:t xml:space="preserve"> ………………………………………………………………………………………………………………………………</w:t>
      </w:r>
      <w:r w:rsidR="00BE5985">
        <w:t>...</w:t>
      </w:r>
      <w:r>
        <w:t>…STARS</w:t>
      </w:r>
    </w:p>
    <w:sectPr w:rsidR="003A7E26" w:rsidSect="0094576C">
      <w:pgSz w:w="16838" w:h="11906" w:orient="landscape"/>
      <w:pgMar w:top="1440" w:right="1440" w:bottom="113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3C" w:rsidRDefault="00F2303C" w:rsidP="00856708">
      <w:pPr>
        <w:spacing w:after="0"/>
      </w:pPr>
      <w:r>
        <w:separator/>
      </w:r>
    </w:p>
  </w:endnote>
  <w:endnote w:type="continuationSeparator" w:id="0">
    <w:p w:rsidR="00F2303C" w:rsidRDefault="00F2303C"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03C" w:rsidRPr="00856708" w:rsidRDefault="00F2303C"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2A066B" w:rsidRPr="002A066B">
      <w:rPr>
        <w:noProof/>
        <w:sz w:val="20"/>
        <w:szCs w:val="20"/>
      </w:rPr>
      <w:t>10</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3C" w:rsidRDefault="00F2303C" w:rsidP="00856708">
      <w:pPr>
        <w:spacing w:after="0"/>
      </w:pPr>
      <w:r>
        <w:separator/>
      </w:r>
    </w:p>
  </w:footnote>
  <w:footnote w:type="continuationSeparator" w:id="0">
    <w:p w:rsidR="00F2303C" w:rsidRDefault="00F2303C" w:rsidP="00856708">
      <w:pPr>
        <w:spacing w:after="0"/>
      </w:pPr>
      <w:r>
        <w:continuationSeparator/>
      </w:r>
    </w:p>
  </w:footnote>
  <w:footnote w:id="1">
    <w:p w:rsidR="00F2303C" w:rsidRDefault="00F2303C">
      <w:pPr>
        <w:pStyle w:val="FootnoteText"/>
      </w:pPr>
      <w:r>
        <w:rPr>
          <w:rStyle w:val="FootnoteReference"/>
        </w:rPr>
        <w:footnoteRef/>
      </w:r>
      <w:r>
        <w:t xml:space="preserve"> </w:t>
      </w:r>
      <w:r w:rsidRPr="009F79ED">
        <w:t>ABS 3101.0</w:t>
      </w:r>
    </w:p>
    <w:p w:rsidR="00F2303C" w:rsidRDefault="00F2303C">
      <w:pPr>
        <w:pStyle w:val="FootnoteText"/>
      </w:pPr>
    </w:p>
  </w:footnote>
  <w:footnote w:id="2">
    <w:p w:rsidR="00F2303C" w:rsidRDefault="00F2303C" w:rsidP="00EE79E0">
      <w:pPr>
        <w:pStyle w:val="FootnoteText"/>
      </w:pPr>
      <w:r>
        <w:rPr>
          <w:rStyle w:val="FootnoteReference"/>
        </w:rPr>
        <w:footnoteRef/>
      </w:r>
      <w:r>
        <w:t xml:space="preserve"> World Health Organisation, </w:t>
      </w:r>
      <w:hyperlink r:id="rId1" w:history="1">
        <w:r w:rsidRPr="004D1F57">
          <w:rPr>
            <w:rStyle w:val="Hyperlink"/>
          </w:rPr>
          <w:t>http://www.who.int/ageing/en/</w:t>
        </w:r>
      </w:hyperlink>
      <w:r>
        <w:t xml:space="preserve"> (Accessed 26 Feb 2014)</w:t>
      </w:r>
    </w:p>
    <w:p w:rsidR="00F2303C" w:rsidRDefault="00F2303C">
      <w:pPr>
        <w:pStyle w:val="FootnoteText"/>
      </w:pPr>
    </w:p>
  </w:footnote>
  <w:footnote w:id="3">
    <w:p w:rsidR="00F2303C" w:rsidRDefault="00F2303C">
      <w:pPr>
        <w:pStyle w:val="FootnoteText"/>
      </w:pPr>
      <w:r>
        <w:rPr>
          <w:rStyle w:val="FootnoteReference"/>
        </w:rPr>
        <w:footnoteRef/>
      </w:r>
      <w:r>
        <w:t xml:space="preserve"> </w:t>
      </w:r>
      <w:r w:rsidRPr="00F45B12">
        <w:t>ABS 4841.</w:t>
      </w:r>
      <w:r w:rsidRPr="009F79ED">
        <w:t>0</w:t>
      </w:r>
    </w:p>
  </w:footnote>
  <w:footnote w:id="4">
    <w:p w:rsidR="00F2303C" w:rsidRPr="009201D1" w:rsidRDefault="00F2303C" w:rsidP="00973667">
      <w:pPr>
        <w:pStyle w:val="FootnoteText"/>
        <w:rPr>
          <w:highlight w:val="yellow"/>
        </w:rPr>
      </w:pPr>
      <w:r>
        <w:rPr>
          <w:rStyle w:val="FootnoteReference"/>
        </w:rPr>
        <w:footnoteRef/>
      </w:r>
      <w:r>
        <w:t xml:space="preserve"> </w:t>
      </w:r>
      <w:r w:rsidRPr="00F45B12">
        <w:t>ABS 4841.</w:t>
      </w:r>
      <w:r w:rsidRPr="009F79ED">
        <w:t>0 (average of male and female)</w:t>
      </w:r>
    </w:p>
  </w:footnote>
  <w:footnote w:id="5">
    <w:p w:rsidR="00F2303C" w:rsidRDefault="00F2303C">
      <w:pPr>
        <w:pStyle w:val="FootnoteText"/>
      </w:pPr>
      <w:r w:rsidRPr="00C6435D">
        <w:rPr>
          <w:rStyle w:val="FootnoteReference"/>
        </w:rPr>
        <w:footnoteRef/>
      </w:r>
      <w:r w:rsidRPr="00C6435D">
        <w:t xml:space="preserve"> ABS 4364.0.55.001</w:t>
      </w:r>
    </w:p>
  </w:footnote>
  <w:footnote w:id="6">
    <w:p w:rsidR="00F2303C" w:rsidRDefault="00F2303C">
      <w:pPr>
        <w:pStyle w:val="FootnoteText"/>
      </w:pPr>
      <w:r>
        <w:rPr>
          <w:rStyle w:val="FootnoteReference"/>
        </w:rPr>
        <w:footnoteRef/>
      </w:r>
      <w:r>
        <w:t xml:space="preserve"> Aston, L 2012, </w:t>
      </w:r>
      <w:r w:rsidRPr="00C87084">
        <w:rPr>
          <w:i/>
        </w:rPr>
        <w:t>The effect of ideal body weight (IBW) adjusted dosing on the use of intravenous immunoglobulin (IVIg) in Western Australia</w:t>
      </w:r>
      <w:r>
        <w:t>, Australian Red Cross Blood Service, Australia.</w:t>
      </w:r>
    </w:p>
  </w:footnote>
  <w:footnote w:id="7">
    <w:p w:rsidR="00F2303C" w:rsidRDefault="00F2303C">
      <w:pPr>
        <w:pStyle w:val="FootnoteText"/>
      </w:pPr>
      <w:r>
        <w:rPr>
          <w:rStyle w:val="FootnoteReference"/>
        </w:rPr>
        <w:footnoteRef/>
      </w:r>
      <w:r>
        <w:t xml:space="preserve">2013, </w:t>
      </w:r>
      <w:r w:rsidRPr="002D7E17">
        <w:rPr>
          <w:i/>
        </w:rPr>
        <w:t>Lung Transplantation Fact Sheet</w:t>
      </w:r>
      <w:r>
        <w:t>, Lung Foundation, Australia.</w:t>
      </w:r>
    </w:p>
  </w:footnote>
  <w:footnote w:id="8">
    <w:p w:rsidR="00F2303C" w:rsidRDefault="00F2303C">
      <w:pPr>
        <w:pStyle w:val="FootnoteText"/>
      </w:pPr>
      <w:r>
        <w:rPr>
          <w:rStyle w:val="FootnoteReference"/>
        </w:rPr>
        <w:footnoteRef/>
      </w:r>
      <w:r>
        <w:t xml:space="preserve"> Cunningham-Rundles, C 2012, </w:t>
      </w:r>
      <w:r w:rsidRPr="0034336A">
        <w:rPr>
          <w:i/>
        </w:rPr>
        <w:t>T</w:t>
      </w:r>
      <w:r w:rsidRPr="00B03604">
        <w:rPr>
          <w:i/>
        </w:rPr>
        <w:t>he many faces of common variable immunodeficiency</w:t>
      </w:r>
      <w:r>
        <w:t xml:space="preserve">, </w:t>
      </w:r>
      <w:r w:rsidRPr="00B03604">
        <w:t>American Society of Hematology</w:t>
      </w:r>
      <w:r>
        <w:t>, USA.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42CD6B8B"/>
    <w:multiLevelType w:val="hybridMultilevel"/>
    <w:tmpl w:val="0048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0">
    <w:nsid w:val="43BB20B7"/>
    <w:multiLevelType w:val="hybridMultilevel"/>
    <w:tmpl w:val="E68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41C31"/>
    <w:multiLevelType w:val="multilevel"/>
    <w:tmpl w:val="7D8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7C5BAA"/>
    <w:multiLevelType w:val="hybridMultilevel"/>
    <w:tmpl w:val="8A4E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7">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num w:numId="1">
    <w:abstractNumId w:val="3"/>
  </w:num>
  <w:num w:numId="2">
    <w:abstractNumId w:val="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4"/>
  </w:num>
  <w:num w:numId="4">
    <w:abstractNumId w:val="15"/>
  </w:num>
  <w:num w:numId="5">
    <w:abstractNumId w:val="2"/>
  </w:num>
  <w:num w:numId="6">
    <w:abstractNumId w:val="7"/>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9"/>
  </w:num>
  <w:num w:numId="10">
    <w:abstractNumId w:val="5"/>
  </w:num>
  <w:num w:numId="11">
    <w:abstractNumId w:val="17"/>
  </w:num>
  <w:num w:numId="12">
    <w:abstractNumId w:val="10"/>
  </w:num>
  <w:num w:numId="13">
    <w:abstractNumId w:val="1"/>
  </w:num>
  <w:num w:numId="14">
    <w:abstractNumId w:val="16"/>
  </w:num>
  <w:num w:numId="15">
    <w:abstractNumId w:val="12"/>
  </w:num>
  <w:num w:numId="16">
    <w:abstractNumId w:val="14"/>
  </w:num>
  <w:num w:numId="17">
    <w:abstractNumId w:val="13"/>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1F4F"/>
    <w:rsid w:val="00002F3F"/>
    <w:rsid w:val="00005253"/>
    <w:rsid w:val="00006B46"/>
    <w:rsid w:val="000113B3"/>
    <w:rsid w:val="00012463"/>
    <w:rsid w:val="00012B55"/>
    <w:rsid w:val="000146ED"/>
    <w:rsid w:val="000155B0"/>
    <w:rsid w:val="00017A19"/>
    <w:rsid w:val="00020577"/>
    <w:rsid w:val="0002135C"/>
    <w:rsid w:val="00022192"/>
    <w:rsid w:val="000243E7"/>
    <w:rsid w:val="00030DAD"/>
    <w:rsid w:val="00036EDC"/>
    <w:rsid w:val="00037FAA"/>
    <w:rsid w:val="000450BF"/>
    <w:rsid w:val="0004576D"/>
    <w:rsid w:val="00045AF0"/>
    <w:rsid w:val="00051D67"/>
    <w:rsid w:val="00055CA8"/>
    <w:rsid w:val="000622C5"/>
    <w:rsid w:val="000635D0"/>
    <w:rsid w:val="00063AFE"/>
    <w:rsid w:val="00064DBF"/>
    <w:rsid w:val="0006625C"/>
    <w:rsid w:val="00066948"/>
    <w:rsid w:val="000709CE"/>
    <w:rsid w:val="00073539"/>
    <w:rsid w:val="00077091"/>
    <w:rsid w:val="0008068E"/>
    <w:rsid w:val="00082314"/>
    <w:rsid w:val="00082B62"/>
    <w:rsid w:val="000931B8"/>
    <w:rsid w:val="00094213"/>
    <w:rsid w:val="000957B2"/>
    <w:rsid w:val="000978FA"/>
    <w:rsid w:val="000A1B1A"/>
    <w:rsid w:val="000A2420"/>
    <w:rsid w:val="000A2E03"/>
    <w:rsid w:val="000A595A"/>
    <w:rsid w:val="000B0668"/>
    <w:rsid w:val="000B3D42"/>
    <w:rsid w:val="000B5AE5"/>
    <w:rsid w:val="000B6F44"/>
    <w:rsid w:val="000C349D"/>
    <w:rsid w:val="000C5071"/>
    <w:rsid w:val="000C507C"/>
    <w:rsid w:val="000C7CBB"/>
    <w:rsid w:val="000D63BF"/>
    <w:rsid w:val="000D68AD"/>
    <w:rsid w:val="000E1B2A"/>
    <w:rsid w:val="000E2E10"/>
    <w:rsid w:val="000E3AA4"/>
    <w:rsid w:val="000E6ABA"/>
    <w:rsid w:val="000F1D59"/>
    <w:rsid w:val="000F6C7F"/>
    <w:rsid w:val="000F7372"/>
    <w:rsid w:val="001028F8"/>
    <w:rsid w:val="00102F36"/>
    <w:rsid w:val="00105B80"/>
    <w:rsid w:val="00107C5B"/>
    <w:rsid w:val="00107EFE"/>
    <w:rsid w:val="00112D6A"/>
    <w:rsid w:val="00116CA9"/>
    <w:rsid w:val="00117426"/>
    <w:rsid w:val="0011770B"/>
    <w:rsid w:val="00127E90"/>
    <w:rsid w:val="00131C2A"/>
    <w:rsid w:val="00132DD7"/>
    <w:rsid w:val="00133B72"/>
    <w:rsid w:val="00133BA4"/>
    <w:rsid w:val="00133C25"/>
    <w:rsid w:val="00133F93"/>
    <w:rsid w:val="00136734"/>
    <w:rsid w:val="00137905"/>
    <w:rsid w:val="00137D79"/>
    <w:rsid w:val="0014038F"/>
    <w:rsid w:val="00140B51"/>
    <w:rsid w:val="00145C54"/>
    <w:rsid w:val="00147328"/>
    <w:rsid w:val="00150C63"/>
    <w:rsid w:val="00151F31"/>
    <w:rsid w:val="00153111"/>
    <w:rsid w:val="001631DE"/>
    <w:rsid w:val="00164121"/>
    <w:rsid w:val="001649F8"/>
    <w:rsid w:val="0016503E"/>
    <w:rsid w:val="0016597B"/>
    <w:rsid w:val="00166375"/>
    <w:rsid w:val="00167D80"/>
    <w:rsid w:val="0017310B"/>
    <w:rsid w:val="00175284"/>
    <w:rsid w:val="00176D9D"/>
    <w:rsid w:val="00181109"/>
    <w:rsid w:val="00181ED1"/>
    <w:rsid w:val="00182E01"/>
    <w:rsid w:val="00184BEC"/>
    <w:rsid w:val="001850AC"/>
    <w:rsid w:val="001861DA"/>
    <w:rsid w:val="0018752E"/>
    <w:rsid w:val="00187599"/>
    <w:rsid w:val="00193CAA"/>
    <w:rsid w:val="00196A3B"/>
    <w:rsid w:val="00196B2F"/>
    <w:rsid w:val="001A1AAB"/>
    <w:rsid w:val="001A27E5"/>
    <w:rsid w:val="001B0A6B"/>
    <w:rsid w:val="001B0F4A"/>
    <w:rsid w:val="001B2CDF"/>
    <w:rsid w:val="001B4585"/>
    <w:rsid w:val="001C4944"/>
    <w:rsid w:val="001D0C4E"/>
    <w:rsid w:val="001D0FE1"/>
    <w:rsid w:val="001D3923"/>
    <w:rsid w:val="001D39D7"/>
    <w:rsid w:val="001D4EBD"/>
    <w:rsid w:val="001D5CD8"/>
    <w:rsid w:val="001D5FBB"/>
    <w:rsid w:val="001D64A9"/>
    <w:rsid w:val="001D7796"/>
    <w:rsid w:val="001E3E64"/>
    <w:rsid w:val="001E45D0"/>
    <w:rsid w:val="001E7992"/>
    <w:rsid w:val="001F0580"/>
    <w:rsid w:val="001F1C19"/>
    <w:rsid w:val="001F1E55"/>
    <w:rsid w:val="001F2D29"/>
    <w:rsid w:val="001F3DC3"/>
    <w:rsid w:val="001F6A13"/>
    <w:rsid w:val="001F7D15"/>
    <w:rsid w:val="002030BB"/>
    <w:rsid w:val="002033F2"/>
    <w:rsid w:val="00203679"/>
    <w:rsid w:val="00203992"/>
    <w:rsid w:val="00204BDE"/>
    <w:rsid w:val="00210609"/>
    <w:rsid w:val="002112ED"/>
    <w:rsid w:val="0021560A"/>
    <w:rsid w:val="0022032E"/>
    <w:rsid w:val="002216E4"/>
    <w:rsid w:val="00223D39"/>
    <w:rsid w:val="002246BB"/>
    <w:rsid w:val="00236E6D"/>
    <w:rsid w:val="00237FE3"/>
    <w:rsid w:val="00242D38"/>
    <w:rsid w:val="0024311D"/>
    <w:rsid w:val="002440BA"/>
    <w:rsid w:val="00247EC9"/>
    <w:rsid w:val="002507AE"/>
    <w:rsid w:val="002537F2"/>
    <w:rsid w:val="0025596C"/>
    <w:rsid w:val="00257135"/>
    <w:rsid w:val="00261A7F"/>
    <w:rsid w:val="00267140"/>
    <w:rsid w:val="0027295D"/>
    <w:rsid w:val="00273054"/>
    <w:rsid w:val="002734A3"/>
    <w:rsid w:val="002778CD"/>
    <w:rsid w:val="00280964"/>
    <w:rsid w:val="0028325A"/>
    <w:rsid w:val="0029120E"/>
    <w:rsid w:val="00291DBF"/>
    <w:rsid w:val="00293EDD"/>
    <w:rsid w:val="00294E23"/>
    <w:rsid w:val="00295CD3"/>
    <w:rsid w:val="0029757B"/>
    <w:rsid w:val="002A066B"/>
    <w:rsid w:val="002A3960"/>
    <w:rsid w:val="002B37DA"/>
    <w:rsid w:val="002B5687"/>
    <w:rsid w:val="002C0C10"/>
    <w:rsid w:val="002C0EFF"/>
    <w:rsid w:val="002C1112"/>
    <w:rsid w:val="002C146D"/>
    <w:rsid w:val="002C6AB8"/>
    <w:rsid w:val="002D0363"/>
    <w:rsid w:val="002D0420"/>
    <w:rsid w:val="002D0FA8"/>
    <w:rsid w:val="002D2379"/>
    <w:rsid w:val="002D5A79"/>
    <w:rsid w:val="002D7833"/>
    <w:rsid w:val="002D7E17"/>
    <w:rsid w:val="002E4D25"/>
    <w:rsid w:val="002E7C5F"/>
    <w:rsid w:val="002F4F17"/>
    <w:rsid w:val="002F62A9"/>
    <w:rsid w:val="002F7FA0"/>
    <w:rsid w:val="003002E8"/>
    <w:rsid w:val="00302BDF"/>
    <w:rsid w:val="003031B6"/>
    <w:rsid w:val="003036CB"/>
    <w:rsid w:val="00303797"/>
    <w:rsid w:val="00305284"/>
    <w:rsid w:val="003105B5"/>
    <w:rsid w:val="00316621"/>
    <w:rsid w:val="003204CE"/>
    <w:rsid w:val="00321CC6"/>
    <w:rsid w:val="003262E7"/>
    <w:rsid w:val="00327659"/>
    <w:rsid w:val="00332F80"/>
    <w:rsid w:val="00340C84"/>
    <w:rsid w:val="0034336A"/>
    <w:rsid w:val="003452EA"/>
    <w:rsid w:val="003478CB"/>
    <w:rsid w:val="00353922"/>
    <w:rsid w:val="00353B91"/>
    <w:rsid w:val="00353CA7"/>
    <w:rsid w:val="003540CD"/>
    <w:rsid w:val="00366D9D"/>
    <w:rsid w:val="00367133"/>
    <w:rsid w:val="00370AED"/>
    <w:rsid w:val="003721B2"/>
    <w:rsid w:val="00376CF7"/>
    <w:rsid w:val="003777A5"/>
    <w:rsid w:val="003779DA"/>
    <w:rsid w:val="003833F7"/>
    <w:rsid w:val="00383805"/>
    <w:rsid w:val="00383E85"/>
    <w:rsid w:val="0038404C"/>
    <w:rsid w:val="003869DF"/>
    <w:rsid w:val="003903EF"/>
    <w:rsid w:val="00397F23"/>
    <w:rsid w:val="003A12B1"/>
    <w:rsid w:val="003A4663"/>
    <w:rsid w:val="003A506C"/>
    <w:rsid w:val="003A7E26"/>
    <w:rsid w:val="003B5DD7"/>
    <w:rsid w:val="003B6820"/>
    <w:rsid w:val="003B72FE"/>
    <w:rsid w:val="003C0E83"/>
    <w:rsid w:val="003C4218"/>
    <w:rsid w:val="003C544F"/>
    <w:rsid w:val="003C594C"/>
    <w:rsid w:val="003D0E89"/>
    <w:rsid w:val="003D1107"/>
    <w:rsid w:val="003D2243"/>
    <w:rsid w:val="003D27F1"/>
    <w:rsid w:val="003D2ED1"/>
    <w:rsid w:val="003E1AF1"/>
    <w:rsid w:val="003E6463"/>
    <w:rsid w:val="003E6D24"/>
    <w:rsid w:val="003E76F8"/>
    <w:rsid w:val="003F2D3B"/>
    <w:rsid w:val="004003F9"/>
    <w:rsid w:val="0040053B"/>
    <w:rsid w:val="004020F4"/>
    <w:rsid w:val="004048AA"/>
    <w:rsid w:val="00410ED9"/>
    <w:rsid w:val="00414D08"/>
    <w:rsid w:val="00415DAF"/>
    <w:rsid w:val="00417D9E"/>
    <w:rsid w:val="00421EA3"/>
    <w:rsid w:val="004239F3"/>
    <w:rsid w:val="004330A8"/>
    <w:rsid w:val="00433B4B"/>
    <w:rsid w:val="0043570B"/>
    <w:rsid w:val="00437320"/>
    <w:rsid w:val="00444024"/>
    <w:rsid w:val="004461D2"/>
    <w:rsid w:val="0044660E"/>
    <w:rsid w:val="004529F5"/>
    <w:rsid w:val="00455E05"/>
    <w:rsid w:val="00457C77"/>
    <w:rsid w:val="00460263"/>
    <w:rsid w:val="004661B5"/>
    <w:rsid w:val="00466418"/>
    <w:rsid w:val="00471E0D"/>
    <w:rsid w:val="0047467C"/>
    <w:rsid w:val="004751D4"/>
    <w:rsid w:val="00482CCE"/>
    <w:rsid w:val="00486C69"/>
    <w:rsid w:val="004872FD"/>
    <w:rsid w:val="00491672"/>
    <w:rsid w:val="004925E7"/>
    <w:rsid w:val="00492FF2"/>
    <w:rsid w:val="004937D4"/>
    <w:rsid w:val="004A2B69"/>
    <w:rsid w:val="004A2EF8"/>
    <w:rsid w:val="004A310D"/>
    <w:rsid w:val="004A6C71"/>
    <w:rsid w:val="004A7472"/>
    <w:rsid w:val="004A7679"/>
    <w:rsid w:val="004A76B3"/>
    <w:rsid w:val="004B0A31"/>
    <w:rsid w:val="004B13E6"/>
    <w:rsid w:val="004B16D4"/>
    <w:rsid w:val="004B1804"/>
    <w:rsid w:val="004B4722"/>
    <w:rsid w:val="004B6EFB"/>
    <w:rsid w:val="004B72A9"/>
    <w:rsid w:val="004B7A6D"/>
    <w:rsid w:val="004B7E22"/>
    <w:rsid w:val="004C273E"/>
    <w:rsid w:val="004C3184"/>
    <w:rsid w:val="004C3CAF"/>
    <w:rsid w:val="004C6DDB"/>
    <w:rsid w:val="004C79E1"/>
    <w:rsid w:val="004D0466"/>
    <w:rsid w:val="004D161F"/>
    <w:rsid w:val="004D1D4D"/>
    <w:rsid w:val="004D1FDF"/>
    <w:rsid w:val="004D3D40"/>
    <w:rsid w:val="004D4636"/>
    <w:rsid w:val="004D5232"/>
    <w:rsid w:val="004D73D0"/>
    <w:rsid w:val="004D7B46"/>
    <w:rsid w:val="004E3634"/>
    <w:rsid w:val="004F03AF"/>
    <w:rsid w:val="004F2BA4"/>
    <w:rsid w:val="004F3B5D"/>
    <w:rsid w:val="004F3B95"/>
    <w:rsid w:val="004F62AE"/>
    <w:rsid w:val="004F7FD3"/>
    <w:rsid w:val="0050185E"/>
    <w:rsid w:val="00503EA7"/>
    <w:rsid w:val="00506157"/>
    <w:rsid w:val="0050781C"/>
    <w:rsid w:val="00507B65"/>
    <w:rsid w:val="00511BE6"/>
    <w:rsid w:val="00520EF3"/>
    <w:rsid w:val="005256CB"/>
    <w:rsid w:val="00540020"/>
    <w:rsid w:val="00540BE1"/>
    <w:rsid w:val="00547897"/>
    <w:rsid w:val="00547D7D"/>
    <w:rsid w:val="0055054B"/>
    <w:rsid w:val="00551611"/>
    <w:rsid w:val="005522B0"/>
    <w:rsid w:val="00552A2C"/>
    <w:rsid w:val="005537AD"/>
    <w:rsid w:val="00561273"/>
    <w:rsid w:val="00563C75"/>
    <w:rsid w:val="00565E1F"/>
    <w:rsid w:val="00566E89"/>
    <w:rsid w:val="00575E68"/>
    <w:rsid w:val="005762DE"/>
    <w:rsid w:val="00577150"/>
    <w:rsid w:val="00583911"/>
    <w:rsid w:val="00587E9C"/>
    <w:rsid w:val="0059178E"/>
    <w:rsid w:val="005937C9"/>
    <w:rsid w:val="00597591"/>
    <w:rsid w:val="005A2519"/>
    <w:rsid w:val="005B790D"/>
    <w:rsid w:val="005B7EF6"/>
    <w:rsid w:val="005C4351"/>
    <w:rsid w:val="005C4775"/>
    <w:rsid w:val="005C5B21"/>
    <w:rsid w:val="005C6DFA"/>
    <w:rsid w:val="005D713B"/>
    <w:rsid w:val="005D71BA"/>
    <w:rsid w:val="005E16DB"/>
    <w:rsid w:val="005E4EB6"/>
    <w:rsid w:val="005F18AF"/>
    <w:rsid w:val="005F3092"/>
    <w:rsid w:val="005F4BC1"/>
    <w:rsid w:val="005F4E3A"/>
    <w:rsid w:val="00600678"/>
    <w:rsid w:val="00602777"/>
    <w:rsid w:val="00606BC8"/>
    <w:rsid w:val="00611726"/>
    <w:rsid w:val="0061330D"/>
    <w:rsid w:val="006153F8"/>
    <w:rsid w:val="00617DFA"/>
    <w:rsid w:val="0062078C"/>
    <w:rsid w:val="00620B3A"/>
    <w:rsid w:val="00622293"/>
    <w:rsid w:val="00622469"/>
    <w:rsid w:val="00624255"/>
    <w:rsid w:val="00624272"/>
    <w:rsid w:val="00624AD3"/>
    <w:rsid w:val="0062533E"/>
    <w:rsid w:val="00635638"/>
    <w:rsid w:val="00636610"/>
    <w:rsid w:val="0063669C"/>
    <w:rsid w:val="00642EB7"/>
    <w:rsid w:val="00642F30"/>
    <w:rsid w:val="00643ADB"/>
    <w:rsid w:val="00644D7E"/>
    <w:rsid w:val="00652D53"/>
    <w:rsid w:val="00652E47"/>
    <w:rsid w:val="0065660F"/>
    <w:rsid w:val="00663E26"/>
    <w:rsid w:val="006652B0"/>
    <w:rsid w:val="00665C6B"/>
    <w:rsid w:val="006669E6"/>
    <w:rsid w:val="00672CB1"/>
    <w:rsid w:val="00673908"/>
    <w:rsid w:val="00674069"/>
    <w:rsid w:val="00674E88"/>
    <w:rsid w:val="00676AFE"/>
    <w:rsid w:val="006826A1"/>
    <w:rsid w:val="0068337A"/>
    <w:rsid w:val="0068364E"/>
    <w:rsid w:val="006842FF"/>
    <w:rsid w:val="00685EDA"/>
    <w:rsid w:val="00690F47"/>
    <w:rsid w:val="0069350D"/>
    <w:rsid w:val="00693AC5"/>
    <w:rsid w:val="006958A6"/>
    <w:rsid w:val="006A08C5"/>
    <w:rsid w:val="006A3E1B"/>
    <w:rsid w:val="006A44CC"/>
    <w:rsid w:val="006B542A"/>
    <w:rsid w:val="006B7847"/>
    <w:rsid w:val="006C17BF"/>
    <w:rsid w:val="006C4249"/>
    <w:rsid w:val="006C54DF"/>
    <w:rsid w:val="006C63BC"/>
    <w:rsid w:val="006C789A"/>
    <w:rsid w:val="006D1077"/>
    <w:rsid w:val="006D1551"/>
    <w:rsid w:val="006D4DB9"/>
    <w:rsid w:val="006D504E"/>
    <w:rsid w:val="006D66E0"/>
    <w:rsid w:val="006D6D21"/>
    <w:rsid w:val="006D72E2"/>
    <w:rsid w:val="006E02E7"/>
    <w:rsid w:val="006E06B8"/>
    <w:rsid w:val="006E1890"/>
    <w:rsid w:val="006E2462"/>
    <w:rsid w:val="006E46CD"/>
    <w:rsid w:val="006E47C7"/>
    <w:rsid w:val="006E7B97"/>
    <w:rsid w:val="006F0B76"/>
    <w:rsid w:val="006F5001"/>
    <w:rsid w:val="006F525A"/>
    <w:rsid w:val="006F7EF4"/>
    <w:rsid w:val="006F7FC4"/>
    <w:rsid w:val="00701735"/>
    <w:rsid w:val="00705FE5"/>
    <w:rsid w:val="00707217"/>
    <w:rsid w:val="00707A51"/>
    <w:rsid w:val="0071226C"/>
    <w:rsid w:val="00716977"/>
    <w:rsid w:val="0072166F"/>
    <w:rsid w:val="00725FF4"/>
    <w:rsid w:val="00726040"/>
    <w:rsid w:val="00730085"/>
    <w:rsid w:val="0073216D"/>
    <w:rsid w:val="007334D7"/>
    <w:rsid w:val="00735268"/>
    <w:rsid w:val="00735C1D"/>
    <w:rsid w:val="0074182F"/>
    <w:rsid w:val="00742175"/>
    <w:rsid w:val="00742936"/>
    <w:rsid w:val="007460DB"/>
    <w:rsid w:val="00747F48"/>
    <w:rsid w:val="00750555"/>
    <w:rsid w:val="00752586"/>
    <w:rsid w:val="00753027"/>
    <w:rsid w:val="0075377A"/>
    <w:rsid w:val="00757E8E"/>
    <w:rsid w:val="00761E40"/>
    <w:rsid w:val="00762116"/>
    <w:rsid w:val="007621B6"/>
    <w:rsid w:val="0076501A"/>
    <w:rsid w:val="00765ACF"/>
    <w:rsid w:val="007737E6"/>
    <w:rsid w:val="00781015"/>
    <w:rsid w:val="00782C0B"/>
    <w:rsid w:val="00782CE1"/>
    <w:rsid w:val="00784390"/>
    <w:rsid w:val="00786A37"/>
    <w:rsid w:val="007905CC"/>
    <w:rsid w:val="00791E31"/>
    <w:rsid w:val="007A08DE"/>
    <w:rsid w:val="007A1D1E"/>
    <w:rsid w:val="007A21C6"/>
    <w:rsid w:val="007A2590"/>
    <w:rsid w:val="007A4065"/>
    <w:rsid w:val="007A710D"/>
    <w:rsid w:val="007B1090"/>
    <w:rsid w:val="007B6BB2"/>
    <w:rsid w:val="007B745A"/>
    <w:rsid w:val="007B7D2A"/>
    <w:rsid w:val="007C06AC"/>
    <w:rsid w:val="007C15F7"/>
    <w:rsid w:val="007C1AE3"/>
    <w:rsid w:val="007C31D2"/>
    <w:rsid w:val="007C3670"/>
    <w:rsid w:val="007D3476"/>
    <w:rsid w:val="007D56EB"/>
    <w:rsid w:val="007D6E1A"/>
    <w:rsid w:val="007E2A05"/>
    <w:rsid w:val="007E2E21"/>
    <w:rsid w:val="007E4835"/>
    <w:rsid w:val="007E77BD"/>
    <w:rsid w:val="007F5A15"/>
    <w:rsid w:val="007F7816"/>
    <w:rsid w:val="0080006B"/>
    <w:rsid w:val="00806444"/>
    <w:rsid w:val="00810567"/>
    <w:rsid w:val="008146AB"/>
    <w:rsid w:val="008172DE"/>
    <w:rsid w:val="00821D54"/>
    <w:rsid w:val="00824A4C"/>
    <w:rsid w:val="00827C6F"/>
    <w:rsid w:val="008309E8"/>
    <w:rsid w:val="008318FF"/>
    <w:rsid w:val="008345D6"/>
    <w:rsid w:val="00835962"/>
    <w:rsid w:val="00840A1A"/>
    <w:rsid w:val="00841334"/>
    <w:rsid w:val="008435E5"/>
    <w:rsid w:val="0085321E"/>
    <w:rsid w:val="0085373D"/>
    <w:rsid w:val="008555EA"/>
    <w:rsid w:val="00856708"/>
    <w:rsid w:val="00861411"/>
    <w:rsid w:val="0086293C"/>
    <w:rsid w:val="00862E8F"/>
    <w:rsid w:val="00863D87"/>
    <w:rsid w:val="00866AC2"/>
    <w:rsid w:val="00872908"/>
    <w:rsid w:val="00875096"/>
    <w:rsid w:val="00875770"/>
    <w:rsid w:val="0087672B"/>
    <w:rsid w:val="00881F04"/>
    <w:rsid w:val="008829DC"/>
    <w:rsid w:val="00887374"/>
    <w:rsid w:val="00887677"/>
    <w:rsid w:val="008907BD"/>
    <w:rsid w:val="00893E0A"/>
    <w:rsid w:val="00894C04"/>
    <w:rsid w:val="008A2411"/>
    <w:rsid w:val="008A36DF"/>
    <w:rsid w:val="008A4E8C"/>
    <w:rsid w:val="008A672C"/>
    <w:rsid w:val="008A680E"/>
    <w:rsid w:val="008A6DA3"/>
    <w:rsid w:val="008B1D80"/>
    <w:rsid w:val="008B330E"/>
    <w:rsid w:val="008B39DD"/>
    <w:rsid w:val="008B5C3E"/>
    <w:rsid w:val="008B7003"/>
    <w:rsid w:val="008C0886"/>
    <w:rsid w:val="008C3ADF"/>
    <w:rsid w:val="008C3EFF"/>
    <w:rsid w:val="008C40DA"/>
    <w:rsid w:val="008C6C2E"/>
    <w:rsid w:val="008D0348"/>
    <w:rsid w:val="008D0C19"/>
    <w:rsid w:val="008D1D39"/>
    <w:rsid w:val="008D3546"/>
    <w:rsid w:val="008D4B7F"/>
    <w:rsid w:val="008E0449"/>
    <w:rsid w:val="008E58DA"/>
    <w:rsid w:val="008E5992"/>
    <w:rsid w:val="008F04E1"/>
    <w:rsid w:val="008F2C9C"/>
    <w:rsid w:val="008F5DDF"/>
    <w:rsid w:val="00900232"/>
    <w:rsid w:val="00900C49"/>
    <w:rsid w:val="009030EF"/>
    <w:rsid w:val="0090374D"/>
    <w:rsid w:val="00906390"/>
    <w:rsid w:val="009115C9"/>
    <w:rsid w:val="009201D1"/>
    <w:rsid w:val="00921109"/>
    <w:rsid w:val="00922E59"/>
    <w:rsid w:val="00924E52"/>
    <w:rsid w:val="009269C1"/>
    <w:rsid w:val="0093315D"/>
    <w:rsid w:val="00934181"/>
    <w:rsid w:val="00935419"/>
    <w:rsid w:val="00936E54"/>
    <w:rsid w:val="0094122E"/>
    <w:rsid w:val="00944F83"/>
    <w:rsid w:val="0094576C"/>
    <w:rsid w:val="00946110"/>
    <w:rsid w:val="00951257"/>
    <w:rsid w:val="00951B85"/>
    <w:rsid w:val="00953454"/>
    <w:rsid w:val="00953606"/>
    <w:rsid w:val="009575A3"/>
    <w:rsid w:val="0096767F"/>
    <w:rsid w:val="00970E45"/>
    <w:rsid w:val="00973667"/>
    <w:rsid w:val="00977C73"/>
    <w:rsid w:val="00980882"/>
    <w:rsid w:val="009820F2"/>
    <w:rsid w:val="009840A8"/>
    <w:rsid w:val="00992EA9"/>
    <w:rsid w:val="009A092E"/>
    <w:rsid w:val="009A2EBE"/>
    <w:rsid w:val="009A55F2"/>
    <w:rsid w:val="009B08C9"/>
    <w:rsid w:val="009B1399"/>
    <w:rsid w:val="009B1A79"/>
    <w:rsid w:val="009B3B9A"/>
    <w:rsid w:val="009B4B9C"/>
    <w:rsid w:val="009C0BBE"/>
    <w:rsid w:val="009C176B"/>
    <w:rsid w:val="009C22C4"/>
    <w:rsid w:val="009C272E"/>
    <w:rsid w:val="009C27D0"/>
    <w:rsid w:val="009C2E79"/>
    <w:rsid w:val="009C4975"/>
    <w:rsid w:val="009C605F"/>
    <w:rsid w:val="009D03FE"/>
    <w:rsid w:val="009D3B42"/>
    <w:rsid w:val="009D3C1B"/>
    <w:rsid w:val="009D7E93"/>
    <w:rsid w:val="009D7F08"/>
    <w:rsid w:val="009E0691"/>
    <w:rsid w:val="009E0CD6"/>
    <w:rsid w:val="009E2976"/>
    <w:rsid w:val="009E38CC"/>
    <w:rsid w:val="009E6B92"/>
    <w:rsid w:val="009E7738"/>
    <w:rsid w:val="009F36D1"/>
    <w:rsid w:val="009F4229"/>
    <w:rsid w:val="009F6FE9"/>
    <w:rsid w:val="009F79ED"/>
    <w:rsid w:val="009F7B68"/>
    <w:rsid w:val="00A063D5"/>
    <w:rsid w:val="00A109E8"/>
    <w:rsid w:val="00A2146C"/>
    <w:rsid w:val="00A22232"/>
    <w:rsid w:val="00A31EC4"/>
    <w:rsid w:val="00A3595D"/>
    <w:rsid w:val="00A36F57"/>
    <w:rsid w:val="00A40F2D"/>
    <w:rsid w:val="00A41F7D"/>
    <w:rsid w:val="00A47CC4"/>
    <w:rsid w:val="00A52623"/>
    <w:rsid w:val="00A53BDF"/>
    <w:rsid w:val="00A53DDC"/>
    <w:rsid w:val="00A56590"/>
    <w:rsid w:val="00A56CBA"/>
    <w:rsid w:val="00A611D7"/>
    <w:rsid w:val="00A6304F"/>
    <w:rsid w:val="00A63FEC"/>
    <w:rsid w:val="00A64A8F"/>
    <w:rsid w:val="00A6620D"/>
    <w:rsid w:val="00A66B06"/>
    <w:rsid w:val="00A67029"/>
    <w:rsid w:val="00A6774A"/>
    <w:rsid w:val="00A70977"/>
    <w:rsid w:val="00A70ADD"/>
    <w:rsid w:val="00A72DDB"/>
    <w:rsid w:val="00A73015"/>
    <w:rsid w:val="00A74DE8"/>
    <w:rsid w:val="00A8141B"/>
    <w:rsid w:val="00A81F7A"/>
    <w:rsid w:val="00A84591"/>
    <w:rsid w:val="00A85C1B"/>
    <w:rsid w:val="00A86516"/>
    <w:rsid w:val="00A91113"/>
    <w:rsid w:val="00A91FF3"/>
    <w:rsid w:val="00A95139"/>
    <w:rsid w:val="00A97D1B"/>
    <w:rsid w:val="00AA1F0C"/>
    <w:rsid w:val="00AA322F"/>
    <w:rsid w:val="00AA3F6A"/>
    <w:rsid w:val="00AA6688"/>
    <w:rsid w:val="00AB072B"/>
    <w:rsid w:val="00AB2B63"/>
    <w:rsid w:val="00AC0C23"/>
    <w:rsid w:val="00AC0EBB"/>
    <w:rsid w:val="00AC72E5"/>
    <w:rsid w:val="00AD0EB1"/>
    <w:rsid w:val="00AD2D19"/>
    <w:rsid w:val="00AD423C"/>
    <w:rsid w:val="00AE0775"/>
    <w:rsid w:val="00AE12DC"/>
    <w:rsid w:val="00AE3E50"/>
    <w:rsid w:val="00AE6168"/>
    <w:rsid w:val="00AE7A56"/>
    <w:rsid w:val="00AF1887"/>
    <w:rsid w:val="00AF2BD5"/>
    <w:rsid w:val="00AF2CBC"/>
    <w:rsid w:val="00AF4090"/>
    <w:rsid w:val="00AF544C"/>
    <w:rsid w:val="00AF6BB2"/>
    <w:rsid w:val="00AF6DCB"/>
    <w:rsid w:val="00AF717F"/>
    <w:rsid w:val="00AF7F76"/>
    <w:rsid w:val="00B03604"/>
    <w:rsid w:val="00B04685"/>
    <w:rsid w:val="00B051DF"/>
    <w:rsid w:val="00B0687D"/>
    <w:rsid w:val="00B10097"/>
    <w:rsid w:val="00B154A6"/>
    <w:rsid w:val="00B23732"/>
    <w:rsid w:val="00B25A48"/>
    <w:rsid w:val="00B25E08"/>
    <w:rsid w:val="00B270AC"/>
    <w:rsid w:val="00B27217"/>
    <w:rsid w:val="00B32511"/>
    <w:rsid w:val="00B33AE3"/>
    <w:rsid w:val="00B33AE7"/>
    <w:rsid w:val="00B3473A"/>
    <w:rsid w:val="00B34AD2"/>
    <w:rsid w:val="00B3726E"/>
    <w:rsid w:val="00B43CC7"/>
    <w:rsid w:val="00B45FB4"/>
    <w:rsid w:val="00B46D1F"/>
    <w:rsid w:val="00B54DD7"/>
    <w:rsid w:val="00B550EA"/>
    <w:rsid w:val="00B55552"/>
    <w:rsid w:val="00B617C4"/>
    <w:rsid w:val="00B6229B"/>
    <w:rsid w:val="00B647A5"/>
    <w:rsid w:val="00B71033"/>
    <w:rsid w:val="00B71980"/>
    <w:rsid w:val="00B72857"/>
    <w:rsid w:val="00B73B10"/>
    <w:rsid w:val="00B7546D"/>
    <w:rsid w:val="00B7652C"/>
    <w:rsid w:val="00B81AFC"/>
    <w:rsid w:val="00B828DF"/>
    <w:rsid w:val="00B82DEE"/>
    <w:rsid w:val="00B8503F"/>
    <w:rsid w:val="00BA220E"/>
    <w:rsid w:val="00BA37C4"/>
    <w:rsid w:val="00BA45E7"/>
    <w:rsid w:val="00BA55BD"/>
    <w:rsid w:val="00BA5807"/>
    <w:rsid w:val="00BB2478"/>
    <w:rsid w:val="00BB2E60"/>
    <w:rsid w:val="00BB4B49"/>
    <w:rsid w:val="00BC0B14"/>
    <w:rsid w:val="00BC2903"/>
    <w:rsid w:val="00BC2FCC"/>
    <w:rsid w:val="00BC3417"/>
    <w:rsid w:val="00BD0220"/>
    <w:rsid w:val="00BD3561"/>
    <w:rsid w:val="00BD48F1"/>
    <w:rsid w:val="00BE5985"/>
    <w:rsid w:val="00BF07A9"/>
    <w:rsid w:val="00BF41F5"/>
    <w:rsid w:val="00BF5257"/>
    <w:rsid w:val="00C03547"/>
    <w:rsid w:val="00C04029"/>
    <w:rsid w:val="00C06506"/>
    <w:rsid w:val="00C119CD"/>
    <w:rsid w:val="00C15E22"/>
    <w:rsid w:val="00C167AF"/>
    <w:rsid w:val="00C17A96"/>
    <w:rsid w:val="00C23B97"/>
    <w:rsid w:val="00C26C61"/>
    <w:rsid w:val="00C31BB5"/>
    <w:rsid w:val="00C337C0"/>
    <w:rsid w:val="00C358CA"/>
    <w:rsid w:val="00C35FB8"/>
    <w:rsid w:val="00C36771"/>
    <w:rsid w:val="00C44B61"/>
    <w:rsid w:val="00C45E48"/>
    <w:rsid w:val="00C47BC9"/>
    <w:rsid w:val="00C52279"/>
    <w:rsid w:val="00C52533"/>
    <w:rsid w:val="00C52AE1"/>
    <w:rsid w:val="00C54F40"/>
    <w:rsid w:val="00C56A00"/>
    <w:rsid w:val="00C57846"/>
    <w:rsid w:val="00C618F4"/>
    <w:rsid w:val="00C61D56"/>
    <w:rsid w:val="00C6435D"/>
    <w:rsid w:val="00C67B20"/>
    <w:rsid w:val="00C67E60"/>
    <w:rsid w:val="00C703DA"/>
    <w:rsid w:val="00C7162D"/>
    <w:rsid w:val="00C7292E"/>
    <w:rsid w:val="00C72BF8"/>
    <w:rsid w:val="00C76878"/>
    <w:rsid w:val="00C770C6"/>
    <w:rsid w:val="00C810AC"/>
    <w:rsid w:val="00C82997"/>
    <w:rsid w:val="00C83098"/>
    <w:rsid w:val="00C84875"/>
    <w:rsid w:val="00C85A8F"/>
    <w:rsid w:val="00C87084"/>
    <w:rsid w:val="00C92189"/>
    <w:rsid w:val="00C9255E"/>
    <w:rsid w:val="00C9472D"/>
    <w:rsid w:val="00C97017"/>
    <w:rsid w:val="00CA03FE"/>
    <w:rsid w:val="00CA15CC"/>
    <w:rsid w:val="00CA6955"/>
    <w:rsid w:val="00CB191B"/>
    <w:rsid w:val="00CB355A"/>
    <w:rsid w:val="00CB4483"/>
    <w:rsid w:val="00CB46BA"/>
    <w:rsid w:val="00CB7FF8"/>
    <w:rsid w:val="00CC0C97"/>
    <w:rsid w:val="00CC1D19"/>
    <w:rsid w:val="00CC3BF9"/>
    <w:rsid w:val="00CC3C5F"/>
    <w:rsid w:val="00CC3E5B"/>
    <w:rsid w:val="00CC557D"/>
    <w:rsid w:val="00CC76C3"/>
    <w:rsid w:val="00CD534F"/>
    <w:rsid w:val="00CD5D5B"/>
    <w:rsid w:val="00CE3B21"/>
    <w:rsid w:val="00CF3AEF"/>
    <w:rsid w:val="00CF5AAA"/>
    <w:rsid w:val="00CF6DA8"/>
    <w:rsid w:val="00D03F3F"/>
    <w:rsid w:val="00D04A1F"/>
    <w:rsid w:val="00D06EB8"/>
    <w:rsid w:val="00D203F4"/>
    <w:rsid w:val="00D22984"/>
    <w:rsid w:val="00D2361F"/>
    <w:rsid w:val="00D24BD9"/>
    <w:rsid w:val="00D26977"/>
    <w:rsid w:val="00D33277"/>
    <w:rsid w:val="00D3446D"/>
    <w:rsid w:val="00D40749"/>
    <w:rsid w:val="00D43088"/>
    <w:rsid w:val="00D452FA"/>
    <w:rsid w:val="00D50B84"/>
    <w:rsid w:val="00D50CEA"/>
    <w:rsid w:val="00D51E27"/>
    <w:rsid w:val="00D52AA6"/>
    <w:rsid w:val="00D531FB"/>
    <w:rsid w:val="00D53729"/>
    <w:rsid w:val="00D55218"/>
    <w:rsid w:val="00D56F24"/>
    <w:rsid w:val="00D6061B"/>
    <w:rsid w:val="00D60684"/>
    <w:rsid w:val="00D63965"/>
    <w:rsid w:val="00D63C20"/>
    <w:rsid w:val="00D64F90"/>
    <w:rsid w:val="00D668C9"/>
    <w:rsid w:val="00D7069D"/>
    <w:rsid w:val="00D70F49"/>
    <w:rsid w:val="00D71D7A"/>
    <w:rsid w:val="00D72FA9"/>
    <w:rsid w:val="00D77190"/>
    <w:rsid w:val="00D77861"/>
    <w:rsid w:val="00D80C8E"/>
    <w:rsid w:val="00D8171F"/>
    <w:rsid w:val="00D90728"/>
    <w:rsid w:val="00D91279"/>
    <w:rsid w:val="00D935C5"/>
    <w:rsid w:val="00D95C5E"/>
    <w:rsid w:val="00DA1F87"/>
    <w:rsid w:val="00DA264F"/>
    <w:rsid w:val="00DA2710"/>
    <w:rsid w:val="00DA283D"/>
    <w:rsid w:val="00DA527B"/>
    <w:rsid w:val="00DA71A8"/>
    <w:rsid w:val="00DB22F4"/>
    <w:rsid w:val="00DB394D"/>
    <w:rsid w:val="00DB67DC"/>
    <w:rsid w:val="00DC049C"/>
    <w:rsid w:val="00DC2457"/>
    <w:rsid w:val="00DC54EF"/>
    <w:rsid w:val="00DC6A42"/>
    <w:rsid w:val="00DD0558"/>
    <w:rsid w:val="00DD6B9E"/>
    <w:rsid w:val="00DE379B"/>
    <w:rsid w:val="00DE5F57"/>
    <w:rsid w:val="00DE67E2"/>
    <w:rsid w:val="00DE6EE0"/>
    <w:rsid w:val="00DE7E14"/>
    <w:rsid w:val="00DF21AF"/>
    <w:rsid w:val="00DF2FCD"/>
    <w:rsid w:val="00DF34C5"/>
    <w:rsid w:val="00DF4C1A"/>
    <w:rsid w:val="00DF6807"/>
    <w:rsid w:val="00DF7F11"/>
    <w:rsid w:val="00E00135"/>
    <w:rsid w:val="00E02A95"/>
    <w:rsid w:val="00E037A0"/>
    <w:rsid w:val="00E04C57"/>
    <w:rsid w:val="00E05C2E"/>
    <w:rsid w:val="00E076D8"/>
    <w:rsid w:val="00E13DC0"/>
    <w:rsid w:val="00E20B8C"/>
    <w:rsid w:val="00E20DAF"/>
    <w:rsid w:val="00E246BF"/>
    <w:rsid w:val="00E25303"/>
    <w:rsid w:val="00E27116"/>
    <w:rsid w:val="00E279E2"/>
    <w:rsid w:val="00E30C0E"/>
    <w:rsid w:val="00E36E97"/>
    <w:rsid w:val="00E374C6"/>
    <w:rsid w:val="00E3767A"/>
    <w:rsid w:val="00E44670"/>
    <w:rsid w:val="00E56DCA"/>
    <w:rsid w:val="00E5706B"/>
    <w:rsid w:val="00E5796A"/>
    <w:rsid w:val="00E60CAF"/>
    <w:rsid w:val="00E63CD8"/>
    <w:rsid w:val="00E64115"/>
    <w:rsid w:val="00E64829"/>
    <w:rsid w:val="00E65D00"/>
    <w:rsid w:val="00E674C3"/>
    <w:rsid w:val="00E712BD"/>
    <w:rsid w:val="00E72052"/>
    <w:rsid w:val="00E733C0"/>
    <w:rsid w:val="00E74C88"/>
    <w:rsid w:val="00E74E7B"/>
    <w:rsid w:val="00E75319"/>
    <w:rsid w:val="00E835C5"/>
    <w:rsid w:val="00E84A7D"/>
    <w:rsid w:val="00E8675E"/>
    <w:rsid w:val="00E872E0"/>
    <w:rsid w:val="00E907DF"/>
    <w:rsid w:val="00E92A7B"/>
    <w:rsid w:val="00E970AB"/>
    <w:rsid w:val="00EA024D"/>
    <w:rsid w:val="00EA23EB"/>
    <w:rsid w:val="00EA7A79"/>
    <w:rsid w:val="00EB0DB2"/>
    <w:rsid w:val="00EB1F15"/>
    <w:rsid w:val="00EB5012"/>
    <w:rsid w:val="00EB5FD7"/>
    <w:rsid w:val="00EB6913"/>
    <w:rsid w:val="00EC0636"/>
    <w:rsid w:val="00EC318F"/>
    <w:rsid w:val="00EC6AB5"/>
    <w:rsid w:val="00EC7AA7"/>
    <w:rsid w:val="00ED1ED0"/>
    <w:rsid w:val="00ED2D5F"/>
    <w:rsid w:val="00EE452C"/>
    <w:rsid w:val="00EE5283"/>
    <w:rsid w:val="00EE79E0"/>
    <w:rsid w:val="00EF0EA8"/>
    <w:rsid w:val="00EF2E08"/>
    <w:rsid w:val="00F04075"/>
    <w:rsid w:val="00F04327"/>
    <w:rsid w:val="00F1467A"/>
    <w:rsid w:val="00F1675D"/>
    <w:rsid w:val="00F21AE1"/>
    <w:rsid w:val="00F2303C"/>
    <w:rsid w:val="00F23FF0"/>
    <w:rsid w:val="00F24FC9"/>
    <w:rsid w:val="00F27978"/>
    <w:rsid w:val="00F311DF"/>
    <w:rsid w:val="00F3134D"/>
    <w:rsid w:val="00F31424"/>
    <w:rsid w:val="00F32552"/>
    <w:rsid w:val="00F42965"/>
    <w:rsid w:val="00F429C4"/>
    <w:rsid w:val="00F43A96"/>
    <w:rsid w:val="00F45B12"/>
    <w:rsid w:val="00F46438"/>
    <w:rsid w:val="00F46EE2"/>
    <w:rsid w:val="00F5016C"/>
    <w:rsid w:val="00F502CF"/>
    <w:rsid w:val="00F52A66"/>
    <w:rsid w:val="00F54F28"/>
    <w:rsid w:val="00F616FC"/>
    <w:rsid w:val="00F61CDB"/>
    <w:rsid w:val="00F63179"/>
    <w:rsid w:val="00F6375B"/>
    <w:rsid w:val="00F6444A"/>
    <w:rsid w:val="00F64C44"/>
    <w:rsid w:val="00F661CD"/>
    <w:rsid w:val="00F67926"/>
    <w:rsid w:val="00F705C0"/>
    <w:rsid w:val="00F72BAB"/>
    <w:rsid w:val="00F77175"/>
    <w:rsid w:val="00F77DED"/>
    <w:rsid w:val="00F81683"/>
    <w:rsid w:val="00F841C5"/>
    <w:rsid w:val="00F87430"/>
    <w:rsid w:val="00F91C64"/>
    <w:rsid w:val="00F922AA"/>
    <w:rsid w:val="00F93E94"/>
    <w:rsid w:val="00F949D9"/>
    <w:rsid w:val="00F957B7"/>
    <w:rsid w:val="00F96E9B"/>
    <w:rsid w:val="00F976BC"/>
    <w:rsid w:val="00FA13DB"/>
    <w:rsid w:val="00FA20DD"/>
    <w:rsid w:val="00FA2CF7"/>
    <w:rsid w:val="00FA70BB"/>
    <w:rsid w:val="00FA7A97"/>
    <w:rsid w:val="00FB258E"/>
    <w:rsid w:val="00FB3F96"/>
    <w:rsid w:val="00FB4A6A"/>
    <w:rsid w:val="00FB4ECC"/>
    <w:rsid w:val="00FC3022"/>
    <w:rsid w:val="00FD0B98"/>
    <w:rsid w:val="00FD0FD6"/>
    <w:rsid w:val="00FD427D"/>
    <w:rsid w:val="00FD4AF6"/>
    <w:rsid w:val="00FD6C47"/>
    <w:rsid w:val="00FE30B1"/>
    <w:rsid w:val="00FE46F4"/>
    <w:rsid w:val="00FE6476"/>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note text" w:uiPriority="9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Subtle Emphasis" w:uiPriority="19"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note text" w:uiPriority="9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Subtle Emphasis" w:uiPriority="19"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legalcode" TargetMode="External"/><Relationship Id="rId18" Type="http://schemas.openxmlformats.org/officeDocument/2006/relationships/image" Target="media/image4.jp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ata@blood.gov.au" TargetMode="External"/><Relationship Id="rId20" Type="http://schemas.openxmlformats.org/officeDocument/2006/relationships/image" Target="media/image6.jp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en.wikipedia.org/wiki/Anti-neutrophil_cytoplasmic_antibody"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chart" Target="charts/chart5.xml"/><Relationship Id="rId36" Type="http://schemas.openxmlformats.org/officeDocument/2006/relationships/hyperlink" Target="http://www.blood.gov.au/data-analysis-reporting"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ood.gov.au/data-analysis-reporting"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ageing/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20Final.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20Final.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20Final.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4-15\IVIg%20Tables%20and%20Figures%20Final.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stacked"/>
        <c:varyColors val="0"/>
        <c:ser>
          <c:idx val="1"/>
          <c:order val="0"/>
          <c:tx>
            <c:strRef>
              <c:f>'Fig 1'!$C$1</c:f>
              <c:strCache>
                <c:ptCount val="1"/>
                <c:pt idx="0">
                  <c:v>Total Domestic</c:v>
                </c:pt>
              </c:strCache>
            </c:strRef>
          </c:tx>
          <c:spPr>
            <a:solidFill>
              <a:srgbClr val="C00000"/>
            </a:solidFill>
          </c:spPr>
          <c:invertIfNegative val="0"/>
          <c:cat>
            <c:strRef>
              <c:f>'Fig 1'!$I$2:$R$2</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1'!$C$4:$C$13</c:f>
              <c:numCache>
                <c:formatCode>General</c:formatCode>
                <c:ptCount val="10"/>
                <c:pt idx="0">
                  <c:v>1359120</c:v>
                </c:pt>
                <c:pt idx="1">
                  <c:v>1570280.5</c:v>
                </c:pt>
                <c:pt idx="2">
                  <c:v>1766995</c:v>
                </c:pt>
                <c:pt idx="3">
                  <c:v>1722986.4000000001</c:v>
                </c:pt>
                <c:pt idx="4">
                  <c:v>2024422.6</c:v>
                </c:pt>
                <c:pt idx="5">
                  <c:v>2533698</c:v>
                </c:pt>
                <c:pt idx="6">
                  <c:v>2555046</c:v>
                </c:pt>
                <c:pt idx="7" formatCode="#,##0">
                  <c:v>2254164</c:v>
                </c:pt>
                <c:pt idx="8">
                  <c:v>2724781.8</c:v>
                </c:pt>
                <c:pt idx="9">
                  <c:v>2659462.2000000002</c:v>
                </c:pt>
              </c:numCache>
            </c:numRef>
          </c:val>
        </c:ser>
        <c:ser>
          <c:idx val="0"/>
          <c:order val="1"/>
          <c:tx>
            <c:strRef>
              <c:f>'Fig 1'!$B$1</c:f>
              <c:strCache>
                <c:ptCount val="1"/>
                <c:pt idx="0">
                  <c:v>Total Imported</c:v>
                </c:pt>
              </c:strCache>
            </c:strRef>
          </c:tx>
          <c:spPr>
            <a:solidFill>
              <a:schemeClr val="accent2">
                <a:lumMod val="60000"/>
                <a:lumOff val="40000"/>
              </a:schemeClr>
            </a:solidFill>
          </c:spPr>
          <c:invertIfNegative val="0"/>
          <c:cat>
            <c:strRef>
              <c:f>'Fig 1'!$I$2:$R$2</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1'!$B$4:$B$13</c:f>
              <c:numCache>
                <c:formatCode>General</c:formatCode>
                <c:ptCount val="10"/>
                <c:pt idx="0">
                  <c:v>307776</c:v>
                </c:pt>
                <c:pt idx="1">
                  <c:v>328246.5</c:v>
                </c:pt>
                <c:pt idx="2">
                  <c:v>387173</c:v>
                </c:pt>
                <c:pt idx="3">
                  <c:v>657163</c:v>
                </c:pt>
                <c:pt idx="4">
                  <c:v>630761.5</c:v>
                </c:pt>
                <c:pt idx="5">
                  <c:v>416672.5</c:v>
                </c:pt>
                <c:pt idx="6">
                  <c:v>716263</c:v>
                </c:pt>
                <c:pt idx="7">
                  <c:v>1368269</c:v>
                </c:pt>
                <c:pt idx="8">
                  <c:v>1297079.3999999999</c:v>
                </c:pt>
                <c:pt idx="9">
                  <c:v>1773683.3</c:v>
                </c:pt>
              </c:numCache>
            </c:numRef>
          </c:val>
        </c:ser>
        <c:dLbls>
          <c:showLegendKey val="0"/>
          <c:showVal val="0"/>
          <c:showCatName val="0"/>
          <c:showSerName val="0"/>
          <c:showPercent val="0"/>
          <c:showBubbleSize val="0"/>
        </c:dLbls>
        <c:gapWidth val="55"/>
        <c:overlap val="100"/>
        <c:axId val="148646912"/>
        <c:axId val="148653184"/>
      </c:barChart>
      <c:lineChart>
        <c:grouping val="standard"/>
        <c:varyColors val="0"/>
        <c:ser>
          <c:idx val="2"/>
          <c:order val="2"/>
          <c:tx>
            <c:strRef>
              <c:f>'Fig 1'!$F$3</c:f>
              <c:strCache>
                <c:ptCount val="1"/>
                <c:pt idx="0">
                  <c:v>Issues per 1000 population</c:v>
                </c:pt>
              </c:strCache>
            </c:strRef>
          </c:tx>
          <c:spPr>
            <a:ln>
              <a:solidFill>
                <a:schemeClr val="bg1">
                  <a:lumMod val="50000"/>
                </a:schemeClr>
              </a:solidFill>
            </a:ln>
          </c:spPr>
          <c:marker>
            <c:symbol val="none"/>
          </c:marker>
          <c:cat>
            <c:strRef>
              <c:f>'Fig 1'!$I$2:$R$2</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1'!$I$3:$R$3</c:f>
              <c:numCache>
                <c:formatCode>0</c:formatCode>
                <c:ptCount val="10"/>
                <c:pt idx="0">
                  <c:v>82.066438773263073</c:v>
                </c:pt>
                <c:pt idx="1">
                  <c:v>92.038428030245186</c:v>
                </c:pt>
                <c:pt idx="2">
                  <c:v>102.42984421340171</c:v>
                </c:pt>
                <c:pt idx="3">
                  <c:v>110.82179913273771</c:v>
                </c:pt>
                <c:pt idx="4">
                  <c:v>121.4318933423484</c:v>
                </c:pt>
                <c:pt idx="5">
                  <c:v>133.06459014555395</c:v>
                </c:pt>
                <c:pt idx="6">
                  <c:v>145.31324216969534</c:v>
                </c:pt>
                <c:pt idx="7">
                  <c:v>158.14098202978806</c:v>
                </c:pt>
                <c:pt idx="8">
                  <c:v>172.49216810495159</c:v>
                </c:pt>
                <c:pt idx="9" formatCode="General">
                  <c:v>187.66750828527185</c:v>
                </c:pt>
              </c:numCache>
            </c:numRef>
          </c:val>
          <c:smooth val="0"/>
        </c:ser>
        <c:dLbls>
          <c:showLegendKey val="0"/>
          <c:showVal val="0"/>
          <c:showCatName val="0"/>
          <c:showSerName val="0"/>
          <c:showPercent val="0"/>
          <c:showBubbleSize val="0"/>
        </c:dLbls>
        <c:marker val="1"/>
        <c:smooth val="0"/>
        <c:axId val="148665472"/>
        <c:axId val="148655104"/>
      </c:lineChart>
      <c:catAx>
        <c:axId val="14864691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Financial Year</a:t>
                </a:r>
              </a:p>
            </c:rich>
          </c:tx>
          <c:layout/>
          <c:overlay val="0"/>
        </c:title>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48653184"/>
        <c:crosses val="autoZero"/>
        <c:auto val="0"/>
        <c:lblAlgn val="ctr"/>
        <c:lblOffset val="100"/>
        <c:noMultiLvlLbl val="0"/>
      </c:catAx>
      <c:valAx>
        <c:axId val="14865318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Grams of Ig Issued to AHPs</a:t>
                </a:r>
              </a:p>
            </c:rich>
          </c:tx>
          <c:layout/>
          <c:overlay val="0"/>
        </c:title>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8646912"/>
        <c:crosses val="autoZero"/>
        <c:crossBetween val="between"/>
      </c:valAx>
      <c:valAx>
        <c:axId val="148655104"/>
        <c:scaling>
          <c:orientation val="minMax"/>
        </c:scaling>
        <c:delete val="0"/>
        <c:axPos val="r"/>
        <c:title>
          <c:tx>
            <c:rich>
              <a:bodyPr rot="-5400000" vert="horz"/>
              <a:lstStyle/>
              <a:p>
                <a:pPr algn="ctr" rtl="0">
                  <a:defRPr lang="en-AU" sz="1000" b="1" i="0" u="none" strike="noStrike" kern="1200" baseline="0">
                    <a:solidFill>
                      <a:srgbClr val="000000"/>
                    </a:solidFill>
                    <a:latin typeface="Calibri"/>
                    <a:ea typeface="Calibri"/>
                    <a:cs typeface="Calibri"/>
                  </a:defRPr>
                </a:pPr>
                <a:r>
                  <a:rPr lang="en-AU" sz="1000" b="1" i="0" u="none" strike="noStrike" kern="1200" baseline="0">
                    <a:solidFill>
                      <a:srgbClr val="000000"/>
                    </a:solidFill>
                    <a:latin typeface="Calibri"/>
                    <a:ea typeface="Calibri"/>
                    <a:cs typeface="Calibri"/>
                  </a:rPr>
                  <a:t>Grams per 1000 population</a:t>
                </a:r>
              </a:p>
            </c:rich>
          </c:tx>
          <c:layout/>
          <c:overlay val="0"/>
        </c:title>
        <c:numFmt formatCode="0" sourceLinked="1"/>
        <c:majorTickMark val="out"/>
        <c:minorTickMark val="none"/>
        <c:tickLblPos val="nextTo"/>
        <c:crossAx val="148665472"/>
        <c:crosses val="max"/>
        <c:crossBetween val="between"/>
      </c:valAx>
      <c:catAx>
        <c:axId val="148665472"/>
        <c:scaling>
          <c:orientation val="minMax"/>
        </c:scaling>
        <c:delete val="1"/>
        <c:axPos val="b"/>
        <c:majorTickMark val="out"/>
        <c:minorTickMark val="none"/>
        <c:tickLblPos val="nextTo"/>
        <c:crossAx val="148655104"/>
        <c:crosses val="autoZero"/>
        <c:auto val="1"/>
        <c:lblAlgn val="ctr"/>
        <c:lblOffset val="100"/>
        <c:noMultiLvlLbl val="0"/>
      </c:catAx>
    </c:plotArea>
    <c:legend>
      <c:legendPos val="b"/>
      <c:layout/>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10 Tab 10'!$D$16</c:f>
              <c:strCache>
                <c:ptCount val="1"/>
                <c:pt idx="0">
                  <c:v>2010-11</c:v>
                </c:pt>
              </c:strCache>
            </c:strRef>
          </c:tx>
          <c:invertIfNegative val="0"/>
          <c:cat>
            <c:strRef>
              <c:f>'Fig 10 Tab 10'!$A$17:$A$20</c:f>
              <c:strCache>
                <c:ptCount val="4"/>
                <c:pt idx="0">
                  <c:v>Neurology</c:v>
                </c:pt>
                <c:pt idx="1">
                  <c:v>Haematology</c:v>
                </c:pt>
                <c:pt idx="2">
                  <c:v>Immunology</c:v>
                </c:pt>
                <c:pt idx="3">
                  <c:v>Other</c:v>
                </c:pt>
              </c:strCache>
            </c:strRef>
          </c:cat>
          <c:val>
            <c:numRef>
              <c:f>'Fig 10 Tab 10'!$D$17:$D$20</c:f>
              <c:numCache>
                <c:formatCode>#,##0</c:formatCode>
                <c:ptCount val="4"/>
                <c:pt idx="0">
                  <c:v>1283189.5</c:v>
                </c:pt>
                <c:pt idx="1">
                  <c:v>900825.5</c:v>
                </c:pt>
                <c:pt idx="2">
                  <c:v>631075.5</c:v>
                </c:pt>
                <c:pt idx="3">
                  <c:v>166079</c:v>
                </c:pt>
              </c:numCache>
            </c:numRef>
          </c:val>
        </c:ser>
        <c:ser>
          <c:idx val="1"/>
          <c:order val="1"/>
          <c:tx>
            <c:strRef>
              <c:f>'Fig 10 Tab 10'!$E$16</c:f>
              <c:strCache>
                <c:ptCount val="1"/>
                <c:pt idx="0">
                  <c:v>2011-12</c:v>
                </c:pt>
              </c:strCache>
            </c:strRef>
          </c:tx>
          <c:invertIfNegative val="0"/>
          <c:cat>
            <c:strRef>
              <c:f>'Fig 10 Tab 10'!$A$17:$A$20</c:f>
              <c:strCache>
                <c:ptCount val="4"/>
                <c:pt idx="0">
                  <c:v>Neurology</c:v>
                </c:pt>
                <c:pt idx="1">
                  <c:v>Haematology</c:v>
                </c:pt>
                <c:pt idx="2">
                  <c:v>Immunology</c:v>
                </c:pt>
                <c:pt idx="3">
                  <c:v>Other</c:v>
                </c:pt>
              </c:strCache>
            </c:strRef>
          </c:cat>
          <c:val>
            <c:numRef>
              <c:f>'Fig 10 Tab 10'!$E$17:$E$20</c:f>
              <c:numCache>
                <c:formatCode>#,##0</c:formatCode>
                <c:ptCount val="4"/>
                <c:pt idx="0">
                  <c:v>1460702</c:v>
                </c:pt>
                <c:pt idx="1">
                  <c:v>961366</c:v>
                </c:pt>
                <c:pt idx="2">
                  <c:v>656178.5</c:v>
                </c:pt>
                <c:pt idx="3">
                  <c:v>194362.5</c:v>
                </c:pt>
              </c:numCache>
            </c:numRef>
          </c:val>
        </c:ser>
        <c:ser>
          <c:idx val="2"/>
          <c:order val="2"/>
          <c:tx>
            <c:strRef>
              <c:f>'Fig 10 Tab 10'!$F$16</c:f>
              <c:strCache>
                <c:ptCount val="1"/>
                <c:pt idx="0">
                  <c:v>2012-13</c:v>
                </c:pt>
              </c:strCache>
            </c:strRef>
          </c:tx>
          <c:invertIfNegative val="0"/>
          <c:cat>
            <c:strRef>
              <c:f>'Fig 10 Tab 10'!$A$17:$A$20</c:f>
              <c:strCache>
                <c:ptCount val="4"/>
                <c:pt idx="0">
                  <c:v>Neurology</c:v>
                </c:pt>
                <c:pt idx="1">
                  <c:v>Haematology</c:v>
                </c:pt>
                <c:pt idx="2">
                  <c:v>Immunology</c:v>
                </c:pt>
                <c:pt idx="3">
                  <c:v>Other</c:v>
                </c:pt>
              </c:strCache>
            </c:strRef>
          </c:cat>
          <c:val>
            <c:numRef>
              <c:f>'Fig 10 Tab 10'!$F$17:$F$20</c:f>
              <c:numCache>
                <c:formatCode>#,##0</c:formatCode>
                <c:ptCount val="4"/>
                <c:pt idx="0">
                  <c:v>1649358</c:v>
                </c:pt>
                <c:pt idx="1">
                  <c:v>1026219</c:v>
                </c:pt>
                <c:pt idx="2">
                  <c:v>695297.5</c:v>
                </c:pt>
                <c:pt idx="3">
                  <c:v>228947</c:v>
                </c:pt>
              </c:numCache>
            </c:numRef>
          </c:val>
        </c:ser>
        <c:ser>
          <c:idx val="3"/>
          <c:order val="3"/>
          <c:tx>
            <c:strRef>
              <c:f>'Fig 10 Tab 10'!$G$16</c:f>
              <c:strCache>
                <c:ptCount val="1"/>
                <c:pt idx="0">
                  <c:v>2013-14</c:v>
                </c:pt>
              </c:strCache>
            </c:strRef>
          </c:tx>
          <c:invertIfNegative val="0"/>
          <c:cat>
            <c:strRef>
              <c:f>'Fig 10 Tab 10'!$A$17:$A$20</c:f>
              <c:strCache>
                <c:ptCount val="4"/>
                <c:pt idx="0">
                  <c:v>Neurology</c:v>
                </c:pt>
                <c:pt idx="1">
                  <c:v>Haematology</c:v>
                </c:pt>
                <c:pt idx="2">
                  <c:v>Immunology</c:v>
                </c:pt>
                <c:pt idx="3">
                  <c:v>Other</c:v>
                </c:pt>
              </c:strCache>
            </c:strRef>
          </c:cat>
          <c:val>
            <c:numRef>
              <c:f>'Fig 10 Tab 10'!$G$17:$G$20</c:f>
              <c:numCache>
                <c:formatCode>#,##0</c:formatCode>
                <c:ptCount val="4"/>
                <c:pt idx="0">
                  <c:v>1916792</c:v>
                </c:pt>
                <c:pt idx="1">
                  <c:v>1116037</c:v>
                </c:pt>
                <c:pt idx="2">
                  <c:v>746828</c:v>
                </c:pt>
                <c:pt idx="3">
                  <c:v>241386</c:v>
                </c:pt>
              </c:numCache>
            </c:numRef>
          </c:val>
        </c:ser>
        <c:ser>
          <c:idx val="4"/>
          <c:order val="4"/>
          <c:tx>
            <c:strRef>
              <c:f>'Fig 10 Tab 10'!$H$16</c:f>
              <c:strCache>
                <c:ptCount val="1"/>
                <c:pt idx="0">
                  <c:v>2014-15</c:v>
                </c:pt>
              </c:strCache>
            </c:strRef>
          </c:tx>
          <c:invertIfNegative val="0"/>
          <c:cat>
            <c:strRef>
              <c:f>'Fig 10 Tab 10'!$A$17:$A$20</c:f>
              <c:strCache>
                <c:ptCount val="4"/>
                <c:pt idx="0">
                  <c:v>Neurology</c:v>
                </c:pt>
                <c:pt idx="1">
                  <c:v>Haematology</c:v>
                </c:pt>
                <c:pt idx="2">
                  <c:v>Immunology</c:v>
                </c:pt>
                <c:pt idx="3">
                  <c:v>Other</c:v>
                </c:pt>
              </c:strCache>
            </c:strRef>
          </c:cat>
          <c:val>
            <c:numRef>
              <c:f>'Fig 10 Tab 10'!$H$17:$H$20</c:f>
              <c:numCache>
                <c:formatCode>#,##0</c:formatCode>
                <c:ptCount val="4"/>
                <c:pt idx="0">
                  <c:v>2120111</c:v>
                </c:pt>
                <c:pt idx="1">
                  <c:v>1234816</c:v>
                </c:pt>
                <c:pt idx="2">
                  <c:v>828735</c:v>
                </c:pt>
                <c:pt idx="3">
                  <c:v>274664</c:v>
                </c:pt>
              </c:numCache>
            </c:numRef>
          </c:val>
        </c:ser>
        <c:dLbls>
          <c:showLegendKey val="0"/>
          <c:showVal val="0"/>
          <c:showCatName val="0"/>
          <c:showSerName val="0"/>
          <c:showPercent val="0"/>
          <c:showBubbleSize val="0"/>
        </c:dLbls>
        <c:gapWidth val="150"/>
        <c:axId val="150720896"/>
        <c:axId val="150722432"/>
      </c:barChart>
      <c:catAx>
        <c:axId val="150720896"/>
        <c:scaling>
          <c:orientation val="minMax"/>
        </c:scaling>
        <c:delete val="0"/>
        <c:axPos val="b"/>
        <c:majorTickMark val="out"/>
        <c:minorTickMark val="none"/>
        <c:tickLblPos val="nextTo"/>
        <c:crossAx val="150722432"/>
        <c:crosses val="autoZero"/>
        <c:auto val="1"/>
        <c:lblAlgn val="ctr"/>
        <c:lblOffset val="100"/>
        <c:noMultiLvlLbl val="0"/>
      </c:catAx>
      <c:valAx>
        <c:axId val="150722432"/>
        <c:scaling>
          <c:orientation val="minMax"/>
        </c:scaling>
        <c:delete val="0"/>
        <c:axPos val="l"/>
        <c:majorGridlines/>
        <c:title>
          <c:tx>
            <c:rich>
              <a:bodyPr rot="-5400000" vert="horz"/>
              <a:lstStyle/>
              <a:p>
                <a:pPr>
                  <a:defRPr/>
                </a:pPr>
                <a:r>
                  <a:rPr lang="en-AU"/>
                  <a:t>Ig grams</a:t>
                </a:r>
                <a:r>
                  <a:rPr lang="en-AU" baseline="0"/>
                  <a:t> issued</a:t>
                </a:r>
                <a:endParaRPr lang="en-AU"/>
              </a:p>
            </c:rich>
          </c:tx>
          <c:layout/>
          <c:overlay val="0"/>
        </c:title>
        <c:numFmt formatCode="#,##0" sourceLinked="1"/>
        <c:majorTickMark val="out"/>
        <c:minorTickMark val="none"/>
        <c:tickLblPos val="nextTo"/>
        <c:crossAx val="150720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11'!$B$14</c:f>
              <c:strCache>
                <c:ptCount val="1"/>
                <c:pt idx="0">
                  <c:v>Neurology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11'!$C$14:$J$14</c:f>
              <c:numCache>
                <c:formatCode>0.00%</c:formatCode>
                <c:ptCount val="8"/>
                <c:pt idx="0">
                  <c:v>0.47763008906999388</c:v>
                </c:pt>
                <c:pt idx="1">
                  <c:v>0.51619377866130534</c:v>
                </c:pt>
                <c:pt idx="2">
                  <c:v>0.45782843568336773</c:v>
                </c:pt>
                <c:pt idx="3">
                  <c:v>0.68674740365041576</c:v>
                </c:pt>
                <c:pt idx="4">
                  <c:v>0.47730728626911645</c:v>
                </c:pt>
                <c:pt idx="5">
                  <c:v>0.39884629825579415</c:v>
                </c:pt>
                <c:pt idx="6">
                  <c:v>0.41782551024774289</c:v>
                </c:pt>
                <c:pt idx="7">
                  <c:v>0.67614825760374342</c:v>
                </c:pt>
              </c:numCache>
            </c:numRef>
          </c:val>
        </c:ser>
        <c:ser>
          <c:idx val="1"/>
          <c:order val="1"/>
          <c:tx>
            <c:strRef>
              <c:f>'Fig 11'!$B$15</c:f>
              <c:strCache>
                <c:ptCount val="1"/>
                <c:pt idx="0">
                  <c:v>Immunology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11'!$C$15:$J$15</c:f>
              <c:numCache>
                <c:formatCode>0.00%</c:formatCode>
                <c:ptCount val="8"/>
                <c:pt idx="0">
                  <c:v>0.19609606577476471</c:v>
                </c:pt>
                <c:pt idx="1">
                  <c:v>0.13471321752095242</c:v>
                </c:pt>
                <c:pt idx="2">
                  <c:v>0.11635392516284258</c:v>
                </c:pt>
                <c:pt idx="3">
                  <c:v>0.1367094503674568</c:v>
                </c:pt>
                <c:pt idx="4">
                  <c:v>0.18340129202219876</c:v>
                </c:pt>
                <c:pt idx="5">
                  <c:v>8.3853864445733922E-2</c:v>
                </c:pt>
                <c:pt idx="6">
                  <c:v>0.3135795073666795</c:v>
                </c:pt>
                <c:pt idx="7">
                  <c:v>0.14998152936830439</c:v>
                </c:pt>
              </c:numCache>
            </c:numRef>
          </c:val>
        </c:ser>
        <c:ser>
          <c:idx val="3"/>
          <c:order val="2"/>
          <c:tx>
            <c:strRef>
              <c:f>'Fig 11'!$B$17</c:f>
              <c:strCache>
                <c:ptCount val="1"/>
                <c:pt idx="0">
                  <c:v>Haematology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11'!$C$17:$J$17</c:f>
              <c:numCache>
                <c:formatCode>0.00%</c:formatCode>
                <c:ptCount val="8"/>
                <c:pt idx="0">
                  <c:v>0.28185929104612167</c:v>
                </c:pt>
                <c:pt idx="1">
                  <c:v>0.26951340727855966</c:v>
                </c:pt>
                <c:pt idx="2">
                  <c:v>0.36609314861978776</c:v>
                </c:pt>
                <c:pt idx="3">
                  <c:v>0.14768139944105166</c:v>
                </c:pt>
                <c:pt idx="4">
                  <c:v>0.31608538581487472</c:v>
                </c:pt>
                <c:pt idx="5">
                  <c:v>0.41249957333515375</c:v>
                </c:pt>
                <c:pt idx="6">
                  <c:v>0.25610086574529689</c:v>
                </c:pt>
                <c:pt idx="7">
                  <c:v>0.15964782662233715</c:v>
                </c:pt>
              </c:numCache>
            </c:numRef>
          </c:val>
        </c:ser>
        <c:ser>
          <c:idx val="2"/>
          <c:order val="3"/>
          <c:tx>
            <c:strRef>
              <c:f>'Fig 11'!$B$16</c:f>
              <c:strCache>
                <c:ptCount val="1"/>
                <c:pt idx="0">
                  <c:v>Other</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11'!$C$16:$J$16</c:f>
              <c:numCache>
                <c:formatCode>0.00%</c:formatCode>
                <c:ptCount val="8"/>
                <c:pt idx="0">
                  <c:v>4.4414554109119764E-2</c:v>
                </c:pt>
                <c:pt idx="1">
                  <c:v>7.9579596539182687E-2</c:v>
                </c:pt>
                <c:pt idx="2">
                  <c:v>5.9724490534001834E-2</c:v>
                </c:pt>
                <c:pt idx="3">
                  <c:v>2.8861746541075803E-2</c:v>
                </c:pt>
                <c:pt idx="4">
                  <c:v>2.3206035893810109E-2</c:v>
                </c:pt>
                <c:pt idx="5">
                  <c:v>0.10480026396331821</c:v>
                </c:pt>
                <c:pt idx="6">
                  <c:v>1.2494116640280689E-2</c:v>
                </c:pt>
                <c:pt idx="7">
                  <c:v>1.4222386405615073E-2</c:v>
                </c:pt>
              </c:numCache>
            </c:numRef>
          </c:val>
        </c:ser>
        <c:dLbls>
          <c:showLegendKey val="0"/>
          <c:showVal val="0"/>
          <c:showCatName val="0"/>
          <c:showSerName val="0"/>
          <c:showPercent val="0"/>
          <c:showBubbleSize val="0"/>
        </c:dLbls>
        <c:gapWidth val="150"/>
        <c:overlap val="100"/>
        <c:axId val="151921024"/>
        <c:axId val="151922944"/>
      </c:barChart>
      <c:catAx>
        <c:axId val="151921024"/>
        <c:scaling>
          <c:orientation val="minMax"/>
        </c:scaling>
        <c:delete val="0"/>
        <c:axPos val="b"/>
        <c:title>
          <c:tx>
            <c:rich>
              <a:bodyPr/>
              <a:lstStyle/>
              <a:p>
                <a:pPr>
                  <a:defRPr/>
                </a:pPr>
                <a:r>
                  <a:rPr lang="en-AU"/>
                  <a:t>State</a:t>
                </a:r>
              </a:p>
            </c:rich>
          </c:tx>
          <c:layout/>
          <c:overlay val="0"/>
        </c:title>
        <c:majorTickMark val="out"/>
        <c:minorTickMark val="none"/>
        <c:tickLblPos val="nextTo"/>
        <c:crossAx val="151922944"/>
        <c:crosses val="autoZero"/>
        <c:auto val="1"/>
        <c:lblAlgn val="ctr"/>
        <c:lblOffset val="100"/>
        <c:noMultiLvlLbl val="0"/>
      </c:catAx>
      <c:valAx>
        <c:axId val="151922944"/>
        <c:scaling>
          <c:orientation val="minMax"/>
          <c:max val="1"/>
        </c:scaling>
        <c:delete val="0"/>
        <c:axPos val="l"/>
        <c:majorGridlines/>
        <c:title>
          <c:tx>
            <c:rich>
              <a:bodyPr rot="-5400000" vert="horz"/>
              <a:lstStyle/>
              <a:p>
                <a:pPr>
                  <a:defRPr/>
                </a:pPr>
                <a:r>
                  <a:rPr lang="en-AU"/>
                  <a:t>Ig grams issued</a:t>
                </a:r>
              </a:p>
            </c:rich>
          </c:tx>
          <c:layout/>
          <c:overlay val="0"/>
        </c:title>
        <c:numFmt formatCode="0%" sourceLinked="0"/>
        <c:majorTickMark val="out"/>
        <c:minorTickMark val="none"/>
        <c:tickLblPos val="nextTo"/>
        <c:crossAx val="151921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C00000"/>
            </a:solidFill>
          </c:spPr>
          <c:invertIfNegative val="0"/>
          <c:cat>
            <c:strRef>
              <c:f>'Fig 12'!$A$2:$A$11</c:f>
              <c:strCache>
                <c:ptCount val="10"/>
                <c:pt idx="0">
                  <c:v>Chronic inflammatory demyelinating polyneuropathy</c:v>
                </c:pt>
                <c:pt idx="1">
                  <c:v>Common variable immunodeficiency disease</c:v>
                </c:pt>
                <c:pt idx="2">
                  <c:v>Myasthenia gravis</c:v>
                </c:pt>
                <c:pt idx="3">
                  <c:v>Chronic lymphocytic leukaemia</c:v>
                </c:pt>
                <c:pt idx="4">
                  <c:v>Non-Hodgkins lymphoma</c:v>
                </c:pt>
                <c:pt idx="5">
                  <c:v>Multifocal motor neuropathy</c:v>
                </c:pt>
                <c:pt idx="6">
                  <c:v>Multiple myeloma</c:v>
                </c:pt>
                <c:pt idx="7">
                  <c:v>Polymyositis</c:v>
                </c:pt>
                <c:pt idx="8">
                  <c:v>Secondary hypogammaglobulinaemia (excludes haem malignancies)</c:v>
                </c:pt>
                <c:pt idx="9">
                  <c:v>Guillain-Barré syndrome</c:v>
                </c:pt>
              </c:strCache>
            </c:strRef>
          </c:cat>
          <c:val>
            <c:numRef>
              <c:f>'Fig 12'!$D$2:$D$11</c:f>
              <c:numCache>
                <c:formatCode>General</c:formatCode>
                <c:ptCount val="10"/>
                <c:pt idx="0">
                  <c:v>38.424689410372707</c:v>
                </c:pt>
                <c:pt idx="1">
                  <c:v>22.736592793097614</c:v>
                </c:pt>
                <c:pt idx="2">
                  <c:v>35.837037037037035</c:v>
                </c:pt>
                <c:pt idx="3">
                  <c:v>28.391731219600072</c:v>
                </c:pt>
                <c:pt idx="4">
                  <c:v>27.330548699449402</c:v>
                </c:pt>
                <c:pt idx="5">
                  <c:v>44.389909847434119</c:v>
                </c:pt>
                <c:pt idx="6">
                  <c:v>28.056779568124519</c:v>
                </c:pt>
                <c:pt idx="7">
                  <c:v>37.622389306599835</c:v>
                </c:pt>
                <c:pt idx="8">
                  <c:v>24.001706808268537</c:v>
                </c:pt>
                <c:pt idx="9">
                  <c:v>32.845986309894215</c:v>
                </c:pt>
              </c:numCache>
            </c:numRef>
          </c:val>
        </c:ser>
        <c:dLbls>
          <c:showLegendKey val="0"/>
          <c:showVal val="0"/>
          <c:showCatName val="0"/>
          <c:showSerName val="0"/>
          <c:showPercent val="0"/>
          <c:showBubbleSize val="0"/>
        </c:dLbls>
        <c:gapWidth val="150"/>
        <c:axId val="151948288"/>
        <c:axId val="151966848"/>
      </c:barChart>
      <c:catAx>
        <c:axId val="151948288"/>
        <c:scaling>
          <c:orientation val="minMax"/>
        </c:scaling>
        <c:delete val="0"/>
        <c:axPos val="b"/>
        <c:title>
          <c:tx>
            <c:rich>
              <a:bodyPr/>
              <a:lstStyle/>
              <a:p>
                <a:pPr>
                  <a:defRPr/>
                </a:pPr>
                <a:r>
                  <a:rPr lang="en-AU"/>
                  <a:t>Primary Diagnosis</a:t>
                </a:r>
              </a:p>
            </c:rich>
          </c:tx>
          <c:overlay val="0"/>
        </c:title>
        <c:numFmt formatCode="General" sourceLinked="1"/>
        <c:majorTickMark val="out"/>
        <c:minorTickMark val="none"/>
        <c:tickLblPos val="nextTo"/>
        <c:txPr>
          <a:bodyPr rot="-5400000" vert="horz"/>
          <a:lstStyle/>
          <a:p>
            <a:pPr>
              <a:defRPr/>
            </a:pPr>
            <a:endParaRPr lang="en-US"/>
          </a:p>
        </c:txPr>
        <c:crossAx val="151966848"/>
        <c:crosses val="autoZero"/>
        <c:auto val="1"/>
        <c:lblAlgn val="ctr"/>
        <c:lblOffset val="100"/>
        <c:noMultiLvlLbl val="0"/>
      </c:catAx>
      <c:valAx>
        <c:axId val="151966848"/>
        <c:scaling>
          <c:orientation val="minMax"/>
        </c:scaling>
        <c:delete val="0"/>
        <c:axPos val="l"/>
        <c:majorGridlines/>
        <c:title>
          <c:tx>
            <c:rich>
              <a:bodyPr rot="-5400000" vert="horz"/>
              <a:lstStyle/>
              <a:p>
                <a:pPr>
                  <a:defRPr/>
                </a:pPr>
                <a:r>
                  <a:rPr lang="en-AU"/>
                  <a:t>Grams/Episode</a:t>
                </a:r>
              </a:p>
            </c:rich>
          </c:tx>
          <c:overlay val="0"/>
        </c:title>
        <c:numFmt formatCode="General" sourceLinked="1"/>
        <c:majorTickMark val="out"/>
        <c:minorTickMark val="none"/>
        <c:tickLblPos val="nextTo"/>
        <c:crossAx val="1519482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2'!$E$27</c:f>
              <c:strCache>
                <c:ptCount val="1"/>
                <c:pt idx="0">
                  <c:v>Domestic Fractionation Cost and Imported Product Cost for Ig</c:v>
                </c:pt>
              </c:strCache>
            </c:strRef>
          </c:tx>
          <c:spPr>
            <a:solidFill>
              <a:srgbClr val="C00000"/>
            </a:solidFill>
          </c:spPr>
          <c:invertIfNegative val="0"/>
          <c:cat>
            <c:strRef>
              <c:f>'Fig 2'!$A$30:$A$39</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2'!$E$30:$E$39</c:f>
              <c:numCache>
                <c:formatCode>0</c:formatCode>
                <c:ptCount val="10"/>
                <c:pt idx="0">
                  <c:v>99.444209454545444</c:v>
                </c:pt>
                <c:pt idx="1">
                  <c:v>114.86350958000001</c:v>
                </c:pt>
                <c:pt idx="2">
                  <c:v>134.0183708525</c:v>
                </c:pt>
                <c:pt idx="3">
                  <c:v>156.02361981999999</c:v>
                </c:pt>
                <c:pt idx="4">
                  <c:v>176.37139862399999</c:v>
                </c:pt>
                <c:pt idx="5">
                  <c:v>185.04025170272629</c:v>
                </c:pt>
                <c:pt idx="6">
                  <c:v>204.40523229499999</c:v>
                </c:pt>
                <c:pt idx="7">
                  <c:v>220.0586298624512</c:v>
                </c:pt>
                <c:pt idx="8">
                  <c:v>244.41942354669624</c:v>
                </c:pt>
                <c:pt idx="9">
                  <c:v>273.10129526229417</c:v>
                </c:pt>
              </c:numCache>
            </c:numRef>
          </c:val>
        </c:ser>
        <c:ser>
          <c:idx val="1"/>
          <c:order val="1"/>
          <c:tx>
            <c:strRef>
              <c:f>'Fig 2'!$F$27</c:f>
              <c:strCache>
                <c:ptCount val="1"/>
                <c:pt idx="0">
                  <c:v>Domestic Plasma Costs </c:v>
                </c:pt>
              </c:strCache>
            </c:strRef>
          </c:tx>
          <c:spPr>
            <a:solidFill>
              <a:schemeClr val="accent2">
                <a:lumMod val="40000"/>
                <a:lumOff val="60000"/>
              </a:schemeClr>
            </a:solidFill>
          </c:spPr>
          <c:invertIfNegative val="0"/>
          <c:cat>
            <c:strRef>
              <c:f>'Fig 2'!$A$30:$A$39</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2'!$F$30:$F$39</c:f>
              <c:numCache>
                <c:formatCode>0</c:formatCode>
                <c:ptCount val="10"/>
                <c:pt idx="0">
                  <c:v>55.413063836259809</c:v>
                </c:pt>
                <c:pt idx="1">
                  <c:v>62.059172837983184</c:v>
                </c:pt>
                <c:pt idx="2">
                  <c:v>66.451663281311355</c:v>
                </c:pt>
                <c:pt idx="3">
                  <c:v>77.067035490584999</c:v>
                </c:pt>
                <c:pt idx="4">
                  <c:v>92.32277493475118</c:v>
                </c:pt>
                <c:pt idx="5">
                  <c:v>105.61276146439002</c:v>
                </c:pt>
                <c:pt idx="6">
                  <c:v>111.60108681431596</c:v>
                </c:pt>
                <c:pt idx="7">
                  <c:v>120.46076041848001</c:v>
                </c:pt>
                <c:pt idx="8">
                  <c:v>182.67069847723195</c:v>
                </c:pt>
                <c:pt idx="9">
                  <c:v>210.97856822028479</c:v>
                </c:pt>
              </c:numCache>
            </c:numRef>
          </c:val>
        </c:ser>
        <c:dLbls>
          <c:showLegendKey val="0"/>
          <c:showVal val="0"/>
          <c:showCatName val="0"/>
          <c:showSerName val="0"/>
          <c:showPercent val="0"/>
          <c:showBubbleSize val="0"/>
        </c:dLbls>
        <c:gapWidth val="150"/>
        <c:axId val="148692992"/>
        <c:axId val="148694912"/>
      </c:barChart>
      <c:catAx>
        <c:axId val="148692992"/>
        <c:scaling>
          <c:orientation val="minMax"/>
        </c:scaling>
        <c:delete val="0"/>
        <c:axPos val="b"/>
        <c:title>
          <c:tx>
            <c:rich>
              <a:bodyPr/>
              <a:lstStyle/>
              <a:p>
                <a:pPr>
                  <a:defRPr/>
                </a:pPr>
                <a:r>
                  <a:rPr lang="en-AU"/>
                  <a:t>Financial Year</a:t>
                </a:r>
              </a:p>
            </c:rich>
          </c:tx>
          <c:layout/>
          <c:overlay val="0"/>
        </c:title>
        <c:majorTickMark val="out"/>
        <c:minorTickMark val="none"/>
        <c:tickLblPos val="nextTo"/>
        <c:crossAx val="148694912"/>
        <c:crosses val="autoZero"/>
        <c:auto val="1"/>
        <c:lblAlgn val="ctr"/>
        <c:lblOffset val="100"/>
        <c:noMultiLvlLbl val="0"/>
      </c:catAx>
      <c:valAx>
        <c:axId val="148694912"/>
        <c:scaling>
          <c:orientation val="minMax"/>
        </c:scaling>
        <c:delete val="0"/>
        <c:axPos val="l"/>
        <c:majorGridlines/>
        <c:title>
          <c:tx>
            <c:rich>
              <a:bodyPr rot="-5400000" vert="horz"/>
              <a:lstStyle/>
              <a:p>
                <a:pPr>
                  <a:defRPr/>
                </a:pPr>
                <a:r>
                  <a:rPr lang="en-AU"/>
                  <a:t>Dollars ($m)</a:t>
                </a:r>
              </a:p>
            </c:rich>
          </c:tx>
          <c:layout/>
          <c:overlay val="0"/>
        </c:title>
        <c:numFmt formatCode="0" sourceLinked="1"/>
        <c:majorTickMark val="out"/>
        <c:minorTickMark val="none"/>
        <c:tickLblPos val="nextTo"/>
        <c:crossAx val="148692992"/>
        <c:crosses val="autoZero"/>
        <c:crossBetween val="between"/>
      </c:valAx>
    </c:plotArea>
    <c:legend>
      <c:legendPos val="t"/>
      <c:layout>
        <c:manualLayout>
          <c:xMode val="edge"/>
          <c:yMode val="edge"/>
          <c:x val="8.6217705545427514E-2"/>
          <c:y val="2.8652277567670026E-2"/>
          <c:w val="0.35071719483340441"/>
          <c:h val="0.37462203070483596"/>
        </c:manualLayout>
      </c:layout>
      <c:overlay val="1"/>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3'!$H$12</c:f>
              <c:strCache>
                <c:ptCount val="1"/>
                <c:pt idx="0">
                  <c:v>2014-15</c:v>
                </c:pt>
              </c:strCache>
            </c:strRef>
          </c:tx>
          <c:spPr>
            <a:solidFill>
              <a:srgbClr val="C00000"/>
            </a:solidFill>
          </c:spPr>
          <c:invertIfNegative val="0"/>
          <c:cat>
            <c:strRef>
              <c:f>'Fig 3'!$A$13:$A$21</c:f>
              <c:strCache>
                <c:ptCount val="9"/>
                <c:pt idx="0">
                  <c:v>NSW</c:v>
                </c:pt>
                <c:pt idx="1">
                  <c:v>VIC</c:v>
                </c:pt>
                <c:pt idx="2">
                  <c:v>QLD</c:v>
                </c:pt>
                <c:pt idx="3">
                  <c:v>WA</c:v>
                </c:pt>
                <c:pt idx="4">
                  <c:v>SA</c:v>
                </c:pt>
                <c:pt idx="5">
                  <c:v>TAS</c:v>
                </c:pt>
                <c:pt idx="6">
                  <c:v>ACT</c:v>
                </c:pt>
                <c:pt idx="7">
                  <c:v>NT</c:v>
                </c:pt>
                <c:pt idx="8">
                  <c:v>Australia</c:v>
                </c:pt>
              </c:strCache>
            </c:strRef>
          </c:cat>
          <c:val>
            <c:numRef>
              <c:f>'Fig 3'!$H$13:$H$21</c:f>
              <c:numCache>
                <c:formatCode>0.00</c:formatCode>
                <c:ptCount val="9"/>
                <c:pt idx="0">
                  <c:v>0.72235835927236514</c:v>
                </c:pt>
                <c:pt idx="1">
                  <c:v>0.58558353475685454</c:v>
                </c:pt>
                <c:pt idx="2">
                  <c:v>0.82117447105186325</c:v>
                </c:pt>
                <c:pt idx="3">
                  <c:v>0.32426150121065378</c:v>
                </c:pt>
                <c:pt idx="4">
                  <c:v>0.49837334015960955</c:v>
                </c:pt>
                <c:pt idx="5">
                  <c:v>0.65212961076013853</c:v>
                </c:pt>
                <c:pt idx="6">
                  <c:v>0.71200082550820354</c:v>
                </c:pt>
                <c:pt idx="7">
                  <c:v>0.31113749411499808</c:v>
                </c:pt>
                <c:pt idx="8">
                  <c:v>0.63427249943369279</c:v>
                </c:pt>
              </c:numCache>
            </c:numRef>
          </c:val>
        </c:ser>
        <c:dLbls>
          <c:showLegendKey val="0"/>
          <c:showVal val="0"/>
          <c:showCatName val="0"/>
          <c:showSerName val="0"/>
          <c:showPercent val="0"/>
          <c:showBubbleSize val="0"/>
        </c:dLbls>
        <c:gapWidth val="150"/>
        <c:axId val="148257024"/>
        <c:axId val="148279296"/>
      </c:barChart>
      <c:catAx>
        <c:axId val="148257024"/>
        <c:scaling>
          <c:orientation val="minMax"/>
        </c:scaling>
        <c:delete val="0"/>
        <c:axPos val="b"/>
        <c:majorTickMark val="out"/>
        <c:minorTickMark val="none"/>
        <c:tickLblPos val="nextTo"/>
        <c:crossAx val="148279296"/>
        <c:crosses val="autoZero"/>
        <c:auto val="1"/>
        <c:lblAlgn val="ctr"/>
        <c:lblOffset val="100"/>
        <c:noMultiLvlLbl val="0"/>
      </c:catAx>
      <c:valAx>
        <c:axId val="148279296"/>
        <c:scaling>
          <c:orientation val="minMax"/>
        </c:scaling>
        <c:delete val="0"/>
        <c:axPos val="l"/>
        <c:majorGridlines/>
        <c:title>
          <c:tx>
            <c:rich>
              <a:bodyPr rot="-5400000" vert="horz"/>
              <a:lstStyle/>
              <a:p>
                <a:pPr>
                  <a:defRPr/>
                </a:pPr>
                <a:r>
                  <a:rPr lang="en-AU"/>
                  <a:t>Patients per 1,000 population</a:t>
                </a:r>
              </a:p>
            </c:rich>
          </c:tx>
          <c:layout/>
          <c:overlay val="0"/>
        </c:title>
        <c:numFmt formatCode="0.0" sourceLinked="0"/>
        <c:majorTickMark val="out"/>
        <c:minorTickMark val="none"/>
        <c:tickLblPos val="nextTo"/>
        <c:crossAx val="1482570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4'!$H$15</c:f>
              <c:strCache>
                <c:ptCount val="1"/>
                <c:pt idx="0">
                  <c:v>2010-11</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4'!$H$16:$H$24</c:f>
              <c:numCache>
                <c:formatCode>0.00</c:formatCode>
                <c:ptCount val="9"/>
                <c:pt idx="0">
                  <c:v>142.58482475569613</c:v>
                </c:pt>
                <c:pt idx="1">
                  <c:v>122.11249827365377</c:v>
                </c:pt>
                <c:pt idx="2">
                  <c:v>166.63560130740461</c:v>
                </c:pt>
                <c:pt idx="3">
                  <c:v>85.315707249005314</c:v>
                </c:pt>
                <c:pt idx="4">
                  <c:v>102.10127891149796</c:v>
                </c:pt>
                <c:pt idx="5">
                  <c:v>166.67254649474052</c:v>
                </c:pt>
                <c:pt idx="6">
                  <c:v>157.44189807391325</c:v>
                </c:pt>
                <c:pt idx="7">
                  <c:v>39.85688170595617</c:v>
                </c:pt>
                <c:pt idx="8">
                  <c:v>133.08313087691221</c:v>
                </c:pt>
              </c:numCache>
            </c:numRef>
          </c:val>
        </c:ser>
        <c:ser>
          <c:idx val="1"/>
          <c:order val="1"/>
          <c:tx>
            <c:strRef>
              <c:f>'Fig 4'!$I$15</c:f>
              <c:strCache>
                <c:ptCount val="1"/>
                <c:pt idx="0">
                  <c:v>2011-12</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4'!$I$16:$I$24</c:f>
              <c:numCache>
                <c:formatCode>0.00</c:formatCode>
                <c:ptCount val="9"/>
                <c:pt idx="0">
                  <c:v>157.12663283753756</c:v>
                </c:pt>
                <c:pt idx="1">
                  <c:v>128.12014681147193</c:v>
                </c:pt>
                <c:pt idx="2">
                  <c:v>189.81787520706058</c:v>
                </c:pt>
                <c:pt idx="3">
                  <c:v>87.88873687485156</c:v>
                </c:pt>
                <c:pt idx="4">
                  <c:v>109.84479805410119</c:v>
                </c:pt>
                <c:pt idx="5">
                  <c:v>167.26145828449987</c:v>
                </c:pt>
                <c:pt idx="6">
                  <c:v>180.9540618903392</c:v>
                </c:pt>
                <c:pt idx="7">
                  <c:v>57.884943468713338</c:v>
                </c:pt>
                <c:pt idx="8">
                  <c:v>145.2806780960214</c:v>
                </c:pt>
              </c:numCache>
            </c:numRef>
          </c:val>
        </c:ser>
        <c:ser>
          <c:idx val="2"/>
          <c:order val="2"/>
          <c:tx>
            <c:strRef>
              <c:f>'Fig 4'!$J$15</c:f>
              <c:strCache>
                <c:ptCount val="1"/>
                <c:pt idx="0">
                  <c:v>2012-13</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4'!$J$16:$J$24</c:f>
              <c:numCache>
                <c:formatCode>0.00</c:formatCode>
                <c:ptCount val="9"/>
                <c:pt idx="0">
                  <c:v>172.90417777671431</c:v>
                </c:pt>
                <c:pt idx="1">
                  <c:v>141.78330248735105</c:v>
                </c:pt>
                <c:pt idx="2">
                  <c:v>206.30522961031437</c:v>
                </c:pt>
                <c:pt idx="3">
                  <c:v>90.750302572257397</c:v>
                </c:pt>
                <c:pt idx="4">
                  <c:v>118.17965220415303</c:v>
                </c:pt>
                <c:pt idx="5">
                  <c:v>157.56887985105794</c:v>
                </c:pt>
                <c:pt idx="6">
                  <c:v>198.7505257950418</c:v>
                </c:pt>
                <c:pt idx="7">
                  <c:v>68.312161992202235</c:v>
                </c:pt>
                <c:pt idx="8">
                  <c:v>158.04636679695281</c:v>
                </c:pt>
              </c:numCache>
            </c:numRef>
          </c:val>
        </c:ser>
        <c:ser>
          <c:idx val="3"/>
          <c:order val="3"/>
          <c:tx>
            <c:strRef>
              <c:f>'Fig 4'!$K$15</c:f>
              <c:strCache>
                <c:ptCount val="1"/>
                <c:pt idx="0">
                  <c:v>2013-14</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4'!$K$16:$K$24</c:f>
              <c:numCache>
                <c:formatCode>0.00</c:formatCode>
                <c:ptCount val="9"/>
                <c:pt idx="0">
                  <c:v>188.01846682143201</c:v>
                </c:pt>
                <c:pt idx="1">
                  <c:v>154.94305809542064</c:v>
                </c:pt>
                <c:pt idx="2">
                  <c:v>226.50133982532174</c:v>
                </c:pt>
                <c:pt idx="3">
                  <c:v>93.694866935803176</c:v>
                </c:pt>
                <c:pt idx="4">
                  <c:v>135.20745267551052</c:v>
                </c:pt>
                <c:pt idx="5">
                  <c:v>178.70144273331323</c:v>
                </c:pt>
                <c:pt idx="6">
                  <c:v>219.57427755520672</c:v>
                </c:pt>
                <c:pt idx="7">
                  <c:v>67.876474298458618</c:v>
                </c:pt>
                <c:pt idx="8">
                  <c:v>172.49216810495162</c:v>
                </c:pt>
              </c:numCache>
            </c:numRef>
          </c:val>
        </c:ser>
        <c:ser>
          <c:idx val="4"/>
          <c:order val="4"/>
          <c:tx>
            <c:strRef>
              <c:f>'Fig 4'!$L$15</c:f>
              <c:strCache>
                <c:ptCount val="1"/>
                <c:pt idx="0">
                  <c:v>2014-15</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4'!$L$16:$L$24</c:f>
              <c:numCache>
                <c:formatCode>0.00</c:formatCode>
                <c:ptCount val="9"/>
                <c:pt idx="0">
                  <c:v>201.36895831166149</c:v>
                </c:pt>
                <c:pt idx="1">
                  <c:v>169.27522867826985</c:v>
                </c:pt>
                <c:pt idx="2">
                  <c:v>251.30911124756423</c:v>
                </c:pt>
                <c:pt idx="3">
                  <c:v>103.65046004842615</c:v>
                </c:pt>
                <c:pt idx="4">
                  <c:v>143.74065549987199</c:v>
                </c:pt>
                <c:pt idx="5">
                  <c:v>193.30082389589214</c:v>
                </c:pt>
                <c:pt idx="6">
                  <c:v>235.81002992467236</c:v>
                </c:pt>
                <c:pt idx="7">
                  <c:v>72.560538759134545</c:v>
                </c:pt>
                <c:pt idx="8">
                  <c:v>187.66750828527185</c:v>
                </c:pt>
              </c:numCache>
            </c:numRef>
          </c:val>
        </c:ser>
        <c:dLbls>
          <c:showLegendKey val="0"/>
          <c:showVal val="0"/>
          <c:showCatName val="0"/>
          <c:showSerName val="0"/>
          <c:showPercent val="0"/>
          <c:showBubbleSize val="0"/>
        </c:dLbls>
        <c:gapWidth val="150"/>
        <c:axId val="148301696"/>
        <c:axId val="148303232"/>
      </c:barChart>
      <c:catAx>
        <c:axId val="148301696"/>
        <c:scaling>
          <c:orientation val="minMax"/>
        </c:scaling>
        <c:delete val="0"/>
        <c:axPos val="b"/>
        <c:majorTickMark val="out"/>
        <c:minorTickMark val="none"/>
        <c:tickLblPos val="nextTo"/>
        <c:crossAx val="148303232"/>
        <c:crosses val="autoZero"/>
        <c:auto val="1"/>
        <c:lblAlgn val="ctr"/>
        <c:lblOffset val="100"/>
        <c:noMultiLvlLbl val="0"/>
      </c:catAx>
      <c:valAx>
        <c:axId val="148303232"/>
        <c:scaling>
          <c:orientation val="minMax"/>
        </c:scaling>
        <c:delete val="0"/>
        <c:axPos val="l"/>
        <c:majorGridlines/>
        <c:title>
          <c:tx>
            <c:rich>
              <a:bodyPr rot="-5400000" vert="horz"/>
              <a:lstStyle/>
              <a:p>
                <a:pPr>
                  <a:defRPr/>
                </a:pPr>
                <a:r>
                  <a:rPr lang="en-AU"/>
                  <a:t>Ig grams issued per 1,000 population</a:t>
                </a:r>
              </a:p>
            </c:rich>
          </c:tx>
          <c:layout/>
          <c:overlay val="0"/>
        </c:title>
        <c:numFmt formatCode="0" sourceLinked="0"/>
        <c:majorTickMark val="out"/>
        <c:minorTickMark val="none"/>
        <c:tickLblPos val="nextTo"/>
        <c:crossAx val="1483016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 5'!$L$1</c:f>
              <c:strCache>
                <c:ptCount val="1"/>
                <c:pt idx="0">
                  <c:v>Australian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5'!$L$2:$L$103</c:f>
              <c:numCache>
                <c:formatCode>General</c:formatCode>
                <c:ptCount val="102"/>
                <c:pt idx="1">
                  <c:v>1.278711553979453E-2</c:v>
                </c:pt>
                <c:pt idx="2">
                  <c:v>1.3288748124681768E-2</c:v>
                </c:pt>
                <c:pt idx="3">
                  <c:v>1.3227492379346522E-2</c:v>
                </c:pt>
                <c:pt idx="4">
                  <c:v>1.2764112686886998E-2</c:v>
                </c:pt>
                <c:pt idx="5">
                  <c:v>1.299235210518063E-2</c:v>
                </c:pt>
                <c:pt idx="6">
                  <c:v>1.2923726927339823E-2</c:v>
                </c:pt>
                <c:pt idx="7">
                  <c:v>1.2865580826934672E-2</c:v>
                </c:pt>
                <c:pt idx="8">
                  <c:v>1.2670951132611489E-2</c:v>
                </c:pt>
                <c:pt idx="9">
                  <c:v>1.2658001378382064E-2</c:v>
                </c:pt>
                <c:pt idx="10">
                  <c:v>1.2261500350857404E-2</c:v>
                </c:pt>
                <c:pt idx="11">
                  <c:v>1.2047446025190084E-2</c:v>
                </c:pt>
                <c:pt idx="12">
                  <c:v>1.191645755724441E-2</c:v>
                </c:pt>
                <c:pt idx="13">
                  <c:v>1.1868833132150666E-2</c:v>
                </c:pt>
                <c:pt idx="14">
                  <c:v>1.2045784708035651E-2</c:v>
                </c:pt>
                <c:pt idx="15">
                  <c:v>1.207330293577318E-2</c:v>
                </c:pt>
                <c:pt idx="16">
                  <c:v>1.2145293345798608E-2</c:v>
                </c:pt>
                <c:pt idx="17">
                  <c:v>1.2204930371855174E-2</c:v>
                </c:pt>
                <c:pt idx="18">
                  <c:v>1.2439857656642293E-2</c:v>
                </c:pt>
                <c:pt idx="19">
                  <c:v>1.2716317870290235E-2</c:v>
                </c:pt>
                <c:pt idx="20">
                  <c:v>1.3303529587568644E-2</c:v>
                </c:pt>
                <c:pt idx="21">
                  <c:v>1.3376797933866712E-2</c:v>
                </c:pt>
                <c:pt idx="22">
                  <c:v>1.3559287233599808E-2</c:v>
                </c:pt>
                <c:pt idx="23">
                  <c:v>1.3866716102921409E-2</c:v>
                </c:pt>
                <c:pt idx="24">
                  <c:v>1.4525194066337416E-2</c:v>
                </c:pt>
                <c:pt idx="25">
                  <c:v>1.4995517212544955E-2</c:v>
                </c:pt>
                <c:pt idx="26">
                  <c:v>1.4762123451285006E-2</c:v>
                </c:pt>
                <c:pt idx="27">
                  <c:v>1.4743593375331715E-2</c:v>
                </c:pt>
                <c:pt idx="28">
                  <c:v>1.4793901466598005E-2</c:v>
                </c:pt>
                <c:pt idx="29">
                  <c:v>1.5001992089659667E-2</c:v>
                </c:pt>
                <c:pt idx="30">
                  <c:v>1.5123183046181763E-2</c:v>
                </c:pt>
                <c:pt idx="31">
                  <c:v>1.5028360174751822E-2</c:v>
                </c:pt>
                <c:pt idx="32">
                  <c:v>1.5048338578480772E-2</c:v>
                </c:pt>
                <c:pt idx="33">
                  <c:v>1.4601103480932276E-2</c:v>
                </c:pt>
                <c:pt idx="34">
                  <c:v>1.4328477076102256E-2</c:v>
                </c:pt>
                <c:pt idx="35">
                  <c:v>1.380814402375871E-2</c:v>
                </c:pt>
                <c:pt idx="36">
                  <c:v>1.3490150881249944E-2</c:v>
                </c:pt>
                <c:pt idx="37">
                  <c:v>1.3209686467281061E-2</c:v>
                </c:pt>
                <c:pt idx="38">
                  <c:v>1.3168409125674766E-2</c:v>
                </c:pt>
                <c:pt idx="39">
                  <c:v>1.3176502722068158E-2</c:v>
                </c:pt>
                <c:pt idx="40">
                  <c:v>1.3372410352663979E-2</c:v>
                </c:pt>
                <c:pt idx="41">
                  <c:v>1.3657858718096161E-2</c:v>
                </c:pt>
                <c:pt idx="42">
                  <c:v>1.3983476880365017E-2</c:v>
                </c:pt>
                <c:pt idx="43">
                  <c:v>1.4572179523294841E-2</c:v>
                </c:pt>
                <c:pt idx="44">
                  <c:v>1.4790621430164894E-2</c:v>
                </c:pt>
                <c:pt idx="45">
                  <c:v>1.3970612321887099E-2</c:v>
                </c:pt>
                <c:pt idx="46">
                  <c:v>1.3746675289044691E-2</c:v>
                </c:pt>
                <c:pt idx="47">
                  <c:v>1.3199036998342389E-2</c:v>
                </c:pt>
                <c:pt idx="48">
                  <c:v>1.2897486635874934E-2</c:v>
                </c:pt>
                <c:pt idx="49">
                  <c:v>1.2845559825329967E-2</c:v>
                </c:pt>
                <c:pt idx="50">
                  <c:v>1.2958486793955651E-2</c:v>
                </c:pt>
                <c:pt idx="51">
                  <c:v>1.3296373144441856E-2</c:v>
                </c:pt>
                <c:pt idx="52">
                  <c:v>1.3441844890144125E-2</c:v>
                </c:pt>
                <c:pt idx="53">
                  <c:v>1.3419353211745649E-2</c:v>
                </c:pt>
                <c:pt idx="54">
                  <c:v>1.3368278358715775E-2</c:v>
                </c:pt>
                <c:pt idx="55">
                  <c:v>1.2914355394673791E-2</c:v>
                </c:pt>
                <c:pt idx="56">
                  <c:v>1.2692974234376665E-2</c:v>
                </c:pt>
                <c:pt idx="57">
                  <c:v>1.2390401522891097E-2</c:v>
                </c:pt>
                <c:pt idx="58">
                  <c:v>1.210563472347099E-2</c:v>
                </c:pt>
                <c:pt idx="59">
                  <c:v>1.1935882188588549E-2</c:v>
                </c:pt>
                <c:pt idx="60">
                  <c:v>1.1575205974573583E-2</c:v>
                </c:pt>
                <c:pt idx="61">
                  <c:v>1.1209588406971074E-2</c:v>
                </c:pt>
                <c:pt idx="62">
                  <c:v>1.1080048266801061E-2</c:v>
                </c:pt>
                <c:pt idx="63">
                  <c:v>1.0685932720318663E-2</c:v>
                </c:pt>
                <c:pt idx="64">
                  <c:v>1.0532111790968475E-2</c:v>
                </c:pt>
                <c:pt idx="65">
                  <c:v>1.0315757180010401E-2</c:v>
                </c:pt>
                <c:pt idx="66">
                  <c:v>1.0005048274255688E-2</c:v>
                </c:pt>
                <c:pt idx="67">
                  <c:v>1.0071074981675459E-2</c:v>
                </c:pt>
                <c:pt idx="68">
                  <c:v>1.0420207171360904E-2</c:v>
                </c:pt>
                <c:pt idx="69">
                  <c:v>8.7881121596956879E-3</c:v>
                </c:pt>
                <c:pt idx="70">
                  <c:v>8.4145713872028054E-3</c:v>
                </c:pt>
                <c:pt idx="71">
                  <c:v>7.9909781106981617E-3</c:v>
                </c:pt>
                <c:pt idx="72">
                  <c:v>7.1846855184133787E-3</c:v>
                </c:pt>
                <c:pt idx="73">
                  <c:v>7.0207688925093296E-3</c:v>
                </c:pt>
                <c:pt idx="74">
                  <c:v>6.4945999311873913E-3</c:v>
                </c:pt>
                <c:pt idx="75">
                  <c:v>6.2110684701641708E-3</c:v>
                </c:pt>
                <c:pt idx="76">
                  <c:v>5.8830222289772988E-3</c:v>
                </c:pt>
                <c:pt idx="77">
                  <c:v>5.5118243396509248E-3</c:v>
                </c:pt>
                <c:pt idx="78">
                  <c:v>5.2220735887675198E-3</c:v>
                </c:pt>
                <c:pt idx="79">
                  <c:v>4.9313856846175111E-3</c:v>
                </c:pt>
                <c:pt idx="80">
                  <c:v>4.5316898164112487E-3</c:v>
                </c:pt>
                <c:pt idx="81">
                  <c:v>4.2268594175106835E-3</c:v>
                </c:pt>
                <c:pt idx="82">
                  <c:v>4.0017296441471435E-3</c:v>
                </c:pt>
                <c:pt idx="83">
                  <c:v>3.756578869178899E-3</c:v>
                </c:pt>
                <c:pt idx="84">
                  <c:v>3.6830549356263033E-3</c:v>
                </c:pt>
                <c:pt idx="85">
                  <c:v>3.4355186796157962E-3</c:v>
                </c:pt>
                <c:pt idx="86">
                  <c:v>3.1112210514953366E-3</c:v>
                </c:pt>
                <c:pt idx="87">
                  <c:v>2.8340366739595651E-3</c:v>
                </c:pt>
                <c:pt idx="88">
                  <c:v>2.5133172674024996E-3</c:v>
                </c:pt>
                <c:pt idx="89">
                  <c:v>2.2248444527917348E-3</c:v>
                </c:pt>
                <c:pt idx="90">
                  <c:v>1.9049770037497633E-3</c:v>
                </c:pt>
                <c:pt idx="91">
                  <c:v>1.605684328697307E-3</c:v>
                </c:pt>
                <c:pt idx="92">
                  <c:v>1.3138036840261672E-3</c:v>
                </c:pt>
                <c:pt idx="93">
                  <c:v>1.0993233796013E-3</c:v>
                </c:pt>
                <c:pt idx="94">
                  <c:v>8.6473687782021903E-4</c:v>
                </c:pt>
                <c:pt idx="95">
                  <c:v>6.3087453992696763E-4</c:v>
                </c:pt>
                <c:pt idx="96">
                  <c:v>3.9211344632192688E-4</c:v>
                </c:pt>
                <c:pt idx="97">
                  <c:v>2.9618303012236369E-4</c:v>
                </c:pt>
                <c:pt idx="98">
                  <c:v>2.1528966406420626E-4</c:v>
                </c:pt>
                <c:pt idx="99">
                  <c:v>1.5859189143471307E-4</c:v>
                </c:pt>
                <c:pt idx="100">
                  <c:v>1.1088227058945961E-4</c:v>
                </c:pt>
                <c:pt idx="101">
                  <c:v>1.7230840742772343E-4</c:v>
                </c:pt>
              </c:numCache>
            </c:numRef>
          </c:val>
        </c:ser>
        <c:ser>
          <c:idx val="1"/>
          <c:order val="1"/>
          <c:tx>
            <c:strRef>
              <c:f>'Fig 5'!$M$1</c:f>
              <c:strCache>
                <c:ptCount val="1"/>
                <c:pt idx="0">
                  <c:v>IVIg recipient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5'!$M$3:$M$105</c:f>
              <c:numCache>
                <c:formatCode>General</c:formatCode>
                <c:ptCount val="103"/>
                <c:pt idx="0">
                  <c:v>-7.3523701038133949E-3</c:v>
                </c:pt>
                <c:pt idx="1">
                  <c:v>-9.1127967483884322E-3</c:v>
                </c:pt>
                <c:pt idx="2">
                  <c:v>-1.338442022419551E-2</c:v>
                </c:pt>
                <c:pt idx="3">
                  <c:v>-1.47824060890051E-2</c:v>
                </c:pt>
                <c:pt idx="4">
                  <c:v>-1.5947394309679758E-2</c:v>
                </c:pt>
                <c:pt idx="5">
                  <c:v>-1.3073756698682269E-2</c:v>
                </c:pt>
                <c:pt idx="6">
                  <c:v>-1.0976777901467885E-2</c:v>
                </c:pt>
                <c:pt idx="7">
                  <c:v>-8.7244673414968808E-3</c:v>
                </c:pt>
                <c:pt idx="8">
                  <c:v>-6.6533771714086002E-3</c:v>
                </c:pt>
                <c:pt idx="9">
                  <c:v>-6.0838273746343235E-3</c:v>
                </c:pt>
                <c:pt idx="10">
                  <c:v>-4.6858415098247341E-3</c:v>
                </c:pt>
                <c:pt idx="11">
                  <c:v>-4.4528438656898026E-3</c:v>
                </c:pt>
                <c:pt idx="12">
                  <c:v>-4.219846221554871E-3</c:v>
                </c:pt>
                <c:pt idx="13">
                  <c:v>-3.8315168146633182E-3</c:v>
                </c:pt>
                <c:pt idx="14">
                  <c:v>-4.0645144587982502E-3</c:v>
                </c:pt>
                <c:pt idx="15">
                  <c:v>-4.1939575944287674E-3</c:v>
                </c:pt>
                <c:pt idx="16">
                  <c:v>-4.426955238563699E-3</c:v>
                </c:pt>
                <c:pt idx="17">
                  <c:v>-4.0386258316721466E-3</c:v>
                </c:pt>
                <c:pt idx="18">
                  <c:v>-4.5822870013203197E-3</c:v>
                </c:pt>
                <c:pt idx="19">
                  <c:v>-4.426955238563699E-3</c:v>
                </c:pt>
                <c:pt idx="20">
                  <c:v>-4.9706164082118729E-3</c:v>
                </c:pt>
                <c:pt idx="21">
                  <c:v>-5.2812799337251144E-3</c:v>
                </c:pt>
                <c:pt idx="22">
                  <c:v>-5.1259481709684937E-3</c:v>
                </c:pt>
                <c:pt idx="23">
                  <c:v>-5.0482822895901829E-3</c:v>
                </c:pt>
                <c:pt idx="24">
                  <c:v>-5.5401662049861496E-3</c:v>
                </c:pt>
                <c:pt idx="25">
                  <c:v>-5.4625003236078388E-3</c:v>
                </c:pt>
                <c:pt idx="26">
                  <c:v>-5.0482822895901829E-3</c:v>
                </c:pt>
                <c:pt idx="27">
                  <c:v>-5.1259481709684937E-3</c:v>
                </c:pt>
                <c:pt idx="28">
                  <c:v>-5.514277577860046E-3</c:v>
                </c:pt>
                <c:pt idx="29">
                  <c:v>-5.5660548321122532E-3</c:v>
                </c:pt>
                <c:pt idx="30">
                  <c:v>-6.3686022730214615E-3</c:v>
                </c:pt>
                <c:pt idx="31">
                  <c:v>-6.3427136458953579E-3</c:v>
                </c:pt>
                <c:pt idx="32">
                  <c:v>-6.9899293240479454E-3</c:v>
                </c:pt>
                <c:pt idx="33">
                  <c:v>-6.7569316799130138E-3</c:v>
                </c:pt>
                <c:pt idx="34">
                  <c:v>-6.731043052786911E-3</c:v>
                </c:pt>
                <c:pt idx="35">
                  <c:v>-6.8345975612913246E-3</c:v>
                </c:pt>
                <c:pt idx="36">
                  <c:v>-7.145261086804567E-3</c:v>
                </c:pt>
                <c:pt idx="37">
                  <c:v>-6.9640406969218426E-3</c:v>
                </c:pt>
                <c:pt idx="38">
                  <c:v>-6.808708934165221E-3</c:v>
                </c:pt>
                <c:pt idx="39">
                  <c:v>-7.1711497139306706E-3</c:v>
                </c:pt>
                <c:pt idx="40">
                  <c:v>-7.8701426463354644E-3</c:v>
                </c:pt>
                <c:pt idx="41">
                  <c:v>-7.0417065783001526E-3</c:v>
                </c:pt>
                <c:pt idx="42">
                  <c:v>-8.8539104771273979E-3</c:v>
                </c:pt>
                <c:pt idx="43">
                  <c:v>-7.8183653920832572E-3</c:v>
                </c:pt>
                <c:pt idx="44">
                  <c:v>-8.9056877313796051E-3</c:v>
                </c:pt>
                <c:pt idx="45">
                  <c:v>-8.3879151888575348E-3</c:v>
                </c:pt>
                <c:pt idx="46">
                  <c:v>-8.4138038159836392E-3</c:v>
                </c:pt>
                <c:pt idx="47">
                  <c:v>-9.0610194941362267E-3</c:v>
                </c:pt>
                <c:pt idx="48">
                  <c:v>-8.6726900872446736E-3</c:v>
                </c:pt>
                <c:pt idx="49">
                  <c:v>-9.397571646775571E-3</c:v>
                </c:pt>
                <c:pt idx="50">
                  <c:v>-9.4752375281538827E-3</c:v>
                </c:pt>
                <c:pt idx="51">
                  <c:v>-1.1365107308359438E-2</c:v>
                </c:pt>
                <c:pt idx="52">
                  <c:v>-1.1727548088124887E-2</c:v>
                </c:pt>
                <c:pt idx="53">
                  <c:v>-1.2814870427421235E-2</c:v>
                </c:pt>
                <c:pt idx="54">
                  <c:v>-1.3073756698682269E-2</c:v>
                </c:pt>
                <c:pt idx="55">
                  <c:v>-1.5093069614518341E-2</c:v>
                </c:pt>
                <c:pt idx="56">
                  <c:v>-1.4678851580500685E-2</c:v>
                </c:pt>
                <c:pt idx="57">
                  <c:v>-1.5170735495896653E-2</c:v>
                </c:pt>
                <c:pt idx="58">
                  <c:v>-1.4575297071996273E-2</c:v>
                </c:pt>
                <c:pt idx="59">
                  <c:v>-1.5792062546923138E-2</c:v>
                </c:pt>
                <c:pt idx="60">
                  <c:v>-1.6154503326688587E-2</c:v>
                </c:pt>
                <c:pt idx="61">
                  <c:v>-1.7837264089885313E-2</c:v>
                </c:pt>
                <c:pt idx="62">
                  <c:v>-1.8355036632407385E-2</c:v>
                </c:pt>
                <c:pt idx="63">
                  <c:v>-1.8872809174929454E-2</c:v>
                </c:pt>
                <c:pt idx="64">
                  <c:v>-1.9778911124343077E-2</c:v>
                </c:pt>
                <c:pt idx="65">
                  <c:v>-2.1021565226396043E-2</c:v>
                </c:pt>
                <c:pt idx="66">
                  <c:v>-2.0011908768478009E-2</c:v>
                </c:pt>
                <c:pt idx="67">
                  <c:v>-2.3998757345897948E-2</c:v>
                </c:pt>
                <c:pt idx="68">
                  <c:v>-2.2264219328449013E-2</c:v>
                </c:pt>
                <c:pt idx="69">
                  <c:v>-2.0219017785486834E-2</c:v>
                </c:pt>
                <c:pt idx="70">
                  <c:v>-2.0348460921117355E-2</c:v>
                </c:pt>
                <c:pt idx="71">
                  <c:v>-1.8743366039298937E-2</c:v>
                </c:pt>
                <c:pt idx="72">
                  <c:v>-2.0685013073756697E-2</c:v>
                </c:pt>
                <c:pt idx="73">
                  <c:v>-1.8872809174929454E-2</c:v>
                </c:pt>
                <c:pt idx="74">
                  <c:v>-1.8432702513785693E-2</c:v>
                </c:pt>
                <c:pt idx="75">
                  <c:v>-1.7578377818624279E-2</c:v>
                </c:pt>
                <c:pt idx="76">
                  <c:v>-1.8173816242524659E-2</c:v>
                </c:pt>
                <c:pt idx="77">
                  <c:v>-1.6672275869210655E-2</c:v>
                </c:pt>
                <c:pt idx="78">
                  <c:v>-1.6076837445310275E-2</c:v>
                </c:pt>
                <c:pt idx="79">
                  <c:v>-1.3772749631087064E-2</c:v>
                </c:pt>
                <c:pt idx="80">
                  <c:v>-1.4342299427861341E-2</c:v>
                </c:pt>
                <c:pt idx="81">
                  <c:v>-1.3876304139591478E-2</c:v>
                </c:pt>
                <c:pt idx="82">
                  <c:v>-1.3151422580060579E-2</c:v>
                </c:pt>
                <c:pt idx="83">
                  <c:v>-1.2089988867890335E-2</c:v>
                </c:pt>
                <c:pt idx="84">
                  <c:v>-1.2297097884899164E-2</c:v>
                </c:pt>
                <c:pt idx="85">
                  <c:v>-1.1416884562611645E-2</c:v>
                </c:pt>
                <c:pt idx="86">
                  <c:v>-9.1645740026406394E-3</c:v>
                </c:pt>
                <c:pt idx="87">
                  <c:v>-8.6985787143707763E-3</c:v>
                </c:pt>
                <c:pt idx="88">
                  <c:v>-8.1549175447226032E-3</c:v>
                </c:pt>
                <c:pt idx="89">
                  <c:v>-6.2391591373909443E-3</c:v>
                </c:pt>
                <c:pt idx="90">
                  <c:v>-5.307168560851218E-3</c:v>
                </c:pt>
                <c:pt idx="91">
                  <c:v>-4.3751779843114917E-3</c:v>
                </c:pt>
                <c:pt idx="92">
                  <c:v>-3.3914101535195587E-3</c:v>
                </c:pt>
                <c:pt idx="93">
                  <c:v>-2.7183058482408676E-3</c:v>
                </c:pt>
                <c:pt idx="94">
                  <c:v>-1.7086493903228311E-3</c:v>
                </c:pt>
                <c:pt idx="95">
                  <c:v>-1.1649882206746576E-3</c:v>
                </c:pt>
                <c:pt idx="96">
                  <c:v>-9.5787920366582956E-4</c:v>
                </c:pt>
                <c:pt idx="97">
                  <c:v>-4.4010666114375954E-4</c:v>
                </c:pt>
                <c:pt idx="98">
                  <c:v>-3.8832940689155254E-4</c:v>
                </c:pt>
                <c:pt idx="99">
                  <c:v>-3.8832940689155254E-4</c:v>
                </c:pt>
                <c:pt idx="100">
                  <c:v>-2.5888627126103501E-4</c:v>
                </c:pt>
                <c:pt idx="101">
                  <c:v>-1.0355450850441401E-4</c:v>
                </c:pt>
                <c:pt idx="102">
                  <c:v>-2.5888627126103502E-5</c:v>
                </c:pt>
              </c:numCache>
            </c:numRef>
          </c:val>
        </c:ser>
        <c:dLbls>
          <c:showLegendKey val="0"/>
          <c:showVal val="0"/>
          <c:showCatName val="0"/>
          <c:showSerName val="0"/>
          <c:showPercent val="0"/>
          <c:showBubbleSize val="0"/>
        </c:dLbls>
        <c:gapWidth val="150"/>
        <c:axId val="149987712"/>
        <c:axId val="149989632"/>
      </c:barChart>
      <c:catAx>
        <c:axId val="149987712"/>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49989632"/>
        <c:crosses val="autoZero"/>
        <c:auto val="1"/>
        <c:lblAlgn val="ctr"/>
        <c:lblOffset val="100"/>
        <c:noMultiLvlLbl val="0"/>
      </c:catAx>
      <c:valAx>
        <c:axId val="149989632"/>
        <c:scaling>
          <c:orientation val="minMax"/>
        </c:scaling>
        <c:delete val="0"/>
        <c:axPos val="b"/>
        <c:majorGridlines/>
        <c:title>
          <c:tx>
            <c:rich>
              <a:bodyPr/>
              <a:lstStyle/>
              <a:p>
                <a:pPr>
                  <a:defRPr/>
                </a:pPr>
                <a:r>
                  <a:rPr lang="en-AU"/>
                  <a:t>Percentage of</a:t>
                </a:r>
                <a:r>
                  <a:rPr lang="en-AU" baseline="0"/>
                  <a:t> population</a:t>
                </a:r>
              </a:p>
            </c:rich>
          </c:tx>
          <c:layout/>
          <c:overlay val="0"/>
        </c:title>
        <c:numFmt formatCode="#,##0.000;#,##0.000" sourceLinked="0"/>
        <c:majorTickMark val="out"/>
        <c:minorTickMark val="none"/>
        <c:tickLblPos val="nextTo"/>
        <c:crossAx val="14998771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'Fig 6'!$B$10</c:f>
              <c:strCache>
                <c:ptCount val="1"/>
                <c:pt idx="0">
                  <c:v>Adult Ig patients</c:v>
                </c:pt>
              </c:strCache>
            </c:strRef>
          </c:tx>
          <c:invertIfNegative val="0"/>
          <c:cat>
            <c:strRef>
              <c:f>'Fig 6'!$C$9:$O$9</c:f>
              <c:strCache>
                <c:ptCount val="13"/>
                <c:pt idx="0">
                  <c:v>&lt; 55</c:v>
                </c:pt>
                <c:pt idx="1">
                  <c:v>55 to 59</c:v>
                </c:pt>
                <c:pt idx="2">
                  <c:v>60 to 64</c:v>
                </c:pt>
                <c:pt idx="3">
                  <c:v>65 to 69</c:v>
                </c:pt>
                <c:pt idx="4">
                  <c:v>70 to 74</c:v>
                </c:pt>
                <c:pt idx="5">
                  <c:v>75 to 79</c:v>
                </c:pt>
                <c:pt idx="6">
                  <c:v>80 to 84</c:v>
                </c:pt>
                <c:pt idx="7">
                  <c:v>85 to 89</c:v>
                </c:pt>
                <c:pt idx="8">
                  <c:v>90 to 94</c:v>
                </c:pt>
                <c:pt idx="9">
                  <c:v>95 to 99</c:v>
                </c:pt>
                <c:pt idx="10">
                  <c:v>100 to 104</c:v>
                </c:pt>
                <c:pt idx="11">
                  <c:v>105 to 109</c:v>
                </c:pt>
                <c:pt idx="12">
                  <c:v>&gt; 109</c:v>
                </c:pt>
              </c:strCache>
            </c:strRef>
          </c:cat>
          <c:val>
            <c:numRef>
              <c:f>'Fig 6'!$C$10:$O$10</c:f>
              <c:numCache>
                <c:formatCode>0.0%</c:formatCode>
                <c:ptCount val="13"/>
                <c:pt idx="0">
                  <c:v>0.15670623550279711</c:v>
                </c:pt>
                <c:pt idx="1">
                  <c:v>5.4100150088688771E-2</c:v>
                </c:pt>
                <c:pt idx="2">
                  <c:v>9.7216537044617274E-2</c:v>
                </c:pt>
                <c:pt idx="3">
                  <c:v>8.0433892754809666E-2</c:v>
                </c:pt>
                <c:pt idx="4">
                  <c:v>0.11399918133442488</c:v>
                </c:pt>
                <c:pt idx="5">
                  <c:v>9.2304543593941871E-2</c:v>
                </c:pt>
                <c:pt idx="6">
                  <c:v>0.10929185427752763</c:v>
                </c:pt>
                <c:pt idx="7">
                  <c:v>6.7881020603083639E-2</c:v>
                </c:pt>
                <c:pt idx="8">
                  <c:v>7.2793014053759042E-2</c:v>
                </c:pt>
                <c:pt idx="9">
                  <c:v>4.134261154318461E-2</c:v>
                </c:pt>
                <c:pt idx="10">
                  <c:v>4.0660390230590801E-2</c:v>
                </c:pt>
                <c:pt idx="11">
                  <c:v>1.9443307408923454E-2</c:v>
                </c:pt>
                <c:pt idx="12">
                  <c:v>5.3827261563651252E-2</c:v>
                </c:pt>
              </c:numCache>
            </c:numRef>
          </c:val>
        </c:ser>
        <c:ser>
          <c:idx val="1"/>
          <c:order val="1"/>
          <c:tx>
            <c:strRef>
              <c:f>'Fig 6'!$B$11</c:f>
              <c:strCache>
                <c:ptCount val="1"/>
                <c:pt idx="0">
                  <c:v>Average Australian Adults</c:v>
                </c:pt>
              </c:strCache>
            </c:strRef>
          </c:tx>
          <c:spPr>
            <a:solidFill>
              <a:schemeClr val="bg1">
                <a:lumMod val="65000"/>
              </a:schemeClr>
            </a:solidFill>
          </c:spPr>
          <c:invertIfNegative val="0"/>
          <c:cat>
            <c:strRef>
              <c:f>'Fig 6'!$C$9:$O$9</c:f>
              <c:strCache>
                <c:ptCount val="13"/>
                <c:pt idx="0">
                  <c:v>&lt; 55</c:v>
                </c:pt>
                <c:pt idx="1">
                  <c:v>55 to 59</c:v>
                </c:pt>
                <c:pt idx="2">
                  <c:v>60 to 64</c:v>
                </c:pt>
                <c:pt idx="3">
                  <c:v>65 to 69</c:v>
                </c:pt>
                <c:pt idx="4">
                  <c:v>70 to 74</c:v>
                </c:pt>
                <c:pt idx="5">
                  <c:v>75 to 79</c:v>
                </c:pt>
                <c:pt idx="6">
                  <c:v>80 to 84</c:v>
                </c:pt>
                <c:pt idx="7">
                  <c:v>85 to 89</c:v>
                </c:pt>
                <c:pt idx="8">
                  <c:v>90 to 94</c:v>
                </c:pt>
                <c:pt idx="9">
                  <c:v>95 to 99</c:v>
                </c:pt>
                <c:pt idx="10">
                  <c:v>100 to 104</c:v>
                </c:pt>
                <c:pt idx="11">
                  <c:v>105 to 109</c:v>
                </c:pt>
                <c:pt idx="12">
                  <c:v>&gt; 109</c:v>
                </c:pt>
              </c:strCache>
            </c:strRef>
          </c:cat>
          <c:val>
            <c:numRef>
              <c:f>'Fig 6'!$C$11:$O$11</c:f>
              <c:numCache>
                <c:formatCode>0.0%</c:formatCode>
                <c:ptCount val="13"/>
                <c:pt idx="0">
                  <c:v>7.5317204016446967E-2</c:v>
                </c:pt>
                <c:pt idx="1">
                  <c:v>7.4381915400497642E-2</c:v>
                </c:pt>
                <c:pt idx="2">
                  <c:v>9.2752395574143692E-2</c:v>
                </c:pt>
                <c:pt idx="3">
                  <c:v>0.11039052711454637</c:v>
                </c:pt>
                <c:pt idx="4">
                  <c:v>0.11754636737430957</c:v>
                </c:pt>
                <c:pt idx="5">
                  <c:v>0.11610814054034978</c:v>
                </c:pt>
                <c:pt idx="6">
                  <c:v>0.10016411668166657</c:v>
                </c:pt>
                <c:pt idx="7">
                  <c:v>8.2023046923253393E-2</c:v>
                </c:pt>
                <c:pt idx="8">
                  <c:v>6.6387844777383659E-2</c:v>
                </c:pt>
                <c:pt idx="9">
                  <c:v>4.9993823565743736E-2</c:v>
                </c:pt>
                <c:pt idx="10">
                  <c:v>3.7738013305804091E-2</c:v>
                </c:pt>
                <c:pt idx="11">
                  <c:v>2.6832195104734682E-2</c:v>
                </c:pt>
                <c:pt idx="12">
                  <c:v>5.0364409621119877E-2</c:v>
                </c:pt>
              </c:numCache>
            </c:numRef>
          </c:val>
        </c:ser>
        <c:dLbls>
          <c:showLegendKey val="0"/>
          <c:showVal val="0"/>
          <c:showCatName val="0"/>
          <c:showSerName val="0"/>
          <c:showPercent val="0"/>
          <c:showBubbleSize val="0"/>
        </c:dLbls>
        <c:gapWidth val="150"/>
        <c:axId val="150016000"/>
        <c:axId val="150017920"/>
      </c:barChart>
      <c:catAx>
        <c:axId val="150016000"/>
        <c:scaling>
          <c:orientation val="minMax"/>
        </c:scaling>
        <c:delete val="0"/>
        <c:axPos val="b"/>
        <c:title>
          <c:tx>
            <c:rich>
              <a:bodyPr/>
              <a:lstStyle/>
              <a:p>
                <a:pPr>
                  <a:defRPr/>
                </a:pPr>
                <a:r>
                  <a:rPr lang="en-AU"/>
                  <a:t>Weight in kilograms</a:t>
                </a:r>
              </a:p>
            </c:rich>
          </c:tx>
          <c:layout/>
          <c:overlay val="0"/>
        </c:title>
        <c:majorTickMark val="out"/>
        <c:minorTickMark val="none"/>
        <c:tickLblPos val="nextTo"/>
        <c:crossAx val="150017920"/>
        <c:crosses val="autoZero"/>
        <c:auto val="1"/>
        <c:lblAlgn val="ctr"/>
        <c:lblOffset val="100"/>
        <c:noMultiLvlLbl val="0"/>
      </c:catAx>
      <c:valAx>
        <c:axId val="150017920"/>
        <c:scaling>
          <c:orientation val="minMax"/>
        </c:scaling>
        <c:delete val="0"/>
        <c:axPos val="l"/>
        <c:majorGridlines/>
        <c:title>
          <c:tx>
            <c:rich>
              <a:bodyPr rot="-5400000" vert="horz"/>
              <a:lstStyle/>
              <a:p>
                <a:pPr>
                  <a:defRPr/>
                </a:pPr>
                <a:r>
                  <a:rPr lang="en-AU"/>
                  <a:t>Proportion of total</a:t>
                </a:r>
              </a:p>
              <a:p>
                <a:pPr>
                  <a:defRPr/>
                </a:pPr>
                <a:endParaRPr lang="en-AU"/>
              </a:p>
            </c:rich>
          </c:tx>
          <c:layout/>
          <c:overlay val="0"/>
        </c:title>
        <c:numFmt formatCode="0%" sourceLinked="0"/>
        <c:majorTickMark val="out"/>
        <c:minorTickMark val="none"/>
        <c:tickLblPos val="nextTo"/>
        <c:crossAx val="15001600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tx>
                <c:rich>
                  <a:bodyPr/>
                  <a:lstStyle/>
                  <a:p>
                    <a:r>
                      <a:rPr lang="en-US"/>
                      <a:t>Diagnostic
&lt;1%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'Fig 7'!$A$2:$A$8</c:f>
              <c:strCache>
                <c:ptCount val="7"/>
                <c:pt idx="0">
                  <c:v>Clotting Factor Products</c:v>
                </c:pt>
                <c:pt idx="1">
                  <c:v>Hyperimmunes</c:v>
                </c:pt>
                <c:pt idx="2">
                  <c:v>Diagnostic</c:v>
                </c:pt>
                <c:pt idx="3">
                  <c:v>Ig</c:v>
                </c:pt>
                <c:pt idx="4">
                  <c:v>Plasma Collections</c:v>
                </c:pt>
                <c:pt idx="5">
                  <c:v>Albumin</c:v>
                </c:pt>
                <c:pt idx="6">
                  <c:v>Fresh Blood Products</c:v>
                </c:pt>
              </c:strCache>
            </c:strRef>
          </c:cat>
          <c:val>
            <c:numRef>
              <c:f>'Fig 7'!$B$2:$B$8</c:f>
              <c:numCache>
                <c:formatCode>#,##0;[Red]\(#,##0\)</c:formatCode>
                <c:ptCount val="7"/>
                <c:pt idx="0">
                  <c:v>161429142</c:v>
                </c:pt>
                <c:pt idx="1">
                  <c:v>10839904</c:v>
                </c:pt>
                <c:pt idx="2">
                  <c:v>4313012.9499999974</c:v>
                </c:pt>
                <c:pt idx="3">
                  <c:v>273101295.26229417</c:v>
                </c:pt>
                <c:pt idx="4" formatCode="#,##0">
                  <c:v>225758210.78644651</c:v>
                </c:pt>
                <c:pt idx="5" formatCode="#,##0">
                  <c:v>27398908</c:v>
                </c:pt>
                <c:pt idx="6" formatCode="#,##0">
                  <c:v>339316536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8 Tab 8'!$D$1</c:f>
              <c:strCache>
                <c:ptCount val="1"/>
                <c:pt idx="0">
                  <c:v>2010-11</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Kidney transplantation</c:v>
                </c:pt>
              </c:strCache>
            </c:strRef>
          </c:cat>
          <c:val>
            <c:numRef>
              <c:f>'Fig 8 Tab 8'!$D$2:$D$11</c:f>
              <c:numCache>
                <c:formatCode>#,##0</c:formatCode>
                <c:ptCount val="10"/>
                <c:pt idx="0">
                  <c:v>631689</c:v>
                </c:pt>
                <c:pt idx="1">
                  <c:v>599181</c:v>
                </c:pt>
                <c:pt idx="2">
                  <c:v>465424</c:v>
                </c:pt>
                <c:pt idx="3">
                  <c:v>189771</c:v>
                </c:pt>
                <c:pt idx="4">
                  <c:v>175176</c:v>
                </c:pt>
                <c:pt idx="5">
                  <c:v>139195</c:v>
                </c:pt>
                <c:pt idx="6">
                  <c:v>163905</c:v>
                </c:pt>
                <c:pt idx="7">
                  <c:v>79151</c:v>
                </c:pt>
                <c:pt idx="8">
                  <c:v>101014</c:v>
                </c:pt>
                <c:pt idx="9">
                  <c:v>63480</c:v>
                </c:pt>
              </c:numCache>
            </c:numRef>
          </c:val>
        </c:ser>
        <c:ser>
          <c:idx val="0"/>
          <c:order val="1"/>
          <c:tx>
            <c:strRef>
              <c:f>'Fig 8 Tab 8'!$E$1</c:f>
              <c:strCache>
                <c:ptCount val="1"/>
                <c:pt idx="0">
                  <c:v>2011-12</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Kidney transplantation</c:v>
                </c:pt>
              </c:strCache>
            </c:strRef>
          </c:cat>
          <c:val>
            <c:numRef>
              <c:f>'Fig 8 Tab 8'!$E$2:$E$11</c:f>
              <c:numCache>
                <c:formatCode>#,##0</c:formatCode>
                <c:ptCount val="10"/>
                <c:pt idx="0">
                  <c:v>694640</c:v>
                </c:pt>
                <c:pt idx="1">
                  <c:v>677458</c:v>
                </c:pt>
                <c:pt idx="2">
                  <c:v>477461</c:v>
                </c:pt>
                <c:pt idx="3">
                  <c:v>231064</c:v>
                </c:pt>
                <c:pt idx="4">
                  <c:v>192109</c:v>
                </c:pt>
                <c:pt idx="5">
                  <c:v>153931</c:v>
                </c:pt>
                <c:pt idx="6">
                  <c:v>162098</c:v>
                </c:pt>
                <c:pt idx="7">
                  <c:v>95183</c:v>
                </c:pt>
                <c:pt idx="8">
                  <c:v>95359</c:v>
                </c:pt>
                <c:pt idx="9">
                  <c:v>71922</c:v>
                </c:pt>
              </c:numCache>
            </c:numRef>
          </c:val>
        </c:ser>
        <c:ser>
          <c:idx val="1"/>
          <c:order val="2"/>
          <c:tx>
            <c:strRef>
              <c:f>'Fig 8 Tab 8'!$F$1</c:f>
              <c:strCache>
                <c:ptCount val="1"/>
                <c:pt idx="0">
                  <c:v>2012-13</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Kidney transplantation</c:v>
                </c:pt>
              </c:strCache>
            </c:strRef>
          </c:cat>
          <c:val>
            <c:numRef>
              <c:f>'Fig 8 Tab 8'!$F$2:$F$11</c:f>
              <c:numCache>
                <c:formatCode>#,##0</c:formatCode>
                <c:ptCount val="10"/>
                <c:pt idx="0">
                  <c:v>771071</c:v>
                </c:pt>
                <c:pt idx="1">
                  <c:v>758271</c:v>
                </c:pt>
                <c:pt idx="2">
                  <c:v>509364</c:v>
                </c:pt>
                <c:pt idx="3">
                  <c:v>257966</c:v>
                </c:pt>
                <c:pt idx="4">
                  <c:v>209791</c:v>
                </c:pt>
                <c:pt idx="5">
                  <c:v>188362</c:v>
                </c:pt>
                <c:pt idx="6">
                  <c:v>178738</c:v>
                </c:pt>
                <c:pt idx="7">
                  <c:v>106484</c:v>
                </c:pt>
                <c:pt idx="8">
                  <c:v>104360</c:v>
                </c:pt>
                <c:pt idx="9">
                  <c:v>84931</c:v>
                </c:pt>
              </c:numCache>
            </c:numRef>
          </c:val>
        </c:ser>
        <c:ser>
          <c:idx val="2"/>
          <c:order val="3"/>
          <c:tx>
            <c:strRef>
              <c:f>'Fig 8 Tab 8'!$G$1</c:f>
              <c:strCache>
                <c:ptCount val="1"/>
                <c:pt idx="0">
                  <c:v>2013-14</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Kidney transplantation</c:v>
                </c:pt>
              </c:strCache>
            </c:strRef>
          </c:cat>
          <c:val>
            <c:numRef>
              <c:f>'Fig 8 Tab 8'!$G$2:$G$11</c:f>
              <c:numCache>
                <c:formatCode>#,##0</c:formatCode>
                <c:ptCount val="10"/>
                <c:pt idx="0">
                  <c:v>862898</c:v>
                </c:pt>
                <c:pt idx="1">
                  <c:v>857533</c:v>
                </c:pt>
                <c:pt idx="2">
                  <c:v>558617</c:v>
                </c:pt>
                <c:pt idx="3">
                  <c:v>313940</c:v>
                </c:pt>
                <c:pt idx="4">
                  <c:v>239314</c:v>
                </c:pt>
                <c:pt idx="5">
                  <c:v>230473</c:v>
                </c:pt>
                <c:pt idx="6">
                  <c:v>186640</c:v>
                </c:pt>
                <c:pt idx="7">
                  <c:v>110024</c:v>
                </c:pt>
                <c:pt idx="8">
                  <c:v>108929</c:v>
                </c:pt>
                <c:pt idx="9">
                  <c:v>97070</c:v>
                </c:pt>
              </c:numCache>
            </c:numRef>
          </c:val>
        </c:ser>
        <c:ser>
          <c:idx val="3"/>
          <c:order val="4"/>
          <c:tx>
            <c:strRef>
              <c:f>'Fig 8 Tab 8'!$H$1</c:f>
              <c:strCache>
                <c:ptCount val="1"/>
                <c:pt idx="0">
                  <c:v>2014-15</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Kidney transplantation</c:v>
                </c:pt>
              </c:strCache>
            </c:strRef>
          </c:cat>
          <c:val>
            <c:numRef>
              <c:f>'Fig 8 Tab 8'!$H$2:$H$11</c:f>
              <c:numCache>
                <c:formatCode>#,##0</c:formatCode>
                <c:ptCount val="10"/>
                <c:pt idx="0">
                  <c:v>982773</c:v>
                </c:pt>
                <c:pt idx="1">
                  <c:v>974258</c:v>
                </c:pt>
                <c:pt idx="2">
                  <c:v>614781</c:v>
                </c:pt>
                <c:pt idx="3">
                  <c:v>348336</c:v>
                </c:pt>
                <c:pt idx="4">
                  <c:v>256041</c:v>
                </c:pt>
                <c:pt idx="5">
                  <c:v>249229</c:v>
                </c:pt>
                <c:pt idx="6">
                  <c:v>187621</c:v>
                </c:pt>
                <c:pt idx="7">
                  <c:v>126561</c:v>
                </c:pt>
                <c:pt idx="8">
                  <c:v>105567</c:v>
                </c:pt>
                <c:pt idx="9">
                  <c:v>90031</c:v>
                </c:pt>
              </c:numCache>
            </c:numRef>
          </c:val>
        </c:ser>
        <c:dLbls>
          <c:showLegendKey val="0"/>
          <c:showVal val="0"/>
          <c:showCatName val="0"/>
          <c:showSerName val="0"/>
          <c:showPercent val="0"/>
          <c:showBubbleSize val="0"/>
        </c:dLbls>
        <c:gapWidth val="150"/>
        <c:axId val="150375424"/>
        <c:axId val="150377216"/>
      </c:barChart>
      <c:catAx>
        <c:axId val="150375424"/>
        <c:scaling>
          <c:orientation val="minMax"/>
        </c:scaling>
        <c:delete val="0"/>
        <c:axPos val="b"/>
        <c:majorTickMark val="out"/>
        <c:minorTickMark val="none"/>
        <c:tickLblPos val="nextTo"/>
        <c:txPr>
          <a:bodyPr rot="-5400000" vert="horz"/>
          <a:lstStyle/>
          <a:p>
            <a:pPr>
              <a:defRPr/>
            </a:pPr>
            <a:endParaRPr lang="en-US"/>
          </a:p>
        </c:txPr>
        <c:crossAx val="150377216"/>
        <c:crosses val="autoZero"/>
        <c:auto val="1"/>
        <c:lblAlgn val="ctr"/>
        <c:lblOffset val="100"/>
        <c:noMultiLvlLbl val="0"/>
      </c:catAx>
      <c:valAx>
        <c:axId val="150377216"/>
        <c:scaling>
          <c:orientation val="minMax"/>
        </c:scaling>
        <c:delete val="0"/>
        <c:axPos val="l"/>
        <c:majorGridlines/>
        <c:title>
          <c:tx>
            <c:rich>
              <a:bodyPr rot="-5400000" vert="horz"/>
              <a:lstStyle/>
              <a:p>
                <a:pPr>
                  <a:defRPr/>
                </a:pPr>
                <a:r>
                  <a:rPr lang="en-AU"/>
                  <a:t>Ig Grams issued</a:t>
                </a:r>
              </a:p>
            </c:rich>
          </c:tx>
          <c:layout/>
          <c:overlay val="0"/>
        </c:title>
        <c:numFmt formatCode="#,##0" sourceLinked="0"/>
        <c:majorTickMark val="out"/>
        <c:minorTickMark val="none"/>
        <c:tickLblPos val="nextTo"/>
        <c:crossAx val="150375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9'!$A$2</c:f>
              <c:strCache>
                <c:ptCount val="1"/>
                <c:pt idx="0">
                  <c:v>Acquired hypogammaglobulinaemia secondary to haematological malignancies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9'!$B$2:$J$2</c:f>
              <c:numCache>
                <c:formatCode>0.00%</c:formatCode>
                <c:ptCount val="9"/>
                <c:pt idx="0">
                  <c:v>0.21340000000000001</c:v>
                </c:pt>
                <c:pt idx="1">
                  <c:v>0.1976</c:v>
                </c:pt>
                <c:pt idx="2">
                  <c:v>0.27979999999999999</c:v>
                </c:pt>
                <c:pt idx="3">
                  <c:v>9.2600000000000002E-2</c:v>
                </c:pt>
                <c:pt idx="4">
                  <c:v>0.19059999999999999</c:v>
                </c:pt>
                <c:pt idx="5">
                  <c:v>0.32529999999999998</c:v>
                </c:pt>
                <c:pt idx="6">
                  <c:v>0.19</c:v>
                </c:pt>
                <c:pt idx="7">
                  <c:v>9.98E-2</c:v>
                </c:pt>
                <c:pt idx="8">
                  <c:v>0.22040000000000001</c:v>
                </c:pt>
              </c:numCache>
            </c:numRef>
          </c:val>
        </c:ser>
        <c:ser>
          <c:idx val="1"/>
          <c:order val="1"/>
          <c:tx>
            <c:strRef>
              <c:f>'Fig 9'!$A$3</c:f>
              <c:strCache>
                <c:ptCount val="1"/>
                <c:pt idx="0">
                  <c:v>Chronic inflammatory demyelinating polyneuropathy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9'!$B$3:$J$3</c:f>
              <c:numCache>
                <c:formatCode>0.00%</c:formatCode>
                <c:ptCount val="9"/>
                <c:pt idx="0">
                  <c:v>0.21240000000000001</c:v>
                </c:pt>
                <c:pt idx="1">
                  <c:v>0.23019999999999999</c:v>
                </c:pt>
                <c:pt idx="2">
                  <c:v>0.2094</c:v>
                </c:pt>
                <c:pt idx="3">
                  <c:v>0.35499999999999998</c:v>
                </c:pt>
                <c:pt idx="4">
                  <c:v>0.1628</c:v>
                </c:pt>
                <c:pt idx="5">
                  <c:v>0.19259999999999999</c:v>
                </c:pt>
                <c:pt idx="6">
                  <c:v>9.8599999999999993E-2</c:v>
                </c:pt>
                <c:pt idx="7">
                  <c:v>0.1565</c:v>
                </c:pt>
                <c:pt idx="8">
                  <c:v>0.2185</c:v>
                </c:pt>
              </c:numCache>
            </c:numRef>
          </c:val>
        </c:ser>
        <c:ser>
          <c:idx val="3"/>
          <c:order val="2"/>
          <c:tx>
            <c:strRef>
              <c:f>'Fig 9'!$A$4</c:f>
              <c:strCache>
                <c:ptCount val="1"/>
                <c:pt idx="0">
                  <c:v>Primary immunodeficiency diseases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9'!$B$4:$J$4</c:f>
              <c:numCache>
                <c:formatCode>0.00%</c:formatCode>
                <c:ptCount val="9"/>
                <c:pt idx="0">
                  <c:v>0.17480000000000001</c:v>
                </c:pt>
                <c:pt idx="1">
                  <c:v>0.1195</c:v>
                </c:pt>
                <c:pt idx="2">
                  <c:v>0.1036</c:v>
                </c:pt>
                <c:pt idx="3">
                  <c:v>0.11700000000000001</c:v>
                </c:pt>
                <c:pt idx="4">
                  <c:v>0.15409999999999999</c:v>
                </c:pt>
                <c:pt idx="5">
                  <c:v>7.3200000000000001E-2</c:v>
                </c:pt>
                <c:pt idx="6">
                  <c:v>0.2445</c:v>
                </c:pt>
                <c:pt idx="7">
                  <c:v>0.1366</c:v>
                </c:pt>
                <c:pt idx="8">
                  <c:v>0.13789999999999999</c:v>
                </c:pt>
              </c:numCache>
            </c:numRef>
          </c:val>
        </c:ser>
        <c:ser>
          <c:idx val="4"/>
          <c:order val="3"/>
          <c:tx>
            <c:strRef>
              <c:f>'Fig 9'!$A$5</c:f>
              <c:strCache>
                <c:ptCount val="1"/>
                <c:pt idx="0">
                  <c:v>Myasthenia gravis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9'!$B$5:$J$5</c:f>
              <c:numCache>
                <c:formatCode>0.00%</c:formatCode>
                <c:ptCount val="9"/>
                <c:pt idx="0">
                  <c:v>7.4399999999999994E-2</c:v>
                </c:pt>
                <c:pt idx="1">
                  <c:v>9.2499999999999999E-2</c:v>
                </c:pt>
                <c:pt idx="2">
                  <c:v>8.5999999999999993E-2</c:v>
                </c:pt>
                <c:pt idx="3">
                  <c:v>7.7899999999999997E-2</c:v>
                </c:pt>
                <c:pt idx="4">
                  <c:v>2.4E-2</c:v>
                </c:pt>
                <c:pt idx="5">
                  <c:v>4.3400000000000001E-2</c:v>
                </c:pt>
                <c:pt idx="6">
                  <c:v>8.3299999999999999E-2</c:v>
                </c:pt>
                <c:pt idx="8">
                  <c:v>7.8100000000000003E-2</c:v>
                </c:pt>
              </c:numCache>
            </c:numRef>
          </c:val>
        </c:ser>
        <c:ser>
          <c:idx val="5"/>
          <c:order val="4"/>
          <c:tx>
            <c:strRef>
              <c:f>'Fig 9'!$A$6</c:f>
              <c:strCache>
                <c:ptCount val="1"/>
                <c:pt idx="0">
                  <c:v>Multifocal motor 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9'!$B$6:$J$6</c:f>
              <c:numCache>
                <c:formatCode>0.00%</c:formatCode>
                <c:ptCount val="9"/>
                <c:pt idx="0">
                  <c:v>5.96E-2</c:v>
                </c:pt>
                <c:pt idx="1">
                  <c:v>5.04E-2</c:v>
                </c:pt>
                <c:pt idx="2">
                  <c:v>3.5200000000000002E-2</c:v>
                </c:pt>
                <c:pt idx="3">
                  <c:v>0.1014</c:v>
                </c:pt>
                <c:pt idx="4">
                  <c:v>0.10829999999999999</c:v>
                </c:pt>
                <c:pt idx="5">
                  <c:v>4.6100000000000002E-2</c:v>
                </c:pt>
                <c:pt idx="6">
                  <c:v>6.9199999999999998E-2</c:v>
                </c:pt>
                <c:pt idx="7">
                  <c:v>0.36859999999999998</c:v>
                </c:pt>
                <c:pt idx="8">
                  <c:v>5.74E-2</c:v>
                </c:pt>
              </c:numCache>
            </c:numRef>
          </c:val>
        </c:ser>
        <c:ser>
          <c:idx val="6"/>
          <c:order val="5"/>
          <c:tx>
            <c:strRef>
              <c:f>'Fig 9'!$A$7</c:f>
              <c:strCache>
                <c:ptCount val="1"/>
                <c:pt idx="0">
                  <c:v>Inflammatory myopathies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9'!$B$7:$J$7</c:f>
              <c:numCache>
                <c:formatCode>0.00%</c:formatCode>
                <c:ptCount val="9"/>
                <c:pt idx="0">
                  <c:v>5.8099999999999999E-2</c:v>
                </c:pt>
                <c:pt idx="1">
                  <c:v>5.5599999999999997E-2</c:v>
                </c:pt>
                <c:pt idx="2">
                  <c:v>5.57E-2</c:v>
                </c:pt>
                <c:pt idx="3">
                  <c:v>2.6100000000000002E-2</c:v>
                </c:pt>
                <c:pt idx="4">
                  <c:v>8.4599999999999995E-2</c:v>
                </c:pt>
                <c:pt idx="5">
                  <c:v>4.3700000000000003E-2</c:v>
                </c:pt>
                <c:pt idx="6">
                  <c:v>5.6000000000000001E-2</c:v>
                </c:pt>
                <c:pt idx="7">
                  <c:v>0.02</c:v>
                </c:pt>
                <c:pt idx="8">
                  <c:v>5.5899999999999998E-2</c:v>
                </c:pt>
              </c:numCache>
            </c:numRef>
          </c:val>
        </c:ser>
        <c:ser>
          <c:idx val="7"/>
          <c:order val="6"/>
          <c:tx>
            <c:strRef>
              <c:f>'Fig 9'!$A$8</c:f>
              <c:strCache>
                <c:ptCount val="1"/>
                <c:pt idx="0">
                  <c:v>ITP in adults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9'!$B$8:$J$8</c:f>
              <c:numCache>
                <c:formatCode>0.00%</c:formatCode>
                <c:ptCount val="9"/>
                <c:pt idx="0">
                  <c:v>3.7900000000000003E-2</c:v>
                </c:pt>
                <c:pt idx="1">
                  <c:v>4.1500000000000002E-2</c:v>
                </c:pt>
                <c:pt idx="2">
                  <c:v>4.6100000000000002E-2</c:v>
                </c:pt>
                <c:pt idx="3">
                  <c:v>3.3799999999999997E-2</c:v>
                </c:pt>
                <c:pt idx="4">
                  <c:v>7.4999999999999997E-2</c:v>
                </c:pt>
                <c:pt idx="5">
                  <c:v>3.4799999999999998E-2</c:v>
                </c:pt>
                <c:pt idx="6">
                  <c:v>9.7000000000000003E-3</c:v>
                </c:pt>
                <c:pt idx="7">
                  <c:v>4.5600000000000002E-2</c:v>
                </c:pt>
                <c:pt idx="8">
                  <c:v>4.2099999999999999E-2</c:v>
                </c:pt>
              </c:numCache>
            </c:numRef>
          </c:val>
        </c:ser>
        <c:ser>
          <c:idx val="8"/>
          <c:order val="7"/>
          <c:tx>
            <c:strRef>
              <c:f>'Fig 9'!$A$9</c:f>
              <c:strCache>
                <c:ptCount val="1"/>
                <c:pt idx="0">
                  <c:v>Secondary hypogammaglobulinaemia</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9'!$B$9:$J$9</c:f>
              <c:numCache>
                <c:formatCode>0.00%</c:formatCode>
                <c:ptCount val="9"/>
                <c:pt idx="0">
                  <c:v>3.2099999999999997E-2</c:v>
                </c:pt>
                <c:pt idx="1">
                  <c:v>1.8599999999999998E-2</c:v>
                </c:pt>
                <c:pt idx="2">
                  <c:v>3.7699999999999997E-2</c:v>
                </c:pt>
                <c:pt idx="3">
                  <c:v>1.44E-2</c:v>
                </c:pt>
                <c:pt idx="4">
                  <c:v>1.2500000000000001E-2</c:v>
                </c:pt>
                <c:pt idx="5">
                  <c:v>5.62E-2</c:v>
                </c:pt>
                <c:pt idx="6">
                  <c:v>7.6E-3</c:v>
                </c:pt>
                <c:pt idx="7">
                  <c:v>1.18E-2</c:v>
                </c:pt>
                <c:pt idx="8">
                  <c:v>2.8400000000000002E-2</c:v>
                </c:pt>
              </c:numCache>
            </c:numRef>
          </c:val>
        </c:ser>
        <c:ser>
          <c:idx val="9"/>
          <c:order val="8"/>
          <c:tx>
            <c:strRef>
              <c:f>'Fig 9'!$A$10</c:f>
              <c:strCache>
                <c:ptCount val="1"/>
                <c:pt idx="0">
                  <c:v>Guillain-Barre syndrome</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9'!$B$10:$J$10</c:f>
              <c:numCache>
                <c:formatCode>0.00%</c:formatCode>
                <c:ptCount val="9"/>
                <c:pt idx="0">
                  <c:v>2.1299999999999999E-2</c:v>
                </c:pt>
                <c:pt idx="1">
                  <c:v>2.9399999999999999E-2</c:v>
                </c:pt>
                <c:pt idx="2">
                  <c:v>2.1399999999999999E-2</c:v>
                </c:pt>
                <c:pt idx="3">
                  <c:v>2.7400000000000001E-2</c:v>
                </c:pt>
                <c:pt idx="4">
                  <c:v>2.1399999999999999E-2</c:v>
                </c:pt>
                <c:pt idx="5">
                  <c:v>2.24E-2</c:v>
                </c:pt>
                <c:pt idx="6">
                  <c:v>1.8599999999999998E-2</c:v>
                </c:pt>
                <c:pt idx="7">
                  <c:v>7.0800000000000002E-2</c:v>
                </c:pt>
                <c:pt idx="8">
                  <c:v>2.3699999999999999E-2</c:v>
                </c:pt>
              </c:numCache>
            </c:numRef>
          </c:val>
        </c:ser>
        <c:ser>
          <c:idx val="10"/>
          <c:order val="9"/>
          <c:tx>
            <c:strRef>
              <c:f>'Fig 9'!$A$11</c:f>
              <c:strCache>
                <c:ptCount val="1"/>
                <c:pt idx="0">
                  <c:v>Kidney transplantation</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9'!$B$11:$J$11</c:f>
              <c:numCache>
                <c:formatCode>0.00%</c:formatCode>
                <c:ptCount val="9"/>
                <c:pt idx="0">
                  <c:v>7.4999999999999997E-3</c:v>
                </c:pt>
                <c:pt idx="1">
                  <c:v>5.1999999999999998E-2</c:v>
                </c:pt>
                <c:pt idx="2">
                  <c:v>1.54E-2</c:v>
                </c:pt>
                <c:pt idx="3">
                  <c:v>1.03E-2</c:v>
                </c:pt>
                <c:pt idx="4">
                  <c:v>7.0000000000000001E-3</c:v>
                </c:pt>
                <c:pt idx="5">
                  <c:v>3.5299999999999998E-2</c:v>
                </c:pt>
                <c:pt idx="6">
                  <c:v>2.2000000000000001E-3</c:v>
                </c:pt>
                <c:pt idx="7">
                  <c:v>1.1000000000000001E-3</c:v>
                </c:pt>
                <c:pt idx="8">
                  <c:v>2.0199999999999999E-2</c:v>
                </c:pt>
              </c:numCache>
            </c:numRef>
          </c:val>
        </c:ser>
        <c:dLbls>
          <c:showLegendKey val="0"/>
          <c:showVal val="0"/>
          <c:showCatName val="0"/>
          <c:showSerName val="0"/>
          <c:showPercent val="0"/>
          <c:showBubbleSize val="0"/>
        </c:dLbls>
        <c:gapWidth val="55"/>
        <c:overlap val="100"/>
        <c:axId val="150678912"/>
        <c:axId val="150689280"/>
      </c:barChart>
      <c:catAx>
        <c:axId val="150678912"/>
        <c:scaling>
          <c:orientation val="minMax"/>
        </c:scaling>
        <c:delete val="0"/>
        <c:axPos val="b"/>
        <c:title>
          <c:tx>
            <c:rich>
              <a:bodyPr/>
              <a:lstStyle/>
              <a:p>
                <a:pPr>
                  <a:defRPr/>
                </a:pPr>
                <a:r>
                  <a:rPr lang="en-AU"/>
                  <a:t>State</a:t>
                </a:r>
              </a:p>
            </c:rich>
          </c:tx>
          <c:layout/>
          <c:overlay val="0"/>
        </c:title>
        <c:majorTickMark val="none"/>
        <c:minorTickMark val="none"/>
        <c:tickLblPos val="nextTo"/>
        <c:crossAx val="150689280"/>
        <c:crosses val="autoZero"/>
        <c:auto val="1"/>
        <c:lblAlgn val="ctr"/>
        <c:lblOffset val="100"/>
        <c:noMultiLvlLbl val="0"/>
      </c:catAx>
      <c:valAx>
        <c:axId val="150689280"/>
        <c:scaling>
          <c:orientation val="minMax"/>
        </c:scaling>
        <c:delete val="0"/>
        <c:axPos val="l"/>
        <c:majorGridlines/>
        <c:numFmt formatCode="0%" sourceLinked="0"/>
        <c:majorTickMark val="none"/>
        <c:minorTickMark val="none"/>
        <c:tickLblPos val="nextTo"/>
        <c:crossAx val="150678912"/>
        <c:crosses val="autoZero"/>
        <c:crossBetween val="between"/>
      </c:valAx>
    </c:plotArea>
    <c:legend>
      <c:legendPos val="r"/>
      <c:layout>
        <c:manualLayout>
          <c:xMode val="edge"/>
          <c:yMode val="edge"/>
          <c:x val="0.66342083380385797"/>
          <c:y val="5.7892224137016446E-2"/>
          <c:w val="0.32614891847775873"/>
          <c:h val="0.88853403988786894"/>
        </c:manualLayout>
      </c:layout>
      <c:overlay val="0"/>
      <c:txPr>
        <a:bodyPr/>
        <a:lstStyle/>
        <a:p>
          <a:pPr>
            <a:defRPr sz="9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3AD9-7915-42EC-9438-D1507454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65</Pages>
  <Words>17406</Words>
  <Characters>91383</Characters>
  <Application>Microsoft Office Word</Application>
  <DocSecurity>0</DocSecurity>
  <Lines>13054</Lines>
  <Paragraphs>4944</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103845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Peters, Allison</cp:lastModifiedBy>
  <cp:revision>28</cp:revision>
  <cp:lastPrinted>2017-01-09T02:10:00Z</cp:lastPrinted>
  <dcterms:created xsi:type="dcterms:W3CDTF">2016-07-09T07:23:00Z</dcterms:created>
  <dcterms:modified xsi:type="dcterms:W3CDTF">2017-09-20T00:24:00Z</dcterms:modified>
</cp:coreProperties>
</file>