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D0" w:rsidRPr="00602D0A" w:rsidRDefault="00A10DA3" w:rsidP="00602D0A">
      <w:pPr>
        <w:pStyle w:val="Heading1"/>
        <w:spacing w:before="840" w:line="580" w:lineRule="exact"/>
        <w:rPr>
          <w:sz w:val="56"/>
          <w:szCs w:val="56"/>
          <w:lang w:eastAsia="en-AU"/>
        </w:rPr>
      </w:pPr>
      <w:bookmarkStart w:id="0" w:name="_GoBack"/>
      <w:bookmarkEnd w:id="0"/>
      <w:r>
        <w:rPr>
          <w:sz w:val="56"/>
          <w:szCs w:val="56"/>
          <w:lang w:eastAsia="en-AU"/>
        </w:rPr>
        <w:t>Australian Haemovigilance Report 2013</w:t>
      </w:r>
    </w:p>
    <w:p w:rsidR="00AD02D0" w:rsidRPr="00DF013B" w:rsidRDefault="00AD02D0" w:rsidP="00DF013B">
      <w:pPr>
        <w:rPr>
          <w:lang w:eastAsia="en-AU"/>
        </w:rPr>
      </w:pPr>
      <w:bookmarkStart w:id="1" w:name="_top"/>
      <w:bookmarkStart w:id="2" w:name="_Toc204662450"/>
      <w:bookmarkStart w:id="3" w:name="_Toc215398451"/>
      <w:bookmarkStart w:id="4" w:name="_Toc275414986"/>
      <w:bookmarkEnd w:id="1"/>
      <w:bookmarkEnd w:id="2"/>
      <w:bookmarkEnd w:id="3"/>
      <w:bookmarkEnd w:id="4"/>
    </w:p>
    <w:p w:rsidR="00A10DA3" w:rsidRPr="00DF013B" w:rsidRDefault="00A10DA3">
      <w:pPr>
        <w:rPr>
          <w:rFonts w:asciiTheme="minorHAnsi" w:hAnsiTheme="minorHAnsi" w:cstheme="minorHAnsi"/>
          <w:b/>
        </w:rPr>
      </w:pPr>
      <w:bookmarkStart w:id="5" w:name="_Toc220831192"/>
      <w:bookmarkStart w:id="6" w:name="_Toc217667001"/>
      <w:bookmarkStart w:id="7" w:name="_Toc215398453"/>
      <w:bookmarkStart w:id="8" w:name="_Toc204662451"/>
      <w:bookmarkStart w:id="9" w:name="_Toc223274098"/>
      <w:bookmarkStart w:id="10" w:name="_Toc224110038"/>
      <w:bookmarkStart w:id="11" w:name="_Toc224629639"/>
      <w:bookmarkStart w:id="12" w:name="_Toc275414987"/>
      <w:bookmarkEnd w:id="5"/>
      <w:bookmarkEnd w:id="6"/>
      <w:bookmarkEnd w:id="7"/>
      <w:bookmarkEnd w:id="8"/>
      <w:bookmarkEnd w:id="9"/>
      <w:bookmarkEnd w:id="10"/>
      <w:bookmarkEnd w:id="11"/>
      <w:bookmarkEnd w:id="12"/>
      <w:r w:rsidRPr="00DF013B">
        <w:rPr>
          <w:rFonts w:asciiTheme="minorHAnsi" w:hAnsiTheme="minorHAnsi" w:cstheme="minorHAnsi"/>
          <w:b/>
        </w:rPr>
        <w:t>1</w:t>
      </w:r>
      <w:r w:rsidRPr="00DF013B">
        <w:rPr>
          <w:rFonts w:asciiTheme="minorHAnsi" w:hAnsiTheme="minorHAnsi" w:cstheme="minorHAnsi"/>
          <w:b/>
        </w:rPr>
        <w:tab/>
        <w:t>What is the purpose for the Australian Haemovigilance Report 2013?</w:t>
      </w:r>
    </w:p>
    <w:p w:rsidR="00A10DA3" w:rsidRPr="00DF013B" w:rsidRDefault="00A10DA3" w:rsidP="00DF013B">
      <w:pPr>
        <w:rPr>
          <w:rFonts w:asciiTheme="minorHAnsi" w:hAnsiTheme="minorHAnsi" w:cstheme="minorHAnsi"/>
        </w:rPr>
      </w:pPr>
      <w:r w:rsidRPr="00DF013B">
        <w:rPr>
          <w:rFonts w:asciiTheme="minorHAnsi" w:hAnsiTheme="minorHAnsi" w:cstheme="minorHAnsi"/>
        </w:rPr>
        <w:t xml:space="preserve">The transfusion of fresh blood products is not without risk and can lead to complications. The 2013 </w:t>
      </w:r>
      <w:r w:rsidR="008F45DB">
        <w:rPr>
          <w:rFonts w:asciiTheme="minorHAnsi" w:hAnsiTheme="minorHAnsi" w:cstheme="minorHAnsi"/>
        </w:rPr>
        <w:t xml:space="preserve">Australian Haemovigilance </w:t>
      </w:r>
      <w:r w:rsidRPr="00DF013B">
        <w:rPr>
          <w:rFonts w:asciiTheme="minorHAnsi" w:hAnsiTheme="minorHAnsi" w:cstheme="minorHAnsi"/>
        </w:rPr>
        <w:t xml:space="preserve">Report </w:t>
      </w:r>
      <w:r w:rsidR="008F45DB">
        <w:rPr>
          <w:rFonts w:asciiTheme="minorHAnsi" w:hAnsiTheme="minorHAnsi" w:cstheme="minorHAnsi"/>
        </w:rPr>
        <w:t>provides</w:t>
      </w:r>
      <w:r w:rsidR="008F45DB" w:rsidRPr="00DF013B">
        <w:rPr>
          <w:rFonts w:asciiTheme="minorHAnsi" w:hAnsiTheme="minorHAnsi" w:cstheme="minorHAnsi"/>
        </w:rPr>
        <w:t xml:space="preserve"> </w:t>
      </w:r>
      <w:r w:rsidRPr="00DF013B">
        <w:rPr>
          <w:rFonts w:asciiTheme="minorHAnsi" w:hAnsiTheme="minorHAnsi" w:cstheme="minorHAnsi"/>
        </w:rPr>
        <w:t>details o</w:t>
      </w:r>
      <w:r w:rsidR="008F45DB">
        <w:rPr>
          <w:rFonts w:asciiTheme="minorHAnsi" w:hAnsiTheme="minorHAnsi" w:cstheme="minorHAnsi"/>
        </w:rPr>
        <w:t>f</w:t>
      </w:r>
      <w:r w:rsidRPr="00DF013B">
        <w:rPr>
          <w:rFonts w:asciiTheme="minorHAnsi" w:hAnsiTheme="minorHAnsi" w:cstheme="minorHAnsi"/>
        </w:rPr>
        <w:t xml:space="preserve"> the nature and extent of transfusion errors and reactions that occurred in Australian hospitals in 2009-10 and 2010-11.</w:t>
      </w:r>
    </w:p>
    <w:p w:rsidR="00A10DA3" w:rsidRPr="00DF013B" w:rsidRDefault="00A10DA3" w:rsidP="00DF013B">
      <w:pPr>
        <w:rPr>
          <w:rFonts w:asciiTheme="minorHAnsi" w:hAnsiTheme="minorHAnsi" w:cstheme="minorHAnsi"/>
        </w:rPr>
      </w:pPr>
      <w:r w:rsidRPr="00DF013B">
        <w:rPr>
          <w:rFonts w:asciiTheme="minorHAnsi" w:hAnsiTheme="minorHAnsi" w:cstheme="minorHAnsi"/>
        </w:rPr>
        <w:t xml:space="preserve">The report includes validated data from jurisdictional haemovigilance programs including </w:t>
      </w:r>
      <w:proofErr w:type="spellStart"/>
      <w:r w:rsidRPr="00DF013B">
        <w:rPr>
          <w:rFonts w:asciiTheme="minorHAnsi" w:hAnsiTheme="minorHAnsi" w:cstheme="minorHAnsi"/>
        </w:rPr>
        <w:t>BloodSafe</w:t>
      </w:r>
      <w:proofErr w:type="spellEnd"/>
      <w:r w:rsidRPr="00DF013B">
        <w:rPr>
          <w:rFonts w:asciiTheme="minorHAnsi" w:hAnsiTheme="minorHAnsi" w:cstheme="minorHAnsi"/>
        </w:rPr>
        <w:t xml:space="preserve"> in South Australia, the Queensland incidents in Transfusion program and the Victorian Blood Matters - Better Safer Transfusion Program and the Serious Transfusion Incident Reporting (STIR) program. STIR also supports haemovigilance in Tasmania, the ACT and Northern Territory. Limited data has been included from the NSW Blood Watch program.</w:t>
      </w:r>
    </w:p>
    <w:p w:rsidR="00A10DA3" w:rsidRPr="00DF013B" w:rsidRDefault="00A10DA3">
      <w:pPr>
        <w:rPr>
          <w:rFonts w:asciiTheme="minorHAnsi" w:hAnsiTheme="minorHAnsi" w:cstheme="minorHAnsi"/>
          <w:b/>
        </w:rPr>
      </w:pPr>
      <w:r w:rsidRPr="00DF013B">
        <w:rPr>
          <w:rFonts w:asciiTheme="minorHAnsi" w:hAnsiTheme="minorHAnsi" w:cstheme="minorHAnsi"/>
          <w:b/>
        </w:rPr>
        <w:t>2</w:t>
      </w:r>
      <w:r w:rsidRPr="00DF013B">
        <w:rPr>
          <w:rFonts w:asciiTheme="minorHAnsi" w:hAnsiTheme="minorHAnsi" w:cstheme="minorHAnsi"/>
          <w:b/>
        </w:rPr>
        <w:tab/>
        <w:t>Are Australian blood products safe?</w:t>
      </w:r>
    </w:p>
    <w:p w:rsidR="00A10DA3" w:rsidRPr="00DF013B" w:rsidRDefault="00A10DA3">
      <w:pPr>
        <w:rPr>
          <w:rFonts w:asciiTheme="minorHAnsi" w:hAnsiTheme="minorHAnsi" w:cstheme="minorHAnsi"/>
        </w:rPr>
      </w:pPr>
      <w:r w:rsidRPr="00DF013B">
        <w:rPr>
          <w:rFonts w:asciiTheme="minorHAnsi" w:hAnsiTheme="minorHAnsi" w:cstheme="minorHAnsi"/>
        </w:rPr>
        <w:t>Australian blood products are very safe by world standards. There are comprehensive national regulations and governance covering all aspects of blood donation and processing. Regulation occurs through the Therapeutic Goods Administration (TGA).</w:t>
      </w:r>
    </w:p>
    <w:p w:rsidR="00A10DA3" w:rsidRPr="00DF013B" w:rsidRDefault="00A10DA3">
      <w:pPr>
        <w:rPr>
          <w:rFonts w:asciiTheme="minorHAnsi" w:hAnsiTheme="minorHAnsi" w:cstheme="minorHAnsi"/>
        </w:rPr>
      </w:pPr>
      <w:r w:rsidRPr="00DF013B">
        <w:rPr>
          <w:rFonts w:asciiTheme="minorHAnsi" w:hAnsiTheme="minorHAnsi" w:cstheme="minorHAnsi"/>
        </w:rPr>
        <w:t>Potential blood donors are carefully screened, and blood is tested for a number of infectious agents including Human Immunodeficiency Virus (HIV), Human T-</w:t>
      </w:r>
      <w:proofErr w:type="spellStart"/>
      <w:r w:rsidRPr="00DF013B">
        <w:rPr>
          <w:rFonts w:asciiTheme="minorHAnsi" w:hAnsiTheme="minorHAnsi" w:cstheme="minorHAnsi"/>
        </w:rPr>
        <w:t>lymphotropic</w:t>
      </w:r>
      <w:proofErr w:type="spellEnd"/>
      <w:r w:rsidRPr="00DF013B">
        <w:rPr>
          <w:rFonts w:asciiTheme="minorHAnsi" w:hAnsiTheme="minorHAnsi" w:cstheme="minorHAnsi"/>
        </w:rPr>
        <w:t xml:space="preserve"> Virus’ I &amp; II (</w:t>
      </w:r>
      <w:proofErr w:type="spellStart"/>
      <w:r w:rsidRPr="00DF013B">
        <w:rPr>
          <w:rFonts w:asciiTheme="minorHAnsi" w:hAnsiTheme="minorHAnsi" w:cstheme="minorHAnsi"/>
        </w:rPr>
        <w:t>HTLV</w:t>
      </w:r>
      <w:proofErr w:type="spellEnd"/>
      <w:r w:rsidRPr="00DF013B">
        <w:rPr>
          <w:rFonts w:asciiTheme="minorHAnsi" w:hAnsiTheme="minorHAnsi" w:cstheme="minorHAnsi"/>
        </w:rPr>
        <w:t xml:space="preserve"> I &amp; II), Hepatitis B and C, and Syphilis using the most sensitive and selective methodology available. The Australian Red Cross Blood Service (Blood Service) has a rapid recalls process to remove suspect products from circulation.</w:t>
      </w:r>
    </w:p>
    <w:p w:rsidR="00A10DA3" w:rsidRPr="00DF013B" w:rsidRDefault="00A10DA3">
      <w:pPr>
        <w:rPr>
          <w:rFonts w:asciiTheme="minorHAnsi" w:hAnsiTheme="minorHAnsi" w:cstheme="minorHAnsi"/>
        </w:rPr>
      </w:pPr>
      <w:r w:rsidRPr="00DF013B">
        <w:rPr>
          <w:rFonts w:asciiTheme="minorHAnsi" w:hAnsiTheme="minorHAnsi" w:cstheme="minorHAnsi"/>
        </w:rPr>
        <w:t xml:space="preserve">Blood products are stored and delivered to hospitals under </w:t>
      </w:r>
      <w:r w:rsidR="008F45DB">
        <w:rPr>
          <w:rFonts w:asciiTheme="minorHAnsi" w:hAnsiTheme="minorHAnsi" w:cstheme="minorHAnsi"/>
        </w:rPr>
        <w:t>strictly</w:t>
      </w:r>
      <w:r w:rsidR="008F45DB" w:rsidRPr="00DF013B">
        <w:rPr>
          <w:rFonts w:asciiTheme="minorHAnsi" w:hAnsiTheme="minorHAnsi" w:cstheme="minorHAnsi"/>
        </w:rPr>
        <w:t xml:space="preserve"> </w:t>
      </w:r>
      <w:r w:rsidRPr="00DF013B">
        <w:rPr>
          <w:rFonts w:asciiTheme="minorHAnsi" w:hAnsiTheme="minorHAnsi" w:cstheme="minorHAnsi"/>
        </w:rPr>
        <w:t>controlled conditions. Within hospitals and laboratories, blood is also stored and managed under carefully monitored conditions.</w:t>
      </w:r>
    </w:p>
    <w:p w:rsidR="00A10DA3" w:rsidRPr="00DF013B" w:rsidRDefault="00A10DA3">
      <w:pPr>
        <w:rPr>
          <w:rFonts w:asciiTheme="minorHAnsi" w:hAnsiTheme="minorHAnsi" w:cstheme="minorHAnsi"/>
          <w:b/>
        </w:rPr>
      </w:pPr>
      <w:r w:rsidRPr="00DF013B">
        <w:rPr>
          <w:rFonts w:asciiTheme="minorHAnsi" w:hAnsiTheme="minorHAnsi" w:cstheme="minorHAnsi"/>
          <w:b/>
        </w:rPr>
        <w:t>3</w:t>
      </w:r>
      <w:r w:rsidRPr="00DF013B">
        <w:rPr>
          <w:rFonts w:asciiTheme="minorHAnsi" w:hAnsiTheme="minorHAnsi" w:cstheme="minorHAnsi"/>
          <w:b/>
        </w:rPr>
        <w:tab/>
        <w:t>What standards cover blood transfusions in Australia?</w:t>
      </w:r>
    </w:p>
    <w:p w:rsidR="00A10DA3" w:rsidRPr="00DF013B" w:rsidRDefault="00A10DA3">
      <w:pPr>
        <w:rPr>
          <w:rFonts w:asciiTheme="minorHAnsi" w:hAnsiTheme="minorHAnsi" w:cstheme="minorHAnsi"/>
        </w:rPr>
      </w:pPr>
      <w:r w:rsidRPr="00DF013B">
        <w:rPr>
          <w:rFonts w:asciiTheme="minorHAnsi" w:hAnsiTheme="minorHAnsi" w:cstheme="minorHAnsi"/>
        </w:rPr>
        <w:t>Australia has a number of national, state and territory standards governing the entire transfusion chain. All blood components for transfusion in Australia are licenced by the TGA. The TGA also regulates donor selection, blood donation, testing, processing, storage and distribution of blood products in Australia.</w:t>
      </w:r>
    </w:p>
    <w:p w:rsidR="00A10DA3" w:rsidRPr="00DF013B" w:rsidRDefault="00A10DA3" w:rsidP="00DF013B">
      <w:pPr>
        <w:rPr>
          <w:rFonts w:asciiTheme="minorHAnsi" w:hAnsiTheme="minorHAnsi" w:cstheme="minorHAnsi"/>
        </w:rPr>
      </w:pPr>
      <w:r w:rsidRPr="00DF013B">
        <w:rPr>
          <w:rFonts w:asciiTheme="minorHAnsi" w:hAnsiTheme="minorHAnsi" w:cstheme="minorHAnsi"/>
        </w:rPr>
        <w:t>In public and private laboratories, the National Association of Testing Authorities (</w:t>
      </w:r>
      <w:proofErr w:type="spellStart"/>
      <w:r w:rsidRPr="00DF013B">
        <w:rPr>
          <w:rFonts w:asciiTheme="minorHAnsi" w:hAnsiTheme="minorHAnsi" w:cstheme="minorHAnsi"/>
        </w:rPr>
        <w:t>NATA</w:t>
      </w:r>
      <w:proofErr w:type="spellEnd"/>
      <w:r w:rsidRPr="00DF013B">
        <w:rPr>
          <w:rFonts w:asciiTheme="minorHAnsi" w:hAnsiTheme="minorHAnsi" w:cstheme="minorHAnsi"/>
        </w:rPr>
        <w:t>) accredits laboratory practices such as compatibility testing and blood handling to the standards prescribed by the National Pathology Accreditation Advisory Council (</w:t>
      </w:r>
      <w:proofErr w:type="spellStart"/>
      <w:r w:rsidRPr="00DF013B">
        <w:rPr>
          <w:rFonts w:asciiTheme="minorHAnsi" w:hAnsiTheme="minorHAnsi" w:cstheme="minorHAnsi"/>
        </w:rPr>
        <w:t>NPAAC</w:t>
      </w:r>
      <w:proofErr w:type="spellEnd"/>
      <w:r w:rsidRPr="00DF013B">
        <w:rPr>
          <w:rFonts w:asciiTheme="minorHAnsi" w:hAnsiTheme="minorHAnsi" w:cstheme="minorHAnsi"/>
        </w:rPr>
        <w:t>).</w:t>
      </w:r>
    </w:p>
    <w:p w:rsidR="00A10DA3" w:rsidRPr="00DF013B" w:rsidRDefault="00A10DA3" w:rsidP="00DF013B">
      <w:pPr>
        <w:rPr>
          <w:rFonts w:asciiTheme="minorHAnsi" w:hAnsiTheme="minorHAnsi" w:cstheme="minorHAnsi"/>
        </w:rPr>
      </w:pPr>
      <w:r w:rsidRPr="00DF013B">
        <w:rPr>
          <w:rFonts w:asciiTheme="minorHAnsi" w:hAnsiTheme="minorHAnsi" w:cstheme="minorHAnsi"/>
        </w:rPr>
        <w:t>The Royal College of Pathologists of Australasia (</w:t>
      </w:r>
      <w:proofErr w:type="spellStart"/>
      <w:r w:rsidRPr="00DF013B">
        <w:rPr>
          <w:rFonts w:asciiTheme="minorHAnsi" w:hAnsiTheme="minorHAnsi" w:cstheme="minorHAnsi"/>
        </w:rPr>
        <w:t>RCPA</w:t>
      </w:r>
      <w:proofErr w:type="spellEnd"/>
      <w:r w:rsidRPr="00DF013B">
        <w:rPr>
          <w:rFonts w:asciiTheme="minorHAnsi" w:hAnsiTheme="minorHAnsi" w:cstheme="minorHAnsi"/>
        </w:rPr>
        <w:t xml:space="preserve">) certifies the currency of transfusion laboratory procedures through its quality assurance initiatives. </w:t>
      </w:r>
    </w:p>
    <w:p w:rsidR="00A10DA3" w:rsidRPr="00DF013B" w:rsidRDefault="00A10DA3" w:rsidP="00DF013B">
      <w:pPr>
        <w:rPr>
          <w:rFonts w:asciiTheme="minorHAnsi" w:hAnsiTheme="minorHAnsi" w:cstheme="minorHAnsi"/>
          <w:szCs w:val="24"/>
        </w:rPr>
      </w:pPr>
      <w:r w:rsidRPr="00DF013B">
        <w:rPr>
          <w:rFonts w:asciiTheme="minorHAnsi" w:hAnsiTheme="minorHAnsi" w:cstheme="minorHAnsi"/>
          <w:szCs w:val="24"/>
        </w:rPr>
        <w:t>Accreditation to the National Safety and Quality Health Service (</w:t>
      </w:r>
      <w:proofErr w:type="spellStart"/>
      <w:r w:rsidRPr="00DF013B">
        <w:rPr>
          <w:rFonts w:asciiTheme="minorHAnsi" w:hAnsiTheme="minorHAnsi" w:cstheme="minorHAnsi"/>
          <w:szCs w:val="24"/>
        </w:rPr>
        <w:t>NSQHS</w:t>
      </w:r>
      <w:proofErr w:type="spellEnd"/>
      <w:r w:rsidRPr="00DF013B">
        <w:rPr>
          <w:rFonts w:asciiTheme="minorHAnsi" w:hAnsiTheme="minorHAnsi" w:cstheme="minorHAnsi"/>
          <w:szCs w:val="24"/>
        </w:rPr>
        <w:t>) Standards commenced</w:t>
      </w:r>
      <w:r w:rsidR="008F45DB">
        <w:rPr>
          <w:rFonts w:asciiTheme="minorHAnsi" w:hAnsiTheme="minorHAnsi" w:cstheme="minorHAnsi"/>
          <w:szCs w:val="24"/>
        </w:rPr>
        <w:t xml:space="preserve"> on</w:t>
      </w:r>
      <w:r w:rsidRPr="00DF013B">
        <w:rPr>
          <w:rFonts w:asciiTheme="minorHAnsi" w:hAnsiTheme="minorHAnsi" w:cstheme="minorHAnsi"/>
          <w:szCs w:val="24"/>
        </w:rPr>
        <w:t xml:space="preserve"> </w:t>
      </w:r>
      <w:r w:rsidR="008F45DB">
        <w:rPr>
          <w:rFonts w:asciiTheme="minorHAnsi" w:hAnsiTheme="minorHAnsi" w:cstheme="minorHAnsi"/>
          <w:szCs w:val="24"/>
        </w:rPr>
        <w:t>1 </w:t>
      </w:r>
      <w:r w:rsidRPr="00DF013B">
        <w:rPr>
          <w:rFonts w:asciiTheme="minorHAnsi" w:hAnsiTheme="minorHAnsi" w:cstheme="minorHAnsi"/>
          <w:szCs w:val="24"/>
        </w:rPr>
        <w:t xml:space="preserve"> January 2013 in line with each individual health organisation’s current accreditation cycle. </w:t>
      </w:r>
      <w:r w:rsidRPr="00DF013B">
        <w:rPr>
          <w:rFonts w:asciiTheme="minorHAnsi" w:hAnsiTheme="minorHAnsi" w:cstheme="minorHAnsi"/>
          <w:sz w:val="24"/>
          <w:szCs w:val="24"/>
        </w:rPr>
        <w:t>The Standards are considered essential to improving the safety and quality of care for patients. Under the</w:t>
      </w:r>
      <w:r w:rsidRPr="00DF013B">
        <w:rPr>
          <w:rFonts w:asciiTheme="minorHAnsi" w:hAnsiTheme="minorHAnsi" w:cstheme="minorHAnsi"/>
          <w:szCs w:val="24"/>
        </w:rPr>
        <w:t>se</w:t>
      </w:r>
      <w:r w:rsidRPr="00DF013B">
        <w:rPr>
          <w:rFonts w:asciiTheme="minorHAnsi" w:hAnsiTheme="minorHAnsi" w:cstheme="minorHAnsi"/>
          <w:sz w:val="24"/>
          <w:szCs w:val="24"/>
        </w:rPr>
        <w:t xml:space="preserve"> arrangements, health services such as hospitals, day procedure services and public dental clinics </w:t>
      </w:r>
      <w:r w:rsidRPr="00DF013B">
        <w:rPr>
          <w:rFonts w:asciiTheme="minorHAnsi" w:hAnsiTheme="minorHAnsi" w:cstheme="minorHAnsi"/>
          <w:szCs w:val="24"/>
        </w:rPr>
        <w:t xml:space="preserve">are </w:t>
      </w:r>
      <w:r w:rsidRPr="00DF013B">
        <w:rPr>
          <w:rFonts w:asciiTheme="minorHAnsi" w:hAnsiTheme="minorHAnsi" w:cstheme="minorHAnsi"/>
          <w:sz w:val="24"/>
          <w:szCs w:val="24"/>
        </w:rPr>
        <w:t xml:space="preserve">required to be accredited to the </w:t>
      </w:r>
      <w:proofErr w:type="spellStart"/>
      <w:r w:rsidRPr="00DF013B">
        <w:rPr>
          <w:rFonts w:asciiTheme="minorHAnsi" w:hAnsiTheme="minorHAnsi" w:cstheme="minorHAnsi"/>
          <w:sz w:val="24"/>
          <w:szCs w:val="24"/>
        </w:rPr>
        <w:t>NSQHS</w:t>
      </w:r>
      <w:proofErr w:type="spellEnd"/>
      <w:r w:rsidRPr="00DF013B">
        <w:rPr>
          <w:rFonts w:asciiTheme="minorHAnsi" w:hAnsiTheme="minorHAnsi" w:cstheme="minorHAnsi"/>
          <w:sz w:val="24"/>
          <w:szCs w:val="24"/>
        </w:rPr>
        <w:t xml:space="preserve"> Standards. Other health services may choose to use the </w:t>
      </w:r>
      <w:proofErr w:type="spellStart"/>
      <w:r w:rsidRPr="00DF013B">
        <w:rPr>
          <w:rFonts w:asciiTheme="minorHAnsi" w:hAnsiTheme="minorHAnsi" w:cstheme="minorHAnsi"/>
          <w:sz w:val="24"/>
          <w:szCs w:val="24"/>
        </w:rPr>
        <w:t>NSQHS</w:t>
      </w:r>
      <w:proofErr w:type="spellEnd"/>
      <w:r w:rsidRPr="00DF013B">
        <w:rPr>
          <w:rFonts w:asciiTheme="minorHAnsi" w:hAnsiTheme="minorHAnsi" w:cstheme="minorHAnsi"/>
          <w:sz w:val="24"/>
          <w:szCs w:val="24"/>
        </w:rPr>
        <w:t xml:space="preserve"> Standards as part of their internal quality systems.</w:t>
      </w:r>
    </w:p>
    <w:p w:rsidR="00A10DA3" w:rsidRPr="00DF013B" w:rsidRDefault="00A10DA3" w:rsidP="00DF013B">
      <w:pPr>
        <w:rPr>
          <w:rFonts w:asciiTheme="minorHAnsi" w:hAnsiTheme="minorHAnsi" w:cstheme="minorHAnsi"/>
          <w:szCs w:val="24"/>
        </w:rPr>
      </w:pPr>
      <w:r w:rsidRPr="00DF013B">
        <w:rPr>
          <w:rFonts w:asciiTheme="minorHAnsi" w:hAnsiTheme="minorHAnsi" w:cstheme="minorHAnsi"/>
          <w:sz w:val="24"/>
          <w:szCs w:val="24"/>
        </w:rPr>
        <w:lastRenderedPageBreak/>
        <w:t>Accreditation requirements rest with the Health Departments that regulate health services in various jurisdictions. It has been agreed that all (public and private) hospitals</w:t>
      </w:r>
      <w:r w:rsidRPr="00DF013B">
        <w:rPr>
          <w:rFonts w:asciiTheme="minorHAnsi" w:hAnsiTheme="minorHAnsi" w:cstheme="minorHAnsi"/>
          <w:szCs w:val="24"/>
        </w:rPr>
        <w:t>,</w:t>
      </w:r>
      <w:r w:rsidRPr="00DF013B">
        <w:rPr>
          <w:rFonts w:asciiTheme="minorHAnsi" w:hAnsiTheme="minorHAnsi" w:cstheme="minorHAnsi"/>
          <w:sz w:val="24"/>
          <w:szCs w:val="24"/>
        </w:rPr>
        <w:t xml:space="preserve"> day procedure services and public dental clinics will need to be accredited to the </w:t>
      </w:r>
      <w:proofErr w:type="spellStart"/>
      <w:r w:rsidRPr="00DF013B">
        <w:rPr>
          <w:rFonts w:asciiTheme="minorHAnsi" w:hAnsiTheme="minorHAnsi" w:cstheme="minorHAnsi"/>
          <w:sz w:val="24"/>
          <w:szCs w:val="24"/>
        </w:rPr>
        <w:t>NSQHS</w:t>
      </w:r>
      <w:proofErr w:type="spellEnd"/>
      <w:r w:rsidRPr="00DF013B">
        <w:rPr>
          <w:rFonts w:asciiTheme="minorHAnsi" w:hAnsiTheme="minorHAnsi" w:cstheme="minorHAnsi"/>
          <w:sz w:val="24"/>
          <w:szCs w:val="24"/>
        </w:rPr>
        <w:t xml:space="preserve"> Standards.</w:t>
      </w:r>
    </w:p>
    <w:p w:rsidR="00A10DA3" w:rsidRPr="00DF013B" w:rsidRDefault="00A10DA3" w:rsidP="00DF013B">
      <w:pPr>
        <w:rPr>
          <w:rFonts w:asciiTheme="minorHAnsi" w:hAnsiTheme="minorHAnsi" w:cstheme="minorHAnsi"/>
        </w:rPr>
      </w:pPr>
      <w:r w:rsidRPr="00DF013B">
        <w:rPr>
          <w:rFonts w:asciiTheme="minorHAnsi" w:hAnsiTheme="minorHAnsi" w:cstheme="minorHAnsi"/>
        </w:rPr>
        <w:t>The Australian Council on Health Care Standards (ACHS) accredits organisations against the Evaluation and Quality Improvement Program (</w:t>
      </w:r>
      <w:proofErr w:type="spellStart"/>
      <w:r w:rsidRPr="00DF013B">
        <w:rPr>
          <w:rFonts w:asciiTheme="minorHAnsi" w:hAnsiTheme="minorHAnsi" w:cstheme="minorHAnsi"/>
        </w:rPr>
        <w:t>EQuIP</w:t>
      </w:r>
      <w:proofErr w:type="spellEnd"/>
      <w:r w:rsidRPr="00DF013B">
        <w:rPr>
          <w:rFonts w:asciiTheme="minorHAnsi" w:hAnsiTheme="minorHAnsi" w:cstheme="minorHAnsi"/>
        </w:rPr>
        <w:t xml:space="preserve">) standard, which incorporates transfusion and blood-handling outcome measures. </w:t>
      </w:r>
    </w:p>
    <w:p w:rsidR="00A10DA3" w:rsidRPr="00DF013B" w:rsidRDefault="00A10DA3" w:rsidP="00DF013B">
      <w:pPr>
        <w:rPr>
          <w:rFonts w:asciiTheme="minorHAnsi" w:hAnsiTheme="minorHAnsi" w:cstheme="minorHAnsi"/>
        </w:rPr>
      </w:pPr>
      <w:r w:rsidRPr="00DF013B">
        <w:rPr>
          <w:rFonts w:asciiTheme="minorHAnsi" w:hAnsiTheme="minorHAnsi" w:cstheme="minorHAnsi"/>
        </w:rPr>
        <w:t>Clinical specialty colleges accredit medical training within teaching hospitals. In addition, individual hospitals within States and Territories have policies and procedures that govern how transfusions are handled within their facilities.</w:t>
      </w:r>
    </w:p>
    <w:p w:rsidR="00A10DA3" w:rsidRPr="00DF013B" w:rsidRDefault="00A10DA3">
      <w:pPr>
        <w:rPr>
          <w:rFonts w:asciiTheme="minorHAnsi" w:hAnsiTheme="minorHAnsi" w:cstheme="minorHAnsi"/>
          <w:b/>
        </w:rPr>
      </w:pPr>
      <w:r w:rsidRPr="00DF013B">
        <w:rPr>
          <w:rFonts w:asciiTheme="minorHAnsi" w:hAnsiTheme="minorHAnsi" w:cstheme="minorHAnsi"/>
          <w:b/>
        </w:rPr>
        <w:t>4</w:t>
      </w:r>
      <w:r w:rsidRPr="00DF013B">
        <w:rPr>
          <w:rFonts w:asciiTheme="minorHAnsi" w:hAnsiTheme="minorHAnsi" w:cstheme="minorHAnsi"/>
          <w:b/>
        </w:rPr>
        <w:tab/>
        <w:t>How does Australia conduct haemovigilance?</w:t>
      </w:r>
    </w:p>
    <w:p w:rsidR="00A10DA3" w:rsidRPr="00DF013B" w:rsidRDefault="00A10DA3" w:rsidP="00DF013B">
      <w:pPr>
        <w:rPr>
          <w:rFonts w:asciiTheme="minorHAnsi" w:hAnsiTheme="minorHAnsi" w:cstheme="minorHAnsi"/>
        </w:rPr>
      </w:pPr>
      <w:r w:rsidRPr="00DF013B">
        <w:rPr>
          <w:rFonts w:asciiTheme="minorHAnsi" w:hAnsiTheme="minorHAnsi" w:cstheme="minorHAnsi"/>
        </w:rPr>
        <w:t>All states and territories in Australia have been monitoring blood safety through their state-based incident management systems for many years. These systems cover a wide range of incidents that occur in the hospital setting, not just transfusion related incidents and errors.</w:t>
      </w:r>
    </w:p>
    <w:p w:rsidR="00A10DA3" w:rsidRPr="00DF013B" w:rsidRDefault="00A10DA3" w:rsidP="00DF013B">
      <w:pPr>
        <w:rPr>
          <w:rFonts w:asciiTheme="minorHAnsi" w:hAnsiTheme="minorHAnsi" w:cstheme="minorHAnsi"/>
        </w:rPr>
      </w:pPr>
      <w:r w:rsidRPr="00DF013B">
        <w:rPr>
          <w:rFonts w:asciiTheme="minorHAnsi" w:hAnsiTheme="minorHAnsi" w:cstheme="minorHAnsi"/>
        </w:rPr>
        <w:t>The National Blood Authority (NBA) has established a national haemovigilance program and Haemovigilance Advisory Committee (HAC) to support the continued development and alignment of jurisdictional haemovigilance reporting systems with the recommended national haemovigilance dataset, where this is not already achieved.</w:t>
      </w:r>
    </w:p>
    <w:p w:rsidR="00A10DA3" w:rsidRPr="00DF013B" w:rsidRDefault="00A10DA3" w:rsidP="00DF013B">
      <w:pPr>
        <w:rPr>
          <w:rFonts w:asciiTheme="minorHAnsi" w:hAnsiTheme="minorHAnsi" w:cstheme="minorHAnsi"/>
        </w:rPr>
      </w:pPr>
      <w:r w:rsidRPr="00DF013B">
        <w:rPr>
          <w:rFonts w:asciiTheme="minorHAnsi" w:hAnsiTheme="minorHAnsi" w:cstheme="minorHAnsi"/>
        </w:rPr>
        <w:t xml:space="preserve">While the information they collect about transfusion related incidents differs, all states and territories have agreed to align </w:t>
      </w:r>
      <w:r w:rsidR="005831DB">
        <w:rPr>
          <w:rFonts w:asciiTheme="minorHAnsi" w:hAnsiTheme="minorHAnsi" w:cstheme="minorHAnsi"/>
        </w:rPr>
        <w:t>data collection</w:t>
      </w:r>
      <w:r w:rsidRPr="00DF013B">
        <w:rPr>
          <w:rFonts w:asciiTheme="minorHAnsi" w:hAnsiTheme="minorHAnsi" w:cstheme="minorHAnsi"/>
        </w:rPr>
        <w:t xml:space="preserve"> to allow very specific transfusion related information to be collected and provided for the purpose of national reporting.</w:t>
      </w:r>
    </w:p>
    <w:p w:rsidR="00A10DA3" w:rsidRPr="00DF013B" w:rsidRDefault="00A10DA3">
      <w:pPr>
        <w:rPr>
          <w:rFonts w:asciiTheme="minorHAnsi" w:hAnsiTheme="minorHAnsi" w:cstheme="minorHAnsi"/>
          <w:b/>
        </w:rPr>
      </w:pPr>
      <w:r w:rsidRPr="00DF013B">
        <w:rPr>
          <w:rFonts w:asciiTheme="minorHAnsi" w:hAnsiTheme="minorHAnsi" w:cstheme="minorHAnsi"/>
          <w:b/>
        </w:rPr>
        <w:t>5</w:t>
      </w:r>
      <w:r w:rsidRPr="00DF013B">
        <w:rPr>
          <w:rFonts w:asciiTheme="minorHAnsi" w:hAnsiTheme="minorHAnsi" w:cstheme="minorHAnsi"/>
          <w:b/>
        </w:rPr>
        <w:tab/>
        <w:t xml:space="preserve">What </w:t>
      </w:r>
      <w:proofErr w:type="gramStart"/>
      <w:r w:rsidRPr="00DF013B">
        <w:rPr>
          <w:rFonts w:asciiTheme="minorHAnsi" w:hAnsiTheme="minorHAnsi" w:cstheme="minorHAnsi"/>
          <w:b/>
        </w:rPr>
        <w:t>are</w:t>
      </w:r>
      <w:proofErr w:type="gramEnd"/>
      <w:r w:rsidRPr="00DF013B">
        <w:rPr>
          <w:rFonts w:asciiTheme="minorHAnsi" w:hAnsiTheme="minorHAnsi" w:cstheme="minorHAnsi"/>
          <w:b/>
        </w:rPr>
        <w:t xml:space="preserve"> the major transfusion risks identified in the report?</w:t>
      </w:r>
    </w:p>
    <w:p w:rsidR="00A10DA3" w:rsidRPr="00DF013B" w:rsidRDefault="00A10DA3">
      <w:pPr>
        <w:rPr>
          <w:rFonts w:asciiTheme="minorHAnsi" w:hAnsiTheme="minorHAnsi" w:cstheme="minorHAnsi"/>
        </w:rPr>
      </w:pPr>
      <w:r w:rsidRPr="00DF013B">
        <w:rPr>
          <w:rFonts w:asciiTheme="minorHAnsi" w:hAnsiTheme="minorHAnsi" w:cstheme="minorHAnsi"/>
        </w:rPr>
        <w:t>Hospitals in all countries encounter unintended consequences of transfusion. The majority of internationally reported mishaps are minor, but serious mishaps still occur and are generally the result of human error.</w:t>
      </w:r>
    </w:p>
    <w:p w:rsidR="00A10DA3" w:rsidRPr="00DF013B" w:rsidRDefault="00A10DA3">
      <w:pPr>
        <w:rPr>
          <w:rFonts w:asciiTheme="minorHAnsi" w:hAnsiTheme="minorHAnsi" w:cstheme="minorHAnsi"/>
        </w:rPr>
      </w:pPr>
      <w:r w:rsidRPr="00DF013B">
        <w:rPr>
          <w:rFonts w:asciiTheme="minorHAnsi" w:hAnsiTheme="minorHAnsi" w:cstheme="minorHAnsi"/>
        </w:rPr>
        <w:t>The Australian Haemovigilance Report 2013 notes that the main transfusion risk categories are:</w:t>
      </w:r>
    </w:p>
    <w:p w:rsidR="00A10DA3" w:rsidRPr="00DF013B" w:rsidRDefault="00A10DA3" w:rsidP="00DF013B">
      <w:pPr>
        <w:pStyle w:val="ListParagraph"/>
        <w:numPr>
          <w:ilvl w:val="0"/>
          <w:numId w:val="42"/>
        </w:numPr>
        <w:ind w:left="426" w:hanging="426"/>
        <w:rPr>
          <w:rFonts w:asciiTheme="minorHAnsi" w:hAnsiTheme="minorHAnsi" w:cstheme="minorHAnsi"/>
        </w:rPr>
      </w:pPr>
      <w:r w:rsidRPr="00DF013B">
        <w:rPr>
          <w:rFonts w:asciiTheme="minorHAnsi" w:hAnsiTheme="minorHAnsi" w:cstheme="minorHAnsi"/>
        </w:rPr>
        <w:t>Adverse reactions such as allergic or immunological reactions which arise from the interaction of patient and blood component characteristics</w:t>
      </w:r>
    </w:p>
    <w:p w:rsidR="00A10DA3" w:rsidRPr="00DF013B" w:rsidRDefault="00A10DA3" w:rsidP="00DF013B">
      <w:pPr>
        <w:pStyle w:val="ListParagraph"/>
        <w:numPr>
          <w:ilvl w:val="0"/>
          <w:numId w:val="42"/>
        </w:numPr>
        <w:ind w:left="426" w:hanging="426"/>
        <w:rPr>
          <w:rFonts w:asciiTheme="minorHAnsi" w:hAnsiTheme="minorHAnsi" w:cstheme="minorHAnsi"/>
        </w:rPr>
      </w:pPr>
      <w:r w:rsidRPr="00DF013B">
        <w:rPr>
          <w:rFonts w:asciiTheme="minorHAnsi" w:hAnsiTheme="minorHAnsi" w:cstheme="minorHAnsi"/>
        </w:rPr>
        <w:t>Human errors</w:t>
      </w:r>
      <w:r w:rsidR="00CF0AAE">
        <w:rPr>
          <w:rFonts w:asciiTheme="minorHAnsi" w:hAnsiTheme="minorHAnsi" w:cstheme="minorHAnsi"/>
        </w:rPr>
        <w:t>,</w:t>
      </w:r>
      <w:r w:rsidRPr="00DF013B">
        <w:rPr>
          <w:rFonts w:asciiTheme="minorHAnsi" w:hAnsiTheme="minorHAnsi" w:cstheme="minorHAnsi"/>
        </w:rPr>
        <w:t xml:space="preserve"> which continue to contribute significantly to transfusion-related risks to patients.</w:t>
      </w:r>
    </w:p>
    <w:p w:rsidR="00A10DA3" w:rsidRPr="00DF013B" w:rsidRDefault="00A10DA3">
      <w:pPr>
        <w:rPr>
          <w:rFonts w:asciiTheme="minorHAnsi" w:hAnsiTheme="minorHAnsi" w:cstheme="minorHAnsi"/>
        </w:rPr>
      </w:pPr>
      <w:r w:rsidRPr="00DF013B">
        <w:rPr>
          <w:rFonts w:asciiTheme="minorHAnsi" w:hAnsiTheme="minorHAnsi" w:cstheme="minorHAnsi"/>
        </w:rPr>
        <w:t>The available data within the report indicate</w:t>
      </w:r>
      <w:r w:rsidR="00CF0AAE">
        <w:rPr>
          <w:rFonts w:asciiTheme="minorHAnsi" w:hAnsiTheme="minorHAnsi" w:cstheme="minorHAnsi"/>
        </w:rPr>
        <w:t>s</w:t>
      </w:r>
      <w:r w:rsidRPr="00DF013B">
        <w:rPr>
          <w:rFonts w:asciiTheme="minorHAnsi" w:hAnsiTheme="minorHAnsi" w:cstheme="minorHAnsi"/>
        </w:rPr>
        <w:t xml:space="preserve"> that these errors and reactions are not significantly different from those occurring in other countries.</w:t>
      </w:r>
    </w:p>
    <w:p w:rsidR="00A10DA3" w:rsidRPr="00DF013B" w:rsidRDefault="00A10DA3">
      <w:pPr>
        <w:rPr>
          <w:rFonts w:asciiTheme="minorHAnsi" w:hAnsiTheme="minorHAnsi" w:cstheme="minorHAnsi"/>
          <w:b/>
        </w:rPr>
      </w:pPr>
      <w:r w:rsidRPr="00DF013B">
        <w:rPr>
          <w:rFonts w:asciiTheme="minorHAnsi" w:hAnsiTheme="minorHAnsi" w:cstheme="minorHAnsi"/>
          <w:b/>
        </w:rPr>
        <w:t>6</w:t>
      </w:r>
      <w:r w:rsidRPr="00DF013B">
        <w:rPr>
          <w:rFonts w:asciiTheme="minorHAnsi" w:hAnsiTheme="minorHAnsi" w:cstheme="minorHAnsi"/>
          <w:b/>
        </w:rPr>
        <w:tab/>
        <w:t>How frequently do transfusion errors occur?</w:t>
      </w:r>
    </w:p>
    <w:p w:rsidR="00A10DA3" w:rsidRPr="00DF013B" w:rsidRDefault="00A10DA3" w:rsidP="00DF013B">
      <w:pPr>
        <w:rPr>
          <w:rFonts w:asciiTheme="minorHAnsi" w:hAnsiTheme="minorHAnsi" w:cstheme="minorHAnsi"/>
        </w:rPr>
      </w:pPr>
      <w:r w:rsidRPr="00DF013B">
        <w:rPr>
          <w:rFonts w:asciiTheme="minorHAnsi" w:hAnsiTheme="minorHAnsi" w:cstheme="minorHAnsi"/>
        </w:rPr>
        <w:t>In Australia haemovigilance reporting is voluntary with the exception of sentinel events</w:t>
      </w:r>
      <w:r w:rsidR="00CF0AAE">
        <w:rPr>
          <w:rFonts w:asciiTheme="minorHAnsi" w:hAnsiTheme="minorHAnsi" w:cstheme="minorHAnsi"/>
        </w:rPr>
        <w:t xml:space="preserve">, however </w:t>
      </w:r>
      <w:r w:rsidRPr="00DF013B">
        <w:rPr>
          <w:rFonts w:asciiTheme="minorHAnsi" w:hAnsiTheme="minorHAnsi" w:cstheme="minorHAnsi"/>
        </w:rPr>
        <w:t xml:space="preserve">under the </w:t>
      </w:r>
      <w:proofErr w:type="spellStart"/>
      <w:r w:rsidRPr="00DF013B">
        <w:rPr>
          <w:rFonts w:asciiTheme="minorHAnsi" w:hAnsiTheme="minorHAnsi" w:cstheme="minorHAnsi"/>
        </w:rPr>
        <w:t>NSQHS</w:t>
      </w:r>
      <w:proofErr w:type="spellEnd"/>
      <w:r w:rsidRPr="00DF013B">
        <w:rPr>
          <w:rFonts w:asciiTheme="minorHAnsi" w:hAnsiTheme="minorHAnsi" w:cstheme="minorHAnsi"/>
        </w:rPr>
        <w:t xml:space="preserve"> Standard 7 </w:t>
      </w:r>
      <w:r w:rsidR="00CF0AAE">
        <w:rPr>
          <w:rFonts w:asciiTheme="minorHAnsi" w:hAnsiTheme="minorHAnsi" w:cstheme="minorHAnsi"/>
        </w:rPr>
        <w:t>f</w:t>
      </w:r>
      <w:r w:rsidR="00CF0AAE" w:rsidRPr="004C0F06">
        <w:rPr>
          <w:rFonts w:asciiTheme="minorHAnsi" w:hAnsiTheme="minorHAnsi" w:cstheme="minorHAnsi"/>
        </w:rPr>
        <w:t xml:space="preserve">rom 1 January 2013 </w:t>
      </w:r>
      <w:r w:rsidRPr="00DF013B">
        <w:rPr>
          <w:rFonts w:asciiTheme="minorHAnsi" w:hAnsiTheme="minorHAnsi" w:cstheme="minorHAnsi"/>
        </w:rPr>
        <w:t>health service organisations are to ensure blood and blood product adverse events are included in the incidents management and investigation system.</w:t>
      </w:r>
    </w:p>
    <w:p w:rsidR="00A10DA3" w:rsidRPr="00DF013B" w:rsidRDefault="00A10DA3" w:rsidP="00DF013B">
      <w:pPr>
        <w:rPr>
          <w:rFonts w:asciiTheme="minorHAnsi" w:hAnsiTheme="minorHAnsi" w:cstheme="minorHAnsi"/>
        </w:rPr>
      </w:pPr>
      <w:r w:rsidRPr="00DF013B">
        <w:rPr>
          <w:rFonts w:asciiTheme="minorHAnsi" w:hAnsiTheme="minorHAnsi" w:cstheme="minorHAnsi"/>
        </w:rPr>
        <w:t>The 2013 report shows significant increases in many types of reported incidents compared with the 2010 report, however comparisons must be undertaken with care as reporting systems have improved and support for reporting has increased dramatically since the previous report.</w:t>
      </w:r>
    </w:p>
    <w:p w:rsidR="00A10DA3" w:rsidRPr="00DF013B" w:rsidRDefault="00A10DA3">
      <w:pPr>
        <w:rPr>
          <w:rFonts w:asciiTheme="minorHAnsi" w:hAnsiTheme="minorHAnsi" w:cstheme="minorHAnsi"/>
        </w:rPr>
      </w:pPr>
      <w:r w:rsidRPr="00DF013B">
        <w:rPr>
          <w:rFonts w:asciiTheme="minorHAnsi" w:hAnsiTheme="minorHAnsi" w:cstheme="minorHAnsi"/>
        </w:rPr>
        <w:t>913 adverse events were reported to the National Haemovigilance Program between 1 July 2009 and 30</w:t>
      </w:r>
      <w:r w:rsidR="00CF0AAE">
        <w:rPr>
          <w:rFonts w:asciiTheme="minorHAnsi" w:hAnsiTheme="minorHAnsi" w:cstheme="minorHAnsi"/>
        </w:rPr>
        <w:t> </w:t>
      </w:r>
      <w:r w:rsidRPr="00DF013B">
        <w:rPr>
          <w:rFonts w:asciiTheme="minorHAnsi" w:hAnsiTheme="minorHAnsi" w:cstheme="minorHAnsi"/>
        </w:rPr>
        <w:t>June 2011. During this period, there were no deaths associated with transfusion adverse events (compared with 2 deaths in 2008-09). Most event types also saw a decrease in life-threatening severity from the previous report.</w:t>
      </w:r>
    </w:p>
    <w:p w:rsidR="00A10DA3" w:rsidRPr="00DF013B" w:rsidRDefault="00A10DA3" w:rsidP="00DF013B">
      <w:pPr>
        <w:rPr>
          <w:rFonts w:asciiTheme="minorHAnsi" w:hAnsiTheme="minorHAnsi" w:cstheme="minorHAnsi"/>
        </w:rPr>
      </w:pPr>
      <w:r w:rsidRPr="00DF013B">
        <w:rPr>
          <w:rFonts w:asciiTheme="minorHAnsi" w:hAnsiTheme="minorHAnsi" w:cstheme="minorHAnsi"/>
          <w:b/>
        </w:rPr>
        <w:lastRenderedPageBreak/>
        <w:t>7</w:t>
      </w:r>
      <w:r w:rsidRPr="00DF013B">
        <w:rPr>
          <w:rFonts w:asciiTheme="minorHAnsi" w:hAnsiTheme="minorHAnsi" w:cstheme="minorHAnsi"/>
          <w:b/>
        </w:rPr>
        <w:tab/>
        <w:t>Does Australia have more or fewer transfusion errors than other countries?</w:t>
      </w:r>
    </w:p>
    <w:p w:rsidR="00A10DA3" w:rsidRPr="00DF013B" w:rsidRDefault="00A10DA3">
      <w:pPr>
        <w:rPr>
          <w:rFonts w:asciiTheme="minorHAnsi" w:hAnsiTheme="minorHAnsi" w:cstheme="minorHAnsi"/>
        </w:rPr>
      </w:pPr>
      <w:r w:rsidRPr="00DF013B">
        <w:rPr>
          <w:rFonts w:asciiTheme="minorHAnsi" w:hAnsiTheme="minorHAnsi" w:cstheme="minorHAnsi"/>
        </w:rPr>
        <w:t>The number of transfusion errors cannot be directly compared with other countries as Australia’s haemovigilance system is not yet fully developed in all states, and some types of events are under-reported. However, the data does show that the factors which contribute to the errors are comparable with other developed nations which have haemovigilance programs, including the UK and NZ.</w:t>
      </w:r>
    </w:p>
    <w:p w:rsidR="00A10DA3" w:rsidRPr="00DF013B" w:rsidRDefault="00A10DA3" w:rsidP="00DF013B">
      <w:pPr>
        <w:rPr>
          <w:rFonts w:asciiTheme="minorHAnsi" w:hAnsiTheme="minorHAnsi" w:cstheme="minorHAnsi"/>
          <w:b/>
        </w:rPr>
      </w:pPr>
      <w:r w:rsidRPr="00DF013B">
        <w:rPr>
          <w:rFonts w:asciiTheme="minorHAnsi" w:hAnsiTheme="minorHAnsi" w:cstheme="minorHAnsi"/>
          <w:b/>
        </w:rPr>
        <w:t>8</w:t>
      </w:r>
      <w:r w:rsidRPr="00DF013B">
        <w:rPr>
          <w:rFonts w:asciiTheme="minorHAnsi" w:hAnsiTheme="minorHAnsi" w:cstheme="minorHAnsi"/>
          <w:b/>
        </w:rPr>
        <w:tab/>
        <w:t>Given the types of errors and reactions identified in the report, should I reconsider my planned transfusion?</w:t>
      </w:r>
    </w:p>
    <w:p w:rsidR="00A10DA3" w:rsidRPr="00DF013B" w:rsidRDefault="00A10DA3">
      <w:pPr>
        <w:rPr>
          <w:rFonts w:asciiTheme="minorHAnsi" w:hAnsiTheme="minorHAnsi" w:cstheme="minorHAnsi"/>
        </w:rPr>
      </w:pPr>
      <w:r w:rsidRPr="00DF013B">
        <w:rPr>
          <w:rFonts w:asciiTheme="minorHAnsi" w:hAnsiTheme="minorHAnsi" w:cstheme="minorHAnsi"/>
        </w:rPr>
        <w:t>If you have any concerns regarding your planned transfusion, you should first discuss your transfusion with your doctor who can provide you with further information about the risks and benefits of transfusions, and alternatives to transfusion where appropriate.</w:t>
      </w:r>
    </w:p>
    <w:p w:rsidR="00A10DA3" w:rsidRPr="00DF013B" w:rsidRDefault="00A10DA3">
      <w:pPr>
        <w:rPr>
          <w:rFonts w:asciiTheme="minorHAnsi" w:hAnsiTheme="minorHAnsi" w:cstheme="minorHAnsi"/>
          <w:b/>
        </w:rPr>
      </w:pPr>
      <w:r w:rsidRPr="00DF013B">
        <w:rPr>
          <w:rFonts w:asciiTheme="minorHAnsi" w:hAnsiTheme="minorHAnsi" w:cstheme="minorHAnsi"/>
          <w:b/>
        </w:rPr>
        <w:t>9</w:t>
      </w:r>
      <w:r w:rsidRPr="00DF013B">
        <w:rPr>
          <w:rFonts w:asciiTheme="minorHAnsi" w:hAnsiTheme="minorHAnsi" w:cstheme="minorHAnsi"/>
          <w:b/>
        </w:rPr>
        <w:tab/>
        <w:t>What is the role of the Australian National Haemovigilance Program?</w:t>
      </w:r>
    </w:p>
    <w:p w:rsidR="00A10DA3" w:rsidRPr="00DF013B" w:rsidRDefault="00A10DA3">
      <w:pPr>
        <w:rPr>
          <w:rFonts w:asciiTheme="minorHAnsi" w:hAnsiTheme="minorHAnsi" w:cstheme="minorHAnsi"/>
        </w:rPr>
      </w:pPr>
      <w:r w:rsidRPr="00DF013B">
        <w:rPr>
          <w:rFonts w:asciiTheme="minorHAnsi" w:hAnsiTheme="minorHAnsi" w:cstheme="minorHAnsi"/>
        </w:rPr>
        <w:t xml:space="preserve">The primary aim of the Australian National Haemovigilance Program is to </w:t>
      </w:r>
      <w:bookmarkStart w:id="13" w:name="OLE_LINK5"/>
      <w:bookmarkStart w:id="14" w:name="OLE_LINK4"/>
      <w:r w:rsidRPr="00DF013B">
        <w:rPr>
          <w:rFonts w:asciiTheme="minorHAnsi" w:hAnsiTheme="minorHAnsi" w:cstheme="minorHAnsi"/>
        </w:rPr>
        <w:t>improve transfusion safety and quality by collecting, analysing, and disseminating information on a common set of serious adverse events surrounding the transfusion of fresh blood and blood products. Recommendations to improve transfusion outcomes are developed based on the data.</w:t>
      </w:r>
    </w:p>
    <w:p w:rsidR="00A10DA3" w:rsidRPr="00DF013B" w:rsidRDefault="00A10DA3" w:rsidP="00DF013B">
      <w:pPr>
        <w:rPr>
          <w:rFonts w:asciiTheme="minorHAnsi" w:hAnsiTheme="minorHAnsi" w:cstheme="minorHAnsi"/>
        </w:rPr>
      </w:pPr>
      <w:r w:rsidRPr="00DF013B">
        <w:rPr>
          <w:rFonts w:asciiTheme="minorHAnsi" w:hAnsiTheme="minorHAnsi" w:cstheme="minorHAnsi"/>
        </w:rPr>
        <w:t>Information obtained is used to build better and safer systems, conserve valuable blood resources and ultimately deliver better patient outcomes through better informed decision making about transfusion.</w:t>
      </w:r>
    </w:p>
    <w:bookmarkEnd w:id="13"/>
    <w:bookmarkEnd w:id="14"/>
    <w:p w:rsidR="00A10DA3" w:rsidRPr="00DF013B" w:rsidRDefault="00A10DA3" w:rsidP="00DF013B">
      <w:pPr>
        <w:rPr>
          <w:rFonts w:asciiTheme="minorHAnsi" w:hAnsiTheme="minorHAnsi" w:cstheme="minorHAnsi"/>
          <w:b/>
        </w:rPr>
      </w:pPr>
      <w:r w:rsidRPr="00DF013B">
        <w:rPr>
          <w:rFonts w:asciiTheme="minorHAnsi" w:hAnsiTheme="minorHAnsi" w:cstheme="minorHAnsi"/>
          <w:b/>
        </w:rPr>
        <w:t>10</w:t>
      </w:r>
      <w:r w:rsidRPr="00DF013B">
        <w:rPr>
          <w:rFonts w:asciiTheme="minorHAnsi" w:hAnsiTheme="minorHAnsi" w:cstheme="minorHAnsi"/>
          <w:b/>
        </w:rPr>
        <w:tab/>
        <w:t>What is currently being done by the National Blood Authority to make transfusions safer?</w:t>
      </w:r>
    </w:p>
    <w:p w:rsidR="00A10DA3" w:rsidRPr="00DF013B" w:rsidRDefault="00A10DA3">
      <w:pPr>
        <w:rPr>
          <w:rFonts w:asciiTheme="minorHAnsi" w:hAnsiTheme="minorHAnsi" w:cstheme="minorHAnsi"/>
        </w:rPr>
      </w:pPr>
      <w:r w:rsidRPr="00DF013B">
        <w:rPr>
          <w:rFonts w:asciiTheme="minorHAnsi" w:hAnsiTheme="minorHAnsi" w:cstheme="minorHAnsi"/>
        </w:rPr>
        <w:t xml:space="preserve">The NBA plays a key role </w:t>
      </w:r>
      <w:r w:rsidR="00CF0AAE" w:rsidRPr="003D22CD">
        <w:rPr>
          <w:rFonts w:asciiTheme="minorHAnsi" w:hAnsiTheme="minorHAnsi" w:cstheme="minorHAnsi"/>
        </w:rPr>
        <w:t>under the National Blood Agreement</w:t>
      </w:r>
      <w:r w:rsidR="00CF0AAE" w:rsidRPr="008F45DB">
        <w:rPr>
          <w:rFonts w:asciiTheme="minorHAnsi" w:hAnsiTheme="minorHAnsi" w:cstheme="minorHAnsi"/>
        </w:rPr>
        <w:t xml:space="preserve"> </w:t>
      </w:r>
      <w:r w:rsidRPr="00DF013B">
        <w:rPr>
          <w:rFonts w:asciiTheme="minorHAnsi" w:hAnsiTheme="minorHAnsi" w:cstheme="minorHAnsi"/>
        </w:rPr>
        <w:t>in promoting transfusion appropriateness, safety and blood management through a system-wide approach. To assist its operations and improve the safety of transfusions in Australia, the NBA maintains close working relationships with all state and territory health departments, the clinical community and a number of nationally focused organisations such as the Blood Service, the Australia and New Zealand Society of Blood Transfusion (ANZSBT), the Therapeutic Goods Administration (TGA), the National Health and Medical Research Council (NHMRC) and the Australian Commission on Safety and Quality in Health Care (ACSQHC). These important partnerships are geared to making transfusions safer and ultimately deliver better outcomes.</w:t>
      </w:r>
    </w:p>
    <w:p w:rsidR="00A10DA3" w:rsidRPr="00DF013B" w:rsidRDefault="00A10DA3">
      <w:pPr>
        <w:rPr>
          <w:rFonts w:asciiTheme="minorHAnsi" w:hAnsiTheme="minorHAnsi" w:cstheme="minorHAnsi"/>
        </w:rPr>
      </w:pPr>
      <w:r w:rsidRPr="00DF013B">
        <w:rPr>
          <w:rFonts w:asciiTheme="minorHAnsi" w:hAnsiTheme="minorHAnsi" w:cstheme="minorHAnsi"/>
        </w:rPr>
        <w:t>In conjunction with key stakeholders, the NBA is currently facilitating national projects designed to improve transfusion safety across Australia. Haemovigilance is part of a portfolio of NBA programs for blood sector clinical development. To ensure that patients are not unnecessarily exposed to the risks associated with transfusion the NBA has published four modules of patient blood management guidelines: critical bleeding/massive transfusion, perioperative, medical and critical care. Two further modules are under development: obstetrics and paediatrics/neonates.</w:t>
      </w:r>
    </w:p>
    <w:p w:rsidR="00A10DA3" w:rsidRPr="00DF013B" w:rsidRDefault="00A10DA3" w:rsidP="00DF013B">
      <w:pPr>
        <w:rPr>
          <w:rFonts w:asciiTheme="minorHAnsi" w:hAnsiTheme="minorHAnsi" w:cstheme="minorHAnsi"/>
          <w:b/>
        </w:rPr>
      </w:pPr>
      <w:r w:rsidRPr="00DF013B">
        <w:rPr>
          <w:rFonts w:asciiTheme="minorHAnsi" w:hAnsiTheme="minorHAnsi" w:cstheme="minorHAnsi"/>
          <w:b/>
        </w:rPr>
        <w:t>11</w:t>
      </w:r>
      <w:r w:rsidRPr="00DF013B">
        <w:rPr>
          <w:rFonts w:asciiTheme="minorHAnsi" w:hAnsiTheme="minorHAnsi" w:cstheme="minorHAnsi"/>
          <w:b/>
        </w:rPr>
        <w:tab/>
        <w:t>What is currently being done by states and territories to make transfusions safer?</w:t>
      </w:r>
    </w:p>
    <w:p w:rsidR="00A10DA3" w:rsidRPr="00DF013B" w:rsidRDefault="00A10DA3">
      <w:pPr>
        <w:rPr>
          <w:rFonts w:asciiTheme="minorHAnsi" w:hAnsiTheme="minorHAnsi" w:cstheme="minorHAnsi"/>
        </w:rPr>
      </w:pPr>
      <w:r w:rsidRPr="00DF013B">
        <w:rPr>
          <w:rFonts w:asciiTheme="minorHAnsi" w:hAnsiTheme="minorHAnsi" w:cstheme="minorHAnsi"/>
        </w:rPr>
        <w:t>All state and territory health departments are focused on transfusion quality and safety, and delivering better outcomes to their patients. States and territories have employed dedicated Transfusion Nurses or transfusion Safety Officers to educate healthcare professionals and manage transfusion appropriateness and any adverse events within hospitals.</w:t>
      </w:r>
    </w:p>
    <w:p w:rsidR="00A10DA3" w:rsidRPr="00DF013B" w:rsidRDefault="00A10DA3">
      <w:pPr>
        <w:rPr>
          <w:rFonts w:asciiTheme="minorHAnsi" w:hAnsiTheme="minorHAnsi" w:cstheme="minorHAnsi"/>
        </w:rPr>
      </w:pPr>
      <w:r w:rsidRPr="00DF013B">
        <w:rPr>
          <w:rFonts w:asciiTheme="minorHAnsi" w:hAnsiTheme="minorHAnsi" w:cstheme="minorHAnsi"/>
        </w:rPr>
        <w:t xml:space="preserve">Whilst states and territories are currently at different stages in their abilities to report adverse events at a national level, their quality units and local transfusion committees capture and analyse adverse events, and provide feedback to hospitals with the aim of making tangible improvements in processes and procedures. Their quality systems also ensure that </w:t>
      </w:r>
      <w:proofErr w:type="gramStart"/>
      <w:r w:rsidRPr="00DF013B">
        <w:rPr>
          <w:rFonts w:asciiTheme="minorHAnsi" w:hAnsiTheme="minorHAnsi" w:cstheme="minorHAnsi"/>
        </w:rPr>
        <w:t>staff acquire</w:t>
      </w:r>
      <w:proofErr w:type="gramEnd"/>
      <w:r w:rsidRPr="00DF013B">
        <w:rPr>
          <w:rFonts w:asciiTheme="minorHAnsi" w:hAnsiTheme="minorHAnsi" w:cstheme="minorHAnsi"/>
        </w:rPr>
        <w:t xml:space="preserve"> the requisite skills, and that only appropriately skilled staff perform transfusions.</w:t>
      </w:r>
    </w:p>
    <w:p w:rsidR="00A10DA3" w:rsidRPr="00DF013B" w:rsidRDefault="00A10DA3">
      <w:pPr>
        <w:rPr>
          <w:rFonts w:asciiTheme="minorHAnsi" w:hAnsiTheme="minorHAnsi" w:cstheme="minorHAnsi"/>
          <w:b/>
        </w:rPr>
      </w:pPr>
      <w:r w:rsidRPr="00DF013B">
        <w:rPr>
          <w:rFonts w:asciiTheme="minorHAnsi" w:hAnsiTheme="minorHAnsi" w:cstheme="minorHAnsi"/>
          <w:b/>
        </w:rPr>
        <w:lastRenderedPageBreak/>
        <w:t>12</w:t>
      </w:r>
      <w:r w:rsidRPr="00DF013B">
        <w:rPr>
          <w:rFonts w:asciiTheme="minorHAnsi" w:hAnsiTheme="minorHAnsi" w:cstheme="minorHAnsi"/>
          <w:b/>
        </w:rPr>
        <w:tab/>
        <w:t>Where can I find more information on transfusion risks?</w:t>
      </w:r>
    </w:p>
    <w:p w:rsidR="00A10DA3" w:rsidRPr="00DF013B" w:rsidRDefault="00A10DA3">
      <w:pPr>
        <w:rPr>
          <w:rFonts w:asciiTheme="minorHAnsi" w:hAnsiTheme="minorHAnsi" w:cstheme="minorHAnsi"/>
        </w:rPr>
      </w:pPr>
      <w:r w:rsidRPr="00DF013B">
        <w:rPr>
          <w:rFonts w:asciiTheme="minorHAnsi" w:hAnsiTheme="minorHAnsi" w:cstheme="minorHAnsi"/>
        </w:rPr>
        <w:t>Further information can be obtained from state and territory health departments and Quality Units</w:t>
      </w:r>
      <w:r w:rsidR="008F45DB">
        <w:rPr>
          <w:rFonts w:asciiTheme="minorHAnsi" w:hAnsiTheme="minorHAnsi" w:cstheme="minorHAnsi"/>
        </w:rPr>
        <w:t>:</w:t>
      </w:r>
    </w:p>
    <w:tbl>
      <w:tblPr>
        <w:tblStyle w:val="TableGrid"/>
        <w:tblW w:w="9606" w:type="dxa"/>
        <w:tblLayout w:type="fixed"/>
        <w:tblLook w:val="04A0" w:firstRow="1" w:lastRow="0" w:firstColumn="1" w:lastColumn="0" w:noHBand="0" w:noVBand="1"/>
      </w:tblPr>
      <w:tblGrid>
        <w:gridCol w:w="2660"/>
        <w:gridCol w:w="6946"/>
      </w:tblGrid>
      <w:tr w:rsidR="008F45DB" w:rsidRPr="00CF0AAE" w:rsidTr="008F45DB">
        <w:tc>
          <w:tcPr>
            <w:tcW w:w="2660" w:type="dxa"/>
            <w:shd w:val="clear" w:color="auto" w:fill="auto"/>
          </w:tcPr>
          <w:p w:rsidR="00A10DA3" w:rsidRPr="00DF013B" w:rsidRDefault="00A10DA3" w:rsidP="00DF013B">
            <w:pPr>
              <w:rPr>
                <w:rFonts w:asciiTheme="minorHAnsi" w:hAnsiTheme="minorHAnsi" w:cstheme="minorHAnsi"/>
                <w:b/>
                <w:sz w:val="20"/>
                <w:szCs w:val="20"/>
              </w:rPr>
            </w:pPr>
            <w:r w:rsidRPr="00DF013B">
              <w:rPr>
                <w:rFonts w:asciiTheme="minorHAnsi" w:hAnsiTheme="minorHAnsi" w:cstheme="minorHAnsi"/>
                <w:b/>
                <w:sz w:val="20"/>
                <w:szCs w:val="20"/>
              </w:rPr>
              <w:t>State/Territory</w:t>
            </w:r>
          </w:p>
        </w:tc>
        <w:tc>
          <w:tcPr>
            <w:tcW w:w="6946" w:type="dxa"/>
            <w:shd w:val="clear" w:color="auto" w:fill="auto"/>
          </w:tcPr>
          <w:p w:rsidR="00A10DA3" w:rsidRPr="00DF013B" w:rsidRDefault="00A10DA3" w:rsidP="00DF013B">
            <w:pPr>
              <w:rPr>
                <w:rFonts w:asciiTheme="minorHAnsi" w:hAnsiTheme="minorHAnsi" w:cstheme="minorHAnsi"/>
                <w:b/>
                <w:sz w:val="20"/>
                <w:szCs w:val="20"/>
              </w:rPr>
            </w:pPr>
            <w:r w:rsidRPr="00DF013B">
              <w:rPr>
                <w:rFonts w:asciiTheme="minorHAnsi" w:hAnsiTheme="minorHAnsi" w:cstheme="minorHAnsi"/>
                <w:b/>
                <w:sz w:val="20"/>
                <w:szCs w:val="20"/>
              </w:rPr>
              <w:t>Contact</w:t>
            </w:r>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New South Wales</w:t>
            </w:r>
          </w:p>
        </w:tc>
        <w:tc>
          <w:tcPr>
            <w:tcW w:w="6946" w:type="dxa"/>
            <w:shd w:val="clear" w:color="auto" w:fill="auto"/>
          </w:tcPr>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Sally Francis</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Program Leader Blood Watch</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Clinical Excellence Commission</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Level 13, 227 Elizabeth St</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Sydney NSW 2001</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rPr>
              <w:t>Ph</w:t>
            </w:r>
            <w:proofErr w:type="spellEnd"/>
            <w:r w:rsidRPr="00DF013B">
              <w:rPr>
                <w:rFonts w:asciiTheme="minorHAnsi" w:hAnsiTheme="minorHAnsi" w:cstheme="minorHAnsi"/>
                <w:sz w:val="20"/>
              </w:rPr>
              <w:t>: 02 9269 5510</w:t>
            </w:r>
          </w:p>
          <w:p w:rsidR="00A10DA3" w:rsidRPr="00DF013B" w:rsidRDefault="00A10DA3" w:rsidP="00DF013B">
            <w:pPr>
              <w:rPr>
                <w:rFonts w:asciiTheme="minorHAnsi" w:hAnsiTheme="minorHAnsi" w:cstheme="minorHAnsi"/>
                <w:sz w:val="20"/>
              </w:rPr>
            </w:pPr>
          </w:p>
          <w:p w:rsidR="00A10DA3" w:rsidRPr="00DF013B" w:rsidRDefault="004F5B9D" w:rsidP="00DF013B">
            <w:pPr>
              <w:rPr>
                <w:rFonts w:asciiTheme="minorHAnsi" w:hAnsiTheme="minorHAnsi" w:cstheme="minorHAnsi"/>
                <w:sz w:val="20"/>
                <w:szCs w:val="20"/>
              </w:rPr>
            </w:pPr>
            <w:hyperlink r:id="rId8" w:history="1">
              <w:r w:rsidR="008F45DB" w:rsidRPr="001474A0">
                <w:rPr>
                  <w:rStyle w:val="Hyperlink"/>
                  <w:rFonts w:asciiTheme="minorHAnsi" w:hAnsiTheme="minorHAnsi" w:cstheme="minorHAnsi"/>
                  <w:sz w:val="20"/>
                  <w:szCs w:val="20"/>
                </w:rPr>
                <w:t>http://www.cec.health.nsw.gov.au/</w:t>
              </w:r>
            </w:hyperlink>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Victoria</w:t>
            </w:r>
          </w:p>
        </w:tc>
        <w:tc>
          <w:tcPr>
            <w:tcW w:w="6946" w:type="dxa"/>
            <w:shd w:val="clear" w:color="auto" w:fill="auto"/>
          </w:tcPr>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 xml:space="preserve">Linley </w:t>
            </w:r>
            <w:proofErr w:type="spellStart"/>
            <w:r w:rsidRPr="00DF013B">
              <w:rPr>
                <w:rFonts w:asciiTheme="minorHAnsi" w:hAnsiTheme="minorHAnsi" w:cstheme="minorHAnsi"/>
                <w:sz w:val="20"/>
              </w:rPr>
              <w:t>Bielby</w:t>
            </w:r>
            <w:proofErr w:type="spellEnd"/>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Program Manager</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Department of Health</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100-154 Batman Street</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West Melbourne VIC 3003</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szCs w:val="20"/>
              </w:rPr>
              <w:t>Ph</w:t>
            </w:r>
            <w:proofErr w:type="spellEnd"/>
            <w:r w:rsidRPr="00DF013B">
              <w:rPr>
                <w:rFonts w:asciiTheme="minorHAnsi" w:hAnsiTheme="minorHAnsi" w:cstheme="minorHAnsi"/>
                <w:sz w:val="20"/>
                <w:szCs w:val="20"/>
              </w:rPr>
              <w:t xml:space="preserve">: 03 </w:t>
            </w:r>
            <w:r w:rsidRPr="00DF013B">
              <w:rPr>
                <w:rFonts w:asciiTheme="minorHAnsi" w:hAnsiTheme="minorHAnsi" w:cstheme="minorHAnsi"/>
                <w:sz w:val="20"/>
              </w:rPr>
              <w:t>9694 0102</w:t>
            </w:r>
          </w:p>
          <w:p w:rsidR="00A10DA3" w:rsidRPr="00DF013B" w:rsidRDefault="00A10DA3" w:rsidP="00DF013B">
            <w:pPr>
              <w:rPr>
                <w:rFonts w:asciiTheme="minorHAnsi" w:hAnsiTheme="minorHAnsi" w:cstheme="minorHAnsi"/>
                <w:sz w:val="20"/>
                <w:szCs w:val="20"/>
              </w:rPr>
            </w:pPr>
          </w:p>
          <w:p w:rsidR="00A10DA3" w:rsidRPr="00DF013B" w:rsidRDefault="004F5B9D" w:rsidP="00DF013B">
            <w:pPr>
              <w:rPr>
                <w:rFonts w:asciiTheme="minorHAnsi" w:hAnsiTheme="minorHAnsi" w:cstheme="minorHAnsi"/>
                <w:sz w:val="20"/>
                <w:szCs w:val="20"/>
              </w:rPr>
            </w:pPr>
            <w:hyperlink r:id="rId9" w:history="1">
              <w:r w:rsidR="008F45DB" w:rsidRPr="00DF013B">
                <w:rPr>
                  <w:rStyle w:val="Hyperlink"/>
                  <w:rFonts w:asciiTheme="minorHAnsi" w:hAnsiTheme="minorHAnsi" w:cstheme="minorHAnsi"/>
                </w:rPr>
                <w:t>http://www.health.vic.gov.au/bloodmatters/</w:t>
              </w:r>
            </w:hyperlink>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Queensland</w:t>
            </w:r>
          </w:p>
        </w:tc>
        <w:tc>
          <w:tcPr>
            <w:tcW w:w="6946" w:type="dxa"/>
            <w:shd w:val="clear" w:color="auto" w:fill="auto"/>
          </w:tcPr>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Ellen Hawes</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Director, Blood Tissue and Organ Team</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Health Coordination Service Unit</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Queensland Health</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2368</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Fortitude Valley QLD 4006</w:t>
            </w:r>
          </w:p>
          <w:p w:rsidR="00A10DA3" w:rsidRPr="00DF013B" w:rsidRDefault="00A10DA3" w:rsidP="00DF013B">
            <w:pPr>
              <w:rPr>
                <w:rFonts w:asciiTheme="minorHAnsi" w:hAnsiTheme="minorHAnsi" w:cstheme="minorHAnsi"/>
                <w:sz w:val="20"/>
              </w:rPr>
            </w:pPr>
          </w:p>
          <w:p w:rsidR="00A10DA3" w:rsidRPr="00DF013B" w:rsidRDefault="004F5B9D" w:rsidP="00DF013B">
            <w:pPr>
              <w:rPr>
                <w:rFonts w:asciiTheme="minorHAnsi" w:hAnsiTheme="minorHAnsi" w:cstheme="minorHAnsi"/>
                <w:sz w:val="20"/>
                <w:szCs w:val="20"/>
              </w:rPr>
            </w:pPr>
            <w:hyperlink r:id="rId10" w:history="1">
              <w:r w:rsidR="008F45DB" w:rsidRPr="00DF013B">
                <w:rPr>
                  <w:rStyle w:val="Hyperlink"/>
                  <w:rFonts w:asciiTheme="minorHAnsi" w:hAnsiTheme="minorHAnsi" w:cstheme="minorHAnsi"/>
                </w:rPr>
                <w:t>http://www.health.qld.gov.au/qhcss/qbmp/</w:t>
              </w:r>
            </w:hyperlink>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Western Australia</w:t>
            </w:r>
          </w:p>
        </w:tc>
        <w:tc>
          <w:tcPr>
            <w:tcW w:w="6946" w:type="dxa"/>
            <w:shd w:val="clear" w:color="auto" w:fill="auto"/>
          </w:tcPr>
          <w:p w:rsidR="00A10DA3" w:rsidRPr="00DF013B" w:rsidRDefault="00A10DA3" w:rsidP="00DF013B">
            <w:pPr>
              <w:rPr>
                <w:rFonts w:asciiTheme="minorHAnsi" w:hAnsiTheme="minorHAnsi" w:cstheme="minorHAnsi"/>
                <w:sz w:val="20"/>
                <w:szCs w:val="20"/>
              </w:rPr>
            </w:pPr>
            <w:proofErr w:type="spellStart"/>
            <w:r w:rsidRPr="00DF013B">
              <w:rPr>
                <w:rFonts w:asciiTheme="minorHAnsi" w:hAnsiTheme="minorHAnsi" w:cstheme="minorHAnsi"/>
                <w:sz w:val="20"/>
                <w:szCs w:val="20"/>
              </w:rPr>
              <w:t>Trudi</w:t>
            </w:r>
            <w:proofErr w:type="spellEnd"/>
            <w:r w:rsidRPr="00DF013B">
              <w:rPr>
                <w:rFonts w:asciiTheme="minorHAnsi" w:hAnsiTheme="minorHAnsi" w:cstheme="minorHAnsi"/>
                <w:sz w:val="20"/>
                <w:szCs w:val="20"/>
              </w:rPr>
              <w:t xml:space="preserve"> Gallagher</w:t>
            </w:r>
          </w:p>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rPr>
              <w:t>State Patient Blood Management Clinical Coordinator</w:t>
            </w:r>
          </w:p>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rPr>
              <w:t xml:space="preserve">DOH </w:t>
            </w:r>
            <w:proofErr w:type="spellStart"/>
            <w:r w:rsidRPr="00DF013B">
              <w:rPr>
                <w:rFonts w:asciiTheme="minorHAnsi" w:hAnsiTheme="minorHAnsi" w:cstheme="minorHAnsi"/>
                <w:sz w:val="20"/>
              </w:rPr>
              <w:t>CMO</w:t>
            </w:r>
            <w:proofErr w:type="spellEnd"/>
            <w:r w:rsidRPr="00DF013B">
              <w:rPr>
                <w:rFonts w:asciiTheme="minorHAnsi" w:hAnsiTheme="minorHAnsi" w:cstheme="minorHAnsi"/>
                <w:sz w:val="20"/>
              </w:rPr>
              <w:t xml:space="preserve"> Royal St</w:t>
            </w:r>
          </w:p>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rPr>
              <w:t>Perth WA</w:t>
            </w:r>
            <w:r w:rsidRPr="00DF013B">
              <w:rPr>
                <w:rFonts w:asciiTheme="minorHAnsi" w:hAnsiTheme="minorHAnsi" w:cstheme="minorHAnsi"/>
                <w:sz w:val="20"/>
                <w:szCs w:val="20"/>
              </w:rPr>
              <w:t xml:space="preserve"> 6000</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szCs w:val="20"/>
              </w:rPr>
              <w:t>Ph</w:t>
            </w:r>
            <w:proofErr w:type="spellEnd"/>
            <w:r w:rsidRPr="00DF013B">
              <w:rPr>
                <w:rFonts w:asciiTheme="minorHAnsi" w:hAnsiTheme="minorHAnsi" w:cstheme="minorHAnsi"/>
                <w:sz w:val="20"/>
                <w:szCs w:val="20"/>
              </w:rPr>
              <w:t xml:space="preserve">: </w:t>
            </w:r>
            <w:r w:rsidRPr="00DF013B">
              <w:rPr>
                <w:rFonts w:asciiTheme="minorHAnsi" w:hAnsiTheme="minorHAnsi" w:cstheme="minorHAnsi"/>
                <w:sz w:val="20"/>
              </w:rPr>
              <w:t>08</w:t>
            </w:r>
            <w:r w:rsidRPr="00DF013B">
              <w:rPr>
                <w:rFonts w:asciiTheme="minorHAnsi" w:hAnsiTheme="minorHAnsi" w:cstheme="minorHAnsi"/>
                <w:sz w:val="20"/>
                <w:szCs w:val="20"/>
              </w:rPr>
              <w:t xml:space="preserve"> </w:t>
            </w:r>
            <w:r w:rsidRPr="00DF013B">
              <w:rPr>
                <w:rFonts w:asciiTheme="minorHAnsi" w:hAnsiTheme="minorHAnsi" w:cstheme="minorHAnsi"/>
                <w:sz w:val="20"/>
              </w:rPr>
              <w:t>9222</w:t>
            </w:r>
            <w:r w:rsidRPr="00DF013B">
              <w:rPr>
                <w:rFonts w:asciiTheme="minorHAnsi" w:hAnsiTheme="minorHAnsi" w:cstheme="minorHAnsi"/>
                <w:sz w:val="20"/>
                <w:szCs w:val="20"/>
              </w:rPr>
              <w:t xml:space="preserve"> </w:t>
            </w:r>
            <w:r w:rsidRPr="00DF013B">
              <w:rPr>
                <w:rFonts w:asciiTheme="minorHAnsi" w:hAnsiTheme="minorHAnsi" w:cstheme="minorHAnsi"/>
                <w:sz w:val="20"/>
              </w:rPr>
              <w:t>2190</w:t>
            </w:r>
          </w:p>
          <w:p w:rsidR="00A10DA3" w:rsidRPr="00DF013B" w:rsidRDefault="00A10DA3" w:rsidP="00DF013B">
            <w:pPr>
              <w:rPr>
                <w:rFonts w:asciiTheme="minorHAnsi" w:hAnsiTheme="minorHAnsi" w:cstheme="minorHAnsi"/>
                <w:sz w:val="20"/>
                <w:szCs w:val="20"/>
              </w:rPr>
            </w:pPr>
          </w:p>
          <w:p w:rsidR="00A10DA3" w:rsidRPr="00DF013B" w:rsidRDefault="004F5B9D" w:rsidP="00DF013B">
            <w:pPr>
              <w:rPr>
                <w:rFonts w:asciiTheme="minorHAnsi" w:hAnsiTheme="minorHAnsi" w:cstheme="minorHAnsi"/>
                <w:sz w:val="20"/>
                <w:szCs w:val="20"/>
              </w:rPr>
            </w:pPr>
            <w:hyperlink r:id="rId11" w:history="1">
              <w:r w:rsidR="00A10DA3" w:rsidRPr="00DF013B">
                <w:rPr>
                  <w:rStyle w:val="Hyperlink"/>
                  <w:rFonts w:asciiTheme="minorHAnsi" w:eastAsia="Times New Roman" w:hAnsiTheme="minorHAnsi" w:cstheme="minorHAnsi"/>
                  <w:sz w:val="20"/>
                </w:rPr>
                <w:t>www.health.wa.gov.au/bloodmanagement/professionals/index.cfm</w:t>
              </w:r>
            </w:hyperlink>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South Australia</w:t>
            </w:r>
          </w:p>
        </w:tc>
        <w:tc>
          <w:tcPr>
            <w:tcW w:w="6946" w:type="dxa"/>
            <w:shd w:val="clear" w:color="auto" w:fill="auto"/>
          </w:tcPr>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Susan Ireland</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Manager, Blood, Organ and Tissue Programs</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Department of Health and Ageing</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287</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Rundle Mall SA 5000</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szCs w:val="20"/>
              </w:rPr>
              <w:t>Ph</w:t>
            </w:r>
            <w:proofErr w:type="spellEnd"/>
            <w:r w:rsidRPr="00DF013B">
              <w:rPr>
                <w:rFonts w:asciiTheme="minorHAnsi" w:hAnsiTheme="minorHAnsi" w:cstheme="minorHAnsi"/>
                <w:sz w:val="20"/>
                <w:szCs w:val="20"/>
              </w:rPr>
              <w:t xml:space="preserve">: </w:t>
            </w:r>
            <w:r w:rsidRPr="00DF013B">
              <w:rPr>
                <w:rFonts w:asciiTheme="minorHAnsi" w:hAnsiTheme="minorHAnsi" w:cstheme="minorHAnsi"/>
                <w:sz w:val="20"/>
              </w:rPr>
              <w:t>08 8226 6114</w:t>
            </w:r>
          </w:p>
          <w:p w:rsidR="00A10DA3" w:rsidRPr="00DF013B" w:rsidRDefault="00A10DA3" w:rsidP="00DF013B">
            <w:pPr>
              <w:rPr>
                <w:rFonts w:asciiTheme="minorHAnsi" w:hAnsiTheme="minorHAnsi" w:cstheme="minorHAnsi"/>
                <w:sz w:val="20"/>
              </w:rPr>
            </w:pP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 xml:space="preserve">Rachel </w:t>
            </w:r>
            <w:proofErr w:type="spellStart"/>
            <w:r w:rsidRPr="00DF013B">
              <w:rPr>
                <w:rFonts w:asciiTheme="minorHAnsi" w:hAnsiTheme="minorHAnsi" w:cstheme="minorHAnsi"/>
                <w:sz w:val="20"/>
              </w:rPr>
              <w:t>Allden</w:t>
            </w:r>
            <w:proofErr w:type="spellEnd"/>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Principal Consultant</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Blood, Organ and Tissue Programs</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Department of Health and Ageing</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287</w:t>
            </w:r>
          </w:p>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rPr>
              <w:t>Rundle Mall SA 5000</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szCs w:val="20"/>
              </w:rPr>
              <w:t>Ph</w:t>
            </w:r>
            <w:proofErr w:type="spellEnd"/>
            <w:r w:rsidRPr="00DF013B">
              <w:rPr>
                <w:rFonts w:asciiTheme="minorHAnsi" w:hAnsiTheme="minorHAnsi" w:cstheme="minorHAnsi"/>
                <w:sz w:val="20"/>
                <w:szCs w:val="20"/>
              </w:rPr>
              <w:t>: 08 8463 7062</w:t>
            </w:r>
          </w:p>
          <w:p w:rsidR="00A10DA3" w:rsidRPr="00DF013B" w:rsidRDefault="00A10DA3" w:rsidP="00DF013B">
            <w:pPr>
              <w:rPr>
                <w:rFonts w:asciiTheme="minorHAnsi" w:hAnsiTheme="minorHAnsi" w:cstheme="minorHAnsi"/>
                <w:sz w:val="20"/>
                <w:szCs w:val="20"/>
              </w:rPr>
            </w:pPr>
          </w:p>
          <w:p w:rsidR="00A10DA3" w:rsidRPr="00DF013B" w:rsidRDefault="004F5B9D" w:rsidP="00DF013B">
            <w:pPr>
              <w:rPr>
                <w:rFonts w:asciiTheme="minorHAnsi" w:hAnsiTheme="minorHAnsi" w:cstheme="minorHAnsi"/>
                <w:sz w:val="20"/>
                <w:szCs w:val="20"/>
              </w:rPr>
            </w:pPr>
            <w:hyperlink r:id="rId12" w:history="1">
              <w:r w:rsidR="008F45DB" w:rsidRPr="00DF013B">
                <w:rPr>
                  <w:rStyle w:val="Hyperlink"/>
                  <w:rFonts w:asciiTheme="minorHAnsi" w:hAnsiTheme="minorHAnsi" w:cstheme="minorHAnsi"/>
                  <w:sz w:val="20"/>
                  <w:szCs w:val="20"/>
                </w:rPr>
                <w:t>http://www.sahealth.sa.gov.au/wps/wcm/connect/public+content/sa+health+internet/clinical+resources/clinical+programs/blood+products+and+programs</w:t>
              </w:r>
            </w:hyperlink>
          </w:p>
        </w:tc>
      </w:tr>
    </w:tbl>
    <w:p w:rsidR="00CF0AAE" w:rsidRDefault="00CF0AAE"/>
    <w:p w:rsidR="00CF0AAE" w:rsidRDefault="00CF0AAE">
      <w:pPr>
        <w:spacing w:line="276" w:lineRule="auto"/>
      </w:pPr>
      <w:r>
        <w:br w:type="page"/>
      </w:r>
    </w:p>
    <w:tbl>
      <w:tblPr>
        <w:tblStyle w:val="TableGrid"/>
        <w:tblW w:w="9606" w:type="dxa"/>
        <w:tblLayout w:type="fixed"/>
        <w:tblLook w:val="04A0" w:firstRow="1" w:lastRow="0" w:firstColumn="1" w:lastColumn="0" w:noHBand="0" w:noVBand="1"/>
      </w:tblPr>
      <w:tblGrid>
        <w:gridCol w:w="2660"/>
        <w:gridCol w:w="6946"/>
      </w:tblGrid>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lastRenderedPageBreak/>
              <w:t>Tasmania</w:t>
            </w:r>
          </w:p>
        </w:tc>
        <w:tc>
          <w:tcPr>
            <w:tcW w:w="6946" w:type="dxa"/>
            <w:shd w:val="clear" w:color="auto" w:fill="auto"/>
          </w:tcPr>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Helen Atkinson</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Blood Transfusion Nurse</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THO-South</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Royal Hobart Hospital</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GPO Box 1061</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 xml:space="preserve">Hobart </w:t>
            </w:r>
            <w:proofErr w:type="spellStart"/>
            <w:r w:rsidRPr="00DF013B">
              <w:rPr>
                <w:rFonts w:asciiTheme="minorHAnsi" w:hAnsiTheme="minorHAnsi" w:cstheme="minorHAnsi"/>
                <w:sz w:val="20"/>
              </w:rPr>
              <w:t>Tas</w:t>
            </w:r>
            <w:proofErr w:type="spellEnd"/>
            <w:r w:rsidRPr="00DF013B">
              <w:rPr>
                <w:rFonts w:asciiTheme="minorHAnsi" w:hAnsiTheme="minorHAnsi" w:cstheme="minorHAnsi"/>
                <w:sz w:val="20"/>
              </w:rPr>
              <w:t xml:space="preserve"> 7001</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03 6222 8549</w:t>
            </w:r>
          </w:p>
          <w:p w:rsidR="00A10DA3" w:rsidRPr="00DF013B" w:rsidRDefault="00A10DA3" w:rsidP="00DF013B">
            <w:pPr>
              <w:rPr>
                <w:rFonts w:asciiTheme="minorHAnsi" w:hAnsiTheme="minorHAnsi" w:cstheme="minorHAnsi"/>
                <w:sz w:val="20"/>
              </w:rPr>
            </w:pP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Dawn Richardson</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Blood Transfusion Nurse</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THO-North</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Launceston General Hospital</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1963</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 xml:space="preserve">Launceston </w:t>
            </w:r>
            <w:proofErr w:type="spellStart"/>
            <w:r w:rsidRPr="00DF013B">
              <w:rPr>
                <w:rFonts w:asciiTheme="minorHAnsi" w:hAnsiTheme="minorHAnsi" w:cstheme="minorHAnsi"/>
                <w:sz w:val="20"/>
              </w:rPr>
              <w:t>Tas</w:t>
            </w:r>
            <w:proofErr w:type="spellEnd"/>
            <w:r w:rsidRPr="00DF013B">
              <w:rPr>
                <w:rFonts w:asciiTheme="minorHAnsi" w:hAnsiTheme="minorHAnsi" w:cstheme="minorHAnsi"/>
                <w:sz w:val="20"/>
              </w:rPr>
              <w:t xml:space="preserve"> 7250</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03 6348 7691</w:t>
            </w:r>
          </w:p>
          <w:p w:rsidR="00A10DA3" w:rsidRPr="00DF013B" w:rsidRDefault="00A10DA3" w:rsidP="00DF013B">
            <w:pPr>
              <w:rPr>
                <w:rFonts w:asciiTheme="minorHAnsi" w:hAnsiTheme="minorHAnsi" w:cstheme="minorHAnsi"/>
                <w:sz w:val="20"/>
              </w:rPr>
            </w:pP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Erin Wearne</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Blood Transfusion Nurse</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THO-North West</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Mersey Community Hospital</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258</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 xml:space="preserve">Burnie </w:t>
            </w:r>
            <w:proofErr w:type="spellStart"/>
            <w:r w:rsidRPr="00DF013B">
              <w:rPr>
                <w:rFonts w:asciiTheme="minorHAnsi" w:hAnsiTheme="minorHAnsi" w:cstheme="minorHAnsi"/>
                <w:sz w:val="20"/>
              </w:rPr>
              <w:t>Tas</w:t>
            </w:r>
            <w:proofErr w:type="spellEnd"/>
            <w:r w:rsidRPr="00DF013B">
              <w:rPr>
                <w:rFonts w:asciiTheme="minorHAnsi" w:hAnsiTheme="minorHAnsi" w:cstheme="minorHAnsi"/>
                <w:sz w:val="20"/>
              </w:rPr>
              <w:t xml:space="preserve"> 7320</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03 6426 5193</w:t>
            </w:r>
          </w:p>
          <w:p w:rsidR="00A10DA3" w:rsidRPr="00DF013B" w:rsidRDefault="00A10DA3" w:rsidP="00DF013B">
            <w:pPr>
              <w:rPr>
                <w:rFonts w:asciiTheme="minorHAnsi" w:hAnsiTheme="minorHAnsi" w:cstheme="minorHAnsi"/>
                <w:sz w:val="20"/>
              </w:rPr>
            </w:pPr>
          </w:p>
          <w:p w:rsidR="00A10DA3" w:rsidRPr="00DF013B" w:rsidRDefault="004F5B9D" w:rsidP="00DF013B">
            <w:pPr>
              <w:rPr>
                <w:rFonts w:asciiTheme="minorHAnsi" w:hAnsiTheme="minorHAnsi" w:cstheme="minorHAnsi"/>
                <w:sz w:val="20"/>
                <w:szCs w:val="20"/>
              </w:rPr>
            </w:pPr>
            <w:hyperlink r:id="rId13" w:history="1">
              <w:r w:rsidR="008F45DB" w:rsidRPr="00DF013B">
                <w:rPr>
                  <w:rStyle w:val="Hyperlink"/>
                  <w:rFonts w:asciiTheme="minorHAnsi" w:hAnsiTheme="minorHAnsi" w:cstheme="minorHAnsi"/>
                  <w:sz w:val="20"/>
                </w:rPr>
                <w:t>http://www.dhhs.tas.gov.au/</w:t>
              </w:r>
            </w:hyperlink>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Australian Capital Territory</w:t>
            </w:r>
          </w:p>
        </w:tc>
        <w:tc>
          <w:tcPr>
            <w:tcW w:w="6946" w:type="dxa"/>
            <w:shd w:val="clear" w:color="auto" w:fill="auto"/>
          </w:tcPr>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Maria Burgess</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ACT Health</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C/O ACT Pathology</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11</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Woden ACT 2606</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rPr>
              <w:t>Ph</w:t>
            </w:r>
            <w:proofErr w:type="spellEnd"/>
            <w:r w:rsidRPr="00DF013B">
              <w:rPr>
                <w:rFonts w:asciiTheme="minorHAnsi" w:hAnsiTheme="minorHAnsi" w:cstheme="minorHAnsi"/>
                <w:sz w:val="20"/>
              </w:rPr>
              <w:t>: 02 6244 4092</w:t>
            </w:r>
          </w:p>
          <w:p w:rsidR="00A10DA3" w:rsidRPr="00DF013B" w:rsidRDefault="00A10DA3" w:rsidP="00DF013B">
            <w:pPr>
              <w:rPr>
                <w:rFonts w:asciiTheme="minorHAnsi" w:hAnsiTheme="minorHAnsi" w:cstheme="minorHAnsi"/>
                <w:sz w:val="20"/>
              </w:rPr>
            </w:pP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Carolyn Duck</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Senior Policy Officer, Blood &amp; Blood Products</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Health Directorate ACT</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Level 1, Building 10, Canberra Hospital</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Yamba Dr</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Garran ACT 2605</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rPr>
              <w:t>Ph</w:t>
            </w:r>
            <w:proofErr w:type="spellEnd"/>
            <w:r w:rsidRPr="00DF013B">
              <w:rPr>
                <w:rFonts w:asciiTheme="minorHAnsi" w:hAnsiTheme="minorHAnsi" w:cstheme="minorHAnsi"/>
                <w:sz w:val="20"/>
              </w:rPr>
              <w:t>: 02 6205 3094</w:t>
            </w:r>
          </w:p>
          <w:p w:rsidR="00A10DA3" w:rsidRPr="00DF013B" w:rsidRDefault="00A10DA3" w:rsidP="00DF013B">
            <w:pPr>
              <w:rPr>
                <w:rFonts w:asciiTheme="minorHAnsi" w:hAnsiTheme="minorHAnsi" w:cstheme="minorHAnsi"/>
              </w:rPr>
            </w:pPr>
          </w:p>
          <w:p w:rsidR="00A10DA3" w:rsidRPr="00DF013B" w:rsidRDefault="004F5B9D" w:rsidP="00DF013B">
            <w:pPr>
              <w:rPr>
                <w:rFonts w:asciiTheme="minorHAnsi" w:hAnsiTheme="minorHAnsi" w:cstheme="minorHAnsi"/>
                <w:sz w:val="20"/>
                <w:szCs w:val="20"/>
              </w:rPr>
            </w:pPr>
            <w:hyperlink r:id="rId14" w:history="1">
              <w:r w:rsidR="008F45DB" w:rsidRPr="00DF013B">
                <w:rPr>
                  <w:rStyle w:val="Hyperlink"/>
                  <w:rFonts w:asciiTheme="minorHAnsi" w:hAnsiTheme="minorHAnsi" w:cstheme="minorHAnsi"/>
                  <w:sz w:val="20"/>
                </w:rPr>
                <w:t>http://health.act.gov.au/professionals/blood-and-blood-products/blood-and-blood-products</w:t>
              </w:r>
            </w:hyperlink>
          </w:p>
        </w:tc>
      </w:tr>
      <w:tr w:rsidR="008F45DB" w:rsidRPr="008F45DB" w:rsidTr="008F45DB">
        <w:tc>
          <w:tcPr>
            <w:tcW w:w="2660" w:type="dxa"/>
            <w:shd w:val="clear" w:color="auto" w:fill="auto"/>
          </w:tcPr>
          <w:p w:rsidR="00A10DA3" w:rsidRPr="00DF013B" w:rsidRDefault="00A10DA3" w:rsidP="00DF013B">
            <w:pPr>
              <w:rPr>
                <w:rFonts w:asciiTheme="minorHAnsi" w:hAnsiTheme="minorHAnsi" w:cstheme="minorHAnsi"/>
                <w:sz w:val="20"/>
                <w:szCs w:val="20"/>
              </w:rPr>
            </w:pPr>
            <w:r w:rsidRPr="00DF013B">
              <w:rPr>
                <w:rFonts w:asciiTheme="minorHAnsi" w:hAnsiTheme="minorHAnsi" w:cstheme="minorHAnsi"/>
                <w:sz w:val="20"/>
                <w:szCs w:val="20"/>
              </w:rPr>
              <w:t>Northern Territory</w:t>
            </w:r>
          </w:p>
        </w:tc>
        <w:tc>
          <w:tcPr>
            <w:tcW w:w="6946" w:type="dxa"/>
            <w:shd w:val="clear" w:color="auto" w:fill="auto"/>
          </w:tcPr>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rPr>
              <w:t>Diann</w:t>
            </w:r>
            <w:proofErr w:type="spellEnd"/>
            <w:r w:rsidRPr="00DF013B">
              <w:rPr>
                <w:rFonts w:asciiTheme="minorHAnsi" w:hAnsiTheme="minorHAnsi" w:cstheme="minorHAnsi"/>
                <w:sz w:val="20"/>
              </w:rPr>
              <w:t xml:space="preserve"> Black</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Transfusion Nurse</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Royal Darwin Hospital</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PO Box 41326</w:t>
            </w:r>
          </w:p>
          <w:p w:rsidR="00A10DA3" w:rsidRPr="00DF013B" w:rsidRDefault="00A10DA3" w:rsidP="00DF013B">
            <w:pPr>
              <w:rPr>
                <w:rFonts w:asciiTheme="minorHAnsi" w:hAnsiTheme="minorHAnsi" w:cstheme="minorHAnsi"/>
                <w:sz w:val="20"/>
              </w:rPr>
            </w:pPr>
            <w:r w:rsidRPr="00DF013B">
              <w:rPr>
                <w:rFonts w:asciiTheme="minorHAnsi" w:hAnsiTheme="minorHAnsi" w:cstheme="minorHAnsi"/>
                <w:sz w:val="20"/>
              </w:rPr>
              <w:t>Casuarina NT 0811</w:t>
            </w:r>
          </w:p>
          <w:p w:rsidR="00A10DA3" w:rsidRPr="00DF013B" w:rsidRDefault="00A10DA3" w:rsidP="00DF013B">
            <w:pPr>
              <w:rPr>
                <w:rFonts w:asciiTheme="minorHAnsi" w:hAnsiTheme="minorHAnsi" w:cstheme="minorHAnsi"/>
                <w:sz w:val="20"/>
              </w:rPr>
            </w:pPr>
            <w:proofErr w:type="spellStart"/>
            <w:r w:rsidRPr="00DF013B">
              <w:rPr>
                <w:rFonts w:asciiTheme="minorHAnsi" w:hAnsiTheme="minorHAnsi" w:cstheme="minorHAnsi"/>
                <w:sz w:val="20"/>
              </w:rPr>
              <w:t>Ph</w:t>
            </w:r>
            <w:proofErr w:type="spellEnd"/>
            <w:r w:rsidRPr="00DF013B">
              <w:rPr>
                <w:rFonts w:asciiTheme="minorHAnsi" w:hAnsiTheme="minorHAnsi" w:cstheme="minorHAnsi"/>
                <w:sz w:val="20"/>
              </w:rPr>
              <w:t xml:space="preserve">: </w:t>
            </w:r>
            <w:r w:rsidRPr="00DF013B">
              <w:rPr>
                <w:rFonts w:asciiTheme="minorHAnsi" w:hAnsiTheme="minorHAnsi" w:cstheme="minorHAnsi"/>
                <w:sz w:val="20"/>
                <w:szCs w:val="20"/>
              </w:rPr>
              <w:t>08 8922 8888</w:t>
            </w:r>
          </w:p>
          <w:p w:rsidR="00A10DA3" w:rsidRPr="00DF013B" w:rsidRDefault="00A10DA3" w:rsidP="00DF013B">
            <w:pPr>
              <w:rPr>
                <w:rFonts w:asciiTheme="minorHAnsi" w:hAnsiTheme="minorHAnsi" w:cstheme="minorHAnsi"/>
                <w:sz w:val="20"/>
              </w:rPr>
            </w:pPr>
          </w:p>
          <w:p w:rsidR="00A10DA3" w:rsidRPr="00DF013B" w:rsidRDefault="004F5B9D" w:rsidP="00DF013B">
            <w:pPr>
              <w:rPr>
                <w:rFonts w:asciiTheme="minorHAnsi" w:hAnsiTheme="minorHAnsi" w:cstheme="minorHAnsi"/>
                <w:sz w:val="20"/>
                <w:szCs w:val="20"/>
              </w:rPr>
            </w:pPr>
            <w:hyperlink r:id="rId15" w:history="1">
              <w:r w:rsidR="008F45DB" w:rsidRPr="00DF013B">
                <w:rPr>
                  <w:rStyle w:val="Hyperlink"/>
                  <w:rFonts w:asciiTheme="minorHAnsi" w:hAnsiTheme="minorHAnsi" w:cstheme="minorHAnsi"/>
                  <w:sz w:val="20"/>
                </w:rPr>
                <w:t>http://health.nt.gov.au/</w:t>
              </w:r>
            </w:hyperlink>
          </w:p>
        </w:tc>
      </w:tr>
    </w:tbl>
    <w:p w:rsidR="00B3726E" w:rsidRPr="00DF013B" w:rsidRDefault="00B3726E">
      <w:pPr>
        <w:rPr>
          <w:rFonts w:asciiTheme="minorHAnsi" w:hAnsiTheme="minorHAnsi" w:cstheme="minorHAnsi"/>
        </w:rPr>
      </w:pPr>
      <w:bookmarkStart w:id="15" w:name="_Toc275414998"/>
      <w:bookmarkEnd w:id="15"/>
    </w:p>
    <w:sectPr w:rsidR="00B3726E" w:rsidRPr="00DF013B" w:rsidSect="00DF013B">
      <w:headerReference w:type="even" r:id="rId16"/>
      <w:headerReference w:type="default" r:id="rId17"/>
      <w:footerReference w:type="even" r:id="rId18"/>
      <w:footerReference w:type="default" r:id="rId19"/>
      <w:headerReference w:type="first" r:id="rId20"/>
      <w:footerReference w:type="first" r:id="rId21"/>
      <w:pgSz w:w="11906" w:h="16838"/>
      <w:pgMar w:top="1440" w:right="1133"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D0" w:rsidRDefault="00AD02D0" w:rsidP="00856708">
      <w:pPr>
        <w:spacing w:after="0"/>
      </w:pPr>
      <w:r>
        <w:separator/>
      </w:r>
    </w:p>
  </w:endnote>
  <w:endnote w:type="continuationSeparator" w:id="0">
    <w:p w:rsidR="00AD02D0" w:rsidRDefault="00AD02D0" w:rsidP="008567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YGothic-Extra">
    <w:panose1 w:val="00000000000000000000"/>
    <w:charset w:val="81"/>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E4" w:rsidRDefault="00AC13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708" w:rsidRPr="00856708" w:rsidRDefault="00856708" w:rsidP="00856708">
    <w:pPr>
      <w:pStyle w:val="Footer"/>
      <w:tabs>
        <w:tab w:val="clear" w:pos="9026"/>
        <w:tab w:val="right" w:pos="9356"/>
      </w:tabs>
      <w:rPr>
        <w:sz w:val="20"/>
        <w:szCs w:val="20"/>
      </w:rPr>
    </w:pPr>
    <w:r w:rsidRPr="00856708">
      <w:rPr>
        <w:sz w:val="20"/>
        <w:szCs w:val="20"/>
      </w:rPr>
      <w:t>National Blood Authority</w:t>
    </w:r>
    <w:r w:rsidRPr="00856708">
      <w:rPr>
        <w:sz w:val="20"/>
        <w:szCs w:val="20"/>
      </w:rPr>
      <w:tab/>
    </w:r>
    <w:r w:rsidRPr="00856708">
      <w:rPr>
        <w:sz w:val="20"/>
        <w:szCs w:val="20"/>
      </w:rPr>
      <w:tab/>
      <w:t xml:space="preserve">pg. </w:t>
    </w:r>
    <w:r w:rsidRPr="00856708">
      <w:rPr>
        <w:sz w:val="20"/>
        <w:szCs w:val="20"/>
      </w:rPr>
      <w:fldChar w:fldCharType="begin"/>
    </w:r>
    <w:r w:rsidRPr="00856708">
      <w:rPr>
        <w:sz w:val="20"/>
        <w:szCs w:val="20"/>
      </w:rPr>
      <w:instrText xml:space="preserve"> PAGE    \* MERGEFORMAT </w:instrText>
    </w:r>
    <w:r w:rsidRPr="00856708">
      <w:rPr>
        <w:sz w:val="20"/>
        <w:szCs w:val="20"/>
      </w:rPr>
      <w:fldChar w:fldCharType="separate"/>
    </w:r>
    <w:r w:rsidR="004F5B9D">
      <w:rPr>
        <w:noProof/>
        <w:sz w:val="20"/>
        <w:szCs w:val="20"/>
      </w:rPr>
      <w:t>2</w:t>
    </w:r>
    <w:r w:rsidRPr="00856708">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E4" w:rsidRDefault="00AC13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D0" w:rsidRDefault="00AD02D0" w:rsidP="00856708">
      <w:pPr>
        <w:spacing w:after="0"/>
      </w:pPr>
      <w:r>
        <w:separator/>
      </w:r>
    </w:p>
  </w:footnote>
  <w:footnote w:type="continuationSeparator" w:id="0">
    <w:p w:rsidR="00AD02D0" w:rsidRDefault="00AD02D0" w:rsidP="008567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E4" w:rsidRDefault="00AC13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3E4" w:rsidRDefault="00AC13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94B" w:rsidRDefault="00E7294B">
    <w:pPr>
      <w:pStyle w:val="Header"/>
    </w:pPr>
    <w:r>
      <w:rPr>
        <w:noProof/>
        <w:lang w:eastAsia="en-AU"/>
      </w:rPr>
      <w:drawing>
        <wp:anchor distT="0" distB="0" distL="114300" distR="114300" simplePos="0" relativeHeight="251658240" behindDoc="1" locked="0" layoutInCell="1" allowOverlap="1" wp14:anchorId="70FC585C" wp14:editId="1BD6C6F2">
          <wp:simplePos x="0" y="0"/>
          <wp:positionH relativeFrom="column">
            <wp:posOffset>-923925</wp:posOffset>
          </wp:positionH>
          <wp:positionV relativeFrom="paragraph">
            <wp:posOffset>-478155</wp:posOffset>
          </wp:positionV>
          <wp:extent cx="7588342" cy="10725150"/>
          <wp:effectExtent l="0" t="0" r="0" b="0"/>
          <wp:wrapNone/>
          <wp:docPr id="14" name="Picture 14"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A A4 Factsheets_Background2.jpg"/>
                  <pic:cNvPicPr/>
                </pic:nvPicPr>
                <pic:blipFill>
                  <a:blip r:embed="rId1">
                    <a:extLst>
                      <a:ext uri="{28A0092B-C50C-407E-A947-70E740481C1C}">
                        <a14:useLocalDpi xmlns:a14="http://schemas.microsoft.com/office/drawing/2010/main" val="0"/>
                      </a:ext>
                    </a:extLst>
                  </a:blip>
                  <a:stretch>
                    <a:fillRect/>
                  </a:stretch>
                </pic:blipFill>
                <pic:spPr>
                  <a:xfrm>
                    <a:off x="0" y="0"/>
                    <a:ext cx="7588691" cy="107256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ECD"/>
    <w:multiLevelType w:val="hybridMultilevel"/>
    <w:tmpl w:val="9F9E0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ED21FB"/>
    <w:multiLevelType w:val="hybridMultilevel"/>
    <w:tmpl w:val="C05E4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8B6293"/>
    <w:multiLevelType w:val="multilevel"/>
    <w:tmpl w:val="E75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C87AA8"/>
    <w:multiLevelType w:val="hybridMultilevel"/>
    <w:tmpl w:val="9B325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5C2EE4"/>
    <w:multiLevelType w:val="hybridMultilevel"/>
    <w:tmpl w:val="23805F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133BDA"/>
    <w:multiLevelType w:val="hybridMultilevel"/>
    <w:tmpl w:val="BD48FA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357727"/>
    <w:multiLevelType w:val="hybridMultilevel"/>
    <w:tmpl w:val="B308DB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773067"/>
    <w:multiLevelType w:val="multilevel"/>
    <w:tmpl w:val="2446DE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100DDA"/>
    <w:multiLevelType w:val="multilevel"/>
    <w:tmpl w:val="2854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CC1FCA"/>
    <w:multiLevelType w:val="multilevel"/>
    <w:tmpl w:val="658C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F27882"/>
    <w:multiLevelType w:val="hybridMultilevel"/>
    <w:tmpl w:val="BBAAF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9435B5E"/>
    <w:multiLevelType w:val="multilevel"/>
    <w:tmpl w:val="CD3AB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6E4D91"/>
    <w:multiLevelType w:val="multilevel"/>
    <w:tmpl w:val="F0BE6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091065A"/>
    <w:multiLevelType w:val="multilevel"/>
    <w:tmpl w:val="9086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031087"/>
    <w:multiLevelType w:val="multilevel"/>
    <w:tmpl w:val="9DB6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47C5B7C"/>
    <w:multiLevelType w:val="hybridMultilevel"/>
    <w:tmpl w:val="D0AE2D92"/>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69D0428"/>
    <w:multiLevelType w:val="multilevel"/>
    <w:tmpl w:val="2556A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8D07BEF"/>
    <w:multiLevelType w:val="multilevel"/>
    <w:tmpl w:val="97B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3C7386"/>
    <w:multiLevelType w:val="hybridMultilevel"/>
    <w:tmpl w:val="5C16155C"/>
    <w:lvl w:ilvl="0" w:tplc="D49AB12C">
      <w:start w:val="1"/>
      <w:numFmt w:val="bullet"/>
      <w:lvlText w:val="&gt;"/>
      <w:lvlJc w:val="left"/>
      <w:pPr>
        <w:ind w:left="720" w:hanging="360"/>
      </w:pPr>
      <w:rPr>
        <w:rFonts w:ascii="Calibri" w:hAnsi="Calibri" w:hint="default"/>
        <w:b/>
        <w:i w:val="0"/>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E8159E1"/>
    <w:multiLevelType w:val="multilevel"/>
    <w:tmpl w:val="CB2E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DF7BF4"/>
    <w:multiLevelType w:val="multilevel"/>
    <w:tmpl w:val="E25EB8C8"/>
    <w:lvl w:ilvl="0">
      <w:start w:val="1"/>
      <w:numFmt w:val="decimal"/>
      <w:lvlText w:val="%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37434B42"/>
    <w:multiLevelType w:val="hybridMultilevel"/>
    <w:tmpl w:val="E28CBCD8"/>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351022"/>
    <w:multiLevelType w:val="hybridMultilevel"/>
    <w:tmpl w:val="35CA0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D91279D"/>
    <w:multiLevelType w:val="multilevel"/>
    <w:tmpl w:val="B83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0164E5"/>
    <w:multiLevelType w:val="hybridMultilevel"/>
    <w:tmpl w:val="CCE4EA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E126C6"/>
    <w:multiLevelType w:val="hybridMultilevel"/>
    <w:tmpl w:val="4C78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5BF7D9C"/>
    <w:multiLevelType w:val="multilevel"/>
    <w:tmpl w:val="2D4E5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D94856"/>
    <w:multiLevelType w:val="hybridMultilevel"/>
    <w:tmpl w:val="A96AFC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B8A3631"/>
    <w:multiLevelType w:val="hybridMultilevel"/>
    <w:tmpl w:val="7AC2C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C83141C"/>
    <w:multiLevelType w:val="hybridMultilevel"/>
    <w:tmpl w:val="4D5AFF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496398A"/>
    <w:multiLevelType w:val="multilevel"/>
    <w:tmpl w:val="3E98A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3B22A7"/>
    <w:multiLevelType w:val="hybridMultilevel"/>
    <w:tmpl w:val="8D64C2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3ED3E7D"/>
    <w:multiLevelType w:val="multilevel"/>
    <w:tmpl w:val="E93C4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EA0AF5"/>
    <w:multiLevelType w:val="hybridMultilevel"/>
    <w:tmpl w:val="F2BCB0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9BA48A4"/>
    <w:multiLevelType w:val="hybridMultilevel"/>
    <w:tmpl w:val="052E2BBA"/>
    <w:lvl w:ilvl="0" w:tplc="0C09000F">
      <w:start w:val="1"/>
      <w:numFmt w:val="decimal"/>
      <w:lvlText w:val="%1."/>
      <w:lvlJc w:val="left"/>
      <w:pPr>
        <w:ind w:left="60" w:hanging="360"/>
      </w:pPr>
    </w:lvl>
    <w:lvl w:ilvl="1" w:tplc="0C090019" w:tentative="1">
      <w:start w:val="1"/>
      <w:numFmt w:val="lowerLetter"/>
      <w:lvlText w:val="%2."/>
      <w:lvlJc w:val="left"/>
      <w:pPr>
        <w:ind w:left="780" w:hanging="360"/>
      </w:pPr>
    </w:lvl>
    <w:lvl w:ilvl="2" w:tplc="0C09001B" w:tentative="1">
      <w:start w:val="1"/>
      <w:numFmt w:val="lowerRoman"/>
      <w:lvlText w:val="%3."/>
      <w:lvlJc w:val="right"/>
      <w:pPr>
        <w:ind w:left="1500" w:hanging="180"/>
      </w:pPr>
    </w:lvl>
    <w:lvl w:ilvl="3" w:tplc="0C09000F" w:tentative="1">
      <w:start w:val="1"/>
      <w:numFmt w:val="decimal"/>
      <w:lvlText w:val="%4."/>
      <w:lvlJc w:val="left"/>
      <w:pPr>
        <w:ind w:left="2220" w:hanging="360"/>
      </w:pPr>
    </w:lvl>
    <w:lvl w:ilvl="4" w:tplc="0C090019" w:tentative="1">
      <w:start w:val="1"/>
      <w:numFmt w:val="lowerLetter"/>
      <w:lvlText w:val="%5."/>
      <w:lvlJc w:val="left"/>
      <w:pPr>
        <w:ind w:left="2940" w:hanging="360"/>
      </w:pPr>
    </w:lvl>
    <w:lvl w:ilvl="5" w:tplc="0C09001B" w:tentative="1">
      <w:start w:val="1"/>
      <w:numFmt w:val="lowerRoman"/>
      <w:lvlText w:val="%6."/>
      <w:lvlJc w:val="right"/>
      <w:pPr>
        <w:ind w:left="3660" w:hanging="180"/>
      </w:pPr>
    </w:lvl>
    <w:lvl w:ilvl="6" w:tplc="0C09000F" w:tentative="1">
      <w:start w:val="1"/>
      <w:numFmt w:val="decimal"/>
      <w:lvlText w:val="%7."/>
      <w:lvlJc w:val="left"/>
      <w:pPr>
        <w:ind w:left="4380" w:hanging="360"/>
      </w:pPr>
    </w:lvl>
    <w:lvl w:ilvl="7" w:tplc="0C090019" w:tentative="1">
      <w:start w:val="1"/>
      <w:numFmt w:val="lowerLetter"/>
      <w:lvlText w:val="%8."/>
      <w:lvlJc w:val="left"/>
      <w:pPr>
        <w:ind w:left="5100" w:hanging="360"/>
      </w:pPr>
    </w:lvl>
    <w:lvl w:ilvl="8" w:tplc="0C09001B" w:tentative="1">
      <w:start w:val="1"/>
      <w:numFmt w:val="lowerRoman"/>
      <w:lvlText w:val="%9."/>
      <w:lvlJc w:val="right"/>
      <w:pPr>
        <w:ind w:left="5820" w:hanging="180"/>
      </w:pPr>
    </w:lvl>
  </w:abstractNum>
  <w:abstractNum w:abstractNumId="35">
    <w:nsid w:val="6B2A7D0F"/>
    <w:multiLevelType w:val="multilevel"/>
    <w:tmpl w:val="E13C4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EA216AE"/>
    <w:multiLevelType w:val="hybridMultilevel"/>
    <w:tmpl w:val="79BEDF2C"/>
    <w:lvl w:ilvl="0" w:tplc="DA3E38AC">
      <w:start w:val="1"/>
      <w:numFmt w:val="bullet"/>
      <w:lvlText w:val="&gt;"/>
      <w:lvlJc w:val="left"/>
      <w:pPr>
        <w:ind w:left="720" w:hanging="360"/>
      </w:pPr>
      <w:rPr>
        <w:rFonts w:ascii="Calibri" w:hAnsi="Calibri" w:hint="default"/>
        <w:b/>
        <w:i w:val="0"/>
        <w:color w:val="BCBDBC"/>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E61134"/>
    <w:multiLevelType w:val="hybridMultilevel"/>
    <w:tmpl w:val="493A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4CD30C5"/>
    <w:multiLevelType w:val="hybridMultilevel"/>
    <w:tmpl w:val="45B6C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8E40F3A"/>
    <w:multiLevelType w:val="hybridMultilevel"/>
    <w:tmpl w:val="D3223E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D5748BA"/>
    <w:multiLevelType w:val="hybridMultilevel"/>
    <w:tmpl w:val="8F4E0E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21"/>
  </w:num>
  <w:num w:numId="4">
    <w:abstractNumId w:val="36"/>
  </w:num>
  <w:num w:numId="5">
    <w:abstractNumId w:val="18"/>
  </w:num>
  <w:num w:numId="6">
    <w:abstractNumId w:val="9"/>
  </w:num>
  <w:num w:numId="7">
    <w:abstractNumId w:val="26"/>
  </w:num>
  <w:num w:numId="8">
    <w:abstractNumId w:val="19"/>
  </w:num>
  <w:num w:numId="9">
    <w:abstractNumId w:val="7"/>
  </w:num>
  <w:num w:numId="10">
    <w:abstractNumId w:val="30"/>
  </w:num>
  <w:num w:numId="11">
    <w:abstractNumId w:val="12"/>
  </w:num>
  <w:num w:numId="12">
    <w:abstractNumId w:val="32"/>
  </w:num>
  <w:num w:numId="13">
    <w:abstractNumId w:val="13"/>
  </w:num>
  <w:num w:numId="14">
    <w:abstractNumId w:val="17"/>
  </w:num>
  <w:num w:numId="15">
    <w:abstractNumId w:val="2"/>
  </w:num>
  <w:num w:numId="16">
    <w:abstractNumId w:val="23"/>
  </w:num>
  <w:num w:numId="17">
    <w:abstractNumId w:val="16"/>
  </w:num>
  <w:num w:numId="18">
    <w:abstractNumId w:val="14"/>
  </w:num>
  <w:num w:numId="19">
    <w:abstractNumId w:val="35"/>
  </w:num>
  <w:num w:numId="20">
    <w:abstractNumId w:val="11"/>
  </w:num>
  <w:num w:numId="21">
    <w:abstractNumId w:val="8"/>
  </w:num>
  <w:num w:numId="22">
    <w:abstractNumId w:val="15"/>
  </w:num>
  <w:num w:numId="23">
    <w:abstractNumId w:val="31"/>
  </w:num>
  <w:num w:numId="24">
    <w:abstractNumId w:val="38"/>
  </w:num>
  <w:num w:numId="25">
    <w:abstractNumId w:val="22"/>
  </w:num>
  <w:num w:numId="26">
    <w:abstractNumId w:val="0"/>
  </w:num>
  <w:num w:numId="27">
    <w:abstractNumId w:val="6"/>
  </w:num>
  <w:num w:numId="28">
    <w:abstractNumId w:val="1"/>
  </w:num>
  <w:num w:numId="29">
    <w:abstractNumId w:val="27"/>
  </w:num>
  <w:num w:numId="30">
    <w:abstractNumId w:val="34"/>
  </w:num>
  <w:num w:numId="31">
    <w:abstractNumId w:val="4"/>
  </w:num>
  <w:num w:numId="32">
    <w:abstractNumId w:val="40"/>
  </w:num>
  <w:num w:numId="33">
    <w:abstractNumId w:val="24"/>
  </w:num>
  <w:num w:numId="34">
    <w:abstractNumId w:val="3"/>
  </w:num>
  <w:num w:numId="35">
    <w:abstractNumId w:val="5"/>
  </w:num>
  <w:num w:numId="36">
    <w:abstractNumId w:val="33"/>
  </w:num>
  <w:num w:numId="37">
    <w:abstractNumId w:val="28"/>
  </w:num>
  <w:num w:numId="38">
    <w:abstractNumId w:val="10"/>
  </w:num>
  <w:num w:numId="39">
    <w:abstractNumId w:val="39"/>
  </w:num>
  <w:num w:numId="40">
    <w:abstractNumId w:val="29"/>
  </w:num>
  <w:num w:numId="41">
    <w:abstractNumId w:val="3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D0"/>
    <w:rsid w:val="00036EDC"/>
    <w:rsid w:val="002537F2"/>
    <w:rsid w:val="002F079E"/>
    <w:rsid w:val="0039529F"/>
    <w:rsid w:val="004D4636"/>
    <w:rsid w:val="004E3F34"/>
    <w:rsid w:val="004F5B9D"/>
    <w:rsid w:val="005831DB"/>
    <w:rsid w:val="00602D0A"/>
    <w:rsid w:val="006E22B9"/>
    <w:rsid w:val="007B70D2"/>
    <w:rsid w:val="00856708"/>
    <w:rsid w:val="00893E0A"/>
    <w:rsid w:val="008F45DB"/>
    <w:rsid w:val="00951B85"/>
    <w:rsid w:val="009E38CC"/>
    <w:rsid w:val="00A10DA3"/>
    <w:rsid w:val="00AC13E4"/>
    <w:rsid w:val="00AD02D0"/>
    <w:rsid w:val="00B3726E"/>
    <w:rsid w:val="00C15EDB"/>
    <w:rsid w:val="00C7337B"/>
    <w:rsid w:val="00CF0AAE"/>
    <w:rsid w:val="00DF013B"/>
    <w:rsid w:val="00E20CCF"/>
    <w:rsid w:val="00E7294B"/>
    <w:rsid w:val="00FA1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602D0A"/>
    <w:pPr>
      <w:spacing w:after="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602D0A"/>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CommentReference">
    <w:name w:val="annotation reference"/>
    <w:basedOn w:val="DefaultParagraphFont"/>
    <w:uiPriority w:val="99"/>
    <w:semiHidden/>
    <w:unhideWhenUsed/>
    <w:rsid w:val="00A10DA3"/>
    <w:rPr>
      <w:sz w:val="16"/>
      <w:szCs w:val="16"/>
    </w:rPr>
  </w:style>
  <w:style w:type="paragraph" w:styleId="CommentText">
    <w:name w:val="annotation text"/>
    <w:basedOn w:val="Normal"/>
    <w:link w:val="CommentTextChar"/>
    <w:uiPriority w:val="99"/>
    <w:semiHidden/>
    <w:unhideWhenUsed/>
    <w:rsid w:val="00A10DA3"/>
    <w:pPr>
      <w:spacing w:after="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A10DA3"/>
    <w:rPr>
      <w:rFonts w:ascii="Times New Roman" w:eastAsia="Times New Roman" w:hAnsi="Times New Roman" w:cs="Times New Roman"/>
      <w:sz w:val="20"/>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8CC"/>
    <w:pPr>
      <w:spacing w:line="240" w:lineRule="auto"/>
    </w:pPr>
    <w:rPr>
      <w:rFonts w:ascii="Calibri" w:eastAsia="Dotum" w:hAnsi="Calibri" w:cs="Calibri"/>
    </w:rPr>
  </w:style>
  <w:style w:type="paragraph" w:styleId="Heading1">
    <w:name w:val="heading 1"/>
    <w:next w:val="Normal"/>
    <w:link w:val="Heading1Char"/>
    <w:uiPriority w:val="9"/>
    <w:qFormat/>
    <w:rsid w:val="00B3726E"/>
    <w:pPr>
      <w:widowControl w:val="0"/>
      <w:spacing w:before="480" w:after="240" w:line="240" w:lineRule="auto"/>
      <w:ind w:right="6"/>
      <w:outlineLvl w:val="0"/>
    </w:pPr>
    <w:rPr>
      <w:rFonts w:ascii="Calibri" w:eastAsia="HYGothic-Extra" w:hAnsi="Calibri" w:cs="Calibri"/>
      <w:bCs/>
      <w:color w:val="1E1E1E"/>
      <w:spacing w:val="-20"/>
      <w:sz w:val="72"/>
      <w:szCs w:val="72"/>
    </w:rPr>
  </w:style>
  <w:style w:type="paragraph" w:styleId="Heading2">
    <w:name w:val="heading 2"/>
    <w:next w:val="Normal"/>
    <w:link w:val="Heading2Char"/>
    <w:uiPriority w:val="9"/>
    <w:unhideWhenUsed/>
    <w:qFormat/>
    <w:rsid w:val="00B3726E"/>
    <w:pPr>
      <w:spacing w:before="360" w:after="120" w:line="240" w:lineRule="auto"/>
      <w:outlineLvl w:val="1"/>
    </w:pPr>
    <w:rPr>
      <w:rFonts w:ascii="Arial" w:eastAsia="Dotum" w:hAnsi="Arial" w:cs="Arial"/>
      <w:sz w:val="36"/>
      <w:szCs w:val="36"/>
    </w:rPr>
  </w:style>
  <w:style w:type="paragraph" w:styleId="Heading3">
    <w:name w:val="heading 3"/>
    <w:basedOn w:val="Normal"/>
    <w:next w:val="Normal"/>
    <w:link w:val="Heading3Char"/>
    <w:uiPriority w:val="9"/>
    <w:unhideWhenUsed/>
    <w:qFormat/>
    <w:rsid w:val="00602D0A"/>
    <w:pPr>
      <w:spacing w:after="0"/>
      <w:outlineLvl w:val="2"/>
    </w:pPr>
    <w:rPr>
      <w:rFonts w:ascii="Arial" w:hAnsi="Arial" w:cs="Arial"/>
      <w:color w:val="C60C30"/>
      <w:sz w:val="28"/>
      <w:szCs w:val="28"/>
    </w:rPr>
  </w:style>
  <w:style w:type="paragraph" w:styleId="Heading4">
    <w:name w:val="heading 4"/>
    <w:basedOn w:val="Normal"/>
    <w:next w:val="Normal"/>
    <w:link w:val="Heading4Char"/>
    <w:uiPriority w:val="9"/>
    <w:unhideWhenUsed/>
    <w:qFormat/>
    <w:rsid w:val="00B3726E"/>
    <w:pPr>
      <w:spacing w:after="0"/>
      <w:outlineLvl w:val="3"/>
    </w:pPr>
    <w:rPr>
      <w:rFonts w:ascii="Arial" w:hAnsi="Arial" w:cs="Arial"/>
      <w:b/>
    </w:rPr>
  </w:style>
  <w:style w:type="paragraph" w:styleId="Heading5">
    <w:name w:val="heading 5"/>
    <w:basedOn w:val="Normal"/>
    <w:next w:val="Normal"/>
    <w:link w:val="Heading5Char"/>
    <w:uiPriority w:val="9"/>
    <w:unhideWhenUsed/>
    <w:rsid w:val="00B3726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B3726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726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726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726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26E"/>
    <w:rPr>
      <w:rFonts w:ascii="Calibri" w:eastAsia="HYGothic-Extra" w:hAnsi="Calibri" w:cs="Calibri"/>
      <w:bCs/>
      <w:color w:val="1E1E1E"/>
      <w:spacing w:val="-20"/>
      <w:sz w:val="72"/>
      <w:szCs w:val="72"/>
    </w:rPr>
  </w:style>
  <w:style w:type="character" w:customStyle="1" w:styleId="Heading2Char">
    <w:name w:val="Heading 2 Char"/>
    <w:basedOn w:val="DefaultParagraphFont"/>
    <w:link w:val="Heading2"/>
    <w:uiPriority w:val="9"/>
    <w:rsid w:val="00B3726E"/>
    <w:rPr>
      <w:rFonts w:ascii="Arial" w:eastAsia="Dotum" w:hAnsi="Arial" w:cs="Arial"/>
      <w:sz w:val="36"/>
      <w:szCs w:val="36"/>
    </w:rPr>
  </w:style>
  <w:style w:type="character" w:customStyle="1" w:styleId="Heading3Char">
    <w:name w:val="Heading 3 Char"/>
    <w:basedOn w:val="DefaultParagraphFont"/>
    <w:link w:val="Heading3"/>
    <w:uiPriority w:val="9"/>
    <w:rsid w:val="00602D0A"/>
    <w:rPr>
      <w:rFonts w:ascii="Arial" w:eastAsia="Dotum" w:hAnsi="Arial" w:cs="Arial"/>
      <w:color w:val="C60C30"/>
      <w:sz w:val="28"/>
      <w:szCs w:val="28"/>
    </w:rPr>
  </w:style>
  <w:style w:type="character" w:customStyle="1" w:styleId="Heading4Char">
    <w:name w:val="Heading 4 Char"/>
    <w:basedOn w:val="DefaultParagraphFont"/>
    <w:link w:val="Heading4"/>
    <w:uiPriority w:val="9"/>
    <w:rsid w:val="00B3726E"/>
    <w:rPr>
      <w:rFonts w:ascii="Arial" w:eastAsia="Dotum" w:hAnsi="Arial" w:cs="Arial"/>
      <w:b/>
    </w:rPr>
  </w:style>
  <w:style w:type="character" w:customStyle="1" w:styleId="Heading5Char">
    <w:name w:val="Heading 5 Char"/>
    <w:basedOn w:val="DefaultParagraphFont"/>
    <w:link w:val="Heading5"/>
    <w:uiPriority w:val="9"/>
    <w:rsid w:val="00B3726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726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726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726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726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B3726E"/>
    <w:pPr>
      <w:ind w:left="720"/>
      <w:contextualSpacing/>
    </w:pPr>
  </w:style>
  <w:style w:type="table" w:styleId="TableGrid">
    <w:name w:val="Table Grid"/>
    <w:basedOn w:val="TableNormal"/>
    <w:uiPriority w:val="59"/>
    <w:rsid w:val="00B37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36EDC"/>
    <w:pPr>
      <w:spacing w:before="3000" w:after="300"/>
      <w:contextualSpacing/>
    </w:pPr>
    <w:rPr>
      <w:rFonts w:ascii="Arial" w:eastAsiaTheme="majorEastAsia" w:hAnsi="Arial" w:cstheme="majorBidi"/>
      <w:caps/>
      <w:color w:val="1E1E1E"/>
      <w:spacing w:val="-22"/>
      <w:w w:val="105"/>
      <w:kern w:val="28"/>
      <w:sz w:val="80"/>
      <w:szCs w:val="80"/>
    </w:rPr>
  </w:style>
  <w:style w:type="character" w:customStyle="1" w:styleId="TitleChar">
    <w:name w:val="Title Char"/>
    <w:basedOn w:val="DefaultParagraphFont"/>
    <w:link w:val="Title"/>
    <w:uiPriority w:val="10"/>
    <w:rsid w:val="00036EDC"/>
    <w:rPr>
      <w:rFonts w:ascii="Arial" w:eastAsiaTheme="majorEastAsia" w:hAnsi="Arial" w:cstheme="majorBidi"/>
      <w:caps/>
      <w:color w:val="1E1E1E"/>
      <w:spacing w:val="-22"/>
      <w:w w:val="105"/>
      <w:kern w:val="28"/>
      <w:sz w:val="80"/>
      <w:szCs w:val="80"/>
    </w:rPr>
  </w:style>
  <w:style w:type="paragraph" w:styleId="Subtitle">
    <w:name w:val="Subtitle"/>
    <w:basedOn w:val="Normal"/>
    <w:next w:val="Normal"/>
    <w:link w:val="SubtitleChar"/>
    <w:uiPriority w:val="11"/>
    <w:qFormat/>
    <w:rsid w:val="004D4636"/>
    <w:rPr>
      <w:rFonts w:asciiTheme="majorHAnsi" w:eastAsiaTheme="majorEastAsia" w:hAnsiTheme="majorHAnsi" w:cstheme="majorBidi"/>
      <w:i/>
      <w:iCs/>
      <w:color w:val="C60C30"/>
      <w:spacing w:val="15"/>
      <w:sz w:val="24"/>
      <w:szCs w:val="24"/>
    </w:rPr>
  </w:style>
  <w:style w:type="character" w:customStyle="1" w:styleId="SubtitleChar">
    <w:name w:val="Subtitle Char"/>
    <w:basedOn w:val="DefaultParagraphFont"/>
    <w:link w:val="Subtitle"/>
    <w:uiPriority w:val="11"/>
    <w:rsid w:val="004D4636"/>
    <w:rPr>
      <w:rFonts w:asciiTheme="majorHAnsi" w:eastAsiaTheme="majorEastAsia" w:hAnsiTheme="majorHAnsi" w:cstheme="majorBidi"/>
      <w:i/>
      <w:iCs/>
      <w:color w:val="C60C30"/>
      <w:spacing w:val="15"/>
      <w:sz w:val="24"/>
      <w:szCs w:val="24"/>
    </w:rPr>
  </w:style>
  <w:style w:type="paragraph" w:styleId="Header">
    <w:name w:val="header"/>
    <w:basedOn w:val="Normal"/>
    <w:link w:val="HeaderChar"/>
    <w:unhideWhenUsed/>
    <w:rsid w:val="00856708"/>
    <w:pPr>
      <w:tabs>
        <w:tab w:val="center" w:pos="4513"/>
        <w:tab w:val="right" w:pos="9026"/>
      </w:tabs>
      <w:spacing w:after="0"/>
    </w:pPr>
  </w:style>
  <w:style w:type="character" w:customStyle="1" w:styleId="HeaderChar">
    <w:name w:val="Header Char"/>
    <w:basedOn w:val="DefaultParagraphFont"/>
    <w:link w:val="Header"/>
    <w:uiPriority w:val="99"/>
    <w:rsid w:val="00856708"/>
    <w:rPr>
      <w:rFonts w:ascii="Calibri" w:eastAsia="Dotum" w:hAnsi="Calibri" w:cs="Calibri"/>
    </w:rPr>
  </w:style>
  <w:style w:type="paragraph" w:styleId="Footer">
    <w:name w:val="footer"/>
    <w:basedOn w:val="Normal"/>
    <w:link w:val="FooterChar"/>
    <w:uiPriority w:val="99"/>
    <w:unhideWhenUsed/>
    <w:rsid w:val="00856708"/>
    <w:pPr>
      <w:tabs>
        <w:tab w:val="center" w:pos="4513"/>
        <w:tab w:val="right" w:pos="9026"/>
      </w:tabs>
      <w:spacing w:after="0"/>
    </w:pPr>
  </w:style>
  <w:style w:type="character" w:customStyle="1" w:styleId="FooterChar">
    <w:name w:val="Footer Char"/>
    <w:basedOn w:val="DefaultParagraphFont"/>
    <w:link w:val="Footer"/>
    <w:uiPriority w:val="99"/>
    <w:rsid w:val="00856708"/>
    <w:rPr>
      <w:rFonts w:ascii="Calibri" w:eastAsia="Dotum" w:hAnsi="Calibri" w:cs="Calibri"/>
    </w:rPr>
  </w:style>
  <w:style w:type="paragraph" w:styleId="NormalWeb">
    <w:name w:val="Normal (Web)"/>
    <w:basedOn w:val="Normal"/>
    <w:uiPriority w:val="99"/>
    <w:semiHidden/>
    <w:unhideWhenUsed/>
    <w:rsid w:val="00AD02D0"/>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nhideWhenUsed/>
    <w:rsid w:val="00AD02D0"/>
    <w:rPr>
      <w:color w:val="0000FF"/>
      <w:u w:val="single"/>
    </w:rPr>
  </w:style>
  <w:style w:type="paragraph" w:styleId="BalloonText">
    <w:name w:val="Balloon Text"/>
    <w:basedOn w:val="Normal"/>
    <w:link w:val="BalloonTextChar"/>
    <w:uiPriority w:val="99"/>
    <w:semiHidden/>
    <w:unhideWhenUsed/>
    <w:rsid w:val="00AD02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2D0"/>
    <w:rPr>
      <w:rFonts w:ascii="Tahoma" w:eastAsia="Dotum" w:hAnsi="Tahoma" w:cs="Tahoma"/>
      <w:sz w:val="16"/>
      <w:szCs w:val="16"/>
    </w:rPr>
  </w:style>
  <w:style w:type="character" w:styleId="CommentReference">
    <w:name w:val="annotation reference"/>
    <w:basedOn w:val="DefaultParagraphFont"/>
    <w:uiPriority w:val="99"/>
    <w:semiHidden/>
    <w:unhideWhenUsed/>
    <w:rsid w:val="00A10DA3"/>
    <w:rPr>
      <w:sz w:val="16"/>
      <w:szCs w:val="16"/>
    </w:rPr>
  </w:style>
  <w:style w:type="paragraph" w:styleId="CommentText">
    <w:name w:val="annotation text"/>
    <w:basedOn w:val="Normal"/>
    <w:link w:val="CommentTextChar"/>
    <w:uiPriority w:val="99"/>
    <w:semiHidden/>
    <w:unhideWhenUsed/>
    <w:rsid w:val="00A10DA3"/>
    <w:pPr>
      <w:spacing w:after="0"/>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A10DA3"/>
    <w:rPr>
      <w:rFonts w:ascii="Times New Roman" w:eastAsia="Times New Roman" w:hAnsi="Times New Roman"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1331">
      <w:bodyDiv w:val="1"/>
      <w:marLeft w:val="0"/>
      <w:marRight w:val="0"/>
      <w:marTop w:val="0"/>
      <w:marBottom w:val="0"/>
      <w:divBdr>
        <w:top w:val="none" w:sz="0" w:space="0" w:color="auto"/>
        <w:left w:val="none" w:sz="0" w:space="0" w:color="auto"/>
        <w:bottom w:val="none" w:sz="0" w:space="0" w:color="auto"/>
        <w:right w:val="none" w:sz="0" w:space="0" w:color="auto"/>
      </w:divBdr>
      <w:divsChild>
        <w:div w:id="688876070">
          <w:marLeft w:val="0"/>
          <w:marRight w:val="0"/>
          <w:marTop w:val="0"/>
          <w:marBottom w:val="225"/>
          <w:divBdr>
            <w:top w:val="none" w:sz="0" w:space="0" w:color="auto"/>
            <w:left w:val="none" w:sz="0" w:space="0" w:color="auto"/>
            <w:bottom w:val="none" w:sz="0" w:space="0" w:color="auto"/>
            <w:right w:val="none" w:sz="0" w:space="0" w:color="auto"/>
          </w:divBdr>
        </w:div>
        <w:div w:id="266426734">
          <w:marLeft w:val="0"/>
          <w:marRight w:val="150"/>
          <w:marTop w:val="0"/>
          <w:marBottom w:val="0"/>
          <w:divBdr>
            <w:top w:val="none" w:sz="0" w:space="0" w:color="auto"/>
            <w:left w:val="none" w:sz="0" w:space="0" w:color="auto"/>
            <w:bottom w:val="none" w:sz="0" w:space="0" w:color="auto"/>
            <w:right w:val="none" w:sz="0" w:space="0" w:color="auto"/>
          </w:divBdr>
          <w:divsChild>
            <w:div w:id="737820747">
              <w:marLeft w:val="0"/>
              <w:marRight w:val="0"/>
              <w:marTop w:val="0"/>
              <w:marBottom w:val="0"/>
              <w:divBdr>
                <w:top w:val="none" w:sz="0" w:space="0" w:color="auto"/>
                <w:left w:val="none" w:sz="0" w:space="0" w:color="auto"/>
                <w:bottom w:val="none" w:sz="0" w:space="0" w:color="auto"/>
                <w:right w:val="none" w:sz="0" w:space="0" w:color="auto"/>
              </w:divBdr>
              <w:divsChild>
                <w:div w:id="1702391136">
                  <w:marLeft w:val="0"/>
                  <w:marRight w:val="0"/>
                  <w:marTop w:val="0"/>
                  <w:marBottom w:val="0"/>
                  <w:divBdr>
                    <w:top w:val="none" w:sz="0" w:space="0" w:color="auto"/>
                    <w:left w:val="none" w:sz="0" w:space="0" w:color="auto"/>
                    <w:bottom w:val="none" w:sz="0" w:space="0" w:color="auto"/>
                    <w:right w:val="none" w:sz="0" w:space="0" w:color="auto"/>
                  </w:divBdr>
                  <w:divsChild>
                    <w:div w:id="152995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health.nsw.gov.au/" TargetMode="External"/><Relationship Id="rId13" Type="http://schemas.openxmlformats.org/officeDocument/2006/relationships/hyperlink" Target="http://www.dhhs.tas.gov.a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ahealth.sa.gov.au/wps/wcm/connect/public+content/sa+health+internet/clinical+resources/clinical+programs/blood+products+and+program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ealth.wa.gov.au/bloodmanagement/professionals/index.cfm" TargetMode="External"/><Relationship Id="rId5" Type="http://schemas.openxmlformats.org/officeDocument/2006/relationships/webSettings" Target="webSettings.xml"/><Relationship Id="rId15" Type="http://schemas.openxmlformats.org/officeDocument/2006/relationships/hyperlink" Target="http://health.nt.gov.au/" TargetMode="External"/><Relationship Id="rId23" Type="http://schemas.openxmlformats.org/officeDocument/2006/relationships/theme" Target="theme/theme1.xml"/><Relationship Id="rId10" Type="http://schemas.openxmlformats.org/officeDocument/2006/relationships/hyperlink" Target="http://www.health.qld.gov.au/qhcss/qbm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ealth.vic.gov.au/bloodmatters/" TargetMode="External"/><Relationship Id="rId14" Type="http://schemas.openxmlformats.org/officeDocument/2006/relationships/hyperlink" Target="http://health.act.gov.au/professionals/blood-and-blood-products/blood-and-blood-products"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10768</Characters>
  <Application>Microsoft Office Word</Application>
  <DocSecurity>4</DocSecurity>
  <Lines>233</Lines>
  <Paragraphs>139</Paragraphs>
  <ScaleCrop>false</ScaleCrop>
  <HeadingPairs>
    <vt:vector size="2" baseType="variant">
      <vt:variant>
        <vt:lpstr>Title</vt:lpstr>
      </vt:variant>
      <vt:variant>
        <vt:i4>1</vt:i4>
      </vt:variant>
    </vt:vector>
  </HeadingPairs>
  <TitlesOfParts>
    <vt:vector size="1" baseType="lpstr">
      <vt:lpstr>Australian Haemovigilance Report 2013 - Frequently Asked Questions</vt:lpstr>
    </vt:vector>
  </TitlesOfParts>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Haemovigilance Report 2013 - Frequently Asked Questions</dc:title>
  <dc:creator/>
  <cp:lastModifiedBy/>
  <cp:revision>1</cp:revision>
  <dcterms:created xsi:type="dcterms:W3CDTF">2013-11-14T02:38:00Z</dcterms:created>
  <dcterms:modified xsi:type="dcterms:W3CDTF">2013-11-14T02:38:00Z</dcterms:modified>
</cp:coreProperties>
</file>