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F0DA" w14:textId="313057A7" w:rsidR="001D050E" w:rsidRDefault="003B6A1D" w:rsidP="003B6A1D">
      <w:pPr>
        <w:jc w:val="center"/>
        <w:rPr>
          <w:rFonts w:ascii="Arial" w:hAnsi="Arial" w:cs="Arial"/>
          <w:b/>
          <w:color w:val="C60C30"/>
          <w:sz w:val="28"/>
          <w:szCs w:val="28"/>
        </w:rPr>
      </w:pPr>
      <w:r w:rsidRPr="003B6A1D">
        <w:rPr>
          <w:rFonts w:ascii="Arial" w:hAnsi="Arial" w:cs="Arial"/>
          <w:b/>
          <w:color w:val="C60C30"/>
          <w:sz w:val="28"/>
          <w:szCs w:val="28"/>
        </w:rPr>
        <w:t xml:space="preserve">ISBT128 </w:t>
      </w:r>
      <w:r w:rsidR="00724B25">
        <w:rPr>
          <w:rFonts w:ascii="Arial" w:hAnsi="Arial" w:cs="Arial"/>
          <w:b/>
          <w:color w:val="C60C30"/>
          <w:sz w:val="28"/>
          <w:szCs w:val="28"/>
        </w:rPr>
        <w:t xml:space="preserve">2D </w:t>
      </w:r>
      <w:r w:rsidRPr="003B6A1D">
        <w:rPr>
          <w:rFonts w:ascii="Arial" w:hAnsi="Arial" w:cs="Arial"/>
          <w:b/>
          <w:color w:val="C60C30"/>
          <w:sz w:val="28"/>
          <w:szCs w:val="28"/>
        </w:rPr>
        <w:t xml:space="preserve">DataMatrix Barcode Implementation </w:t>
      </w:r>
      <w:r>
        <w:rPr>
          <w:rFonts w:ascii="Arial" w:hAnsi="Arial" w:cs="Arial"/>
          <w:b/>
          <w:color w:val="C60C30"/>
          <w:sz w:val="28"/>
          <w:szCs w:val="28"/>
        </w:rPr>
        <w:br/>
      </w:r>
      <w:r w:rsidRPr="003B6A1D">
        <w:rPr>
          <w:rFonts w:ascii="Arial" w:hAnsi="Arial" w:cs="Arial"/>
          <w:b/>
          <w:color w:val="C60C30"/>
          <w:sz w:val="28"/>
          <w:szCs w:val="28"/>
        </w:rPr>
        <w:t>– FAQs for Laboratories and Hospitals</w:t>
      </w:r>
    </w:p>
    <w:p w14:paraId="0BEB0686" w14:textId="5BB865E1" w:rsidR="00DF1FF4" w:rsidRDefault="00DF1FF4" w:rsidP="00DF1FF4">
      <w:pPr>
        <w:pStyle w:val="Heading4"/>
      </w:pPr>
      <w:r>
        <w:t>Q: When will the fresh blood product component labels change?</w:t>
      </w:r>
    </w:p>
    <w:p w14:paraId="670A3A72" w14:textId="4D05A710" w:rsidR="00BF4B2E" w:rsidRPr="00D23973" w:rsidRDefault="003B6A1D" w:rsidP="00BF4B2E">
      <w:pPr>
        <w:pStyle w:val="xxmsonormal"/>
      </w:pPr>
      <w:r w:rsidRPr="001455F5">
        <w:rPr>
          <w:rFonts w:asciiTheme="minorHAnsi" w:hAnsiTheme="minorHAnsi" w:cstheme="minorHAnsi"/>
        </w:rPr>
        <w:t xml:space="preserve">The barcode symbology for all fresh blood products </w:t>
      </w:r>
      <w:r w:rsidR="00DF1FF4" w:rsidRPr="001455F5">
        <w:rPr>
          <w:rFonts w:asciiTheme="minorHAnsi" w:hAnsiTheme="minorHAnsi" w:cstheme="minorHAnsi"/>
        </w:rPr>
        <w:t xml:space="preserve">funded under the national blood arrangements </w:t>
      </w:r>
      <w:r w:rsidRPr="001455F5">
        <w:rPr>
          <w:rFonts w:asciiTheme="minorHAnsi" w:hAnsiTheme="minorHAnsi" w:cstheme="minorHAnsi"/>
        </w:rPr>
        <w:t xml:space="preserve">will be transitioning to ISBT128 </w:t>
      </w:r>
      <w:r w:rsidR="00724B25">
        <w:rPr>
          <w:rFonts w:asciiTheme="minorHAnsi" w:hAnsiTheme="minorHAnsi" w:cstheme="minorHAnsi"/>
        </w:rPr>
        <w:t xml:space="preserve">2D </w:t>
      </w:r>
      <w:r w:rsidRPr="001455F5">
        <w:rPr>
          <w:rFonts w:asciiTheme="minorHAnsi" w:hAnsiTheme="minorHAnsi" w:cstheme="minorHAnsi"/>
        </w:rPr>
        <w:t>DataMatrix</w:t>
      </w:r>
      <w:r w:rsidR="00841AEB">
        <w:rPr>
          <w:rFonts w:asciiTheme="minorHAnsi" w:hAnsiTheme="minorHAnsi" w:cstheme="minorHAnsi"/>
        </w:rPr>
        <w:t xml:space="preserve">. </w:t>
      </w:r>
      <w:bookmarkStart w:id="0" w:name="_Hlk164768916"/>
      <w:r w:rsidR="006C6E6E" w:rsidRPr="006C6E6E">
        <w:t xml:space="preserve">The introduction of an ISBT128 2D DataMatrix will occur as planned on </w:t>
      </w:r>
      <w:r w:rsidR="006C6E6E" w:rsidRPr="006C6E6E">
        <w:rPr>
          <w:b/>
          <w:bCs/>
        </w:rPr>
        <w:t>30 November 2025</w:t>
      </w:r>
      <w:r w:rsidR="006C6E6E" w:rsidRPr="006C6E6E">
        <w:t xml:space="preserve">. The removal of the </w:t>
      </w:r>
      <w:proofErr w:type="spellStart"/>
      <w:r w:rsidR="006C6E6E" w:rsidRPr="006C6E6E">
        <w:t>Codabar</w:t>
      </w:r>
      <w:proofErr w:type="spellEnd"/>
      <w:r w:rsidR="006C6E6E" w:rsidRPr="006C6E6E">
        <w:t xml:space="preserve"> Transition</w:t>
      </w:r>
      <w:r w:rsidR="00407721" w:rsidRPr="00407721">
        <w:t xml:space="preserve"> </w:t>
      </w:r>
      <w:r w:rsidR="00407721">
        <w:t>label</w:t>
      </w:r>
      <w:r w:rsidR="006C6E6E" w:rsidRPr="006C6E6E">
        <w:t>, initially planned for 3</w:t>
      </w:r>
      <w:r w:rsidR="00BF4B2E">
        <w:t>0 </w:t>
      </w:r>
      <w:r w:rsidR="006C6E6E" w:rsidRPr="006C6E6E">
        <w:t>November 2025,</w:t>
      </w:r>
      <w:r w:rsidR="006C6E6E" w:rsidRPr="006C6E6E">
        <w:rPr>
          <w:b/>
          <w:bCs/>
        </w:rPr>
        <w:t xml:space="preserve"> will be delayed until 3</w:t>
      </w:r>
      <w:r w:rsidR="00BF4B2E">
        <w:rPr>
          <w:b/>
          <w:bCs/>
        </w:rPr>
        <w:t>1</w:t>
      </w:r>
      <w:r w:rsidR="006C6E6E" w:rsidRPr="006C6E6E">
        <w:rPr>
          <w:b/>
          <w:bCs/>
        </w:rPr>
        <w:t xml:space="preserve"> March 2029.</w:t>
      </w:r>
      <w:r w:rsidR="00841AEB" w:rsidRPr="006C6E6E">
        <w:rPr>
          <w:rFonts w:asciiTheme="minorHAnsi" w:hAnsiTheme="minorHAnsi" w:cstheme="minorHAnsi"/>
        </w:rPr>
        <w:t xml:space="preserve">The </w:t>
      </w:r>
      <w:r w:rsidR="00407721">
        <w:rPr>
          <w:rFonts w:asciiTheme="minorHAnsi" w:hAnsiTheme="minorHAnsi" w:cstheme="minorHAnsi"/>
        </w:rPr>
        <w:t>removal</w:t>
      </w:r>
      <w:r w:rsidR="00841AEB" w:rsidRPr="006C6E6E">
        <w:rPr>
          <w:rFonts w:asciiTheme="minorHAnsi" w:hAnsiTheme="minorHAnsi" w:cstheme="minorHAnsi"/>
        </w:rPr>
        <w:t xml:space="preserve"> has been delayed until </w:t>
      </w:r>
      <w:r w:rsidR="00841AEB" w:rsidRPr="006C6E6E">
        <w:rPr>
          <w:rFonts w:asciiTheme="minorHAnsi" w:hAnsiTheme="minorHAnsi" w:cstheme="minorHAnsi"/>
          <w:b/>
          <w:bCs/>
        </w:rPr>
        <w:t>3</w:t>
      </w:r>
      <w:r w:rsidR="00BF4B2E">
        <w:rPr>
          <w:rFonts w:asciiTheme="minorHAnsi" w:hAnsiTheme="minorHAnsi" w:cstheme="minorHAnsi"/>
          <w:b/>
          <w:bCs/>
        </w:rPr>
        <w:t>1</w:t>
      </w:r>
      <w:r w:rsidR="00841AEB" w:rsidRPr="006C6E6E">
        <w:rPr>
          <w:rFonts w:asciiTheme="minorHAnsi" w:hAnsiTheme="minorHAnsi" w:cstheme="minorHAnsi"/>
          <w:b/>
          <w:bCs/>
        </w:rPr>
        <w:t xml:space="preserve"> March 2029</w:t>
      </w:r>
      <w:r w:rsidR="00841AEB" w:rsidRPr="006C6E6E">
        <w:rPr>
          <w:rFonts w:asciiTheme="minorHAnsi" w:hAnsiTheme="minorHAnsi" w:cstheme="minorHAnsi"/>
        </w:rPr>
        <w:t xml:space="preserve"> to all</w:t>
      </w:r>
      <w:r w:rsidR="00BC6E23" w:rsidRPr="006C6E6E">
        <w:rPr>
          <w:rFonts w:asciiTheme="minorHAnsi" w:hAnsiTheme="minorHAnsi" w:cstheme="minorHAnsi"/>
        </w:rPr>
        <w:t>ow</w:t>
      </w:r>
      <w:r w:rsidR="00841AEB" w:rsidRPr="006C6E6E">
        <w:rPr>
          <w:rFonts w:asciiTheme="minorHAnsi" w:hAnsiTheme="minorHAnsi" w:cstheme="minorHAnsi"/>
        </w:rPr>
        <w:t xml:space="preserve"> NSW Health Pathology time to upgrade laboratory information systems. </w:t>
      </w:r>
    </w:p>
    <w:p w14:paraId="4C5767A5" w14:textId="6CE6E9C0" w:rsidR="00BF4B2E" w:rsidRDefault="00BF4B2E" w:rsidP="00BF4B2E">
      <w:pPr>
        <w:pStyle w:val="xxmsonormal"/>
        <w:spacing w:before="0" w:beforeAutospacing="0" w:after="200" w:afterAutospacing="0"/>
      </w:pPr>
      <w:r w:rsidRPr="00D23973">
        <w:t>NSW Health Pathology is the largest pathology provider nationally and services many patients daily</w:t>
      </w:r>
      <w:r w:rsidR="00617916">
        <w:t>. T</w:t>
      </w:r>
      <w:r>
        <w:t xml:space="preserve">he removal of the </w:t>
      </w:r>
      <w:proofErr w:type="spellStart"/>
      <w:r>
        <w:t>Codabar</w:t>
      </w:r>
      <w:proofErr w:type="spellEnd"/>
      <w:r>
        <w:t xml:space="preserve"> transition label would result in</w:t>
      </w:r>
      <w:r w:rsidR="00617916">
        <w:t xml:space="preserve"> substantial</w:t>
      </w:r>
      <w:r>
        <w:t xml:space="preserve"> </w:t>
      </w:r>
      <w:r w:rsidRPr="00D23973">
        <w:t>manual data entry</w:t>
      </w:r>
      <w:r>
        <w:t>. This could in turn increase the</w:t>
      </w:r>
      <w:r w:rsidR="004A1003">
        <w:t xml:space="preserve"> </w:t>
      </w:r>
      <w:r w:rsidR="00617916">
        <w:t>significant</w:t>
      </w:r>
      <w:r>
        <w:t xml:space="preserve"> </w:t>
      </w:r>
      <w:r w:rsidRPr="00D23973">
        <w:t xml:space="preserve">risk of patient harm associated </w:t>
      </w:r>
      <w:r>
        <w:t>with identification errors</w:t>
      </w:r>
      <w:r w:rsidRPr="00D23973">
        <w:t xml:space="preserve">. </w:t>
      </w:r>
    </w:p>
    <w:bookmarkEnd w:id="0"/>
    <w:p w14:paraId="50339D8B" w14:textId="37288F14" w:rsidR="003B6A1D" w:rsidRDefault="003B6A1D" w:rsidP="00BF4B2E">
      <w:r>
        <w:t>Q: What are the changes to the component label?</w:t>
      </w:r>
    </w:p>
    <w:p w14:paraId="375DA88E" w14:textId="554AD98F" w:rsidR="003B6A1D" w:rsidRDefault="00DF1FF4" w:rsidP="00DF1FF4">
      <w:pPr>
        <w:pStyle w:val="ListParagraph"/>
        <w:numPr>
          <w:ilvl w:val="0"/>
          <w:numId w:val="42"/>
        </w:numPr>
        <w:ind w:left="714" w:hanging="357"/>
        <w:contextualSpacing w:val="0"/>
      </w:pPr>
      <w:r>
        <w:t xml:space="preserve">The </w:t>
      </w:r>
      <w:proofErr w:type="spellStart"/>
      <w:r>
        <w:t>Codabar</w:t>
      </w:r>
      <w:proofErr w:type="spellEnd"/>
      <w:r>
        <w:t xml:space="preserve"> barcode (bottom section) will be removed from all fresh blood </w:t>
      </w:r>
      <w:r w:rsidR="0022248F" w:rsidRPr="00DF1FF4">
        <w:rPr>
          <w:rFonts w:asciiTheme="minorHAnsi" w:hAnsiTheme="minorHAnsi" w:cstheme="minorHAnsi"/>
        </w:rPr>
        <w:t xml:space="preserve">product </w:t>
      </w:r>
      <w:r>
        <w:t>component labels</w:t>
      </w:r>
      <w:r w:rsidR="00841AEB">
        <w:t xml:space="preserve"> on </w:t>
      </w:r>
      <w:r w:rsidR="00841AEB" w:rsidRPr="00841AEB">
        <w:rPr>
          <w:b/>
          <w:bCs/>
        </w:rPr>
        <w:t>3</w:t>
      </w:r>
      <w:r w:rsidR="0090432E">
        <w:rPr>
          <w:b/>
          <w:bCs/>
        </w:rPr>
        <w:t>1</w:t>
      </w:r>
      <w:r w:rsidR="00841AEB" w:rsidRPr="00841AEB">
        <w:rPr>
          <w:b/>
          <w:bCs/>
        </w:rPr>
        <w:t xml:space="preserve"> March 2029</w:t>
      </w:r>
      <w:r>
        <w:t xml:space="preserve">. </w:t>
      </w:r>
    </w:p>
    <w:p w14:paraId="2482F3A4" w14:textId="42161D58" w:rsidR="00DF1FF4" w:rsidRPr="00DF1FF4" w:rsidRDefault="00DF1FF4" w:rsidP="00DF1FF4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>
        <w:t xml:space="preserve">The label </w:t>
      </w:r>
      <w:r w:rsidRPr="00DF1FF4">
        <w:rPr>
          <w:rFonts w:asciiTheme="minorHAnsi" w:hAnsiTheme="minorHAnsi" w:cstheme="minorHAnsi"/>
        </w:rPr>
        <w:t>will reduce in size to 100mm x 100mm.</w:t>
      </w:r>
    </w:p>
    <w:p w14:paraId="2716E8C3" w14:textId="77777777" w:rsidR="00DF1FF4" w:rsidRDefault="00DF1FF4" w:rsidP="003B6A1D">
      <w:pPr>
        <w:pStyle w:val="Heading4"/>
      </w:pPr>
      <w:r>
        <w:t xml:space="preserve">Q: </w:t>
      </w:r>
      <w:r w:rsidR="003B6A1D">
        <w:t xml:space="preserve">What </w:t>
      </w:r>
      <w:r>
        <w:t>will the new component label look like?</w:t>
      </w:r>
    </w:p>
    <w:p w14:paraId="05D3E56D" w14:textId="77777777" w:rsidR="00DF1FF4" w:rsidRDefault="00DF1FF4" w:rsidP="00DF1FF4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 w:rsidRPr="00DF1FF4">
        <w:rPr>
          <w:rFonts w:asciiTheme="minorHAnsi" w:hAnsiTheme="minorHAnsi" w:cstheme="minorHAnsi"/>
        </w:rPr>
        <w:t>Fresh blood product component labels will be updated to include the following:</w:t>
      </w:r>
    </w:p>
    <w:p w14:paraId="2D15277E" w14:textId="77DE132A" w:rsidR="00DF1FF4" w:rsidRDefault="00DF1FF4" w:rsidP="00DF1FF4">
      <w:pPr>
        <w:pStyle w:val="ListParagraph"/>
        <w:numPr>
          <w:ilvl w:val="1"/>
          <w:numId w:val="42"/>
        </w:numPr>
        <w:spacing w:after="0"/>
        <w:contextualSpacing w:val="0"/>
        <w:rPr>
          <w:rFonts w:asciiTheme="minorHAnsi" w:hAnsiTheme="minorHAnsi" w:cstheme="minorHAnsi"/>
        </w:rPr>
      </w:pPr>
      <w:r w:rsidRPr="00DF1FF4">
        <w:rPr>
          <w:rFonts w:asciiTheme="minorHAnsi" w:hAnsiTheme="minorHAnsi" w:cstheme="minorHAnsi"/>
        </w:rPr>
        <w:t xml:space="preserve">ISBT128 </w:t>
      </w:r>
      <w:r w:rsidR="00FF5F79">
        <w:rPr>
          <w:rFonts w:asciiTheme="minorHAnsi" w:hAnsiTheme="minorHAnsi" w:cstheme="minorHAnsi"/>
        </w:rPr>
        <w:t xml:space="preserve">2D </w:t>
      </w:r>
      <w:r w:rsidRPr="00DF1FF4">
        <w:rPr>
          <w:rFonts w:asciiTheme="minorHAnsi" w:hAnsiTheme="minorHAnsi" w:cstheme="minorHAnsi"/>
        </w:rPr>
        <w:t>DataMatrix</w:t>
      </w:r>
    </w:p>
    <w:p w14:paraId="1F98DCA6" w14:textId="4D033116" w:rsidR="00DF1FF4" w:rsidRDefault="00DF1FF4" w:rsidP="00DF1FF4">
      <w:pPr>
        <w:pStyle w:val="ListParagraph"/>
        <w:numPr>
          <w:ilvl w:val="1"/>
          <w:numId w:val="42"/>
        </w:numPr>
        <w:spacing w:after="0"/>
        <w:contextualSpacing w:val="0"/>
        <w:rPr>
          <w:rFonts w:asciiTheme="minorHAnsi" w:hAnsiTheme="minorHAnsi" w:cstheme="minorHAnsi"/>
        </w:rPr>
      </w:pPr>
      <w:r w:rsidRPr="00DF1FF4">
        <w:rPr>
          <w:rFonts w:asciiTheme="minorHAnsi" w:hAnsiTheme="minorHAnsi" w:cstheme="minorHAnsi"/>
        </w:rPr>
        <w:t>ISBT128 linear</w:t>
      </w:r>
      <w:r w:rsidR="00FF5F79">
        <w:rPr>
          <w:rFonts w:asciiTheme="minorHAnsi" w:hAnsiTheme="minorHAnsi" w:cstheme="minorHAnsi"/>
        </w:rPr>
        <w:t xml:space="preserve"> barcodes</w:t>
      </w:r>
    </w:p>
    <w:p w14:paraId="465597E8" w14:textId="77777777" w:rsidR="00DF1FF4" w:rsidRDefault="00DF1FF4" w:rsidP="00DF1FF4">
      <w:pPr>
        <w:pStyle w:val="ListParagraph"/>
        <w:numPr>
          <w:ilvl w:val="1"/>
          <w:numId w:val="42"/>
        </w:numPr>
        <w:contextualSpacing w:val="0"/>
        <w:rPr>
          <w:rFonts w:asciiTheme="minorHAnsi" w:hAnsiTheme="minorHAnsi" w:cstheme="minorHAnsi"/>
        </w:rPr>
      </w:pPr>
      <w:r w:rsidRPr="00DF1FF4">
        <w:rPr>
          <w:rFonts w:asciiTheme="minorHAnsi" w:hAnsiTheme="minorHAnsi" w:cstheme="minorHAnsi"/>
        </w:rPr>
        <w:t>Human readable information.</w:t>
      </w:r>
    </w:p>
    <w:p w14:paraId="04127B72" w14:textId="026FB9D5" w:rsidR="00DF1FF4" w:rsidRDefault="003B6A1D" w:rsidP="00DF1FF4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 w:rsidRPr="001455F5">
        <w:rPr>
          <w:rFonts w:asciiTheme="minorHAnsi" w:hAnsiTheme="minorHAnsi" w:cstheme="minorHAnsi"/>
        </w:rPr>
        <w:t>The ISBT128 linear barcodes and eye-readable information appearing in the upper portion of the current label will remain</w:t>
      </w:r>
      <w:r w:rsidR="00DF1FF4">
        <w:rPr>
          <w:rFonts w:asciiTheme="minorHAnsi" w:hAnsiTheme="minorHAnsi" w:cstheme="minorHAnsi"/>
        </w:rPr>
        <w:t>.</w:t>
      </w:r>
    </w:p>
    <w:p w14:paraId="285C8227" w14:textId="47BBC41A" w:rsidR="003B6A1D" w:rsidRDefault="00DF1FF4" w:rsidP="00DF1FF4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B6A1D" w:rsidRPr="001455F5">
        <w:rPr>
          <w:rFonts w:asciiTheme="minorHAnsi" w:hAnsiTheme="minorHAnsi" w:cstheme="minorHAnsi"/>
        </w:rPr>
        <w:t xml:space="preserve"> 2D DataMatrix will be added. The placement of the 2D DataMatrix on the label is still being finalised. </w:t>
      </w:r>
    </w:p>
    <w:p w14:paraId="5A74AFBF" w14:textId="513C96D3" w:rsidR="00DF1FF4" w:rsidRDefault="00DF1FF4" w:rsidP="00DF1FF4">
      <w:pPr>
        <w:pStyle w:val="Heading4"/>
      </w:pPr>
      <w:r>
        <w:t>Q: Who is responsible for updating the Laboratory Information Systems and barcode readers?</w:t>
      </w:r>
    </w:p>
    <w:p w14:paraId="7FF9DE84" w14:textId="1338D9B4" w:rsidR="003B6A1D" w:rsidRPr="001455F5" w:rsidRDefault="003B6A1D" w:rsidP="00DF1FF4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 w:rsidRPr="001455F5">
        <w:rPr>
          <w:rFonts w:asciiTheme="minorHAnsi" w:hAnsiTheme="minorHAnsi" w:cstheme="minorHAnsi"/>
        </w:rPr>
        <w:t xml:space="preserve">Facilities using </w:t>
      </w:r>
      <w:proofErr w:type="spellStart"/>
      <w:r w:rsidRPr="001455F5">
        <w:rPr>
          <w:rFonts w:asciiTheme="minorHAnsi" w:hAnsiTheme="minorHAnsi" w:cstheme="minorHAnsi"/>
        </w:rPr>
        <w:t>Codabar</w:t>
      </w:r>
      <w:proofErr w:type="spellEnd"/>
      <w:r w:rsidRPr="001455F5">
        <w:rPr>
          <w:rFonts w:asciiTheme="minorHAnsi" w:hAnsiTheme="minorHAnsi" w:cstheme="minorHAnsi"/>
        </w:rPr>
        <w:t xml:space="preserve"> barcodes transitioning to the ISBT128 Labelling Standard or the 2D DataMatrix will be responsible for updating their Laboratory Information Systems and infrastructure, including barcode scanners.</w:t>
      </w:r>
    </w:p>
    <w:p w14:paraId="2FDA71AE" w14:textId="07048026" w:rsidR="003B6A1D" w:rsidRPr="001455F5" w:rsidRDefault="003B6A1D" w:rsidP="00DF1FF4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 w:rsidRPr="001455F5">
        <w:rPr>
          <w:rFonts w:asciiTheme="minorHAnsi" w:hAnsiTheme="minorHAnsi" w:cstheme="minorHAnsi"/>
        </w:rPr>
        <w:t xml:space="preserve">Lifeblood will be able to provide a sample of an updated ISBT128 Blood Component Label with the 2D DataMatrix barcode to </w:t>
      </w:r>
      <w:r w:rsidR="00FF5F79">
        <w:rPr>
          <w:rFonts w:asciiTheme="minorHAnsi" w:hAnsiTheme="minorHAnsi" w:cstheme="minorHAnsi"/>
        </w:rPr>
        <w:t xml:space="preserve">Australian </w:t>
      </w:r>
      <w:r w:rsidRPr="001455F5">
        <w:rPr>
          <w:rFonts w:asciiTheme="minorHAnsi" w:hAnsiTheme="minorHAnsi" w:cstheme="minorHAnsi"/>
        </w:rPr>
        <w:t>Health Providers to assist with upgrading IT systems and barcode scanners.</w:t>
      </w:r>
    </w:p>
    <w:p w14:paraId="5DFB1D79" w14:textId="23D07E9D" w:rsidR="00DF1FF4" w:rsidRDefault="00DF1FF4" w:rsidP="00E235B7">
      <w:pPr>
        <w:pStyle w:val="Heading4"/>
      </w:pPr>
      <w:r>
        <w:t>Q: What i</w:t>
      </w:r>
      <w:r w:rsidR="0036227E">
        <w:t>f</w:t>
      </w:r>
      <w:r>
        <w:t xml:space="preserve"> I am already using the ISBT128 linear barcode?</w:t>
      </w:r>
    </w:p>
    <w:p w14:paraId="08AEBABC" w14:textId="52B4ED4C" w:rsidR="0022248F" w:rsidRDefault="00DF1FF4" w:rsidP="00DF1FF4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 w:rsidRPr="001455F5">
        <w:rPr>
          <w:rFonts w:asciiTheme="minorHAnsi" w:hAnsiTheme="minorHAnsi" w:cstheme="minorHAnsi"/>
        </w:rPr>
        <w:t>The ISBT128 linear barcodes can still be used without utilising the 2D barcode.</w:t>
      </w:r>
      <w:r>
        <w:rPr>
          <w:rFonts w:asciiTheme="minorHAnsi" w:hAnsiTheme="minorHAnsi" w:cstheme="minorHAnsi"/>
        </w:rPr>
        <w:t xml:space="preserve"> Facilities already using the ISBT128 linear barcode </w:t>
      </w:r>
      <w:r w:rsidR="00FF5F79">
        <w:rPr>
          <w:rFonts w:asciiTheme="minorHAnsi" w:hAnsiTheme="minorHAnsi" w:cstheme="minorHAnsi"/>
        </w:rPr>
        <w:t>can choose to not</w:t>
      </w:r>
      <w:r>
        <w:rPr>
          <w:rFonts w:asciiTheme="minorHAnsi" w:hAnsiTheme="minorHAnsi" w:cstheme="minorHAnsi"/>
        </w:rPr>
        <w:t xml:space="preserve"> update</w:t>
      </w:r>
      <w:r w:rsidRPr="00DF1FF4">
        <w:rPr>
          <w:rFonts w:asciiTheme="minorHAnsi" w:hAnsiTheme="minorHAnsi" w:cstheme="minorHAnsi"/>
        </w:rPr>
        <w:t xml:space="preserve"> </w:t>
      </w:r>
      <w:r w:rsidRPr="001455F5">
        <w:rPr>
          <w:rFonts w:asciiTheme="minorHAnsi" w:hAnsiTheme="minorHAnsi" w:cstheme="minorHAnsi"/>
        </w:rPr>
        <w:t>their Laboratory Information Systems and infrastructure, including barcode scanners</w:t>
      </w:r>
      <w:r w:rsidR="00FF5F79">
        <w:rPr>
          <w:rFonts w:asciiTheme="minorHAnsi" w:hAnsiTheme="minorHAnsi" w:cstheme="minorHAnsi"/>
        </w:rPr>
        <w:t xml:space="preserve"> and continue to use the linear code</w:t>
      </w:r>
      <w:r w:rsidRPr="001455F5">
        <w:rPr>
          <w:rFonts w:asciiTheme="minorHAnsi" w:hAnsiTheme="minorHAnsi" w:cstheme="minorHAnsi"/>
        </w:rPr>
        <w:t>.</w:t>
      </w:r>
      <w:r w:rsidR="00E235B7">
        <w:rPr>
          <w:rFonts w:asciiTheme="minorHAnsi" w:hAnsiTheme="minorHAnsi" w:cstheme="minorHAnsi"/>
        </w:rPr>
        <w:t xml:space="preserve"> </w:t>
      </w:r>
    </w:p>
    <w:p w14:paraId="37502244" w14:textId="0CC96138" w:rsidR="0022248F" w:rsidRDefault="0022248F">
      <w:pPr>
        <w:spacing w:line="276" w:lineRule="auto"/>
        <w:rPr>
          <w:rFonts w:asciiTheme="minorHAnsi" w:hAnsiTheme="minorHAnsi" w:cstheme="minorHAnsi"/>
        </w:rPr>
      </w:pPr>
    </w:p>
    <w:p w14:paraId="5AE8E46A" w14:textId="759E9B8F" w:rsidR="00DF1FF4" w:rsidRDefault="00E235B7" w:rsidP="00E235B7">
      <w:pPr>
        <w:pStyle w:val="Heading4"/>
      </w:pPr>
      <w:r>
        <w:lastRenderedPageBreak/>
        <w:t>Q: What is the advantage of updating infrastructure to use the 2D DataMatrix?</w:t>
      </w:r>
    </w:p>
    <w:p w14:paraId="274A30A9" w14:textId="02137BB5" w:rsidR="00E235B7" w:rsidRDefault="00E235B7" w:rsidP="0036227E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 w:rsidRPr="00E235B7">
        <w:rPr>
          <w:rFonts w:asciiTheme="minorHAnsi" w:hAnsiTheme="minorHAnsi" w:cstheme="minorHAnsi"/>
        </w:rPr>
        <w:t xml:space="preserve">All commercial blood products supplied under the national blood arrangements </w:t>
      </w:r>
      <w:r w:rsidR="0036227E">
        <w:rPr>
          <w:rFonts w:asciiTheme="minorHAnsi" w:hAnsiTheme="minorHAnsi" w:cstheme="minorHAnsi"/>
        </w:rPr>
        <w:t xml:space="preserve">(plasma, recombinant and diagnostic) </w:t>
      </w:r>
      <w:r w:rsidRPr="00E235B7">
        <w:rPr>
          <w:rFonts w:asciiTheme="minorHAnsi" w:hAnsiTheme="minorHAnsi" w:cstheme="minorHAnsi"/>
        </w:rPr>
        <w:t xml:space="preserve">are transitioning to GS1 </w:t>
      </w:r>
      <w:r w:rsidR="00724B25">
        <w:rPr>
          <w:rFonts w:asciiTheme="minorHAnsi" w:hAnsiTheme="minorHAnsi" w:cstheme="minorHAnsi"/>
        </w:rPr>
        <w:t xml:space="preserve">2D </w:t>
      </w:r>
      <w:r w:rsidRPr="00E235B7">
        <w:rPr>
          <w:rFonts w:asciiTheme="minorHAnsi" w:hAnsiTheme="minorHAnsi" w:cstheme="minorHAnsi"/>
        </w:rPr>
        <w:t xml:space="preserve">DataMatrix in line with international standards. There is not an option for GS1 linear barcodes with the updated packaging. </w:t>
      </w:r>
    </w:p>
    <w:p w14:paraId="763BBE08" w14:textId="7ED9083D" w:rsidR="0036227E" w:rsidRPr="0036227E" w:rsidRDefault="0036227E" w:rsidP="0036227E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Updating </w:t>
      </w:r>
      <w:r w:rsidRPr="001455F5">
        <w:rPr>
          <w:rFonts w:asciiTheme="minorHAnsi" w:hAnsiTheme="minorHAnsi" w:cstheme="minorHAnsi"/>
        </w:rPr>
        <w:t>Laboratory Information Systems and infrastructure, including barcode scanners</w:t>
      </w:r>
      <w:r>
        <w:rPr>
          <w:rFonts w:asciiTheme="minorHAnsi" w:hAnsiTheme="minorHAnsi" w:cstheme="minorHAnsi"/>
        </w:rPr>
        <w:t xml:space="preserve"> will allow facilities to scan blood and blood products supplied under the national blood arrangements. </w:t>
      </w:r>
    </w:p>
    <w:p w14:paraId="1CC5957E" w14:textId="77777777" w:rsidR="00881386" w:rsidRPr="009B1625" w:rsidRDefault="00881386" w:rsidP="0036227E">
      <w:pPr>
        <w:pStyle w:val="Heading4"/>
      </w:pPr>
      <w:r w:rsidRPr="009B1625">
        <w:t>Q: Do the implementation dates apply to products available to market or coming off the manufacturing line?</w:t>
      </w:r>
    </w:p>
    <w:p w14:paraId="6304C263" w14:textId="335B2EAF" w:rsidR="00881386" w:rsidRPr="009B1625" w:rsidRDefault="00881386" w:rsidP="0042636E">
      <w:pPr>
        <w:pStyle w:val="ListParagraph"/>
        <w:numPr>
          <w:ilvl w:val="0"/>
          <w:numId w:val="46"/>
        </w:numPr>
      </w:pPr>
      <w:r w:rsidRPr="009B1625">
        <w:t xml:space="preserve">The implementation dates relate to </w:t>
      </w:r>
      <w:r w:rsidR="0022248F">
        <w:t>fresh blood components</w:t>
      </w:r>
      <w:r w:rsidRPr="009B1625">
        <w:t xml:space="preserve"> coming off the manufacturing line</w:t>
      </w:r>
      <w:r w:rsidR="0022248F">
        <w:t xml:space="preserve"> and issued to Australian Health Providers</w:t>
      </w:r>
      <w:r w:rsidRPr="009B1625">
        <w:t xml:space="preserve">. </w:t>
      </w:r>
      <w:r w:rsidR="0022248F">
        <w:t xml:space="preserve">There will be a cross-over period where inventory held at Lifeblood and Australian </w:t>
      </w:r>
      <w:r w:rsidR="00FF5F79">
        <w:t>H</w:t>
      </w:r>
      <w:r w:rsidR="0022248F">
        <w:t xml:space="preserve">ealth </w:t>
      </w:r>
      <w:r w:rsidR="00FF5F79">
        <w:t>P</w:t>
      </w:r>
      <w:r w:rsidR="0022248F">
        <w:t xml:space="preserve">roviders may have both the current and new labels. </w:t>
      </w:r>
    </w:p>
    <w:p w14:paraId="24E5FAEB" w14:textId="14F4CD93" w:rsidR="0042636E" w:rsidRDefault="0042636E" w:rsidP="0042636E">
      <w:pPr>
        <w:pStyle w:val="Heading4"/>
      </w:pPr>
      <w:r>
        <w:t>Q: Where can I get more information?</w:t>
      </w:r>
    </w:p>
    <w:p w14:paraId="7792CDC3" w14:textId="77777777" w:rsidR="0042636E" w:rsidRPr="001455F5" w:rsidRDefault="0042636E" w:rsidP="0042636E">
      <w:pPr>
        <w:pStyle w:val="ListParagraph"/>
        <w:numPr>
          <w:ilvl w:val="0"/>
          <w:numId w:val="42"/>
        </w:numPr>
        <w:ind w:left="714" w:hanging="357"/>
        <w:contextualSpacing w:val="0"/>
        <w:rPr>
          <w:rFonts w:asciiTheme="minorHAnsi" w:hAnsiTheme="minorHAnsi" w:cstheme="minorHAnsi"/>
        </w:rPr>
      </w:pPr>
      <w:r w:rsidRPr="001455F5">
        <w:rPr>
          <w:rFonts w:asciiTheme="minorHAnsi" w:hAnsiTheme="minorHAnsi" w:cstheme="minorHAnsi"/>
        </w:rPr>
        <w:t>Technical information regarding the ISBT128 standard is available from the following resources.</w:t>
      </w:r>
    </w:p>
    <w:p w14:paraId="55ECA00F" w14:textId="407D91F7" w:rsidR="0042636E" w:rsidRPr="001455F5" w:rsidRDefault="0042636E" w:rsidP="0042636E">
      <w:pPr>
        <w:numPr>
          <w:ilvl w:val="1"/>
          <w:numId w:val="41"/>
        </w:numPr>
        <w:spacing w:after="0"/>
        <w:ind w:left="1134"/>
        <w:rPr>
          <w:rFonts w:asciiTheme="minorHAnsi" w:hAnsiTheme="minorHAnsi" w:cstheme="minorHAnsi"/>
        </w:rPr>
      </w:pPr>
      <w:r w:rsidRPr="001455F5">
        <w:rPr>
          <w:rFonts w:asciiTheme="minorHAnsi" w:hAnsiTheme="minorHAnsi" w:cstheme="minorHAnsi"/>
        </w:rPr>
        <w:t xml:space="preserve">Detailed information about ISBT128 is available via the </w:t>
      </w:r>
      <w:hyperlink r:id="rId7" w:history="1">
        <w:r w:rsidRPr="001455F5">
          <w:rPr>
            <w:rStyle w:val="Hyperlink"/>
            <w:rFonts w:asciiTheme="minorHAnsi" w:hAnsiTheme="minorHAnsi" w:cstheme="minorHAnsi"/>
          </w:rPr>
          <w:t>Australian Guidelines for the Labelling of Blood Components Using ISBT 128</w:t>
        </w:r>
      </w:hyperlink>
    </w:p>
    <w:p w14:paraId="71C540C7" w14:textId="2C5587F3" w:rsidR="0042636E" w:rsidRPr="001455F5" w:rsidRDefault="0042636E" w:rsidP="0042636E">
      <w:pPr>
        <w:numPr>
          <w:ilvl w:val="1"/>
          <w:numId w:val="41"/>
        </w:numPr>
        <w:spacing w:after="0"/>
        <w:ind w:left="1134"/>
        <w:rPr>
          <w:rFonts w:asciiTheme="minorHAnsi" w:hAnsiTheme="minorHAnsi" w:cstheme="minorHAnsi"/>
        </w:rPr>
      </w:pPr>
      <w:r w:rsidRPr="001455F5">
        <w:rPr>
          <w:rFonts w:asciiTheme="minorHAnsi" w:hAnsiTheme="minorHAnsi" w:cstheme="minorHAnsi"/>
        </w:rPr>
        <w:t xml:space="preserve">Technical information about ISBT128 is available on the </w:t>
      </w:r>
      <w:hyperlink r:id="rId8" w:history="1">
        <w:r w:rsidRPr="001455F5">
          <w:rPr>
            <w:rStyle w:val="Hyperlink"/>
            <w:rFonts w:asciiTheme="minorHAnsi" w:hAnsiTheme="minorHAnsi" w:cstheme="minorHAnsi"/>
          </w:rPr>
          <w:t>International Council for Commonality in Blood Banking Automation (ICCBBA) website</w:t>
        </w:r>
      </w:hyperlink>
    </w:p>
    <w:p w14:paraId="3753109F" w14:textId="77777777" w:rsidR="0042636E" w:rsidRPr="001455F5" w:rsidRDefault="0042636E" w:rsidP="0042636E">
      <w:pPr>
        <w:numPr>
          <w:ilvl w:val="1"/>
          <w:numId w:val="41"/>
        </w:numPr>
        <w:ind w:left="1134"/>
        <w:rPr>
          <w:rFonts w:asciiTheme="minorHAnsi" w:hAnsiTheme="minorHAnsi" w:cstheme="minorHAnsi"/>
        </w:rPr>
      </w:pPr>
      <w:r w:rsidRPr="001455F5">
        <w:rPr>
          <w:rFonts w:asciiTheme="minorHAnsi" w:hAnsiTheme="minorHAnsi" w:cstheme="minorHAnsi"/>
        </w:rPr>
        <w:t xml:space="preserve">Information on changes to barcode symbology used on blood and blood products funded under the national arrangements is available </w:t>
      </w:r>
      <w:hyperlink r:id="rId9" w:history="1">
        <w:r w:rsidRPr="001455F5">
          <w:rPr>
            <w:rStyle w:val="Hyperlink"/>
            <w:rFonts w:asciiTheme="minorHAnsi" w:hAnsiTheme="minorHAnsi" w:cstheme="minorHAnsi"/>
          </w:rPr>
          <w:t>Barcode specifications for blood and blood products funded under the National Blood Arrangements</w:t>
        </w:r>
      </w:hyperlink>
    </w:p>
    <w:p w14:paraId="04666A56" w14:textId="77777777" w:rsidR="00881386" w:rsidRDefault="00881386" w:rsidP="00881386"/>
    <w:p w14:paraId="680A0C0E" w14:textId="77777777" w:rsidR="00881386" w:rsidRPr="009E38CC" w:rsidRDefault="00881386" w:rsidP="00881386"/>
    <w:p w14:paraId="647D525F" w14:textId="77777777" w:rsidR="00B3726E" w:rsidRPr="009E38CC" w:rsidRDefault="00B3726E" w:rsidP="006E22B9"/>
    <w:sectPr w:rsidR="00B3726E" w:rsidRPr="009E38CC" w:rsidSect="00D5605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042B" w14:textId="77777777" w:rsidR="003323BA" w:rsidRDefault="003323BA" w:rsidP="00856708">
      <w:pPr>
        <w:spacing w:after="0"/>
      </w:pPr>
      <w:r>
        <w:separator/>
      </w:r>
    </w:p>
  </w:endnote>
  <w:endnote w:type="continuationSeparator" w:id="0">
    <w:p w14:paraId="1739546D" w14:textId="77777777" w:rsidR="003323BA" w:rsidRDefault="003323BA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altName w:val="Batang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DF5A" w14:textId="296052D8" w:rsidR="00856708" w:rsidRPr="00856708" w:rsidRDefault="00344AB0" w:rsidP="00344AB0">
    <w:pPr>
      <w:pStyle w:val="Footer"/>
      <w:ind w:left="-993"/>
      <w:rPr>
        <w:sz w:val="20"/>
        <w:szCs w:val="20"/>
      </w:rPr>
    </w:pPr>
    <w:r>
      <w:t xml:space="preserve">ISBT128 DataMatrix Barcode Implementation – FAQs for Laboratories and Hospitals </w:t>
    </w:r>
    <w:r w:rsidR="00856708" w:rsidRPr="00856708">
      <w:rPr>
        <w:sz w:val="20"/>
        <w:szCs w:val="20"/>
      </w:rPr>
      <w:tab/>
      <w:t xml:space="preserve">pg. </w:t>
    </w:r>
    <w:r w:rsidR="00856708" w:rsidRPr="00856708">
      <w:rPr>
        <w:sz w:val="20"/>
        <w:szCs w:val="20"/>
      </w:rPr>
      <w:fldChar w:fldCharType="begin"/>
    </w:r>
    <w:r w:rsidR="00856708" w:rsidRPr="00856708">
      <w:rPr>
        <w:sz w:val="20"/>
        <w:szCs w:val="20"/>
      </w:rPr>
      <w:instrText xml:space="preserve"> PAGE    \* MERGEFORMAT </w:instrText>
    </w:r>
    <w:r w:rsidR="00856708" w:rsidRPr="00856708">
      <w:rPr>
        <w:sz w:val="20"/>
        <w:szCs w:val="20"/>
      </w:rPr>
      <w:fldChar w:fldCharType="separate"/>
    </w:r>
    <w:r w:rsidR="004C1C3D">
      <w:rPr>
        <w:noProof/>
        <w:sz w:val="20"/>
        <w:szCs w:val="20"/>
      </w:rPr>
      <w:t>2</w:t>
    </w:r>
    <w:r w:rsidR="00856708" w:rsidRPr="0085670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C849" w14:textId="4FFF65E7" w:rsidR="0022248F" w:rsidRDefault="00344AB0" w:rsidP="00344AB0">
    <w:pPr>
      <w:pStyle w:val="Footer"/>
      <w:ind w:left="-993"/>
    </w:pPr>
    <w:r>
      <w:t>ISBT128 DataMatrix Barcode Implementation – FAQs for Laboratories and Hospitals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F3DC" w14:textId="77777777" w:rsidR="003323BA" w:rsidRDefault="003323BA" w:rsidP="00856708">
      <w:pPr>
        <w:spacing w:after="0"/>
      </w:pPr>
      <w:r>
        <w:separator/>
      </w:r>
    </w:p>
  </w:footnote>
  <w:footnote w:type="continuationSeparator" w:id="0">
    <w:p w14:paraId="44484C74" w14:textId="77777777" w:rsidR="003323BA" w:rsidRDefault="003323BA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79EE" w14:textId="124A5020" w:rsidR="0066344F" w:rsidRDefault="006634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F09219" wp14:editId="29C0DF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6347907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6DF4B" w14:textId="0EB11FA2" w:rsidR="0066344F" w:rsidRPr="0066344F" w:rsidRDefault="0066344F" w:rsidP="0066344F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44F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092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C06DF4B" w14:textId="0EB11FA2" w:rsidR="0066344F" w:rsidRPr="0066344F" w:rsidRDefault="0066344F" w:rsidP="0066344F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44F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92BA2" w14:textId="63A9B276" w:rsidR="001D050E" w:rsidRDefault="002224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A942BE" wp14:editId="2731A5AE">
              <wp:simplePos x="0" y="0"/>
              <wp:positionH relativeFrom="margin">
                <wp:posOffset>4276559</wp:posOffset>
              </wp:positionH>
              <wp:positionV relativeFrom="paragraph">
                <wp:posOffset>-393700</wp:posOffset>
              </wp:positionV>
              <wp:extent cx="2258170" cy="1319917"/>
              <wp:effectExtent l="0" t="0" r="8890" b="0"/>
              <wp:wrapNone/>
              <wp:docPr id="54616356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170" cy="13199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EB4045" w14:textId="11CC7214" w:rsidR="0022248F" w:rsidRDefault="0022248F">
                          <w:r w:rsidRPr="00CF4B12">
                            <w:rPr>
                              <w:noProof/>
                            </w:rPr>
                            <w:drawing>
                              <wp:inline distT="0" distB="0" distL="0" distR="0" wp14:anchorId="6B411489" wp14:editId="3ABDB4DB">
                                <wp:extent cx="1999345" cy="1052637"/>
                                <wp:effectExtent l="0" t="0" r="1270" b="0"/>
                                <wp:docPr id="78340163" name="Picture 78340163" descr="A red cross with black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red cross with black text&#10;&#10;Description automatically generated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t="13366" b="967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5969" cy="107191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A942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36.75pt;margin-top:-31pt;width:177.8pt;height:103.9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" fillcolor="white [3201]" stroked="f" strokeweight=".5pt">
              <v:textbox>
                <w:txbxContent>
                  <w:p w14:paraId="7CEB4045" w14:textId="11CC7214" w:rsidR="0022248F" w:rsidRDefault="0022248F">
                    <w:r w:rsidRPr="00CF4B12">
                      <w:rPr>
                        <w:noProof/>
                      </w:rPr>
                      <w:drawing>
                        <wp:inline distT="0" distB="0" distL="0" distR="0" wp14:anchorId="6B411489" wp14:editId="3ABDB4DB">
                          <wp:extent cx="1999345" cy="1052637"/>
                          <wp:effectExtent l="0" t="0" r="1270" b="0"/>
                          <wp:docPr id="78340163" name="Picture 78340163" descr="A red cross with black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red cross with black text&#10;&#10;Description automatically generated"/>
                                  <pic:cNvPicPr/>
                                </pic:nvPicPr>
                                <pic:blipFill rotWithShape="1">
                                  <a:blip r:embed="rId2"/>
                                  <a:srcRect t="13366" b="967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35969" cy="107191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7798E0" wp14:editId="283DD5D5">
              <wp:simplePos x="0" y="0"/>
              <wp:positionH relativeFrom="column">
                <wp:posOffset>-842838</wp:posOffset>
              </wp:positionH>
              <wp:positionV relativeFrom="paragraph">
                <wp:posOffset>-378018</wp:posOffset>
              </wp:positionV>
              <wp:extent cx="4110824" cy="1327868"/>
              <wp:effectExtent l="0" t="0" r="4445" b="5715"/>
              <wp:wrapNone/>
              <wp:docPr id="213577728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0824" cy="13278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4E8837" w14:textId="33A5A8D2" w:rsidR="0022248F" w:rsidRDefault="0022248F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54A4F8F" wp14:editId="3EDB27E5">
                                <wp:extent cx="3021496" cy="981129"/>
                                <wp:effectExtent l="0" t="0" r="7620" b="9525"/>
                                <wp:docPr id="297011114" name="Picture 297011114" descr="C:\Users\contarnol\AppData\Local\Microsoft\Windows\Temporary Internet Files\Content.Word\NBA-Logo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ontarnol\AppData\Local\Microsoft\Windows\Temporary Internet Files\Content.Word\NBA-Logo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38195" cy="986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798E0" id="Text Box 3" o:spid="_x0000_s1029" type="#_x0000_t202" style="position:absolute;margin-left:-66.35pt;margin-top:-29.75pt;width:323.7pt;height:10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" fillcolor="white [3201]" stroked="f" strokeweight=".5pt">
              <v:textbox>
                <w:txbxContent>
                  <w:p w14:paraId="664E8837" w14:textId="33A5A8D2" w:rsidR="0022248F" w:rsidRDefault="0022248F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754A4F8F" wp14:editId="3EDB27E5">
                          <wp:extent cx="3021496" cy="981129"/>
                          <wp:effectExtent l="0" t="0" r="7620" b="9525"/>
                          <wp:docPr id="297011114" name="Picture 297011114" descr="C:\Users\contarnol\AppData\Local\Microsoft\Windows\Temporary Internet Files\Content.Word\NBA-Logo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contarnol\AppData\Local\Microsoft\Windows\Temporary Internet Files\Content.Word\NBA-Logo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38195" cy="986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344F"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B113F7" wp14:editId="6A1948D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6776552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9C389" w14:textId="21DF3550" w:rsidR="0066344F" w:rsidRPr="0066344F" w:rsidRDefault="0066344F" w:rsidP="0066344F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44F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B113F7" id="_x0000_s1030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D49C389" w14:textId="21DF3550" w:rsidR="0066344F" w:rsidRPr="0066344F" w:rsidRDefault="0066344F" w:rsidP="0066344F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44F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AFAE" w14:textId="11648F95" w:rsidR="00E7294B" w:rsidRDefault="002224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91B393" wp14:editId="39028242">
              <wp:simplePos x="0" y="0"/>
              <wp:positionH relativeFrom="column">
                <wp:posOffset>4388347</wp:posOffset>
              </wp:positionH>
              <wp:positionV relativeFrom="paragraph">
                <wp:posOffset>-417167</wp:posOffset>
              </wp:positionV>
              <wp:extent cx="2138901" cy="1502797"/>
              <wp:effectExtent l="0" t="0" r="0" b="2540"/>
              <wp:wrapNone/>
              <wp:docPr id="111753927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01" cy="1502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3E246" w14:textId="113B9B16" w:rsidR="0022248F" w:rsidRDefault="0022248F">
                          <w:r w:rsidRPr="00CF4B12">
                            <w:rPr>
                              <w:noProof/>
                            </w:rPr>
                            <w:drawing>
                              <wp:inline distT="0" distB="0" distL="0" distR="0" wp14:anchorId="36B9433B" wp14:editId="2E8CDD5C">
                                <wp:extent cx="1999345" cy="1052637"/>
                                <wp:effectExtent l="0" t="0" r="1270" b="0"/>
                                <wp:docPr id="1553009629" name="Picture 1553009629" descr="A red cross with black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red cross with black text&#10;&#10;Description automatically generated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t="13366" b="967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5969" cy="107191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1B39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5.55pt;margin-top:-32.85pt;width:168.4pt;height:1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" fillcolor="white [3201]" stroked="f" strokeweight=".5pt">
              <v:textbox>
                <w:txbxContent>
                  <w:p w14:paraId="7B23E246" w14:textId="113B9B16" w:rsidR="0022248F" w:rsidRDefault="0022248F">
                    <w:r w:rsidRPr="00CF4B12">
                      <w:rPr>
                        <w:noProof/>
                      </w:rPr>
                      <w:drawing>
                        <wp:inline distT="0" distB="0" distL="0" distR="0" wp14:anchorId="36B9433B" wp14:editId="2E8CDD5C">
                          <wp:extent cx="1999345" cy="1052637"/>
                          <wp:effectExtent l="0" t="0" r="1270" b="0"/>
                          <wp:docPr id="1553009629" name="Picture 1553009629" descr="A red cross with black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red cross with black text&#10;&#10;Description automatically generated"/>
                                  <pic:cNvPicPr/>
                                </pic:nvPicPr>
                                <pic:blipFill rotWithShape="1">
                                  <a:blip r:embed="rId2"/>
                                  <a:srcRect t="13366" b="967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35969" cy="107191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B38FA7" wp14:editId="2DFDF298">
              <wp:simplePos x="0" y="0"/>
              <wp:positionH relativeFrom="column">
                <wp:posOffset>-834417</wp:posOffset>
              </wp:positionH>
              <wp:positionV relativeFrom="paragraph">
                <wp:posOffset>-338096</wp:posOffset>
              </wp:positionV>
              <wp:extent cx="4007457" cy="1168842"/>
              <wp:effectExtent l="0" t="0" r="0" b="0"/>
              <wp:wrapNone/>
              <wp:docPr id="8104159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7457" cy="11688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ABFACF" w14:textId="0B928FE1" w:rsidR="0022248F" w:rsidRDefault="0022248F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0A67239" wp14:editId="6E69BB1E">
                                <wp:extent cx="3021496" cy="981129"/>
                                <wp:effectExtent l="0" t="0" r="7620" b="9525"/>
                                <wp:docPr id="1499252078" name="Picture 1499252078" descr="C:\Users\contarnol\AppData\Local\Microsoft\Windows\Temporary Internet Files\Content.Word\NBA-Logo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ontarnol\AppData\Local\Microsoft\Windows\Temporary Internet Files\Content.Word\NBA-Logo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38195" cy="986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B38FA7" id="_x0000_s1032" type="#_x0000_t202" style="position:absolute;margin-left:-65.7pt;margin-top:-26.6pt;width:315.55pt;height:9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E1MgIAAFwEAAAOAAAAZHJzL2Uyb0RvYy54bWysVE1v2zAMvQ/YfxB0X2xnSZoa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" fillcolor="white [3201]" stroked="f" strokeweight=".5pt">
              <v:textbox>
                <w:txbxContent>
                  <w:p w14:paraId="63ABFACF" w14:textId="0B928FE1" w:rsidR="0022248F" w:rsidRDefault="0022248F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0A67239" wp14:editId="6E69BB1E">
                          <wp:extent cx="3021496" cy="981129"/>
                          <wp:effectExtent l="0" t="0" r="7620" b="9525"/>
                          <wp:docPr id="1499252078" name="Picture 1499252078" descr="C:\Users\contarnol\AppData\Local\Microsoft\Windows\Temporary Internet Files\Content.Word\NBA-Logo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contarnol\AppData\Local\Microsoft\Windows\Temporary Internet Files\Content.Word\NBA-Logo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38195" cy="986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344F"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725E3C" wp14:editId="04E21DD8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8195125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55485" w14:textId="22585E71" w:rsidR="0066344F" w:rsidRPr="0066344F" w:rsidRDefault="0066344F" w:rsidP="0066344F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44F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725E3C" id="_x0000_s1033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9155485" w14:textId="22585E71" w:rsidR="0066344F" w:rsidRPr="0066344F" w:rsidRDefault="0066344F" w:rsidP="0066344F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44F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ECD"/>
    <w:multiLevelType w:val="hybridMultilevel"/>
    <w:tmpl w:val="9F9E0D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21FB"/>
    <w:multiLevelType w:val="hybridMultilevel"/>
    <w:tmpl w:val="C05E4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6293"/>
    <w:multiLevelType w:val="multilevel"/>
    <w:tmpl w:val="E75C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87AA8"/>
    <w:multiLevelType w:val="hybridMultilevel"/>
    <w:tmpl w:val="9B3254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2EE4"/>
    <w:multiLevelType w:val="hybridMultilevel"/>
    <w:tmpl w:val="23805F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3BDA"/>
    <w:multiLevelType w:val="hybridMultilevel"/>
    <w:tmpl w:val="BD48F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1F1B"/>
    <w:multiLevelType w:val="hybridMultilevel"/>
    <w:tmpl w:val="B1349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57727"/>
    <w:multiLevelType w:val="hybridMultilevel"/>
    <w:tmpl w:val="B308DB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3067"/>
    <w:multiLevelType w:val="multilevel"/>
    <w:tmpl w:val="2446D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00DDA"/>
    <w:multiLevelType w:val="multilevel"/>
    <w:tmpl w:val="2854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C1FCA"/>
    <w:multiLevelType w:val="multilevel"/>
    <w:tmpl w:val="658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5154FF"/>
    <w:multiLevelType w:val="hybridMultilevel"/>
    <w:tmpl w:val="E48C6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27882"/>
    <w:multiLevelType w:val="hybridMultilevel"/>
    <w:tmpl w:val="BBAAF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5B5E"/>
    <w:multiLevelType w:val="multilevel"/>
    <w:tmpl w:val="CD3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6E4D91"/>
    <w:multiLevelType w:val="multilevel"/>
    <w:tmpl w:val="F0BE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91065A"/>
    <w:multiLevelType w:val="multilevel"/>
    <w:tmpl w:val="9086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31087"/>
    <w:multiLevelType w:val="multilevel"/>
    <w:tmpl w:val="9DB6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7C5B7C"/>
    <w:multiLevelType w:val="hybridMultilevel"/>
    <w:tmpl w:val="D0AE2D92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D0428"/>
    <w:multiLevelType w:val="multilevel"/>
    <w:tmpl w:val="255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D07BEF"/>
    <w:multiLevelType w:val="multilevel"/>
    <w:tmpl w:val="97B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30641"/>
    <w:multiLevelType w:val="hybridMultilevel"/>
    <w:tmpl w:val="3362AD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315D7"/>
    <w:multiLevelType w:val="hybridMultilevel"/>
    <w:tmpl w:val="C422C21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8159E1"/>
    <w:multiLevelType w:val="multilevel"/>
    <w:tmpl w:val="CB2E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1022"/>
    <w:multiLevelType w:val="hybridMultilevel"/>
    <w:tmpl w:val="35CA00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1279D"/>
    <w:multiLevelType w:val="multilevel"/>
    <w:tmpl w:val="B83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0164E5"/>
    <w:multiLevelType w:val="hybridMultilevel"/>
    <w:tmpl w:val="CCE4EA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2174"/>
    <w:multiLevelType w:val="hybridMultilevel"/>
    <w:tmpl w:val="44D2A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F7D9C"/>
    <w:multiLevelType w:val="multilevel"/>
    <w:tmpl w:val="2D4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5D94856"/>
    <w:multiLevelType w:val="hybridMultilevel"/>
    <w:tmpl w:val="A96AF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A3631"/>
    <w:multiLevelType w:val="hybridMultilevel"/>
    <w:tmpl w:val="7AC2C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3141C"/>
    <w:multiLevelType w:val="hybridMultilevel"/>
    <w:tmpl w:val="4D5A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83B68"/>
    <w:multiLevelType w:val="hybridMultilevel"/>
    <w:tmpl w:val="917E2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6398A"/>
    <w:multiLevelType w:val="multilevel"/>
    <w:tmpl w:val="3E98A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3B22A7"/>
    <w:multiLevelType w:val="hybridMultilevel"/>
    <w:tmpl w:val="8D64C2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D3E7D"/>
    <w:multiLevelType w:val="multilevel"/>
    <w:tmpl w:val="E93C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EA0AF5"/>
    <w:multiLevelType w:val="hybridMultilevel"/>
    <w:tmpl w:val="F2BCB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A48A4"/>
    <w:multiLevelType w:val="hybridMultilevel"/>
    <w:tmpl w:val="052E2BBA"/>
    <w:lvl w:ilvl="0" w:tplc="0C09000F">
      <w:start w:val="1"/>
      <w:numFmt w:val="decimal"/>
      <w:lvlText w:val="%1."/>
      <w:lvlJc w:val="left"/>
      <w:pPr>
        <w:ind w:left="60" w:hanging="360"/>
      </w:pPr>
    </w:lvl>
    <w:lvl w:ilvl="1" w:tplc="0C090019" w:tentative="1">
      <w:start w:val="1"/>
      <w:numFmt w:val="lowerLetter"/>
      <w:lvlText w:val="%2."/>
      <w:lvlJc w:val="left"/>
      <w:pPr>
        <w:ind w:left="780" w:hanging="360"/>
      </w:pPr>
    </w:lvl>
    <w:lvl w:ilvl="2" w:tplc="0C09001B" w:tentative="1">
      <w:start w:val="1"/>
      <w:numFmt w:val="lowerRoman"/>
      <w:lvlText w:val="%3."/>
      <w:lvlJc w:val="right"/>
      <w:pPr>
        <w:ind w:left="1500" w:hanging="180"/>
      </w:pPr>
    </w:lvl>
    <w:lvl w:ilvl="3" w:tplc="0C09000F" w:tentative="1">
      <w:start w:val="1"/>
      <w:numFmt w:val="decimal"/>
      <w:lvlText w:val="%4."/>
      <w:lvlJc w:val="left"/>
      <w:pPr>
        <w:ind w:left="2220" w:hanging="360"/>
      </w:pPr>
    </w:lvl>
    <w:lvl w:ilvl="4" w:tplc="0C090019" w:tentative="1">
      <w:start w:val="1"/>
      <w:numFmt w:val="lowerLetter"/>
      <w:lvlText w:val="%5."/>
      <w:lvlJc w:val="left"/>
      <w:pPr>
        <w:ind w:left="2940" w:hanging="360"/>
      </w:pPr>
    </w:lvl>
    <w:lvl w:ilvl="5" w:tplc="0C09001B" w:tentative="1">
      <w:start w:val="1"/>
      <w:numFmt w:val="lowerRoman"/>
      <w:lvlText w:val="%6."/>
      <w:lvlJc w:val="right"/>
      <w:pPr>
        <w:ind w:left="3660" w:hanging="180"/>
      </w:pPr>
    </w:lvl>
    <w:lvl w:ilvl="6" w:tplc="0C09000F" w:tentative="1">
      <w:start w:val="1"/>
      <w:numFmt w:val="decimal"/>
      <w:lvlText w:val="%7."/>
      <w:lvlJc w:val="left"/>
      <w:pPr>
        <w:ind w:left="4380" w:hanging="360"/>
      </w:pPr>
    </w:lvl>
    <w:lvl w:ilvl="7" w:tplc="0C090019" w:tentative="1">
      <w:start w:val="1"/>
      <w:numFmt w:val="lowerLetter"/>
      <w:lvlText w:val="%8."/>
      <w:lvlJc w:val="left"/>
      <w:pPr>
        <w:ind w:left="5100" w:hanging="360"/>
      </w:pPr>
    </w:lvl>
    <w:lvl w:ilvl="8" w:tplc="0C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0" w15:restartNumberingAfterBreak="0">
    <w:nsid w:val="6B2A7D0F"/>
    <w:multiLevelType w:val="multilevel"/>
    <w:tmpl w:val="E13C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D30C5"/>
    <w:multiLevelType w:val="hybridMultilevel"/>
    <w:tmpl w:val="45B6CC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40F3A"/>
    <w:multiLevelType w:val="hybridMultilevel"/>
    <w:tmpl w:val="D3223E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748BA"/>
    <w:multiLevelType w:val="hybridMultilevel"/>
    <w:tmpl w:val="8F4E0E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63059">
    <w:abstractNumId w:val="24"/>
  </w:num>
  <w:num w:numId="2" w16cid:durableId="121123385">
    <w:abstractNumId w:val="24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1973752336">
    <w:abstractNumId w:val="25"/>
  </w:num>
  <w:num w:numId="4" w16cid:durableId="964236450">
    <w:abstractNumId w:val="41"/>
  </w:num>
  <w:num w:numId="5" w16cid:durableId="889728990">
    <w:abstractNumId w:val="20"/>
  </w:num>
  <w:num w:numId="6" w16cid:durableId="495920759">
    <w:abstractNumId w:val="10"/>
  </w:num>
  <w:num w:numId="7" w16cid:durableId="1701276372">
    <w:abstractNumId w:val="30"/>
  </w:num>
  <w:num w:numId="8" w16cid:durableId="1123772685">
    <w:abstractNumId w:val="23"/>
  </w:num>
  <w:num w:numId="9" w16cid:durableId="450174100">
    <w:abstractNumId w:val="8"/>
  </w:num>
  <w:num w:numId="10" w16cid:durableId="1120296666">
    <w:abstractNumId w:val="35"/>
  </w:num>
  <w:num w:numId="11" w16cid:durableId="1499005415">
    <w:abstractNumId w:val="14"/>
  </w:num>
  <w:num w:numId="12" w16cid:durableId="34278600">
    <w:abstractNumId w:val="37"/>
  </w:num>
  <w:num w:numId="13" w16cid:durableId="1127242654">
    <w:abstractNumId w:val="15"/>
  </w:num>
  <w:num w:numId="14" w16cid:durableId="163447308">
    <w:abstractNumId w:val="19"/>
  </w:num>
  <w:num w:numId="15" w16cid:durableId="1289624020">
    <w:abstractNumId w:val="2"/>
  </w:num>
  <w:num w:numId="16" w16cid:durableId="1311668540">
    <w:abstractNumId w:val="27"/>
  </w:num>
  <w:num w:numId="17" w16cid:durableId="925499786">
    <w:abstractNumId w:val="18"/>
  </w:num>
  <w:num w:numId="18" w16cid:durableId="1740639488">
    <w:abstractNumId w:val="16"/>
  </w:num>
  <w:num w:numId="19" w16cid:durableId="259147222">
    <w:abstractNumId w:val="40"/>
  </w:num>
  <w:num w:numId="20" w16cid:durableId="978997407">
    <w:abstractNumId w:val="13"/>
  </w:num>
  <w:num w:numId="21" w16cid:durableId="124585737">
    <w:abstractNumId w:val="9"/>
  </w:num>
  <w:num w:numId="22" w16cid:durableId="320430311">
    <w:abstractNumId w:val="17"/>
  </w:num>
  <w:num w:numId="23" w16cid:durableId="1021199346">
    <w:abstractNumId w:val="36"/>
  </w:num>
  <w:num w:numId="24" w16cid:durableId="1258254357">
    <w:abstractNumId w:val="42"/>
  </w:num>
  <w:num w:numId="25" w16cid:durableId="732512210">
    <w:abstractNumId w:val="26"/>
  </w:num>
  <w:num w:numId="26" w16cid:durableId="491407297">
    <w:abstractNumId w:val="0"/>
  </w:num>
  <w:num w:numId="27" w16cid:durableId="21173914">
    <w:abstractNumId w:val="7"/>
  </w:num>
  <w:num w:numId="28" w16cid:durableId="1018309442">
    <w:abstractNumId w:val="1"/>
  </w:num>
  <w:num w:numId="29" w16cid:durableId="364795056">
    <w:abstractNumId w:val="31"/>
  </w:num>
  <w:num w:numId="30" w16cid:durableId="1577862805">
    <w:abstractNumId w:val="39"/>
  </w:num>
  <w:num w:numId="31" w16cid:durableId="1255212789">
    <w:abstractNumId w:val="4"/>
  </w:num>
  <w:num w:numId="32" w16cid:durableId="1524439750">
    <w:abstractNumId w:val="44"/>
  </w:num>
  <w:num w:numId="33" w16cid:durableId="297760154">
    <w:abstractNumId w:val="28"/>
  </w:num>
  <w:num w:numId="34" w16cid:durableId="1819685905">
    <w:abstractNumId w:val="3"/>
  </w:num>
  <w:num w:numId="35" w16cid:durableId="1293823492">
    <w:abstractNumId w:val="5"/>
  </w:num>
  <w:num w:numId="36" w16cid:durableId="60444025">
    <w:abstractNumId w:val="38"/>
  </w:num>
  <w:num w:numId="37" w16cid:durableId="1548684636">
    <w:abstractNumId w:val="32"/>
  </w:num>
  <w:num w:numId="38" w16cid:durableId="1622108817">
    <w:abstractNumId w:val="12"/>
  </w:num>
  <w:num w:numId="39" w16cid:durableId="1324898198">
    <w:abstractNumId w:val="43"/>
  </w:num>
  <w:num w:numId="40" w16cid:durableId="395082911">
    <w:abstractNumId w:val="33"/>
  </w:num>
  <w:num w:numId="41" w16cid:durableId="1717467558">
    <w:abstractNumId w:val="22"/>
  </w:num>
  <w:num w:numId="42" w16cid:durableId="2010133588">
    <w:abstractNumId w:val="29"/>
  </w:num>
  <w:num w:numId="43" w16cid:durableId="1306427353">
    <w:abstractNumId w:val="21"/>
  </w:num>
  <w:num w:numId="44" w16cid:durableId="1823426550">
    <w:abstractNumId w:val="6"/>
  </w:num>
  <w:num w:numId="45" w16cid:durableId="2049644361">
    <w:abstractNumId w:val="34"/>
  </w:num>
  <w:num w:numId="46" w16cid:durableId="966160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86"/>
    <w:rsid w:val="00016331"/>
    <w:rsid w:val="00036EDC"/>
    <w:rsid w:val="000F1739"/>
    <w:rsid w:val="001B03BA"/>
    <w:rsid w:val="001D050E"/>
    <w:rsid w:val="0022248F"/>
    <w:rsid w:val="0023376E"/>
    <w:rsid w:val="002537F2"/>
    <w:rsid w:val="0027472D"/>
    <w:rsid w:val="0028060C"/>
    <w:rsid w:val="002D43BD"/>
    <w:rsid w:val="002F079E"/>
    <w:rsid w:val="003323BA"/>
    <w:rsid w:val="00344AB0"/>
    <w:rsid w:val="0036227E"/>
    <w:rsid w:val="0039529F"/>
    <w:rsid w:val="003A2B1F"/>
    <w:rsid w:val="003B6A1D"/>
    <w:rsid w:val="00407721"/>
    <w:rsid w:val="0042636E"/>
    <w:rsid w:val="004A1003"/>
    <w:rsid w:val="004C1C3D"/>
    <w:rsid w:val="004C5992"/>
    <w:rsid w:val="004D4636"/>
    <w:rsid w:val="00617916"/>
    <w:rsid w:val="00630BDC"/>
    <w:rsid w:val="00654BDC"/>
    <w:rsid w:val="00657687"/>
    <w:rsid w:val="0066344F"/>
    <w:rsid w:val="006C6E6E"/>
    <w:rsid w:val="006E22B9"/>
    <w:rsid w:val="00724B25"/>
    <w:rsid w:val="00740775"/>
    <w:rsid w:val="007D233D"/>
    <w:rsid w:val="00841AEB"/>
    <w:rsid w:val="00856708"/>
    <w:rsid w:val="00881386"/>
    <w:rsid w:val="00893E0A"/>
    <w:rsid w:val="0090073A"/>
    <w:rsid w:val="0090432E"/>
    <w:rsid w:val="00951B85"/>
    <w:rsid w:val="009B5A77"/>
    <w:rsid w:val="009D1119"/>
    <w:rsid w:val="009E38CC"/>
    <w:rsid w:val="009E720A"/>
    <w:rsid w:val="00AD02D0"/>
    <w:rsid w:val="00AE25E6"/>
    <w:rsid w:val="00B01E14"/>
    <w:rsid w:val="00B3726E"/>
    <w:rsid w:val="00B63128"/>
    <w:rsid w:val="00BA50CE"/>
    <w:rsid w:val="00BC6E23"/>
    <w:rsid w:val="00BE2B4F"/>
    <w:rsid w:val="00BF4B2E"/>
    <w:rsid w:val="00C15EDB"/>
    <w:rsid w:val="00C7337B"/>
    <w:rsid w:val="00CA6E34"/>
    <w:rsid w:val="00D5605D"/>
    <w:rsid w:val="00DD4EB5"/>
    <w:rsid w:val="00DF1FF4"/>
    <w:rsid w:val="00E235B7"/>
    <w:rsid w:val="00E670A5"/>
    <w:rsid w:val="00E7294B"/>
    <w:rsid w:val="00EF1A42"/>
    <w:rsid w:val="00FA1A41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6C2B7"/>
  <w15:docId w15:val="{87D1A805-CDDD-459E-B140-05FEFBA0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86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B3726E"/>
    <w:pPr>
      <w:widowControl w:val="0"/>
      <w:spacing w:before="480" w:after="240" w:line="240" w:lineRule="auto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26E"/>
    <w:pPr>
      <w:spacing w:after="0"/>
      <w:outlineLvl w:val="2"/>
    </w:pPr>
    <w:rPr>
      <w:rFonts w:ascii="Arial" w:hAnsi="Arial" w:cs="Arial"/>
      <w:b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26E"/>
    <w:rPr>
      <w:rFonts w:ascii="Calibri" w:eastAsia="HYGothic-Extra" w:hAnsi="Calibri" w:cs="Calibri"/>
      <w:bCs/>
      <w:color w:val="1E1E1E"/>
      <w:spacing w:val="-2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26E"/>
    <w:rPr>
      <w:rFonts w:ascii="Arial" w:eastAsia="Dotum" w:hAnsi="Arial" w:cs="Arial"/>
      <w:b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D02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D02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0"/>
    <w:rPr>
      <w:rFonts w:ascii="Tahoma" w:eastAsia="Dotum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A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A1D"/>
    <w:rPr>
      <w:rFonts w:ascii="Calibri" w:eastAsia="Dotum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841AEB"/>
    <w:pPr>
      <w:spacing w:after="0" w:line="240" w:lineRule="auto"/>
    </w:pPr>
    <w:rPr>
      <w:rFonts w:ascii="Calibri" w:eastAsia="Dotum" w:hAnsi="Calibri" w:cs="Calibri"/>
    </w:rPr>
  </w:style>
  <w:style w:type="paragraph" w:customStyle="1" w:styleId="xxmsonormal">
    <w:name w:val="x_xmsonormal"/>
    <w:basedOn w:val="Normal"/>
    <w:rsid w:val="00BF4B2E"/>
    <w:pPr>
      <w:spacing w:before="100" w:beforeAutospacing="1" w:after="100" w:afterAutospacing="1"/>
    </w:pPr>
    <w:rPr>
      <w:rFonts w:eastAsiaTheme="minorHAns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7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0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bb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transfusion.com.au/blood_products/blood_component_labe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lood.gov.au/system/files/documents/Barcode%20specification%20for%20blood%20and%20blood%20products%20funded%20under%20the%20national%20blood%20arrangement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3449953\AppData\Local\Temp\74992\READ%20ONLY%20-%20TEMPLATE%20-%20A4%20Factsheet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READ ONLY - TEMPLATE - A4 Factsheet Portrait</Template>
  <TotalTime>2</TotalTime>
  <Pages>2</Pages>
  <Words>640</Words>
  <Characters>3634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Wall, Lyndsay</cp:lastModifiedBy>
  <cp:revision>3</cp:revision>
  <dcterms:created xsi:type="dcterms:W3CDTF">2024-07-03T23:52:00Z</dcterms:created>
  <dcterms:modified xsi:type="dcterms:W3CDTF">2024-07-03T23:53:00Z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6c738eb6,6170ed75,286432f4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1d3a1ea-a727-4720-a216-7dae13a61c56_Enabled">
    <vt:lpwstr>true</vt:lpwstr>
  </property>
  <property fmtid="{D5CDD505-2E9C-101B-9397-08002B2CF9AE}" pid="6" name="MSIP_Label_11d3a1ea-a727-4720-a216-7dae13a61c56_SetDate">
    <vt:lpwstr>2023-10-22T23:58:37Z</vt:lpwstr>
  </property>
  <property fmtid="{D5CDD505-2E9C-101B-9397-08002B2CF9AE}" pid="7" name="MSIP_Label_11d3a1ea-a727-4720-a216-7dae13a61c56_Method">
    <vt:lpwstr>Privileged</vt:lpwstr>
  </property>
  <property fmtid="{D5CDD505-2E9C-101B-9397-08002B2CF9AE}" pid="8" name="MSIP_Label_11d3a1ea-a727-4720-a216-7dae13a61c56_Name">
    <vt:lpwstr>OFFICIAL</vt:lpwstr>
  </property>
  <property fmtid="{D5CDD505-2E9C-101B-9397-08002B2CF9AE}" pid="9" name="MSIP_Label_11d3a1ea-a727-4720-a216-7dae13a61c56_SiteId">
    <vt:lpwstr>9c233057-0738-4b40-91b2-3798ceb38ebf</vt:lpwstr>
  </property>
  <property fmtid="{D5CDD505-2E9C-101B-9397-08002B2CF9AE}" pid="10" name="MSIP_Label_11d3a1ea-a727-4720-a216-7dae13a61c56_ActionId">
    <vt:lpwstr>73d5196b-c434-4338-ae60-3d6bc0e3875d</vt:lpwstr>
  </property>
  <property fmtid="{D5CDD505-2E9C-101B-9397-08002B2CF9AE}" pid="11" name="MSIP_Label_11d3a1ea-a727-4720-a216-7dae13a61c56_ContentBits">
    <vt:lpwstr>1</vt:lpwstr>
  </property>
</Properties>
</file>