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970" w:rsidRPr="00111602" w:rsidRDefault="00B82970" w:rsidP="00111602">
      <w:pPr>
        <w:widowControl/>
        <w:tabs>
          <w:tab w:val="clear" w:pos="284"/>
        </w:tabs>
        <w:autoSpaceDE/>
        <w:autoSpaceDN/>
        <w:adjustRightInd/>
        <w:spacing w:after="0" w:line="240" w:lineRule="auto"/>
        <w:jc w:val="right"/>
        <w:textAlignment w:val="auto"/>
        <w:rPr>
          <w:rFonts w:ascii="Arial" w:eastAsia="MS Mincho" w:hAnsi="Arial" w:cs="Times New Roman"/>
          <w:b/>
          <w:color w:val="auto"/>
          <w:szCs w:val="24"/>
          <w:lang w:eastAsia="en-AU"/>
        </w:rPr>
      </w:pPr>
    </w:p>
    <w:p w:rsidR="00111602" w:rsidRPr="001142EC" w:rsidRDefault="003C089E" w:rsidP="00111602">
      <w:pPr>
        <w:pStyle w:val="Heading3"/>
        <w:widowControl/>
        <w:tabs>
          <w:tab w:val="clear" w:pos="284"/>
        </w:tabs>
        <w:autoSpaceDE/>
        <w:autoSpaceDN/>
        <w:adjustRightInd/>
        <w:spacing w:line="240" w:lineRule="auto"/>
        <w:jc w:val="center"/>
        <w:textAlignment w:val="auto"/>
        <w:rPr>
          <w:rFonts w:eastAsia="Dotum"/>
          <w:b/>
          <w:bCs/>
        </w:rPr>
      </w:pPr>
      <w:r>
        <w:rPr>
          <w:rFonts w:eastAsia="Dotum"/>
        </w:rPr>
        <w:t>Specialist Working Group</w:t>
      </w:r>
      <w:r w:rsidR="00054DF5">
        <w:rPr>
          <w:rFonts w:eastAsia="Dotum"/>
        </w:rPr>
        <w:t xml:space="preserve"> </w:t>
      </w:r>
    </w:p>
    <w:p w:rsidR="00111602" w:rsidRPr="00B964B0" w:rsidRDefault="00111602" w:rsidP="00111602">
      <w:pPr>
        <w:jc w:val="center"/>
        <w:rPr>
          <w:b/>
          <w:sz w:val="28"/>
          <w:szCs w:val="28"/>
        </w:rPr>
      </w:pPr>
      <w:r w:rsidRPr="00B964B0">
        <w:rPr>
          <w:b/>
          <w:sz w:val="28"/>
          <w:szCs w:val="28"/>
        </w:rPr>
        <w:t>Terms of Reference</w:t>
      </w:r>
    </w:p>
    <w:p w:rsidR="00111602" w:rsidRPr="001142EC" w:rsidRDefault="00111602" w:rsidP="00111602">
      <w:pPr>
        <w:pStyle w:val="Heading4"/>
        <w:widowControl/>
        <w:tabs>
          <w:tab w:val="clear" w:pos="284"/>
        </w:tabs>
        <w:autoSpaceDE/>
        <w:autoSpaceDN/>
        <w:adjustRightInd/>
        <w:spacing w:line="240" w:lineRule="auto"/>
        <w:textAlignment w:val="auto"/>
        <w:rPr>
          <w:rFonts w:eastAsia="Dotum"/>
          <w:bCs/>
          <w:i/>
          <w:iCs/>
          <w:color w:val="auto"/>
          <w:szCs w:val="22"/>
        </w:rPr>
      </w:pPr>
      <w:r w:rsidRPr="001142EC">
        <w:rPr>
          <w:rFonts w:eastAsia="Dotum"/>
          <w:color w:val="auto"/>
          <w:szCs w:val="22"/>
        </w:rPr>
        <w:t>Overview</w:t>
      </w:r>
    </w:p>
    <w:p w:rsidR="0071576D" w:rsidRDefault="00617FD8" w:rsidP="00111602">
      <w:r>
        <w:t xml:space="preserve">The </w:t>
      </w:r>
      <w:r w:rsidR="00054DF5">
        <w:t>Specialist Working Group</w:t>
      </w:r>
      <w:r>
        <w:t>s</w:t>
      </w:r>
      <w:r w:rsidR="00054DF5">
        <w:t xml:space="preserve"> (SWG</w:t>
      </w:r>
      <w:r>
        <w:t>s</w:t>
      </w:r>
      <w:r w:rsidR="00054DF5">
        <w:t xml:space="preserve">) </w:t>
      </w:r>
      <w:r>
        <w:t xml:space="preserve">were </w:t>
      </w:r>
      <w:r w:rsidR="0071576D">
        <w:t xml:space="preserve">established to provide support to the </w:t>
      </w:r>
      <w:r w:rsidR="00111602">
        <w:t>National Immunoglobulin Governance Advisory Committee (</w:t>
      </w:r>
      <w:r w:rsidR="00111602" w:rsidRPr="00A7727E">
        <w:t>NIGAC</w:t>
      </w:r>
      <w:r w:rsidR="00111602">
        <w:t>)</w:t>
      </w:r>
      <w:r w:rsidR="00111602" w:rsidRPr="00A7727E">
        <w:t xml:space="preserve"> </w:t>
      </w:r>
      <w:r w:rsidR="00111602">
        <w:t xml:space="preserve">and </w:t>
      </w:r>
      <w:r w:rsidR="0071576D">
        <w:t xml:space="preserve">the </w:t>
      </w:r>
      <w:r w:rsidR="00111602">
        <w:t xml:space="preserve">National Blood Authority (NBA) </w:t>
      </w:r>
      <w:r w:rsidR="0071576D">
        <w:t xml:space="preserve">with respect to clinical considerations for the Immunoglobulin </w:t>
      </w:r>
      <w:r w:rsidR="004A37D1">
        <w:t xml:space="preserve">(Ig) </w:t>
      </w:r>
      <w:r w:rsidR="0071576D">
        <w:t xml:space="preserve">Governance Program in </w:t>
      </w:r>
      <w:r w:rsidR="00054DF5">
        <w:t xml:space="preserve">each of </w:t>
      </w:r>
      <w:r w:rsidR="0071576D">
        <w:t xml:space="preserve">the speciality areas of Haematology, Immunology, Neurology and Transplantation. Representation </w:t>
      </w:r>
      <w:r w:rsidR="00561127">
        <w:t>is</w:t>
      </w:r>
      <w:r w:rsidR="0071576D">
        <w:t xml:space="preserve"> sought from additional speciality areas </w:t>
      </w:r>
      <w:r w:rsidR="002C00D1">
        <w:t xml:space="preserve">(E.g. Rheumatology, </w:t>
      </w:r>
      <w:r w:rsidR="004A37D1">
        <w:t>D</w:t>
      </w:r>
      <w:r w:rsidR="002C00D1">
        <w:t xml:space="preserve">ermatology) </w:t>
      </w:r>
      <w:r w:rsidR="0071576D">
        <w:t xml:space="preserve">as required. </w:t>
      </w:r>
    </w:p>
    <w:p w:rsidR="00111602" w:rsidRPr="001142EC" w:rsidRDefault="00111602" w:rsidP="00111602">
      <w:pPr>
        <w:pStyle w:val="Heading4"/>
        <w:widowControl/>
        <w:tabs>
          <w:tab w:val="clear" w:pos="284"/>
        </w:tabs>
        <w:autoSpaceDE/>
        <w:autoSpaceDN/>
        <w:adjustRightInd/>
        <w:spacing w:line="240" w:lineRule="auto"/>
        <w:textAlignment w:val="auto"/>
        <w:rPr>
          <w:rFonts w:eastAsia="Dotum"/>
          <w:bCs/>
          <w:i/>
          <w:iCs/>
          <w:color w:val="auto"/>
          <w:szCs w:val="22"/>
        </w:rPr>
      </w:pPr>
      <w:r w:rsidRPr="001142EC">
        <w:rPr>
          <w:rFonts w:eastAsia="Dotum"/>
          <w:color w:val="auto"/>
          <w:szCs w:val="22"/>
        </w:rPr>
        <w:t>Role</w:t>
      </w:r>
    </w:p>
    <w:p w:rsidR="00111602" w:rsidRDefault="00111602" w:rsidP="00111602">
      <w:r>
        <w:t xml:space="preserve">The </w:t>
      </w:r>
      <w:r w:rsidR="0071576D">
        <w:t>SWGs</w:t>
      </w:r>
      <w:r>
        <w:t>:</w:t>
      </w:r>
    </w:p>
    <w:p w:rsidR="0071576D" w:rsidRPr="0071576D" w:rsidRDefault="0071576D" w:rsidP="00111602">
      <w:pPr>
        <w:pStyle w:val="ListParagraph"/>
        <w:widowControl/>
        <w:numPr>
          <w:ilvl w:val="0"/>
          <w:numId w:val="10"/>
        </w:numPr>
        <w:tabs>
          <w:tab w:val="clear" w:pos="284"/>
        </w:tabs>
        <w:autoSpaceDE/>
        <w:autoSpaceDN/>
        <w:adjustRightInd/>
        <w:spacing w:before="120" w:line="240" w:lineRule="auto"/>
        <w:textAlignment w:val="auto"/>
        <w:rPr>
          <w:i/>
        </w:rPr>
      </w:pPr>
      <w:r>
        <w:t xml:space="preserve">Provide specialist clinical advice, feedback and make recommendations regarding changes to the </w:t>
      </w:r>
      <w:r w:rsidRPr="002767FA">
        <w:rPr>
          <w:i/>
        </w:rPr>
        <w:t>Criteria for the clinical use of</w:t>
      </w:r>
      <w:r w:rsidRPr="00F75708">
        <w:rPr>
          <w:i/>
        </w:rPr>
        <w:t xml:space="preserve"> </w:t>
      </w:r>
      <w:r w:rsidRPr="002767FA">
        <w:rPr>
          <w:i/>
        </w:rPr>
        <w:t>immunoglobulin in Australia</w:t>
      </w:r>
      <w:r w:rsidRPr="0071576D">
        <w:rPr>
          <w:i/>
        </w:rPr>
        <w:t xml:space="preserve"> (</w:t>
      </w:r>
      <w:r w:rsidRPr="004A37D1">
        <w:t xml:space="preserve">the </w:t>
      </w:r>
      <w:r w:rsidRPr="002767FA">
        <w:t>Criteria</w:t>
      </w:r>
      <w:r w:rsidRPr="0071576D">
        <w:rPr>
          <w:i/>
        </w:rPr>
        <w:t>)</w:t>
      </w:r>
      <w:r w:rsidR="00FF1DC0">
        <w:rPr>
          <w:i/>
        </w:rPr>
        <w:t>.</w:t>
      </w:r>
    </w:p>
    <w:p w:rsidR="00111602" w:rsidRDefault="00111602" w:rsidP="00111602">
      <w:pPr>
        <w:pStyle w:val="ListParagraph"/>
        <w:widowControl/>
        <w:numPr>
          <w:ilvl w:val="0"/>
          <w:numId w:val="10"/>
        </w:numPr>
        <w:tabs>
          <w:tab w:val="clear" w:pos="284"/>
        </w:tabs>
        <w:autoSpaceDE/>
        <w:autoSpaceDN/>
        <w:adjustRightInd/>
        <w:spacing w:before="120" w:line="240" w:lineRule="auto"/>
        <w:textAlignment w:val="auto"/>
      </w:pPr>
      <w:r>
        <w:t xml:space="preserve">Provide </w:t>
      </w:r>
      <w:r w:rsidR="0071576D">
        <w:t xml:space="preserve">specialist insight </w:t>
      </w:r>
      <w:r w:rsidR="002C00D1">
        <w:t>and advice on the development and commissioning of</w:t>
      </w:r>
      <w:r w:rsidR="0071576D">
        <w:t xml:space="preserve"> clinical treatment guidelines, </w:t>
      </w:r>
      <w:r w:rsidR="0033689F">
        <w:t xml:space="preserve">research projects, </w:t>
      </w:r>
      <w:r w:rsidR="0071576D">
        <w:t xml:space="preserve">consensus statements </w:t>
      </w:r>
      <w:r w:rsidR="0033689F">
        <w:t xml:space="preserve">or other knowledge development in </w:t>
      </w:r>
      <w:r w:rsidR="0071576D">
        <w:t xml:space="preserve">areas where prescribing variations exist with </w:t>
      </w:r>
      <w:r w:rsidR="0033689F">
        <w:t xml:space="preserve">the </w:t>
      </w:r>
      <w:r w:rsidR="0071576D">
        <w:t>potential for inappropriate use</w:t>
      </w:r>
      <w:r w:rsidR="002C00D1">
        <w:t xml:space="preserve"> or regarding emerging areas of clinical practice</w:t>
      </w:r>
      <w:r w:rsidR="00FF1DC0">
        <w:t>.</w:t>
      </w:r>
    </w:p>
    <w:p w:rsidR="0071576D" w:rsidRDefault="0071576D" w:rsidP="00111602">
      <w:pPr>
        <w:pStyle w:val="ListParagraph"/>
        <w:widowControl/>
        <w:numPr>
          <w:ilvl w:val="0"/>
          <w:numId w:val="10"/>
        </w:numPr>
        <w:tabs>
          <w:tab w:val="clear" w:pos="284"/>
        </w:tabs>
        <w:autoSpaceDE/>
        <w:autoSpaceDN/>
        <w:adjustRightInd/>
        <w:spacing w:before="120" w:line="240" w:lineRule="auto"/>
        <w:textAlignment w:val="auto"/>
      </w:pPr>
      <w:r>
        <w:t>Define the relative prioritisation of each indication for eligibility during times of product shortage</w:t>
      </w:r>
      <w:r w:rsidR="00FF1DC0">
        <w:t>.</w:t>
      </w:r>
    </w:p>
    <w:p w:rsidR="002C00D1" w:rsidRDefault="002C00D1" w:rsidP="00111602">
      <w:pPr>
        <w:pStyle w:val="ListParagraph"/>
        <w:widowControl/>
        <w:numPr>
          <w:ilvl w:val="0"/>
          <w:numId w:val="10"/>
        </w:numPr>
        <w:tabs>
          <w:tab w:val="clear" w:pos="284"/>
        </w:tabs>
        <w:autoSpaceDE/>
        <w:autoSpaceDN/>
        <w:adjustRightInd/>
        <w:spacing w:before="120" w:line="240" w:lineRule="auto"/>
        <w:textAlignment w:val="auto"/>
      </w:pPr>
      <w:r>
        <w:t>Identify and recommend improvements to education and training regarding Ig and its use</w:t>
      </w:r>
      <w:r w:rsidR="00904963">
        <w:t xml:space="preserve"> and provide educati</w:t>
      </w:r>
      <w:r w:rsidR="00B90862">
        <w:t>on of clinicians regarding the I</w:t>
      </w:r>
      <w:r w:rsidR="00904963">
        <w:t xml:space="preserve">g </w:t>
      </w:r>
      <w:r w:rsidR="00E70E75">
        <w:t xml:space="preserve">Governance </w:t>
      </w:r>
      <w:r w:rsidR="00904963">
        <w:t>Program</w:t>
      </w:r>
      <w:r w:rsidR="00E73163">
        <w:t>,</w:t>
      </w:r>
      <w:r w:rsidR="00904963">
        <w:t xml:space="preserve"> as required</w:t>
      </w:r>
      <w:r w:rsidR="00FF1DC0">
        <w:t>.</w:t>
      </w:r>
    </w:p>
    <w:p w:rsidR="0071576D" w:rsidRDefault="002C00D1" w:rsidP="00111602">
      <w:pPr>
        <w:pStyle w:val="ListParagraph"/>
        <w:widowControl/>
        <w:numPr>
          <w:ilvl w:val="0"/>
          <w:numId w:val="10"/>
        </w:numPr>
        <w:tabs>
          <w:tab w:val="clear" w:pos="284"/>
        </w:tabs>
        <w:autoSpaceDE/>
        <w:autoSpaceDN/>
        <w:adjustRightInd/>
        <w:spacing w:before="120" w:line="240" w:lineRule="auto"/>
        <w:textAlignment w:val="auto"/>
      </w:pPr>
      <w:r>
        <w:t xml:space="preserve">Provide advice and feedback regarding system values and modifications to the </w:t>
      </w:r>
      <w:r w:rsidR="00E70E75">
        <w:t>Ig</w:t>
      </w:r>
      <w:r w:rsidR="00FF1DC0">
        <w:t xml:space="preserve"> </w:t>
      </w:r>
      <w:r w:rsidR="00D61D8E">
        <w:t>authorisation</w:t>
      </w:r>
      <w:r>
        <w:t xml:space="preserve"> and outcomes database (</w:t>
      </w:r>
      <w:r w:rsidR="0033689F">
        <w:t>BloodSTAR</w:t>
      </w:r>
      <w:r>
        <w:t>)</w:t>
      </w:r>
      <w:r w:rsidR="00FF1DC0">
        <w:t>.</w:t>
      </w:r>
    </w:p>
    <w:p w:rsidR="00A2761F" w:rsidRDefault="00A2761F" w:rsidP="00A2761F">
      <w:pPr>
        <w:pStyle w:val="ListParagraph"/>
        <w:widowControl/>
        <w:numPr>
          <w:ilvl w:val="0"/>
          <w:numId w:val="10"/>
        </w:numPr>
        <w:tabs>
          <w:tab w:val="clear" w:pos="284"/>
        </w:tabs>
        <w:autoSpaceDE/>
        <w:autoSpaceDN/>
        <w:adjustRightInd/>
        <w:spacing w:before="120" w:line="240" w:lineRule="auto"/>
        <w:textAlignment w:val="auto"/>
      </w:pPr>
      <w:r>
        <w:t>Provide advice and contribute to Performance Improvement activities including the review of data and reports and identify, make recommendations and take action regarding opportunities for continuous improvement</w:t>
      </w:r>
      <w:r w:rsidR="00FF1DC0">
        <w:t>.</w:t>
      </w:r>
      <w:r>
        <w:t xml:space="preserve">  </w:t>
      </w:r>
    </w:p>
    <w:p w:rsidR="002C00D1" w:rsidRDefault="002C00D1" w:rsidP="00111602">
      <w:pPr>
        <w:pStyle w:val="ListParagraph"/>
        <w:widowControl/>
        <w:numPr>
          <w:ilvl w:val="0"/>
          <w:numId w:val="10"/>
        </w:numPr>
        <w:tabs>
          <w:tab w:val="clear" w:pos="284"/>
        </w:tabs>
        <w:autoSpaceDE/>
        <w:autoSpaceDN/>
        <w:adjustRightInd/>
        <w:spacing w:before="120" w:line="240" w:lineRule="auto"/>
        <w:textAlignment w:val="auto"/>
      </w:pPr>
      <w:r>
        <w:t xml:space="preserve">Contribute to the national body of knowledge and the </w:t>
      </w:r>
      <w:r w:rsidR="00A2761F">
        <w:t xml:space="preserve">broader </w:t>
      </w:r>
      <w:r>
        <w:t>Ig Governance Program</w:t>
      </w:r>
      <w:r w:rsidR="00387330">
        <w:t xml:space="preserve"> including </w:t>
      </w:r>
      <w:r w:rsidR="00A2761F">
        <w:t>liaising as part of</w:t>
      </w:r>
      <w:r w:rsidR="00387330">
        <w:t xml:space="preserve"> the national network of committees (</w:t>
      </w:r>
      <w:r w:rsidR="00A2761F">
        <w:t xml:space="preserve">including with </w:t>
      </w:r>
      <w:r w:rsidR="00387330">
        <w:t xml:space="preserve">NIGAC, other SWGs, </w:t>
      </w:r>
      <w:r w:rsidR="008F6788">
        <w:t>and jurisdictional</w:t>
      </w:r>
      <w:r w:rsidR="00387330">
        <w:t xml:space="preserve"> Ig </w:t>
      </w:r>
      <w:r w:rsidR="004A37D1">
        <w:t xml:space="preserve">interest </w:t>
      </w:r>
      <w:r w:rsidR="00387330">
        <w:t>groups</w:t>
      </w:r>
      <w:r w:rsidR="00A2761F">
        <w:t>)</w:t>
      </w:r>
      <w:r w:rsidR="00387330">
        <w:t xml:space="preserve"> as required.</w:t>
      </w:r>
    </w:p>
    <w:p w:rsidR="002E368C" w:rsidRDefault="002C00D1" w:rsidP="00111602">
      <w:pPr>
        <w:pStyle w:val="ListParagraph"/>
        <w:widowControl/>
        <w:numPr>
          <w:ilvl w:val="0"/>
          <w:numId w:val="10"/>
        </w:numPr>
        <w:tabs>
          <w:tab w:val="clear" w:pos="284"/>
        </w:tabs>
        <w:autoSpaceDE/>
        <w:autoSpaceDN/>
        <w:adjustRightInd/>
        <w:spacing w:before="120" w:line="240" w:lineRule="auto"/>
        <w:textAlignment w:val="auto"/>
      </w:pPr>
      <w:r>
        <w:t xml:space="preserve">Participate in specialist networks that </w:t>
      </w:r>
      <w:r w:rsidR="0033689F">
        <w:t xml:space="preserve">may </w:t>
      </w:r>
      <w:r>
        <w:t>provide approval for use in specific conditions as required</w:t>
      </w:r>
      <w:r w:rsidR="00FF1DC0">
        <w:t>.</w:t>
      </w:r>
    </w:p>
    <w:p w:rsidR="002C00D1" w:rsidRDefault="002E368C" w:rsidP="00111602">
      <w:pPr>
        <w:pStyle w:val="ListParagraph"/>
        <w:widowControl/>
        <w:numPr>
          <w:ilvl w:val="0"/>
          <w:numId w:val="10"/>
        </w:numPr>
        <w:tabs>
          <w:tab w:val="clear" w:pos="284"/>
        </w:tabs>
        <w:autoSpaceDE/>
        <w:autoSpaceDN/>
        <w:adjustRightInd/>
        <w:spacing w:before="120" w:line="240" w:lineRule="auto"/>
        <w:textAlignment w:val="auto"/>
      </w:pPr>
      <w:r>
        <w:t xml:space="preserve">Receive advice from jurisdictional clinical stakeholders regarding </w:t>
      </w:r>
      <w:r w:rsidRPr="004A37D1">
        <w:t xml:space="preserve">the </w:t>
      </w:r>
      <w:r w:rsidRPr="002E368C">
        <w:rPr>
          <w:i/>
        </w:rPr>
        <w:t>Criteria</w:t>
      </w:r>
      <w:r w:rsidR="002C00D1">
        <w:t>.</w:t>
      </w:r>
    </w:p>
    <w:p w:rsidR="00111602" w:rsidRPr="001142EC" w:rsidRDefault="00111602" w:rsidP="00111602">
      <w:pPr>
        <w:pStyle w:val="Heading4"/>
        <w:widowControl/>
        <w:tabs>
          <w:tab w:val="clear" w:pos="284"/>
        </w:tabs>
        <w:autoSpaceDE/>
        <w:autoSpaceDN/>
        <w:adjustRightInd/>
        <w:spacing w:line="240" w:lineRule="auto"/>
        <w:textAlignment w:val="auto"/>
        <w:rPr>
          <w:rFonts w:eastAsia="Dotum"/>
          <w:bCs/>
          <w:i/>
          <w:iCs/>
          <w:color w:val="auto"/>
          <w:szCs w:val="22"/>
        </w:rPr>
      </w:pPr>
      <w:r w:rsidRPr="001142EC">
        <w:rPr>
          <w:rFonts w:eastAsia="Dotum"/>
          <w:color w:val="auto"/>
          <w:szCs w:val="22"/>
        </w:rPr>
        <w:t>Establishment and support</w:t>
      </w:r>
    </w:p>
    <w:p w:rsidR="00111602" w:rsidRDefault="00111602" w:rsidP="00111602">
      <w:r>
        <w:t xml:space="preserve">The </w:t>
      </w:r>
      <w:r w:rsidR="002C00D1">
        <w:t xml:space="preserve">SWGs </w:t>
      </w:r>
      <w:r w:rsidR="00617FD8">
        <w:t>are</w:t>
      </w:r>
      <w:r w:rsidR="002C00D1">
        <w:t xml:space="preserve"> </w:t>
      </w:r>
      <w:r w:rsidR="00054DF5">
        <w:t>established</w:t>
      </w:r>
      <w:r w:rsidR="008F6788">
        <w:t xml:space="preserve"> </w:t>
      </w:r>
      <w:r w:rsidR="002C00D1">
        <w:t xml:space="preserve">as </w:t>
      </w:r>
      <w:r w:rsidR="00B972D6">
        <w:t xml:space="preserve">standalone </w:t>
      </w:r>
      <w:r w:rsidR="008F6788">
        <w:t>committees supported by</w:t>
      </w:r>
      <w:r>
        <w:t xml:space="preserve"> </w:t>
      </w:r>
      <w:r w:rsidR="002C00D1">
        <w:t>the NBA</w:t>
      </w:r>
      <w:r w:rsidR="006330B3">
        <w:t xml:space="preserve">. Additional resources and support </w:t>
      </w:r>
      <w:r w:rsidR="00F75708">
        <w:t>are</w:t>
      </w:r>
      <w:r w:rsidR="006330B3">
        <w:t xml:space="preserve"> provided when required including specialist expertise for health economic assessments, epidemiological and other analysis</w:t>
      </w:r>
      <w:r>
        <w:t>.</w:t>
      </w:r>
      <w:r w:rsidR="00F24C0D">
        <w:t xml:space="preserve"> The SWGs will </w:t>
      </w:r>
      <w:r w:rsidR="006330B3">
        <w:t>establish</w:t>
      </w:r>
      <w:r w:rsidR="008F6788">
        <w:t xml:space="preserve"> working relationships with </w:t>
      </w:r>
      <w:r w:rsidR="006330B3">
        <w:t xml:space="preserve">each other and </w:t>
      </w:r>
      <w:r w:rsidR="008F6788">
        <w:t xml:space="preserve">the network of </w:t>
      </w:r>
      <w:r w:rsidR="006330B3">
        <w:t xml:space="preserve">national and jurisdictional </w:t>
      </w:r>
      <w:r w:rsidR="008F6788">
        <w:t xml:space="preserve">committees and </w:t>
      </w:r>
      <w:r w:rsidR="006330B3">
        <w:t xml:space="preserve">will </w:t>
      </w:r>
      <w:r w:rsidR="00F24C0D">
        <w:t xml:space="preserve">provide regular updates </w:t>
      </w:r>
      <w:r w:rsidR="002767FA">
        <w:t xml:space="preserve">through the Chair </w:t>
      </w:r>
      <w:r w:rsidR="00F24C0D">
        <w:t xml:space="preserve">to NIGAC regarding </w:t>
      </w:r>
      <w:r w:rsidR="00D61D8E">
        <w:t>progress against</w:t>
      </w:r>
      <w:r w:rsidR="007D3676">
        <w:t xml:space="preserve"> </w:t>
      </w:r>
      <w:r w:rsidR="00D61D8E">
        <w:t xml:space="preserve">their </w:t>
      </w:r>
      <w:r w:rsidR="00F24C0D">
        <w:t>work program</w:t>
      </w:r>
      <w:r w:rsidR="00D61D8E">
        <w:t>.</w:t>
      </w:r>
      <w:r w:rsidR="00F24C0D">
        <w:t xml:space="preserve"> </w:t>
      </w:r>
    </w:p>
    <w:p w:rsidR="00AE5602" w:rsidRDefault="00AE5602">
      <w:pPr>
        <w:widowControl/>
        <w:tabs>
          <w:tab w:val="clear" w:pos="284"/>
        </w:tabs>
        <w:autoSpaceDE/>
        <w:autoSpaceDN/>
        <w:adjustRightInd/>
        <w:spacing w:after="200" w:line="276" w:lineRule="auto"/>
        <w:textAlignment w:val="auto"/>
        <w:rPr>
          <w:rFonts w:ascii="Arial" w:eastAsia="Dotum" w:hAnsi="Arial" w:cs="Arial"/>
          <w:b/>
          <w:color w:val="auto"/>
          <w:szCs w:val="22"/>
        </w:rPr>
      </w:pPr>
      <w:r>
        <w:rPr>
          <w:rFonts w:eastAsia="Dotum"/>
          <w:color w:val="auto"/>
          <w:szCs w:val="22"/>
        </w:rPr>
        <w:br w:type="page"/>
      </w:r>
    </w:p>
    <w:p w:rsidR="00AE5602" w:rsidRDefault="00AE5602" w:rsidP="00111602">
      <w:pPr>
        <w:pStyle w:val="Heading4"/>
        <w:widowControl/>
        <w:tabs>
          <w:tab w:val="clear" w:pos="284"/>
        </w:tabs>
        <w:autoSpaceDE/>
        <w:autoSpaceDN/>
        <w:adjustRightInd/>
        <w:spacing w:line="240" w:lineRule="auto"/>
        <w:textAlignment w:val="auto"/>
        <w:rPr>
          <w:rFonts w:eastAsia="Dotum"/>
          <w:color w:val="auto"/>
          <w:szCs w:val="22"/>
        </w:rPr>
      </w:pPr>
    </w:p>
    <w:p w:rsidR="00AE5602" w:rsidRDefault="00AE5602" w:rsidP="00111602">
      <w:pPr>
        <w:pStyle w:val="Heading4"/>
        <w:widowControl/>
        <w:tabs>
          <w:tab w:val="clear" w:pos="284"/>
        </w:tabs>
        <w:autoSpaceDE/>
        <w:autoSpaceDN/>
        <w:adjustRightInd/>
        <w:spacing w:line="240" w:lineRule="auto"/>
        <w:textAlignment w:val="auto"/>
        <w:rPr>
          <w:rFonts w:eastAsia="Dotum"/>
          <w:color w:val="auto"/>
          <w:szCs w:val="22"/>
        </w:rPr>
      </w:pPr>
    </w:p>
    <w:p w:rsidR="00111602" w:rsidRPr="001142EC" w:rsidRDefault="00111602" w:rsidP="00111602">
      <w:pPr>
        <w:pStyle w:val="Heading4"/>
        <w:widowControl/>
        <w:tabs>
          <w:tab w:val="clear" w:pos="284"/>
        </w:tabs>
        <w:autoSpaceDE/>
        <w:autoSpaceDN/>
        <w:adjustRightInd/>
        <w:spacing w:line="240" w:lineRule="auto"/>
        <w:textAlignment w:val="auto"/>
        <w:rPr>
          <w:rFonts w:eastAsia="Dotum"/>
          <w:bCs/>
          <w:i/>
          <w:iCs/>
          <w:color w:val="auto"/>
          <w:szCs w:val="22"/>
        </w:rPr>
      </w:pPr>
      <w:r w:rsidRPr="001142EC">
        <w:rPr>
          <w:rFonts w:eastAsia="Dotum"/>
          <w:color w:val="auto"/>
          <w:szCs w:val="22"/>
        </w:rPr>
        <w:t>Membership</w:t>
      </w:r>
    </w:p>
    <w:p w:rsidR="00111602" w:rsidRPr="00AA7025" w:rsidRDefault="00111602" w:rsidP="00111602">
      <w:r>
        <w:t xml:space="preserve">The membership of </w:t>
      </w:r>
      <w:r w:rsidR="00FF1DC0">
        <w:t xml:space="preserve">each </w:t>
      </w:r>
      <w:r w:rsidR="00407EB3">
        <w:t>SWG</w:t>
      </w:r>
      <w:r>
        <w:t xml:space="preserve"> will comprise: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95"/>
        <w:gridCol w:w="4474"/>
      </w:tblGrid>
      <w:tr w:rsidR="00111602" w:rsidRPr="001E7581" w:rsidTr="007450E0">
        <w:tc>
          <w:tcPr>
            <w:tcW w:w="4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1602" w:rsidRPr="00B52CC6" w:rsidRDefault="00111602" w:rsidP="007450E0">
            <w:pPr>
              <w:pStyle w:val="NoSpacing"/>
              <w:rPr>
                <w:b/>
              </w:rPr>
            </w:pPr>
            <w:bookmarkStart w:id="0" w:name="_Toc364165320"/>
            <w:bookmarkStart w:id="1" w:name="_Toc363830625"/>
            <w:bookmarkStart w:id="2" w:name="_Toc316046962"/>
            <w:r w:rsidRPr="00B52CC6">
              <w:rPr>
                <w:b/>
              </w:rPr>
              <w:t>Member</w:t>
            </w:r>
          </w:p>
        </w:tc>
        <w:tc>
          <w:tcPr>
            <w:tcW w:w="4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1602" w:rsidRPr="00B52CC6" w:rsidRDefault="00111602" w:rsidP="007450E0">
            <w:pPr>
              <w:pStyle w:val="NoSpacing"/>
              <w:rPr>
                <w:b/>
              </w:rPr>
            </w:pPr>
            <w:r w:rsidRPr="00B52CC6">
              <w:rPr>
                <w:b/>
              </w:rPr>
              <w:t>Nominating organisation or process</w:t>
            </w:r>
          </w:p>
        </w:tc>
      </w:tr>
      <w:tr w:rsidR="00111602" w:rsidRPr="005B2C50" w:rsidTr="007450E0">
        <w:tc>
          <w:tcPr>
            <w:tcW w:w="4695" w:type="dxa"/>
            <w:tcBorders>
              <w:top w:val="single" w:sz="4" w:space="0" w:color="auto"/>
              <w:left w:val="single" w:sz="4" w:space="0" w:color="auto"/>
              <w:bottom w:val="single" w:sz="4" w:space="0" w:color="auto"/>
              <w:right w:val="single" w:sz="4" w:space="0" w:color="auto"/>
            </w:tcBorders>
            <w:shd w:val="clear" w:color="auto" w:fill="auto"/>
            <w:hideMark/>
          </w:tcPr>
          <w:p w:rsidR="00111602" w:rsidRPr="005B2C50" w:rsidRDefault="00111602" w:rsidP="007450E0">
            <w:pPr>
              <w:pStyle w:val="NoSpacing"/>
            </w:pPr>
            <w:r w:rsidRPr="005B2C50">
              <w:t>Chair</w:t>
            </w:r>
            <w:r w:rsidR="0092510D">
              <w:t xml:space="preserve"> - Medical Specialty Representative Member of NIGAC</w:t>
            </w:r>
          </w:p>
        </w:tc>
        <w:tc>
          <w:tcPr>
            <w:tcW w:w="4474" w:type="dxa"/>
            <w:tcBorders>
              <w:top w:val="single" w:sz="4" w:space="0" w:color="auto"/>
              <w:left w:val="single" w:sz="4" w:space="0" w:color="auto"/>
              <w:bottom w:val="single" w:sz="4" w:space="0" w:color="auto"/>
              <w:right w:val="single" w:sz="4" w:space="0" w:color="auto"/>
            </w:tcBorders>
            <w:shd w:val="clear" w:color="auto" w:fill="auto"/>
            <w:hideMark/>
          </w:tcPr>
          <w:p w:rsidR="00111602" w:rsidRPr="00246247" w:rsidRDefault="00973D6E">
            <w:pPr>
              <w:pStyle w:val="NoSpacing"/>
            </w:pPr>
            <w:r>
              <w:t xml:space="preserve"> NBA </w:t>
            </w:r>
            <w:r w:rsidR="00FF1DC0">
              <w:t>will seek</w:t>
            </w:r>
            <w:r>
              <w:t xml:space="preserve"> nominations from </w:t>
            </w:r>
            <w:r w:rsidR="00FF1DC0">
              <w:t xml:space="preserve">SWG </w:t>
            </w:r>
            <w:r>
              <w:t>members</w:t>
            </w:r>
            <w:r w:rsidR="002767FA">
              <w:t>, NIGAC or other relevant association</w:t>
            </w:r>
            <w:r>
              <w:t xml:space="preserve">. </w:t>
            </w:r>
            <w:r w:rsidR="00475C3C">
              <w:t>NBA</w:t>
            </w:r>
            <w:r w:rsidR="00FF1DC0">
              <w:t xml:space="preserve"> will appoint each SWG Chair after considering nominations</w:t>
            </w:r>
            <w:r w:rsidR="00475C3C">
              <w:t>.</w:t>
            </w:r>
          </w:p>
        </w:tc>
      </w:tr>
      <w:tr w:rsidR="00111602" w:rsidRPr="005B2C50" w:rsidTr="007450E0">
        <w:tc>
          <w:tcPr>
            <w:tcW w:w="4695" w:type="dxa"/>
            <w:tcBorders>
              <w:top w:val="single" w:sz="4" w:space="0" w:color="auto"/>
              <w:left w:val="single" w:sz="4" w:space="0" w:color="auto"/>
              <w:bottom w:val="single" w:sz="4" w:space="0" w:color="auto"/>
              <w:right w:val="single" w:sz="4" w:space="0" w:color="auto"/>
            </w:tcBorders>
            <w:shd w:val="clear" w:color="auto" w:fill="auto"/>
            <w:hideMark/>
          </w:tcPr>
          <w:p w:rsidR="00111602" w:rsidRDefault="00111602" w:rsidP="007450E0">
            <w:pPr>
              <w:pStyle w:val="NoSpacing"/>
            </w:pPr>
            <w:r w:rsidRPr="005B2C50">
              <w:t>Me</w:t>
            </w:r>
            <w:r w:rsidR="00407EB3">
              <w:t>dical Special</w:t>
            </w:r>
            <w:r w:rsidR="0038099C">
              <w:t>ty</w:t>
            </w:r>
            <w:r>
              <w:t xml:space="preserve"> Representatives*:</w:t>
            </w:r>
          </w:p>
          <w:p w:rsidR="00407EB3" w:rsidRDefault="00407EB3" w:rsidP="00407EB3">
            <w:pPr>
              <w:pStyle w:val="NoSpacing"/>
            </w:pPr>
            <w:r>
              <w:t xml:space="preserve">Each </w:t>
            </w:r>
            <w:r w:rsidR="00617FD8">
              <w:t>SWG</w:t>
            </w:r>
            <w:r>
              <w:t xml:space="preserve"> </w:t>
            </w:r>
            <w:r w:rsidR="00617FD8">
              <w:t xml:space="preserve">must </w:t>
            </w:r>
            <w:r>
              <w:t>have a minimum of 5</w:t>
            </w:r>
            <w:r w:rsidR="00FF1DC0">
              <w:t xml:space="preserve"> </w:t>
            </w:r>
            <w:r>
              <w:t xml:space="preserve">members and include:  </w:t>
            </w:r>
          </w:p>
          <w:p w:rsidR="00111602" w:rsidRDefault="00407EB3" w:rsidP="00407EB3">
            <w:pPr>
              <w:pStyle w:val="NoSpacing"/>
              <w:numPr>
                <w:ilvl w:val="0"/>
                <w:numId w:val="11"/>
              </w:numPr>
            </w:pPr>
            <w:r>
              <w:t>Representation from both adult and paediatric specialities (where relevant)</w:t>
            </w:r>
          </w:p>
          <w:p w:rsidR="002E368C" w:rsidRDefault="00407EB3" w:rsidP="002E368C">
            <w:pPr>
              <w:pStyle w:val="NoSpacing"/>
              <w:numPr>
                <w:ilvl w:val="0"/>
                <w:numId w:val="11"/>
              </w:numPr>
            </w:pPr>
            <w:r>
              <w:t>Members from at least 4 jurisdictions</w:t>
            </w:r>
          </w:p>
          <w:p w:rsidR="00111602" w:rsidRPr="005B2C50" w:rsidRDefault="00111602" w:rsidP="00E34FFE">
            <w:pPr>
              <w:pStyle w:val="NoSpacing"/>
            </w:pPr>
            <w:r>
              <w:t>*</w:t>
            </w:r>
            <w:r w:rsidRPr="00246247">
              <w:t xml:space="preserve">Persons with clinical expertise </w:t>
            </w:r>
            <w:r w:rsidR="00407EB3">
              <w:t xml:space="preserve">and appropriate qualifications </w:t>
            </w:r>
            <w:r w:rsidRPr="00246247">
              <w:t xml:space="preserve">to consider the clinical </w:t>
            </w:r>
            <w:r>
              <w:t>appropriateness</w:t>
            </w:r>
            <w:r w:rsidRPr="00246247">
              <w:t xml:space="preserve">, safety and cost effectiveness of Ig, including comparative outcomes of </w:t>
            </w:r>
            <w:r w:rsidR="00407EB3">
              <w:t xml:space="preserve">different </w:t>
            </w:r>
            <w:r w:rsidRPr="00246247">
              <w:t xml:space="preserve">therapies.  </w:t>
            </w:r>
          </w:p>
        </w:tc>
        <w:tc>
          <w:tcPr>
            <w:tcW w:w="4474" w:type="dxa"/>
            <w:tcBorders>
              <w:top w:val="single" w:sz="4" w:space="0" w:color="auto"/>
              <w:left w:val="single" w:sz="4" w:space="0" w:color="auto"/>
              <w:bottom w:val="single" w:sz="4" w:space="0" w:color="auto"/>
              <w:right w:val="single" w:sz="4" w:space="0" w:color="auto"/>
            </w:tcBorders>
            <w:shd w:val="clear" w:color="auto" w:fill="auto"/>
            <w:hideMark/>
          </w:tcPr>
          <w:p w:rsidR="00407EB3" w:rsidRDefault="00407EB3" w:rsidP="007450E0">
            <w:pPr>
              <w:pStyle w:val="NoSpacing"/>
            </w:pPr>
            <w:r>
              <w:t xml:space="preserve">NBA to appoint members </w:t>
            </w:r>
            <w:r w:rsidR="008F6788">
              <w:t>based on</w:t>
            </w:r>
            <w:r>
              <w:t xml:space="preserve"> consultation with Jurisdictional government</w:t>
            </w:r>
            <w:r w:rsidR="00A2761F">
              <w:t xml:space="preserve"> </w:t>
            </w:r>
            <w:r w:rsidR="008F6788">
              <w:t>health departments and other relevant stakeholders.</w:t>
            </w:r>
          </w:p>
          <w:p w:rsidR="00111602" w:rsidRDefault="00407EB3" w:rsidP="007450E0">
            <w:pPr>
              <w:pStyle w:val="NoSpacing"/>
            </w:pPr>
            <w:r>
              <w:t>Each relevant SWG will include at least 1 representative from</w:t>
            </w:r>
            <w:r w:rsidR="002767FA">
              <w:t xml:space="preserve"> the relevant society</w:t>
            </w:r>
            <w:r w:rsidR="00111602">
              <w:t>:</w:t>
            </w:r>
          </w:p>
          <w:p w:rsidR="00111602" w:rsidRDefault="002767FA" w:rsidP="00407EB3">
            <w:pPr>
              <w:pStyle w:val="NoSpacing"/>
              <w:numPr>
                <w:ilvl w:val="0"/>
                <w:numId w:val="11"/>
              </w:numPr>
            </w:pPr>
            <w:r>
              <w:t xml:space="preserve">Neurology Group - </w:t>
            </w:r>
            <w:r w:rsidR="00111602" w:rsidRPr="005B2C50">
              <w:t>Australian and New Zealand Association of Neurologists(ANZAN)</w:t>
            </w:r>
          </w:p>
          <w:p w:rsidR="00111602" w:rsidRDefault="002767FA" w:rsidP="00407EB3">
            <w:pPr>
              <w:pStyle w:val="NoSpacing"/>
              <w:numPr>
                <w:ilvl w:val="0"/>
                <w:numId w:val="11"/>
              </w:numPr>
            </w:pPr>
            <w:r>
              <w:t xml:space="preserve">Haematology Group - </w:t>
            </w:r>
            <w:r w:rsidR="00111602" w:rsidRPr="005B2C50">
              <w:t>Haematology Society of Australia and New Zealand (HSANZ)</w:t>
            </w:r>
          </w:p>
          <w:p w:rsidR="00111602" w:rsidRDefault="002767FA" w:rsidP="00407EB3">
            <w:pPr>
              <w:pStyle w:val="NoSpacing"/>
              <w:numPr>
                <w:ilvl w:val="0"/>
                <w:numId w:val="11"/>
              </w:numPr>
            </w:pPr>
            <w:r>
              <w:t xml:space="preserve">Immunology Group - </w:t>
            </w:r>
            <w:r w:rsidR="00111602" w:rsidRPr="005B2C50">
              <w:t xml:space="preserve">Australasian Society of </w:t>
            </w:r>
            <w:r w:rsidR="001A1B0F">
              <w:t xml:space="preserve">Clinical </w:t>
            </w:r>
            <w:r w:rsidR="00111602" w:rsidRPr="005B2C50">
              <w:t>Immunology and Allergy (ASCIA)</w:t>
            </w:r>
          </w:p>
          <w:p w:rsidR="00111602" w:rsidRPr="005B2C50" w:rsidRDefault="002767FA" w:rsidP="00407EB3">
            <w:pPr>
              <w:pStyle w:val="NoSpacing"/>
              <w:numPr>
                <w:ilvl w:val="0"/>
                <w:numId w:val="11"/>
              </w:numPr>
            </w:pPr>
            <w:r>
              <w:t xml:space="preserve">Transplantation Group - </w:t>
            </w:r>
            <w:r w:rsidR="00111602" w:rsidRPr="005B2C50">
              <w:t>Tra</w:t>
            </w:r>
            <w:r w:rsidR="00111602">
              <w:t>n</w:t>
            </w:r>
            <w:r w:rsidR="00111602" w:rsidRPr="005B2C50">
              <w:t>splantation Society of Australia and New Zealand (TSANZ)</w:t>
            </w:r>
          </w:p>
        </w:tc>
      </w:tr>
      <w:tr w:rsidR="0033689F" w:rsidRPr="005B2C50" w:rsidTr="00D8146F">
        <w:tc>
          <w:tcPr>
            <w:tcW w:w="4695" w:type="dxa"/>
            <w:tcBorders>
              <w:top w:val="single" w:sz="4" w:space="0" w:color="auto"/>
              <w:left w:val="single" w:sz="4" w:space="0" w:color="auto"/>
              <w:bottom w:val="single" w:sz="4" w:space="0" w:color="auto"/>
              <w:right w:val="single" w:sz="4" w:space="0" w:color="auto"/>
            </w:tcBorders>
            <w:shd w:val="clear" w:color="auto" w:fill="auto"/>
            <w:hideMark/>
          </w:tcPr>
          <w:p w:rsidR="0033689F" w:rsidRPr="005B2C50" w:rsidRDefault="0033689F" w:rsidP="00D8146F">
            <w:pPr>
              <w:pStyle w:val="NoSpacing"/>
            </w:pPr>
            <w:r>
              <w:t>Representative of national authoriser</w:t>
            </w:r>
          </w:p>
        </w:tc>
        <w:tc>
          <w:tcPr>
            <w:tcW w:w="4474" w:type="dxa"/>
            <w:tcBorders>
              <w:top w:val="single" w:sz="4" w:space="0" w:color="auto"/>
              <w:left w:val="single" w:sz="4" w:space="0" w:color="auto"/>
              <w:bottom w:val="single" w:sz="4" w:space="0" w:color="auto"/>
              <w:right w:val="single" w:sz="4" w:space="0" w:color="auto"/>
            </w:tcBorders>
            <w:shd w:val="clear" w:color="auto" w:fill="auto"/>
            <w:hideMark/>
          </w:tcPr>
          <w:p w:rsidR="0033689F" w:rsidRDefault="0033689F" w:rsidP="00D8146F">
            <w:pPr>
              <w:pStyle w:val="NoSpacing"/>
            </w:pPr>
            <w:r>
              <w:t>Australian Red Cross Blood Service</w:t>
            </w:r>
          </w:p>
          <w:p w:rsidR="0033689F" w:rsidRPr="005B2C50" w:rsidRDefault="0033689F" w:rsidP="00D8146F">
            <w:pPr>
              <w:pStyle w:val="NoSpacing"/>
            </w:pPr>
          </w:p>
        </w:tc>
      </w:tr>
      <w:tr w:rsidR="00111602" w:rsidRPr="005B2C50" w:rsidTr="007450E0">
        <w:tc>
          <w:tcPr>
            <w:tcW w:w="4695" w:type="dxa"/>
            <w:tcBorders>
              <w:top w:val="single" w:sz="4" w:space="0" w:color="auto"/>
              <w:left w:val="single" w:sz="4" w:space="0" w:color="auto"/>
              <w:bottom w:val="single" w:sz="4" w:space="0" w:color="auto"/>
              <w:right w:val="single" w:sz="4" w:space="0" w:color="auto"/>
            </w:tcBorders>
            <w:shd w:val="clear" w:color="auto" w:fill="auto"/>
            <w:hideMark/>
          </w:tcPr>
          <w:p w:rsidR="00111602" w:rsidRPr="005B2C50" w:rsidRDefault="00111602" w:rsidP="00407EB3">
            <w:pPr>
              <w:pStyle w:val="NoSpacing"/>
            </w:pPr>
            <w:r w:rsidRPr="005B2C50">
              <w:t>NBA Representative</w:t>
            </w:r>
            <w:r w:rsidR="00110D49">
              <w:t>s</w:t>
            </w:r>
            <w:r w:rsidR="00407EB3">
              <w:t xml:space="preserve"> </w:t>
            </w:r>
          </w:p>
        </w:tc>
        <w:tc>
          <w:tcPr>
            <w:tcW w:w="4474" w:type="dxa"/>
            <w:tcBorders>
              <w:top w:val="single" w:sz="4" w:space="0" w:color="auto"/>
              <w:left w:val="single" w:sz="4" w:space="0" w:color="auto"/>
              <w:bottom w:val="single" w:sz="4" w:space="0" w:color="auto"/>
              <w:right w:val="single" w:sz="4" w:space="0" w:color="auto"/>
            </w:tcBorders>
            <w:shd w:val="clear" w:color="auto" w:fill="auto"/>
            <w:hideMark/>
          </w:tcPr>
          <w:p w:rsidR="00A2761F" w:rsidRDefault="00110D49" w:rsidP="007450E0">
            <w:pPr>
              <w:pStyle w:val="NoSpacing"/>
            </w:pPr>
            <w:r>
              <w:t xml:space="preserve">Work Program </w:t>
            </w:r>
            <w:r w:rsidR="006330B3">
              <w:t>development in line with government objectives</w:t>
            </w:r>
            <w:r w:rsidR="00A2761F">
              <w:t xml:space="preserve"> and the broader Ig Governance program. </w:t>
            </w:r>
          </w:p>
          <w:p w:rsidR="00111602" w:rsidRPr="005B2C50" w:rsidRDefault="00A2761F" w:rsidP="007450E0">
            <w:pPr>
              <w:pStyle w:val="NoSpacing"/>
            </w:pPr>
            <w:r>
              <w:t xml:space="preserve">Administrative </w:t>
            </w:r>
            <w:r w:rsidR="006330B3">
              <w:t xml:space="preserve"> </w:t>
            </w:r>
            <w:r w:rsidR="00110D49">
              <w:t>support</w:t>
            </w:r>
          </w:p>
        </w:tc>
      </w:tr>
    </w:tbl>
    <w:p w:rsidR="00111602" w:rsidRDefault="00111602" w:rsidP="00111602">
      <w:pPr>
        <w:pStyle w:val="Heading4"/>
        <w:widowControl/>
        <w:tabs>
          <w:tab w:val="clear" w:pos="284"/>
        </w:tabs>
        <w:autoSpaceDE/>
        <w:autoSpaceDN/>
        <w:adjustRightInd/>
        <w:spacing w:line="240" w:lineRule="auto"/>
        <w:textAlignment w:val="auto"/>
        <w:rPr>
          <w:rFonts w:eastAsia="Dotum"/>
          <w:bCs/>
          <w:i/>
          <w:iCs/>
          <w:color w:val="auto"/>
          <w:szCs w:val="22"/>
        </w:rPr>
      </w:pPr>
    </w:p>
    <w:p w:rsidR="00D32DBE" w:rsidRPr="00AE4B29" w:rsidRDefault="00D32DBE" w:rsidP="002767FA">
      <w:pPr>
        <w:pStyle w:val="Heading4"/>
      </w:pPr>
      <w:r>
        <w:t xml:space="preserve">Chair </w:t>
      </w:r>
    </w:p>
    <w:p w:rsidR="00D32DBE" w:rsidRDefault="00D32DBE" w:rsidP="00D32DBE">
      <w:r>
        <w:t xml:space="preserve">The Chair’s main role is to provide leadership to the SWG, and to ensure that SWG carries out its functions effectively and efficiently. Together with the NBA, the Chair will participate in the development of the SWG agenda and to ensure meetings are properly run. </w:t>
      </w:r>
    </w:p>
    <w:p w:rsidR="00D32DBE" w:rsidRDefault="00D32DBE" w:rsidP="00D32DBE">
      <w:r>
        <w:t>The Chair’s roles and responsibilities are as follows:</w:t>
      </w:r>
    </w:p>
    <w:p w:rsidR="00D32DBE" w:rsidRDefault="00D32DBE" w:rsidP="00D32DBE">
      <w:pPr>
        <w:pStyle w:val="ListParagraph"/>
        <w:widowControl/>
        <w:numPr>
          <w:ilvl w:val="0"/>
          <w:numId w:val="15"/>
        </w:numPr>
        <w:tabs>
          <w:tab w:val="clear" w:pos="284"/>
        </w:tabs>
        <w:autoSpaceDE/>
        <w:autoSpaceDN/>
        <w:adjustRightInd/>
        <w:spacing w:after="200" w:line="240" w:lineRule="auto"/>
        <w:textAlignment w:val="auto"/>
      </w:pPr>
      <w:r>
        <w:t>ensure the proper and efficient conduct of SWG meetings;</w:t>
      </w:r>
    </w:p>
    <w:p w:rsidR="00D32DBE" w:rsidRDefault="00D32DBE" w:rsidP="00D32DBE">
      <w:pPr>
        <w:pStyle w:val="ListParagraph"/>
        <w:widowControl/>
        <w:numPr>
          <w:ilvl w:val="0"/>
          <w:numId w:val="15"/>
        </w:numPr>
        <w:tabs>
          <w:tab w:val="clear" w:pos="284"/>
        </w:tabs>
        <w:autoSpaceDE/>
        <w:autoSpaceDN/>
        <w:adjustRightInd/>
        <w:spacing w:after="200" w:line="240" w:lineRule="auto"/>
        <w:textAlignment w:val="auto"/>
      </w:pPr>
      <w:r>
        <w:t>manage conflict of interest, confidentiality and other probity issues as necessary;</w:t>
      </w:r>
    </w:p>
    <w:p w:rsidR="00D32DBE" w:rsidRDefault="00D32DBE" w:rsidP="00D32DBE">
      <w:pPr>
        <w:pStyle w:val="ListParagraph"/>
        <w:widowControl/>
        <w:numPr>
          <w:ilvl w:val="0"/>
          <w:numId w:val="15"/>
        </w:numPr>
        <w:tabs>
          <w:tab w:val="clear" w:pos="284"/>
        </w:tabs>
        <w:autoSpaceDE/>
        <w:autoSpaceDN/>
        <w:adjustRightInd/>
        <w:spacing w:after="200" w:line="240" w:lineRule="auto"/>
        <w:textAlignment w:val="auto"/>
      </w:pPr>
      <w:r>
        <w:t>liaise with the NBA to ensure SWG has the necessary information and resources to undertake its responsibilities effectively;</w:t>
      </w:r>
    </w:p>
    <w:p w:rsidR="00D32DBE" w:rsidRDefault="00D32DBE" w:rsidP="00D32DBE">
      <w:pPr>
        <w:pStyle w:val="ListParagraph"/>
        <w:widowControl/>
        <w:numPr>
          <w:ilvl w:val="0"/>
          <w:numId w:val="15"/>
        </w:numPr>
        <w:tabs>
          <w:tab w:val="clear" w:pos="284"/>
        </w:tabs>
        <w:autoSpaceDE/>
        <w:autoSpaceDN/>
        <w:adjustRightInd/>
        <w:spacing w:after="200" w:line="240" w:lineRule="auto"/>
        <w:textAlignment w:val="auto"/>
      </w:pPr>
      <w:r>
        <w:t>foster SWG coherence and unity; and</w:t>
      </w:r>
    </w:p>
    <w:p w:rsidR="00D32DBE" w:rsidRPr="00AA6170" w:rsidRDefault="00D32DBE" w:rsidP="00D32DBE">
      <w:pPr>
        <w:pStyle w:val="ListParagraph"/>
        <w:widowControl/>
        <w:numPr>
          <w:ilvl w:val="0"/>
          <w:numId w:val="15"/>
        </w:numPr>
        <w:tabs>
          <w:tab w:val="clear" w:pos="284"/>
        </w:tabs>
        <w:autoSpaceDE/>
        <w:autoSpaceDN/>
        <w:adjustRightInd/>
        <w:spacing w:after="200" w:line="240" w:lineRule="auto"/>
        <w:textAlignment w:val="auto"/>
      </w:pPr>
      <w:r>
        <w:t xml:space="preserve">direct SWG discussions to use time effectively to address critical issues related to Program activities. </w:t>
      </w:r>
    </w:p>
    <w:p w:rsidR="00D32DBE" w:rsidRDefault="00D32DBE" w:rsidP="00111602">
      <w:pPr>
        <w:pStyle w:val="Heading4"/>
        <w:widowControl/>
        <w:tabs>
          <w:tab w:val="clear" w:pos="284"/>
        </w:tabs>
        <w:autoSpaceDE/>
        <w:autoSpaceDN/>
        <w:adjustRightInd/>
        <w:spacing w:line="240" w:lineRule="auto"/>
        <w:textAlignment w:val="auto"/>
        <w:rPr>
          <w:rFonts w:eastAsia="Dotum"/>
          <w:color w:val="auto"/>
          <w:szCs w:val="22"/>
        </w:rPr>
      </w:pPr>
    </w:p>
    <w:p w:rsidR="00AE5602" w:rsidRDefault="00AE5602">
      <w:pPr>
        <w:widowControl/>
        <w:tabs>
          <w:tab w:val="clear" w:pos="284"/>
        </w:tabs>
        <w:autoSpaceDE/>
        <w:autoSpaceDN/>
        <w:adjustRightInd/>
        <w:spacing w:after="200" w:line="276" w:lineRule="auto"/>
        <w:textAlignment w:val="auto"/>
        <w:rPr>
          <w:rFonts w:ascii="Arial" w:eastAsia="Dotum" w:hAnsi="Arial" w:cs="Arial"/>
          <w:b/>
          <w:color w:val="auto"/>
          <w:szCs w:val="22"/>
        </w:rPr>
      </w:pPr>
      <w:r>
        <w:rPr>
          <w:rFonts w:eastAsia="Dotum"/>
          <w:color w:val="auto"/>
          <w:szCs w:val="22"/>
        </w:rPr>
        <w:br w:type="page"/>
      </w:r>
    </w:p>
    <w:p w:rsidR="00AE5602" w:rsidRDefault="00AE5602" w:rsidP="00111602">
      <w:pPr>
        <w:pStyle w:val="Heading4"/>
        <w:widowControl/>
        <w:tabs>
          <w:tab w:val="clear" w:pos="284"/>
        </w:tabs>
        <w:autoSpaceDE/>
        <w:autoSpaceDN/>
        <w:adjustRightInd/>
        <w:spacing w:line="240" w:lineRule="auto"/>
        <w:textAlignment w:val="auto"/>
        <w:rPr>
          <w:rFonts w:eastAsia="Dotum"/>
          <w:color w:val="auto"/>
          <w:szCs w:val="22"/>
        </w:rPr>
      </w:pPr>
    </w:p>
    <w:p w:rsidR="00AE5602" w:rsidRDefault="00AE5602" w:rsidP="00111602">
      <w:pPr>
        <w:pStyle w:val="Heading4"/>
        <w:widowControl/>
        <w:tabs>
          <w:tab w:val="clear" w:pos="284"/>
        </w:tabs>
        <w:autoSpaceDE/>
        <w:autoSpaceDN/>
        <w:adjustRightInd/>
        <w:spacing w:line="240" w:lineRule="auto"/>
        <w:textAlignment w:val="auto"/>
        <w:rPr>
          <w:rFonts w:eastAsia="Dotum"/>
          <w:color w:val="auto"/>
          <w:szCs w:val="22"/>
        </w:rPr>
      </w:pPr>
    </w:p>
    <w:p w:rsidR="00AE5602" w:rsidRDefault="00AE5602" w:rsidP="00111602">
      <w:pPr>
        <w:pStyle w:val="Heading4"/>
        <w:widowControl/>
        <w:tabs>
          <w:tab w:val="clear" w:pos="284"/>
        </w:tabs>
        <w:autoSpaceDE/>
        <w:autoSpaceDN/>
        <w:adjustRightInd/>
        <w:spacing w:line="240" w:lineRule="auto"/>
        <w:textAlignment w:val="auto"/>
        <w:rPr>
          <w:rFonts w:eastAsia="Dotum"/>
          <w:color w:val="auto"/>
          <w:szCs w:val="22"/>
        </w:rPr>
      </w:pPr>
    </w:p>
    <w:p w:rsidR="00111602" w:rsidRPr="001142EC" w:rsidRDefault="00111602" w:rsidP="00111602">
      <w:pPr>
        <w:pStyle w:val="Heading4"/>
        <w:widowControl/>
        <w:tabs>
          <w:tab w:val="clear" w:pos="284"/>
        </w:tabs>
        <w:autoSpaceDE/>
        <w:autoSpaceDN/>
        <w:adjustRightInd/>
        <w:spacing w:line="240" w:lineRule="auto"/>
        <w:textAlignment w:val="auto"/>
        <w:rPr>
          <w:rFonts w:eastAsia="Dotum"/>
          <w:bCs/>
          <w:i/>
          <w:iCs/>
          <w:color w:val="auto"/>
          <w:szCs w:val="22"/>
        </w:rPr>
      </w:pPr>
      <w:r w:rsidRPr="001142EC">
        <w:rPr>
          <w:rFonts w:eastAsia="Dotum"/>
          <w:color w:val="auto"/>
          <w:szCs w:val="22"/>
        </w:rPr>
        <w:t>Proxies, subcommittees and expert advice</w:t>
      </w:r>
    </w:p>
    <w:p w:rsidR="00111602" w:rsidRDefault="00111602" w:rsidP="00111602">
      <w:r>
        <w:t>P</w:t>
      </w:r>
      <w:r w:rsidR="000B2B72">
        <w:t xml:space="preserve">roxies for </w:t>
      </w:r>
      <w:r w:rsidR="00FF1DC0">
        <w:t xml:space="preserve">each SWG </w:t>
      </w:r>
      <w:r w:rsidR="00F24C0D">
        <w:t>Chair</w:t>
      </w:r>
      <w:r>
        <w:t xml:space="preserve"> will be identified through the initial nomination and selection process.  For other members</w:t>
      </w:r>
      <w:r w:rsidR="00F24C0D">
        <w:t>,</w:t>
      </w:r>
      <w:r>
        <w:t xml:space="preserve"> a proxy may be nominated as required</w:t>
      </w:r>
      <w:r w:rsidR="00F24C0D">
        <w:t>.</w:t>
      </w:r>
    </w:p>
    <w:p w:rsidR="00111602" w:rsidRDefault="00111602" w:rsidP="00111602">
      <w:r>
        <w:t xml:space="preserve">The </w:t>
      </w:r>
      <w:r w:rsidR="000B2B72">
        <w:t>SWGs</w:t>
      </w:r>
      <w:r>
        <w:t xml:space="preserve"> may request the establishment of </w:t>
      </w:r>
      <w:r w:rsidR="000B2B72">
        <w:t>further working groups or additional members</w:t>
      </w:r>
      <w:r>
        <w:t xml:space="preserve"> for specific purposes. The </w:t>
      </w:r>
      <w:r w:rsidR="000B2B72">
        <w:t>SWGs</w:t>
      </w:r>
      <w:r>
        <w:t xml:space="preserve"> may also request the assistance of other clinical specialists for advice on matters relating to specific conditions, or other expert advisers.</w:t>
      </w:r>
    </w:p>
    <w:p w:rsidR="00111602" w:rsidRPr="001142EC" w:rsidRDefault="00111602" w:rsidP="00111602">
      <w:pPr>
        <w:pStyle w:val="Heading4"/>
        <w:widowControl/>
        <w:tabs>
          <w:tab w:val="clear" w:pos="284"/>
        </w:tabs>
        <w:autoSpaceDE/>
        <w:autoSpaceDN/>
        <w:adjustRightInd/>
        <w:spacing w:line="240" w:lineRule="auto"/>
        <w:textAlignment w:val="auto"/>
        <w:rPr>
          <w:rFonts w:eastAsia="Dotum"/>
          <w:bCs/>
          <w:i/>
          <w:iCs/>
          <w:color w:val="auto"/>
          <w:szCs w:val="22"/>
        </w:rPr>
      </w:pPr>
      <w:r w:rsidRPr="001142EC">
        <w:rPr>
          <w:rFonts w:eastAsia="Dotum"/>
          <w:color w:val="auto"/>
          <w:szCs w:val="22"/>
        </w:rPr>
        <w:t>Frequency of meetings and teleconferences</w:t>
      </w:r>
    </w:p>
    <w:p w:rsidR="00111602" w:rsidRDefault="00CA6E86" w:rsidP="00111602">
      <w:r>
        <w:t xml:space="preserve">Meetings will usually be held </w:t>
      </w:r>
      <w:r w:rsidR="00B972D6">
        <w:t>every three months via teleconference.</w:t>
      </w:r>
      <w:r>
        <w:t xml:space="preserve"> F</w:t>
      </w:r>
      <w:r w:rsidR="00111602" w:rsidRPr="00A7727E">
        <w:t>ace-to-face meetings</w:t>
      </w:r>
      <w:r w:rsidR="00111602">
        <w:t xml:space="preserve"> may</w:t>
      </w:r>
      <w:r w:rsidR="00111602" w:rsidRPr="00A7727E">
        <w:t xml:space="preserve"> be required</w:t>
      </w:r>
      <w:r w:rsidR="002A002A">
        <w:t xml:space="preserve"> and where possible, will be linked to annual scientific meetings or similar</w:t>
      </w:r>
      <w:r w:rsidR="00111602" w:rsidRPr="00A7727E">
        <w:t xml:space="preserve">.  </w:t>
      </w:r>
      <w:r w:rsidR="00111602">
        <w:t>Additional</w:t>
      </w:r>
      <w:r w:rsidR="00111602" w:rsidRPr="00A7727E">
        <w:t xml:space="preserve"> teleconferences</w:t>
      </w:r>
      <w:r w:rsidR="00111602">
        <w:t xml:space="preserve"> may also be organised</w:t>
      </w:r>
      <w:r w:rsidR="00111602" w:rsidRPr="00A7727E">
        <w:t xml:space="preserve"> </w:t>
      </w:r>
      <w:r w:rsidR="000B2B72">
        <w:t>including for</w:t>
      </w:r>
      <w:r w:rsidR="00111602" w:rsidRPr="00A7727E">
        <w:t xml:space="preserve"> urgent single-issue advice</w:t>
      </w:r>
      <w:r w:rsidR="008F025D">
        <w:t>.</w:t>
      </w:r>
    </w:p>
    <w:p w:rsidR="00111602" w:rsidRPr="001142EC" w:rsidRDefault="00111602" w:rsidP="00111602">
      <w:pPr>
        <w:pStyle w:val="Heading4"/>
        <w:widowControl/>
        <w:tabs>
          <w:tab w:val="clear" w:pos="284"/>
        </w:tabs>
        <w:autoSpaceDE/>
        <w:autoSpaceDN/>
        <w:adjustRightInd/>
        <w:spacing w:line="240" w:lineRule="auto"/>
        <w:textAlignment w:val="auto"/>
        <w:rPr>
          <w:rFonts w:eastAsia="Dotum"/>
          <w:bCs/>
          <w:i/>
          <w:iCs/>
          <w:color w:val="auto"/>
          <w:szCs w:val="22"/>
        </w:rPr>
      </w:pPr>
      <w:r w:rsidRPr="001142EC">
        <w:rPr>
          <w:rFonts w:eastAsia="Dotum"/>
          <w:color w:val="auto"/>
          <w:szCs w:val="22"/>
        </w:rPr>
        <w:t>Duration of membership</w:t>
      </w:r>
    </w:p>
    <w:p w:rsidR="00111602" w:rsidRDefault="00111602" w:rsidP="00111602">
      <w:r>
        <w:t>A</w:t>
      </w:r>
      <w:r w:rsidRPr="00966E40">
        <w:t>ppointments</w:t>
      </w:r>
      <w:r>
        <w:t xml:space="preserve"> to </w:t>
      </w:r>
      <w:r w:rsidR="000B2B72">
        <w:t>SWGs</w:t>
      </w:r>
      <w:r w:rsidRPr="00966E40">
        <w:t xml:space="preserve"> will be for a period of </w:t>
      </w:r>
      <w:r w:rsidR="00B972D6">
        <w:t>three</w:t>
      </w:r>
      <w:r w:rsidR="00B972D6" w:rsidRPr="00966E40">
        <w:t xml:space="preserve"> </w:t>
      </w:r>
      <w:r w:rsidRPr="00966E40">
        <w:t>years</w:t>
      </w:r>
      <w:r>
        <w:t>, with the possibility of reappointment</w:t>
      </w:r>
      <w:r w:rsidRPr="00966E40">
        <w:t>.</w:t>
      </w:r>
      <w:r>
        <w:t xml:space="preserve">  The process of reappointment may be staggered over a period of time to provide for continuity of membership, and incumbent appointments may be extended for this purpose.</w:t>
      </w:r>
    </w:p>
    <w:p w:rsidR="00111602" w:rsidRPr="001142EC" w:rsidRDefault="00111602" w:rsidP="00111602">
      <w:pPr>
        <w:pStyle w:val="Heading4"/>
        <w:widowControl/>
        <w:tabs>
          <w:tab w:val="clear" w:pos="284"/>
        </w:tabs>
        <w:autoSpaceDE/>
        <w:autoSpaceDN/>
        <w:adjustRightInd/>
        <w:spacing w:line="240" w:lineRule="auto"/>
        <w:textAlignment w:val="auto"/>
        <w:rPr>
          <w:rFonts w:eastAsia="Dotum"/>
          <w:bCs/>
          <w:i/>
          <w:iCs/>
          <w:color w:val="auto"/>
          <w:szCs w:val="22"/>
        </w:rPr>
      </w:pPr>
      <w:bookmarkStart w:id="3" w:name="_Toc364165321"/>
      <w:bookmarkStart w:id="4" w:name="_Toc363830626"/>
      <w:bookmarkStart w:id="5" w:name="_Toc316046964"/>
      <w:bookmarkEnd w:id="0"/>
      <w:bookmarkEnd w:id="1"/>
      <w:bookmarkEnd w:id="2"/>
      <w:r w:rsidRPr="001142EC">
        <w:rPr>
          <w:rFonts w:eastAsia="Dotum"/>
          <w:color w:val="auto"/>
          <w:szCs w:val="22"/>
        </w:rPr>
        <w:t>Conflicts of Interest</w:t>
      </w:r>
      <w:bookmarkEnd w:id="3"/>
      <w:bookmarkEnd w:id="4"/>
      <w:bookmarkEnd w:id="5"/>
    </w:p>
    <w:p w:rsidR="00111602" w:rsidRDefault="00111602" w:rsidP="00111602">
      <w:r w:rsidRPr="00A7727E">
        <w:t xml:space="preserve">All members (representatives and experts) are required to declare any conflicts of interest that may bias their input. </w:t>
      </w:r>
      <w:r>
        <w:t xml:space="preserve"> The Chair examines conflicts of i</w:t>
      </w:r>
      <w:r w:rsidRPr="00A7727E">
        <w:t>nterest and makes decisions as to the member’s ongoing participation</w:t>
      </w:r>
      <w:r>
        <w:t xml:space="preserve"> or </w:t>
      </w:r>
      <w:r w:rsidR="000B2B72">
        <w:t xml:space="preserve">any </w:t>
      </w:r>
      <w:r>
        <w:t xml:space="preserve">limitation to participation. </w:t>
      </w:r>
      <w:r w:rsidR="00E70E75">
        <w:t xml:space="preserve">Conflict of interest declaration forms are to be updated annually, and as new conflicts arise. </w:t>
      </w:r>
    </w:p>
    <w:p w:rsidR="00111602" w:rsidRPr="001142EC" w:rsidRDefault="00111602" w:rsidP="00111602">
      <w:pPr>
        <w:pStyle w:val="Heading4"/>
        <w:widowControl/>
        <w:tabs>
          <w:tab w:val="clear" w:pos="284"/>
        </w:tabs>
        <w:autoSpaceDE/>
        <w:autoSpaceDN/>
        <w:adjustRightInd/>
        <w:spacing w:line="240" w:lineRule="auto"/>
        <w:textAlignment w:val="auto"/>
        <w:rPr>
          <w:rFonts w:eastAsia="Dotum"/>
          <w:bCs/>
          <w:i/>
          <w:iCs/>
          <w:color w:val="auto"/>
          <w:szCs w:val="22"/>
        </w:rPr>
      </w:pPr>
      <w:r w:rsidRPr="001142EC">
        <w:rPr>
          <w:rFonts w:eastAsia="Dotum"/>
          <w:color w:val="auto"/>
          <w:szCs w:val="22"/>
        </w:rPr>
        <w:t>Remuneration and allowances</w:t>
      </w:r>
    </w:p>
    <w:p w:rsidR="00111602" w:rsidRPr="00B964B0" w:rsidRDefault="00111602" w:rsidP="00111602">
      <w:bookmarkStart w:id="6" w:name="_GoBack"/>
      <w:r>
        <w:t xml:space="preserve">The NBA will make best endeavours to ensure that members are not out of pocket when providing services to the </w:t>
      </w:r>
      <w:r w:rsidR="000B2B72">
        <w:t>working groups</w:t>
      </w:r>
      <w:r>
        <w:t xml:space="preserve">. Sitting fees will be paid </w:t>
      </w:r>
      <w:r w:rsidR="007E76A8">
        <w:t>at rates equivalent to the those set by the</w:t>
      </w:r>
      <w:r>
        <w:t xml:space="preserve"> Remuneration Tribunal Determination for holders of part-time public office. Expenses associated with travel will be managed in accordance with the NBA’s travel policy for third parties. </w:t>
      </w:r>
    </w:p>
    <w:bookmarkEnd w:id="6"/>
    <w:p w:rsidR="00111602" w:rsidRDefault="00111602" w:rsidP="00111602">
      <w:pPr>
        <w:spacing w:line="276" w:lineRule="auto"/>
        <w:rPr>
          <w:rFonts w:ascii="Arial" w:hAnsi="Arial" w:cs="Arial"/>
          <w:color w:val="C60C30"/>
          <w:sz w:val="28"/>
          <w:szCs w:val="28"/>
        </w:rPr>
      </w:pPr>
    </w:p>
    <w:sectPr w:rsidR="00111602" w:rsidSect="00617FD8">
      <w:headerReference w:type="default" r:id="rId8"/>
      <w:footerReference w:type="default" r:id="rId9"/>
      <w:headerReference w:type="first" r:id="rId10"/>
      <w:footerReference w:type="first" r:id="rId11"/>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D1C" w:rsidRDefault="00315D1C" w:rsidP="00856708">
      <w:pPr>
        <w:spacing w:after="0"/>
      </w:pPr>
      <w:r>
        <w:separator/>
      </w:r>
    </w:p>
  </w:endnote>
  <w:endnote w:type="continuationSeparator" w:id="0">
    <w:p w:rsidR="00315D1C" w:rsidRDefault="00315D1C"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otum">
    <w:altName w:val="Arial Unicode MS"/>
    <w:panose1 w:val="020B0600000101010101"/>
    <w:charset w:val="81"/>
    <w:family w:val="swiss"/>
    <w:pitch w:val="variable"/>
    <w:sig w:usb0="B00002AF" w:usb1="69D77CFB" w:usb2="00000030" w:usb3="00000000" w:csb0="0008009F" w:csb1="00000000"/>
  </w:font>
  <w:font w:name="ArialMT">
    <w:altName w:val="Arial"/>
    <w:panose1 w:val="00000000000000000000"/>
    <w:charset w:val="4D"/>
    <w:family w:val="auto"/>
    <w:notTrueType/>
    <w:pitch w:val="default"/>
    <w:sig w:usb0="00000003" w:usb1="00000000" w:usb2="00000000" w:usb3="00000000" w:csb0="00000001" w:csb1="00000000"/>
  </w:font>
  <w:font w:name="HYGothic-Extra">
    <w:panose1 w:val="00000000000000000000"/>
    <w:charset w:val="81"/>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0B3" w:rsidRPr="00856708" w:rsidRDefault="006330B3" w:rsidP="00856708">
    <w:pPr>
      <w:pStyle w:val="Footer"/>
      <w:tabs>
        <w:tab w:val="clear" w:pos="9026"/>
        <w:tab w:val="right" w:pos="9356"/>
      </w:tabs>
      <w:rPr>
        <w:sz w:val="20"/>
        <w:szCs w:val="20"/>
      </w:rPr>
    </w:pPr>
    <w:r w:rsidRPr="00856708">
      <w:rPr>
        <w:sz w:val="20"/>
        <w:szCs w:val="20"/>
      </w:rPr>
      <w:t>National Blood Authority</w:t>
    </w:r>
    <w:r w:rsidRPr="00856708">
      <w:rPr>
        <w:sz w:val="20"/>
        <w:szCs w:val="20"/>
      </w:rPr>
      <w:tab/>
    </w:r>
    <w:r w:rsidRPr="00856708">
      <w:rPr>
        <w:sz w:val="20"/>
        <w:szCs w:val="20"/>
      </w:rPr>
      <w:tab/>
      <w:t xml:space="preserve">pg. </w:t>
    </w:r>
    <w:r w:rsidRPr="00856708">
      <w:rPr>
        <w:sz w:val="20"/>
        <w:szCs w:val="20"/>
      </w:rPr>
      <w:fldChar w:fldCharType="begin"/>
    </w:r>
    <w:r w:rsidRPr="00856708">
      <w:rPr>
        <w:sz w:val="20"/>
        <w:szCs w:val="20"/>
      </w:rPr>
      <w:instrText xml:space="preserve"> PAGE    \* MERGEFORMAT </w:instrText>
    </w:r>
    <w:r w:rsidRPr="00856708">
      <w:rPr>
        <w:sz w:val="20"/>
        <w:szCs w:val="20"/>
      </w:rPr>
      <w:fldChar w:fldCharType="separate"/>
    </w:r>
    <w:r w:rsidR="00377DAF">
      <w:rPr>
        <w:noProof/>
        <w:sz w:val="20"/>
        <w:szCs w:val="20"/>
      </w:rPr>
      <w:t>3</w:t>
    </w:r>
    <w:r w:rsidRPr="0085670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FFE" w:rsidRDefault="00E34FFE">
    <w:pPr>
      <w:pStyle w:val="Footer"/>
    </w:pPr>
    <w:r>
      <w:t xml:space="preserve">Updated </w:t>
    </w:r>
    <w:r w:rsidR="00504C7A">
      <w:t xml:space="preserve">June </w:t>
    </w:r>
    <w:r>
      <w:t>2019</w:t>
    </w:r>
  </w:p>
  <w:p w:rsidR="00E34FFE" w:rsidRDefault="00E34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D1C" w:rsidRDefault="00315D1C" w:rsidP="00856708">
      <w:pPr>
        <w:spacing w:after="0"/>
      </w:pPr>
      <w:r>
        <w:separator/>
      </w:r>
    </w:p>
  </w:footnote>
  <w:footnote w:type="continuationSeparator" w:id="0">
    <w:p w:rsidR="00315D1C" w:rsidRDefault="00315D1C" w:rsidP="008567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FD8" w:rsidRDefault="00617FD8">
    <w:pPr>
      <w:pStyle w:val="Header"/>
    </w:pPr>
    <w:r>
      <w:rPr>
        <w:noProof/>
        <w:lang w:eastAsia="en-AU"/>
      </w:rPr>
      <w:drawing>
        <wp:inline distT="0" distB="0" distL="0" distR="0" wp14:anchorId="5127066D" wp14:editId="612E6CCC">
          <wp:extent cx="2876191" cy="58095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76191" cy="580952"/>
                  </a:xfrm>
                  <a:prstGeom prst="rect">
                    <a:avLst/>
                  </a:prstGeom>
                </pic:spPr>
              </pic:pic>
            </a:graphicData>
          </a:graphic>
        </wp:inline>
      </w:drawing>
    </w:r>
    <w:r>
      <w:rPr>
        <w:noProof/>
        <w:lang w:eastAsia="en-AU"/>
      </w:rPr>
      <w:t xml:space="preserve">                                    </w:t>
    </w:r>
    <w:r>
      <w:rPr>
        <w:noProof/>
        <w:lang w:eastAsia="en-AU"/>
      </w:rPr>
      <w:drawing>
        <wp:inline distT="0" distB="0" distL="0" distR="0" wp14:anchorId="132A6566" wp14:editId="5C80C85A">
          <wp:extent cx="1695238" cy="50476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95238" cy="50476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196" w:rsidRDefault="000D4196">
    <w:pPr>
      <w:pStyle w:val="Header"/>
    </w:pPr>
    <w:r>
      <w:rPr>
        <w:noProof/>
        <w:lang w:eastAsia="en-AU"/>
      </w:rPr>
      <w:drawing>
        <wp:inline distT="0" distB="0" distL="0" distR="0" wp14:anchorId="1E490C9B" wp14:editId="7375656E">
          <wp:extent cx="2876191" cy="58095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76191" cy="580952"/>
                  </a:xfrm>
                  <a:prstGeom prst="rect">
                    <a:avLst/>
                  </a:prstGeom>
                </pic:spPr>
              </pic:pic>
            </a:graphicData>
          </a:graphic>
        </wp:inline>
      </w:drawing>
    </w:r>
    <w:r w:rsidRPr="000D4196">
      <w:rPr>
        <w:noProof/>
        <w:lang w:eastAsia="en-AU"/>
      </w:rPr>
      <w:t xml:space="preserve"> </w:t>
    </w:r>
    <w:r>
      <w:rPr>
        <w:noProof/>
        <w:lang w:eastAsia="en-AU"/>
      </w:rPr>
      <w:t xml:space="preserve">                                    </w:t>
    </w:r>
    <w:r>
      <w:rPr>
        <w:noProof/>
        <w:lang w:eastAsia="en-AU"/>
      </w:rPr>
      <w:drawing>
        <wp:inline distT="0" distB="0" distL="0" distR="0" wp14:anchorId="79C125F8" wp14:editId="01DA826D">
          <wp:extent cx="1695238" cy="504762"/>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95238" cy="504762"/>
                  </a:xfrm>
                  <a:prstGeom prst="rect">
                    <a:avLst/>
                  </a:prstGeom>
                </pic:spPr>
              </pic:pic>
            </a:graphicData>
          </a:graphic>
        </wp:inline>
      </w:drawing>
    </w:r>
  </w:p>
  <w:p w:rsidR="000D4196" w:rsidRDefault="000D4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FD5"/>
    <w:multiLevelType w:val="hybridMultilevel"/>
    <w:tmpl w:val="3670DEDC"/>
    <w:lvl w:ilvl="0" w:tplc="EEF4CBBC">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3D11FD"/>
    <w:multiLevelType w:val="hybridMultilevel"/>
    <w:tmpl w:val="8FA41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94897"/>
    <w:multiLevelType w:val="hybridMultilevel"/>
    <w:tmpl w:val="067C3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CF035A"/>
    <w:multiLevelType w:val="hybridMultilevel"/>
    <w:tmpl w:val="930E1C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BD5BB0"/>
    <w:multiLevelType w:val="hybridMultilevel"/>
    <w:tmpl w:val="75C478B4"/>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6" w15:restartNumberingAfterBreak="0">
    <w:nsid w:val="2F5C2AC3"/>
    <w:multiLevelType w:val="hybridMultilevel"/>
    <w:tmpl w:val="9C501210"/>
    <w:lvl w:ilvl="0" w:tplc="60EA47CC">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686927"/>
    <w:multiLevelType w:val="hybridMultilevel"/>
    <w:tmpl w:val="B686E072"/>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 w15:restartNumberingAfterBreak="0">
    <w:nsid w:val="537B5383"/>
    <w:multiLevelType w:val="hybridMultilevel"/>
    <w:tmpl w:val="0BF87E5E"/>
    <w:lvl w:ilvl="0" w:tplc="DA3E38AC">
      <w:start w:val="1"/>
      <w:numFmt w:val="bullet"/>
      <w:lvlText w:val="&gt;"/>
      <w:lvlJc w:val="left"/>
      <w:pPr>
        <w:ind w:left="720" w:hanging="360"/>
      </w:pPr>
      <w:rPr>
        <w:rFonts w:ascii="Calibri" w:hAnsi="Calibri" w:hint="default"/>
        <w:b/>
        <w:i w:val="0"/>
        <w:color w:val="BCBDBC"/>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3E407A"/>
    <w:multiLevelType w:val="hybridMultilevel"/>
    <w:tmpl w:val="24C85A3A"/>
    <w:lvl w:ilvl="0" w:tplc="B1E425EA">
      <w:numFmt w:val="bullet"/>
      <w:lvlText w:val="-"/>
      <w:lvlJc w:val="left"/>
      <w:pPr>
        <w:ind w:left="360" w:hanging="360"/>
      </w:pPr>
      <w:rPr>
        <w:rFonts w:ascii="Calibri" w:eastAsia="Dotum"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0F9027C"/>
    <w:multiLevelType w:val="hybridMultilevel"/>
    <w:tmpl w:val="FBBE2F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D40B47"/>
    <w:multiLevelType w:val="hybridMultilevel"/>
    <w:tmpl w:val="438CD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3F272F"/>
    <w:multiLevelType w:val="hybridMultilevel"/>
    <w:tmpl w:val="03F87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8"/>
  </w:num>
  <w:num w:numId="4">
    <w:abstractNumId w:val="14"/>
  </w:num>
  <w:num w:numId="5">
    <w:abstractNumId w:val="4"/>
  </w:num>
  <w:num w:numId="6">
    <w:abstractNumId w:val="10"/>
  </w:num>
  <w:num w:numId="7">
    <w:abstractNumId w:val="11"/>
  </w:num>
  <w:num w:numId="8">
    <w:abstractNumId w:val="12"/>
  </w:num>
  <w:num w:numId="9">
    <w:abstractNumId w:val="9"/>
  </w:num>
  <w:num w:numId="10">
    <w:abstractNumId w:val="6"/>
  </w:num>
  <w:num w:numId="11">
    <w:abstractNumId w:val="0"/>
  </w:num>
  <w:num w:numId="12">
    <w:abstractNumId w:val="2"/>
  </w:num>
  <w:num w:numId="13">
    <w:abstractNumId w:val="1"/>
  </w:num>
  <w:num w:numId="14">
    <w:abstractNumId w:val="13"/>
  </w:num>
  <w:num w:numId="15">
    <w:abstractNumId w:val="3"/>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AU" w:vendorID="64" w:dllVersion="131078" w:nlCheck="1" w:checkStyle="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02"/>
    <w:rsid w:val="00036EDC"/>
    <w:rsid w:val="00054DF5"/>
    <w:rsid w:val="00063219"/>
    <w:rsid w:val="00082409"/>
    <w:rsid w:val="000B2B72"/>
    <w:rsid w:val="000D4196"/>
    <w:rsid w:val="00110D49"/>
    <w:rsid w:val="00111602"/>
    <w:rsid w:val="00170BCF"/>
    <w:rsid w:val="001A1B0F"/>
    <w:rsid w:val="001B6DF6"/>
    <w:rsid w:val="0021647A"/>
    <w:rsid w:val="002537F2"/>
    <w:rsid w:val="002767FA"/>
    <w:rsid w:val="00295CD3"/>
    <w:rsid w:val="002A002A"/>
    <w:rsid w:val="002C00D1"/>
    <w:rsid w:val="002E368C"/>
    <w:rsid w:val="00315D1C"/>
    <w:rsid w:val="0033689F"/>
    <w:rsid w:val="00377DAF"/>
    <w:rsid w:val="0038099C"/>
    <w:rsid w:val="00387330"/>
    <w:rsid w:val="003B4DD7"/>
    <w:rsid w:val="003C089E"/>
    <w:rsid w:val="003D27F1"/>
    <w:rsid w:val="00402F7B"/>
    <w:rsid w:val="00407EB3"/>
    <w:rsid w:val="00446292"/>
    <w:rsid w:val="00475C3C"/>
    <w:rsid w:val="004766D1"/>
    <w:rsid w:val="004A37D1"/>
    <w:rsid w:val="004C1C41"/>
    <w:rsid w:val="004C4E7B"/>
    <w:rsid w:val="004D4636"/>
    <w:rsid w:val="00504C7A"/>
    <w:rsid w:val="005141B6"/>
    <w:rsid w:val="00540020"/>
    <w:rsid w:val="00561127"/>
    <w:rsid w:val="00595D36"/>
    <w:rsid w:val="00617FD8"/>
    <w:rsid w:val="006330B3"/>
    <w:rsid w:val="006E436E"/>
    <w:rsid w:val="0071576D"/>
    <w:rsid w:val="007450E0"/>
    <w:rsid w:val="00785617"/>
    <w:rsid w:val="007D3676"/>
    <w:rsid w:val="007E76A8"/>
    <w:rsid w:val="007F355B"/>
    <w:rsid w:val="00813415"/>
    <w:rsid w:val="0083266B"/>
    <w:rsid w:val="00856708"/>
    <w:rsid w:val="00893E0A"/>
    <w:rsid w:val="008A5854"/>
    <w:rsid w:val="008F025D"/>
    <w:rsid w:val="008F6788"/>
    <w:rsid w:val="00904963"/>
    <w:rsid w:val="00921B67"/>
    <w:rsid w:val="0092510D"/>
    <w:rsid w:val="00940590"/>
    <w:rsid w:val="00951B85"/>
    <w:rsid w:val="00973D6E"/>
    <w:rsid w:val="009A1548"/>
    <w:rsid w:val="009E38CC"/>
    <w:rsid w:val="009F62BE"/>
    <w:rsid w:val="00A2761F"/>
    <w:rsid w:val="00AE5602"/>
    <w:rsid w:val="00AF4278"/>
    <w:rsid w:val="00B12E39"/>
    <w:rsid w:val="00B3726E"/>
    <w:rsid w:val="00B74DAA"/>
    <w:rsid w:val="00B82970"/>
    <w:rsid w:val="00B90862"/>
    <w:rsid w:val="00B972D6"/>
    <w:rsid w:val="00BE79E4"/>
    <w:rsid w:val="00C32370"/>
    <w:rsid w:val="00C6603F"/>
    <w:rsid w:val="00C925C1"/>
    <w:rsid w:val="00CA6E86"/>
    <w:rsid w:val="00D32DBE"/>
    <w:rsid w:val="00D61D8E"/>
    <w:rsid w:val="00D639DA"/>
    <w:rsid w:val="00D665C0"/>
    <w:rsid w:val="00D766D8"/>
    <w:rsid w:val="00D841A6"/>
    <w:rsid w:val="00DB027C"/>
    <w:rsid w:val="00DD5A55"/>
    <w:rsid w:val="00E34FFE"/>
    <w:rsid w:val="00E70E75"/>
    <w:rsid w:val="00E73163"/>
    <w:rsid w:val="00EA1EDE"/>
    <w:rsid w:val="00F24C0D"/>
    <w:rsid w:val="00F345E2"/>
    <w:rsid w:val="00F6599E"/>
    <w:rsid w:val="00F75708"/>
    <w:rsid w:val="00F9523C"/>
    <w:rsid w:val="00FA4F97"/>
    <w:rsid w:val="00FF1D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5CDED5D5"/>
  <w15:docId w15:val="{2065541E-0875-400E-9C93-DE5509E0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602"/>
    <w:pPr>
      <w:widowControl w:val="0"/>
      <w:tabs>
        <w:tab w:val="left" w:pos="284"/>
      </w:tabs>
      <w:autoSpaceDE w:val="0"/>
      <w:autoSpaceDN w:val="0"/>
      <w:adjustRightInd w:val="0"/>
      <w:spacing w:after="120" w:line="240" w:lineRule="atLeast"/>
      <w:textAlignment w:val="center"/>
    </w:pPr>
    <w:rPr>
      <w:rFonts w:ascii="Calibri" w:eastAsia="Times New Roman" w:hAnsi="Calibri" w:cs="ArialMT"/>
      <w:color w:val="000000"/>
      <w:szCs w:val="19"/>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outlineLvl w:val="2"/>
    </w:pPr>
    <w:rPr>
      <w:rFonts w:ascii="Arial" w:hAnsi="Arial" w:cs="Arial"/>
      <w:color w:val="C60C30"/>
      <w:sz w:val="28"/>
      <w:szCs w:val="28"/>
    </w:rPr>
  </w:style>
  <w:style w:type="paragraph" w:styleId="Heading4">
    <w:name w:val="heading 4"/>
    <w:aliases w:val="h4,h41,h42,Para4,Sub-sub-sub,(a),Level 2 - (a),Map Title,Level 2 - a,(Small Appendix),sd,Standard H3,Titre 4,(Title),(Title)1,(Title)2,(Title)3,(Title)4,(Title)5,(Title)6,(Title)7,(Title)8,(Title)9,(Title)10,(Title)11,(Title)12,(Title)13,(i),i"/>
    <w:basedOn w:val="Normal"/>
    <w:next w:val="Normal"/>
    <w:link w:val="Heading4Char"/>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aliases w:val="h4 Char,h41 Char,h42 Char,Para4 Char,Sub-sub-sub Char,(a) Char,Level 2 - (a) Char,Map Title Char,Level 2 - a Char,(Small Appendix) Char,sd Char,Standard H3 Char,Titre 4 Char,(Title) Char,(Title)1 Char,(Title)2 Char,(Title)3 Char,(i)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aliases w:val="Recommendation,List Paragraph1,List Paragraph11,L,Bullet point,Bullet table"/>
    <w:basedOn w:val="Normal"/>
    <w:link w:val="ListParagraphChar"/>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paragraph" w:styleId="NoSpacing">
    <w:name w:val="No Spacing"/>
    <w:uiPriority w:val="1"/>
    <w:qFormat/>
    <w:rsid w:val="00111602"/>
    <w:pPr>
      <w:spacing w:after="0" w:line="240" w:lineRule="auto"/>
    </w:pPr>
    <w:rPr>
      <w:rFonts w:ascii="Calibri" w:eastAsia="Dotum" w:hAnsi="Calibri" w:cs="Calibri"/>
    </w:rPr>
  </w:style>
  <w:style w:type="character" w:customStyle="1" w:styleId="ListParagraphChar">
    <w:name w:val="List Paragraph Char"/>
    <w:aliases w:val="Recommendation Char,List Paragraph1 Char,List Paragraph11 Char,L Char,Bullet point Char,Bullet table Char"/>
    <w:link w:val="ListParagraph"/>
    <w:uiPriority w:val="34"/>
    <w:rsid w:val="00111602"/>
    <w:rPr>
      <w:rFonts w:ascii="Calibri" w:eastAsia="Dotum" w:hAnsi="Calibri" w:cs="Calibri"/>
    </w:rPr>
  </w:style>
  <w:style w:type="paragraph" w:styleId="BalloonText">
    <w:name w:val="Balloon Text"/>
    <w:basedOn w:val="Normal"/>
    <w:link w:val="BalloonTextChar"/>
    <w:uiPriority w:val="99"/>
    <w:semiHidden/>
    <w:unhideWhenUsed/>
    <w:rsid w:val="00B82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970"/>
    <w:rPr>
      <w:rFonts w:ascii="Tahoma" w:eastAsia="Times New Roman" w:hAnsi="Tahoma" w:cs="Tahoma"/>
      <w:color w:val="000000"/>
      <w:sz w:val="16"/>
      <w:szCs w:val="16"/>
    </w:rPr>
  </w:style>
  <w:style w:type="character" w:styleId="CommentReference">
    <w:name w:val="annotation reference"/>
    <w:basedOn w:val="DefaultParagraphFont"/>
    <w:uiPriority w:val="99"/>
    <w:semiHidden/>
    <w:unhideWhenUsed/>
    <w:rsid w:val="00110D49"/>
    <w:rPr>
      <w:sz w:val="18"/>
      <w:szCs w:val="18"/>
    </w:rPr>
  </w:style>
  <w:style w:type="paragraph" w:styleId="CommentText">
    <w:name w:val="annotation text"/>
    <w:basedOn w:val="Normal"/>
    <w:link w:val="CommentTextChar"/>
    <w:uiPriority w:val="99"/>
    <w:semiHidden/>
    <w:unhideWhenUsed/>
    <w:rsid w:val="00110D49"/>
    <w:pPr>
      <w:spacing w:line="240" w:lineRule="auto"/>
    </w:pPr>
    <w:rPr>
      <w:sz w:val="24"/>
      <w:szCs w:val="24"/>
    </w:rPr>
  </w:style>
  <w:style w:type="character" w:customStyle="1" w:styleId="CommentTextChar">
    <w:name w:val="Comment Text Char"/>
    <w:basedOn w:val="DefaultParagraphFont"/>
    <w:link w:val="CommentText"/>
    <w:uiPriority w:val="99"/>
    <w:semiHidden/>
    <w:rsid w:val="00110D49"/>
    <w:rPr>
      <w:rFonts w:ascii="Calibri" w:eastAsia="Times New Roman" w:hAnsi="Calibri" w:cs="ArialMT"/>
      <w:color w:val="000000"/>
      <w:sz w:val="24"/>
      <w:szCs w:val="24"/>
    </w:rPr>
  </w:style>
  <w:style w:type="paragraph" w:styleId="CommentSubject">
    <w:name w:val="annotation subject"/>
    <w:basedOn w:val="CommentText"/>
    <w:next w:val="CommentText"/>
    <w:link w:val="CommentSubjectChar"/>
    <w:uiPriority w:val="99"/>
    <w:semiHidden/>
    <w:unhideWhenUsed/>
    <w:rsid w:val="00110D49"/>
    <w:rPr>
      <w:b/>
      <w:bCs/>
      <w:sz w:val="20"/>
      <w:szCs w:val="20"/>
    </w:rPr>
  </w:style>
  <w:style w:type="character" w:customStyle="1" w:styleId="CommentSubjectChar">
    <w:name w:val="Comment Subject Char"/>
    <w:basedOn w:val="CommentTextChar"/>
    <w:link w:val="CommentSubject"/>
    <w:uiPriority w:val="99"/>
    <w:semiHidden/>
    <w:rsid w:val="00110D49"/>
    <w:rPr>
      <w:rFonts w:ascii="Calibri" w:eastAsia="Times New Roman" w:hAnsi="Calibri" w:cs="ArialMT"/>
      <w:b/>
      <w:bCs/>
      <w:color w:val="000000"/>
      <w:sz w:val="20"/>
      <w:szCs w:val="20"/>
    </w:rPr>
  </w:style>
  <w:style w:type="paragraph" w:styleId="Revision">
    <w:name w:val="Revision"/>
    <w:hidden/>
    <w:uiPriority w:val="99"/>
    <w:semiHidden/>
    <w:rsid w:val="0033689F"/>
    <w:pPr>
      <w:spacing w:after="0" w:line="240" w:lineRule="auto"/>
    </w:pPr>
    <w:rPr>
      <w:rFonts w:ascii="Calibri" w:eastAsia="Times New Roman" w:hAnsi="Calibri" w:cs="ArialMT"/>
      <w:color w:val="000000"/>
      <w:szCs w:val="19"/>
    </w:rPr>
  </w:style>
  <w:style w:type="paragraph" w:customStyle="1" w:styleId="Style2">
    <w:name w:val="Style2"/>
    <w:basedOn w:val="Normal"/>
    <w:link w:val="Style2Char"/>
    <w:qFormat/>
    <w:rsid w:val="00EA1EDE"/>
    <w:pPr>
      <w:widowControl/>
      <w:tabs>
        <w:tab w:val="clear" w:pos="284"/>
      </w:tabs>
      <w:autoSpaceDE/>
      <w:autoSpaceDN/>
      <w:adjustRightInd/>
      <w:spacing w:after="200" w:line="240" w:lineRule="auto"/>
      <w:textAlignment w:val="auto"/>
    </w:pPr>
    <w:rPr>
      <w:rFonts w:asciiTheme="minorHAnsi" w:eastAsia="Dotum" w:hAnsiTheme="minorHAnsi" w:cs="Calibri"/>
      <w:b/>
      <w:i/>
      <w:color w:val="C00000"/>
      <w:sz w:val="28"/>
      <w:szCs w:val="24"/>
    </w:rPr>
  </w:style>
  <w:style w:type="character" w:customStyle="1" w:styleId="Style2Char">
    <w:name w:val="Style2 Char"/>
    <w:basedOn w:val="DefaultParagraphFont"/>
    <w:link w:val="Style2"/>
    <w:rsid w:val="00EA1EDE"/>
    <w:rPr>
      <w:rFonts w:eastAsia="Dotum" w:cs="Calibri"/>
      <w:b/>
      <w:i/>
      <w:color w:val="C00000"/>
      <w:sz w:val="28"/>
      <w:szCs w:val="24"/>
    </w:rPr>
  </w:style>
  <w:style w:type="paragraph" w:customStyle="1" w:styleId="Style4">
    <w:name w:val="Style4"/>
    <w:basedOn w:val="Heading3"/>
    <w:link w:val="Style4Char"/>
    <w:qFormat/>
    <w:rsid w:val="00EA1EDE"/>
    <w:pPr>
      <w:widowControl/>
      <w:tabs>
        <w:tab w:val="clear" w:pos="284"/>
      </w:tabs>
      <w:autoSpaceDE/>
      <w:autoSpaceDN/>
      <w:adjustRightInd/>
      <w:spacing w:line="240" w:lineRule="auto"/>
      <w:textAlignment w:val="auto"/>
    </w:pPr>
    <w:rPr>
      <w:rFonts w:eastAsia="Dotum"/>
      <w:b/>
      <w:sz w:val="32"/>
    </w:rPr>
  </w:style>
  <w:style w:type="character" w:customStyle="1" w:styleId="Style4Char">
    <w:name w:val="Style4 Char"/>
    <w:basedOn w:val="Heading3Char"/>
    <w:link w:val="Style4"/>
    <w:rsid w:val="00EA1EDE"/>
    <w:rPr>
      <w:rFonts w:ascii="Arial" w:eastAsia="Dotum" w:hAnsi="Arial" w:cs="Arial"/>
      <w:b/>
      <w:color w:val="C60C30"/>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29DEE-F97F-4BF8-B3F6-0E08ED6A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940</Words>
  <Characters>5678</Characters>
  <Application>Microsoft Office Word</Application>
  <DocSecurity>0</DocSecurity>
  <Lines>129</Lines>
  <Paragraphs>66</Paragraphs>
  <ScaleCrop>false</ScaleCrop>
  <HeadingPairs>
    <vt:vector size="2" baseType="variant">
      <vt:variant>
        <vt:lpstr>Title</vt:lpstr>
      </vt:variant>
      <vt:variant>
        <vt:i4>1</vt:i4>
      </vt:variant>
    </vt:vector>
  </HeadingPairs>
  <TitlesOfParts>
    <vt:vector size="1" baseType="lpstr">
      <vt:lpstr/>
    </vt:vector>
  </TitlesOfParts>
  <Company>The National Blood Authority, Australia</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Bruning, Casey</dc:creator>
  <cp:lastModifiedBy>Wilson, Peppi</cp:lastModifiedBy>
  <cp:revision>3</cp:revision>
  <cp:lastPrinted>2019-08-06T04:31:00Z</cp:lastPrinted>
  <dcterms:created xsi:type="dcterms:W3CDTF">2020-02-18T21:13:00Z</dcterms:created>
  <dcterms:modified xsi:type="dcterms:W3CDTF">2020-02-18T23:04:00Z</dcterms:modified>
</cp:coreProperties>
</file>