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D9BD" w14:textId="77777777" w:rsidR="00666144" w:rsidRDefault="00666144" w:rsidP="00C94E8F">
      <w:pPr>
        <w:spacing w:before="120"/>
        <w:ind w:left="180"/>
        <w:rPr>
          <w:rFonts w:ascii="Arial" w:hAnsi="Arial" w:cs="Arial"/>
          <w:b/>
          <w:color w:val="CC0000"/>
          <w:sz w:val="32"/>
          <w:szCs w:val="32"/>
        </w:rPr>
      </w:pPr>
      <w:r w:rsidRPr="00B062A8">
        <w:rPr>
          <w:rFonts w:ascii="Arial" w:hAnsi="Arial" w:cs="Arial"/>
          <w:b/>
          <w:color w:val="CC0000"/>
          <w:sz w:val="28"/>
          <w:szCs w:val="32"/>
        </w:rPr>
        <w:t xml:space="preserve">Disclaimer: </w:t>
      </w:r>
      <w:r w:rsidRPr="00B062A8">
        <w:rPr>
          <w:rFonts w:ascii="Arial" w:hAnsi="Arial" w:cs="Arial"/>
          <w:color w:val="CC0000"/>
          <w:sz w:val="28"/>
          <w:szCs w:val="32"/>
        </w:rPr>
        <w:t xml:space="preserve">This </w:t>
      </w:r>
      <w:r w:rsidR="00CA27FC">
        <w:rPr>
          <w:rFonts w:ascii="Arial" w:hAnsi="Arial" w:cs="Arial"/>
          <w:color w:val="CC0000"/>
          <w:sz w:val="28"/>
          <w:szCs w:val="32"/>
        </w:rPr>
        <w:t>has been adapted from the Hunter New England Local Health District</w:t>
      </w:r>
      <w:r w:rsidR="00CA27FC">
        <w:rPr>
          <w:rFonts w:ascii="Arial" w:hAnsi="Arial" w:cs="Arial"/>
          <w:color w:val="CC0000"/>
          <w:sz w:val="28"/>
          <w:szCs w:val="32"/>
        </w:rPr>
        <w:fldChar w:fldCharType="begin" w:fldLock="1"/>
      </w:r>
      <w:r w:rsidR="00CA27FC">
        <w:rPr>
          <w:rFonts w:ascii="Arial" w:hAnsi="Arial" w:cs="Arial"/>
          <w:color w:val="CC0000"/>
          <w:sz w:val="28"/>
          <w:szCs w:val="32"/>
        </w:rPr>
        <w:instrText>ADDIN CSL_CITATION { "citationItems" : [ { "id" : "ITEM-1", "itemData" : { "author" : [ { "dropping-particle" : "", "family" : "Hunter New England Local Health District", "given" : "", "non-dropping-particle" : "", "parse-names" : false, "suffix" : "" } ], "id" : "ITEM-1", "issued" : { "date-parts" : [ [ "2013" ] ] }, "publisher" : "Hunter New England Health District, NSW Government", "title" : "Clinical Guideline", "type" : "book" }, "uris" : [ "http://www.mendeley.com/documents/?uuid=7c4b6a36-9a34-44d5-9660-a2ca139a421a" ] } ], "mendeley" : { "previouslyFormattedCitation" : "&lt;sup&gt;1&lt;/sup&gt;" }, "properties" : { "noteIndex" : 0 }, "schema" : "https://github.com/citation-style-language/schema/raw/master/csl-citation.json" }</w:instrText>
      </w:r>
      <w:r w:rsidR="00CA27FC">
        <w:rPr>
          <w:rFonts w:ascii="Arial" w:hAnsi="Arial" w:cs="Arial"/>
          <w:color w:val="CC0000"/>
          <w:sz w:val="28"/>
          <w:szCs w:val="32"/>
        </w:rPr>
        <w:fldChar w:fldCharType="separate"/>
      </w:r>
      <w:r w:rsidR="00CA27FC" w:rsidRPr="00CA27FC">
        <w:rPr>
          <w:rFonts w:ascii="Arial" w:hAnsi="Arial" w:cs="Arial"/>
          <w:noProof/>
          <w:color w:val="CC0000"/>
          <w:sz w:val="28"/>
          <w:szCs w:val="32"/>
          <w:vertAlign w:val="superscript"/>
        </w:rPr>
        <w:t>1</w:t>
      </w:r>
      <w:r w:rsidR="00CA27FC">
        <w:rPr>
          <w:rFonts w:ascii="Arial" w:hAnsi="Arial" w:cs="Arial"/>
          <w:color w:val="CC0000"/>
          <w:sz w:val="28"/>
          <w:szCs w:val="32"/>
        </w:rPr>
        <w:fldChar w:fldCharType="end"/>
      </w:r>
      <w:r w:rsidR="00CA27FC" w:rsidRPr="00CA27FC">
        <w:rPr>
          <w:rFonts w:ascii="Arial" w:hAnsi="Arial" w:cs="Arial"/>
          <w:color w:val="CC0000"/>
          <w:sz w:val="28"/>
          <w:szCs w:val="32"/>
        </w:rPr>
        <w:t xml:space="preserve"> </w:t>
      </w:r>
      <w:r w:rsidR="00CA27FC" w:rsidRPr="00B062A8">
        <w:rPr>
          <w:rFonts w:ascii="Arial" w:hAnsi="Arial" w:cs="Arial"/>
          <w:color w:val="CC0000"/>
          <w:sz w:val="28"/>
          <w:szCs w:val="32"/>
        </w:rPr>
        <w:t>template</w:t>
      </w:r>
      <w:r w:rsidR="00CA27FC">
        <w:rPr>
          <w:rFonts w:ascii="Arial" w:hAnsi="Arial" w:cs="Arial"/>
          <w:color w:val="CC0000"/>
          <w:sz w:val="28"/>
          <w:szCs w:val="32"/>
        </w:rPr>
        <w:t xml:space="preserve"> </w:t>
      </w:r>
      <w:r w:rsidR="007A15B3">
        <w:rPr>
          <w:rFonts w:ascii="Arial" w:hAnsi="Arial" w:cs="Arial"/>
          <w:color w:val="CC0000"/>
          <w:sz w:val="28"/>
          <w:szCs w:val="32"/>
        </w:rPr>
        <w:t xml:space="preserve">and </w:t>
      </w:r>
      <w:r w:rsidRPr="00B062A8">
        <w:rPr>
          <w:rFonts w:ascii="Arial" w:hAnsi="Arial" w:cs="Arial"/>
          <w:color w:val="CC0000"/>
          <w:sz w:val="28"/>
          <w:szCs w:val="32"/>
        </w:rPr>
        <w:t>is designed as a guide only. It is intended that local guideline templates are used.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666144" w:rsidRPr="00BB75A6" w14:paraId="3948CA0D" w14:textId="77777777" w:rsidTr="00BB75A6">
        <w:tc>
          <w:tcPr>
            <w:tcW w:w="4819" w:type="dxa"/>
            <w:shd w:val="clear" w:color="auto" w:fill="auto"/>
          </w:tcPr>
          <w:p w14:paraId="7673E16D" w14:textId="77777777" w:rsidR="000B6427" w:rsidRDefault="000B6427" w:rsidP="00BB75A6">
            <w:pPr>
              <w:spacing w:before="120"/>
              <w:jc w:val="center"/>
              <w:rPr>
                <w:rFonts w:ascii="Arial" w:hAnsi="Arial" w:cs="Arial"/>
                <w:b/>
                <w:sz w:val="32"/>
                <w:szCs w:val="32"/>
              </w:rPr>
            </w:pPr>
          </w:p>
          <w:p w14:paraId="569C1486" w14:textId="77777777" w:rsidR="00666144" w:rsidRPr="00BB75A6" w:rsidRDefault="00666144" w:rsidP="00BB75A6">
            <w:pPr>
              <w:spacing w:before="120"/>
              <w:jc w:val="center"/>
              <w:rPr>
                <w:rFonts w:ascii="Arial" w:hAnsi="Arial" w:cs="Arial"/>
                <w:b/>
                <w:sz w:val="32"/>
                <w:szCs w:val="32"/>
              </w:rPr>
            </w:pPr>
            <w:r w:rsidRPr="00BB75A6">
              <w:rPr>
                <w:rFonts w:ascii="Arial" w:hAnsi="Arial" w:cs="Arial"/>
                <w:b/>
                <w:sz w:val="32"/>
                <w:szCs w:val="32"/>
              </w:rPr>
              <w:t>Clinical Guideline</w:t>
            </w:r>
          </w:p>
          <w:p w14:paraId="3CCC3152" w14:textId="77777777" w:rsidR="00666144" w:rsidRPr="00BB75A6" w:rsidRDefault="00666144" w:rsidP="00BB75A6">
            <w:pPr>
              <w:spacing w:before="120"/>
              <w:jc w:val="center"/>
              <w:rPr>
                <w:rFonts w:ascii="Arial" w:hAnsi="Arial" w:cs="Arial"/>
                <w:b/>
                <w:sz w:val="32"/>
                <w:szCs w:val="32"/>
              </w:rPr>
            </w:pPr>
          </w:p>
        </w:tc>
        <w:tc>
          <w:tcPr>
            <w:tcW w:w="4820" w:type="dxa"/>
            <w:shd w:val="clear" w:color="auto" w:fill="auto"/>
          </w:tcPr>
          <w:p w14:paraId="008CEC10" w14:textId="77777777" w:rsidR="00666144" w:rsidRPr="00BB75A6" w:rsidRDefault="00666144" w:rsidP="00BB75A6">
            <w:pPr>
              <w:spacing w:before="120"/>
              <w:rPr>
                <w:rFonts w:ascii="Arial" w:hAnsi="Arial" w:cs="Arial"/>
                <w:sz w:val="32"/>
                <w:szCs w:val="32"/>
              </w:rPr>
            </w:pPr>
            <w:r w:rsidRPr="00BB75A6">
              <w:rPr>
                <w:rFonts w:ascii="Arial" w:hAnsi="Arial" w:cs="Arial"/>
                <w:sz w:val="32"/>
                <w:szCs w:val="32"/>
                <w:highlight w:val="lightGray"/>
              </w:rPr>
              <w:t xml:space="preserve">[Insert local health network or hospital </w:t>
            </w:r>
            <w:r w:rsidR="00B7541E">
              <w:rPr>
                <w:rFonts w:ascii="Arial" w:hAnsi="Arial" w:cs="Arial"/>
                <w:sz w:val="32"/>
                <w:szCs w:val="32"/>
                <w:highlight w:val="lightGray"/>
              </w:rPr>
              <w:t>name</w:t>
            </w:r>
            <w:r w:rsidR="0074692C">
              <w:rPr>
                <w:rFonts w:ascii="Arial" w:hAnsi="Arial" w:cs="Arial"/>
                <w:sz w:val="32"/>
                <w:szCs w:val="32"/>
                <w:highlight w:val="lightGray"/>
              </w:rPr>
              <w:t xml:space="preserve"> </w:t>
            </w:r>
            <w:r w:rsidR="00B7541E">
              <w:rPr>
                <w:rFonts w:ascii="Arial" w:hAnsi="Arial" w:cs="Arial"/>
                <w:sz w:val="32"/>
                <w:szCs w:val="32"/>
                <w:highlight w:val="lightGray"/>
              </w:rPr>
              <w:t>/</w:t>
            </w:r>
            <w:r w:rsidR="0074692C">
              <w:rPr>
                <w:rFonts w:ascii="Arial" w:hAnsi="Arial" w:cs="Arial"/>
                <w:sz w:val="32"/>
                <w:szCs w:val="32"/>
                <w:highlight w:val="lightGray"/>
              </w:rPr>
              <w:t xml:space="preserve"> </w:t>
            </w:r>
            <w:r w:rsidRPr="00BB75A6">
              <w:rPr>
                <w:rFonts w:ascii="Arial" w:hAnsi="Arial" w:cs="Arial"/>
                <w:sz w:val="32"/>
                <w:szCs w:val="32"/>
                <w:highlight w:val="lightGray"/>
              </w:rPr>
              <w:t>logo]</w:t>
            </w:r>
          </w:p>
        </w:tc>
      </w:tr>
    </w:tbl>
    <w:p w14:paraId="387C1CF5" w14:textId="77777777" w:rsidR="00C94E8F" w:rsidRPr="00117C32" w:rsidRDefault="00271E33" w:rsidP="00666144">
      <w:pPr>
        <w:spacing w:before="120"/>
        <w:rPr>
          <w:rFonts w:ascii="Arial" w:hAnsi="Arial" w:cs="Arial"/>
          <w:b/>
          <w:sz w:val="32"/>
          <w:szCs w:val="32"/>
        </w:rPr>
      </w:pPr>
      <w:r w:rsidRPr="00117C32">
        <w:rPr>
          <w:rFonts w:ascii="Arial" w:hAnsi="Arial" w:cs="Arial"/>
          <w:b/>
          <w:sz w:val="32"/>
          <w:szCs w:val="32"/>
        </w:rPr>
        <w:t xml:space="preserve">Single Unit Blood Transfusion </w:t>
      </w:r>
      <w:r w:rsidR="004E5D88" w:rsidRPr="00117C32">
        <w:rPr>
          <w:rFonts w:ascii="Arial" w:hAnsi="Arial" w:cs="Arial"/>
          <w:b/>
          <w:sz w:val="32"/>
          <w:szCs w:val="32"/>
        </w:rPr>
        <w:t xml:space="preserve">Clinical </w:t>
      </w:r>
      <w:r w:rsidRPr="00117C32">
        <w:rPr>
          <w:rFonts w:ascii="Arial" w:hAnsi="Arial" w:cs="Arial"/>
          <w:b/>
          <w:sz w:val="32"/>
          <w:szCs w:val="32"/>
        </w:rPr>
        <w:t>Guideline</w:t>
      </w:r>
    </w:p>
    <w:p w14:paraId="0C6FA5D8" w14:textId="77777777" w:rsidR="00C94E8F" w:rsidRPr="00D7690B" w:rsidRDefault="00C94E8F" w:rsidP="00C94E8F">
      <w:pPr>
        <w:tabs>
          <w:tab w:val="left" w:pos="720"/>
        </w:tabs>
        <w:spacing w:after="120"/>
        <w:jc w:val="right"/>
        <w:rPr>
          <w:rFonts w:ascii="Arial" w:hAnsi="Arial" w:cs="Arial"/>
          <w:b/>
          <w:color w:val="CC0000"/>
        </w:rPr>
      </w:pPr>
      <w:r w:rsidRPr="00B36CFC">
        <w:rPr>
          <w:rFonts w:ascii="Arial" w:hAnsi="Arial" w:cs="Arial"/>
          <w:b/>
        </w:rPr>
        <w:t xml:space="preserve">Document Registration Number: </w:t>
      </w:r>
      <w:r w:rsidRPr="00CA27FC">
        <w:rPr>
          <w:rFonts w:ascii="Arial" w:hAnsi="Arial" w:cs="Arial"/>
          <w:b/>
          <w:highlight w:val="lightGray"/>
        </w:rPr>
        <w:t>Insert</w:t>
      </w:r>
    </w:p>
    <w:tbl>
      <w:tblPr>
        <w:tblW w:w="9596" w:type="dxa"/>
        <w:tblInd w:w="108" w:type="dxa"/>
        <w:tblLook w:val="0000" w:firstRow="0" w:lastRow="0" w:firstColumn="0" w:lastColumn="0" w:noHBand="0" w:noVBand="0"/>
      </w:tblPr>
      <w:tblGrid>
        <w:gridCol w:w="4320"/>
        <w:gridCol w:w="5276"/>
      </w:tblGrid>
      <w:tr w:rsidR="00666144" w:rsidRPr="008C4D33" w14:paraId="31687D92" w14:textId="77777777" w:rsidTr="00351AF0">
        <w:tblPrEx>
          <w:tblCellMar>
            <w:top w:w="0" w:type="dxa"/>
            <w:bottom w:w="0" w:type="dxa"/>
          </w:tblCellMar>
        </w:tblPrEx>
        <w:tc>
          <w:tcPr>
            <w:tcW w:w="4320" w:type="dxa"/>
            <w:tcBorders>
              <w:bottom w:val="single" w:sz="4" w:space="0" w:color="auto"/>
            </w:tcBorders>
            <w:shd w:val="clear" w:color="auto" w:fill="FFFFFF"/>
          </w:tcPr>
          <w:p w14:paraId="323A03D8" w14:textId="77777777" w:rsidR="00666144" w:rsidRPr="008C4D33" w:rsidRDefault="00666144" w:rsidP="00BB75A6">
            <w:pPr>
              <w:spacing w:before="60" w:after="60"/>
              <w:ind w:right="16"/>
              <w:rPr>
                <w:rFonts w:ascii="Calibri" w:hAnsi="Calibri" w:cs="Calibri"/>
                <w:b/>
                <w:sz w:val="22"/>
                <w:szCs w:val="22"/>
              </w:rPr>
            </w:pPr>
            <w:r w:rsidRPr="008C4D33">
              <w:rPr>
                <w:rFonts w:ascii="Calibri" w:hAnsi="Calibri" w:cs="Calibri"/>
                <w:b/>
                <w:sz w:val="22"/>
                <w:szCs w:val="22"/>
              </w:rPr>
              <w:t xml:space="preserve">Sites where Clinical Guideline applies  </w:t>
            </w:r>
          </w:p>
        </w:tc>
        <w:tc>
          <w:tcPr>
            <w:tcW w:w="5276" w:type="dxa"/>
            <w:tcBorders>
              <w:bottom w:val="single" w:sz="4" w:space="0" w:color="auto"/>
            </w:tcBorders>
          </w:tcPr>
          <w:p w14:paraId="76B24E08" w14:textId="77777777" w:rsidR="00666144" w:rsidRPr="008C4D33" w:rsidRDefault="00666144" w:rsidP="00B718C8">
            <w:pPr>
              <w:spacing w:before="60" w:after="60"/>
              <w:ind w:right="16"/>
              <w:rPr>
                <w:rFonts w:ascii="Calibri" w:hAnsi="Calibri" w:cs="Calibri"/>
                <w:sz w:val="22"/>
                <w:szCs w:val="22"/>
              </w:rPr>
            </w:pPr>
            <w:r w:rsidRPr="008C4D33">
              <w:rPr>
                <w:rFonts w:ascii="Calibri" w:hAnsi="Calibri" w:cs="Calibri"/>
                <w:sz w:val="22"/>
                <w:szCs w:val="22"/>
              </w:rPr>
              <w:t xml:space="preserve">All hospitals within </w:t>
            </w:r>
            <w:r w:rsidRPr="008C4D33">
              <w:rPr>
                <w:rFonts w:ascii="Calibri" w:hAnsi="Calibri" w:cs="Calibri"/>
                <w:sz w:val="22"/>
                <w:szCs w:val="22"/>
                <w:highlight w:val="lightGray"/>
              </w:rPr>
              <w:t>[insert local health network or hospital name]</w:t>
            </w:r>
            <w:r w:rsidRPr="008C4D33">
              <w:rPr>
                <w:rFonts w:ascii="Calibri" w:hAnsi="Calibri" w:cs="Calibri"/>
                <w:sz w:val="22"/>
                <w:szCs w:val="22"/>
              </w:rPr>
              <w:t xml:space="preserve">where </w:t>
            </w:r>
            <w:r w:rsidR="00496955">
              <w:rPr>
                <w:rFonts w:ascii="Calibri" w:hAnsi="Calibri" w:cs="Calibri"/>
                <w:sz w:val="22"/>
                <w:szCs w:val="22"/>
              </w:rPr>
              <w:t xml:space="preserve">red </w:t>
            </w:r>
            <w:r w:rsidRPr="008C4D33">
              <w:rPr>
                <w:rFonts w:ascii="Calibri" w:hAnsi="Calibri" w:cs="Calibri"/>
                <w:sz w:val="22"/>
                <w:szCs w:val="22"/>
              </w:rPr>
              <w:t>blood</w:t>
            </w:r>
            <w:r w:rsidR="00496955">
              <w:rPr>
                <w:rFonts w:ascii="Calibri" w:hAnsi="Calibri" w:cs="Calibri"/>
                <w:sz w:val="22"/>
                <w:szCs w:val="22"/>
              </w:rPr>
              <w:t xml:space="preserve"> cell</w:t>
            </w:r>
            <w:r w:rsidRPr="008C4D33">
              <w:rPr>
                <w:rFonts w:ascii="Calibri" w:hAnsi="Calibri" w:cs="Calibri"/>
                <w:sz w:val="22"/>
                <w:szCs w:val="22"/>
              </w:rPr>
              <w:t xml:space="preserve"> transfusions are administered.</w:t>
            </w:r>
          </w:p>
        </w:tc>
      </w:tr>
      <w:tr w:rsidR="00666144" w:rsidRPr="008C4D33" w14:paraId="3CC7F3D0" w14:textId="77777777" w:rsidTr="00B062A8">
        <w:tblPrEx>
          <w:tblCellMar>
            <w:top w:w="0" w:type="dxa"/>
            <w:bottom w:w="0" w:type="dxa"/>
          </w:tblCellMar>
        </w:tblPrEx>
        <w:tc>
          <w:tcPr>
            <w:tcW w:w="4320" w:type="dxa"/>
            <w:tcBorders>
              <w:bottom w:val="single" w:sz="4" w:space="0" w:color="auto"/>
            </w:tcBorders>
          </w:tcPr>
          <w:p w14:paraId="10A61CD7" w14:textId="77777777" w:rsidR="00666144" w:rsidRPr="008C4D33" w:rsidRDefault="00666144" w:rsidP="00BB75A6">
            <w:pPr>
              <w:spacing w:before="60" w:after="60"/>
              <w:ind w:right="16"/>
              <w:rPr>
                <w:rFonts w:ascii="Calibri" w:hAnsi="Calibri" w:cs="Calibri"/>
                <w:b/>
                <w:sz w:val="22"/>
                <w:szCs w:val="22"/>
              </w:rPr>
            </w:pPr>
            <w:r w:rsidRPr="008C4D33">
              <w:rPr>
                <w:rFonts w:ascii="Calibri" w:hAnsi="Calibri" w:cs="Calibri"/>
                <w:b/>
                <w:sz w:val="22"/>
                <w:szCs w:val="22"/>
              </w:rPr>
              <w:t>This Clinical Guideline applies to:</w:t>
            </w:r>
          </w:p>
        </w:tc>
        <w:tc>
          <w:tcPr>
            <w:tcW w:w="5276" w:type="dxa"/>
            <w:tcBorders>
              <w:bottom w:val="single" w:sz="4" w:space="0" w:color="auto"/>
            </w:tcBorders>
          </w:tcPr>
          <w:p w14:paraId="4FAD0C91" w14:textId="77777777" w:rsidR="00666144" w:rsidRPr="008C4D33" w:rsidRDefault="00666144" w:rsidP="00666144">
            <w:pPr>
              <w:spacing w:before="60" w:after="60"/>
              <w:ind w:right="16"/>
              <w:rPr>
                <w:rFonts w:ascii="Calibri" w:hAnsi="Calibri" w:cs="Calibri"/>
                <w:sz w:val="22"/>
                <w:szCs w:val="22"/>
              </w:rPr>
            </w:pPr>
            <w:r w:rsidRPr="008C4D33">
              <w:rPr>
                <w:rFonts w:ascii="Calibri" w:hAnsi="Calibri" w:cs="Calibri"/>
                <w:sz w:val="22"/>
                <w:szCs w:val="22"/>
              </w:rPr>
              <w:t>Adults</w:t>
            </w:r>
          </w:p>
        </w:tc>
      </w:tr>
      <w:tr w:rsidR="00666144" w:rsidRPr="008C4D33" w14:paraId="37E5D71A" w14:textId="77777777" w:rsidTr="00B062A8">
        <w:tblPrEx>
          <w:tblCellMar>
            <w:top w:w="0" w:type="dxa"/>
            <w:bottom w:w="0" w:type="dxa"/>
          </w:tblCellMar>
        </w:tblPrEx>
        <w:tc>
          <w:tcPr>
            <w:tcW w:w="4320" w:type="dxa"/>
            <w:tcBorders>
              <w:bottom w:val="single" w:sz="4" w:space="0" w:color="auto"/>
            </w:tcBorders>
          </w:tcPr>
          <w:p w14:paraId="5DE143EF" w14:textId="77777777" w:rsidR="00666144" w:rsidRPr="008C4D33" w:rsidRDefault="00666144" w:rsidP="00BB75A6">
            <w:pPr>
              <w:spacing w:before="60" w:after="60"/>
              <w:ind w:right="16"/>
              <w:rPr>
                <w:rFonts w:ascii="Calibri" w:hAnsi="Calibri" w:cs="Calibri"/>
                <w:b/>
                <w:sz w:val="22"/>
                <w:szCs w:val="22"/>
              </w:rPr>
            </w:pPr>
            <w:r w:rsidRPr="008C4D33">
              <w:rPr>
                <w:rFonts w:ascii="Calibri" w:hAnsi="Calibri" w:cs="Calibri"/>
                <w:b/>
                <w:sz w:val="22"/>
                <w:szCs w:val="22"/>
              </w:rPr>
              <w:t>Target audience</w:t>
            </w:r>
          </w:p>
        </w:tc>
        <w:tc>
          <w:tcPr>
            <w:tcW w:w="5276" w:type="dxa"/>
            <w:tcBorders>
              <w:bottom w:val="single" w:sz="4" w:space="0" w:color="auto"/>
            </w:tcBorders>
          </w:tcPr>
          <w:p w14:paraId="25F80BB5" w14:textId="77777777" w:rsidR="00666144" w:rsidRPr="008C4D33" w:rsidRDefault="00666144" w:rsidP="00B61C7D">
            <w:pPr>
              <w:spacing w:before="60" w:after="60"/>
              <w:ind w:right="16"/>
              <w:rPr>
                <w:rFonts w:ascii="Calibri" w:hAnsi="Calibri" w:cs="Calibri"/>
                <w:sz w:val="22"/>
                <w:szCs w:val="22"/>
              </w:rPr>
            </w:pPr>
            <w:r w:rsidRPr="008C4D33">
              <w:rPr>
                <w:rFonts w:ascii="Calibri" w:hAnsi="Calibri" w:cs="Calibri"/>
                <w:sz w:val="22"/>
                <w:szCs w:val="22"/>
              </w:rPr>
              <w:t>All medical officers, nursing</w:t>
            </w:r>
            <w:r w:rsidR="0074692C" w:rsidRPr="008C4D33">
              <w:rPr>
                <w:rFonts w:ascii="Calibri" w:hAnsi="Calibri" w:cs="Calibri"/>
                <w:sz w:val="22"/>
                <w:szCs w:val="22"/>
              </w:rPr>
              <w:t xml:space="preserve"> </w:t>
            </w:r>
            <w:r w:rsidRPr="008C4D33">
              <w:rPr>
                <w:rFonts w:ascii="Calibri" w:hAnsi="Calibri" w:cs="Calibri"/>
                <w:sz w:val="22"/>
                <w:szCs w:val="22"/>
              </w:rPr>
              <w:t>/</w:t>
            </w:r>
            <w:r w:rsidR="0074692C" w:rsidRPr="008C4D33">
              <w:rPr>
                <w:rFonts w:ascii="Calibri" w:hAnsi="Calibri" w:cs="Calibri"/>
                <w:sz w:val="22"/>
                <w:szCs w:val="22"/>
              </w:rPr>
              <w:t xml:space="preserve"> </w:t>
            </w:r>
            <w:r w:rsidR="00B61C7D" w:rsidRPr="008C4D33">
              <w:rPr>
                <w:rFonts w:ascii="Calibri" w:hAnsi="Calibri" w:cs="Calibri"/>
                <w:sz w:val="22"/>
                <w:szCs w:val="22"/>
              </w:rPr>
              <w:t xml:space="preserve">midwifery staff and </w:t>
            </w:r>
            <w:r w:rsidRPr="008C4D33">
              <w:rPr>
                <w:rFonts w:ascii="Calibri" w:hAnsi="Calibri" w:cs="Calibri"/>
                <w:sz w:val="22"/>
                <w:szCs w:val="22"/>
              </w:rPr>
              <w:t xml:space="preserve">transfusion laboratory staff </w:t>
            </w:r>
          </w:p>
        </w:tc>
      </w:tr>
    </w:tbl>
    <w:p w14:paraId="0779CAB4" w14:textId="77777777" w:rsidR="00E81E0D" w:rsidRDefault="00E81E0D" w:rsidP="00BB75A6">
      <w:pPr>
        <w:spacing w:before="60" w:after="60"/>
        <w:ind w:right="16"/>
        <w:rPr>
          <w:rFonts w:ascii="Calibri" w:hAnsi="Calibri" w:cs="Calibri"/>
          <w:b/>
          <w:sz w:val="22"/>
          <w:szCs w:val="22"/>
        </w:rPr>
        <w:sectPr w:rsidR="00E81E0D" w:rsidSect="00BA46C5">
          <w:headerReference w:type="even" r:id="rId8"/>
          <w:headerReference w:type="default" r:id="rId9"/>
          <w:footerReference w:type="default" r:id="rId10"/>
          <w:headerReference w:type="first" r:id="rId11"/>
          <w:pgSz w:w="11906" w:h="16838" w:code="9"/>
          <w:pgMar w:top="851" w:right="1134" w:bottom="567" w:left="1134" w:header="283" w:footer="454" w:gutter="0"/>
          <w:cols w:space="708"/>
          <w:docGrid w:linePitch="360"/>
        </w:sectPr>
      </w:pPr>
    </w:p>
    <w:tbl>
      <w:tblPr>
        <w:tblW w:w="9596" w:type="dxa"/>
        <w:tblInd w:w="108" w:type="dxa"/>
        <w:tblLook w:val="0000" w:firstRow="0" w:lastRow="0" w:firstColumn="0" w:lastColumn="0" w:noHBand="0" w:noVBand="0"/>
      </w:tblPr>
      <w:tblGrid>
        <w:gridCol w:w="4320"/>
        <w:gridCol w:w="5276"/>
      </w:tblGrid>
      <w:tr w:rsidR="00666144" w:rsidRPr="008C4D33" w14:paraId="2493E68C" w14:textId="77777777" w:rsidTr="00B062A8">
        <w:tblPrEx>
          <w:tblCellMar>
            <w:top w:w="0" w:type="dxa"/>
            <w:bottom w:w="0" w:type="dxa"/>
          </w:tblCellMar>
        </w:tblPrEx>
        <w:tc>
          <w:tcPr>
            <w:tcW w:w="4320" w:type="dxa"/>
            <w:tcBorders>
              <w:bottom w:val="single" w:sz="4" w:space="0" w:color="auto"/>
            </w:tcBorders>
          </w:tcPr>
          <w:p w14:paraId="66620F17" w14:textId="77777777" w:rsidR="00666144" w:rsidRPr="008C4D33" w:rsidRDefault="00666144" w:rsidP="00BB75A6">
            <w:pPr>
              <w:spacing w:before="60" w:after="60"/>
              <w:ind w:right="16"/>
              <w:rPr>
                <w:rFonts w:ascii="Calibri" w:hAnsi="Calibri" w:cs="Calibri"/>
                <w:b/>
                <w:sz w:val="22"/>
                <w:szCs w:val="22"/>
              </w:rPr>
            </w:pPr>
            <w:r w:rsidRPr="008C4D33">
              <w:rPr>
                <w:rFonts w:ascii="Calibri" w:hAnsi="Calibri" w:cs="Calibri"/>
                <w:b/>
                <w:sz w:val="22"/>
                <w:szCs w:val="22"/>
              </w:rPr>
              <w:t>Description</w:t>
            </w:r>
          </w:p>
        </w:tc>
        <w:tc>
          <w:tcPr>
            <w:tcW w:w="5276" w:type="dxa"/>
            <w:tcBorders>
              <w:bottom w:val="single" w:sz="4" w:space="0" w:color="auto"/>
            </w:tcBorders>
          </w:tcPr>
          <w:p w14:paraId="5AE9CBEE" w14:textId="77777777" w:rsidR="00666144" w:rsidRPr="008C4D33" w:rsidRDefault="00A90BDF" w:rsidP="00666144">
            <w:pPr>
              <w:spacing w:before="60" w:after="60"/>
              <w:ind w:right="16"/>
              <w:rPr>
                <w:rFonts w:ascii="Calibri" w:hAnsi="Calibri" w:cs="Calibri"/>
                <w:sz w:val="22"/>
                <w:szCs w:val="22"/>
              </w:rPr>
            </w:pPr>
            <w:r w:rsidRPr="008C4D33">
              <w:rPr>
                <w:rFonts w:ascii="Calibri" w:hAnsi="Calibri" w:cs="Calibri"/>
                <w:sz w:val="22"/>
                <w:szCs w:val="22"/>
              </w:rPr>
              <w:t>This g</w:t>
            </w:r>
            <w:r w:rsidR="00666144" w:rsidRPr="008C4D33">
              <w:rPr>
                <w:rFonts w:ascii="Calibri" w:hAnsi="Calibri" w:cs="Calibri"/>
                <w:sz w:val="22"/>
                <w:szCs w:val="22"/>
              </w:rPr>
              <w:t xml:space="preserve">uideline is intended for use by all clinicians responsible for prescribing </w:t>
            </w:r>
            <w:r w:rsidR="00B718C8">
              <w:rPr>
                <w:rFonts w:ascii="Calibri" w:hAnsi="Calibri" w:cs="Calibri"/>
                <w:sz w:val="22"/>
                <w:szCs w:val="22"/>
              </w:rPr>
              <w:t xml:space="preserve">red </w:t>
            </w:r>
            <w:r w:rsidR="00666144" w:rsidRPr="008C4D33">
              <w:rPr>
                <w:rFonts w:ascii="Calibri" w:hAnsi="Calibri" w:cs="Calibri"/>
                <w:sz w:val="22"/>
                <w:szCs w:val="22"/>
              </w:rPr>
              <w:t>blood</w:t>
            </w:r>
            <w:r w:rsidR="00B14D45">
              <w:rPr>
                <w:rFonts w:ascii="Calibri" w:hAnsi="Calibri" w:cs="Calibri"/>
                <w:sz w:val="22"/>
                <w:szCs w:val="22"/>
              </w:rPr>
              <w:t xml:space="preserve"> cell</w:t>
            </w:r>
            <w:r w:rsidR="00666144" w:rsidRPr="008C4D33">
              <w:rPr>
                <w:rFonts w:ascii="Calibri" w:hAnsi="Calibri" w:cs="Calibri"/>
                <w:sz w:val="22"/>
                <w:szCs w:val="22"/>
              </w:rPr>
              <w:t xml:space="preserve"> transfusion</w:t>
            </w:r>
            <w:r w:rsidR="00B718C8">
              <w:rPr>
                <w:rFonts w:ascii="Calibri" w:hAnsi="Calibri" w:cs="Calibri"/>
                <w:sz w:val="22"/>
                <w:szCs w:val="22"/>
              </w:rPr>
              <w:t>.</w:t>
            </w:r>
            <w:r w:rsidR="00666144" w:rsidRPr="008C4D33">
              <w:rPr>
                <w:rFonts w:ascii="Calibri" w:hAnsi="Calibri" w:cs="Calibri"/>
                <w:sz w:val="22"/>
                <w:szCs w:val="22"/>
              </w:rPr>
              <w:t xml:space="preserve"> </w:t>
            </w:r>
            <w:r w:rsidR="00B718C8" w:rsidRPr="00B718C8">
              <w:rPr>
                <w:rFonts w:ascii="Calibri" w:hAnsi="Calibri" w:cs="Calibri"/>
                <w:sz w:val="22"/>
                <w:szCs w:val="22"/>
              </w:rPr>
              <w:t>The single unit transfusion guide</w:t>
            </w:r>
            <w:r w:rsidR="00B718C8">
              <w:rPr>
                <w:rFonts w:ascii="Calibri" w:hAnsi="Calibri" w:cs="Calibri"/>
                <w:sz w:val="22"/>
                <w:szCs w:val="22"/>
              </w:rPr>
              <w:t>line</w:t>
            </w:r>
            <w:r w:rsidR="00B718C8" w:rsidRPr="00B718C8">
              <w:rPr>
                <w:rFonts w:ascii="Calibri" w:hAnsi="Calibri" w:cs="Calibri"/>
                <w:sz w:val="22"/>
                <w:szCs w:val="22"/>
              </w:rPr>
              <w:t xml:space="preserve"> can be applied to stable, normovolaemic adult patients</w:t>
            </w:r>
            <w:r w:rsidR="00414F5F" w:rsidRPr="00414F5F">
              <w:rPr>
                <w:rFonts w:ascii="Calibri" w:hAnsi="Calibri" w:cs="Calibri"/>
                <w:sz w:val="22"/>
                <w:szCs w:val="22"/>
              </w:rPr>
              <w:t xml:space="preserve">, in an inpatient setting, </w:t>
            </w:r>
            <w:r w:rsidR="00B718C8" w:rsidRPr="00B718C8">
              <w:rPr>
                <w:rFonts w:ascii="Calibri" w:hAnsi="Calibri" w:cs="Calibri"/>
                <w:sz w:val="22"/>
                <w:szCs w:val="22"/>
              </w:rPr>
              <w:t>who do not have clinically significant bleeding</w:t>
            </w:r>
            <w:r w:rsidR="00E81E0D">
              <w:rPr>
                <w:rStyle w:val="FootnoteReference"/>
                <w:rFonts w:ascii="Calibri" w:hAnsi="Calibri" w:cs="Calibri"/>
                <w:sz w:val="22"/>
                <w:szCs w:val="22"/>
              </w:rPr>
              <w:footnoteReference w:id="1"/>
            </w:r>
            <w:r w:rsidR="00E81E0D">
              <w:rPr>
                <w:rFonts w:ascii="Calibri" w:hAnsi="Calibri" w:cs="Calibri"/>
                <w:sz w:val="22"/>
                <w:szCs w:val="22"/>
              </w:rPr>
              <w:t>.</w:t>
            </w:r>
            <w:r w:rsidR="00E81E0D">
              <w:rPr>
                <w:rFonts w:ascii="Calibri" w:hAnsi="Calibri" w:cs="Calibri"/>
                <w:sz w:val="22"/>
                <w:szCs w:val="22"/>
              </w:rPr>
              <w:fldChar w:fldCharType="begin" w:fldLock="1"/>
            </w:r>
            <w:r w:rsidR="00CA27FC">
              <w:rPr>
                <w:rFonts w:ascii="Calibri" w:hAnsi="Calibri" w:cs="Calibri"/>
                <w:sz w:val="22"/>
                <w:szCs w:val="22"/>
              </w:rPr>
              <w:instrText>ADDIN CSL_CITATION { "citationItems" : [ { "id" : "ITEM-1", "itemData" : { "author" : [ { "dropping-particle" : "", "family" : "Webert", "given" : "Kathryn E", "non-dropping-particle" : "", "parse-names" : false, "suffix" : "" }, { "dropping-particle" : "", "family" : "Arnold", "given" : "Donald M", "non-dropping-particle" : "", "parse-names" : false, "suffix" : "" }, { "dropping-particle" : "", "family" : "Lui", "given" : "Yang", "non-dropping-particle" : "", "parse-names" : false, "suffix" : "" }, { "dropping-particle" : "", "family" : "Carruthers", "given" : "Julie", "non-dropping-particle" : "", "parse-names" : false, "suffix" : "" }, { "dropping-particle" : "", "family" : "Arnold", "given" : "Emmy", "non-dropping-particle" : "", "parse-names" : false, "suffix" : "" }, { "dropping-particle" : "", "family" : "Heddle", "given" : "Nancy M", "non-dropping-particle" : "", "parse-names" : false, "suffix" : "" } ], "container-title" : "Transfusion Practice", "id" : "ITEM-1", "issue" : "November", "issued" : { "date-parts" : [ [ "2012" ] ] }, "page" : "2466-2474", "title" : "A new tool to assess bleeding severity in patients with chemotherapy-induced thrmbocytopaenia", "type" : "article-journal", "volume" : "52" }, "uris" : [ "http://www.mendeley.com/documents/?uuid=562c39d6-8041-4e1e-a9c8-0be872a1e516" ] } ], "mendeley" : { "previouslyFormattedCitation" : "&lt;sup&gt;2&lt;/sup&gt;" }, "properties" : { "noteIndex" : 0 }, "schema" : "https://github.com/citation-style-language/schema/raw/master/csl-citation.json" }</w:instrText>
            </w:r>
            <w:r w:rsidR="00E81E0D">
              <w:rPr>
                <w:rFonts w:ascii="Calibri" w:hAnsi="Calibri" w:cs="Calibri"/>
                <w:sz w:val="22"/>
                <w:szCs w:val="22"/>
              </w:rPr>
              <w:fldChar w:fldCharType="separate"/>
            </w:r>
            <w:r w:rsidR="00CA27FC" w:rsidRPr="00CA27FC">
              <w:rPr>
                <w:rFonts w:ascii="Calibri" w:hAnsi="Calibri" w:cs="Calibri"/>
                <w:noProof/>
                <w:sz w:val="22"/>
                <w:szCs w:val="22"/>
                <w:vertAlign w:val="superscript"/>
              </w:rPr>
              <w:t>2</w:t>
            </w:r>
            <w:r w:rsidR="00E81E0D">
              <w:rPr>
                <w:rFonts w:ascii="Calibri" w:hAnsi="Calibri" w:cs="Calibri"/>
                <w:sz w:val="22"/>
                <w:szCs w:val="22"/>
              </w:rPr>
              <w:fldChar w:fldCharType="end"/>
            </w:r>
          </w:p>
          <w:p w14:paraId="56415CD9" w14:textId="77777777" w:rsidR="00666144" w:rsidRPr="008C4D33" w:rsidRDefault="00A90BDF" w:rsidP="00FE1B05">
            <w:pPr>
              <w:spacing w:before="60" w:after="60"/>
              <w:ind w:right="16"/>
              <w:rPr>
                <w:rFonts w:ascii="Calibri" w:hAnsi="Calibri" w:cs="Calibri"/>
                <w:sz w:val="22"/>
                <w:szCs w:val="22"/>
              </w:rPr>
            </w:pPr>
            <w:r w:rsidRPr="008C4D33">
              <w:rPr>
                <w:rFonts w:ascii="Calibri" w:hAnsi="Calibri" w:cs="Calibri"/>
                <w:sz w:val="22"/>
                <w:szCs w:val="22"/>
              </w:rPr>
              <w:t>The g</w:t>
            </w:r>
            <w:r w:rsidR="00666144" w:rsidRPr="008C4D33">
              <w:rPr>
                <w:rFonts w:ascii="Calibri" w:hAnsi="Calibri" w:cs="Calibri"/>
                <w:sz w:val="22"/>
                <w:szCs w:val="22"/>
              </w:rPr>
              <w:t xml:space="preserve">uideline is consistent with the </w:t>
            </w:r>
            <w:r w:rsidR="00FE1B05">
              <w:rPr>
                <w:rFonts w:ascii="Calibri" w:hAnsi="Calibri" w:cs="Calibri"/>
                <w:sz w:val="22"/>
                <w:szCs w:val="22"/>
              </w:rPr>
              <w:t>n</w:t>
            </w:r>
            <w:r w:rsidR="00666144" w:rsidRPr="008C4D33">
              <w:rPr>
                <w:rFonts w:ascii="Calibri" w:hAnsi="Calibri" w:cs="Calibri"/>
                <w:sz w:val="22"/>
                <w:szCs w:val="22"/>
              </w:rPr>
              <w:t>ational Patient Blood Management Guidelines.</w:t>
            </w:r>
            <w:r w:rsidR="00E81E0D">
              <w:rPr>
                <w:rFonts w:ascii="Calibri" w:hAnsi="Calibri" w:cs="Calibri"/>
                <w:sz w:val="22"/>
                <w:szCs w:val="22"/>
              </w:rPr>
              <w:fldChar w:fldCharType="begin" w:fldLock="1"/>
            </w:r>
            <w:r w:rsidR="00CA27FC">
              <w:rPr>
                <w:rFonts w:ascii="Calibri" w:hAnsi="Calibri" w:cs="Calibri"/>
                <w:sz w:val="22"/>
                <w:szCs w:val="22"/>
              </w:rPr>
              <w:instrText>ADDIN CSL_CITATION { "citationItems" : [ { "id" : "ITEM-1", "itemData" : { "author" : [ { "dropping-particle" : "", "family" : "National Blood Authority", "given" : "", "non-dropping-particle" : "", "parse-names" : false, "suffix" : "" } ], "id" : "ITEM-1", "issued" : { "date-parts" : [ [ "2012" ] ] }, "publisher-place" : "Canberra, Australia", "title" : "Patient blood management guidelines: Module 2 \u2013 Perioperative.", "type" : "book" }, "uris" : [ "http://www.mendeley.com/documents/?uuid=956cf09d-f9be-4289-a9d0-a6445424b170" ] }, { "id" : "ITEM-2", "itemData" : { "author" : [ { "dropping-particle" : "", "family" : "National Blood Authority", "given" : "", "non-dropping-particle" : "", "parse-names" : false, "suffix" : "" } ], "id" : "ITEM-2", "issued" : { "date-parts" : [ [ "2012" ] ] }, "publisher" : "National Blood Authority", "publisher-place" : "Canberra, Australia", "title" : "Patient blood management guidelines: Module 3 \u2013 Medical", "type" : "book" }, "uris" : [ "http://www.mendeley.com/documents/?uuid=0b45fa2d-24ab-49d5-a0df-007d328f5e3b" ] }, { "id" : "ITEM-3", "itemData" : { "author" : [ { "dropping-particle" : "", "family" : "National Blood Authority", "given" : "", "non-dropping-particle" : "", "parse-names" : false, "suffix" : "" } ], "id" : "ITEM-3", "issued" : { "date-parts" : [ [ "2013" ] ] }, "publisher-place" : "Canberra, Australia", "title" : "Patient blood management guidelines: Module 4 \u2013 Critical Care", "type" : "book" }, "uris" : [ "http://www.mendeley.com/documents/?uuid=ea39fd74-ab5a-47df-93c5-ce717f8041eb" ] } ], "mendeley" : { "previouslyFormattedCitation" : "&lt;sup&gt;3\u20135&lt;/sup&gt;" }, "properties" : { "noteIndex" : 0 }, "schema" : "https://github.com/citation-style-language/schema/raw/master/csl-citation.json" }</w:instrText>
            </w:r>
            <w:r w:rsidR="00E81E0D">
              <w:rPr>
                <w:rFonts w:ascii="Calibri" w:hAnsi="Calibri" w:cs="Calibri"/>
                <w:sz w:val="22"/>
                <w:szCs w:val="22"/>
              </w:rPr>
              <w:fldChar w:fldCharType="separate"/>
            </w:r>
            <w:r w:rsidR="00CA27FC" w:rsidRPr="00CA27FC">
              <w:rPr>
                <w:rFonts w:ascii="Calibri" w:hAnsi="Calibri" w:cs="Calibri"/>
                <w:noProof/>
                <w:sz w:val="22"/>
                <w:szCs w:val="22"/>
                <w:vertAlign w:val="superscript"/>
              </w:rPr>
              <w:t>3–5</w:t>
            </w:r>
            <w:r w:rsidR="00E81E0D">
              <w:rPr>
                <w:rFonts w:ascii="Calibri" w:hAnsi="Calibri" w:cs="Calibri"/>
                <w:sz w:val="22"/>
                <w:szCs w:val="22"/>
              </w:rPr>
              <w:fldChar w:fldCharType="end"/>
            </w:r>
          </w:p>
        </w:tc>
      </w:tr>
      <w:tr w:rsidR="00666144" w:rsidRPr="008C4D33" w14:paraId="6A0F1C63" w14:textId="77777777" w:rsidTr="00B062A8">
        <w:tblPrEx>
          <w:tblCellMar>
            <w:top w:w="0" w:type="dxa"/>
            <w:bottom w:w="0" w:type="dxa"/>
          </w:tblCellMar>
        </w:tblPrEx>
        <w:tc>
          <w:tcPr>
            <w:tcW w:w="4320" w:type="dxa"/>
            <w:tcBorders>
              <w:bottom w:val="single" w:sz="4" w:space="0" w:color="auto"/>
            </w:tcBorders>
          </w:tcPr>
          <w:p w14:paraId="59004A0C" w14:textId="77777777" w:rsidR="00666144" w:rsidRPr="008C4D33" w:rsidRDefault="00666144" w:rsidP="00BB75A6">
            <w:pPr>
              <w:spacing w:before="60" w:after="60"/>
              <w:ind w:right="16"/>
              <w:rPr>
                <w:rFonts w:ascii="Calibri" w:hAnsi="Calibri" w:cs="Calibri"/>
                <w:b/>
                <w:sz w:val="22"/>
                <w:szCs w:val="22"/>
              </w:rPr>
            </w:pPr>
            <w:r w:rsidRPr="008C4D33">
              <w:rPr>
                <w:rFonts w:ascii="Calibri" w:hAnsi="Calibri" w:cs="Calibri"/>
                <w:b/>
                <w:sz w:val="22"/>
                <w:szCs w:val="22"/>
              </w:rPr>
              <w:t>Keywords</w:t>
            </w:r>
          </w:p>
        </w:tc>
        <w:tc>
          <w:tcPr>
            <w:tcW w:w="5276" w:type="dxa"/>
            <w:tcBorders>
              <w:bottom w:val="single" w:sz="4" w:space="0" w:color="auto"/>
            </w:tcBorders>
          </w:tcPr>
          <w:p w14:paraId="7B25893E" w14:textId="77777777" w:rsidR="00666144" w:rsidRPr="008C4D33" w:rsidRDefault="00666144" w:rsidP="00666144">
            <w:pPr>
              <w:spacing w:before="60" w:after="60"/>
              <w:ind w:right="16"/>
              <w:rPr>
                <w:rFonts w:ascii="Calibri" w:hAnsi="Calibri" w:cs="Calibri"/>
                <w:sz w:val="22"/>
                <w:szCs w:val="22"/>
              </w:rPr>
            </w:pPr>
            <w:r w:rsidRPr="008C4D33">
              <w:rPr>
                <w:rFonts w:ascii="Calibri" w:hAnsi="Calibri" w:cs="Calibri"/>
                <w:sz w:val="22"/>
                <w:szCs w:val="22"/>
              </w:rPr>
              <w:t>Single unit, blood, transfusion, non-bleeding, normovolaemic, patient, symptoms.</w:t>
            </w:r>
          </w:p>
        </w:tc>
      </w:tr>
      <w:tr w:rsidR="00666144" w:rsidRPr="008C4D33" w14:paraId="64861F6F" w14:textId="77777777" w:rsidTr="00B062A8">
        <w:tblPrEx>
          <w:tblCellMar>
            <w:top w:w="0" w:type="dxa"/>
            <w:bottom w:w="0" w:type="dxa"/>
          </w:tblCellMar>
        </w:tblPrEx>
        <w:trPr>
          <w:cantSplit/>
        </w:trPr>
        <w:tc>
          <w:tcPr>
            <w:tcW w:w="9596" w:type="dxa"/>
            <w:gridSpan w:val="2"/>
            <w:tcBorders>
              <w:top w:val="single" w:sz="4" w:space="0" w:color="auto"/>
            </w:tcBorders>
          </w:tcPr>
          <w:p w14:paraId="60C0EE62" w14:textId="77777777" w:rsidR="00666144" w:rsidRPr="008C4D33" w:rsidRDefault="00666144" w:rsidP="00BB75A6">
            <w:pPr>
              <w:spacing w:before="60" w:after="60"/>
              <w:ind w:right="16"/>
              <w:rPr>
                <w:rFonts w:ascii="Calibri" w:hAnsi="Calibri" w:cs="Calibri"/>
                <w:b/>
                <w:iCs/>
                <w:color w:val="000000"/>
                <w:sz w:val="22"/>
                <w:szCs w:val="22"/>
              </w:rPr>
            </w:pPr>
            <w:r w:rsidRPr="008C4D33">
              <w:rPr>
                <w:rFonts w:ascii="Calibri" w:hAnsi="Calibri" w:cs="Calibri"/>
                <w:b/>
                <w:sz w:val="22"/>
                <w:szCs w:val="22"/>
              </w:rPr>
              <w:t>Related jurisdictional legislation, Australian Standards, National Safety and Quality Health Service Standard</w:t>
            </w:r>
            <w:r w:rsidRPr="008C4D33" w:rsidDel="00666144">
              <w:rPr>
                <w:rFonts w:ascii="Calibri" w:hAnsi="Calibri" w:cs="Calibri"/>
                <w:b/>
                <w:sz w:val="22"/>
                <w:szCs w:val="22"/>
              </w:rPr>
              <w:t xml:space="preserve"> </w:t>
            </w:r>
            <w:r w:rsidRPr="008C4D33">
              <w:rPr>
                <w:rFonts w:ascii="Calibri" w:hAnsi="Calibri" w:cs="Calibri"/>
                <w:b/>
                <w:sz w:val="22"/>
                <w:szCs w:val="22"/>
              </w:rPr>
              <w:t>, Professional Guidelines, Codes of Practice or Ethics:</w:t>
            </w:r>
          </w:p>
        </w:tc>
      </w:tr>
      <w:tr w:rsidR="00666144" w:rsidRPr="008C4D33" w14:paraId="676005AB" w14:textId="77777777" w:rsidTr="00B062A8">
        <w:tblPrEx>
          <w:tblCellMar>
            <w:top w:w="0" w:type="dxa"/>
            <w:bottom w:w="0" w:type="dxa"/>
          </w:tblCellMar>
        </w:tblPrEx>
        <w:trPr>
          <w:cantSplit/>
        </w:trPr>
        <w:tc>
          <w:tcPr>
            <w:tcW w:w="9596" w:type="dxa"/>
            <w:gridSpan w:val="2"/>
          </w:tcPr>
          <w:p w14:paraId="0870CC81" w14:textId="77777777" w:rsidR="00666144" w:rsidRPr="008C4D33" w:rsidRDefault="00666144" w:rsidP="00C50245">
            <w:pPr>
              <w:numPr>
                <w:ilvl w:val="0"/>
                <w:numId w:val="2"/>
              </w:numPr>
              <w:spacing w:before="60" w:after="60"/>
              <w:ind w:right="16"/>
              <w:rPr>
                <w:rFonts w:ascii="Calibri" w:hAnsi="Calibri" w:cs="Calibri"/>
                <w:iCs/>
                <w:sz w:val="22"/>
                <w:szCs w:val="22"/>
              </w:rPr>
            </w:pPr>
            <w:r w:rsidRPr="008C4D33">
              <w:rPr>
                <w:rFonts w:ascii="Calibri" w:hAnsi="Calibri" w:cs="Calibri"/>
                <w:iCs/>
                <w:sz w:val="22"/>
                <w:szCs w:val="22"/>
              </w:rPr>
              <w:t>National Blood Authority Patient Blood Management Guidelines: Modules 2-4</w:t>
            </w:r>
            <w:r w:rsidR="00C50245">
              <w:rPr>
                <w:rFonts w:ascii="Calibri" w:hAnsi="Calibri" w:cs="Calibri"/>
                <w:iCs/>
                <w:sz w:val="22"/>
                <w:szCs w:val="22"/>
              </w:rPr>
              <w:t xml:space="preserve"> </w:t>
            </w:r>
            <w:hyperlink r:id="rId12" w:history="1">
              <w:r w:rsidR="00C50245" w:rsidRPr="001B1383">
                <w:rPr>
                  <w:rStyle w:val="Hyperlink"/>
                  <w:rFonts w:ascii="Calibri" w:hAnsi="Calibri" w:cs="Calibri"/>
                  <w:iCs/>
                  <w:sz w:val="22"/>
                  <w:szCs w:val="22"/>
                </w:rPr>
                <w:t>http://www.blood.gov.au/pbm-guidelines</w:t>
              </w:r>
            </w:hyperlink>
            <w:r w:rsidR="00C50245">
              <w:rPr>
                <w:rFonts w:ascii="Calibri" w:hAnsi="Calibri" w:cs="Calibri"/>
                <w:iCs/>
                <w:sz w:val="22"/>
                <w:szCs w:val="22"/>
              </w:rPr>
              <w:t>.</w:t>
            </w:r>
            <w:r w:rsidRPr="008C4D33">
              <w:rPr>
                <w:rFonts w:ascii="Calibri" w:hAnsi="Calibri" w:cs="Calibri"/>
                <w:iCs/>
                <w:sz w:val="22"/>
                <w:szCs w:val="22"/>
              </w:rPr>
              <w:t xml:space="preserve"> </w:t>
            </w:r>
          </w:p>
          <w:p w14:paraId="6A6228E8" w14:textId="77777777" w:rsidR="00666144" w:rsidRPr="008C4D33" w:rsidRDefault="00666144" w:rsidP="00C50245">
            <w:pPr>
              <w:numPr>
                <w:ilvl w:val="0"/>
                <w:numId w:val="2"/>
              </w:numPr>
              <w:spacing w:before="60" w:after="60"/>
              <w:ind w:right="16"/>
              <w:rPr>
                <w:rFonts w:ascii="Calibri" w:hAnsi="Calibri" w:cs="Calibri"/>
                <w:iCs/>
                <w:sz w:val="22"/>
                <w:szCs w:val="22"/>
              </w:rPr>
            </w:pPr>
            <w:r w:rsidRPr="008C4D33">
              <w:rPr>
                <w:rFonts w:ascii="Calibri" w:hAnsi="Calibri" w:cs="Calibri"/>
                <w:iCs/>
                <w:sz w:val="22"/>
                <w:szCs w:val="22"/>
              </w:rPr>
              <w:t>National Safety and Quality Health Service Standard</w:t>
            </w:r>
            <w:r w:rsidRPr="008C4D33" w:rsidDel="00666144">
              <w:rPr>
                <w:rFonts w:ascii="Calibri" w:hAnsi="Calibri" w:cs="Calibri"/>
                <w:iCs/>
                <w:sz w:val="22"/>
                <w:szCs w:val="22"/>
              </w:rPr>
              <w:t xml:space="preserve"> </w:t>
            </w:r>
            <w:r w:rsidRPr="008C4D33">
              <w:rPr>
                <w:rFonts w:ascii="Calibri" w:hAnsi="Calibri" w:cs="Calibri"/>
                <w:iCs/>
                <w:sz w:val="22"/>
                <w:szCs w:val="22"/>
              </w:rPr>
              <w:t>7</w:t>
            </w:r>
            <w:r w:rsidR="00A748B8" w:rsidRPr="008C4D33">
              <w:rPr>
                <w:rFonts w:ascii="Calibri" w:hAnsi="Calibri" w:cs="Calibri"/>
                <w:iCs/>
                <w:sz w:val="22"/>
                <w:szCs w:val="22"/>
              </w:rPr>
              <w:t>:</w:t>
            </w:r>
            <w:r w:rsidRPr="008C4D33">
              <w:rPr>
                <w:rFonts w:ascii="Calibri" w:hAnsi="Calibri" w:cs="Calibri"/>
                <w:iCs/>
                <w:sz w:val="22"/>
                <w:szCs w:val="22"/>
              </w:rPr>
              <w:t xml:space="preserve"> Blood and Blood Products</w:t>
            </w:r>
            <w:r w:rsidR="00C50245">
              <w:rPr>
                <w:rFonts w:ascii="Calibri" w:hAnsi="Calibri" w:cs="Calibri"/>
                <w:iCs/>
                <w:sz w:val="22"/>
                <w:szCs w:val="22"/>
              </w:rPr>
              <w:t xml:space="preserve"> </w:t>
            </w:r>
            <w:hyperlink r:id="rId13" w:history="1">
              <w:r w:rsidR="00C50245" w:rsidRPr="001B1383">
                <w:rPr>
                  <w:rStyle w:val="Hyperlink"/>
                  <w:rFonts w:ascii="Calibri" w:hAnsi="Calibri" w:cs="Calibri"/>
                  <w:iCs/>
                  <w:sz w:val="22"/>
                  <w:szCs w:val="22"/>
                </w:rPr>
                <w:t>http://www.safetyandquality.gov.au/wp-content/uploads/2012/10/Standard7_Oct_2012_WEB.pdf</w:t>
              </w:r>
            </w:hyperlink>
            <w:r w:rsidR="00C50245">
              <w:rPr>
                <w:rFonts w:ascii="Calibri" w:hAnsi="Calibri" w:cs="Calibri"/>
                <w:iCs/>
                <w:sz w:val="22"/>
                <w:szCs w:val="22"/>
              </w:rPr>
              <w:t>.</w:t>
            </w:r>
          </w:p>
          <w:p w14:paraId="52C84763" w14:textId="77777777" w:rsidR="007F6267" w:rsidRPr="008C4D33" w:rsidRDefault="007F6267" w:rsidP="008C4D33">
            <w:pPr>
              <w:numPr>
                <w:ilvl w:val="0"/>
                <w:numId w:val="2"/>
              </w:numPr>
              <w:spacing w:before="60" w:after="60"/>
              <w:ind w:left="431" w:right="17" w:hanging="357"/>
              <w:rPr>
                <w:rFonts w:ascii="Calibri" w:hAnsi="Calibri" w:cs="Calibri"/>
                <w:iCs/>
                <w:sz w:val="22"/>
                <w:szCs w:val="22"/>
              </w:rPr>
            </w:pPr>
            <w:r w:rsidRPr="008C4D33">
              <w:rPr>
                <w:rFonts w:ascii="Calibri" w:hAnsi="Calibri" w:cs="Calibri"/>
                <w:iCs/>
                <w:sz w:val="22"/>
                <w:szCs w:val="22"/>
              </w:rPr>
              <w:t>ANZSBT/RCNA Guidelines for the Administration of Blood Products Page 14 Section 1;  Page 21 Recommendation 9</w:t>
            </w:r>
          </w:p>
          <w:p w14:paraId="68678B83" w14:textId="77777777" w:rsidR="00666144" w:rsidRPr="008C4D33" w:rsidRDefault="00666144" w:rsidP="00BB75A6">
            <w:pPr>
              <w:numPr>
                <w:ilvl w:val="0"/>
                <w:numId w:val="2"/>
              </w:numPr>
              <w:spacing w:before="60" w:after="60"/>
              <w:ind w:left="432" w:right="16"/>
              <w:rPr>
                <w:rFonts w:ascii="Calibri" w:hAnsi="Calibri" w:cs="Calibri"/>
                <w:b/>
                <w:iCs/>
                <w:color w:val="0070C0"/>
                <w:sz w:val="22"/>
                <w:szCs w:val="22"/>
              </w:rPr>
            </w:pPr>
            <w:r w:rsidRPr="008C4D33">
              <w:rPr>
                <w:rFonts w:ascii="Calibri" w:hAnsi="Calibri" w:cs="Calibri"/>
                <w:iCs/>
                <w:sz w:val="22"/>
                <w:szCs w:val="22"/>
                <w:highlight w:val="lightGray"/>
              </w:rPr>
              <w:t>[list as appropriate]</w:t>
            </w:r>
          </w:p>
        </w:tc>
      </w:tr>
    </w:tbl>
    <w:p w14:paraId="69C64C3B" w14:textId="77777777" w:rsidR="00CF58C7" w:rsidRPr="008C4D33" w:rsidRDefault="00CF58C7" w:rsidP="00CF58C7">
      <w:pPr>
        <w:spacing w:before="120" w:after="120"/>
        <w:rPr>
          <w:rFonts w:ascii="Calibri" w:hAnsi="Calibri" w:cs="Calibri"/>
          <w:i/>
          <w:sz w:val="22"/>
          <w:szCs w:val="22"/>
        </w:rPr>
      </w:pPr>
      <w:r w:rsidRPr="008C4D33">
        <w:rPr>
          <w:rFonts w:ascii="Calibri" w:hAnsi="Calibri" w:cs="Calibri"/>
          <w:b/>
          <w:sz w:val="22"/>
          <w:szCs w:val="22"/>
        </w:rPr>
        <w:t>TABLE OF CONTENTS</w:t>
      </w:r>
      <w:r w:rsidRPr="008C4D33">
        <w:rPr>
          <w:rFonts w:ascii="Calibri" w:hAnsi="Calibri" w:cs="Calibri"/>
          <w:i/>
          <w:sz w:val="22"/>
          <w:szCs w:val="22"/>
        </w:rPr>
        <w:t xml:space="preserve"> (This is a guide only)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539"/>
      </w:tblGrid>
      <w:tr w:rsidR="00CF58C7" w:rsidRPr="008C4D33" w14:paraId="5A703600" w14:textId="77777777" w:rsidTr="00B062A8">
        <w:tc>
          <w:tcPr>
            <w:tcW w:w="8100" w:type="dxa"/>
            <w:shd w:val="clear" w:color="auto" w:fill="auto"/>
          </w:tcPr>
          <w:p w14:paraId="77676ED6"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Guideline Summary</w:t>
            </w:r>
          </w:p>
        </w:tc>
        <w:tc>
          <w:tcPr>
            <w:tcW w:w="1539" w:type="dxa"/>
            <w:shd w:val="clear" w:color="auto" w:fill="auto"/>
          </w:tcPr>
          <w:p w14:paraId="56140E2A" w14:textId="77777777" w:rsidR="00CF58C7" w:rsidRPr="008C4D33" w:rsidRDefault="00CF58C7" w:rsidP="003B03FF">
            <w:pPr>
              <w:rPr>
                <w:rFonts w:ascii="Calibri" w:hAnsi="Calibri" w:cs="Calibri"/>
                <w:b/>
                <w:color w:val="0070C0"/>
                <w:sz w:val="22"/>
                <w:szCs w:val="22"/>
              </w:rPr>
            </w:pPr>
            <w:r w:rsidRPr="008C4D33">
              <w:rPr>
                <w:rFonts w:ascii="Calibri" w:hAnsi="Calibri" w:cs="Calibri"/>
                <w:b/>
                <w:sz w:val="22"/>
                <w:szCs w:val="22"/>
              </w:rPr>
              <w:t xml:space="preserve">Page </w:t>
            </w:r>
          </w:p>
        </w:tc>
      </w:tr>
      <w:tr w:rsidR="00CF58C7" w:rsidRPr="008C4D33" w14:paraId="49DF9D4D" w14:textId="77777777" w:rsidTr="00B062A8">
        <w:tc>
          <w:tcPr>
            <w:tcW w:w="8100" w:type="dxa"/>
            <w:shd w:val="clear" w:color="auto" w:fill="auto"/>
          </w:tcPr>
          <w:p w14:paraId="1DD4888D"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Glossary</w:t>
            </w:r>
          </w:p>
        </w:tc>
        <w:tc>
          <w:tcPr>
            <w:tcW w:w="1539" w:type="dxa"/>
            <w:shd w:val="clear" w:color="auto" w:fill="auto"/>
          </w:tcPr>
          <w:p w14:paraId="7D8747EF"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 xml:space="preserve">Page </w:t>
            </w:r>
          </w:p>
        </w:tc>
      </w:tr>
      <w:tr w:rsidR="00CF58C7" w:rsidRPr="008C4D33" w14:paraId="1F471330" w14:textId="77777777" w:rsidTr="00B062A8">
        <w:tc>
          <w:tcPr>
            <w:tcW w:w="8100" w:type="dxa"/>
            <w:shd w:val="clear" w:color="auto" w:fill="auto"/>
          </w:tcPr>
          <w:p w14:paraId="22A26805"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Guideline</w:t>
            </w:r>
          </w:p>
        </w:tc>
        <w:tc>
          <w:tcPr>
            <w:tcW w:w="1539" w:type="dxa"/>
            <w:shd w:val="clear" w:color="auto" w:fill="auto"/>
          </w:tcPr>
          <w:p w14:paraId="4B7D4183"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 xml:space="preserve">Page </w:t>
            </w:r>
          </w:p>
        </w:tc>
      </w:tr>
      <w:tr w:rsidR="00CF58C7" w:rsidRPr="008C4D33" w14:paraId="6172B78E" w14:textId="77777777" w:rsidTr="00B062A8">
        <w:tc>
          <w:tcPr>
            <w:tcW w:w="8100" w:type="dxa"/>
            <w:shd w:val="clear" w:color="auto" w:fill="auto"/>
          </w:tcPr>
          <w:p w14:paraId="04B7CEB1"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 xml:space="preserve">Implementation </w:t>
            </w:r>
            <w:r w:rsidR="00A812D7" w:rsidRPr="008C4D33">
              <w:rPr>
                <w:rFonts w:ascii="Calibri" w:hAnsi="Calibri" w:cs="Calibri"/>
                <w:b/>
                <w:sz w:val="22"/>
                <w:szCs w:val="22"/>
              </w:rPr>
              <w:t>Guide</w:t>
            </w:r>
          </w:p>
        </w:tc>
        <w:tc>
          <w:tcPr>
            <w:tcW w:w="1539" w:type="dxa"/>
            <w:shd w:val="clear" w:color="auto" w:fill="auto"/>
          </w:tcPr>
          <w:p w14:paraId="1A80FCE6"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 xml:space="preserve">Page </w:t>
            </w:r>
          </w:p>
        </w:tc>
      </w:tr>
      <w:tr w:rsidR="00CF58C7" w:rsidRPr="008C4D33" w14:paraId="2F17402D" w14:textId="77777777" w:rsidTr="00B062A8">
        <w:tc>
          <w:tcPr>
            <w:tcW w:w="8100" w:type="dxa"/>
            <w:shd w:val="clear" w:color="auto" w:fill="auto"/>
          </w:tcPr>
          <w:p w14:paraId="08F89EAD"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Evaluation Plan</w:t>
            </w:r>
          </w:p>
        </w:tc>
        <w:tc>
          <w:tcPr>
            <w:tcW w:w="1539" w:type="dxa"/>
            <w:shd w:val="clear" w:color="auto" w:fill="auto"/>
          </w:tcPr>
          <w:p w14:paraId="44EC0F64"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 xml:space="preserve">Page </w:t>
            </w:r>
          </w:p>
        </w:tc>
      </w:tr>
      <w:tr w:rsidR="00CF58C7" w:rsidRPr="008C4D33" w14:paraId="3976A91C" w14:textId="77777777" w:rsidTr="00B062A8">
        <w:tc>
          <w:tcPr>
            <w:tcW w:w="8100" w:type="dxa"/>
            <w:shd w:val="clear" w:color="auto" w:fill="auto"/>
          </w:tcPr>
          <w:p w14:paraId="2A05D7D0"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References</w:t>
            </w:r>
          </w:p>
        </w:tc>
        <w:tc>
          <w:tcPr>
            <w:tcW w:w="1539" w:type="dxa"/>
            <w:shd w:val="clear" w:color="auto" w:fill="auto"/>
          </w:tcPr>
          <w:p w14:paraId="3D351BC2"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Page</w:t>
            </w:r>
            <w:r w:rsidRPr="008C4D33">
              <w:rPr>
                <w:rFonts w:ascii="Calibri" w:hAnsi="Calibri" w:cs="Calibri"/>
                <w:b/>
                <w:color w:val="0070C0"/>
                <w:sz w:val="22"/>
                <w:szCs w:val="22"/>
              </w:rPr>
              <w:t xml:space="preserve"> </w:t>
            </w:r>
          </w:p>
        </w:tc>
      </w:tr>
      <w:tr w:rsidR="00CF58C7" w:rsidRPr="008C4D33" w14:paraId="46290AE9" w14:textId="77777777" w:rsidTr="00B062A8">
        <w:tc>
          <w:tcPr>
            <w:tcW w:w="8100" w:type="dxa"/>
            <w:shd w:val="clear" w:color="auto" w:fill="auto"/>
          </w:tcPr>
          <w:p w14:paraId="18426387" w14:textId="77777777" w:rsidR="00CF58C7" w:rsidRPr="008C4D33" w:rsidRDefault="00615158" w:rsidP="00615158">
            <w:pPr>
              <w:rPr>
                <w:rFonts w:ascii="Calibri" w:hAnsi="Calibri" w:cs="Calibri"/>
                <w:b/>
                <w:sz w:val="22"/>
                <w:szCs w:val="22"/>
              </w:rPr>
            </w:pPr>
            <w:r w:rsidRPr="008C4D33">
              <w:rPr>
                <w:rFonts w:ascii="Calibri" w:hAnsi="Calibri" w:cs="Calibri"/>
                <w:b/>
                <w:sz w:val="22"/>
                <w:szCs w:val="22"/>
              </w:rPr>
              <w:t>Appendi</w:t>
            </w:r>
            <w:r>
              <w:rPr>
                <w:rFonts w:ascii="Calibri" w:hAnsi="Calibri" w:cs="Calibri"/>
                <w:b/>
                <w:sz w:val="22"/>
                <w:szCs w:val="22"/>
              </w:rPr>
              <w:t>x</w:t>
            </w:r>
            <w:r w:rsidRPr="008C4D33">
              <w:rPr>
                <w:rFonts w:ascii="Calibri" w:hAnsi="Calibri" w:cs="Calibri"/>
                <w:b/>
                <w:sz w:val="22"/>
                <w:szCs w:val="22"/>
              </w:rPr>
              <w:t>es</w:t>
            </w:r>
          </w:p>
        </w:tc>
        <w:tc>
          <w:tcPr>
            <w:tcW w:w="1539" w:type="dxa"/>
            <w:shd w:val="clear" w:color="auto" w:fill="auto"/>
          </w:tcPr>
          <w:p w14:paraId="45F0E90A" w14:textId="77777777" w:rsidR="00CF58C7" w:rsidRPr="008C4D33" w:rsidRDefault="00CF58C7" w:rsidP="003B03FF">
            <w:pPr>
              <w:rPr>
                <w:rFonts w:ascii="Calibri" w:hAnsi="Calibri" w:cs="Calibri"/>
                <w:b/>
                <w:sz w:val="22"/>
                <w:szCs w:val="22"/>
              </w:rPr>
            </w:pPr>
            <w:r w:rsidRPr="008C4D33">
              <w:rPr>
                <w:rFonts w:ascii="Calibri" w:hAnsi="Calibri" w:cs="Calibri"/>
                <w:b/>
                <w:sz w:val="22"/>
                <w:szCs w:val="22"/>
              </w:rPr>
              <w:t xml:space="preserve">Page </w:t>
            </w:r>
          </w:p>
        </w:tc>
      </w:tr>
    </w:tbl>
    <w:p w14:paraId="2F946429" w14:textId="77777777" w:rsidR="00C33500" w:rsidRPr="008C4D33" w:rsidRDefault="00666144" w:rsidP="00CF58C7">
      <w:pPr>
        <w:spacing w:before="120" w:after="120"/>
        <w:rPr>
          <w:rFonts w:ascii="Calibri" w:hAnsi="Calibri" w:cs="Calibri"/>
          <w:b/>
          <w:sz w:val="22"/>
          <w:szCs w:val="22"/>
        </w:rPr>
      </w:pPr>
      <w:r w:rsidRPr="008C4D33">
        <w:rPr>
          <w:rFonts w:ascii="Calibri" w:hAnsi="Calibri" w:cs="Calibri"/>
          <w:iCs/>
          <w:sz w:val="22"/>
          <w:szCs w:val="22"/>
        </w:rPr>
        <w:br w:type="page"/>
      </w:r>
      <w:r w:rsidR="00C33500" w:rsidRPr="008C4D33">
        <w:rPr>
          <w:rFonts w:ascii="Calibri" w:hAnsi="Calibri" w:cs="Calibri"/>
          <w:b/>
          <w:sz w:val="22"/>
          <w:szCs w:val="22"/>
        </w:rPr>
        <w:lastRenderedPageBreak/>
        <w:t>GUIDELINE SUMMARY</w:t>
      </w:r>
    </w:p>
    <w:p w14:paraId="6AD358BA" w14:textId="77777777" w:rsidR="00CF58C7" w:rsidRPr="008C4D33" w:rsidRDefault="00CF58C7" w:rsidP="00CF58C7">
      <w:pPr>
        <w:spacing w:before="120" w:after="120"/>
        <w:rPr>
          <w:rFonts w:ascii="Calibri" w:hAnsi="Calibri" w:cs="Calibri"/>
          <w:bCs/>
          <w:sz w:val="22"/>
          <w:szCs w:val="22"/>
        </w:rPr>
      </w:pPr>
      <w:r w:rsidRPr="008C4D33">
        <w:rPr>
          <w:rFonts w:ascii="Calibri" w:hAnsi="Calibri" w:cs="Calibri"/>
          <w:sz w:val="22"/>
          <w:szCs w:val="22"/>
        </w:rPr>
        <w:t>This document establishes best practice for</w:t>
      </w:r>
      <w:r w:rsidRPr="008C4D33">
        <w:rPr>
          <w:rFonts w:ascii="Calibri" w:hAnsi="Calibri" w:cs="Calibri"/>
          <w:color w:val="0070C0"/>
          <w:sz w:val="22"/>
          <w:szCs w:val="22"/>
        </w:rPr>
        <w:t xml:space="preserve"> </w:t>
      </w:r>
      <w:r w:rsidR="00B062A8" w:rsidRPr="008C4D33">
        <w:rPr>
          <w:rFonts w:ascii="Calibri" w:hAnsi="Calibri" w:cs="Calibri"/>
          <w:sz w:val="22"/>
          <w:szCs w:val="22"/>
          <w:highlight w:val="lightGray"/>
        </w:rPr>
        <w:t>[insert local health network or hospital name]</w:t>
      </w:r>
      <w:r w:rsidR="00B062A8" w:rsidRPr="008C4D33">
        <w:rPr>
          <w:rFonts w:ascii="Calibri" w:hAnsi="Calibri" w:cs="Calibri"/>
          <w:sz w:val="22"/>
          <w:szCs w:val="22"/>
        </w:rPr>
        <w:t xml:space="preserve">. </w:t>
      </w:r>
      <w:r w:rsidRPr="008C4D33">
        <w:rPr>
          <w:rFonts w:ascii="Calibri" w:hAnsi="Calibri" w:cs="Calibri"/>
          <w:sz w:val="22"/>
          <w:szCs w:val="22"/>
        </w:rPr>
        <w:t>While not requiring mandatory compliance, staff must have sound reasons for not implementing standards or practices set out within the guideline, or for measuring consistent variance in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F58C7" w:rsidRPr="008C4D33" w14:paraId="121725FA" w14:textId="77777777" w:rsidTr="004C2B0E">
        <w:tc>
          <w:tcPr>
            <w:tcW w:w="9854" w:type="dxa"/>
            <w:shd w:val="clear" w:color="auto" w:fill="auto"/>
          </w:tcPr>
          <w:p w14:paraId="48FFBD9F" w14:textId="77777777" w:rsidR="00CF58C7" w:rsidRPr="008C4D33" w:rsidRDefault="00CF58C7" w:rsidP="004C2B0E">
            <w:pPr>
              <w:spacing w:before="120" w:after="120"/>
              <w:rPr>
                <w:rFonts w:ascii="Calibri" w:hAnsi="Calibri" w:cs="Calibri"/>
                <w:i/>
                <w:sz w:val="22"/>
                <w:szCs w:val="22"/>
              </w:rPr>
            </w:pPr>
            <w:r w:rsidRPr="008C4D33">
              <w:rPr>
                <w:rFonts w:ascii="Calibri" w:hAnsi="Calibri" w:cs="Calibri"/>
                <w:b/>
                <w:sz w:val="22"/>
                <w:szCs w:val="22"/>
              </w:rPr>
              <w:t xml:space="preserve">Introduction </w:t>
            </w:r>
          </w:p>
          <w:p w14:paraId="161A65E4" w14:textId="77777777" w:rsidR="0033265A" w:rsidRPr="0033265A" w:rsidRDefault="0033265A" w:rsidP="0033265A">
            <w:pPr>
              <w:spacing w:before="120" w:after="120"/>
              <w:rPr>
                <w:rFonts w:ascii="Calibri" w:hAnsi="Calibri" w:cs="Calibri"/>
                <w:sz w:val="22"/>
                <w:szCs w:val="22"/>
              </w:rPr>
            </w:pPr>
            <w:r w:rsidRPr="0033265A">
              <w:rPr>
                <w:rFonts w:ascii="Calibri" w:hAnsi="Calibri" w:cs="Calibri"/>
                <w:sz w:val="22"/>
                <w:szCs w:val="22"/>
              </w:rPr>
              <w:t xml:space="preserve">The Single Unit Transfusion </w:t>
            </w:r>
            <w:r w:rsidR="009E4F4C">
              <w:rPr>
                <w:rFonts w:ascii="Calibri" w:hAnsi="Calibri" w:cs="Calibri"/>
                <w:sz w:val="22"/>
                <w:szCs w:val="22"/>
              </w:rPr>
              <w:t>G</w:t>
            </w:r>
            <w:r w:rsidRPr="0033265A">
              <w:rPr>
                <w:rFonts w:ascii="Calibri" w:hAnsi="Calibri" w:cs="Calibri"/>
                <w:sz w:val="22"/>
                <w:szCs w:val="22"/>
              </w:rPr>
              <w:t>uideline is part of Patient Blood Management (PBM); an evidence based patient centred strategy to improve patient outcomes by minimising blood transfusions.</w:t>
            </w:r>
          </w:p>
          <w:p w14:paraId="0DC3893D" w14:textId="77777777" w:rsidR="0033265A" w:rsidRPr="008C4D33" w:rsidRDefault="0033265A" w:rsidP="0033265A">
            <w:pPr>
              <w:spacing w:before="120" w:after="120"/>
              <w:rPr>
                <w:rFonts w:ascii="Calibri" w:hAnsi="Calibri" w:cs="Calibri"/>
                <w:sz w:val="22"/>
                <w:szCs w:val="22"/>
              </w:rPr>
            </w:pPr>
            <w:r w:rsidRPr="00B718C8">
              <w:rPr>
                <w:rFonts w:ascii="Calibri" w:hAnsi="Calibri" w:cs="Calibri"/>
                <w:sz w:val="22"/>
                <w:szCs w:val="22"/>
              </w:rPr>
              <w:t xml:space="preserve">The </w:t>
            </w:r>
            <w:r w:rsidR="00E77645" w:rsidRPr="0033265A">
              <w:rPr>
                <w:rFonts w:ascii="Calibri" w:hAnsi="Calibri" w:cs="Calibri"/>
                <w:sz w:val="22"/>
                <w:szCs w:val="22"/>
              </w:rPr>
              <w:t xml:space="preserve">Single Unit Transfusion </w:t>
            </w:r>
            <w:r w:rsidR="00E77645">
              <w:rPr>
                <w:rFonts w:ascii="Calibri" w:hAnsi="Calibri" w:cs="Calibri"/>
                <w:sz w:val="22"/>
                <w:szCs w:val="22"/>
              </w:rPr>
              <w:t>G</w:t>
            </w:r>
            <w:r w:rsidR="00E77645" w:rsidRPr="0033265A">
              <w:rPr>
                <w:rFonts w:ascii="Calibri" w:hAnsi="Calibri" w:cs="Calibri"/>
                <w:sz w:val="22"/>
                <w:szCs w:val="22"/>
              </w:rPr>
              <w:t xml:space="preserve">uideline </w:t>
            </w:r>
            <w:r w:rsidRPr="00B718C8">
              <w:rPr>
                <w:rFonts w:ascii="Calibri" w:hAnsi="Calibri" w:cs="Calibri"/>
                <w:sz w:val="22"/>
                <w:szCs w:val="22"/>
              </w:rPr>
              <w:t>can be applied to stable, normovolaemic adult patients, in an inpatient setting, who do not have clinically significant bleeding</w:t>
            </w:r>
            <w:r>
              <w:rPr>
                <w:rFonts w:ascii="Calibri" w:hAnsi="Calibri" w:cs="Calibri"/>
                <w:sz w:val="22"/>
                <w:szCs w:val="22"/>
              </w:rPr>
              <w:t>.</w:t>
            </w:r>
            <w:r w:rsidR="00E77645">
              <w:rPr>
                <w:rFonts w:ascii="Calibri" w:hAnsi="Calibri" w:cs="Calibri"/>
                <w:sz w:val="22"/>
                <w:szCs w:val="22"/>
              </w:rPr>
              <w:fldChar w:fldCharType="begin" w:fldLock="1"/>
            </w:r>
            <w:r w:rsidR="00CA27FC">
              <w:rPr>
                <w:rFonts w:ascii="Calibri" w:hAnsi="Calibri" w:cs="Calibri"/>
                <w:sz w:val="22"/>
                <w:szCs w:val="22"/>
              </w:rPr>
              <w:instrText>ADDIN CSL_CITATION { "citationItems" : [ { "id" : "ITEM-1", "itemData" : { "DOI" : "10.1111/j.1365-3148.2005.00592.x", "author" : [ { "dropping-particle" : "", "family" : "Ma", "given" : "M", "non-dropping-particle" : "", "parse-names" : false, "suffix" : "" }, { "dropping-particle" : "", "family" : "Eckert", "given" : "K", "non-dropping-particle" : "", "parse-names" : false, "suffix" : "" }, { "dropping-particle" : "", "family" : "Ralley", "given" : "F", "non-dropping-particle" : "", "parse-names" : false, "suffix" : "" }, { "dropping-particle" : "", "family" : "Chin-Yee", "given" : "I", "non-dropping-particle" : "", "parse-names" : false, "suffix" : "" } ], "container-title" : "Transfusion Medicine", "id" : "ITEM-1", "issued" : { "date-parts" : [ [ "2005" ] ] }, "page" : "307-312", "title" : "A retrospective study evaluating single-unit red blood cell transfusions in reducing allogeneic blood exposure", "type" : "article-journal", "volume" : "15" }, "uris" : [ "http://www.mendeley.com/documents/?uuid=19ce6532-0258-4cc4-82a3-caf33c150805" ] }, { "id" : "ITEM-2", "itemData" : { "DOI" : "10.3324/haematol.2011.047035", "author" : [ { "dropping-particle" : "", "family" : "Berger", "given" : "Martin David", "non-dropping-particle" : "", "parse-names" : false, "suffix" : "" }, { "dropping-particle" : "", "family" : "Gerber", "given" : "Bernhard", "non-dropping-particle" : "", "parse-names" : false, "suffix" : "" }, { "dropping-particle" : "", "family" : "Arn", "given" : "Kornelius", "non-dropping-particle" : "", "parse-names" : false, "suffix" : "" }, { "dropping-particle" : "", "family" : "Senn", "given" : "Oliver", "non-dropping-particle" : "", "parse-names" : false, "suffix" : "" }, { "dropping-particle" : "", "family" : "Schanz", "given" : "Urs", "non-dropping-particle" : "", "parse-names" : false, "suffix" : "" }, { "dropping-particle" : "", "family" : "Stussi", "given" : "Georg", "non-dropping-particle" : "", "parse-names" : false, "suffix" : "" } ], "container-title" : "haematologica", "id" : "ITEM-2", "issue" : "1", "issued" : { "date-parts" : [ [ "2012" ] ] }, "page" : "116-122", "title" : "Significant reduction of red blood cell transfusion requirements by changing from a double-unit to a single-unit transfusion policy in patients receiving intensive chemotherapy or stem cell transplantation", "type" : "article-journal", "volume" : "97" }, "uris" : [ "http://www.mendeley.com/documents/?uuid=e3206e28-32bb-4aa7-9a73-14d547dcc572" ] }, { "id" : "ITEM-3", "itemData" : { "author" : [ { "dropping-particle" : "", "family" : "Webert", "given" : "Kathryn E", "non-dropping-particle" : "", "parse-names" : false, "suffix" : "" }, { "dropping-particle" : "", "family" : "Arnold", "given" : "Donald M", "non-dropping-particle" : "", "parse-names" : false, "suffix" : "" }, { "dropping-particle" : "", "family" : "Lui", "given" : "Yang", "non-dropping-particle" : "", "parse-names" : false, "suffix" : "" }, { "dropping-particle" : "", "family" : "Carruthers", "given" : "Julie", "non-dropping-particle" : "", "parse-names" : false, "suffix" : "" }, { "dropping-particle" : "", "family" : "Arnold", "given" : "Emmy", "non-dropping-particle" : "", "parse-names" : false, "suffix" : "" }, { "dropping-particle" : "", "family" : "Heddle", "given" : "Nancy M", "non-dropping-particle" : "", "parse-names" : false, "suffix" : "" } ], "container-title" : "Transfusion Practice", "id" : "ITEM-3", "issue" : "November", "issued" : { "date-parts" : [ [ "2012" ] ] }, "page" : "2466-2474", "title" : "A new tool to assess bleeding severity in patients with chemotherapy-induced thrmbocytopaenia", "type" : "article-journal", "volume" : "52" }, "uris" : [ "http://www.mendeley.com/documents/?uuid=562c39d6-8041-4e1e-a9c8-0be872a1e516" ] } ], "mendeley" : { "previouslyFormattedCitation" : "&lt;sup&gt;2,6,7&lt;/sup&gt;" }, "properties" : { "noteIndex" : 0 }, "schema" : "https://github.com/citation-style-language/schema/raw/master/csl-citation.json" }</w:instrText>
            </w:r>
            <w:r w:rsidR="00E77645">
              <w:rPr>
                <w:rFonts w:ascii="Calibri" w:hAnsi="Calibri" w:cs="Calibri"/>
                <w:sz w:val="22"/>
                <w:szCs w:val="22"/>
              </w:rPr>
              <w:fldChar w:fldCharType="separate"/>
            </w:r>
            <w:r w:rsidR="00CA27FC" w:rsidRPr="00CA27FC">
              <w:rPr>
                <w:rFonts w:ascii="Calibri" w:hAnsi="Calibri" w:cs="Calibri"/>
                <w:noProof/>
                <w:sz w:val="22"/>
                <w:szCs w:val="22"/>
                <w:vertAlign w:val="superscript"/>
              </w:rPr>
              <w:t>2,6,7</w:t>
            </w:r>
            <w:r w:rsidR="00E77645">
              <w:rPr>
                <w:rFonts w:ascii="Calibri" w:hAnsi="Calibri" w:cs="Calibri"/>
                <w:sz w:val="22"/>
                <w:szCs w:val="22"/>
              </w:rPr>
              <w:fldChar w:fldCharType="end"/>
            </w:r>
            <w:r>
              <w:rPr>
                <w:rFonts w:ascii="Calibri" w:hAnsi="Calibri" w:cs="Calibri"/>
                <w:sz w:val="22"/>
                <w:szCs w:val="22"/>
              </w:rPr>
              <w:t xml:space="preserve"> </w:t>
            </w:r>
            <w:r w:rsidRPr="0033265A">
              <w:rPr>
                <w:rFonts w:ascii="Calibri" w:hAnsi="Calibri" w:cs="Calibri"/>
                <w:sz w:val="22"/>
                <w:szCs w:val="22"/>
                <w:lang w:val="en-GB"/>
              </w:rPr>
              <w:t>Transfuse one</w:t>
            </w:r>
            <w:r w:rsidR="00496955">
              <w:rPr>
                <w:rFonts w:ascii="Calibri" w:hAnsi="Calibri" w:cs="Calibri"/>
                <w:sz w:val="22"/>
                <w:szCs w:val="22"/>
                <w:lang w:val="en-GB"/>
              </w:rPr>
              <w:t xml:space="preserve"> red blood cell</w:t>
            </w:r>
            <w:r w:rsidRPr="0033265A">
              <w:rPr>
                <w:rFonts w:ascii="Calibri" w:hAnsi="Calibri" w:cs="Calibri"/>
                <w:sz w:val="22"/>
                <w:szCs w:val="22"/>
                <w:lang w:val="en-GB"/>
              </w:rPr>
              <w:t xml:space="preserve"> unit at a time and only when clinically indicated, based on the need to relieve clinical signs and symptoms of  anaemia</w:t>
            </w:r>
            <w:r w:rsidR="00E77645">
              <w:rPr>
                <w:rFonts w:ascii="Calibri" w:hAnsi="Calibri" w:cs="Calibri"/>
                <w:sz w:val="22"/>
                <w:szCs w:val="22"/>
                <w:lang w:val="en-GB"/>
              </w:rPr>
              <w:t>.</w:t>
            </w:r>
            <w:r w:rsidR="00E77645">
              <w:rPr>
                <w:rFonts w:ascii="Calibri" w:hAnsi="Calibri" w:cs="Calibri"/>
                <w:sz w:val="22"/>
                <w:szCs w:val="22"/>
                <w:lang w:val="en-GB"/>
              </w:rPr>
              <w:fldChar w:fldCharType="begin" w:fldLock="1"/>
            </w:r>
            <w:r w:rsidR="00CA27FC">
              <w:rPr>
                <w:rFonts w:ascii="Calibri" w:hAnsi="Calibri" w:cs="Calibri"/>
                <w:sz w:val="22"/>
                <w:szCs w:val="22"/>
                <w:lang w:val="en-GB"/>
              </w:rPr>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"mendeley" : { "previouslyFormattedCitation" : "&lt;sup&gt;4,5&lt;/sup&gt;" }, "properties" : { "noteIndex" : 0 }, "schema" : "https://github.com/citation-style-language/schema/raw/master/csl-citation.json" }</w:instrText>
            </w:r>
            <w:r w:rsidR="00E77645">
              <w:rPr>
                <w:rFonts w:ascii="Calibri" w:hAnsi="Calibri" w:cs="Calibri"/>
                <w:sz w:val="22"/>
                <w:szCs w:val="22"/>
                <w:lang w:val="en-GB"/>
              </w:rPr>
              <w:fldChar w:fldCharType="separate"/>
            </w:r>
            <w:r w:rsidR="00CA27FC" w:rsidRPr="00CA27FC">
              <w:rPr>
                <w:rFonts w:ascii="Calibri" w:hAnsi="Calibri" w:cs="Calibri"/>
                <w:noProof/>
                <w:sz w:val="22"/>
                <w:szCs w:val="22"/>
                <w:vertAlign w:val="superscript"/>
                <w:lang w:val="en-GB"/>
              </w:rPr>
              <w:t>4,5</w:t>
            </w:r>
            <w:r w:rsidR="00E77645">
              <w:rPr>
                <w:rFonts w:ascii="Calibri" w:hAnsi="Calibri" w:cs="Calibri"/>
                <w:sz w:val="22"/>
                <w:szCs w:val="22"/>
                <w:lang w:val="en-GB"/>
              </w:rPr>
              <w:fldChar w:fldCharType="end"/>
            </w:r>
            <w:r w:rsidRPr="0033265A">
              <w:rPr>
                <w:rFonts w:ascii="Calibri" w:hAnsi="Calibri" w:cs="Calibri"/>
                <w:sz w:val="22"/>
                <w:szCs w:val="22"/>
                <w:lang w:val="en-GB"/>
              </w:rPr>
              <w:t xml:space="preserve"> </w:t>
            </w:r>
          </w:p>
          <w:p w14:paraId="21749F7C" w14:textId="77777777" w:rsidR="00CF58C7" w:rsidRPr="008C4D33" w:rsidRDefault="00F3205D" w:rsidP="00E81E0D">
            <w:pPr>
              <w:spacing w:before="120" w:after="120"/>
              <w:rPr>
                <w:rFonts w:ascii="Calibri" w:hAnsi="Calibri" w:cs="Calibri"/>
                <w:b/>
                <w:sz w:val="22"/>
                <w:szCs w:val="22"/>
              </w:rPr>
            </w:pPr>
            <w:r w:rsidRPr="008C4D33">
              <w:rPr>
                <w:rFonts w:ascii="Calibri" w:hAnsi="Calibri" w:cs="Calibri"/>
                <w:sz w:val="22"/>
                <w:szCs w:val="22"/>
              </w:rPr>
              <w:t xml:space="preserve">Ensure clinical practice is </w:t>
            </w:r>
            <w:r w:rsidRPr="008C4D33">
              <w:rPr>
                <w:rFonts w:ascii="Calibri" w:hAnsi="Calibri" w:cs="Calibri"/>
                <w:kern w:val="24"/>
                <w:sz w:val="22"/>
                <w:szCs w:val="22"/>
              </w:rPr>
              <w:t>i</w:t>
            </w:r>
            <w:r w:rsidR="00B062A8" w:rsidRPr="008C4D33">
              <w:rPr>
                <w:rFonts w:ascii="Calibri" w:hAnsi="Calibri" w:cs="Calibri"/>
                <w:kern w:val="24"/>
                <w:sz w:val="22"/>
                <w:szCs w:val="22"/>
              </w:rPr>
              <w:t xml:space="preserve">n line with the </w:t>
            </w:r>
            <w:r w:rsidR="0033265A">
              <w:rPr>
                <w:rFonts w:ascii="Calibri" w:hAnsi="Calibri" w:cs="Calibri"/>
                <w:kern w:val="24"/>
                <w:sz w:val="22"/>
                <w:szCs w:val="22"/>
              </w:rPr>
              <w:t xml:space="preserve">national </w:t>
            </w:r>
            <w:r w:rsidR="00B062A8" w:rsidRPr="008C4D33">
              <w:rPr>
                <w:rFonts w:ascii="Calibri" w:hAnsi="Calibri" w:cs="Calibri"/>
                <w:kern w:val="24"/>
                <w:sz w:val="22"/>
                <w:szCs w:val="22"/>
              </w:rPr>
              <w:t>Patient Blood Management Guidelines</w:t>
            </w:r>
            <w:r w:rsidR="00C50245">
              <w:rPr>
                <w:rFonts w:ascii="Calibri" w:hAnsi="Calibri" w:cs="Calibri"/>
                <w:kern w:val="24"/>
                <w:sz w:val="22"/>
                <w:szCs w:val="22"/>
              </w:rPr>
              <w:t>:</w:t>
            </w:r>
            <w:r w:rsidR="00C50245">
              <w:rPr>
                <w:rFonts w:ascii="Calibri" w:hAnsi="Calibri" w:cs="Calibri"/>
                <w:kern w:val="24"/>
                <w:sz w:val="22"/>
                <w:szCs w:val="22"/>
              </w:rPr>
              <w:fldChar w:fldCharType="begin" w:fldLock="1"/>
            </w:r>
            <w:r w:rsidR="00CA27FC">
              <w:rPr>
                <w:rFonts w:ascii="Calibri" w:hAnsi="Calibri" w:cs="Calibri"/>
                <w:kern w:val="24"/>
                <w:sz w:val="22"/>
                <w:szCs w:val="22"/>
              </w:rPr>
              <w:instrText>ADDIN CSL_CITATION { "citationItems" : [ { "id" : "ITEM-1", "itemData" : { "author" : [ { "dropping-particle" : "", "family" : "National Blood Authority", "given" : "", "non-dropping-particle" : "", "parse-names" : false, "suffix" : "" } ], "id" : "ITEM-1", "issued" : { "date-parts" : [ [ "2012" ] ] }, "publisher-place" : "Canberra, Australia", "title" : "Patient blood management guidelines: Module 2 \u2013 Perioperative.", "type" : "book" }, "uris" : [ "http://www.mendeley.com/documents/?uuid=956cf09d-f9be-4289-a9d0-a6445424b170" ] }, { "id" : "ITEM-2", "itemData" : { "author" : [ { "dropping-particle" : "", "family" : "National Blood Authority", "given" : "", "non-dropping-particle" : "", "parse-names" : false, "suffix" : "" } ], "id" : "ITEM-2", "issued" : { "date-parts" : [ [ "2012" ] ] }, "publisher" : "National Blood Authority", "publisher-place" : "Canberra, Australia", "title" : "Patient blood management guidelines: Module 3 \u2013 Medical", "type" : "book" }, "uris" : [ "http://www.mendeley.com/documents/?uuid=0b45fa2d-24ab-49d5-a0df-007d328f5e3b" ] }, { "id" : "ITEM-3", "itemData" : { "author" : [ { "dropping-particle" : "", "family" : "National Blood Authority", "given" : "", "non-dropping-particle" : "", "parse-names" : false, "suffix" : "" } ], "id" : "ITEM-3", "issued" : { "date-parts" : [ [ "2013" ] ] }, "publisher-place" : "Canberra, Australia", "title" : "Patient blood management guidelines: Module 4 \u2013 Critical Care", "type" : "book" }, "uris" : [ "http://www.mendeley.com/documents/?uuid=ea39fd74-ab5a-47df-93c5-ce717f8041eb" ] } ], "mendeley" : { "previouslyFormattedCitation" : "&lt;sup&gt;3\u20135&lt;/sup&gt;" }, "properties" : { "noteIndex" : 0 }, "schema" : "https://github.com/citation-style-language/schema/raw/master/csl-citation.json" }</w:instrText>
            </w:r>
            <w:r w:rsidR="00C50245">
              <w:rPr>
                <w:rFonts w:ascii="Calibri" w:hAnsi="Calibri" w:cs="Calibri"/>
                <w:kern w:val="24"/>
                <w:sz w:val="22"/>
                <w:szCs w:val="22"/>
              </w:rPr>
              <w:fldChar w:fldCharType="separate"/>
            </w:r>
            <w:r w:rsidR="00CA27FC" w:rsidRPr="00CA27FC">
              <w:rPr>
                <w:rFonts w:ascii="Calibri" w:hAnsi="Calibri" w:cs="Calibri"/>
                <w:noProof/>
                <w:kern w:val="24"/>
                <w:sz w:val="22"/>
                <w:szCs w:val="22"/>
                <w:vertAlign w:val="superscript"/>
              </w:rPr>
              <w:t>3–5</w:t>
            </w:r>
            <w:r w:rsidR="00C50245">
              <w:rPr>
                <w:rFonts w:ascii="Calibri" w:hAnsi="Calibri" w:cs="Calibri"/>
                <w:kern w:val="24"/>
                <w:sz w:val="22"/>
                <w:szCs w:val="22"/>
              </w:rPr>
              <w:fldChar w:fldCharType="end"/>
            </w:r>
            <w:r w:rsidR="00B062A8" w:rsidRPr="008C4D33">
              <w:rPr>
                <w:rFonts w:ascii="Calibri" w:hAnsi="Calibri" w:cs="Calibri"/>
                <w:kern w:val="24"/>
                <w:sz w:val="22"/>
                <w:szCs w:val="22"/>
              </w:rPr>
              <w:t xml:space="preserve"> “</w:t>
            </w:r>
            <w:r w:rsidR="00B062A8" w:rsidRPr="008C4D33">
              <w:rPr>
                <w:rFonts w:ascii="Calibri" w:hAnsi="Calibri" w:cs="Calibri"/>
                <w:i/>
                <w:kern w:val="24"/>
                <w:sz w:val="22"/>
                <w:szCs w:val="22"/>
              </w:rPr>
              <w:t>Where indicated, transfusion of a single unit of RBC, followed by clinical reassessment to determine the need for further transfusion, is appropriate.</w:t>
            </w:r>
            <w:r w:rsidR="00B062A8" w:rsidRPr="008C4D33">
              <w:rPr>
                <w:rFonts w:ascii="Calibri" w:hAnsi="Calibri" w:cs="Calibri"/>
                <w:kern w:val="24"/>
                <w:sz w:val="22"/>
                <w:szCs w:val="22"/>
              </w:rPr>
              <w:t>”</w:t>
            </w:r>
            <w:r w:rsidR="00C50245">
              <w:rPr>
                <w:rFonts w:ascii="Calibri" w:hAnsi="Calibri" w:cs="Calibri"/>
                <w:kern w:val="24"/>
                <w:sz w:val="22"/>
                <w:szCs w:val="22"/>
              </w:rPr>
              <w:fldChar w:fldCharType="begin" w:fldLock="1"/>
            </w:r>
            <w:r w:rsidR="00CA27FC">
              <w:rPr>
                <w:rFonts w:ascii="Calibri" w:hAnsi="Calibri" w:cs="Calibri"/>
                <w:kern w:val="24"/>
                <w:sz w:val="22"/>
                <w:szCs w:val="22"/>
              </w:rPr>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"mendeley" : { "previouslyFormattedCitation" : "&lt;sup&gt;4,5&lt;/sup&gt;" }, "properties" : { "noteIndex" : 0 }, "schema" : "https://github.com/citation-style-language/schema/raw/master/csl-citation.json" }</w:instrText>
            </w:r>
            <w:r w:rsidR="00C50245">
              <w:rPr>
                <w:rFonts w:ascii="Calibri" w:hAnsi="Calibri" w:cs="Calibri"/>
                <w:kern w:val="24"/>
                <w:sz w:val="22"/>
                <w:szCs w:val="22"/>
              </w:rPr>
              <w:fldChar w:fldCharType="separate"/>
            </w:r>
            <w:r w:rsidR="00CA27FC" w:rsidRPr="00CA27FC">
              <w:rPr>
                <w:rFonts w:ascii="Calibri" w:hAnsi="Calibri" w:cs="Calibri"/>
                <w:noProof/>
                <w:kern w:val="24"/>
                <w:sz w:val="22"/>
                <w:szCs w:val="22"/>
                <w:vertAlign w:val="superscript"/>
              </w:rPr>
              <w:t>4,5</w:t>
            </w:r>
            <w:r w:rsidR="00C50245">
              <w:rPr>
                <w:rFonts w:ascii="Calibri" w:hAnsi="Calibri" w:cs="Calibri"/>
                <w:kern w:val="24"/>
                <w:sz w:val="22"/>
                <w:szCs w:val="22"/>
              </w:rPr>
              <w:fldChar w:fldCharType="end"/>
            </w:r>
            <w:r w:rsidR="00B062A8" w:rsidRPr="008C4D33">
              <w:rPr>
                <w:rFonts w:ascii="Calibri" w:hAnsi="Calibri" w:cs="Calibri"/>
                <w:kern w:val="24"/>
                <w:sz w:val="22"/>
                <w:szCs w:val="22"/>
              </w:rPr>
              <w:t xml:space="preserve"> </w:t>
            </w:r>
          </w:p>
        </w:tc>
      </w:tr>
    </w:tbl>
    <w:p w14:paraId="1D1897B4" w14:textId="77777777" w:rsidR="00CF58C7" w:rsidRPr="008C4D33" w:rsidRDefault="00CF58C7" w:rsidP="00CF58C7">
      <w:pPr>
        <w:spacing w:before="120" w:after="120"/>
        <w:rPr>
          <w:rFonts w:ascii="Calibri" w:hAnsi="Calibri" w:cs="Calibri"/>
          <w:sz w:val="22"/>
          <w:szCs w:val="22"/>
        </w:rPr>
      </w:pPr>
      <w:r w:rsidRPr="008C4D33">
        <w:rPr>
          <w:rFonts w:ascii="Calibri" w:hAnsi="Calibri" w:cs="Calibri"/>
          <w:b/>
          <w:sz w:val="22"/>
          <w:szCs w:val="22"/>
        </w:rPr>
        <w:t>GLOSSARY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00"/>
      </w:tblGrid>
      <w:tr w:rsidR="00CF58C7" w:rsidRPr="008C4D33" w14:paraId="12509A5B" w14:textId="77777777" w:rsidTr="004C2B0E">
        <w:tc>
          <w:tcPr>
            <w:tcW w:w="3528" w:type="dxa"/>
            <w:shd w:val="clear" w:color="auto" w:fill="E6E6E6"/>
          </w:tcPr>
          <w:p w14:paraId="53808A7D" w14:textId="77777777" w:rsidR="00CF58C7" w:rsidRPr="008C4D33" w:rsidRDefault="00CF58C7" w:rsidP="004C2B0E">
            <w:pPr>
              <w:spacing w:before="120" w:after="120"/>
              <w:rPr>
                <w:rFonts w:ascii="Calibri" w:hAnsi="Calibri" w:cs="Calibri"/>
                <w:b/>
                <w:sz w:val="22"/>
                <w:szCs w:val="22"/>
              </w:rPr>
            </w:pPr>
            <w:r w:rsidRPr="008C4D33">
              <w:rPr>
                <w:rFonts w:ascii="Calibri" w:hAnsi="Calibri" w:cs="Calibri"/>
                <w:b/>
                <w:sz w:val="22"/>
                <w:szCs w:val="22"/>
              </w:rPr>
              <w:t>Acronym or Term</w:t>
            </w:r>
          </w:p>
        </w:tc>
        <w:tc>
          <w:tcPr>
            <w:tcW w:w="6300" w:type="dxa"/>
            <w:shd w:val="clear" w:color="auto" w:fill="E6E6E6"/>
          </w:tcPr>
          <w:p w14:paraId="054DBCCC" w14:textId="77777777" w:rsidR="00CF58C7" w:rsidRPr="008C4D33" w:rsidRDefault="00CF58C7" w:rsidP="004C2B0E">
            <w:pPr>
              <w:spacing w:before="120" w:after="120"/>
              <w:rPr>
                <w:rFonts w:ascii="Calibri" w:hAnsi="Calibri" w:cs="Calibri"/>
                <w:b/>
                <w:sz w:val="22"/>
                <w:szCs w:val="22"/>
              </w:rPr>
            </w:pPr>
            <w:r w:rsidRPr="008C4D33">
              <w:rPr>
                <w:rFonts w:ascii="Calibri" w:hAnsi="Calibri" w:cs="Calibri"/>
                <w:b/>
                <w:sz w:val="22"/>
                <w:szCs w:val="22"/>
              </w:rPr>
              <w:t>Definition</w:t>
            </w:r>
          </w:p>
        </w:tc>
      </w:tr>
      <w:tr w:rsidR="00CF58C7" w:rsidRPr="008C4D33" w14:paraId="2BFFEB41" w14:textId="77777777" w:rsidTr="004C2B0E">
        <w:tc>
          <w:tcPr>
            <w:tcW w:w="3528" w:type="dxa"/>
            <w:shd w:val="clear" w:color="auto" w:fill="auto"/>
          </w:tcPr>
          <w:p w14:paraId="393E4A09" w14:textId="77777777" w:rsidR="00CF58C7" w:rsidRPr="008C4D33" w:rsidRDefault="002D75D1" w:rsidP="008C4D33">
            <w:pPr>
              <w:rPr>
                <w:rFonts w:ascii="Calibri" w:hAnsi="Calibri" w:cs="Calibri"/>
                <w:sz w:val="22"/>
                <w:szCs w:val="22"/>
              </w:rPr>
            </w:pPr>
            <w:r w:rsidRPr="008C4D33">
              <w:rPr>
                <w:rFonts w:ascii="Calibri" w:hAnsi="Calibri" w:cs="Calibri"/>
                <w:sz w:val="22"/>
                <w:szCs w:val="22"/>
              </w:rPr>
              <w:t>NBA</w:t>
            </w:r>
          </w:p>
        </w:tc>
        <w:tc>
          <w:tcPr>
            <w:tcW w:w="6300" w:type="dxa"/>
            <w:shd w:val="clear" w:color="auto" w:fill="auto"/>
          </w:tcPr>
          <w:p w14:paraId="25AAFEDB" w14:textId="77777777" w:rsidR="00CF58C7" w:rsidRPr="008C4D33" w:rsidRDefault="002D75D1" w:rsidP="008C4D33">
            <w:pPr>
              <w:ind w:left="74"/>
              <w:rPr>
                <w:rFonts w:ascii="Calibri" w:hAnsi="Calibri" w:cs="Calibri"/>
                <w:sz w:val="22"/>
                <w:szCs w:val="22"/>
              </w:rPr>
            </w:pPr>
            <w:r w:rsidRPr="008C4D33">
              <w:rPr>
                <w:rFonts w:ascii="Calibri" w:hAnsi="Calibri" w:cs="Calibri"/>
                <w:sz w:val="22"/>
                <w:szCs w:val="22"/>
              </w:rPr>
              <w:t>National Blood Authority</w:t>
            </w:r>
          </w:p>
        </w:tc>
      </w:tr>
      <w:tr w:rsidR="004B28D9" w:rsidRPr="008C4D33" w14:paraId="5764F1F7" w14:textId="77777777" w:rsidTr="004C2B0E">
        <w:tc>
          <w:tcPr>
            <w:tcW w:w="3528" w:type="dxa"/>
            <w:shd w:val="clear" w:color="auto" w:fill="auto"/>
          </w:tcPr>
          <w:p w14:paraId="13F0F256" w14:textId="77777777" w:rsidR="004B28D9" w:rsidRPr="008C4D33" w:rsidRDefault="004B28D9" w:rsidP="008C4D33">
            <w:pPr>
              <w:rPr>
                <w:rFonts w:ascii="Calibri" w:hAnsi="Calibri" w:cs="Calibri"/>
                <w:sz w:val="22"/>
                <w:szCs w:val="22"/>
              </w:rPr>
            </w:pPr>
            <w:r w:rsidRPr="008C4D33">
              <w:rPr>
                <w:rFonts w:ascii="Calibri" w:hAnsi="Calibri" w:cs="Calibri"/>
                <w:sz w:val="22"/>
                <w:szCs w:val="22"/>
              </w:rPr>
              <w:t>ARCBS</w:t>
            </w:r>
          </w:p>
        </w:tc>
        <w:tc>
          <w:tcPr>
            <w:tcW w:w="6300" w:type="dxa"/>
            <w:shd w:val="clear" w:color="auto" w:fill="auto"/>
          </w:tcPr>
          <w:p w14:paraId="1D8D78EE" w14:textId="77777777" w:rsidR="004B28D9" w:rsidRPr="008C4D33" w:rsidRDefault="004B28D9" w:rsidP="008C4D33">
            <w:pPr>
              <w:ind w:left="74"/>
              <w:rPr>
                <w:rFonts w:ascii="Calibri" w:hAnsi="Calibri" w:cs="Calibri"/>
                <w:sz w:val="22"/>
                <w:szCs w:val="22"/>
              </w:rPr>
            </w:pPr>
            <w:r w:rsidRPr="008C4D33">
              <w:rPr>
                <w:rFonts w:ascii="Calibri" w:hAnsi="Calibri" w:cs="Calibri"/>
                <w:sz w:val="22"/>
                <w:szCs w:val="22"/>
              </w:rPr>
              <w:t>Australian Red Cross Blood Service – “The Blood Service”.</w:t>
            </w:r>
          </w:p>
        </w:tc>
      </w:tr>
      <w:tr w:rsidR="002D75D1" w:rsidRPr="008C4D33" w14:paraId="314CEE8B" w14:textId="77777777" w:rsidTr="004C2B0E">
        <w:tc>
          <w:tcPr>
            <w:tcW w:w="3528" w:type="dxa"/>
            <w:shd w:val="clear" w:color="auto" w:fill="auto"/>
          </w:tcPr>
          <w:p w14:paraId="56A370B6" w14:textId="77777777" w:rsidR="002D75D1" w:rsidRPr="008C4D33" w:rsidRDefault="002D75D1" w:rsidP="008C4D33">
            <w:pPr>
              <w:rPr>
                <w:rFonts w:ascii="Calibri" w:hAnsi="Calibri" w:cs="Calibri"/>
                <w:sz w:val="22"/>
                <w:szCs w:val="22"/>
              </w:rPr>
            </w:pPr>
            <w:r w:rsidRPr="008C4D33">
              <w:rPr>
                <w:rFonts w:ascii="Calibri" w:hAnsi="Calibri" w:cs="Calibri"/>
                <w:sz w:val="22"/>
                <w:szCs w:val="22"/>
              </w:rPr>
              <w:t>NSQHS</w:t>
            </w:r>
          </w:p>
        </w:tc>
        <w:tc>
          <w:tcPr>
            <w:tcW w:w="6300" w:type="dxa"/>
            <w:shd w:val="clear" w:color="auto" w:fill="auto"/>
          </w:tcPr>
          <w:p w14:paraId="5727EA1B" w14:textId="77777777" w:rsidR="002D75D1" w:rsidRPr="008C4D33" w:rsidRDefault="002D75D1" w:rsidP="00E3363B">
            <w:pPr>
              <w:ind w:left="74"/>
              <w:rPr>
                <w:rFonts w:ascii="Calibri" w:hAnsi="Calibri" w:cs="Calibri"/>
                <w:sz w:val="22"/>
                <w:szCs w:val="22"/>
              </w:rPr>
            </w:pPr>
            <w:r w:rsidRPr="008C4D33">
              <w:rPr>
                <w:rFonts w:ascii="Calibri" w:hAnsi="Calibri" w:cs="Calibri"/>
                <w:sz w:val="22"/>
                <w:szCs w:val="22"/>
              </w:rPr>
              <w:t xml:space="preserve">National Safety and Quality Health Service </w:t>
            </w:r>
          </w:p>
        </w:tc>
      </w:tr>
      <w:tr w:rsidR="002D75D1" w:rsidRPr="008C4D33" w14:paraId="46E64492" w14:textId="77777777" w:rsidTr="004C2B0E">
        <w:tc>
          <w:tcPr>
            <w:tcW w:w="3528" w:type="dxa"/>
            <w:shd w:val="clear" w:color="auto" w:fill="auto"/>
          </w:tcPr>
          <w:p w14:paraId="6F681113" w14:textId="77777777" w:rsidR="002D75D1" w:rsidRPr="008C4D33" w:rsidRDefault="00086AE6" w:rsidP="008C4D33">
            <w:pPr>
              <w:rPr>
                <w:rFonts w:ascii="Calibri" w:hAnsi="Calibri" w:cs="Calibri"/>
                <w:sz w:val="22"/>
                <w:szCs w:val="22"/>
              </w:rPr>
            </w:pPr>
            <w:r w:rsidRPr="008C4D33">
              <w:rPr>
                <w:rFonts w:ascii="Calibri" w:hAnsi="Calibri" w:cs="Calibri"/>
                <w:sz w:val="22"/>
                <w:szCs w:val="22"/>
              </w:rPr>
              <w:t>PBM</w:t>
            </w:r>
          </w:p>
        </w:tc>
        <w:tc>
          <w:tcPr>
            <w:tcW w:w="6300" w:type="dxa"/>
            <w:shd w:val="clear" w:color="auto" w:fill="auto"/>
          </w:tcPr>
          <w:p w14:paraId="06640A28" w14:textId="77777777" w:rsidR="002D75D1" w:rsidRPr="008C4D33" w:rsidRDefault="002F7D50" w:rsidP="008C4D33">
            <w:pPr>
              <w:ind w:left="74"/>
              <w:rPr>
                <w:rFonts w:ascii="Calibri" w:hAnsi="Calibri" w:cs="Calibri"/>
                <w:sz w:val="22"/>
                <w:szCs w:val="22"/>
              </w:rPr>
            </w:pPr>
            <w:r w:rsidRPr="008C4D33">
              <w:rPr>
                <w:rFonts w:ascii="Calibri" w:hAnsi="Calibri" w:cs="Calibri"/>
                <w:sz w:val="22"/>
                <w:szCs w:val="22"/>
              </w:rPr>
              <w:t>p</w:t>
            </w:r>
            <w:r w:rsidR="00086AE6" w:rsidRPr="008C4D33">
              <w:rPr>
                <w:rFonts w:ascii="Calibri" w:hAnsi="Calibri" w:cs="Calibri"/>
                <w:sz w:val="22"/>
                <w:szCs w:val="22"/>
              </w:rPr>
              <w:t xml:space="preserve">atient </w:t>
            </w:r>
            <w:r w:rsidRPr="008C4D33">
              <w:rPr>
                <w:rFonts w:ascii="Calibri" w:hAnsi="Calibri" w:cs="Calibri"/>
                <w:sz w:val="22"/>
                <w:szCs w:val="22"/>
              </w:rPr>
              <w:t>b</w:t>
            </w:r>
            <w:r w:rsidR="00086AE6" w:rsidRPr="008C4D33">
              <w:rPr>
                <w:rFonts w:ascii="Calibri" w:hAnsi="Calibri" w:cs="Calibri"/>
                <w:sz w:val="22"/>
                <w:szCs w:val="22"/>
              </w:rPr>
              <w:t xml:space="preserve">lood </w:t>
            </w:r>
            <w:r w:rsidRPr="008C4D33">
              <w:rPr>
                <w:rFonts w:ascii="Calibri" w:hAnsi="Calibri" w:cs="Calibri"/>
                <w:sz w:val="22"/>
                <w:szCs w:val="22"/>
              </w:rPr>
              <w:t>m</w:t>
            </w:r>
            <w:r w:rsidR="00086AE6" w:rsidRPr="008C4D33">
              <w:rPr>
                <w:rFonts w:ascii="Calibri" w:hAnsi="Calibri" w:cs="Calibri"/>
                <w:sz w:val="22"/>
                <w:szCs w:val="22"/>
              </w:rPr>
              <w:t>anagement</w:t>
            </w:r>
          </w:p>
        </w:tc>
      </w:tr>
      <w:tr w:rsidR="002E50EA" w:rsidRPr="008C4D33" w14:paraId="588BE5DE" w14:textId="77777777" w:rsidTr="004C2B0E">
        <w:tc>
          <w:tcPr>
            <w:tcW w:w="3528" w:type="dxa"/>
            <w:shd w:val="clear" w:color="auto" w:fill="auto"/>
          </w:tcPr>
          <w:p w14:paraId="0AE17D0B" w14:textId="77777777" w:rsidR="002E50EA" w:rsidRPr="008C4D33" w:rsidRDefault="002E50EA" w:rsidP="008C4D33">
            <w:pPr>
              <w:rPr>
                <w:rFonts w:ascii="Calibri" w:hAnsi="Calibri" w:cs="Calibri"/>
                <w:sz w:val="22"/>
                <w:szCs w:val="22"/>
              </w:rPr>
            </w:pPr>
            <w:r w:rsidRPr="008C4D33">
              <w:rPr>
                <w:rFonts w:ascii="Calibri" w:hAnsi="Calibri" w:cs="Calibri"/>
                <w:sz w:val="22"/>
                <w:szCs w:val="22"/>
              </w:rPr>
              <w:t>unit</w:t>
            </w:r>
          </w:p>
        </w:tc>
        <w:tc>
          <w:tcPr>
            <w:tcW w:w="6300" w:type="dxa"/>
            <w:shd w:val="clear" w:color="auto" w:fill="auto"/>
          </w:tcPr>
          <w:p w14:paraId="0786C6F9" w14:textId="77777777" w:rsidR="002E50EA" w:rsidRPr="008C4D33" w:rsidRDefault="002F7D50" w:rsidP="009A1EBD">
            <w:pPr>
              <w:ind w:left="74"/>
              <w:rPr>
                <w:rFonts w:ascii="Calibri" w:hAnsi="Calibri" w:cs="Calibri"/>
                <w:sz w:val="22"/>
                <w:szCs w:val="22"/>
              </w:rPr>
            </w:pPr>
            <w:r w:rsidRPr="008C4D33">
              <w:rPr>
                <w:rFonts w:ascii="Calibri" w:hAnsi="Calibri" w:cs="Calibri"/>
                <w:sz w:val="22"/>
                <w:szCs w:val="22"/>
              </w:rPr>
              <w:t>s</w:t>
            </w:r>
            <w:r w:rsidR="002E50EA" w:rsidRPr="008C4D33">
              <w:rPr>
                <w:rFonts w:ascii="Calibri" w:hAnsi="Calibri" w:cs="Calibri"/>
                <w:sz w:val="22"/>
                <w:szCs w:val="22"/>
              </w:rPr>
              <w:t>ingle bag of red blood cells</w:t>
            </w:r>
          </w:p>
        </w:tc>
      </w:tr>
      <w:tr w:rsidR="002C061C" w:rsidRPr="008C4D33" w14:paraId="6EEA3C9F" w14:textId="77777777" w:rsidTr="004C2B0E">
        <w:tc>
          <w:tcPr>
            <w:tcW w:w="3528" w:type="dxa"/>
            <w:shd w:val="clear" w:color="auto" w:fill="auto"/>
          </w:tcPr>
          <w:p w14:paraId="09FE6452" w14:textId="77777777" w:rsidR="002C061C" w:rsidRPr="008C4D33" w:rsidRDefault="002C061C" w:rsidP="008C4D33">
            <w:pPr>
              <w:rPr>
                <w:rFonts w:ascii="Calibri" w:hAnsi="Calibri" w:cs="Calibri"/>
                <w:sz w:val="22"/>
                <w:szCs w:val="22"/>
              </w:rPr>
            </w:pPr>
            <w:r w:rsidRPr="008C4D33">
              <w:rPr>
                <w:rFonts w:ascii="Calibri" w:hAnsi="Calibri" w:cs="Calibri"/>
                <w:sz w:val="22"/>
                <w:szCs w:val="22"/>
              </w:rPr>
              <w:t>TACO</w:t>
            </w:r>
          </w:p>
        </w:tc>
        <w:tc>
          <w:tcPr>
            <w:tcW w:w="6300" w:type="dxa"/>
            <w:shd w:val="clear" w:color="auto" w:fill="auto"/>
          </w:tcPr>
          <w:p w14:paraId="7F5B5C20" w14:textId="77777777" w:rsidR="002C061C" w:rsidRPr="008C4D33" w:rsidRDefault="000B2126" w:rsidP="008C4D33">
            <w:pPr>
              <w:ind w:left="74"/>
              <w:rPr>
                <w:rFonts w:ascii="Calibri" w:hAnsi="Calibri" w:cs="Calibri"/>
                <w:sz w:val="22"/>
                <w:szCs w:val="22"/>
              </w:rPr>
            </w:pPr>
            <w:r w:rsidRPr="008C4D33">
              <w:rPr>
                <w:rFonts w:ascii="Calibri" w:hAnsi="Calibri" w:cs="Calibri"/>
                <w:sz w:val="22"/>
                <w:szCs w:val="22"/>
              </w:rPr>
              <w:t>t</w:t>
            </w:r>
            <w:r w:rsidR="002C061C" w:rsidRPr="008C4D33">
              <w:rPr>
                <w:rFonts w:ascii="Calibri" w:hAnsi="Calibri" w:cs="Calibri"/>
                <w:sz w:val="22"/>
                <w:szCs w:val="22"/>
              </w:rPr>
              <w:t xml:space="preserve">ransfusion </w:t>
            </w:r>
            <w:r w:rsidRPr="008C4D33">
              <w:rPr>
                <w:rFonts w:ascii="Calibri" w:hAnsi="Calibri" w:cs="Calibri"/>
                <w:sz w:val="22"/>
                <w:szCs w:val="22"/>
              </w:rPr>
              <w:t>a</w:t>
            </w:r>
            <w:r w:rsidR="002C061C" w:rsidRPr="008C4D33">
              <w:rPr>
                <w:rFonts w:ascii="Calibri" w:hAnsi="Calibri" w:cs="Calibri"/>
                <w:sz w:val="22"/>
                <w:szCs w:val="22"/>
              </w:rPr>
              <w:t xml:space="preserve">ssociated </w:t>
            </w:r>
            <w:r w:rsidRPr="008C4D33">
              <w:rPr>
                <w:rFonts w:ascii="Calibri" w:hAnsi="Calibri" w:cs="Calibri"/>
                <w:sz w:val="22"/>
                <w:szCs w:val="22"/>
              </w:rPr>
              <w:t>c</w:t>
            </w:r>
            <w:r w:rsidR="002C061C" w:rsidRPr="008C4D33">
              <w:rPr>
                <w:rFonts w:ascii="Calibri" w:hAnsi="Calibri" w:cs="Calibri"/>
                <w:sz w:val="22"/>
                <w:szCs w:val="22"/>
              </w:rPr>
              <w:t xml:space="preserve">irculatory </w:t>
            </w:r>
            <w:r w:rsidRPr="008C4D33">
              <w:rPr>
                <w:rFonts w:ascii="Calibri" w:hAnsi="Calibri" w:cs="Calibri"/>
                <w:sz w:val="22"/>
                <w:szCs w:val="22"/>
              </w:rPr>
              <w:t>o</w:t>
            </w:r>
            <w:r w:rsidR="002C061C" w:rsidRPr="008C4D33">
              <w:rPr>
                <w:rFonts w:ascii="Calibri" w:hAnsi="Calibri" w:cs="Calibri"/>
                <w:sz w:val="22"/>
                <w:szCs w:val="22"/>
              </w:rPr>
              <w:t>verload</w:t>
            </w:r>
          </w:p>
        </w:tc>
      </w:tr>
      <w:tr w:rsidR="00063B04" w:rsidRPr="008C4D33" w14:paraId="3177497B" w14:textId="77777777" w:rsidTr="004C2B0E">
        <w:tc>
          <w:tcPr>
            <w:tcW w:w="3528" w:type="dxa"/>
            <w:shd w:val="clear" w:color="auto" w:fill="auto"/>
          </w:tcPr>
          <w:p w14:paraId="2B24897D" w14:textId="77777777" w:rsidR="00063B04" w:rsidRPr="008C4D33" w:rsidRDefault="00063B04" w:rsidP="008C4D33">
            <w:pPr>
              <w:rPr>
                <w:rFonts w:ascii="Calibri" w:hAnsi="Calibri" w:cs="Calibri"/>
                <w:sz w:val="22"/>
                <w:szCs w:val="22"/>
              </w:rPr>
            </w:pPr>
            <w:r w:rsidRPr="008C4D33">
              <w:rPr>
                <w:rFonts w:ascii="Calibri" w:hAnsi="Calibri" w:cs="Calibri"/>
                <w:sz w:val="22"/>
                <w:szCs w:val="22"/>
              </w:rPr>
              <w:t>Hb</w:t>
            </w:r>
          </w:p>
        </w:tc>
        <w:tc>
          <w:tcPr>
            <w:tcW w:w="6300" w:type="dxa"/>
            <w:shd w:val="clear" w:color="auto" w:fill="auto"/>
          </w:tcPr>
          <w:p w14:paraId="33BB3F47" w14:textId="77777777" w:rsidR="00063B04" w:rsidRPr="008C4D33" w:rsidRDefault="002F7D50" w:rsidP="008C4D33">
            <w:pPr>
              <w:ind w:left="74"/>
              <w:rPr>
                <w:rFonts w:ascii="Calibri" w:hAnsi="Calibri" w:cs="Calibri"/>
                <w:sz w:val="22"/>
                <w:szCs w:val="22"/>
              </w:rPr>
            </w:pPr>
            <w:r w:rsidRPr="008C4D33">
              <w:rPr>
                <w:rFonts w:ascii="Calibri" w:hAnsi="Calibri" w:cs="Calibri"/>
                <w:sz w:val="22"/>
                <w:szCs w:val="22"/>
              </w:rPr>
              <w:t>h</w:t>
            </w:r>
            <w:r w:rsidR="00063B04" w:rsidRPr="008C4D33">
              <w:rPr>
                <w:rFonts w:ascii="Calibri" w:hAnsi="Calibri" w:cs="Calibri"/>
                <w:sz w:val="22"/>
                <w:szCs w:val="22"/>
              </w:rPr>
              <w:t>aemoglobin</w:t>
            </w:r>
          </w:p>
        </w:tc>
      </w:tr>
      <w:tr w:rsidR="00EC350B" w:rsidRPr="008C4D33" w14:paraId="5369E01C" w14:textId="77777777" w:rsidTr="004C2B0E">
        <w:tc>
          <w:tcPr>
            <w:tcW w:w="3528" w:type="dxa"/>
            <w:shd w:val="clear" w:color="auto" w:fill="auto"/>
          </w:tcPr>
          <w:p w14:paraId="484AC07C" w14:textId="77777777" w:rsidR="00EC350B" w:rsidRPr="008C4D33" w:rsidRDefault="00CC6046" w:rsidP="008C4D33">
            <w:pPr>
              <w:rPr>
                <w:rFonts w:ascii="Calibri" w:hAnsi="Calibri" w:cs="Calibri"/>
                <w:sz w:val="22"/>
                <w:szCs w:val="22"/>
              </w:rPr>
            </w:pPr>
            <w:r w:rsidRPr="008C4D33">
              <w:rPr>
                <w:rFonts w:ascii="Calibri" w:hAnsi="Calibri" w:cs="Calibri"/>
                <w:sz w:val="22"/>
                <w:szCs w:val="22"/>
              </w:rPr>
              <w:t>g/</w:t>
            </w:r>
            <w:r w:rsidR="00EC350B" w:rsidRPr="008C4D33">
              <w:rPr>
                <w:rFonts w:ascii="Calibri" w:hAnsi="Calibri" w:cs="Calibri"/>
                <w:sz w:val="22"/>
                <w:szCs w:val="22"/>
              </w:rPr>
              <w:t>L</w:t>
            </w:r>
          </w:p>
        </w:tc>
        <w:tc>
          <w:tcPr>
            <w:tcW w:w="6300" w:type="dxa"/>
            <w:shd w:val="clear" w:color="auto" w:fill="auto"/>
          </w:tcPr>
          <w:p w14:paraId="76C735DA" w14:textId="77777777" w:rsidR="00EC350B" w:rsidRPr="008C4D33" w:rsidRDefault="008937AB" w:rsidP="008C4D33">
            <w:pPr>
              <w:ind w:left="74"/>
              <w:rPr>
                <w:rFonts w:ascii="Calibri" w:hAnsi="Calibri" w:cs="Calibri"/>
                <w:sz w:val="22"/>
                <w:szCs w:val="22"/>
              </w:rPr>
            </w:pPr>
            <w:r w:rsidRPr="008C4D33">
              <w:rPr>
                <w:rFonts w:ascii="Calibri" w:hAnsi="Calibri" w:cs="Calibri"/>
                <w:sz w:val="22"/>
                <w:szCs w:val="22"/>
              </w:rPr>
              <w:t>g</w:t>
            </w:r>
            <w:r w:rsidR="00CC6046" w:rsidRPr="008C4D33">
              <w:rPr>
                <w:rFonts w:ascii="Calibri" w:hAnsi="Calibri" w:cs="Calibri"/>
                <w:sz w:val="22"/>
                <w:szCs w:val="22"/>
              </w:rPr>
              <w:t xml:space="preserve">rams per </w:t>
            </w:r>
            <w:r w:rsidR="00EC350B" w:rsidRPr="008C4D33">
              <w:rPr>
                <w:rFonts w:ascii="Calibri" w:hAnsi="Calibri" w:cs="Calibri"/>
                <w:sz w:val="22"/>
                <w:szCs w:val="22"/>
              </w:rPr>
              <w:t>litre</w:t>
            </w:r>
          </w:p>
        </w:tc>
      </w:tr>
      <w:tr w:rsidR="004B28D9" w:rsidRPr="008C4D33" w14:paraId="2963923B" w14:textId="77777777" w:rsidTr="004C2B0E">
        <w:tc>
          <w:tcPr>
            <w:tcW w:w="3528" w:type="dxa"/>
            <w:shd w:val="clear" w:color="auto" w:fill="auto"/>
          </w:tcPr>
          <w:p w14:paraId="1FC76C03" w14:textId="77777777" w:rsidR="004B28D9" w:rsidRPr="008C4D33" w:rsidRDefault="004B28D9" w:rsidP="008C4D33">
            <w:pPr>
              <w:rPr>
                <w:rFonts w:ascii="Calibri" w:hAnsi="Calibri" w:cs="Calibri"/>
                <w:sz w:val="22"/>
                <w:szCs w:val="22"/>
              </w:rPr>
            </w:pPr>
            <w:r w:rsidRPr="008C4D33">
              <w:rPr>
                <w:rFonts w:ascii="Calibri" w:hAnsi="Calibri" w:cs="Calibri"/>
                <w:sz w:val="22"/>
                <w:szCs w:val="22"/>
              </w:rPr>
              <w:t>BloodNet</w:t>
            </w:r>
          </w:p>
        </w:tc>
        <w:tc>
          <w:tcPr>
            <w:tcW w:w="6300" w:type="dxa"/>
            <w:shd w:val="clear" w:color="auto" w:fill="auto"/>
          </w:tcPr>
          <w:p w14:paraId="408780C3" w14:textId="77777777" w:rsidR="004B28D9" w:rsidRPr="008C4D33" w:rsidRDefault="000B6427" w:rsidP="008C4D33">
            <w:pPr>
              <w:ind w:left="74"/>
              <w:rPr>
                <w:rFonts w:ascii="Calibri" w:hAnsi="Calibri" w:cs="Calibri"/>
                <w:i/>
                <w:sz w:val="22"/>
                <w:szCs w:val="22"/>
              </w:rPr>
            </w:pPr>
            <w:r w:rsidRPr="008C4D33">
              <w:rPr>
                <w:rFonts w:ascii="Calibri" w:hAnsi="Calibri" w:cs="Calibri"/>
                <w:sz w:val="22"/>
                <w:szCs w:val="22"/>
              </w:rPr>
              <w:t>National Blood Authority</w:t>
            </w:r>
            <w:r w:rsidR="004B28D9" w:rsidRPr="008C4D33">
              <w:rPr>
                <w:rFonts w:ascii="Calibri" w:hAnsi="Calibri" w:cs="Calibri"/>
                <w:sz w:val="22"/>
                <w:szCs w:val="22"/>
              </w:rPr>
              <w:t xml:space="preserve"> </w:t>
            </w:r>
            <w:r w:rsidR="000B2126" w:rsidRPr="008C4D33">
              <w:rPr>
                <w:rFonts w:ascii="Calibri" w:hAnsi="Calibri" w:cs="Calibri"/>
                <w:sz w:val="22"/>
                <w:szCs w:val="22"/>
              </w:rPr>
              <w:t>i</w:t>
            </w:r>
            <w:r w:rsidR="004B28D9" w:rsidRPr="008C4D33">
              <w:rPr>
                <w:rFonts w:ascii="Calibri" w:hAnsi="Calibri" w:cs="Calibri"/>
                <w:sz w:val="22"/>
                <w:szCs w:val="22"/>
              </w:rPr>
              <w:t xml:space="preserve">nventory </w:t>
            </w:r>
            <w:r w:rsidR="000B2126" w:rsidRPr="008C4D33">
              <w:rPr>
                <w:rFonts w:ascii="Calibri" w:hAnsi="Calibri" w:cs="Calibri"/>
                <w:sz w:val="22"/>
                <w:szCs w:val="22"/>
              </w:rPr>
              <w:t>m</w:t>
            </w:r>
            <w:r w:rsidR="004B28D9" w:rsidRPr="008C4D33">
              <w:rPr>
                <w:rFonts w:ascii="Calibri" w:hAnsi="Calibri" w:cs="Calibri"/>
                <w:sz w:val="22"/>
                <w:szCs w:val="22"/>
              </w:rPr>
              <w:t xml:space="preserve">anagement </w:t>
            </w:r>
            <w:r w:rsidR="000B2126" w:rsidRPr="008C4D33">
              <w:rPr>
                <w:rFonts w:ascii="Calibri" w:hAnsi="Calibri" w:cs="Calibri"/>
                <w:sz w:val="22"/>
                <w:szCs w:val="22"/>
              </w:rPr>
              <w:t>s</w:t>
            </w:r>
            <w:r w:rsidR="004B28D9" w:rsidRPr="008C4D33">
              <w:rPr>
                <w:rFonts w:ascii="Calibri" w:hAnsi="Calibri" w:cs="Calibri"/>
                <w:sz w:val="22"/>
                <w:szCs w:val="22"/>
              </w:rPr>
              <w:t>ystem</w:t>
            </w:r>
          </w:p>
        </w:tc>
      </w:tr>
      <w:tr w:rsidR="004B28D9" w:rsidRPr="008C4D33" w14:paraId="695727DB" w14:textId="77777777" w:rsidTr="004C2B0E">
        <w:tc>
          <w:tcPr>
            <w:tcW w:w="3528" w:type="dxa"/>
            <w:shd w:val="clear" w:color="auto" w:fill="auto"/>
          </w:tcPr>
          <w:p w14:paraId="6BEDAFA8" w14:textId="77777777" w:rsidR="004B28D9" w:rsidRPr="008C4D33" w:rsidRDefault="004B28D9" w:rsidP="008C4D33">
            <w:pPr>
              <w:rPr>
                <w:rFonts w:ascii="Calibri" w:hAnsi="Calibri" w:cs="Calibri"/>
                <w:sz w:val="22"/>
                <w:szCs w:val="22"/>
              </w:rPr>
            </w:pPr>
            <w:r w:rsidRPr="008C4D33">
              <w:rPr>
                <w:rFonts w:ascii="Calibri" w:hAnsi="Calibri" w:cs="Calibri"/>
                <w:sz w:val="22"/>
                <w:szCs w:val="22"/>
              </w:rPr>
              <w:t>CPOE</w:t>
            </w:r>
          </w:p>
        </w:tc>
        <w:tc>
          <w:tcPr>
            <w:tcW w:w="6300" w:type="dxa"/>
            <w:shd w:val="clear" w:color="auto" w:fill="auto"/>
          </w:tcPr>
          <w:p w14:paraId="1878B226" w14:textId="77777777" w:rsidR="004B28D9" w:rsidRPr="008C4D33" w:rsidRDefault="000B2126" w:rsidP="008C4D33">
            <w:pPr>
              <w:ind w:left="74"/>
              <w:rPr>
                <w:rFonts w:ascii="Calibri" w:hAnsi="Calibri" w:cs="Calibri"/>
                <w:sz w:val="22"/>
                <w:szCs w:val="22"/>
              </w:rPr>
            </w:pPr>
            <w:r w:rsidRPr="008C4D33">
              <w:rPr>
                <w:rFonts w:ascii="Calibri" w:hAnsi="Calibri" w:cs="Calibri"/>
                <w:sz w:val="22"/>
                <w:szCs w:val="22"/>
              </w:rPr>
              <w:t>c</w:t>
            </w:r>
            <w:r w:rsidR="008D5CA6" w:rsidRPr="008C4D33">
              <w:rPr>
                <w:rFonts w:ascii="Calibri" w:hAnsi="Calibri" w:cs="Calibri"/>
                <w:sz w:val="22"/>
                <w:szCs w:val="22"/>
              </w:rPr>
              <w:t xml:space="preserve">omputerised </w:t>
            </w:r>
            <w:r w:rsidRPr="008C4D33">
              <w:rPr>
                <w:rFonts w:ascii="Calibri" w:hAnsi="Calibri" w:cs="Calibri"/>
                <w:sz w:val="22"/>
                <w:szCs w:val="22"/>
              </w:rPr>
              <w:t>p</w:t>
            </w:r>
            <w:r w:rsidR="008D5CA6" w:rsidRPr="008C4D33">
              <w:rPr>
                <w:rFonts w:ascii="Calibri" w:hAnsi="Calibri" w:cs="Calibri"/>
                <w:sz w:val="22"/>
                <w:szCs w:val="22"/>
              </w:rPr>
              <w:t>hysician</w:t>
            </w:r>
            <w:r w:rsidR="004B28D9" w:rsidRPr="008C4D33">
              <w:rPr>
                <w:rFonts w:ascii="Calibri" w:hAnsi="Calibri" w:cs="Calibri"/>
                <w:sz w:val="22"/>
                <w:szCs w:val="22"/>
              </w:rPr>
              <w:t xml:space="preserve"> </w:t>
            </w:r>
            <w:r w:rsidRPr="008C4D33">
              <w:rPr>
                <w:rFonts w:ascii="Calibri" w:hAnsi="Calibri" w:cs="Calibri"/>
                <w:sz w:val="22"/>
                <w:szCs w:val="22"/>
              </w:rPr>
              <w:t>o</w:t>
            </w:r>
            <w:r w:rsidR="004B28D9" w:rsidRPr="008C4D33">
              <w:rPr>
                <w:rFonts w:ascii="Calibri" w:hAnsi="Calibri" w:cs="Calibri"/>
                <w:sz w:val="22"/>
                <w:szCs w:val="22"/>
              </w:rPr>
              <w:t xml:space="preserve">rder </w:t>
            </w:r>
            <w:r w:rsidRPr="008C4D33">
              <w:rPr>
                <w:rFonts w:ascii="Calibri" w:hAnsi="Calibri" w:cs="Calibri"/>
                <w:sz w:val="22"/>
                <w:szCs w:val="22"/>
              </w:rPr>
              <w:t>e</w:t>
            </w:r>
            <w:r w:rsidR="004B28D9" w:rsidRPr="008C4D33">
              <w:rPr>
                <w:rFonts w:ascii="Calibri" w:hAnsi="Calibri" w:cs="Calibri"/>
                <w:sz w:val="22"/>
                <w:szCs w:val="22"/>
              </w:rPr>
              <w:t xml:space="preserve">ntry </w:t>
            </w:r>
          </w:p>
        </w:tc>
      </w:tr>
      <w:tr w:rsidR="00F3588D" w:rsidRPr="008C4D33" w14:paraId="1AEF8A84" w14:textId="77777777" w:rsidTr="004C2B0E">
        <w:tc>
          <w:tcPr>
            <w:tcW w:w="3528" w:type="dxa"/>
            <w:shd w:val="clear" w:color="auto" w:fill="auto"/>
          </w:tcPr>
          <w:p w14:paraId="4FA0E469" w14:textId="77777777" w:rsidR="00F3588D" w:rsidRPr="008C4D33" w:rsidRDefault="00F3588D" w:rsidP="008C4D33">
            <w:pPr>
              <w:rPr>
                <w:rFonts w:ascii="Calibri" w:hAnsi="Calibri" w:cs="Calibri"/>
                <w:sz w:val="22"/>
                <w:szCs w:val="22"/>
              </w:rPr>
            </w:pPr>
            <w:r w:rsidRPr="008C4D33">
              <w:rPr>
                <w:rFonts w:ascii="Calibri" w:hAnsi="Calibri" w:cs="Calibri"/>
                <w:sz w:val="22"/>
                <w:szCs w:val="22"/>
              </w:rPr>
              <w:t>RBC</w:t>
            </w:r>
          </w:p>
        </w:tc>
        <w:tc>
          <w:tcPr>
            <w:tcW w:w="6300" w:type="dxa"/>
            <w:shd w:val="clear" w:color="auto" w:fill="auto"/>
          </w:tcPr>
          <w:p w14:paraId="6A67608A" w14:textId="77777777" w:rsidR="00F3588D" w:rsidRPr="008C4D33" w:rsidRDefault="002F7D50" w:rsidP="008C4D33">
            <w:pPr>
              <w:ind w:left="74"/>
              <w:rPr>
                <w:rFonts w:ascii="Calibri" w:hAnsi="Calibri" w:cs="Calibri"/>
                <w:sz w:val="22"/>
                <w:szCs w:val="22"/>
              </w:rPr>
            </w:pPr>
            <w:r w:rsidRPr="008C4D33">
              <w:rPr>
                <w:rFonts w:ascii="Calibri" w:hAnsi="Calibri" w:cs="Calibri"/>
                <w:sz w:val="22"/>
                <w:szCs w:val="22"/>
              </w:rPr>
              <w:t>r</w:t>
            </w:r>
            <w:r w:rsidR="00F3588D" w:rsidRPr="008C4D33">
              <w:rPr>
                <w:rFonts w:ascii="Calibri" w:hAnsi="Calibri" w:cs="Calibri"/>
                <w:sz w:val="22"/>
                <w:szCs w:val="22"/>
              </w:rPr>
              <w:t xml:space="preserve">ed </w:t>
            </w:r>
            <w:r w:rsidRPr="008C4D33">
              <w:rPr>
                <w:rFonts w:ascii="Calibri" w:hAnsi="Calibri" w:cs="Calibri"/>
                <w:sz w:val="22"/>
                <w:szCs w:val="22"/>
              </w:rPr>
              <w:t>b</w:t>
            </w:r>
            <w:r w:rsidR="00F3588D" w:rsidRPr="008C4D33">
              <w:rPr>
                <w:rFonts w:ascii="Calibri" w:hAnsi="Calibri" w:cs="Calibri"/>
                <w:sz w:val="22"/>
                <w:szCs w:val="22"/>
              </w:rPr>
              <w:t xml:space="preserve">lood </w:t>
            </w:r>
            <w:r w:rsidRPr="008C4D33">
              <w:rPr>
                <w:rFonts w:ascii="Calibri" w:hAnsi="Calibri" w:cs="Calibri"/>
                <w:sz w:val="22"/>
                <w:szCs w:val="22"/>
              </w:rPr>
              <w:t>c</w:t>
            </w:r>
            <w:r w:rsidR="00F3588D" w:rsidRPr="008C4D33">
              <w:rPr>
                <w:rFonts w:ascii="Calibri" w:hAnsi="Calibri" w:cs="Calibri"/>
                <w:sz w:val="22"/>
                <w:szCs w:val="22"/>
              </w:rPr>
              <w:t>ell</w:t>
            </w:r>
          </w:p>
        </w:tc>
      </w:tr>
    </w:tbl>
    <w:p w14:paraId="72A1B182" w14:textId="77777777" w:rsidR="00C94E8F" w:rsidRPr="008C4D33" w:rsidRDefault="00C94E8F" w:rsidP="00486259">
      <w:pPr>
        <w:spacing w:before="240" w:after="240"/>
        <w:rPr>
          <w:rFonts w:ascii="Calibri" w:hAnsi="Calibri" w:cs="Calibri"/>
          <w:b/>
          <w:sz w:val="20"/>
          <w:szCs w:val="20"/>
        </w:rPr>
      </w:pPr>
      <w:r w:rsidRPr="008C4D33">
        <w:rPr>
          <w:rFonts w:ascii="Calibri" w:hAnsi="Calibri" w:cs="Calibri"/>
          <w:b/>
          <w:sz w:val="22"/>
          <w:szCs w:val="20"/>
        </w:rPr>
        <w:t>GUIDELINE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A03E8" w:rsidRPr="0073458B" w14:paraId="54737DA2" w14:textId="77777777" w:rsidTr="004C2B0E">
        <w:tc>
          <w:tcPr>
            <w:tcW w:w="9854" w:type="dxa"/>
            <w:shd w:val="clear" w:color="auto" w:fill="auto"/>
          </w:tcPr>
          <w:p w14:paraId="4023B3F9" w14:textId="77777777" w:rsidR="00486259" w:rsidRDefault="0026690B" w:rsidP="00E81E0D">
            <w:pPr>
              <w:spacing w:after="200" w:line="276" w:lineRule="auto"/>
              <w:contextualSpacing/>
              <w:rPr>
                <w:rFonts w:ascii="Calibri" w:hAnsi="Calibri" w:cs="Calibri"/>
                <w:b/>
                <w:sz w:val="22"/>
                <w:szCs w:val="22"/>
              </w:rPr>
            </w:pPr>
            <w:r w:rsidRPr="008C4D33">
              <w:rPr>
                <w:rFonts w:ascii="Calibri" w:hAnsi="Calibri" w:cs="Calibri"/>
                <w:b/>
                <w:sz w:val="22"/>
                <w:szCs w:val="22"/>
              </w:rPr>
              <w:t>A</w:t>
            </w:r>
            <w:r w:rsidR="003068E3" w:rsidRPr="008C4D33">
              <w:rPr>
                <w:rFonts w:ascii="Calibri" w:hAnsi="Calibri" w:cs="Calibri"/>
                <w:b/>
                <w:sz w:val="22"/>
                <w:szCs w:val="22"/>
              </w:rPr>
              <w:t>IM</w:t>
            </w:r>
            <w:r w:rsidRPr="008C4D33">
              <w:rPr>
                <w:rFonts w:ascii="Calibri" w:hAnsi="Calibri" w:cs="Calibri"/>
                <w:b/>
                <w:sz w:val="22"/>
                <w:szCs w:val="22"/>
              </w:rPr>
              <w:t>:</w:t>
            </w:r>
            <w:r w:rsidR="00D842E5" w:rsidRPr="008C4D33">
              <w:rPr>
                <w:rFonts w:ascii="Calibri" w:hAnsi="Calibri" w:cs="Calibri"/>
                <w:b/>
                <w:sz w:val="22"/>
                <w:szCs w:val="22"/>
              </w:rPr>
              <w:t xml:space="preserve"> </w:t>
            </w:r>
          </w:p>
          <w:p w14:paraId="34BC3917" w14:textId="77777777" w:rsidR="00E139A0" w:rsidRDefault="00FE1B05" w:rsidP="00E81E0D">
            <w:pPr>
              <w:spacing w:after="200" w:line="276" w:lineRule="auto"/>
              <w:contextualSpacing/>
              <w:rPr>
                <w:rFonts w:ascii="Calibri" w:hAnsi="Calibri" w:cs="Calibri"/>
                <w:sz w:val="22"/>
                <w:szCs w:val="22"/>
              </w:rPr>
            </w:pPr>
            <w:r>
              <w:rPr>
                <w:rFonts w:ascii="Calibri" w:hAnsi="Calibri" w:cs="Calibri"/>
                <w:sz w:val="22"/>
                <w:szCs w:val="22"/>
              </w:rPr>
              <w:t>T</w:t>
            </w:r>
            <w:r w:rsidRPr="00FE1B05">
              <w:rPr>
                <w:rFonts w:ascii="Calibri" w:hAnsi="Calibri" w:cs="Calibri"/>
                <w:sz w:val="22"/>
                <w:szCs w:val="22"/>
              </w:rPr>
              <w:t>o improve clinical practice and patient outcomes through alignment with the Patient Blood Management Guidelines</w:t>
            </w:r>
            <w:r w:rsidR="00B062A8" w:rsidRPr="008C4D33">
              <w:rPr>
                <w:rFonts w:ascii="Calibri" w:hAnsi="Calibri" w:cs="Calibri"/>
                <w:sz w:val="22"/>
                <w:szCs w:val="22"/>
              </w:rPr>
              <w:t>.</w:t>
            </w:r>
            <w:r w:rsidR="00E77645">
              <w:rPr>
                <w:rFonts w:ascii="Calibri" w:hAnsi="Calibri" w:cs="Calibri"/>
                <w:sz w:val="22"/>
                <w:szCs w:val="22"/>
              </w:rPr>
              <w:fldChar w:fldCharType="begin" w:fldLock="1"/>
            </w:r>
            <w:r w:rsidR="00CA27FC">
              <w:rPr>
                <w:rFonts w:ascii="Calibri" w:hAnsi="Calibri" w:cs="Calibri"/>
                <w:sz w:val="22"/>
                <w:szCs w:val="22"/>
              </w:rPr>
              <w:instrText>ADDIN CSL_CITATION { "citationItems" : [ { "id" : "ITEM-1", "itemData" : { "author" : [ { "dropping-particle" : "", "family" : "National Blood Authority", "given" : "", "non-dropping-particle" : "", "parse-names" : false, "suffix" : "" } ], "id" : "ITEM-1", "issued" : { "date-parts" : [ [ "2012" ] ] }, "publisher-place" : "Canberra, Australia", "title" : "Patient blood management guidelines: Module 2 \u2013 Perioperative.", "type" : "book" }, "uris" : [ "http://www.mendeley.com/documents/?uuid=956cf09d-f9be-4289-a9d0-a6445424b170" ] }, { "id" : "ITEM-2", "itemData" : { "author" : [ { "dropping-particle" : "", "family" : "National Blood Authority", "given" : "", "non-dropping-particle" : "", "parse-names" : false, "suffix" : "" } ], "id" : "ITEM-2", "issued" : { "date-parts" : [ [ "2012" ] ] }, "publisher" : "National Blood Authority", "publisher-place" : "Canberra, Australia", "title" : "Patient blood management guidelines: Module 3 \u2013 Medical", "type" : "book" }, "uris" : [ "http://www.mendeley.com/documents/?uuid=0b45fa2d-24ab-49d5-a0df-007d328f5e3b" ] }, { "id" : "ITEM-3", "itemData" : { "author" : [ { "dropping-particle" : "", "family" : "National Blood Authority", "given" : "", "non-dropping-particle" : "", "parse-names" : false, "suffix" : "" } ], "id" : "ITEM-3", "issued" : { "date-parts" : [ [ "2013" ] ] }, "publisher-place" : "Canberra, Australia", "title" : "Patient blood management guidelines: Module 4 \u2013 Critical Care", "type" : "book" }, "uris" : [ "http://www.mendeley.com/documents/?uuid=ea39fd74-ab5a-47df-93c5-ce717f8041eb" ] } ], "mendeley" : { "previouslyFormattedCitation" : "&lt;sup&gt;3\u20135&lt;/sup&gt;" }, "properties" : { "noteIndex" : 0 }, "schema" : "https://github.com/citation-style-language/schema/raw/master/csl-citation.json" }</w:instrText>
            </w:r>
            <w:r w:rsidR="00E77645">
              <w:rPr>
                <w:rFonts w:ascii="Calibri" w:hAnsi="Calibri" w:cs="Calibri"/>
                <w:sz w:val="22"/>
                <w:szCs w:val="22"/>
              </w:rPr>
              <w:fldChar w:fldCharType="separate"/>
            </w:r>
            <w:r w:rsidR="00CA27FC" w:rsidRPr="00CA27FC">
              <w:rPr>
                <w:rFonts w:ascii="Calibri" w:hAnsi="Calibri" w:cs="Calibri"/>
                <w:noProof/>
                <w:sz w:val="22"/>
                <w:szCs w:val="22"/>
                <w:vertAlign w:val="superscript"/>
              </w:rPr>
              <w:t>3–5</w:t>
            </w:r>
            <w:r w:rsidR="00E77645">
              <w:rPr>
                <w:rFonts w:ascii="Calibri" w:hAnsi="Calibri" w:cs="Calibri"/>
                <w:sz w:val="22"/>
                <w:szCs w:val="22"/>
              </w:rPr>
              <w:fldChar w:fldCharType="end"/>
            </w:r>
            <w:r w:rsidR="00B062A8" w:rsidRPr="008C4D33">
              <w:rPr>
                <w:rFonts w:ascii="Calibri" w:hAnsi="Calibri" w:cs="Calibri"/>
                <w:sz w:val="22"/>
                <w:szCs w:val="22"/>
              </w:rPr>
              <w:t xml:space="preserve"> </w:t>
            </w:r>
          </w:p>
          <w:p w14:paraId="33E6F4D5" w14:textId="77777777" w:rsidR="008E07C1" w:rsidRPr="008C4D33" w:rsidRDefault="00D842E5" w:rsidP="00E81E0D">
            <w:pPr>
              <w:spacing w:after="200" w:line="276" w:lineRule="auto"/>
              <w:contextualSpacing/>
              <w:rPr>
                <w:rFonts w:ascii="Calibri" w:hAnsi="Calibri" w:cs="Calibri"/>
                <w:sz w:val="22"/>
                <w:szCs w:val="22"/>
              </w:rPr>
            </w:pPr>
            <w:r w:rsidRPr="008C4D33">
              <w:rPr>
                <w:rFonts w:ascii="Calibri" w:hAnsi="Calibri" w:cs="Calibri"/>
                <w:sz w:val="22"/>
                <w:szCs w:val="22"/>
              </w:rPr>
              <w:t>T</w:t>
            </w:r>
            <w:r w:rsidR="00B17C5A" w:rsidRPr="008C4D33">
              <w:rPr>
                <w:rFonts w:ascii="Calibri" w:hAnsi="Calibri" w:cs="Calibri"/>
                <w:sz w:val="22"/>
                <w:szCs w:val="22"/>
              </w:rPr>
              <w:t xml:space="preserve">o </w:t>
            </w:r>
            <w:r w:rsidR="00B062A8" w:rsidRPr="008C4D33">
              <w:rPr>
                <w:rFonts w:ascii="Calibri" w:hAnsi="Calibri" w:cs="Calibri"/>
                <w:sz w:val="22"/>
                <w:szCs w:val="22"/>
              </w:rPr>
              <w:t xml:space="preserve">ensure </w:t>
            </w:r>
            <w:r w:rsidR="00B17C5A" w:rsidRPr="008C4D33">
              <w:rPr>
                <w:rFonts w:ascii="Calibri" w:hAnsi="Calibri" w:cs="Calibri"/>
                <w:sz w:val="22"/>
                <w:szCs w:val="22"/>
              </w:rPr>
              <w:t xml:space="preserve">the safety and efficacy of </w:t>
            </w:r>
            <w:r w:rsidR="00B14D45">
              <w:rPr>
                <w:rFonts w:ascii="Calibri" w:hAnsi="Calibri" w:cs="Calibri"/>
                <w:sz w:val="22"/>
                <w:szCs w:val="22"/>
              </w:rPr>
              <w:t xml:space="preserve">red </w:t>
            </w:r>
            <w:r w:rsidR="00B17C5A" w:rsidRPr="008C4D33">
              <w:rPr>
                <w:rFonts w:ascii="Calibri" w:hAnsi="Calibri" w:cs="Calibri"/>
                <w:sz w:val="22"/>
                <w:szCs w:val="22"/>
              </w:rPr>
              <w:t>blood</w:t>
            </w:r>
            <w:r w:rsidR="00B14D45">
              <w:rPr>
                <w:rFonts w:ascii="Calibri" w:hAnsi="Calibri" w:cs="Calibri"/>
                <w:sz w:val="22"/>
                <w:szCs w:val="22"/>
              </w:rPr>
              <w:t xml:space="preserve"> cell</w:t>
            </w:r>
            <w:r w:rsidR="00B17C5A" w:rsidRPr="008C4D33">
              <w:rPr>
                <w:rFonts w:ascii="Calibri" w:hAnsi="Calibri" w:cs="Calibri"/>
                <w:sz w:val="22"/>
                <w:szCs w:val="22"/>
              </w:rPr>
              <w:t xml:space="preserve"> </w:t>
            </w:r>
            <w:r w:rsidR="004821E9" w:rsidRPr="008C4D33">
              <w:rPr>
                <w:rFonts w:ascii="Calibri" w:hAnsi="Calibri" w:cs="Calibri"/>
                <w:sz w:val="22"/>
                <w:szCs w:val="22"/>
              </w:rPr>
              <w:t xml:space="preserve">transfusion by </w:t>
            </w:r>
            <w:r w:rsidR="00B062A8" w:rsidRPr="008C4D33">
              <w:rPr>
                <w:rFonts w:ascii="Calibri" w:hAnsi="Calibri" w:cs="Calibri"/>
                <w:sz w:val="22"/>
                <w:szCs w:val="22"/>
              </w:rPr>
              <w:t>confirming</w:t>
            </w:r>
            <w:r w:rsidR="004821E9" w:rsidRPr="008C4D33">
              <w:rPr>
                <w:rFonts w:ascii="Calibri" w:hAnsi="Calibri" w:cs="Calibri"/>
                <w:sz w:val="22"/>
                <w:szCs w:val="22"/>
              </w:rPr>
              <w:t xml:space="preserve"> every unit transfused is a clinical decision where the expected benefit outweighs the risks.</w:t>
            </w:r>
          </w:p>
          <w:p w14:paraId="3E4B622D" w14:textId="77777777" w:rsidR="00B062A8" w:rsidRPr="008C4D33" w:rsidRDefault="003068E3" w:rsidP="00E81E0D">
            <w:pPr>
              <w:spacing w:after="200" w:line="276" w:lineRule="auto"/>
              <w:contextualSpacing/>
              <w:rPr>
                <w:rFonts w:ascii="Calibri" w:hAnsi="Calibri" w:cs="Calibri"/>
                <w:b/>
                <w:sz w:val="22"/>
                <w:szCs w:val="22"/>
              </w:rPr>
            </w:pPr>
            <w:r w:rsidRPr="008C4D33">
              <w:rPr>
                <w:rFonts w:ascii="Calibri" w:hAnsi="Calibri" w:cs="Calibri"/>
                <w:b/>
                <w:sz w:val="22"/>
                <w:szCs w:val="22"/>
              </w:rPr>
              <w:t xml:space="preserve">WHO: </w:t>
            </w:r>
          </w:p>
          <w:p w14:paraId="6D02272B" w14:textId="77777777" w:rsidR="0026690B" w:rsidRPr="008C4D33" w:rsidRDefault="0026690B" w:rsidP="00E81E0D">
            <w:pPr>
              <w:spacing w:after="200" w:line="276" w:lineRule="auto"/>
              <w:contextualSpacing/>
              <w:rPr>
                <w:rFonts w:ascii="Calibri" w:hAnsi="Calibri" w:cs="Calibri"/>
                <w:sz w:val="22"/>
                <w:szCs w:val="22"/>
              </w:rPr>
            </w:pPr>
            <w:r w:rsidRPr="008C4D33">
              <w:rPr>
                <w:rFonts w:ascii="Calibri" w:hAnsi="Calibri" w:cs="Calibri"/>
                <w:sz w:val="22"/>
                <w:szCs w:val="22"/>
              </w:rPr>
              <w:t>This guideline applies to</w:t>
            </w:r>
            <w:r w:rsidR="00B062A8" w:rsidRPr="008C4D33">
              <w:rPr>
                <w:rFonts w:ascii="Calibri" w:hAnsi="Calibri" w:cs="Calibri"/>
                <w:sz w:val="22"/>
                <w:szCs w:val="22"/>
              </w:rPr>
              <w:t xml:space="preserve"> </w:t>
            </w:r>
            <w:r w:rsidR="00FE1B05" w:rsidRPr="00B718C8">
              <w:rPr>
                <w:rFonts w:ascii="Calibri" w:hAnsi="Calibri" w:cs="Calibri"/>
                <w:sz w:val="22"/>
                <w:szCs w:val="22"/>
              </w:rPr>
              <w:t>stable, normovolaemic adult patients, in an inpatient setting, who do not have clinically significant bleeding</w:t>
            </w:r>
            <w:r w:rsidRPr="008C4D33">
              <w:rPr>
                <w:rFonts w:ascii="Calibri" w:hAnsi="Calibri" w:cs="Calibri"/>
                <w:sz w:val="22"/>
                <w:szCs w:val="22"/>
              </w:rPr>
              <w:t>.</w:t>
            </w:r>
            <w:r w:rsidR="00E77645">
              <w:rPr>
                <w:rFonts w:ascii="Calibri" w:hAnsi="Calibri" w:cs="Calibri"/>
                <w:sz w:val="22"/>
                <w:szCs w:val="22"/>
              </w:rPr>
              <w:fldChar w:fldCharType="begin" w:fldLock="1"/>
            </w:r>
            <w:r w:rsidR="00CA27FC">
              <w:rPr>
                <w:rFonts w:ascii="Calibri" w:hAnsi="Calibri" w:cs="Calibri"/>
                <w:sz w:val="22"/>
                <w:szCs w:val="22"/>
              </w:rPr>
              <w:instrText>ADDIN CSL_CITATION { "citationItems" : [ { "id" : "ITEM-1", "itemData" : { "author" : [ { "dropping-particle" : "", "family" : "Webert", "given" : "Kathryn E", "non-dropping-particle" : "", "parse-names" : false, "suffix" : "" }, { "dropping-particle" : "", "family" : "Arnold", "given" : "Donald M", "non-dropping-particle" : "", "parse-names" : false, "suffix" : "" }, { "dropping-particle" : "", "family" : "Lui", "given" : "Yang", "non-dropping-particle" : "", "parse-names" : false, "suffix" : "" }, { "dropping-particle" : "", "family" : "Carruthers", "given" : "Julie", "non-dropping-particle" : "", "parse-names" : false, "suffix" : "" }, { "dropping-particle" : "", "family" : "Arnold", "given" : "Emmy", "non-dropping-particle" : "", "parse-names" : false, "suffix" : "" }, { "dropping-particle" : "", "family" : "Heddle", "given" : "Nancy M", "non-dropping-particle" : "", "parse-names" : false, "suffix" : "" } ], "container-title" : "Transfusion Practice", "id" : "ITEM-1", "issue" : "November", "issued" : { "date-parts" : [ [ "2012" ] ] }, "page" : "2466-2474", "title" : "A new tool to assess bleeding severity in patients with chemotherapy-induced thrmbocytopaenia", "type" : "article-journal", "volume" : "52" }, "uris" : [ "http://www.mendeley.com/documents/?uuid=562c39d6-8041-4e1e-a9c8-0be872a1e516" ] } ], "mendeley" : { "previouslyFormattedCitation" : "&lt;sup&gt;2&lt;/sup&gt;" }, "properties" : { "noteIndex" : 0 }, "schema" : "https://github.com/citation-style-language/schema/raw/master/csl-citation.json" }</w:instrText>
            </w:r>
            <w:r w:rsidR="00E77645">
              <w:rPr>
                <w:rFonts w:ascii="Calibri" w:hAnsi="Calibri" w:cs="Calibri"/>
                <w:sz w:val="22"/>
                <w:szCs w:val="22"/>
              </w:rPr>
              <w:fldChar w:fldCharType="separate"/>
            </w:r>
            <w:r w:rsidR="00CA27FC" w:rsidRPr="00CA27FC">
              <w:rPr>
                <w:rFonts w:ascii="Calibri" w:hAnsi="Calibri" w:cs="Calibri"/>
                <w:noProof/>
                <w:sz w:val="22"/>
                <w:szCs w:val="22"/>
                <w:vertAlign w:val="superscript"/>
              </w:rPr>
              <w:t>2</w:t>
            </w:r>
            <w:r w:rsidR="00E77645">
              <w:rPr>
                <w:rFonts w:ascii="Calibri" w:hAnsi="Calibri" w:cs="Calibri"/>
                <w:sz w:val="22"/>
                <w:szCs w:val="22"/>
              </w:rPr>
              <w:fldChar w:fldCharType="end"/>
            </w:r>
            <w:r w:rsidRPr="008C4D33">
              <w:rPr>
                <w:rFonts w:ascii="Calibri" w:hAnsi="Calibri" w:cs="Calibri"/>
                <w:sz w:val="22"/>
                <w:szCs w:val="22"/>
              </w:rPr>
              <w:t xml:space="preserve"> </w:t>
            </w:r>
          </w:p>
          <w:p w14:paraId="06A5A020" w14:textId="77777777" w:rsidR="004821E9" w:rsidRPr="008C4D33" w:rsidRDefault="00406A28" w:rsidP="00E81E0D">
            <w:pPr>
              <w:spacing w:after="200" w:line="276" w:lineRule="auto"/>
              <w:contextualSpacing/>
              <w:rPr>
                <w:rFonts w:ascii="Calibri" w:hAnsi="Calibri" w:cs="Calibri"/>
                <w:sz w:val="22"/>
                <w:szCs w:val="22"/>
              </w:rPr>
            </w:pPr>
            <w:r w:rsidRPr="008C4D33">
              <w:rPr>
                <w:rFonts w:ascii="Calibri" w:hAnsi="Calibri" w:cs="Calibri"/>
                <w:sz w:val="22"/>
                <w:szCs w:val="22"/>
              </w:rPr>
              <w:t>Health c</w:t>
            </w:r>
            <w:r w:rsidR="002E750B" w:rsidRPr="008C4D33">
              <w:rPr>
                <w:rFonts w:ascii="Calibri" w:hAnsi="Calibri" w:cs="Calibri"/>
                <w:sz w:val="22"/>
                <w:szCs w:val="22"/>
              </w:rPr>
              <w:t xml:space="preserve">are clinicians responsible for the clinical assessment, care planning and management of patients potentially requiring red </w:t>
            </w:r>
            <w:r w:rsidR="00FE1B05">
              <w:rPr>
                <w:rFonts w:ascii="Calibri" w:hAnsi="Calibri" w:cs="Calibri"/>
                <w:sz w:val="22"/>
                <w:szCs w:val="22"/>
              </w:rPr>
              <w:t xml:space="preserve">blood </w:t>
            </w:r>
            <w:r w:rsidR="002E750B" w:rsidRPr="008C4D33">
              <w:rPr>
                <w:rFonts w:ascii="Calibri" w:hAnsi="Calibri" w:cs="Calibri"/>
                <w:sz w:val="22"/>
                <w:szCs w:val="22"/>
              </w:rPr>
              <w:t xml:space="preserve">cell transfusion therapy, </w:t>
            </w:r>
            <w:r w:rsidR="0026690B" w:rsidRPr="008C4D33">
              <w:rPr>
                <w:rFonts w:ascii="Calibri" w:hAnsi="Calibri" w:cs="Calibri"/>
                <w:sz w:val="22"/>
                <w:szCs w:val="22"/>
              </w:rPr>
              <w:t>nurs</w:t>
            </w:r>
            <w:r w:rsidR="008725E1" w:rsidRPr="008C4D33">
              <w:rPr>
                <w:rFonts w:ascii="Calibri" w:hAnsi="Calibri" w:cs="Calibri"/>
                <w:sz w:val="22"/>
                <w:szCs w:val="22"/>
              </w:rPr>
              <w:t xml:space="preserve">es carrying out </w:t>
            </w:r>
            <w:r w:rsidR="002E750B" w:rsidRPr="008C4D33">
              <w:rPr>
                <w:rFonts w:ascii="Calibri" w:hAnsi="Calibri" w:cs="Calibri"/>
                <w:sz w:val="22"/>
                <w:szCs w:val="22"/>
              </w:rPr>
              <w:t xml:space="preserve">transfusion related </w:t>
            </w:r>
            <w:r w:rsidR="008725E1" w:rsidRPr="008C4D33">
              <w:rPr>
                <w:rFonts w:ascii="Calibri" w:hAnsi="Calibri" w:cs="Calibri"/>
                <w:sz w:val="22"/>
                <w:szCs w:val="22"/>
              </w:rPr>
              <w:t>patient care</w:t>
            </w:r>
            <w:r w:rsidR="0074692C" w:rsidRPr="008C4D33">
              <w:rPr>
                <w:rFonts w:ascii="Calibri" w:hAnsi="Calibri" w:cs="Calibri"/>
                <w:sz w:val="22"/>
                <w:szCs w:val="22"/>
              </w:rPr>
              <w:t xml:space="preserve"> </w:t>
            </w:r>
            <w:r w:rsidR="002E750B" w:rsidRPr="008C4D33">
              <w:rPr>
                <w:rFonts w:ascii="Calibri" w:hAnsi="Calibri" w:cs="Calibri"/>
                <w:sz w:val="22"/>
                <w:szCs w:val="22"/>
              </w:rPr>
              <w:t xml:space="preserve">including administration and </w:t>
            </w:r>
            <w:r w:rsidR="0026690B" w:rsidRPr="008C4D33">
              <w:rPr>
                <w:rFonts w:ascii="Calibri" w:hAnsi="Calibri" w:cs="Calibri"/>
                <w:sz w:val="22"/>
                <w:szCs w:val="22"/>
              </w:rPr>
              <w:t xml:space="preserve">monitoring </w:t>
            </w:r>
            <w:r w:rsidR="00C364C6">
              <w:rPr>
                <w:rFonts w:ascii="Calibri" w:hAnsi="Calibri" w:cs="Calibri"/>
                <w:sz w:val="22"/>
                <w:szCs w:val="22"/>
              </w:rPr>
              <w:t>of</w:t>
            </w:r>
            <w:r w:rsidR="00B14D45">
              <w:rPr>
                <w:rFonts w:ascii="Calibri" w:hAnsi="Calibri" w:cs="Calibri"/>
                <w:sz w:val="22"/>
                <w:szCs w:val="22"/>
              </w:rPr>
              <w:t xml:space="preserve"> red</w:t>
            </w:r>
            <w:r w:rsidR="00C364C6">
              <w:rPr>
                <w:rFonts w:ascii="Calibri" w:hAnsi="Calibri" w:cs="Calibri"/>
                <w:sz w:val="22"/>
                <w:szCs w:val="22"/>
              </w:rPr>
              <w:t xml:space="preserve"> blood</w:t>
            </w:r>
            <w:r w:rsidR="00B14D45">
              <w:rPr>
                <w:rFonts w:ascii="Calibri" w:hAnsi="Calibri" w:cs="Calibri"/>
                <w:sz w:val="22"/>
                <w:szCs w:val="22"/>
              </w:rPr>
              <w:t xml:space="preserve"> cell</w:t>
            </w:r>
            <w:r w:rsidR="00C364C6">
              <w:rPr>
                <w:rFonts w:ascii="Calibri" w:hAnsi="Calibri" w:cs="Calibri"/>
                <w:sz w:val="22"/>
                <w:szCs w:val="22"/>
              </w:rPr>
              <w:t xml:space="preserve"> </w:t>
            </w:r>
            <w:r w:rsidR="008725E1" w:rsidRPr="008C4D33">
              <w:rPr>
                <w:rFonts w:ascii="Calibri" w:hAnsi="Calibri" w:cs="Calibri"/>
                <w:sz w:val="22"/>
                <w:szCs w:val="22"/>
              </w:rPr>
              <w:t>transfusion</w:t>
            </w:r>
            <w:r w:rsidR="00C364C6">
              <w:rPr>
                <w:rFonts w:ascii="Calibri" w:hAnsi="Calibri" w:cs="Calibri"/>
                <w:sz w:val="22"/>
                <w:szCs w:val="22"/>
              </w:rPr>
              <w:t>s</w:t>
            </w:r>
            <w:r w:rsidR="008725E1" w:rsidRPr="008C4D33">
              <w:rPr>
                <w:rFonts w:ascii="Calibri" w:hAnsi="Calibri" w:cs="Calibri"/>
                <w:sz w:val="22"/>
                <w:szCs w:val="22"/>
              </w:rPr>
              <w:t xml:space="preserve"> and laboratory staff </w:t>
            </w:r>
            <w:r w:rsidR="007F6267" w:rsidRPr="008C4D33">
              <w:rPr>
                <w:rFonts w:ascii="Calibri" w:hAnsi="Calibri" w:cs="Calibri"/>
                <w:sz w:val="22"/>
                <w:szCs w:val="22"/>
              </w:rPr>
              <w:t xml:space="preserve">monitoring </w:t>
            </w:r>
            <w:r w:rsidR="0026690B" w:rsidRPr="008C4D33">
              <w:rPr>
                <w:rFonts w:ascii="Calibri" w:hAnsi="Calibri" w:cs="Calibri"/>
                <w:sz w:val="22"/>
                <w:szCs w:val="22"/>
              </w:rPr>
              <w:t>transfusion practice should follow this guideline.</w:t>
            </w:r>
          </w:p>
          <w:p w14:paraId="1AFC96B6" w14:textId="77777777" w:rsidR="00032947" w:rsidRPr="008C4D33" w:rsidRDefault="00D842E5" w:rsidP="00E81E0D">
            <w:pPr>
              <w:spacing w:after="200" w:line="276" w:lineRule="auto"/>
              <w:contextualSpacing/>
              <w:rPr>
                <w:rFonts w:ascii="Calibri" w:hAnsi="Calibri" w:cs="Calibri"/>
                <w:b/>
                <w:sz w:val="22"/>
                <w:szCs w:val="22"/>
              </w:rPr>
            </w:pPr>
            <w:r w:rsidRPr="008C4D33">
              <w:rPr>
                <w:rFonts w:ascii="Calibri" w:hAnsi="Calibri" w:cs="Calibri"/>
                <w:b/>
                <w:sz w:val="22"/>
                <w:szCs w:val="22"/>
              </w:rPr>
              <w:lastRenderedPageBreak/>
              <w:t xml:space="preserve">WHAT: </w:t>
            </w:r>
          </w:p>
          <w:p w14:paraId="672E8899" w14:textId="77777777" w:rsidR="00FE1B05" w:rsidRPr="00FE1B05" w:rsidRDefault="00FE1B05" w:rsidP="00E81E0D">
            <w:pPr>
              <w:spacing w:after="200" w:line="276" w:lineRule="auto"/>
              <w:contextualSpacing/>
              <w:rPr>
                <w:rFonts w:ascii="Calibri" w:hAnsi="Calibri" w:cs="Calibri"/>
                <w:sz w:val="22"/>
                <w:szCs w:val="22"/>
                <w:lang w:val="en-GB"/>
              </w:rPr>
            </w:pPr>
            <w:r w:rsidRPr="00FE1B05">
              <w:rPr>
                <w:rFonts w:ascii="Calibri" w:hAnsi="Calibri" w:cs="Calibri"/>
                <w:sz w:val="22"/>
                <w:szCs w:val="22"/>
                <w:lang w:val="en-GB"/>
              </w:rPr>
              <w:t xml:space="preserve">Informed consent must be obtained </w:t>
            </w:r>
            <w:r w:rsidR="00615158">
              <w:rPr>
                <w:rFonts w:ascii="Calibri" w:hAnsi="Calibri" w:cs="Calibri"/>
                <w:sz w:val="22"/>
                <w:szCs w:val="22"/>
                <w:lang w:val="en-GB"/>
              </w:rPr>
              <w:t>from</w:t>
            </w:r>
            <w:r w:rsidR="00615158" w:rsidRPr="00FE1B05">
              <w:rPr>
                <w:rFonts w:ascii="Calibri" w:hAnsi="Calibri" w:cs="Calibri"/>
                <w:sz w:val="22"/>
                <w:szCs w:val="22"/>
                <w:lang w:val="en-GB"/>
              </w:rPr>
              <w:t xml:space="preserve"> </w:t>
            </w:r>
            <w:r w:rsidRPr="00FE1B05">
              <w:rPr>
                <w:rFonts w:ascii="Calibri" w:hAnsi="Calibri" w:cs="Calibri"/>
                <w:sz w:val="22"/>
                <w:szCs w:val="22"/>
                <w:lang w:val="en-GB"/>
              </w:rPr>
              <w:t xml:space="preserve">the patient or responsible person/guardian. </w:t>
            </w:r>
          </w:p>
          <w:p w14:paraId="7F3B5688" w14:textId="77777777" w:rsidR="00E139A0" w:rsidRDefault="00FE1B05" w:rsidP="00E81E0D">
            <w:pPr>
              <w:spacing w:after="200" w:line="276" w:lineRule="auto"/>
              <w:contextualSpacing/>
              <w:rPr>
                <w:rFonts w:ascii="Calibri" w:hAnsi="Calibri" w:cs="Calibri"/>
                <w:sz w:val="22"/>
                <w:szCs w:val="22"/>
                <w:lang w:val="en-GB"/>
              </w:rPr>
            </w:pPr>
            <w:r w:rsidRPr="00FE1B05">
              <w:rPr>
                <w:rFonts w:ascii="Calibri" w:hAnsi="Calibri" w:cs="Calibri"/>
                <w:sz w:val="22"/>
                <w:szCs w:val="22"/>
                <w:lang w:val="en-GB"/>
              </w:rPr>
              <w:t xml:space="preserve">Each red blood cell transfusion should be an independent clinical decision based on the risk, benefits and alternatives. </w:t>
            </w:r>
          </w:p>
          <w:p w14:paraId="22739066" w14:textId="77777777" w:rsidR="00FE1B05" w:rsidRPr="00FE1B05" w:rsidRDefault="00FE1B05" w:rsidP="00E81E0D">
            <w:pPr>
              <w:spacing w:after="200" w:line="276" w:lineRule="auto"/>
              <w:contextualSpacing/>
              <w:rPr>
                <w:rFonts w:ascii="Calibri" w:hAnsi="Calibri" w:cs="Calibri"/>
                <w:sz w:val="22"/>
                <w:szCs w:val="22"/>
                <w:lang w:val="en-GB"/>
              </w:rPr>
            </w:pPr>
            <w:r w:rsidRPr="00FE1B05">
              <w:rPr>
                <w:rFonts w:ascii="Calibri" w:hAnsi="Calibri" w:cs="Calibri"/>
                <w:sz w:val="22"/>
                <w:szCs w:val="22"/>
                <w:lang w:val="en-GB"/>
              </w:rPr>
              <w:t>Transfusion should not be based on haemoglobin level alone but should also be based on assessment of the patient’s clinical status.</w:t>
            </w:r>
            <w:r w:rsidRPr="00FE1B05">
              <w:rPr>
                <w:rFonts w:ascii="Calibri" w:hAnsi="Calibri" w:cs="Calibri"/>
                <w:sz w:val="22"/>
                <w:szCs w:val="22"/>
                <w:lang w:val="en-GB"/>
              </w:rPr>
              <w:fldChar w:fldCharType="begin" w:fldLock="1"/>
            </w:r>
            <w:r w:rsidR="00CA27FC">
              <w:rPr>
                <w:rFonts w:ascii="Calibri" w:hAnsi="Calibri" w:cs="Calibri"/>
                <w:sz w:val="22"/>
                <w:szCs w:val="22"/>
                <w:lang w:val="en-GB"/>
              </w:rPr>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"mendeley" : { "previouslyFormattedCitation" : "&lt;sup&gt;4,5&lt;/sup&gt;" }, "properties" : { "noteIndex" : 0 }, "schema" : "https://github.com/citation-style-language/schema/raw/master/csl-citation.json" }</w:instrText>
            </w:r>
            <w:r w:rsidRPr="00FE1B05">
              <w:rPr>
                <w:rFonts w:ascii="Calibri" w:hAnsi="Calibri" w:cs="Calibri"/>
                <w:sz w:val="22"/>
                <w:szCs w:val="22"/>
                <w:lang w:val="en-GB"/>
              </w:rPr>
              <w:fldChar w:fldCharType="separate"/>
            </w:r>
            <w:r w:rsidR="00CA27FC" w:rsidRPr="00CA27FC">
              <w:rPr>
                <w:rFonts w:ascii="Calibri" w:hAnsi="Calibri" w:cs="Calibri"/>
                <w:noProof/>
                <w:sz w:val="22"/>
                <w:szCs w:val="22"/>
                <w:vertAlign w:val="superscript"/>
                <w:lang w:val="en-GB"/>
              </w:rPr>
              <w:t>4,5</w:t>
            </w:r>
            <w:r w:rsidRPr="00FE1B05">
              <w:rPr>
                <w:rFonts w:ascii="Calibri" w:hAnsi="Calibri" w:cs="Calibri"/>
                <w:sz w:val="22"/>
                <w:szCs w:val="22"/>
              </w:rPr>
              <w:fldChar w:fldCharType="end"/>
            </w:r>
            <w:r w:rsidRPr="00FE1B05">
              <w:rPr>
                <w:rFonts w:ascii="Calibri" w:hAnsi="Calibri" w:cs="Calibri"/>
                <w:sz w:val="22"/>
                <w:szCs w:val="22"/>
                <w:lang w:val="en-GB"/>
              </w:rPr>
              <w:t xml:space="preserve"> For haemoglobin thresholds</w:t>
            </w:r>
            <w:r w:rsidR="00615158">
              <w:rPr>
                <w:rFonts w:ascii="Calibri" w:hAnsi="Calibri" w:cs="Calibri"/>
                <w:sz w:val="22"/>
                <w:szCs w:val="22"/>
                <w:lang w:val="en-GB"/>
              </w:rPr>
              <w:t>,</w:t>
            </w:r>
            <w:r w:rsidRPr="00FE1B05">
              <w:rPr>
                <w:rFonts w:ascii="Calibri" w:hAnsi="Calibri" w:cs="Calibri"/>
                <w:sz w:val="22"/>
                <w:szCs w:val="22"/>
                <w:lang w:val="en-GB"/>
              </w:rPr>
              <w:t xml:space="preserve"> refer to the national Patient Blood Management Guidelines, </w:t>
            </w:r>
            <w:r w:rsidRPr="00FE1B05">
              <w:rPr>
                <w:rFonts w:ascii="Calibri" w:hAnsi="Calibri" w:cs="Calibri"/>
                <w:i/>
                <w:sz w:val="22"/>
                <w:szCs w:val="22"/>
                <w:lang w:val="en-GB"/>
              </w:rPr>
              <w:t>Module 3 – Medical</w:t>
            </w:r>
            <w:r w:rsidRPr="00FE1B05">
              <w:rPr>
                <w:rFonts w:ascii="Calibri" w:hAnsi="Calibri" w:cs="Calibri"/>
                <w:sz w:val="22"/>
                <w:szCs w:val="22"/>
                <w:lang w:val="en-GB"/>
              </w:rPr>
              <w:t xml:space="preserve"> practice point 3 (PP3) and </w:t>
            </w:r>
            <w:r w:rsidRPr="00FE1B05">
              <w:rPr>
                <w:rFonts w:ascii="Calibri" w:hAnsi="Calibri" w:cs="Calibri"/>
                <w:i/>
                <w:sz w:val="22"/>
                <w:szCs w:val="22"/>
                <w:lang w:val="en-GB"/>
              </w:rPr>
              <w:t>Module 4 – Critical Care</w:t>
            </w:r>
            <w:r w:rsidRPr="00FE1B05">
              <w:rPr>
                <w:rFonts w:ascii="Calibri" w:hAnsi="Calibri" w:cs="Calibri"/>
                <w:sz w:val="22"/>
                <w:szCs w:val="22"/>
                <w:lang w:val="en-GB"/>
              </w:rPr>
              <w:t xml:space="preserve"> practice point 4 (PP4). </w:t>
            </w:r>
          </w:p>
          <w:p w14:paraId="46776F99" w14:textId="77777777" w:rsidR="0033265A" w:rsidRDefault="00FE1B05" w:rsidP="00E81E0D">
            <w:pPr>
              <w:spacing w:after="200" w:line="276" w:lineRule="auto"/>
              <w:contextualSpacing/>
              <w:rPr>
                <w:rFonts w:ascii="Calibri" w:hAnsi="Calibri" w:cs="Calibri"/>
                <w:sz w:val="22"/>
                <w:szCs w:val="22"/>
                <w:lang w:val="en-GB"/>
              </w:rPr>
            </w:pPr>
            <w:r w:rsidRPr="00FE1B05">
              <w:rPr>
                <w:rFonts w:ascii="Calibri" w:hAnsi="Calibri" w:cs="Calibri"/>
                <w:sz w:val="22"/>
                <w:szCs w:val="22"/>
                <w:lang w:val="en-GB"/>
              </w:rPr>
              <w:t>Transfuse one unit at a time and only when clinically indicated, based on the need to relieve clinical signs and symptoms of  anaemia.</w:t>
            </w:r>
            <w:r w:rsidR="00E77645">
              <w:rPr>
                <w:rFonts w:ascii="Calibri" w:hAnsi="Calibri" w:cs="Calibri"/>
                <w:sz w:val="22"/>
                <w:szCs w:val="22"/>
                <w:lang w:val="en-GB"/>
              </w:rPr>
              <w:fldChar w:fldCharType="begin" w:fldLock="1"/>
            </w:r>
            <w:r w:rsidR="00CA27FC">
              <w:rPr>
                <w:rFonts w:ascii="Calibri" w:hAnsi="Calibri" w:cs="Calibri"/>
                <w:sz w:val="22"/>
                <w:szCs w:val="22"/>
                <w:lang w:val="en-GB"/>
              </w:rPr>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"mendeley" : { "previouslyFormattedCitation" : "&lt;sup&gt;4,5&lt;/sup&gt;" }, "properties" : { "noteIndex" : 0 }, "schema" : "https://github.com/citation-style-language/schema/raw/master/csl-citation.json" }</w:instrText>
            </w:r>
            <w:r w:rsidR="00E77645">
              <w:rPr>
                <w:rFonts w:ascii="Calibri" w:hAnsi="Calibri" w:cs="Calibri"/>
                <w:sz w:val="22"/>
                <w:szCs w:val="22"/>
                <w:lang w:val="en-GB"/>
              </w:rPr>
              <w:fldChar w:fldCharType="separate"/>
            </w:r>
            <w:r w:rsidR="00CA27FC" w:rsidRPr="00CA27FC">
              <w:rPr>
                <w:rFonts w:ascii="Calibri" w:hAnsi="Calibri" w:cs="Calibri"/>
                <w:noProof/>
                <w:sz w:val="22"/>
                <w:szCs w:val="22"/>
                <w:vertAlign w:val="superscript"/>
                <w:lang w:val="en-GB"/>
              </w:rPr>
              <w:t>4,5</w:t>
            </w:r>
            <w:r w:rsidR="00E77645">
              <w:rPr>
                <w:rFonts w:ascii="Calibri" w:hAnsi="Calibri" w:cs="Calibri"/>
                <w:sz w:val="22"/>
                <w:szCs w:val="22"/>
                <w:lang w:val="en-GB"/>
              </w:rPr>
              <w:fldChar w:fldCharType="end"/>
            </w:r>
            <w:r w:rsidRPr="00FE1B05">
              <w:rPr>
                <w:rFonts w:ascii="Calibri" w:hAnsi="Calibri" w:cs="Calibri"/>
                <w:sz w:val="22"/>
                <w:szCs w:val="22"/>
                <w:lang w:val="en-GB"/>
              </w:rPr>
              <w:t xml:space="preserve"> Symptoms may include dyspnoea, tachycardia, chest pain, hypotension, increased heart rate and decreased oxygen saturation</w:t>
            </w:r>
            <w:r w:rsidR="00E81E0D">
              <w:rPr>
                <w:rFonts w:ascii="Calibri" w:hAnsi="Calibri" w:cs="Calibri"/>
                <w:sz w:val="22"/>
                <w:szCs w:val="22"/>
                <w:lang w:val="en-GB"/>
              </w:rPr>
              <w:t>.</w:t>
            </w:r>
            <w:r w:rsidR="00E77645">
              <w:rPr>
                <w:rFonts w:ascii="Calibri" w:hAnsi="Calibri" w:cs="Calibri"/>
                <w:sz w:val="22"/>
                <w:szCs w:val="22"/>
                <w:lang w:val="en-GB"/>
              </w:rPr>
              <w:fldChar w:fldCharType="begin" w:fldLock="1"/>
            </w:r>
            <w:r w:rsidR="00CA27FC">
              <w:rPr>
                <w:rFonts w:ascii="Calibri" w:hAnsi="Calibri" w:cs="Calibri"/>
                <w:sz w:val="22"/>
                <w:szCs w:val="22"/>
                <w:lang w:val="en-GB"/>
              </w:rPr>
              <w:instrText>ADDIN CSL_CITATION { "citationItems" : [ { "id" : "ITEM-1", "itemData" : { "abstract" : "Although approximately 85 million units of red blood cells (RBCs) are transfused annually worldwide, transfusion practices vary widely. The AABB (formerly, the American Association of Blood Banks) developed this guideline to provide clinical recommendations about hemoglobin concentration thresholds and other clinical variables that trigger RBC transfusions in hemodynamically stable adults and children.", "author" : [ { "dropping-particle" : "", "family" : "Carson", "given" : "Jeffrey L", "non-dropping-particle" : "", "parse-names" : false, "suffix" : "" } ], "container-title" : "Annals of Internal Medicine", "id" : "ITEM-1", "issue" : "1", "issued" : { "date-parts" : [ [ "2012" ] ] }, "page" : "49-58", "title" : "Red blood cell transfusion: a clinical practice guideline from the AABB", "type" : "article-journal", "volume" : "157" }, "uris" : [ "http://www.mendeley.com/documents/?uuid=1f2a47bc-9d7f-4b77-bdbd-6028e884fabb" ] }, { "id" : "ITEM-2", "itemData" : { "author" : [ { "dropping-particle" : "", "family" : "Rossi", "given" : "E C", "non-dropping-particle" : "", "parse-names" : false, "suffix" : "" } ], "container-title" : "Principles of Transfusion Medicine, Second edition", "id" : "ITEM-2", "issued" : { "date-parts" : [ [ "1996" ] ] }, "title" : "Anaemia and Red cell Transfusion", "type" : "article-journal", "volume" : "1" }, "uris" : [ "http://www.mendeley.com/documents/?uuid=2e29d606-dc65-44eb-b3ba-44a2477d82c7" ] }, { "id" : "ITEM-3", "itemData" : { "author" : [ { "dropping-particle" : "", "family" : "Shander", "given" : "A", "non-dropping-particle" : "", "parse-names" : false, "suffix" : "" } ], "container-title" : "Review Blood Transfus", "id" : "ITEM-3", "issued" : { "date-parts" : [ [ "2012" ] ] }, "title" : "A new perspective on best transfusion practices", "type" : "article-journal", "volume" : "1" }, "uris" : [ "http://www.mendeley.com/documents/?uuid=6c8b828f-556c-41d9-b293-6f1ed9a0ad28" ] } ], "mendeley" : { "previouslyFormattedCitation" : "&lt;sup&gt;8\u201310&lt;/sup&gt;" }, "properties" : { "noteIndex" : 0 }, "schema" : "https://github.com/citation-style-language/schema/raw/master/csl-citation.json" }</w:instrText>
            </w:r>
            <w:r w:rsidR="00E77645">
              <w:rPr>
                <w:rFonts w:ascii="Calibri" w:hAnsi="Calibri" w:cs="Calibri"/>
                <w:sz w:val="22"/>
                <w:szCs w:val="22"/>
                <w:lang w:val="en-GB"/>
              </w:rPr>
              <w:fldChar w:fldCharType="separate"/>
            </w:r>
            <w:r w:rsidR="00CA27FC" w:rsidRPr="00CA27FC">
              <w:rPr>
                <w:rFonts w:ascii="Calibri" w:hAnsi="Calibri" w:cs="Calibri"/>
                <w:noProof/>
                <w:sz w:val="22"/>
                <w:szCs w:val="22"/>
                <w:vertAlign w:val="superscript"/>
                <w:lang w:val="en-GB"/>
              </w:rPr>
              <w:t>8–10</w:t>
            </w:r>
            <w:r w:rsidR="00E77645">
              <w:rPr>
                <w:rFonts w:ascii="Calibri" w:hAnsi="Calibri" w:cs="Calibri"/>
                <w:sz w:val="22"/>
                <w:szCs w:val="22"/>
                <w:lang w:val="en-GB"/>
              </w:rPr>
              <w:fldChar w:fldCharType="end"/>
            </w:r>
            <w:r w:rsidR="00E77645">
              <w:rPr>
                <w:rFonts w:ascii="Calibri" w:hAnsi="Calibri" w:cs="Calibri"/>
                <w:sz w:val="22"/>
                <w:szCs w:val="22"/>
                <w:lang w:val="en-GB"/>
              </w:rPr>
              <w:t xml:space="preserve"> </w:t>
            </w:r>
          </w:p>
          <w:p w14:paraId="6F01128D" w14:textId="77777777" w:rsidR="00032947" w:rsidRPr="008C4D33" w:rsidRDefault="002C061C" w:rsidP="00E81E0D">
            <w:pPr>
              <w:spacing w:after="200" w:line="276" w:lineRule="auto"/>
              <w:contextualSpacing/>
              <w:rPr>
                <w:rFonts w:ascii="Calibri" w:hAnsi="Calibri" w:cs="Calibri"/>
                <w:b/>
                <w:sz w:val="22"/>
                <w:szCs w:val="22"/>
              </w:rPr>
            </w:pPr>
            <w:r w:rsidRPr="008C4D33">
              <w:rPr>
                <w:rFonts w:ascii="Calibri" w:hAnsi="Calibri" w:cs="Calibri"/>
                <w:b/>
                <w:sz w:val="22"/>
                <w:szCs w:val="22"/>
              </w:rPr>
              <w:t xml:space="preserve">WHY: </w:t>
            </w:r>
          </w:p>
          <w:p w14:paraId="1731A07D" w14:textId="77777777" w:rsidR="00E81E0D" w:rsidRPr="00E81E0D" w:rsidRDefault="00E81E0D" w:rsidP="00E81E0D">
            <w:pPr>
              <w:pStyle w:val="ListParagraph"/>
              <w:spacing w:after="200" w:line="276" w:lineRule="auto"/>
              <w:ind w:left="0"/>
              <w:contextualSpacing/>
              <w:rPr>
                <w:lang w:val="en-GB"/>
              </w:rPr>
            </w:pPr>
            <w:r w:rsidRPr="00E81E0D">
              <w:rPr>
                <w:rFonts w:cs="Times New Roman"/>
                <w:lang w:val="en-GB" w:eastAsia="en-US"/>
              </w:rPr>
              <w:t xml:space="preserve">Transfusing single units of red blood cells </w:t>
            </w:r>
            <w:r w:rsidR="00414F5F">
              <w:rPr>
                <w:rFonts w:cs="Times New Roman"/>
                <w:lang w:val="en-GB" w:eastAsia="en-US"/>
              </w:rPr>
              <w:t xml:space="preserve">may </w:t>
            </w:r>
            <w:r w:rsidRPr="00E81E0D">
              <w:rPr>
                <w:rFonts w:cs="Times New Roman"/>
                <w:lang w:val="en-GB" w:eastAsia="en-US"/>
              </w:rPr>
              <w:t>reduce</w:t>
            </w:r>
            <w:r w:rsidR="00414F5F">
              <w:rPr>
                <w:rFonts w:cs="Times New Roman"/>
                <w:lang w:val="en-GB" w:eastAsia="en-US"/>
              </w:rPr>
              <w:t xml:space="preserve"> a</w:t>
            </w:r>
            <w:r w:rsidRPr="00E81E0D">
              <w:rPr>
                <w:rFonts w:cs="Times New Roman"/>
                <w:lang w:val="en-GB" w:eastAsia="en-US"/>
              </w:rPr>
              <w:t xml:space="preserve"> patient</w:t>
            </w:r>
            <w:r w:rsidR="00615158">
              <w:rPr>
                <w:rFonts w:cs="Times New Roman"/>
                <w:lang w:val="en-GB" w:eastAsia="en-US"/>
              </w:rPr>
              <w:t>’</w:t>
            </w:r>
            <w:r w:rsidRPr="00E81E0D">
              <w:rPr>
                <w:rFonts w:cs="Times New Roman"/>
                <w:lang w:val="en-GB" w:eastAsia="en-US"/>
              </w:rPr>
              <w:t>s  exposure to allogeneic blood</w:t>
            </w:r>
            <w:r>
              <w:rPr>
                <w:lang w:val="en-GB"/>
              </w:rPr>
              <w:t>.</w:t>
            </w:r>
            <w:r>
              <w:rPr>
                <w:lang w:val="en-GB"/>
              </w:rPr>
              <w:fldChar w:fldCharType="begin" w:fldLock="1"/>
            </w:r>
            <w:r w:rsidR="00CA27FC">
              <w:rPr>
                <w:lang w:val="en-GB"/>
              </w:rPr>
              <w:instrText>ADDIN CSL_CITATION { "citationItems" : [ { "id" : "ITEM-1", "itemData" : { "DOI" : "10.1111/j.1365-3148.2005.00592.x", "author" : [ { "dropping-particle" : "", "family" : "Ma", "given" : "M", "non-dropping-particle" : "", "parse-names" : false, "suffix" : "" }, { "dropping-particle" : "", "family" : "Eckert", "given" : "K", "non-dropping-particle" : "", "parse-names" : false, "suffix" : "" }, { "dropping-particle" : "", "family" : "Ralley", "given" : "F", "non-dropping-particle" : "", "parse-names" : false, "suffix" : "" }, { "dropping-particle" : "", "family" : "Chin-Yee", "given" : "I", "non-dropping-particle" : "", "parse-names" : false, "suffix" : "" } ], "container-title" : "Transfusion Medicine", "id" : "ITEM-1", "issued" : { "date-parts" : [ [ "2005" ] ] }, "page" : "307-312", "title" : "A retrospective study evaluating single-unit red blood cell transfusions in reducing allogeneic blood exposure", "type" : "article-journal", "volume" : "15" }, "uris" : [ "http://www.mendeley.com/documents/?uuid=19ce6532-0258-4cc4-82a3-caf33c150805" ] }, { "id" : "ITEM-2", "itemData" : { "DOI" : "10.3324/haematol.2011.047035", "author" : [ { "dropping-particle" : "", "family" : "Berger", "given" : "Martin David", "non-dropping-particle" : "", "parse-names" : false, "suffix" : "" }, { "dropping-particle" : "", "family" : "Gerber", "given" : "Bernhard", "non-dropping-particle" : "", "parse-names" : false, "suffix" : "" }, { "dropping-particle" : "", "family" : "Arn", "given" : "Kornelius", "non-dropping-particle" : "", "parse-names" : false, "suffix" : "" }, { "dropping-particle" : "", "family" : "Senn", "given" : "Oliver", "non-dropping-particle" : "", "parse-names" : false, "suffix" : "" }, { "dropping-particle" : "", "family" : "Schanz", "given" : "Urs", "non-dropping-particle" : "", "parse-names" : false, "suffix" : "" }, { "dropping-particle" : "", "family" : "Stussi", "given" : "Georg", "non-dropping-particle" : "", "parse-names" : false, "suffix" : "" } ], "container-title" : "haematologica", "id" : "ITEM-2", "issue" : "1", "issued" : { "date-parts" : [ [ "2012" ] ] }, "page" : "116-122", "title" : "Significant reduction of red blood cell transfusion requirements by changing from a double-unit to a single-unit transfusion policy in patients receiving intensive chemotherapy or stem cell transplantation", "type" : "article-journal", "volume" : "97" }, "uris" : [ "http://www.mendeley.com/documents/?uuid=e3206e28-32bb-4aa7-9a73-14d547dcc572" ] } ], "mendeley" : { "previouslyFormattedCitation" : "&lt;sup&gt;6,7&lt;/sup&gt;" }, "properties" : { "noteIndex" : 0 }, "schema" : "https://github.com/citation-style-language/schema/raw/master/csl-citation.json" }</w:instrText>
            </w:r>
            <w:r>
              <w:rPr>
                <w:lang w:val="en-GB"/>
              </w:rPr>
              <w:fldChar w:fldCharType="separate"/>
            </w:r>
            <w:r w:rsidR="00CA27FC" w:rsidRPr="00CA27FC">
              <w:rPr>
                <w:noProof/>
                <w:vertAlign w:val="superscript"/>
                <w:lang w:val="en-GB"/>
              </w:rPr>
              <w:t>6,7</w:t>
            </w:r>
            <w:r>
              <w:rPr>
                <w:lang w:val="en-GB"/>
              </w:rPr>
              <w:fldChar w:fldCharType="end"/>
            </w:r>
            <w:r w:rsidRPr="00E81E0D">
              <w:rPr>
                <w:lang w:val="en-GB"/>
              </w:rPr>
              <w:t xml:space="preserve"> </w:t>
            </w:r>
          </w:p>
          <w:p w14:paraId="65E69939" w14:textId="77777777" w:rsidR="00A81ECD" w:rsidRPr="002F2396" w:rsidRDefault="00A81ECD" w:rsidP="00E81E0D">
            <w:pPr>
              <w:pStyle w:val="ListParagraph"/>
              <w:spacing w:after="200" w:line="276" w:lineRule="auto"/>
              <w:ind w:left="0"/>
              <w:contextualSpacing/>
              <w:rPr>
                <w:lang w:val="en-GB"/>
              </w:rPr>
            </w:pPr>
            <w:r w:rsidRPr="008406C2">
              <w:rPr>
                <w:lang w:val="en-GB"/>
              </w:rPr>
              <w:t>Transfusion is a live tissue transplant</w:t>
            </w:r>
            <w:r>
              <w:rPr>
                <w:lang w:val="en-GB"/>
              </w:rPr>
              <w:t xml:space="preserve"> and not without associated risks</w:t>
            </w:r>
            <w:r w:rsidR="00E81E0D">
              <w:rPr>
                <w:lang w:val="en-GB"/>
              </w:rPr>
              <w:t>.</w:t>
            </w:r>
            <w:r w:rsidRPr="008406C2" w:rsidDel="007C3A93">
              <w:rPr>
                <w:lang w:val="en-GB"/>
              </w:rPr>
              <w:t xml:space="preserve"> </w:t>
            </w:r>
          </w:p>
          <w:p w14:paraId="5A911A4A" w14:textId="77777777" w:rsidR="00A81ECD" w:rsidRPr="00C2091E" w:rsidRDefault="00A81ECD" w:rsidP="00E81E0D">
            <w:pPr>
              <w:pStyle w:val="ListParagraph"/>
              <w:spacing w:after="200" w:line="276" w:lineRule="auto"/>
              <w:ind w:left="0"/>
              <w:contextualSpacing/>
              <w:rPr>
                <w:lang w:val="en-GB"/>
              </w:rPr>
            </w:pPr>
            <w:r w:rsidRPr="00C2091E">
              <w:rPr>
                <w:lang w:val="en-GB"/>
              </w:rPr>
              <w:t>Optimis</w:t>
            </w:r>
            <w:r>
              <w:rPr>
                <w:lang w:val="en-GB"/>
              </w:rPr>
              <w:t>ing</w:t>
            </w:r>
            <w:r w:rsidRPr="00C2091E">
              <w:rPr>
                <w:lang w:val="en-GB"/>
              </w:rPr>
              <w:t xml:space="preserve"> patient tolerance of anaemia is one of the three pillars of patient blood management.</w:t>
            </w:r>
            <w:r w:rsidR="00295A1A">
              <w:rPr>
                <w:lang w:val="en-GB"/>
              </w:rPr>
              <w:fldChar w:fldCharType="begin" w:fldLock="1"/>
            </w:r>
            <w:r w:rsidR="00CA27FC">
              <w:rPr>
                <w:lang w:val="en-GB"/>
              </w:rPr>
              <w:instrText>ADDIN CSL_CITATION { "citationItems" : [ { "id" : "ITEM-1", "itemData" : { "author" : [ { "dropping-particle" : "", "family" : "National Blood Authority", "given" : "", "non-dropping-particle" : "", "parse-names" : false, "suffix" : "" } ], "id" : "ITEM-1", "issued" : { "date-parts" : [ [ "2012" ] ] }, "publisher-place" : "Canberra, Australia", "title" : "Patient blood management guidelines: Module 2 \u2013 Perioperative.", "type" : "book" }, "uris" : [ "http://www.mendeley.com/documents/?uuid=956cf09d-f9be-4289-a9d0-a6445424b170" ] }, { "id" : "ITEM-2", "itemData" : { "author" : [ { "dropping-particle" : "", "family" : "National Blood Authority", "given" : "", "non-dropping-particle" : "", "parse-names" : false, "suffix" : "" } ], "id" : "ITEM-2", "issued" : { "date-parts" : [ [ "2012" ] ] }, "publisher" : "National Blood Authority", "publisher-place" : "Canberra, Australia", "title" : "Patient blood management guidelines: Module 3 \u2013 Medical", "type" : "book" }, "uris" : [ "http://www.mendeley.com/documents/?uuid=0b45fa2d-24ab-49d5-a0df-007d328f5e3b" ] }, { "id" : "ITEM-3", "itemData" : { "author" : [ { "dropping-particle" : "", "family" : "National Blood Authority", "given" : "", "non-dropping-particle" : "", "parse-names" : false, "suffix" : "" } ], "id" : "ITEM-3", "issued" : { "date-parts" : [ [ "2011" ] ] }, "publisher-place" : "Canberra, Australia", "title" : "Patient Blood Management Guidelines: Module 1 - Critical Bleeding / Massive Transfusion", "type" : "book" }, "uris" : [ "http://www.mendeley.com/documents/?uuid=50da7b99-4c47-42eb-82ba-94405ba2c947" ] }, { "id" : "ITEM-4", "itemData" : { "author" : [ { "dropping-particle" : "", "family" : "National Blood Authority", "given" : "", "non-dropping-particle" : "", "parse-names" : false, "suffix" : "" } ], "id" : "ITEM-4", "issued" : { "date-parts" : [ [ "2013" ] ] }, "publisher-place" : "Canberra, Australia", "title" : "Patient blood management guidelines: Module 4 \u2013 Critical Care", "type" : "book" }, "uris" : [ "http://www.mendeley.com/documents/?uuid=ea39fd74-ab5a-47df-93c5-ce717f8041eb" ] } ], "mendeley" : { "previouslyFormattedCitation" : "&lt;sup&gt;3\u20135,11&lt;/sup&gt;" }, "properties" : { "noteIndex" : 0 }, "schema" : "https://github.com/citation-style-language/schema/raw/master/csl-citation.json" }</w:instrText>
            </w:r>
            <w:r w:rsidR="00295A1A">
              <w:rPr>
                <w:lang w:val="en-GB"/>
              </w:rPr>
              <w:fldChar w:fldCharType="separate"/>
            </w:r>
            <w:r w:rsidR="00CA27FC" w:rsidRPr="00CA27FC">
              <w:rPr>
                <w:noProof/>
                <w:vertAlign w:val="superscript"/>
                <w:lang w:val="en-GB"/>
              </w:rPr>
              <w:t>3–5,11</w:t>
            </w:r>
            <w:r w:rsidR="00295A1A">
              <w:rPr>
                <w:lang w:val="en-GB"/>
              </w:rPr>
              <w:fldChar w:fldCharType="end"/>
            </w:r>
            <w:r w:rsidRPr="00C2091E">
              <w:rPr>
                <w:lang w:val="en-GB"/>
              </w:rPr>
              <w:t xml:space="preserve"> </w:t>
            </w:r>
          </w:p>
          <w:p w14:paraId="0BAA6905" w14:textId="77777777" w:rsidR="00A81ECD" w:rsidRDefault="00A81ECD" w:rsidP="00E81E0D">
            <w:pPr>
              <w:pStyle w:val="ListParagraph"/>
              <w:spacing w:after="200" w:line="276" w:lineRule="auto"/>
              <w:ind w:left="0"/>
              <w:contextualSpacing/>
              <w:rPr>
                <w:b/>
                <w:lang w:val="en-GB"/>
              </w:rPr>
            </w:pPr>
            <w:r w:rsidRPr="00FC5712">
              <w:rPr>
                <w:b/>
                <w:lang w:val="en-GB"/>
              </w:rPr>
              <w:t>Risks associated with transfusion are dose dependent</w:t>
            </w:r>
            <w:r>
              <w:rPr>
                <w:b/>
                <w:lang w:val="en-GB"/>
              </w:rPr>
              <w:t xml:space="preserve">: </w:t>
            </w:r>
          </w:p>
          <w:p w14:paraId="238B9A04" w14:textId="77777777" w:rsidR="00A81ECD" w:rsidRPr="00DF7242" w:rsidRDefault="00A81ECD" w:rsidP="00E81E0D">
            <w:pPr>
              <w:numPr>
                <w:ilvl w:val="0"/>
                <w:numId w:val="10"/>
              </w:numPr>
              <w:spacing w:after="200" w:line="276" w:lineRule="auto"/>
              <w:contextualSpacing/>
              <w:rPr>
                <w:rFonts w:ascii="Calibri" w:hAnsi="Calibri" w:cs="Calibri"/>
                <w:sz w:val="22"/>
                <w:szCs w:val="20"/>
              </w:rPr>
            </w:pPr>
            <w:r w:rsidRPr="00DF7242">
              <w:rPr>
                <w:rFonts w:ascii="Calibri" w:hAnsi="Calibri" w:cs="Calibri"/>
                <w:sz w:val="22"/>
                <w:szCs w:val="20"/>
              </w:rPr>
              <w:t xml:space="preserve">Red blood cell transfusion </w:t>
            </w:r>
            <w:r w:rsidR="00690816">
              <w:rPr>
                <w:rFonts w:ascii="Calibri" w:hAnsi="Calibri" w:cs="Calibri"/>
                <w:sz w:val="22"/>
                <w:szCs w:val="20"/>
              </w:rPr>
              <w:t>may be</w:t>
            </w:r>
            <w:r w:rsidR="00690816" w:rsidRPr="00DF7242">
              <w:rPr>
                <w:rFonts w:ascii="Calibri" w:hAnsi="Calibri" w:cs="Calibri"/>
                <w:sz w:val="22"/>
                <w:szCs w:val="20"/>
              </w:rPr>
              <w:t xml:space="preserve"> </w:t>
            </w:r>
            <w:r w:rsidRPr="00DF7242">
              <w:rPr>
                <w:rFonts w:ascii="Calibri" w:hAnsi="Calibri" w:cs="Calibri"/>
                <w:sz w:val="22"/>
                <w:szCs w:val="20"/>
              </w:rPr>
              <w:t xml:space="preserve">associated with a dose-dependent increased risk of nosocomial infection and </w:t>
            </w:r>
            <w:r w:rsidRPr="00E81E0D">
              <w:rPr>
                <w:rFonts w:ascii="Calibri" w:hAnsi="Calibri" w:cs="Calibri"/>
                <w:sz w:val="22"/>
                <w:szCs w:val="20"/>
              </w:rPr>
              <w:t>other morbidities.</w:t>
            </w:r>
            <w:r w:rsidRPr="00E81E0D">
              <w:rPr>
                <w:rFonts w:ascii="Calibri" w:hAnsi="Calibri" w:cs="Calibri"/>
                <w:sz w:val="22"/>
                <w:szCs w:val="20"/>
              </w:rPr>
              <w:fldChar w:fldCharType="begin" w:fldLock="1"/>
            </w:r>
            <w:r w:rsidR="00CA27FC">
              <w:rPr>
                <w:rFonts w:ascii="Calibri" w:hAnsi="Calibri" w:cs="Calibri"/>
                <w:sz w:val="22"/>
                <w:szCs w:val="20"/>
              </w:rPr>
              <w:instrText>ADDIN CSL_CITATION { "citationItems" : [ { "id" : "ITEM-1", "itemData" : { "author" : [ { "dropping-particle" : "", "family" : "Koch CG  Duncan AI et al", "given" : "Li L", "non-dropping-particle" : "", "parse-names" : false, "suffix" : "" } ], "container-title" : "Crit Care Med 2006", "id" : "ITEM-1", "issue" : "34", "issued" : { "date-parts" : [ [ "2006" ] ] }, "page" : "1608-1616", "title" : "Morbidity and mortality risk associated with red blood cell and blood-component transfusion in isolated coronary artery bypass grafting.", "type" : "article-journal", "volume" : "34" }, "uris" : [ "http://www.mendeley.com/documents/?uuid=92a943f7-35b9-4e46-948d-e1033d47cc97" ] }, { "id" : "ITEM-2", "itemData" : { "author" : [ { "dropping-particle" : "", "family" : "Hajjar LA Vincent JL et al.", "given" : "", "non-dropping-particle" : "", "parse-names" : false, "suffix" : "" } ], "container-title" : "JAMA - Journal of the American Medical Association", "id" : "ITEM-2", "issue" : "304", "issued" : { "date-parts" : [ [ "0" ] ] }, "page" : "304:1559-1567", "title" : "Transfusion requirements after cardiac surgery: the TRACS randomised controlled trial.", "type" : "article-journal", "volume" : "304" }, "uris" : [ "http://www.mendeley.com/documents/?uuid=f204d20a-6164-4ae2-8c61-0482cc10f507" ] } ], "mendeley" : { "previouslyFormattedCitation" : "&lt;sup&gt;12,13&lt;/sup&gt;" }, "properties" : { "noteIndex" : 0 }, "schema" : "https://github.com/citation-style-language/schema/raw/master/csl-citation.json" }</w:instrText>
            </w:r>
            <w:r w:rsidRPr="00E81E0D">
              <w:rPr>
                <w:rFonts w:ascii="Calibri" w:hAnsi="Calibri" w:cs="Calibri"/>
                <w:sz w:val="22"/>
                <w:szCs w:val="20"/>
              </w:rPr>
              <w:fldChar w:fldCharType="separate"/>
            </w:r>
            <w:r w:rsidR="00CA27FC" w:rsidRPr="00CA27FC">
              <w:rPr>
                <w:rFonts w:ascii="Calibri" w:hAnsi="Calibri" w:cs="Calibri"/>
                <w:noProof/>
                <w:sz w:val="22"/>
                <w:szCs w:val="20"/>
                <w:vertAlign w:val="superscript"/>
              </w:rPr>
              <w:t>12,13</w:t>
            </w:r>
            <w:r w:rsidRPr="00E81E0D">
              <w:rPr>
                <w:rFonts w:ascii="Calibri" w:hAnsi="Calibri" w:cs="Calibri"/>
                <w:sz w:val="22"/>
                <w:szCs w:val="20"/>
              </w:rPr>
              <w:fldChar w:fldCharType="end"/>
            </w:r>
            <w:r w:rsidRPr="00DF7242">
              <w:rPr>
                <w:rFonts w:ascii="Calibri" w:hAnsi="Calibri" w:cs="Calibri"/>
                <w:sz w:val="22"/>
                <w:szCs w:val="20"/>
              </w:rPr>
              <w:t xml:space="preserve"> For further information on transfusion risks see Appendix B of the national Patient Blood Management Guidelines.</w:t>
            </w:r>
            <w:r w:rsidR="00295A1A">
              <w:rPr>
                <w:rFonts w:ascii="Calibri" w:hAnsi="Calibri" w:cs="Calibri"/>
                <w:sz w:val="22"/>
                <w:szCs w:val="20"/>
              </w:rPr>
              <w:fldChar w:fldCharType="begin" w:fldLock="1"/>
            </w:r>
            <w:r w:rsidR="00CA27FC">
              <w:rPr>
                <w:rFonts w:ascii="Calibri" w:hAnsi="Calibri" w:cs="Calibri"/>
                <w:sz w:val="22"/>
                <w:szCs w:val="20"/>
              </w:rPr>
              <w:instrText>ADDIN CSL_CITATION { "citationItems" : [ { "id" : "ITEM-1", "itemData" : { "author" : [ { "dropping-particle" : "", "family" : "National Blood Authority", "given" : "", "non-dropping-particle" : "", "parse-names" : false, "suffix" : "" } ], "id" : "ITEM-1", "issued" : { "date-parts" : [ [ "2012" ] ] }, "publisher-place" : "Canberra, Australia", "title" : "Patient blood management guidelines: Module 2 \u2013 Perioperative.", "type" : "book" }, "uris" : [ "http://www.mendeley.com/documents/?uuid=956cf09d-f9be-4289-a9d0-a6445424b170" ] }, { "id" : "ITEM-2", "itemData" : { "author" : [ { "dropping-particle" : "", "family" : "National Blood Authority", "given" : "", "non-dropping-particle" : "", "parse-names" : false, "suffix" : "" } ], "id" : "ITEM-2", "issued" : { "date-parts" : [ [ "2012" ] ] }, "publisher" : "National Blood Authority", "publisher-place" : "Canberra, Australia", "title" : "Patient blood management guidelines: Module 3 \u2013 Medical", "type" : "book" }, "uris" : [ "http://www.mendeley.com/documents/?uuid=0b45fa2d-24ab-49d5-a0df-007d328f5e3b" ] }, { "id" : "ITEM-3", "itemData" : { "author" : [ { "dropping-particle" : "", "family" : "National Blood Authority", "given" : "", "non-dropping-particle" : "", "parse-names" : false, "suffix" : "" } ], "id" : "ITEM-3", "issued" : { "date-parts" : [ [ "2011" ] ] }, "publisher-place" : "Canberra, Australia", "title" : "Patient Blood Management Guidelines: Module 1 - Critical Bleeding / Massive Transfusion", "type" : "book" }, "uris" : [ "http://www.mendeley.com/documents/?uuid=50da7b99-4c47-42eb-82ba-94405ba2c947" ] }, { "id" : "ITEM-4", "itemData" : { "author" : [ { "dropping-particle" : "", "family" : "National Blood Authority", "given" : "", "non-dropping-particle" : "", "parse-names" : false, "suffix" : "" } ], "id" : "ITEM-4", "issued" : { "date-parts" : [ [ "2013" ] ] }, "publisher-place" : "Canberra, Australia", "title" : "Patient blood management guidelines: Module 4 \u2013 Critical Care", "type" : "book" }, "uris" : [ "http://www.mendeley.com/documents/?uuid=ea39fd74-ab5a-47df-93c5-ce717f8041eb" ] } ], "mendeley" : { "previouslyFormattedCitation" : "&lt;sup&gt;3\u20135,11&lt;/sup&gt;" }, "properties" : { "noteIndex" : 0 }, "schema" : "https://github.com/citation-style-language/schema/raw/master/csl-citation.json" }</w:instrText>
            </w:r>
            <w:r w:rsidR="00295A1A">
              <w:rPr>
                <w:rFonts w:ascii="Calibri" w:hAnsi="Calibri" w:cs="Calibri"/>
                <w:sz w:val="22"/>
                <w:szCs w:val="20"/>
              </w:rPr>
              <w:fldChar w:fldCharType="separate"/>
            </w:r>
            <w:r w:rsidR="00CA27FC" w:rsidRPr="00CA27FC">
              <w:rPr>
                <w:rFonts w:ascii="Calibri" w:hAnsi="Calibri" w:cs="Calibri"/>
                <w:noProof/>
                <w:sz w:val="22"/>
                <w:szCs w:val="20"/>
                <w:vertAlign w:val="superscript"/>
              </w:rPr>
              <w:t>3–5,11</w:t>
            </w:r>
            <w:r w:rsidR="00295A1A">
              <w:rPr>
                <w:rFonts w:ascii="Calibri" w:hAnsi="Calibri" w:cs="Calibri"/>
                <w:sz w:val="22"/>
                <w:szCs w:val="20"/>
              </w:rPr>
              <w:fldChar w:fldCharType="end"/>
            </w:r>
            <w:r w:rsidR="0033265A" w:rsidRPr="00DF7242">
              <w:rPr>
                <w:rFonts w:ascii="Calibri" w:hAnsi="Calibri" w:cs="Calibri"/>
                <w:sz w:val="22"/>
                <w:szCs w:val="20"/>
              </w:rPr>
              <w:t xml:space="preserve"> </w:t>
            </w:r>
          </w:p>
          <w:p w14:paraId="3DA063F2" w14:textId="77777777" w:rsidR="00A81ECD" w:rsidRPr="004F3710" w:rsidRDefault="00A81ECD" w:rsidP="00E81E0D">
            <w:pPr>
              <w:pStyle w:val="ListParagraph"/>
              <w:numPr>
                <w:ilvl w:val="0"/>
                <w:numId w:val="10"/>
              </w:numPr>
              <w:spacing w:after="200" w:line="276" w:lineRule="auto"/>
              <w:contextualSpacing/>
              <w:rPr>
                <w:b/>
                <w:lang w:val="en-GB"/>
              </w:rPr>
            </w:pPr>
            <w:r w:rsidRPr="00B060FF">
              <w:rPr>
                <w:lang w:val="en-GB"/>
              </w:rPr>
              <w:t xml:space="preserve">If one unit has achieved the stated outcome for the transfusion, </w:t>
            </w:r>
            <w:r>
              <w:rPr>
                <w:lang w:val="en-GB"/>
              </w:rPr>
              <w:t xml:space="preserve">for example improvement in clinical signs and symptoms of anaemia, </w:t>
            </w:r>
            <w:r w:rsidRPr="00B060FF">
              <w:rPr>
                <w:lang w:val="en-GB"/>
              </w:rPr>
              <w:t>further units will only increase the risks.</w:t>
            </w:r>
          </w:p>
          <w:p w14:paraId="4D27023F" w14:textId="77777777" w:rsidR="00A81ECD" w:rsidRPr="00DA72CB" w:rsidRDefault="00A81ECD" w:rsidP="00E81E0D">
            <w:pPr>
              <w:pStyle w:val="ListParagraph"/>
              <w:spacing w:after="200" w:line="276" w:lineRule="auto"/>
              <w:ind w:left="0"/>
              <w:contextualSpacing/>
              <w:rPr>
                <w:lang w:val="en-GB"/>
              </w:rPr>
            </w:pPr>
            <w:r>
              <w:rPr>
                <w:lang w:val="en-GB"/>
              </w:rPr>
              <w:t xml:space="preserve">It is important to ensure that </w:t>
            </w:r>
            <w:r w:rsidRPr="00451D63">
              <w:rPr>
                <w:lang w:val="en-GB"/>
              </w:rPr>
              <w:t>practice align</w:t>
            </w:r>
            <w:r>
              <w:rPr>
                <w:lang w:val="en-GB"/>
              </w:rPr>
              <w:t>s</w:t>
            </w:r>
            <w:r w:rsidRPr="00451D63">
              <w:rPr>
                <w:lang w:val="en-GB"/>
              </w:rPr>
              <w:t xml:space="preserve"> with the</w:t>
            </w:r>
            <w:r>
              <w:rPr>
                <w:lang w:val="en-GB"/>
              </w:rPr>
              <w:t xml:space="preserve"> n</w:t>
            </w:r>
            <w:r w:rsidRPr="00DA72CB">
              <w:rPr>
                <w:lang w:val="en-GB"/>
              </w:rPr>
              <w:t>ational Patient Blood Management Guidelines (</w:t>
            </w:r>
            <w:r w:rsidRPr="00DA72CB">
              <w:rPr>
                <w:i/>
                <w:lang w:val="en-GB"/>
              </w:rPr>
              <w:t>Module 2 – Perioperative,</w:t>
            </w:r>
            <w:r w:rsidRPr="00DA72CB">
              <w:rPr>
                <w:lang w:val="en-GB"/>
              </w:rPr>
              <w:t xml:space="preserve"> </w:t>
            </w:r>
            <w:r w:rsidRPr="00DA72CB">
              <w:rPr>
                <w:i/>
                <w:lang w:val="en-GB"/>
              </w:rPr>
              <w:t>Module 3 - Medical</w:t>
            </w:r>
            <w:r w:rsidRPr="00DA72CB">
              <w:rPr>
                <w:lang w:val="en-GB"/>
              </w:rPr>
              <w:t xml:space="preserve"> and </w:t>
            </w:r>
            <w:r w:rsidRPr="00DA72CB">
              <w:rPr>
                <w:i/>
                <w:lang w:val="en-GB"/>
              </w:rPr>
              <w:t>Module 4 - Critical Care</w:t>
            </w:r>
            <w:r w:rsidR="00414F5F">
              <w:rPr>
                <w:lang w:val="en-GB"/>
              </w:rPr>
              <w:t xml:space="preserve">) </w:t>
            </w:r>
            <w:r w:rsidR="00766F24">
              <w:rPr>
                <w:lang w:val="en-GB"/>
              </w:rPr>
              <w:t>that</w:t>
            </w:r>
            <w:r w:rsidR="00486259">
              <w:rPr>
                <w:lang w:val="en-GB"/>
              </w:rPr>
              <w:t xml:space="preserve"> </w:t>
            </w:r>
            <w:r w:rsidR="00414F5F">
              <w:rPr>
                <w:lang w:val="en-GB"/>
              </w:rPr>
              <w:t>support</w:t>
            </w:r>
            <w:r w:rsidRPr="00DA72CB">
              <w:rPr>
                <w:lang w:val="en-GB"/>
              </w:rPr>
              <w:t xml:space="preserve"> single unit </w:t>
            </w:r>
            <w:r>
              <w:rPr>
                <w:lang w:val="en-GB"/>
              </w:rPr>
              <w:t>transfusion</w:t>
            </w:r>
            <w:r w:rsidRPr="00DA72CB">
              <w:rPr>
                <w:lang w:val="en-GB"/>
              </w:rPr>
              <w:t>.</w:t>
            </w:r>
          </w:p>
          <w:p w14:paraId="6C8E01BA" w14:textId="77777777" w:rsidR="00032947" w:rsidRPr="003B03FF" w:rsidRDefault="00032947" w:rsidP="00E81E0D">
            <w:pPr>
              <w:spacing w:after="200" w:line="276" w:lineRule="auto"/>
              <w:contextualSpacing/>
              <w:rPr>
                <w:rFonts w:ascii="Calibri" w:hAnsi="Calibri" w:cs="Calibri"/>
                <w:sz w:val="22"/>
                <w:szCs w:val="22"/>
              </w:rPr>
            </w:pPr>
            <w:r w:rsidRPr="008C4D33">
              <w:rPr>
                <w:rFonts w:ascii="Calibri" w:eastAsia="Calibri" w:hAnsi="Calibri" w:cs="Calibri"/>
                <w:sz w:val="22"/>
                <w:szCs w:val="22"/>
                <w:lang w:eastAsia="en-US"/>
              </w:rPr>
              <w:t xml:space="preserve">The </w:t>
            </w:r>
            <w:hyperlink r:id="rId14" w:history="1">
              <w:r w:rsidRPr="00A44613">
                <w:rPr>
                  <w:rStyle w:val="Hyperlink"/>
                  <w:rFonts w:ascii="Calibri" w:eastAsia="Calibri" w:hAnsi="Calibri" w:cs="Calibri"/>
                  <w:sz w:val="22"/>
                  <w:szCs w:val="22"/>
                  <w:lang w:eastAsia="en-US"/>
                </w:rPr>
                <w:t>National Safety and Quality Health Service Standard 7</w:t>
              </w:r>
              <w:r w:rsidR="00B61C7D" w:rsidRPr="00A44613">
                <w:rPr>
                  <w:rStyle w:val="Hyperlink"/>
                  <w:rFonts w:ascii="Calibri" w:eastAsia="Calibri" w:hAnsi="Calibri" w:cs="Calibri"/>
                  <w:sz w:val="22"/>
                  <w:szCs w:val="22"/>
                  <w:lang w:eastAsia="en-US"/>
                </w:rPr>
                <w:t>:</w:t>
              </w:r>
              <w:r w:rsidRPr="00A44613">
                <w:rPr>
                  <w:rStyle w:val="Hyperlink"/>
                  <w:rFonts w:ascii="Calibri" w:eastAsia="Calibri" w:hAnsi="Calibri" w:cs="Calibri"/>
                  <w:sz w:val="22"/>
                  <w:szCs w:val="22"/>
                  <w:lang w:eastAsia="en-US"/>
                </w:rPr>
                <w:t xml:space="preserve"> Blood and Blood Products</w:t>
              </w:r>
            </w:hyperlink>
            <w:r w:rsidRPr="008C4D33">
              <w:rPr>
                <w:rFonts w:ascii="Calibri" w:eastAsia="Calibri" w:hAnsi="Calibri" w:cs="Calibri"/>
                <w:sz w:val="22"/>
                <w:szCs w:val="22"/>
                <w:lang w:eastAsia="en-US"/>
              </w:rPr>
              <w:t xml:space="preserve"> require</w:t>
            </w:r>
            <w:r w:rsidR="00615158">
              <w:rPr>
                <w:rFonts w:ascii="Calibri" w:eastAsia="Calibri" w:hAnsi="Calibri" w:cs="Calibri"/>
                <w:sz w:val="22"/>
                <w:szCs w:val="22"/>
                <w:lang w:eastAsia="en-US"/>
              </w:rPr>
              <w:t>s</w:t>
            </w:r>
            <w:r w:rsidRPr="008C4D33">
              <w:rPr>
                <w:rFonts w:ascii="Calibri" w:eastAsia="Calibri" w:hAnsi="Calibri" w:cs="Calibri"/>
                <w:sz w:val="22"/>
                <w:szCs w:val="22"/>
                <w:lang w:eastAsia="en-US"/>
              </w:rPr>
              <w:t xml:space="preserve"> blood and blood product policies and procedures to be consistent with national evidence based guidelines for pre-transfusion practices, prescribing and clinical use of blood and blood products.</w:t>
            </w:r>
            <w:r w:rsidR="0004035B">
              <w:rPr>
                <w:rFonts w:ascii="Calibri" w:eastAsia="Calibri" w:hAnsi="Calibri" w:cs="Calibri"/>
                <w:sz w:val="22"/>
                <w:szCs w:val="22"/>
                <w:lang w:eastAsia="en-US"/>
              </w:rPr>
              <w:fldChar w:fldCharType="begin" w:fldLock="1"/>
            </w:r>
            <w:r w:rsidR="00CA27FC">
              <w:rPr>
                <w:rFonts w:ascii="Calibri" w:eastAsia="Calibri" w:hAnsi="Calibri" w:cs="Calibri"/>
                <w:sz w:val="22"/>
                <w:szCs w:val="22"/>
                <w:lang w:eastAsia="en-US"/>
              </w:rPr>
              <w:instrText>ADDIN CSL_CITATION { "citationItems" : [ { "id" : "ITEM-1", "itemData" : { "author" : [ { "dropping-particle" : "", "family" : "Australian Commission on Safety and Quality in Healthcare", "given" : "", "non-dropping-particle" : "", "parse-names" : false, "suffix" : "" } ], "container-title" : "ACSQHC", "id" : "ITEM-1", "issued" : { "date-parts" : [ [ "2012" ] ] }, "title" : "Safety and Quality Improvement Guide Standard 7: Blood and Blood Products", "type" : "book" }, "uris" : [ "http://www.mendeley.com/documents/?uuid=bc00cee3-5cc2-41e6-8c61-bd93566fb71a" ] } ], "mendeley" : { "previouslyFormattedCitation" : "&lt;sup&gt;14&lt;/sup&gt;" }, "properties" : { "noteIndex" : 0 }, "schema" : "https://github.com/citation-style-language/schema/raw/master/csl-citation.json" }</w:instrText>
            </w:r>
            <w:r w:rsidR="0004035B">
              <w:rPr>
                <w:rFonts w:ascii="Calibri" w:eastAsia="Calibri" w:hAnsi="Calibri" w:cs="Calibri"/>
                <w:sz w:val="22"/>
                <w:szCs w:val="22"/>
                <w:lang w:eastAsia="en-US"/>
              </w:rPr>
              <w:fldChar w:fldCharType="separate"/>
            </w:r>
            <w:r w:rsidR="00CA27FC" w:rsidRPr="00CA27FC">
              <w:rPr>
                <w:rFonts w:ascii="Calibri" w:eastAsia="Calibri" w:hAnsi="Calibri" w:cs="Calibri"/>
                <w:noProof/>
                <w:sz w:val="22"/>
                <w:szCs w:val="22"/>
                <w:vertAlign w:val="superscript"/>
                <w:lang w:eastAsia="en-US"/>
              </w:rPr>
              <w:t>14</w:t>
            </w:r>
            <w:r w:rsidR="0004035B">
              <w:rPr>
                <w:rFonts w:ascii="Calibri" w:eastAsia="Calibri" w:hAnsi="Calibri" w:cs="Calibri"/>
                <w:sz w:val="22"/>
                <w:szCs w:val="22"/>
                <w:lang w:eastAsia="en-US"/>
              </w:rPr>
              <w:fldChar w:fldCharType="end"/>
            </w:r>
            <w:r w:rsidRPr="008C4D33">
              <w:rPr>
                <w:rFonts w:ascii="Calibri" w:eastAsia="Calibri" w:hAnsi="Calibri" w:cs="Calibri"/>
                <w:sz w:val="22"/>
                <w:szCs w:val="22"/>
                <w:lang w:eastAsia="en-US"/>
              </w:rPr>
              <w:t xml:space="preserve">  </w:t>
            </w:r>
          </w:p>
          <w:p w14:paraId="1EE52A6B" w14:textId="77777777" w:rsidR="00171063" w:rsidRPr="00C222D3" w:rsidRDefault="00171063" w:rsidP="00E81E0D">
            <w:pPr>
              <w:numPr>
                <w:ilvl w:val="0"/>
                <w:numId w:val="10"/>
              </w:numPr>
              <w:spacing w:after="200" w:line="276" w:lineRule="auto"/>
              <w:contextualSpacing/>
              <w:rPr>
                <w:rFonts w:ascii="Calibri" w:eastAsia="Calibri" w:hAnsi="Calibri" w:cs="Calibri"/>
                <w:sz w:val="22"/>
              </w:rPr>
            </w:pPr>
            <w:r w:rsidRPr="00C222D3">
              <w:rPr>
                <w:rFonts w:ascii="Calibri" w:eastAsia="Calibri" w:hAnsi="Calibri" w:cs="Calibri"/>
                <w:sz w:val="22"/>
              </w:rPr>
              <w:t xml:space="preserve">7.1.1 Blood &amp; blood product policies, procedures and/or protocols are </w:t>
            </w:r>
            <w:r w:rsidRPr="00C222D3">
              <w:rPr>
                <w:rFonts w:ascii="Calibri" w:eastAsia="Calibri" w:hAnsi="Calibri" w:cs="Calibri"/>
                <w:b/>
                <w:sz w:val="22"/>
              </w:rPr>
              <w:t>consistent with national evidence</w:t>
            </w:r>
            <w:r w:rsidR="00CA27FC">
              <w:rPr>
                <w:rFonts w:ascii="Calibri" w:eastAsia="Calibri" w:hAnsi="Calibri" w:cs="Calibri"/>
                <w:b/>
                <w:sz w:val="22"/>
              </w:rPr>
              <w:t xml:space="preserve"> </w:t>
            </w:r>
            <w:r w:rsidRPr="00C222D3">
              <w:rPr>
                <w:rFonts w:ascii="Calibri" w:eastAsia="Calibri" w:hAnsi="Calibri" w:cs="Calibri"/>
                <w:b/>
                <w:sz w:val="22"/>
              </w:rPr>
              <w:t>based guidelines</w:t>
            </w:r>
            <w:r w:rsidRPr="00C222D3">
              <w:rPr>
                <w:rFonts w:ascii="Calibri" w:eastAsia="Calibri" w:hAnsi="Calibri" w:cs="Calibri"/>
                <w:sz w:val="22"/>
              </w:rPr>
              <w:t xml:space="preserve"> for pre-transfusion practices, prescribing &amp; clinical use of blood &amp; blood products</w:t>
            </w:r>
          </w:p>
          <w:p w14:paraId="5899096F" w14:textId="77777777" w:rsidR="00171063" w:rsidRPr="00C222D3" w:rsidRDefault="00171063" w:rsidP="00E81E0D">
            <w:pPr>
              <w:numPr>
                <w:ilvl w:val="0"/>
                <w:numId w:val="10"/>
              </w:numPr>
              <w:spacing w:after="200" w:line="276" w:lineRule="auto"/>
              <w:contextualSpacing/>
              <w:rPr>
                <w:rFonts w:ascii="Calibri" w:eastAsia="Calibri" w:hAnsi="Calibri" w:cs="Calibri"/>
                <w:sz w:val="22"/>
              </w:rPr>
            </w:pPr>
            <w:r w:rsidRPr="00C222D3">
              <w:rPr>
                <w:rFonts w:ascii="Calibri" w:eastAsia="Calibri" w:hAnsi="Calibri" w:cs="Calibri"/>
                <w:sz w:val="22"/>
              </w:rPr>
              <w:t xml:space="preserve">7.1.3 Action is taken to </w:t>
            </w:r>
            <w:r w:rsidRPr="00C222D3">
              <w:rPr>
                <w:rFonts w:ascii="Calibri" w:eastAsia="Calibri" w:hAnsi="Calibri" w:cs="Calibri"/>
                <w:b/>
                <w:sz w:val="22"/>
              </w:rPr>
              <w:t>increase the safety &amp; appropriateness</w:t>
            </w:r>
            <w:r w:rsidRPr="00C222D3">
              <w:rPr>
                <w:rFonts w:ascii="Calibri" w:eastAsia="Calibri" w:hAnsi="Calibri" w:cs="Calibri"/>
                <w:sz w:val="22"/>
              </w:rPr>
              <w:t xml:space="preserve"> of prescribing &amp; clinically using blood &amp; blood products</w:t>
            </w:r>
          </w:p>
          <w:p w14:paraId="020BDADE" w14:textId="77777777" w:rsidR="00171063" w:rsidRPr="00C222D3" w:rsidRDefault="00171063" w:rsidP="00E81E0D">
            <w:pPr>
              <w:numPr>
                <w:ilvl w:val="0"/>
                <w:numId w:val="10"/>
              </w:numPr>
              <w:spacing w:after="200" w:line="276" w:lineRule="auto"/>
              <w:contextualSpacing/>
              <w:rPr>
                <w:rFonts w:ascii="Calibri" w:eastAsia="Calibri" w:hAnsi="Calibri" w:cs="Calibri"/>
                <w:sz w:val="22"/>
              </w:rPr>
            </w:pPr>
            <w:r w:rsidRPr="00C222D3">
              <w:rPr>
                <w:rFonts w:ascii="Calibri" w:eastAsia="Calibri" w:hAnsi="Calibri" w:cs="Calibri"/>
                <w:sz w:val="22"/>
              </w:rPr>
              <w:t xml:space="preserve">7.2.2 Action is taken to </w:t>
            </w:r>
            <w:r w:rsidRPr="00C222D3">
              <w:rPr>
                <w:rFonts w:ascii="Calibri" w:eastAsia="Calibri" w:hAnsi="Calibri" w:cs="Calibri"/>
                <w:b/>
                <w:sz w:val="22"/>
              </w:rPr>
              <w:t>reduce the risks</w:t>
            </w:r>
            <w:r w:rsidRPr="00C222D3">
              <w:rPr>
                <w:rFonts w:ascii="Calibri" w:eastAsia="Calibri" w:hAnsi="Calibri" w:cs="Calibri"/>
                <w:sz w:val="22"/>
              </w:rPr>
              <w:t xml:space="preserve"> associated with transfusion practices &amp; the clinical use of blood and blood products</w:t>
            </w:r>
          </w:p>
          <w:p w14:paraId="1BD82D93" w14:textId="77777777" w:rsidR="00171063" w:rsidRPr="00C222D3" w:rsidRDefault="00171063" w:rsidP="00E81E0D">
            <w:pPr>
              <w:numPr>
                <w:ilvl w:val="0"/>
                <w:numId w:val="10"/>
              </w:numPr>
              <w:spacing w:after="200" w:line="276" w:lineRule="auto"/>
              <w:contextualSpacing/>
              <w:rPr>
                <w:rFonts w:ascii="Calibri" w:eastAsia="Calibri" w:hAnsi="Calibri" w:cs="Calibri"/>
                <w:sz w:val="22"/>
              </w:rPr>
            </w:pPr>
            <w:r w:rsidRPr="00C222D3">
              <w:rPr>
                <w:rFonts w:ascii="Calibri" w:eastAsia="Calibri" w:hAnsi="Calibri" w:cs="Calibri"/>
                <w:sz w:val="22"/>
              </w:rPr>
              <w:t>7.4.1 Quality improvement activities are undertaken to reduce the risks of patient harm from transfusion practices &amp; the clinical use of blood &amp; blood products</w:t>
            </w:r>
          </w:p>
          <w:p w14:paraId="4F591959" w14:textId="77777777" w:rsidR="00032947" w:rsidRPr="008C4D33" w:rsidRDefault="00032947" w:rsidP="00E81E0D">
            <w:pPr>
              <w:spacing w:after="200" w:line="276" w:lineRule="auto"/>
              <w:contextualSpacing/>
              <w:rPr>
                <w:rFonts w:ascii="Calibri" w:hAnsi="Calibri" w:cs="Calibri"/>
                <w:sz w:val="22"/>
                <w:szCs w:val="22"/>
              </w:rPr>
            </w:pPr>
            <w:r w:rsidRPr="008C4D33">
              <w:rPr>
                <w:rFonts w:ascii="Calibri" w:hAnsi="Calibri" w:cs="Calibri"/>
                <w:sz w:val="22"/>
                <w:szCs w:val="22"/>
              </w:rPr>
              <w:t xml:space="preserve">Single unit transfusions are </w:t>
            </w:r>
            <w:r w:rsidR="00A81ECD">
              <w:rPr>
                <w:rFonts w:ascii="Calibri" w:hAnsi="Calibri" w:cs="Calibri"/>
                <w:sz w:val="22"/>
                <w:szCs w:val="22"/>
              </w:rPr>
              <w:t>appropriate</w:t>
            </w:r>
            <w:r w:rsidR="00A81ECD" w:rsidRPr="008C4D33">
              <w:rPr>
                <w:rFonts w:ascii="Calibri" w:hAnsi="Calibri" w:cs="Calibri"/>
                <w:sz w:val="22"/>
                <w:szCs w:val="22"/>
              </w:rPr>
              <w:t xml:space="preserve"> </w:t>
            </w:r>
            <w:r w:rsidRPr="008C4D33">
              <w:rPr>
                <w:rFonts w:ascii="Calibri" w:hAnsi="Calibri" w:cs="Calibri"/>
                <w:sz w:val="22"/>
                <w:szCs w:val="22"/>
              </w:rPr>
              <w:t xml:space="preserve">in </w:t>
            </w:r>
            <w:r w:rsidR="00A81ECD" w:rsidRPr="00B718C8">
              <w:rPr>
                <w:rFonts w:ascii="Calibri" w:hAnsi="Calibri" w:cs="Calibri"/>
                <w:sz w:val="22"/>
                <w:szCs w:val="22"/>
              </w:rPr>
              <w:t xml:space="preserve">adult patients, in an inpatient setting, who do not have clinically </w:t>
            </w:r>
            <w:r w:rsidR="00A81ECD" w:rsidRPr="00B718C8">
              <w:rPr>
                <w:rFonts w:ascii="Calibri" w:hAnsi="Calibri" w:cs="Calibri"/>
                <w:sz w:val="22"/>
                <w:szCs w:val="22"/>
              </w:rPr>
              <w:lastRenderedPageBreak/>
              <w:t>significant bleeding</w:t>
            </w:r>
            <w:r w:rsidRPr="008C4D33">
              <w:rPr>
                <w:rFonts w:ascii="Calibri" w:hAnsi="Calibri" w:cs="Calibri"/>
                <w:sz w:val="22"/>
                <w:szCs w:val="22"/>
              </w:rPr>
              <w:t xml:space="preserve"> and </w:t>
            </w:r>
            <w:r w:rsidR="00690816">
              <w:rPr>
                <w:rFonts w:ascii="Calibri" w:hAnsi="Calibri" w:cs="Calibri"/>
                <w:sz w:val="22"/>
                <w:szCs w:val="22"/>
              </w:rPr>
              <w:t xml:space="preserve">may </w:t>
            </w:r>
            <w:r w:rsidRPr="008C4D33">
              <w:rPr>
                <w:rFonts w:ascii="Calibri" w:hAnsi="Calibri" w:cs="Calibri"/>
                <w:sz w:val="22"/>
                <w:szCs w:val="22"/>
              </w:rPr>
              <w:t>reduce transfusion associated morbidity and mortality.</w:t>
            </w:r>
            <w:r w:rsidR="0091670C">
              <w:rPr>
                <w:rFonts w:ascii="Calibri" w:hAnsi="Calibri" w:cs="Calibri"/>
                <w:sz w:val="22"/>
                <w:szCs w:val="22"/>
              </w:rPr>
              <w:fldChar w:fldCharType="begin" w:fldLock="1"/>
            </w:r>
            <w:r w:rsidR="00CA27FC">
              <w:rPr>
                <w:rFonts w:ascii="Calibri" w:hAnsi="Calibri" w:cs="Calibri"/>
                <w:sz w:val="22"/>
                <w:szCs w:val="22"/>
              </w:rPr>
              <w:instrText>ADDIN CSL_CITATION { "citationItems" : [ { "id" : "ITEM-1", "itemData" : { "author" : [ { "dropping-particle" : "", "family" : "The British Committee for Standards in Haematology", "given" : "", "non-dropping-particle" : "", "parse-names" : false, "suffix" : "" } ], "id" : "ITEM-1", "issue" : "August", "issued" : { "date-parts" : [ [ "2012" ] ] }, "page" : "1-4", "title" : "Guidelines on the Administration of Blood Components. Addendum to Administration of Blood Components, August 2012", "type" : "article-journal" }, "uris" : [ "http://www.mendeley.com/documents/?uuid=57a24f16-b5f2-461f-b1a8-01a5254b1f19" ] }, { "id" : "ITEM-2", "itemData" : { "abstract" : "Although approximately 85 million units of red blood cells (RBCs) are transfused annually worldwide, transfusion practices vary widely. The AABB (formerly, the American Association of Blood Banks) developed this guideline to provide clinical recommendations about hemoglobin concentration thresholds and other clinical variables that trigger RBC transfusions in hemodynamically stable adults and children.", "author" : [ { "dropping-particle" : "", "family" : "Carson", "given" : "Jeffrey L", "non-dropping-particle" : "", "parse-names" : false, "suffix" : "" } ], "container-title" : "Annals of Internal Medicine", "id" : "ITEM-2", "issue" : "1", "issued" : { "date-parts" : [ [ "2012" ] ] }, "page" : "49-58", "title" : "Red blood cell transfusion: a clinical practice guideline from the AABB", "type" : "article-journal", "volume" : "157" }, "uris" : [ "http://www.mendeley.com/documents/?uuid=1f2a47bc-9d7f-4b77-bdbd-6028e884fabb" ] } ], "mendeley" : { "previouslyFormattedCitation" : "&lt;sup&gt;8,15&lt;/sup&gt;" }, "properties" : { "noteIndex" : 0 }, "schema" : "https://github.com/citation-style-language/schema/raw/master/csl-citation.json" }</w:instrText>
            </w:r>
            <w:r w:rsidR="0091670C">
              <w:rPr>
                <w:rFonts w:ascii="Calibri" w:hAnsi="Calibri" w:cs="Calibri"/>
                <w:sz w:val="22"/>
                <w:szCs w:val="22"/>
              </w:rPr>
              <w:fldChar w:fldCharType="separate"/>
            </w:r>
            <w:r w:rsidR="00CA27FC" w:rsidRPr="00CA27FC">
              <w:rPr>
                <w:rFonts w:ascii="Calibri" w:hAnsi="Calibri" w:cs="Calibri"/>
                <w:noProof/>
                <w:sz w:val="22"/>
                <w:szCs w:val="22"/>
                <w:vertAlign w:val="superscript"/>
              </w:rPr>
              <w:t>8,15</w:t>
            </w:r>
            <w:r w:rsidR="0091670C">
              <w:rPr>
                <w:rFonts w:ascii="Calibri" w:hAnsi="Calibri" w:cs="Calibri"/>
                <w:sz w:val="22"/>
                <w:szCs w:val="22"/>
              </w:rPr>
              <w:fldChar w:fldCharType="end"/>
            </w:r>
            <w:r w:rsidR="00A81ECD" w:rsidRPr="00B718C8">
              <w:rPr>
                <w:rFonts w:ascii="Calibri" w:hAnsi="Calibri" w:cs="Calibri"/>
                <w:sz w:val="22"/>
                <w:szCs w:val="22"/>
              </w:rPr>
              <w:t xml:space="preserve"> </w:t>
            </w:r>
          </w:p>
          <w:p w14:paraId="282E5DF9" w14:textId="77777777" w:rsidR="00142B3D" w:rsidRPr="008C4D33" w:rsidRDefault="00F3205D" w:rsidP="00E81E0D">
            <w:pPr>
              <w:pStyle w:val="ListParagraph"/>
              <w:spacing w:after="200" w:line="276" w:lineRule="auto"/>
              <w:ind w:left="0"/>
              <w:contextualSpacing/>
            </w:pPr>
            <w:r w:rsidRPr="008C4D33">
              <w:t>Historically,</w:t>
            </w:r>
            <w:r w:rsidR="00142B3D" w:rsidRPr="008C4D33">
              <w:t xml:space="preserve"> two unit red blood cell transfusions were </w:t>
            </w:r>
            <w:r w:rsidR="00486259">
              <w:rPr>
                <w:lang w:val="en-GB"/>
              </w:rPr>
              <w:t>common</w:t>
            </w:r>
            <w:r w:rsidR="00486259" w:rsidRPr="00295A1A">
              <w:rPr>
                <w:lang w:val="en-GB"/>
              </w:rPr>
              <w:t xml:space="preserve"> </w:t>
            </w:r>
            <w:r w:rsidR="00295A1A" w:rsidRPr="00295A1A">
              <w:rPr>
                <w:lang w:val="en-GB"/>
              </w:rPr>
              <w:t>practice as a single unit was not considered suffi</w:t>
            </w:r>
            <w:r w:rsidR="00295A1A">
              <w:rPr>
                <w:lang w:val="en-GB"/>
              </w:rPr>
              <w:t>cient to correct anaemia</w:t>
            </w:r>
            <w:r w:rsidR="00142B3D" w:rsidRPr="008C4D33">
              <w:t>.</w:t>
            </w:r>
            <w:r w:rsidR="00295A1A">
              <w:fldChar w:fldCharType="begin" w:fldLock="1"/>
            </w:r>
            <w:r w:rsidR="00CA27FC">
              <w:instrText>ADDIN CSL_CITATION { "citationItems" : [ { "id" : "ITEM-1", "itemData" : { "DOI" : "10.1111/j.1365-3148.2005.00592.x", "author" : [ { "dropping-particle" : "", "family" : "Ma", "given" : "M", "non-dropping-particle" : "", "parse-names" : false, "suffix" : "" }, { "dropping-particle" : "", "family" : "Eckert", "given" : "K", "non-dropping-particle" : "", "parse-names" : false, "suffix" : "" }, { "dropping-particle" : "", "family" : "Ralley", "given" : "F", "non-dropping-particle" : "", "parse-names" : false, "suffix" : "" }, { "dropping-particle" : "", "family" : "Chin-Yee", "given" : "I", "non-dropping-particle" : "", "parse-names" : false, "suffix" : "" } ], "container-title" : "Transfusion Medicine", "id" : "ITEM-1", "issued" : { "date-parts" : [ [ "2005" ] ] }, "page" : "307-312", "title" : "A retrospective study evaluating single-unit red blood cell transfusions in reducing allogeneic blood exposure", "type" : "article-journal", "volume" : "15" }, "uris" : [ "http://www.mendeley.com/documents/?uuid=19ce6532-0258-4cc4-82a3-caf33c150805" ] }, { "id" : "ITEM-2", "itemData" : { "DOI" : "10.3324/haematol.2011.047035", "author" : [ { "dropping-particle" : "", "family" : "Berger", "given" : "Martin David", "non-dropping-particle" : "", "parse-names" : false, "suffix" : "" }, { "dropping-particle" : "", "family" : "Gerber", "given" : "Bernhard", "non-dropping-particle" : "", "parse-names" : false, "suffix" : "" }, { "dropping-particle" : "", "family" : "Arn", "given" : "Kornelius", "non-dropping-particle" : "", "parse-names" : false, "suffix" : "" }, { "dropping-particle" : "", "family" : "Senn", "given" : "Oliver", "non-dropping-particle" : "", "parse-names" : false, "suffix" : "" }, { "dropping-particle" : "", "family" : "Schanz", "given" : "Urs", "non-dropping-particle" : "", "parse-names" : false, "suffix" : "" }, { "dropping-particle" : "", "family" : "Stussi", "given" : "Georg", "non-dropping-particle" : "", "parse-names" : false, "suffix" : "" } ], "container-title" : "haematologica", "id" : "ITEM-2", "issue" : "1", "issued" : { "date-parts" : [ [ "2012" ] ] }, "page" : "116-122", "title" : "Significant reduction of red blood cell transfusion requirements by changing from a double-unit to a single-unit transfusion policy in patients receiving intensive chemotherapy or stem cell transplantation", "type" : "article-journal", "volume" : "97" }, "uris" : [ "http://www.mendeley.com/documents/?uuid=e3206e28-32bb-4aa7-9a73-14d547dcc572" ] } ], "mendeley" : { "previouslyFormattedCitation" : "&lt;sup&gt;6,7&lt;/sup&gt;" }, "properties" : { "noteIndex" : 0 }, "schema" : "https://github.com/citation-style-language/schema/raw/master/csl-citation.json" }</w:instrText>
            </w:r>
            <w:r w:rsidR="00295A1A">
              <w:fldChar w:fldCharType="separate"/>
            </w:r>
            <w:r w:rsidR="00CA27FC" w:rsidRPr="00CA27FC">
              <w:rPr>
                <w:noProof/>
                <w:vertAlign w:val="superscript"/>
              </w:rPr>
              <w:t>6,7</w:t>
            </w:r>
            <w:r w:rsidR="00295A1A">
              <w:fldChar w:fldCharType="end"/>
            </w:r>
            <w:r w:rsidR="00142B3D" w:rsidRPr="008C4D33">
              <w:t xml:space="preserve">  Single unit transfusions </w:t>
            </w:r>
            <w:r w:rsidR="00414F5F" w:rsidRPr="00B14D45">
              <w:t>currently represent</w:t>
            </w:r>
            <w:r w:rsidR="00142B3D" w:rsidRPr="008C4D33">
              <w:t xml:space="preserve"> only a small proportion of all transfusion.</w:t>
            </w:r>
          </w:p>
          <w:p w14:paraId="15D7EFDA" w14:textId="77777777" w:rsidR="00486259" w:rsidRDefault="00414F5F" w:rsidP="00E81E0D">
            <w:pPr>
              <w:spacing w:after="200" w:line="276" w:lineRule="auto"/>
              <w:contextualSpacing/>
              <w:rPr>
                <w:rFonts w:ascii="Calibri" w:eastAsia="Calibri" w:hAnsi="Calibri" w:cs="Calibri"/>
                <w:sz w:val="22"/>
                <w:szCs w:val="22"/>
                <w:lang w:eastAsia="en-US"/>
              </w:rPr>
            </w:pPr>
            <w:r>
              <w:rPr>
                <w:rFonts w:ascii="Calibri" w:eastAsia="Calibri" w:hAnsi="Calibri" w:cs="Calibri"/>
                <w:sz w:val="22"/>
                <w:szCs w:val="22"/>
                <w:lang w:eastAsia="en-US"/>
              </w:rPr>
              <w:t>R</w:t>
            </w:r>
            <w:r w:rsidR="00DC4C7D" w:rsidRPr="00295A1A">
              <w:rPr>
                <w:rFonts w:ascii="Calibri" w:eastAsia="Calibri" w:hAnsi="Calibri" w:cs="Calibri"/>
                <w:sz w:val="22"/>
                <w:szCs w:val="22"/>
                <w:lang w:eastAsia="en-US"/>
              </w:rPr>
              <w:t>ed blood cell transfusion also poses ongoing challenges in balancing supply and demand due to the increasing age of the population</w:t>
            </w:r>
            <w:r>
              <w:rPr>
                <w:rFonts w:ascii="Calibri" w:eastAsia="Calibri" w:hAnsi="Calibri" w:cs="Calibri"/>
                <w:sz w:val="22"/>
                <w:szCs w:val="22"/>
                <w:lang w:eastAsia="en-US"/>
              </w:rPr>
              <w:t>.</w:t>
            </w:r>
            <w:r w:rsidR="00DC4C7D" w:rsidRPr="00295A1A">
              <w:rPr>
                <w:rFonts w:ascii="Calibri" w:eastAsia="Calibri" w:hAnsi="Calibri" w:cs="Calibri"/>
                <w:sz w:val="22"/>
                <w:szCs w:val="22"/>
                <w:lang w:eastAsia="en-US"/>
              </w:rPr>
              <w:t xml:space="preserve"> </w:t>
            </w:r>
            <w:r>
              <w:rPr>
                <w:rFonts w:ascii="Calibri" w:eastAsia="Calibri" w:hAnsi="Calibri" w:cs="Calibri"/>
                <w:sz w:val="22"/>
                <w:szCs w:val="22"/>
                <w:lang w:eastAsia="en-US"/>
              </w:rPr>
              <w:t>D</w:t>
            </w:r>
            <w:r w:rsidR="00DC4C7D" w:rsidRPr="00295A1A">
              <w:rPr>
                <w:rFonts w:ascii="Calibri" w:eastAsia="Calibri" w:hAnsi="Calibri" w:cs="Calibri"/>
                <w:sz w:val="22"/>
                <w:szCs w:val="22"/>
                <w:lang w:eastAsia="en-US"/>
              </w:rPr>
              <w:t>emand for blood will increase but the available donor pool will decrease.</w:t>
            </w:r>
          </w:p>
          <w:p w14:paraId="1819423C" w14:textId="77777777" w:rsidR="00DC4C7D" w:rsidRPr="00295A1A" w:rsidRDefault="00DC4C7D" w:rsidP="00E81E0D">
            <w:pPr>
              <w:spacing w:after="200" w:line="276" w:lineRule="auto"/>
              <w:contextualSpacing/>
              <w:rPr>
                <w:rFonts w:ascii="Calibri" w:hAnsi="Calibri" w:cs="Calibri"/>
                <w:sz w:val="22"/>
                <w:szCs w:val="22"/>
              </w:rPr>
            </w:pPr>
            <w:r w:rsidRPr="00295A1A">
              <w:rPr>
                <w:rFonts w:ascii="Calibri" w:eastAsia="Calibri" w:hAnsi="Calibri" w:cs="Calibri"/>
                <w:sz w:val="22"/>
                <w:szCs w:val="22"/>
                <w:lang w:eastAsia="en-US"/>
              </w:rPr>
              <w:t>Although blood is extremely safe from the currently known infectious agents, the potential threat from as yet unknown, or re-emerging pathogens deserves cautious consideration</w:t>
            </w:r>
            <w:r w:rsidR="009244C6" w:rsidRPr="00295A1A">
              <w:rPr>
                <w:rFonts w:ascii="Calibri" w:eastAsia="Calibri" w:hAnsi="Calibri" w:cs="Calibri"/>
                <w:sz w:val="22"/>
                <w:szCs w:val="22"/>
                <w:lang w:eastAsia="en-US"/>
              </w:rPr>
              <w:t>.</w:t>
            </w:r>
            <w:r w:rsidR="0091670C" w:rsidRPr="00295A1A">
              <w:rPr>
                <w:rFonts w:ascii="Calibri" w:eastAsia="Calibri" w:hAnsi="Calibri" w:cs="Calibri"/>
                <w:sz w:val="22"/>
                <w:szCs w:val="22"/>
                <w:lang w:eastAsia="en-US"/>
              </w:rPr>
              <w:fldChar w:fldCharType="begin" w:fldLock="1"/>
            </w:r>
            <w:r w:rsidR="00CA27FC">
              <w:rPr>
                <w:rFonts w:ascii="Calibri" w:eastAsia="Calibri" w:hAnsi="Calibri" w:cs="Calibri"/>
                <w:sz w:val="22"/>
                <w:szCs w:val="22"/>
                <w:lang w:eastAsia="en-US"/>
              </w:rPr>
              <w:instrText>ADDIN CSL_CITATION { "citationItems" : [ { "id" : "ITEM-1", "itemData" : { "DOI" : "10.1634/theoncologist.2011-S3-3", "abstract" : "The objective of this paper is to introduce clinicians and health care professionals to the concept of patient blood management (PBM) and to explain the difference between PBM and the concept of \"appropriate use\" of blood products. The five reasons why modern health systems need to shift from product-focused transfusion practice to PBM are also presented. These are: the aging population with a leveraged demand for blood products opposed to a shrinking donor base; the growing awareness that transfusion is a complex service involving many different cost centers within a hospital and representing a multiple of the blood product cost; the continuous effort to protect blood pools from known, new, or re-emerging pathogens while facing uncertainty over their potentially long silent carrier states; the emerging evidence that transfusion is an independent risk factor for adverse outcomes; and finally, a lack of evidence for benefit of transfusion for the vast majority of recipients.", "author" : [ { "dropping-particle" : "", "family" : "Hofmann", "given" : "Axel", "non-dropping-particle" : "", "parse-names" : false, "suffix" : "" }, { "dropping-particle" : "", "family" : "Farmer", "given" : "Shannon", "non-dropping-particle" : "", "parse-names" : false, "suffix" : "" }, { "dropping-particle" : "", "family" : "Shander", "given" : "Aryeh", "non-dropping-particle" : "", "parse-names" : false, "suffix" : "" } ], "container-title" : "The oncologist", "id" : "ITEM-1", "issued" : { "date-parts" : [ [ "2011" ] ] }, "page" : "3-11", "title" : "Five drivers shifting the paradigm from product-focused transfusion practice to patient blood management.", "type" : "article-journal", "volume" : "16 Suppl 3" }, "uris" : [ "http://www.mendeley.com/documents/?uuid=3a94e34c-9f7b-496c-af50-99a9cf529f48" ] } ], "mendeley" : { "previouslyFormattedCitation" : "&lt;sup&gt;16&lt;/sup&gt;" }, "properties" : { "noteIndex" : 0 }, "schema" : "https://github.com/citation-style-language/schema/raw/master/csl-citation.json" }</w:instrText>
            </w:r>
            <w:r w:rsidR="0091670C" w:rsidRPr="00295A1A">
              <w:rPr>
                <w:rFonts w:ascii="Calibri" w:eastAsia="Calibri" w:hAnsi="Calibri" w:cs="Calibri"/>
                <w:sz w:val="22"/>
                <w:szCs w:val="22"/>
                <w:lang w:eastAsia="en-US"/>
              </w:rPr>
              <w:fldChar w:fldCharType="separate"/>
            </w:r>
            <w:r w:rsidR="00CA27FC" w:rsidRPr="00CA27FC">
              <w:rPr>
                <w:rFonts w:ascii="Calibri" w:eastAsia="Calibri" w:hAnsi="Calibri" w:cs="Calibri"/>
                <w:noProof/>
                <w:sz w:val="22"/>
                <w:szCs w:val="22"/>
                <w:vertAlign w:val="superscript"/>
                <w:lang w:eastAsia="en-US"/>
              </w:rPr>
              <w:t>16</w:t>
            </w:r>
            <w:r w:rsidR="0091670C" w:rsidRPr="00295A1A">
              <w:rPr>
                <w:rFonts w:ascii="Calibri" w:eastAsia="Calibri" w:hAnsi="Calibri" w:cs="Calibri"/>
                <w:sz w:val="22"/>
                <w:szCs w:val="22"/>
                <w:lang w:eastAsia="en-US"/>
              </w:rPr>
              <w:fldChar w:fldCharType="end"/>
            </w:r>
          </w:p>
          <w:p w14:paraId="1C0EA894" w14:textId="77777777" w:rsidR="00032947" w:rsidRPr="008C4D33" w:rsidRDefault="00560125" w:rsidP="00E81E0D">
            <w:pPr>
              <w:spacing w:after="200" w:line="276" w:lineRule="auto"/>
              <w:contextualSpacing/>
              <w:rPr>
                <w:rFonts w:ascii="Calibri" w:hAnsi="Calibri" w:cs="Calibri"/>
                <w:b/>
                <w:sz w:val="22"/>
                <w:szCs w:val="22"/>
              </w:rPr>
            </w:pPr>
            <w:r w:rsidRPr="008C4D33">
              <w:rPr>
                <w:rFonts w:ascii="Calibri" w:hAnsi="Calibri" w:cs="Calibri"/>
                <w:b/>
                <w:sz w:val="22"/>
                <w:szCs w:val="22"/>
              </w:rPr>
              <w:t>HOW</w:t>
            </w:r>
            <w:r w:rsidR="00063B04" w:rsidRPr="008C4D33">
              <w:rPr>
                <w:rFonts w:ascii="Calibri" w:hAnsi="Calibri" w:cs="Calibri"/>
                <w:b/>
                <w:sz w:val="22"/>
                <w:szCs w:val="22"/>
              </w:rPr>
              <w:t xml:space="preserve">: </w:t>
            </w:r>
          </w:p>
          <w:p w14:paraId="7965F2C1" w14:textId="77777777" w:rsidR="003068E3" w:rsidRPr="008C4D33" w:rsidRDefault="00063B04" w:rsidP="00E81E0D">
            <w:pPr>
              <w:spacing w:after="200" w:line="276" w:lineRule="auto"/>
              <w:contextualSpacing/>
              <w:rPr>
                <w:rFonts w:ascii="Calibri" w:hAnsi="Calibri" w:cs="Calibri"/>
                <w:sz w:val="22"/>
                <w:szCs w:val="22"/>
              </w:rPr>
            </w:pPr>
            <w:r w:rsidRPr="008C4D33">
              <w:rPr>
                <w:rFonts w:ascii="Calibri" w:hAnsi="Calibri" w:cs="Calibri"/>
                <w:sz w:val="22"/>
                <w:szCs w:val="22"/>
              </w:rPr>
              <w:t>These are the indications for</w:t>
            </w:r>
            <w:r w:rsidR="00486259">
              <w:rPr>
                <w:rFonts w:ascii="Calibri" w:hAnsi="Calibri" w:cs="Calibri"/>
                <w:sz w:val="22"/>
                <w:szCs w:val="22"/>
              </w:rPr>
              <w:t xml:space="preserve"> red blood cell</w:t>
            </w:r>
            <w:r w:rsidRPr="008C4D33">
              <w:rPr>
                <w:rFonts w:ascii="Calibri" w:hAnsi="Calibri" w:cs="Calibri"/>
                <w:sz w:val="22"/>
                <w:szCs w:val="22"/>
              </w:rPr>
              <w:t xml:space="preserve"> transfusion in</w:t>
            </w:r>
            <w:r w:rsidR="00032947" w:rsidRPr="008C4D33">
              <w:rPr>
                <w:rFonts w:ascii="Calibri" w:hAnsi="Calibri" w:cs="Calibri"/>
                <w:sz w:val="22"/>
                <w:szCs w:val="22"/>
              </w:rPr>
              <w:t xml:space="preserve"> </w:t>
            </w:r>
            <w:r w:rsidR="00E139A0" w:rsidRPr="00B718C8">
              <w:rPr>
                <w:rFonts w:ascii="Calibri" w:hAnsi="Calibri" w:cs="Calibri"/>
                <w:sz w:val="22"/>
                <w:szCs w:val="22"/>
              </w:rPr>
              <w:t>stable, normovolaemic adult patients, in an inpatient setting, who do not have clinically significant bleeding</w:t>
            </w:r>
            <w:r w:rsidR="0091670C">
              <w:rPr>
                <w:rFonts w:ascii="Calibri" w:hAnsi="Calibri" w:cs="Calibri"/>
                <w:sz w:val="22"/>
                <w:szCs w:val="22"/>
              </w:rPr>
              <w:t>:</w:t>
            </w:r>
            <w:r w:rsidR="00295A1A">
              <w:rPr>
                <w:rFonts w:ascii="Calibri" w:hAnsi="Calibri" w:cs="Calibri"/>
                <w:sz w:val="22"/>
                <w:szCs w:val="22"/>
              </w:rPr>
              <w:fldChar w:fldCharType="begin" w:fldLock="1"/>
            </w:r>
            <w:r w:rsidR="00CA27FC">
              <w:rPr>
                <w:rFonts w:ascii="Calibri" w:hAnsi="Calibri" w:cs="Calibri"/>
                <w:sz w:val="22"/>
                <w:szCs w:val="22"/>
              </w:rPr>
              <w:instrText>ADDIN CSL_CITATION { "citationItems" : [ { "id" : "ITEM-1", "itemData" : { "author" : [ { "dropping-particle" : "", "family" : "Webert", "given" : "Kathryn E", "non-dropping-particle" : "", "parse-names" : false, "suffix" : "" }, { "dropping-particle" : "", "family" : "Arnold", "given" : "Donald M", "non-dropping-particle" : "", "parse-names" : false, "suffix" : "" }, { "dropping-particle" : "", "family" : "Lui", "given" : "Yang", "non-dropping-particle" : "", "parse-names" : false, "suffix" : "" }, { "dropping-particle" : "", "family" : "Carruthers", "given" : "Julie", "non-dropping-particle" : "", "parse-names" : false, "suffix" : "" }, { "dropping-particle" : "", "family" : "Arnold", "given" : "Emmy", "non-dropping-particle" : "", "parse-names" : false, "suffix" : "" }, { "dropping-particle" : "", "family" : "Heddle", "given" : "Nancy M", "non-dropping-particle" : "", "parse-names" : false, "suffix" : "" } ], "container-title" : "Transfusion Practice", "id" : "ITEM-1", "issue" : "November", "issued" : { "date-parts" : [ [ "2012" ] ] }, "page" : "2466-2474", "title" : "A new tool to assess bleeding severity in patients with chemotherapy-induced thrmbocytopaenia", "type" : "article-journal", "volume" : "52" }, "uris" : [ "http://www.mendeley.com/documents/?uuid=562c39d6-8041-4e1e-a9c8-0be872a1e516" ] } ], "mendeley" : { "previouslyFormattedCitation" : "&lt;sup&gt;2&lt;/sup&gt;" }, "properties" : { "noteIndex" : 0 }, "schema" : "https://github.com/citation-style-language/schema/raw/master/csl-citation.json" }</w:instrText>
            </w:r>
            <w:r w:rsidR="00295A1A">
              <w:rPr>
                <w:rFonts w:ascii="Calibri" w:hAnsi="Calibri" w:cs="Calibri"/>
                <w:sz w:val="22"/>
                <w:szCs w:val="22"/>
              </w:rPr>
              <w:fldChar w:fldCharType="separate"/>
            </w:r>
            <w:r w:rsidR="00CA27FC" w:rsidRPr="00CA27FC">
              <w:rPr>
                <w:rFonts w:ascii="Calibri" w:hAnsi="Calibri" w:cs="Calibri"/>
                <w:noProof/>
                <w:sz w:val="22"/>
                <w:szCs w:val="22"/>
                <w:vertAlign w:val="superscript"/>
              </w:rPr>
              <w:t>2</w:t>
            </w:r>
            <w:r w:rsidR="00295A1A">
              <w:rPr>
                <w:rFonts w:ascii="Calibri" w:hAnsi="Calibri" w:cs="Calibri"/>
                <w:sz w:val="22"/>
                <w:szCs w:val="22"/>
              </w:rPr>
              <w:fldChar w:fldCharType="end"/>
            </w:r>
          </w:p>
          <w:p w14:paraId="571ED0C5" w14:textId="77777777" w:rsidR="00414F5F" w:rsidRDefault="00414F5F" w:rsidP="00E81E0D">
            <w:pPr>
              <w:numPr>
                <w:ilvl w:val="0"/>
                <w:numId w:val="10"/>
              </w:numPr>
              <w:spacing w:after="200" w:line="276" w:lineRule="auto"/>
              <w:contextualSpacing/>
              <w:rPr>
                <w:rFonts w:ascii="Calibri" w:hAnsi="Calibri" w:cs="Calibri"/>
                <w:sz w:val="22"/>
                <w:szCs w:val="22"/>
              </w:rPr>
            </w:pPr>
            <w:r w:rsidRPr="00414F5F">
              <w:rPr>
                <w:rFonts w:ascii="Calibri" w:hAnsi="Calibri" w:cs="Calibri"/>
                <w:sz w:val="22"/>
                <w:szCs w:val="22"/>
              </w:rPr>
              <w:t>Clinically assess the patient for symptoms of anaemia</w:t>
            </w:r>
            <w:r w:rsidRPr="00414F5F">
              <w:rPr>
                <w:rFonts w:ascii="Calibri" w:hAnsi="Calibri" w:cs="Calibri"/>
                <w:sz w:val="22"/>
                <w:szCs w:val="22"/>
                <w:lang w:val="en-GB"/>
              </w:rPr>
              <w:t xml:space="preserve"> such as dyspnoea, tachycardia, chest pain, hypotension, increased heart rate and decreased oxygen saturation</w:t>
            </w:r>
            <w:r>
              <w:rPr>
                <w:rFonts w:ascii="Calibri" w:hAnsi="Calibri" w:cs="Calibri"/>
                <w:sz w:val="22"/>
                <w:szCs w:val="22"/>
                <w:lang w:val="en-GB"/>
              </w:rPr>
              <w:t>.</w:t>
            </w:r>
            <w:r>
              <w:rPr>
                <w:rFonts w:ascii="Calibri" w:hAnsi="Calibri" w:cs="Calibri"/>
                <w:sz w:val="22"/>
                <w:szCs w:val="22"/>
                <w:lang w:val="en-GB"/>
              </w:rPr>
              <w:fldChar w:fldCharType="begin" w:fldLock="1"/>
            </w:r>
            <w:r w:rsidR="00CA27FC">
              <w:rPr>
                <w:rFonts w:ascii="Calibri" w:hAnsi="Calibri" w:cs="Calibri"/>
                <w:sz w:val="22"/>
                <w:szCs w:val="22"/>
                <w:lang w:val="en-GB"/>
              </w:rPr>
              <w:instrText>ADDIN CSL_CITATION { "citationItems" : [ { "id" : "ITEM-1", "itemData" : { "abstract" : "Although approximately 85 million units of red blood cells (RBCs) are transfused annually worldwide, transfusion practices vary widely. The AABB (formerly, the American Association of Blood Banks) developed this guideline to provide clinical recommendations about hemoglobin concentration thresholds and other clinical variables that trigger RBC transfusions in hemodynamically stable adults and children.", "author" : [ { "dropping-particle" : "", "family" : "Carson", "given" : "Jeffrey L", "non-dropping-particle" : "", "parse-names" : false, "suffix" : "" } ], "container-title" : "Annals of Internal Medicine", "id" : "ITEM-1", "issue" : "1", "issued" : { "date-parts" : [ [ "2012" ] ] }, "page" : "49-58", "title" : "Red blood cell transfusion: a clinical practice guideline from the AABB", "type" : "article-journal", "volume" : "157" }, "uris" : [ "http://www.mendeley.com/documents/?uuid=1f2a47bc-9d7f-4b77-bdbd-6028e884fabb" ] }, { "id" : "ITEM-2", "itemData" : { "author" : [ { "dropping-particle" : "", "family" : "Rossi", "given" : "E C", "non-dropping-particle" : "", "parse-names" : false, "suffix" : "" } ], "container-title" : "Principles of Transfusion Medicine, Second edition", "id" : "ITEM-2", "issued" : { "date-parts" : [ [ "1996" ] ] }, "title" : "Anaemia and Red cell Transfusion", "type" : "article-journal", "volume" : "1" }, "uris" : [ "http://www.mendeley.com/documents/?uuid=2e29d606-dc65-44eb-b3ba-44a2477d82c7" ] }, { "id" : "ITEM-3", "itemData" : { "author" : [ { "dropping-particle" : "", "family" : "Shander", "given" : "A", "non-dropping-particle" : "", "parse-names" : false, "suffix" : "" } ], "container-title" : "Review Blood Transfus", "id" : "ITEM-3", "issued" : { "date-parts" : [ [ "2012" ] ] }, "title" : "A new perspective on best transfusion practices", "type" : "article-journal", "volume" : "1" }, "uris" : [ "http://www.mendeley.com/documents/?uuid=6c8b828f-556c-41d9-b293-6f1ed9a0ad28" ] } ], "mendeley" : { "previouslyFormattedCitation" : "&lt;sup&gt;8\u201310&lt;/sup&gt;" }, "properties" : { "noteIndex" : 0 }, "schema" : "https://github.com/citation-style-language/schema/raw/master/csl-citation.json" }</w:instrText>
            </w:r>
            <w:r>
              <w:rPr>
                <w:rFonts w:ascii="Calibri" w:hAnsi="Calibri" w:cs="Calibri"/>
                <w:sz w:val="22"/>
                <w:szCs w:val="22"/>
                <w:lang w:val="en-GB"/>
              </w:rPr>
              <w:fldChar w:fldCharType="separate"/>
            </w:r>
            <w:r w:rsidR="00CA27FC" w:rsidRPr="00CA27FC">
              <w:rPr>
                <w:rFonts w:ascii="Calibri" w:hAnsi="Calibri" w:cs="Calibri"/>
                <w:noProof/>
                <w:sz w:val="22"/>
                <w:szCs w:val="22"/>
                <w:vertAlign w:val="superscript"/>
                <w:lang w:val="en-GB"/>
              </w:rPr>
              <w:t>8–10</w:t>
            </w:r>
            <w:r>
              <w:rPr>
                <w:rFonts w:ascii="Calibri" w:hAnsi="Calibri" w:cs="Calibri"/>
                <w:sz w:val="22"/>
                <w:szCs w:val="22"/>
                <w:lang w:val="en-GB"/>
              </w:rPr>
              <w:fldChar w:fldCharType="end"/>
            </w:r>
            <w:r w:rsidRPr="00414F5F">
              <w:rPr>
                <w:rFonts w:ascii="Calibri" w:hAnsi="Calibri" w:cs="Calibri"/>
                <w:sz w:val="22"/>
                <w:szCs w:val="22"/>
              </w:rPr>
              <w:t xml:space="preserve"> </w:t>
            </w:r>
          </w:p>
          <w:p w14:paraId="543BFCBE" w14:textId="77777777" w:rsidR="00063B04" w:rsidRPr="00414F5F" w:rsidRDefault="00032947" w:rsidP="00B14D45">
            <w:pPr>
              <w:pStyle w:val="ListParagraph"/>
              <w:numPr>
                <w:ilvl w:val="0"/>
                <w:numId w:val="10"/>
              </w:numPr>
              <w:spacing w:after="200" w:line="276" w:lineRule="auto"/>
              <w:contextualSpacing/>
            </w:pPr>
            <w:r w:rsidRPr="008C4D33">
              <w:t>“</w:t>
            </w:r>
            <w:r w:rsidR="00063B04" w:rsidRPr="008C4D33">
              <w:t>Red blood cell transfusion should not be dictated by haemoglobin concentration alone, but should also be based on assessment of the patient’s clinical status.</w:t>
            </w:r>
            <w:r w:rsidRPr="008C4D33">
              <w:t>”</w:t>
            </w:r>
            <w:r w:rsidR="0091670C">
              <w:fldChar w:fldCharType="begin" w:fldLock="1"/>
            </w:r>
            <w:r w:rsidR="00CA27FC">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"mendeley" : { "previouslyFormattedCitation" : "&lt;sup&gt;4,5&lt;/sup&gt;" }, "properties" : { "noteIndex" : 0 }, "schema" : "https://github.com/citation-style-language/schema/raw/master/csl-citation.json" }</w:instrText>
            </w:r>
            <w:r w:rsidR="0091670C">
              <w:fldChar w:fldCharType="separate"/>
            </w:r>
            <w:r w:rsidR="00CA27FC" w:rsidRPr="00CA27FC">
              <w:rPr>
                <w:noProof/>
                <w:vertAlign w:val="superscript"/>
              </w:rPr>
              <w:t>4,5</w:t>
            </w:r>
            <w:r w:rsidR="0091670C">
              <w:fldChar w:fldCharType="end"/>
            </w:r>
            <w:r w:rsidR="00414F5F" w:rsidRPr="00A81ECD">
              <w:rPr>
                <w:lang w:val="en-GB"/>
              </w:rPr>
              <w:t xml:space="preserve"> For haemoglobin thresholds refer to the national Patient Blood Management Guidelines, </w:t>
            </w:r>
            <w:r w:rsidR="00414F5F" w:rsidRPr="00A81ECD">
              <w:rPr>
                <w:i/>
                <w:lang w:val="en-GB"/>
              </w:rPr>
              <w:t>Module 3 – Medical</w:t>
            </w:r>
            <w:r w:rsidR="00414F5F" w:rsidRPr="00A81ECD">
              <w:rPr>
                <w:lang w:val="en-GB"/>
              </w:rPr>
              <w:t xml:space="preserve"> practice point 3 (PP3) and </w:t>
            </w:r>
            <w:r w:rsidR="00414F5F" w:rsidRPr="00A81ECD">
              <w:rPr>
                <w:i/>
                <w:lang w:val="en-GB"/>
              </w:rPr>
              <w:t>Module 4 – Critical Care</w:t>
            </w:r>
            <w:r w:rsidR="00414F5F" w:rsidRPr="00A81ECD">
              <w:rPr>
                <w:lang w:val="en-GB"/>
              </w:rPr>
              <w:t xml:space="preserve"> practice point 4 (PP4).</w:t>
            </w:r>
          </w:p>
          <w:p w14:paraId="1C5BE370" w14:textId="77777777" w:rsidR="00032947" w:rsidRPr="008C4D33" w:rsidRDefault="00032947" w:rsidP="00E81E0D">
            <w:pPr>
              <w:numPr>
                <w:ilvl w:val="0"/>
                <w:numId w:val="10"/>
              </w:numPr>
              <w:spacing w:after="200" w:line="276" w:lineRule="auto"/>
              <w:contextualSpacing/>
              <w:rPr>
                <w:rFonts w:ascii="Calibri" w:hAnsi="Calibri" w:cs="Calibri"/>
                <w:sz w:val="22"/>
                <w:szCs w:val="22"/>
              </w:rPr>
            </w:pPr>
            <w:r w:rsidRPr="008C4D33">
              <w:rPr>
                <w:rFonts w:ascii="Calibri" w:hAnsi="Calibri" w:cs="Calibri"/>
                <w:sz w:val="22"/>
                <w:szCs w:val="22"/>
              </w:rPr>
              <w:t>“Where indicated, transfusion of a single unit of RBC, followed by clinical reassessment to determine the need for further transfusion, is appropriate.”</w:t>
            </w:r>
            <w:r w:rsidR="0091670C">
              <w:rPr>
                <w:rFonts w:ascii="Calibri" w:hAnsi="Calibri" w:cs="Calibri"/>
                <w:sz w:val="22"/>
                <w:szCs w:val="22"/>
              </w:rPr>
              <w:fldChar w:fldCharType="begin" w:fldLock="1"/>
            </w:r>
            <w:r w:rsidR="00CA27FC">
              <w:rPr>
                <w:rFonts w:ascii="Calibri" w:hAnsi="Calibri" w:cs="Calibri"/>
                <w:sz w:val="22"/>
                <w:szCs w:val="22"/>
              </w:rPr>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"id" : "ITEM-2", "itemData" : { "author" : [ { "dropping-particle" : "", "family" : "National Blood Authority", "given" : "", "non-dropping-particle" : "", "parse-names" : false, "suffix" : "" } ], "id" : "ITEM-2", "issued" : { "date-parts" : [ [ "2013" ] ] }, "publisher-place" : "Canberra, Australia", "title" : "Patient blood management guidelines: Module 4 \u2013 Critical Care", "type" : "book" }, "uris" : [ "http://www.mendeley.com/documents/?uuid=ea39fd74-ab5a-47df-93c5-ce717f8041eb" ] } ], "mendeley" : { "previouslyFormattedCitation" : "&lt;sup&gt;4,5&lt;/sup&gt;" }, "properties" : { "noteIndex" : 0 }, "schema" : "https://github.com/citation-style-language/schema/raw/master/csl-citation.json" }</w:instrText>
            </w:r>
            <w:r w:rsidR="0091670C">
              <w:rPr>
                <w:rFonts w:ascii="Calibri" w:hAnsi="Calibri" w:cs="Calibri"/>
                <w:sz w:val="22"/>
                <w:szCs w:val="22"/>
              </w:rPr>
              <w:fldChar w:fldCharType="separate"/>
            </w:r>
            <w:r w:rsidR="00CA27FC" w:rsidRPr="00CA27FC">
              <w:rPr>
                <w:rFonts w:ascii="Calibri" w:hAnsi="Calibri" w:cs="Calibri"/>
                <w:noProof/>
                <w:sz w:val="22"/>
                <w:szCs w:val="22"/>
                <w:vertAlign w:val="superscript"/>
              </w:rPr>
              <w:t>4,5</w:t>
            </w:r>
            <w:r w:rsidR="0091670C">
              <w:rPr>
                <w:rFonts w:ascii="Calibri" w:hAnsi="Calibri" w:cs="Calibri"/>
                <w:sz w:val="22"/>
                <w:szCs w:val="22"/>
              </w:rPr>
              <w:fldChar w:fldCharType="end"/>
            </w:r>
            <w:r w:rsidRPr="008C4D33">
              <w:rPr>
                <w:rFonts w:ascii="Calibri" w:hAnsi="Calibri" w:cs="Calibri"/>
                <w:sz w:val="22"/>
                <w:szCs w:val="22"/>
              </w:rPr>
              <w:t xml:space="preserve"> </w:t>
            </w:r>
          </w:p>
          <w:p w14:paraId="0C30EE12" w14:textId="77777777" w:rsidR="002E750B" w:rsidRPr="008C4D33" w:rsidRDefault="006414C1" w:rsidP="00E81E0D">
            <w:pPr>
              <w:pStyle w:val="ListParagraph"/>
              <w:numPr>
                <w:ilvl w:val="0"/>
                <w:numId w:val="10"/>
              </w:numPr>
              <w:spacing w:after="200" w:line="276" w:lineRule="auto"/>
              <w:contextualSpacing/>
              <w:rPr>
                <w:rFonts w:ascii="Arial" w:hAnsi="Arial" w:cs="Arial"/>
                <w:sz w:val="20"/>
                <w:szCs w:val="20"/>
              </w:rPr>
            </w:pPr>
            <w:r w:rsidRPr="00593E41">
              <w:t>For patients who are chronically transfused please refer to the relevant practice points in the Patien</w:t>
            </w:r>
            <w:r w:rsidRPr="008C4D33">
              <w:t>t Blood Management Guidelines: Module 3 – Medical</w:t>
            </w:r>
            <w:r w:rsidR="007F6267" w:rsidRPr="008C4D33">
              <w:t>:</w:t>
            </w:r>
            <w:r w:rsidR="0091670C">
              <w:fldChar w:fldCharType="begin" w:fldLock="1"/>
            </w:r>
            <w:r w:rsidR="00CA27FC">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"mendeley" : { "previouslyFormattedCitation" : "&lt;sup&gt;4&lt;/sup&gt;" }, "properties" : { "noteIndex" : 0 }, "schema" : "https://github.com/citation-style-language/schema/raw/master/csl-citation.json" }</w:instrText>
            </w:r>
            <w:r w:rsidR="0091670C">
              <w:fldChar w:fldCharType="separate"/>
            </w:r>
            <w:r w:rsidR="00CA27FC" w:rsidRPr="00CA27FC">
              <w:rPr>
                <w:noProof/>
                <w:vertAlign w:val="superscript"/>
              </w:rPr>
              <w:t>4</w:t>
            </w:r>
            <w:r w:rsidR="0091670C">
              <w:fldChar w:fldCharType="end"/>
            </w:r>
            <w:r w:rsidR="007F6267" w:rsidRPr="008C4D33">
              <w:t xml:space="preserve"> “In patients with myelodysplasia who are regularly and chronically transfused, there is no evidence to guide particular Hb thresholds. Decisions around appropriate triggers and frequency of transfusion need to be individualised, taking into account anaemia-related symptoms, functional or performance status, and the patient’s response to previous transfusions.”</w:t>
            </w:r>
          </w:p>
          <w:p w14:paraId="4C29ECB9" w14:textId="77777777" w:rsidR="00593E41" w:rsidRPr="008C4D33" w:rsidRDefault="00593E41" w:rsidP="00E81E0D">
            <w:pPr>
              <w:pStyle w:val="ListParagraph"/>
              <w:numPr>
                <w:ilvl w:val="0"/>
                <w:numId w:val="10"/>
              </w:numPr>
              <w:spacing w:after="200" w:line="276" w:lineRule="auto"/>
              <w:contextualSpacing/>
            </w:pPr>
            <w:r w:rsidRPr="008C4D33">
              <w:t xml:space="preserve">Red </w:t>
            </w:r>
            <w:r w:rsidR="00B14D45">
              <w:t xml:space="preserve">blood </w:t>
            </w:r>
            <w:r w:rsidRPr="008C4D33">
              <w:t xml:space="preserve">cell transfusion is inappropriate therapy for </w:t>
            </w:r>
            <w:r w:rsidR="00486259">
              <w:t>i</w:t>
            </w:r>
            <w:r w:rsidRPr="008C4D33">
              <w:t xml:space="preserve">ron </w:t>
            </w:r>
            <w:r w:rsidR="00486259">
              <w:t>d</w:t>
            </w:r>
            <w:r w:rsidRPr="008C4D33">
              <w:t xml:space="preserve">eficiency anaemia </w:t>
            </w:r>
            <w:r w:rsidR="00486259">
              <w:t xml:space="preserve">(IDA) </w:t>
            </w:r>
            <w:r w:rsidRPr="008C4D33">
              <w:t>unless an immediate increase in oxygen delivery is required, such as when the patient is experiencing end-organ compromise (</w:t>
            </w:r>
            <w:r w:rsidR="00295A1A">
              <w:t>for example,</w:t>
            </w:r>
            <w:r w:rsidRPr="008C4D33">
              <w:t xml:space="preserve"> angina pectoris or cardiac failure), or IDA is complicated by serious, acute ongoing bleeding. </w:t>
            </w:r>
            <w:bookmarkStart w:id="0" w:name="0_pgfId-1095387"/>
            <w:bookmarkEnd w:id="0"/>
            <w:r w:rsidRPr="008C4D33">
              <w:t xml:space="preserve">Oral iron therapy, in appropriate doses and for a sufficient duration, is an effective first-line strategy for most patients. </w:t>
            </w:r>
            <w:bookmarkStart w:id="1" w:name="0_pgfId-1095388"/>
            <w:bookmarkEnd w:id="1"/>
            <w:r w:rsidRPr="008C4D33">
              <w:t>In selected patients for whom intravenous (IV) iron therapy is indicated, current formulations can be safely administered in outpatient treatment centres and are relatively inexpensive</w:t>
            </w:r>
            <w:r w:rsidR="007F4FB6" w:rsidRPr="008C4D33">
              <w:t>.</w:t>
            </w:r>
            <w:r w:rsidR="0091670C">
              <w:fldChar w:fldCharType="begin" w:fldLock="1"/>
            </w:r>
            <w:r w:rsidR="00CA27FC">
              <w:instrText>ADDIN CSL_CITATION { "citationItems" : [ { "id" : "ITEM-1", "itemData" : { "abstract" : "Red cell transfusion is inappropriate therapy for Iron Deficiency anaemia unless an immediate increase in oxygen delivery is required, such as when the patient is experiencing end-organ compromise (eg, angina pectoris or cardiac failure), or IDA is complicated by serious, acute ongoing bleeding. Oral iron therapy, in appropriate doses and for a sufficient duration, is an effective first-line strategy for most patients. In selected patients for whom intravenous (IV) iron therapy is indicated, current formulations can be safely administered in outpatient treatment centres and are relatively inexpensive.", "author" : [ { "dropping-particle" : "", "family" : "Pasricha", "given" : "Sant-Rayn", "non-dropping-particle" : "", "parse-names" : false, "suffix" : "" }, { "dropping-particle" : "", "family" : "Flecknoe-Brown", "given" : "Stephen", "non-dropping-particle" : "", "parse-names" : false, "suffix" : "" }, { "dropping-particle" : "", "family" : "Allen", "given" : "Katrina", "non-dropping-particle" : "", "parse-names" : false, "suffix" : "" }, { "dropping-particle" : "", "family" : "Gibson", "given" : "Peter", "non-dropping-particle" : "", "parse-names" : false, "suffix" : "" }, { "dropping-particle" : "", "family" : "McMahon", "given" : "Lawrence", "non-dropping-particle" : "", "parse-names" : false, "suffix" : "" }, { "dropping-particle" : "", "family" : "Olynyk", "given" : "John", "non-dropping-particle" : "", "parse-names" : false, "suffix" : "" }, { "dropping-particle" : "", "family" : "Roger", "given" : "Somon", "non-dropping-particle" : "", "parse-names" : false, "suffix" : "" }, { "dropping-particle" : "", "family" : "Savoia", "given" : "Helen", "non-dropping-particle" : "", "parse-names" : false, "suffix" : "" }, { "dropping-particle" : "", "family" : "Tampi", "given" : "Ramdas", "non-dropping-particle" : "", "parse-names" : false, "suffix" : "" }, { "dropping-particle" : "", "family" : "Thomson", "given" : "Amanda", "non-dropping-particle" : "", "parse-names" : false, "suffix" : "" }, { "dropping-particle" : "", "family" : "Wood", "given" : "Erics", "non-dropping-particle" : "", "parse-names" : false, "suffix" : "" }, { "dropping-particle" : "", "family" : "Robinson", "given" : "Kathryn", "non-dropping-particle" : "", "parse-names" : false, "suffix" : "" } ], "container-title" : "Med J Aust", "id" : "ITEM-1", "issue" : "9", "issued" : { "date-parts" : [ [ "2010" ] ] }, "page" : "525-532", "title" : "Diagnosis and management of iron deficiency anaemia: a clinical update", "type" : "article-journal", "volume" : "198" }, "uris" : [ "http://www.mendeley.com/documents/?uuid=38b52922-e84f-40be-a09c-6a4645479b3c" ] } ], "mendeley" : { "previouslyFormattedCitation" : "&lt;sup&gt;17&lt;/sup&gt;" }, "properties" : { "noteIndex" : 0 }, "schema" : "https://github.com/citation-style-language/schema/raw/master/csl-citation.json" }</w:instrText>
            </w:r>
            <w:r w:rsidR="0091670C">
              <w:fldChar w:fldCharType="separate"/>
            </w:r>
            <w:r w:rsidR="00CA27FC" w:rsidRPr="00CA27FC">
              <w:rPr>
                <w:noProof/>
                <w:vertAlign w:val="superscript"/>
              </w:rPr>
              <w:t>17</w:t>
            </w:r>
            <w:r w:rsidR="0091670C">
              <w:fldChar w:fldCharType="end"/>
            </w:r>
          </w:p>
          <w:p w14:paraId="7F6B5A48" w14:textId="77777777" w:rsidR="008E07C1" w:rsidRPr="00B14D45" w:rsidRDefault="002E750B" w:rsidP="00B14D45">
            <w:pPr>
              <w:pStyle w:val="ListParagraph"/>
              <w:numPr>
                <w:ilvl w:val="0"/>
                <w:numId w:val="10"/>
              </w:numPr>
              <w:spacing w:after="200" w:line="276" w:lineRule="auto"/>
              <w:contextualSpacing/>
            </w:pPr>
            <w:r>
              <w:t xml:space="preserve">The </w:t>
            </w:r>
            <w:r w:rsidR="00486259">
              <w:t xml:space="preserve">national </w:t>
            </w:r>
            <w:r>
              <w:t>Patient Blood Management Guidelines: Module 3 – Medical</w:t>
            </w:r>
            <w:r w:rsidR="0091670C">
              <w:fldChar w:fldCharType="begin" w:fldLock="1"/>
            </w:r>
            <w:r w:rsidR="00CA27FC">
              <w:instrText>ADDIN CSL_CITATION { "citationItems" : [ { "id" : "ITEM-1", "itemData" : { "author" : [ { "dropping-particle" : "", "family" : "National Blood Authority", "given" : "", "non-dropping-particle" : "", "parse-names" : false, "suffix" : "" } ], "id" : "ITEM-1", "issued" : { "date-parts" : [ [ "2012" ] ] }, "publisher" : "National Blood Authority", "publisher-place" : "Canberra, Australia", "title" : "Patient blood management guidelines: Module 3 \u2013 Medical", "type" : "book" }, "uris" : [ "http://www.mendeley.com/documents/?uuid=0b45fa2d-24ab-49d5-a0df-007d328f5e3b" ] } ], "mendeley" : { "previouslyFormattedCitation" : "&lt;sup&gt;4&lt;/sup&gt;" }, "properties" : { "noteIndex" : 0 }, "schema" : "https://github.com/citation-style-language/schema/raw/master/csl-citation.json" }</w:instrText>
            </w:r>
            <w:r w:rsidR="0091670C">
              <w:fldChar w:fldCharType="separate"/>
            </w:r>
            <w:r w:rsidR="00CA27FC" w:rsidRPr="00CA27FC">
              <w:rPr>
                <w:noProof/>
                <w:vertAlign w:val="superscript"/>
              </w:rPr>
              <w:t>4</w:t>
            </w:r>
            <w:r w:rsidR="0091670C">
              <w:fldChar w:fldCharType="end"/>
            </w:r>
            <w:r>
              <w:t xml:space="preserve"> state “In patients with iron deficiency anaemia, iron therapy is required to replenish iron stores regardless of whether a transfusion is indicated.”</w:t>
            </w:r>
          </w:p>
        </w:tc>
      </w:tr>
    </w:tbl>
    <w:p w14:paraId="6DA784E5" w14:textId="77777777" w:rsidR="00C94E8F" w:rsidRPr="008C4D33" w:rsidRDefault="00312106" w:rsidP="00CF58C7">
      <w:pPr>
        <w:spacing w:before="120" w:after="120"/>
        <w:rPr>
          <w:rFonts w:ascii="Calibri" w:hAnsi="Calibri" w:cs="Calibri"/>
          <w:b/>
          <w:sz w:val="22"/>
          <w:szCs w:val="22"/>
        </w:rPr>
      </w:pPr>
      <w:r>
        <w:rPr>
          <w:rFonts w:ascii="Arial" w:hAnsi="Arial" w:cs="Arial"/>
          <w:b/>
          <w:sz w:val="20"/>
          <w:szCs w:val="20"/>
        </w:rPr>
        <w:lastRenderedPageBreak/>
        <w:br w:type="page"/>
      </w:r>
      <w:r w:rsidR="00C94E8F" w:rsidRPr="008C4D33">
        <w:rPr>
          <w:rFonts w:ascii="Calibri" w:hAnsi="Calibri" w:cs="Calibri"/>
          <w:b/>
          <w:sz w:val="22"/>
          <w:szCs w:val="22"/>
        </w:rPr>
        <w:lastRenderedPageBreak/>
        <w:t>IMPLEMENTATION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A03E8" w:rsidRPr="008C4D33" w14:paraId="05F3ECE9" w14:textId="77777777" w:rsidTr="004C2B0E">
        <w:tc>
          <w:tcPr>
            <w:tcW w:w="9854" w:type="dxa"/>
            <w:shd w:val="clear" w:color="auto" w:fill="auto"/>
          </w:tcPr>
          <w:p w14:paraId="4EA22540" w14:textId="77777777" w:rsidR="000145DF" w:rsidRPr="008C4D33" w:rsidRDefault="000145DF" w:rsidP="000145DF">
            <w:pPr>
              <w:spacing w:after="120" w:line="276" w:lineRule="auto"/>
              <w:rPr>
                <w:rFonts w:ascii="Calibri" w:eastAsia="Calibri" w:hAnsi="Calibri" w:cs="Calibri"/>
                <w:sz w:val="22"/>
                <w:szCs w:val="22"/>
                <w:vertAlign w:val="superscript"/>
                <w:lang w:eastAsia="en-US"/>
              </w:rPr>
            </w:pPr>
            <w:r w:rsidRPr="008C4D33">
              <w:rPr>
                <w:rFonts w:ascii="Calibri" w:eastAsia="Calibri" w:hAnsi="Calibri" w:cs="Calibri"/>
                <w:sz w:val="22"/>
                <w:szCs w:val="22"/>
                <w:lang w:eastAsia="en-US"/>
              </w:rPr>
              <w:t>The following stepped approach may assist with the implementation of this guideline.</w:t>
            </w:r>
            <w:r w:rsidR="0091670C">
              <w:rPr>
                <w:rFonts w:ascii="Calibri" w:eastAsia="Calibri" w:hAnsi="Calibri" w:cs="Calibri"/>
                <w:sz w:val="22"/>
                <w:szCs w:val="22"/>
                <w:lang w:eastAsia="en-US"/>
              </w:rPr>
              <w:fldChar w:fldCharType="begin" w:fldLock="1"/>
            </w:r>
            <w:r w:rsidR="00CA27FC">
              <w:rPr>
                <w:rFonts w:ascii="Calibri" w:eastAsia="Calibri" w:hAnsi="Calibri" w:cs="Calibri"/>
                <w:sz w:val="22"/>
                <w:szCs w:val="22"/>
                <w:lang w:eastAsia="en-US"/>
              </w:rPr>
              <w:instrText>ADDIN CSL_CITATION { "citationItems" : [ { "id" : "ITEM-1", "itemData" : { "author" : [ { "dropping-particle" : "", "family" : "Western Australia Government", "given" : "", "non-dropping-particle" : "", "parse-names" : false, "suffix" : "" } ], "id" : "ITEM-1", "issued" : { "date-parts" : [ [ "2012" ] ] }, "title" : "Single Unit Rule: A Quick Start Guide to Transfusion Reduction", "type" : "article-journal" }, "uris" : [ "http://www.mendeley.com/documents/?uuid=248e6614-4e99-4662-8633-f3534d49d192" ] } ], "mendeley" : { "previouslyFormattedCitation" : "&lt;sup&gt;18&lt;/sup&gt;" }, "properties" : { "noteIndex" : 0 }, "schema" : "https://github.com/citation-style-language/schema/raw/master/csl-citation.json" }</w:instrText>
            </w:r>
            <w:r w:rsidR="0091670C">
              <w:rPr>
                <w:rFonts w:ascii="Calibri" w:eastAsia="Calibri" w:hAnsi="Calibri" w:cs="Calibri"/>
                <w:sz w:val="22"/>
                <w:szCs w:val="22"/>
                <w:lang w:eastAsia="en-US"/>
              </w:rPr>
              <w:fldChar w:fldCharType="separate"/>
            </w:r>
            <w:r w:rsidR="00CA27FC" w:rsidRPr="00CA27FC">
              <w:rPr>
                <w:rFonts w:ascii="Calibri" w:eastAsia="Calibri" w:hAnsi="Calibri" w:cs="Calibri"/>
                <w:noProof/>
                <w:sz w:val="22"/>
                <w:szCs w:val="22"/>
                <w:vertAlign w:val="superscript"/>
                <w:lang w:eastAsia="en-US"/>
              </w:rPr>
              <w:t>18</w:t>
            </w:r>
            <w:r w:rsidR="0091670C">
              <w:rPr>
                <w:rFonts w:ascii="Calibri" w:eastAsia="Calibri" w:hAnsi="Calibri" w:cs="Calibri"/>
                <w:sz w:val="22"/>
                <w:szCs w:val="22"/>
                <w:lang w:eastAsia="en-US"/>
              </w:rPr>
              <w:fldChar w:fldCharType="end"/>
            </w:r>
          </w:p>
          <w:p w14:paraId="3D7BDCFF" w14:textId="77777777" w:rsidR="000145DF" w:rsidRPr="008C4D33" w:rsidRDefault="000145DF" w:rsidP="000145DF">
            <w:pPr>
              <w:numPr>
                <w:ilvl w:val="0"/>
                <w:numId w:val="35"/>
              </w:numPr>
              <w:spacing w:line="276" w:lineRule="auto"/>
              <w:rPr>
                <w:rFonts w:ascii="Calibri" w:eastAsia="Calibri" w:hAnsi="Calibri" w:cs="Calibri"/>
                <w:b/>
                <w:sz w:val="22"/>
                <w:szCs w:val="22"/>
                <w:lang w:eastAsia="en-US"/>
              </w:rPr>
            </w:pPr>
            <w:r w:rsidRPr="008C4D33">
              <w:rPr>
                <w:rFonts w:ascii="Calibri" w:eastAsia="Calibri" w:hAnsi="Calibri" w:cs="Calibri"/>
                <w:b/>
                <w:sz w:val="22"/>
                <w:szCs w:val="22"/>
                <w:lang w:eastAsia="en-US"/>
              </w:rPr>
              <w:t xml:space="preserve">Gain approval </w:t>
            </w:r>
            <w:r w:rsidR="00F063E0">
              <w:rPr>
                <w:rFonts w:ascii="Calibri" w:eastAsia="Calibri" w:hAnsi="Calibri" w:cs="Calibri"/>
                <w:b/>
                <w:sz w:val="22"/>
                <w:szCs w:val="22"/>
                <w:lang w:eastAsia="en-US"/>
              </w:rPr>
              <w:t>or</w:t>
            </w:r>
            <w:r w:rsidR="00F063E0" w:rsidRPr="008C4D33">
              <w:rPr>
                <w:rFonts w:ascii="Calibri" w:eastAsia="Calibri" w:hAnsi="Calibri" w:cs="Calibri"/>
                <w:b/>
                <w:sz w:val="22"/>
                <w:szCs w:val="22"/>
                <w:lang w:eastAsia="en-US"/>
              </w:rPr>
              <w:t xml:space="preserve"> </w:t>
            </w:r>
            <w:r w:rsidRPr="008C4D33">
              <w:rPr>
                <w:rFonts w:ascii="Calibri" w:eastAsia="Calibri" w:hAnsi="Calibri" w:cs="Calibri"/>
                <w:b/>
                <w:sz w:val="22"/>
                <w:szCs w:val="22"/>
                <w:lang w:eastAsia="en-US"/>
              </w:rPr>
              <w:t xml:space="preserve">endorsement of the guideline from the following: </w:t>
            </w:r>
          </w:p>
          <w:p w14:paraId="53D9E6D2" w14:textId="77777777" w:rsidR="000145DF" w:rsidRPr="008C4D33" w:rsidRDefault="000145DF" w:rsidP="000145DF">
            <w:pPr>
              <w:numPr>
                <w:ilvl w:val="0"/>
                <w:numId w:val="37"/>
              </w:numPr>
              <w:spacing w:before="120" w:after="120"/>
              <w:rPr>
                <w:rFonts w:ascii="Calibri" w:hAnsi="Calibri" w:cs="Calibri"/>
                <w:sz w:val="22"/>
                <w:szCs w:val="22"/>
              </w:rPr>
            </w:pPr>
            <w:r w:rsidRPr="008C4D33">
              <w:rPr>
                <w:rFonts w:ascii="Calibri" w:hAnsi="Calibri" w:cs="Calibri"/>
                <w:sz w:val="22"/>
                <w:szCs w:val="22"/>
              </w:rPr>
              <w:t>Transfusion Governance Committee</w:t>
            </w:r>
            <w:r w:rsidR="002E750B" w:rsidRPr="008C4D33">
              <w:rPr>
                <w:rFonts w:ascii="Calibri" w:hAnsi="Calibri" w:cs="Calibri"/>
                <w:sz w:val="22"/>
                <w:szCs w:val="22"/>
              </w:rPr>
              <w:t xml:space="preserve"> / Patient Blood Management Committee</w:t>
            </w:r>
          </w:p>
          <w:p w14:paraId="6978EB5D" w14:textId="77777777" w:rsidR="00D21174" w:rsidRPr="008C4D33" w:rsidRDefault="000145DF" w:rsidP="00D21174">
            <w:pPr>
              <w:numPr>
                <w:ilvl w:val="0"/>
                <w:numId w:val="37"/>
              </w:numPr>
              <w:spacing w:before="120" w:after="120"/>
              <w:rPr>
                <w:rFonts w:ascii="Calibri" w:hAnsi="Calibri" w:cs="Calibri"/>
                <w:sz w:val="22"/>
                <w:szCs w:val="22"/>
              </w:rPr>
            </w:pPr>
            <w:r w:rsidRPr="008C4D33">
              <w:rPr>
                <w:rFonts w:ascii="Calibri" w:hAnsi="Calibri" w:cs="Calibri"/>
                <w:sz w:val="22"/>
                <w:szCs w:val="22"/>
              </w:rPr>
              <w:t xml:space="preserve">Executive and </w:t>
            </w:r>
            <w:r w:rsidR="00D21174" w:rsidRPr="008C4D33">
              <w:rPr>
                <w:rFonts w:ascii="Calibri" w:hAnsi="Calibri" w:cs="Calibri"/>
                <w:sz w:val="22"/>
                <w:szCs w:val="22"/>
              </w:rPr>
              <w:t>Quality managers</w:t>
            </w:r>
          </w:p>
          <w:p w14:paraId="5EEA5042" w14:textId="77777777" w:rsidR="00D21174" w:rsidRPr="008C4D33" w:rsidRDefault="00D21174" w:rsidP="000145DF">
            <w:pPr>
              <w:numPr>
                <w:ilvl w:val="0"/>
                <w:numId w:val="37"/>
              </w:numPr>
              <w:spacing w:before="120" w:after="120"/>
              <w:rPr>
                <w:rFonts w:ascii="Calibri" w:hAnsi="Calibri" w:cs="Calibri"/>
                <w:sz w:val="22"/>
                <w:szCs w:val="22"/>
              </w:rPr>
            </w:pPr>
            <w:r w:rsidRPr="008C4D33">
              <w:rPr>
                <w:rFonts w:ascii="Calibri" w:hAnsi="Calibri" w:cs="Calibri"/>
                <w:sz w:val="22"/>
                <w:szCs w:val="22"/>
              </w:rPr>
              <w:t xml:space="preserve">Relevant clinicians </w:t>
            </w:r>
          </w:p>
          <w:p w14:paraId="5E15EF62" w14:textId="77777777" w:rsidR="000145DF" w:rsidRPr="008C4D33" w:rsidRDefault="00D21174" w:rsidP="000145DF">
            <w:pPr>
              <w:numPr>
                <w:ilvl w:val="0"/>
                <w:numId w:val="37"/>
              </w:numPr>
              <w:spacing w:before="120" w:after="120"/>
              <w:rPr>
                <w:rFonts w:ascii="Calibri" w:hAnsi="Calibri" w:cs="Calibri"/>
                <w:sz w:val="22"/>
                <w:szCs w:val="22"/>
              </w:rPr>
            </w:pPr>
            <w:r w:rsidRPr="008C4D33">
              <w:rPr>
                <w:rFonts w:ascii="Calibri" w:hAnsi="Calibri" w:cs="Calibri"/>
                <w:sz w:val="22"/>
                <w:szCs w:val="22"/>
              </w:rPr>
              <w:t>Transfusion medic</w:t>
            </w:r>
            <w:r w:rsidR="00E3363B">
              <w:rPr>
                <w:rFonts w:ascii="Calibri" w:hAnsi="Calibri" w:cs="Calibri"/>
                <w:sz w:val="22"/>
                <w:szCs w:val="22"/>
              </w:rPr>
              <w:t>ine</w:t>
            </w:r>
            <w:r w:rsidRPr="008C4D33">
              <w:rPr>
                <w:rFonts w:ascii="Calibri" w:hAnsi="Calibri" w:cs="Calibri"/>
                <w:sz w:val="22"/>
                <w:szCs w:val="22"/>
              </w:rPr>
              <w:t xml:space="preserve"> staff</w:t>
            </w:r>
          </w:p>
          <w:p w14:paraId="0A8D62AA" w14:textId="77777777" w:rsidR="000145DF" w:rsidRPr="008C4D33" w:rsidRDefault="000145DF" w:rsidP="000145DF">
            <w:pPr>
              <w:numPr>
                <w:ilvl w:val="0"/>
                <w:numId w:val="35"/>
              </w:numPr>
              <w:spacing w:line="276" w:lineRule="auto"/>
              <w:rPr>
                <w:rFonts w:ascii="Calibri" w:eastAsia="Calibri" w:hAnsi="Calibri" w:cs="Calibri"/>
                <w:b/>
                <w:sz w:val="22"/>
                <w:szCs w:val="22"/>
                <w:lang w:eastAsia="en-US"/>
              </w:rPr>
            </w:pPr>
            <w:r w:rsidRPr="008C4D33">
              <w:rPr>
                <w:rFonts w:ascii="Calibri" w:eastAsia="Calibri" w:hAnsi="Calibri" w:cs="Calibri"/>
                <w:b/>
                <w:sz w:val="22"/>
                <w:szCs w:val="22"/>
                <w:lang w:eastAsia="en-US"/>
              </w:rPr>
              <w:t>Identify key staff / team responsible for implementing the guideline</w:t>
            </w:r>
          </w:p>
          <w:p w14:paraId="6D0EC1FC" w14:textId="77777777" w:rsidR="000145DF" w:rsidRPr="008C4D33" w:rsidRDefault="000145DF" w:rsidP="000145DF">
            <w:pPr>
              <w:numPr>
                <w:ilvl w:val="0"/>
                <w:numId w:val="37"/>
              </w:numPr>
              <w:spacing w:before="120" w:after="120"/>
              <w:rPr>
                <w:rFonts w:ascii="Calibri" w:hAnsi="Calibri" w:cs="Calibri"/>
                <w:sz w:val="22"/>
                <w:szCs w:val="22"/>
              </w:rPr>
            </w:pPr>
            <w:r w:rsidRPr="008C4D33">
              <w:rPr>
                <w:rFonts w:ascii="Calibri" w:hAnsi="Calibri" w:cs="Calibri"/>
                <w:sz w:val="22"/>
                <w:szCs w:val="22"/>
              </w:rPr>
              <w:t>Identify key staff</w:t>
            </w:r>
          </w:p>
          <w:p w14:paraId="6A34E385" w14:textId="77777777" w:rsidR="000145DF" w:rsidRPr="008C4D33" w:rsidRDefault="000145DF" w:rsidP="000145DF">
            <w:pPr>
              <w:numPr>
                <w:ilvl w:val="0"/>
                <w:numId w:val="37"/>
              </w:numPr>
              <w:spacing w:before="120" w:after="120"/>
              <w:rPr>
                <w:rFonts w:ascii="Calibri" w:hAnsi="Calibri" w:cs="Calibri"/>
                <w:sz w:val="22"/>
                <w:szCs w:val="22"/>
              </w:rPr>
            </w:pPr>
            <w:r w:rsidRPr="008C4D33">
              <w:rPr>
                <w:rFonts w:ascii="Calibri" w:hAnsi="Calibri" w:cs="Calibri"/>
                <w:sz w:val="22"/>
                <w:szCs w:val="22"/>
              </w:rPr>
              <w:t>Document the roles and responsibilities of the staff</w:t>
            </w:r>
          </w:p>
          <w:p w14:paraId="0A0952A4" w14:textId="77777777" w:rsidR="000145DF" w:rsidRPr="008C4D33" w:rsidRDefault="00D21174" w:rsidP="000145DF">
            <w:pPr>
              <w:numPr>
                <w:ilvl w:val="0"/>
                <w:numId w:val="35"/>
              </w:numPr>
              <w:spacing w:line="276" w:lineRule="auto"/>
              <w:rPr>
                <w:rFonts w:ascii="Calibri" w:eastAsia="Calibri" w:hAnsi="Calibri" w:cs="Calibri"/>
                <w:b/>
                <w:sz w:val="22"/>
                <w:szCs w:val="22"/>
                <w:lang w:eastAsia="en-US"/>
              </w:rPr>
            </w:pPr>
            <w:r w:rsidRPr="008C4D33">
              <w:rPr>
                <w:rFonts w:ascii="Calibri" w:eastAsia="Calibri" w:hAnsi="Calibri" w:cs="Calibri"/>
                <w:b/>
                <w:sz w:val="22"/>
                <w:szCs w:val="22"/>
                <w:lang w:eastAsia="en-US"/>
              </w:rPr>
              <w:t>Provide</w:t>
            </w:r>
            <w:r w:rsidR="000145DF" w:rsidRPr="008C4D33">
              <w:rPr>
                <w:rFonts w:ascii="Calibri" w:eastAsia="Calibri" w:hAnsi="Calibri" w:cs="Calibri"/>
                <w:b/>
                <w:sz w:val="22"/>
                <w:szCs w:val="22"/>
                <w:lang w:eastAsia="en-US"/>
              </w:rPr>
              <w:t xml:space="preserve"> education</w:t>
            </w:r>
          </w:p>
          <w:p w14:paraId="22B41195" w14:textId="77777777" w:rsidR="000145DF" w:rsidRPr="008C4D33" w:rsidRDefault="000145DF" w:rsidP="000145DF">
            <w:pPr>
              <w:numPr>
                <w:ilvl w:val="1"/>
                <w:numId w:val="36"/>
              </w:numPr>
              <w:rPr>
                <w:rFonts w:ascii="Calibri" w:hAnsi="Calibri" w:cs="Calibri"/>
                <w:sz w:val="22"/>
                <w:szCs w:val="22"/>
              </w:rPr>
            </w:pPr>
            <w:r w:rsidRPr="008C4D33">
              <w:rPr>
                <w:rFonts w:ascii="Calibri" w:hAnsi="Calibri" w:cs="Calibri"/>
                <w:sz w:val="22"/>
                <w:szCs w:val="22"/>
              </w:rPr>
              <w:t>Individual medical specialities</w:t>
            </w:r>
          </w:p>
          <w:p w14:paraId="711336DA" w14:textId="77777777" w:rsidR="000145DF" w:rsidRPr="008C4D33" w:rsidRDefault="00D21174" w:rsidP="000145DF">
            <w:pPr>
              <w:numPr>
                <w:ilvl w:val="1"/>
                <w:numId w:val="36"/>
              </w:numPr>
              <w:spacing w:before="120" w:after="120"/>
              <w:rPr>
                <w:rFonts w:ascii="Calibri" w:hAnsi="Calibri" w:cs="Calibri"/>
                <w:sz w:val="22"/>
                <w:szCs w:val="22"/>
              </w:rPr>
            </w:pPr>
            <w:r w:rsidRPr="008C4D33">
              <w:rPr>
                <w:rFonts w:ascii="Calibri" w:hAnsi="Calibri" w:cs="Calibri"/>
                <w:sz w:val="22"/>
                <w:szCs w:val="22"/>
              </w:rPr>
              <w:t xml:space="preserve">All staff, </w:t>
            </w:r>
            <w:r w:rsidR="000145DF" w:rsidRPr="008C4D33">
              <w:rPr>
                <w:rFonts w:ascii="Calibri" w:hAnsi="Calibri" w:cs="Calibri"/>
                <w:sz w:val="22"/>
                <w:szCs w:val="22"/>
              </w:rPr>
              <w:t>including: medical; nursing; transfusion medicine and wards areas that may or may not use blood</w:t>
            </w:r>
          </w:p>
          <w:p w14:paraId="092C2C1B" w14:textId="77777777" w:rsidR="000145DF" w:rsidRPr="008C4D33" w:rsidRDefault="000145DF" w:rsidP="000145DF">
            <w:pPr>
              <w:numPr>
                <w:ilvl w:val="1"/>
                <w:numId w:val="36"/>
              </w:numPr>
              <w:spacing w:before="120" w:after="120"/>
              <w:rPr>
                <w:rFonts w:ascii="Calibri" w:hAnsi="Calibri" w:cs="Calibri"/>
                <w:sz w:val="22"/>
                <w:szCs w:val="22"/>
              </w:rPr>
            </w:pPr>
            <w:r w:rsidRPr="008C4D33">
              <w:rPr>
                <w:rFonts w:ascii="Calibri" w:hAnsi="Calibri" w:cs="Calibri"/>
                <w:sz w:val="22"/>
                <w:szCs w:val="22"/>
              </w:rPr>
              <w:t>Consumer education</w:t>
            </w:r>
          </w:p>
          <w:p w14:paraId="7EA4B24A" w14:textId="77777777" w:rsidR="000145DF" w:rsidRPr="008C4D33" w:rsidRDefault="000145DF" w:rsidP="000145DF">
            <w:pPr>
              <w:numPr>
                <w:ilvl w:val="1"/>
                <w:numId w:val="36"/>
              </w:numPr>
              <w:spacing w:before="120" w:after="120"/>
              <w:rPr>
                <w:rFonts w:ascii="Calibri" w:hAnsi="Calibri" w:cs="Calibri"/>
                <w:sz w:val="22"/>
                <w:szCs w:val="22"/>
              </w:rPr>
            </w:pPr>
            <w:r w:rsidRPr="008C4D33">
              <w:rPr>
                <w:rFonts w:ascii="Calibri" w:hAnsi="Calibri" w:cs="Calibri"/>
                <w:sz w:val="22"/>
                <w:szCs w:val="22"/>
              </w:rPr>
              <w:t>Education of new staff at orientation</w:t>
            </w:r>
          </w:p>
          <w:p w14:paraId="0F58C0B7" w14:textId="77777777" w:rsidR="000145DF" w:rsidRPr="008C4D33" w:rsidRDefault="000145DF" w:rsidP="000145DF">
            <w:pPr>
              <w:numPr>
                <w:ilvl w:val="0"/>
                <w:numId w:val="35"/>
              </w:numPr>
              <w:spacing w:line="276" w:lineRule="auto"/>
              <w:rPr>
                <w:rFonts w:ascii="Calibri" w:eastAsia="Calibri" w:hAnsi="Calibri" w:cs="Calibri"/>
                <w:b/>
                <w:sz w:val="22"/>
                <w:szCs w:val="22"/>
                <w:lang w:eastAsia="en-US"/>
              </w:rPr>
            </w:pPr>
            <w:r w:rsidRPr="008C4D33">
              <w:rPr>
                <w:rFonts w:ascii="Calibri" w:eastAsia="Calibri" w:hAnsi="Calibri" w:cs="Calibri"/>
                <w:b/>
                <w:sz w:val="22"/>
                <w:szCs w:val="22"/>
                <w:lang w:eastAsia="en-US"/>
              </w:rPr>
              <w:t>Key messages</w:t>
            </w:r>
          </w:p>
          <w:p w14:paraId="5AE5DB76" w14:textId="77777777" w:rsidR="000145DF" w:rsidRPr="008C4D33" w:rsidRDefault="000145DF" w:rsidP="000145DF">
            <w:pPr>
              <w:spacing w:line="276" w:lineRule="auto"/>
              <w:ind w:left="360"/>
              <w:rPr>
                <w:rFonts w:ascii="Calibri" w:eastAsia="Calibri" w:hAnsi="Calibri" w:cs="Calibri"/>
                <w:b/>
                <w:sz w:val="22"/>
                <w:szCs w:val="22"/>
                <w:lang w:eastAsia="en-US"/>
              </w:rPr>
            </w:pPr>
            <w:r w:rsidRPr="008C4D33">
              <w:rPr>
                <w:rFonts w:ascii="Calibri" w:eastAsia="Calibri" w:hAnsi="Calibri" w:cs="Calibri"/>
                <w:sz w:val="22"/>
                <w:szCs w:val="22"/>
                <w:lang w:eastAsia="en-US"/>
              </w:rPr>
              <w:t xml:space="preserve">Placement of key messages in the following areas: </w:t>
            </w:r>
          </w:p>
          <w:p w14:paraId="3F211370" w14:textId="77777777" w:rsidR="000145DF" w:rsidRPr="008C4D33" w:rsidRDefault="000145DF" w:rsidP="000145DF">
            <w:pPr>
              <w:numPr>
                <w:ilvl w:val="0"/>
                <w:numId w:val="37"/>
              </w:numPr>
              <w:spacing w:before="120" w:after="120"/>
              <w:rPr>
                <w:rFonts w:ascii="Calibri" w:hAnsi="Calibri" w:cs="Calibri"/>
                <w:sz w:val="22"/>
                <w:szCs w:val="22"/>
              </w:rPr>
            </w:pPr>
            <w:r w:rsidRPr="008C4D33">
              <w:rPr>
                <w:rFonts w:ascii="Calibri" w:hAnsi="Calibri" w:cs="Calibri"/>
                <w:sz w:val="22"/>
                <w:szCs w:val="22"/>
              </w:rPr>
              <w:t>Hospital Intranets, websites</w:t>
            </w:r>
          </w:p>
          <w:p w14:paraId="72F373CB" w14:textId="77777777" w:rsidR="000145DF" w:rsidRPr="008C4D33" w:rsidRDefault="000145DF" w:rsidP="000145DF">
            <w:pPr>
              <w:numPr>
                <w:ilvl w:val="0"/>
                <w:numId w:val="37"/>
              </w:numPr>
              <w:spacing w:before="120" w:after="120"/>
              <w:rPr>
                <w:rFonts w:ascii="Calibri" w:hAnsi="Calibri" w:cs="Calibri"/>
                <w:sz w:val="22"/>
                <w:szCs w:val="22"/>
              </w:rPr>
            </w:pPr>
            <w:r w:rsidRPr="008C4D33">
              <w:rPr>
                <w:rFonts w:ascii="Calibri" w:hAnsi="Calibri" w:cs="Calibri"/>
                <w:sz w:val="22"/>
                <w:szCs w:val="22"/>
              </w:rPr>
              <w:t xml:space="preserve">Transfusion laboratory reports </w:t>
            </w:r>
          </w:p>
          <w:p w14:paraId="00AE3739" w14:textId="77777777" w:rsidR="000145DF" w:rsidRPr="008C4D33" w:rsidRDefault="000145DF" w:rsidP="000145DF">
            <w:pPr>
              <w:numPr>
                <w:ilvl w:val="0"/>
                <w:numId w:val="37"/>
              </w:numPr>
              <w:spacing w:before="120" w:after="120"/>
              <w:rPr>
                <w:rFonts w:ascii="Calibri" w:hAnsi="Calibri" w:cs="Calibri"/>
                <w:sz w:val="22"/>
                <w:szCs w:val="22"/>
              </w:rPr>
            </w:pPr>
            <w:r w:rsidRPr="008C4D33">
              <w:rPr>
                <w:rFonts w:ascii="Calibri" w:hAnsi="Calibri" w:cs="Calibri"/>
                <w:sz w:val="22"/>
                <w:szCs w:val="22"/>
              </w:rPr>
              <w:t>Internal hospital newsletters, magazines</w:t>
            </w:r>
          </w:p>
          <w:p w14:paraId="36893E94" w14:textId="77777777" w:rsidR="000145DF" w:rsidRPr="008C4D33" w:rsidRDefault="000145DF" w:rsidP="000145DF">
            <w:pPr>
              <w:numPr>
                <w:ilvl w:val="0"/>
                <w:numId w:val="37"/>
              </w:numPr>
              <w:spacing w:before="120" w:after="120"/>
              <w:rPr>
                <w:rFonts w:ascii="Calibri" w:hAnsi="Calibri" w:cs="Calibri"/>
                <w:sz w:val="22"/>
                <w:szCs w:val="22"/>
              </w:rPr>
            </w:pPr>
            <w:r w:rsidRPr="008C4D33">
              <w:rPr>
                <w:rFonts w:ascii="Calibri" w:hAnsi="Calibri" w:cs="Calibri"/>
                <w:sz w:val="22"/>
                <w:szCs w:val="22"/>
              </w:rPr>
              <w:t>Visible signage of key messages e.g. posters</w:t>
            </w:r>
          </w:p>
          <w:p w14:paraId="4A32886F" w14:textId="77777777" w:rsidR="000145DF" w:rsidRPr="008C4D33" w:rsidRDefault="000145DF" w:rsidP="000145DF">
            <w:pPr>
              <w:numPr>
                <w:ilvl w:val="0"/>
                <w:numId w:val="35"/>
              </w:numPr>
              <w:spacing w:line="276" w:lineRule="auto"/>
              <w:rPr>
                <w:rFonts w:ascii="Calibri" w:eastAsia="Calibri" w:hAnsi="Calibri" w:cs="Calibri"/>
                <w:b/>
                <w:sz w:val="22"/>
                <w:szCs w:val="22"/>
                <w:lang w:eastAsia="en-US"/>
              </w:rPr>
            </w:pPr>
            <w:r w:rsidRPr="008C4D33">
              <w:rPr>
                <w:rFonts w:ascii="Calibri" w:eastAsia="Calibri" w:hAnsi="Calibri" w:cs="Calibri"/>
                <w:b/>
                <w:sz w:val="22"/>
                <w:szCs w:val="22"/>
                <w:lang w:eastAsia="en-US"/>
              </w:rPr>
              <w:t>Support staff to implement the guideline</w:t>
            </w:r>
          </w:p>
          <w:p w14:paraId="0FA8F95F" w14:textId="77777777" w:rsidR="000145DF" w:rsidRPr="008C4D33" w:rsidRDefault="000145DF" w:rsidP="000145DF">
            <w:pPr>
              <w:numPr>
                <w:ilvl w:val="1"/>
                <w:numId w:val="38"/>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 xml:space="preserve">The Single Unit Transfusion Guideline should be available </w:t>
            </w:r>
            <w:r w:rsidR="00ED4C02" w:rsidRPr="008C4D33">
              <w:rPr>
                <w:rFonts w:ascii="Calibri" w:eastAsia="Calibri" w:hAnsi="Calibri" w:cs="Calibri"/>
                <w:sz w:val="22"/>
                <w:szCs w:val="22"/>
                <w:lang w:eastAsia="en-US"/>
              </w:rPr>
              <w:t>to all staff</w:t>
            </w:r>
            <w:r w:rsidR="00855998" w:rsidRPr="009B7EDF">
              <w:rPr>
                <w:rFonts w:ascii="Calibri" w:eastAsia="Calibri" w:hAnsi="Calibri" w:cs="Calibri"/>
                <w:sz w:val="22"/>
                <w:szCs w:val="22"/>
                <w:lang w:eastAsia="en-US"/>
              </w:rPr>
              <w:t>.</w:t>
            </w:r>
            <w:r w:rsidR="00ED4C02" w:rsidRPr="008C4D33">
              <w:rPr>
                <w:rFonts w:ascii="Calibri" w:eastAsia="Calibri" w:hAnsi="Calibri" w:cs="Calibri"/>
                <w:sz w:val="22"/>
                <w:szCs w:val="22"/>
                <w:lang w:eastAsia="en-US"/>
              </w:rPr>
              <w:t xml:space="preserve"> </w:t>
            </w:r>
          </w:p>
          <w:p w14:paraId="60736C54" w14:textId="77777777" w:rsidR="000145DF" w:rsidRPr="008C4D33" w:rsidRDefault="00ED4C02" w:rsidP="000145DF">
            <w:pPr>
              <w:numPr>
                <w:ilvl w:val="1"/>
                <w:numId w:val="38"/>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 xml:space="preserve">Provide prompts for staff to </w:t>
            </w:r>
            <w:r w:rsidR="000145DF" w:rsidRPr="008C4D33">
              <w:rPr>
                <w:rFonts w:ascii="Calibri" w:eastAsia="Calibri" w:hAnsi="Calibri" w:cs="Calibri"/>
                <w:sz w:val="22"/>
                <w:szCs w:val="22"/>
                <w:lang w:eastAsia="en-US"/>
              </w:rPr>
              <w:t xml:space="preserve">determine </w:t>
            </w:r>
            <w:r w:rsidRPr="008C4D33">
              <w:rPr>
                <w:rFonts w:ascii="Calibri" w:eastAsia="Calibri" w:hAnsi="Calibri" w:cs="Calibri"/>
                <w:sz w:val="22"/>
                <w:szCs w:val="22"/>
                <w:lang w:eastAsia="en-US"/>
              </w:rPr>
              <w:t xml:space="preserve">the </w:t>
            </w:r>
            <w:r w:rsidR="000145DF" w:rsidRPr="008C4D33">
              <w:rPr>
                <w:rFonts w:ascii="Calibri" w:eastAsia="Calibri" w:hAnsi="Calibri" w:cs="Calibri"/>
                <w:sz w:val="22"/>
                <w:szCs w:val="22"/>
                <w:lang w:eastAsia="en-US"/>
              </w:rPr>
              <w:t xml:space="preserve">reason for transfusion </w:t>
            </w:r>
            <w:r w:rsidR="00615158">
              <w:rPr>
                <w:rFonts w:ascii="Calibri" w:eastAsia="Calibri" w:hAnsi="Calibri" w:cs="Calibri"/>
                <w:sz w:val="22"/>
                <w:szCs w:val="22"/>
                <w:lang w:eastAsia="en-US"/>
              </w:rPr>
              <w:t>e.g.</w:t>
            </w:r>
            <w:r w:rsidR="000145DF" w:rsidRPr="008C4D33">
              <w:rPr>
                <w:rFonts w:ascii="Calibri" w:eastAsia="Calibri" w:hAnsi="Calibri" w:cs="Calibri"/>
                <w:sz w:val="22"/>
                <w:szCs w:val="22"/>
                <w:lang w:eastAsia="en-US"/>
              </w:rPr>
              <w:t>questions to ask such as “Is the patient actively bleeding? Has the patient been reassessed since last transfusion? Is the patient still symptomatic?</w:t>
            </w:r>
          </w:p>
          <w:p w14:paraId="470FC2E8" w14:textId="77777777" w:rsidR="000145DF" w:rsidRPr="008C4D33" w:rsidRDefault="000145DF" w:rsidP="000145DF">
            <w:pPr>
              <w:numPr>
                <w:ilvl w:val="1"/>
                <w:numId w:val="38"/>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If a patient does not fall within the criteria, staff should have</w:t>
            </w:r>
            <w:r w:rsidR="00836EFB">
              <w:rPr>
                <w:rFonts w:ascii="Calibri" w:eastAsia="Calibri" w:hAnsi="Calibri" w:cs="Calibri"/>
                <w:sz w:val="22"/>
                <w:szCs w:val="22"/>
                <w:lang w:eastAsia="en-US"/>
              </w:rPr>
              <w:t xml:space="preserve"> access to further advice e.g. h</w:t>
            </w:r>
            <w:r w:rsidRPr="008C4D33">
              <w:rPr>
                <w:rFonts w:ascii="Calibri" w:eastAsia="Calibri" w:hAnsi="Calibri" w:cs="Calibri"/>
                <w:sz w:val="22"/>
                <w:szCs w:val="22"/>
                <w:lang w:eastAsia="en-US"/>
              </w:rPr>
              <w:t>aematologis</w:t>
            </w:r>
            <w:r w:rsidR="00B61C7D" w:rsidRPr="008C4D33">
              <w:rPr>
                <w:rFonts w:ascii="Calibri" w:eastAsia="Calibri" w:hAnsi="Calibri" w:cs="Calibri"/>
                <w:sz w:val="22"/>
                <w:szCs w:val="22"/>
                <w:lang w:eastAsia="en-US"/>
              </w:rPr>
              <w:t>t, identified medical staff or laboratory d</w:t>
            </w:r>
            <w:r w:rsidRPr="008C4D33">
              <w:rPr>
                <w:rFonts w:ascii="Calibri" w:eastAsia="Calibri" w:hAnsi="Calibri" w:cs="Calibri"/>
                <w:sz w:val="22"/>
                <w:szCs w:val="22"/>
                <w:lang w:eastAsia="en-US"/>
              </w:rPr>
              <w:t>irector for approval.</w:t>
            </w:r>
          </w:p>
          <w:p w14:paraId="42B529CE" w14:textId="77777777" w:rsidR="000145DF" w:rsidRPr="008C4D33" w:rsidRDefault="000145DF" w:rsidP="000145DF">
            <w:pPr>
              <w:spacing w:line="276" w:lineRule="auto"/>
              <w:rPr>
                <w:rFonts w:ascii="Calibri" w:eastAsia="Calibri" w:hAnsi="Calibri" w:cs="Calibri"/>
                <w:sz w:val="22"/>
                <w:szCs w:val="22"/>
                <w:lang w:eastAsia="en-US"/>
              </w:rPr>
            </w:pPr>
            <w:r w:rsidRPr="008C4D33">
              <w:rPr>
                <w:rFonts w:ascii="Calibri" w:eastAsia="Calibri" w:hAnsi="Calibri" w:cs="Calibri"/>
                <w:b/>
                <w:sz w:val="22"/>
                <w:szCs w:val="22"/>
                <w:lang w:eastAsia="en-US"/>
              </w:rPr>
              <w:t>The following resources could assist with the implementation of the Single Unit Transfusion Guideline</w:t>
            </w:r>
            <w:r w:rsidRPr="008C4D33">
              <w:rPr>
                <w:rFonts w:ascii="Calibri" w:eastAsia="Calibri" w:hAnsi="Calibri" w:cs="Calibri"/>
                <w:sz w:val="22"/>
                <w:szCs w:val="22"/>
                <w:lang w:eastAsia="en-US"/>
              </w:rPr>
              <w:t xml:space="preserve">:  </w:t>
            </w:r>
          </w:p>
          <w:p w14:paraId="3B11906A" w14:textId="77777777" w:rsidR="000145DF" w:rsidRPr="008C4D33" w:rsidRDefault="000145DF" w:rsidP="000145DF">
            <w:pPr>
              <w:numPr>
                <w:ilvl w:val="0"/>
                <w:numId w:val="29"/>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Stand</w:t>
            </w:r>
            <w:r w:rsidR="00D21174" w:rsidRPr="008C4D33">
              <w:rPr>
                <w:rFonts w:ascii="Calibri" w:eastAsia="Calibri" w:hAnsi="Calibri" w:cs="Calibri"/>
                <w:sz w:val="22"/>
                <w:szCs w:val="22"/>
                <w:lang w:eastAsia="en-US"/>
              </w:rPr>
              <w:t>ard material to present to the h</w:t>
            </w:r>
            <w:r w:rsidRPr="008C4D33">
              <w:rPr>
                <w:rFonts w:ascii="Calibri" w:eastAsia="Calibri" w:hAnsi="Calibri" w:cs="Calibri"/>
                <w:sz w:val="22"/>
                <w:szCs w:val="22"/>
                <w:lang w:eastAsia="en-US"/>
              </w:rPr>
              <w:t>ospital Transfusion Governance Comm</w:t>
            </w:r>
            <w:r w:rsidR="00B61C7D" w:rsidRPr="008C4D33">
              <w:rPr>
                <w:rFonts w:ascii="Calibri" w:eastAsia="Calibri" w:hAnsi="Calibri" w:cs="Calibri"/>
                <w:sz w:val="22"/>
                <w:szCs w:val="22"/>
                <w:lang w:eastAsia="en-US"/>
              </w:rPr>
              <w:t>ittee</w:t>
            </w:r>
            <w:r w:rsidR="002E750B" w:rsidRPr="008C4D33">
              <w:rPr>
                <w:rFonts w:ascii="Calibri" w:eastAsia="Calibri" w:hAnsi="Calibri" w:cs="Calibri"/>
                <w:sz w:val="22"/>
                <w:szCs w:val="22"/>
                <w:lang w:eastAsia="en-US"/>
              </w:rPr>
              <w:t xml:space="preserve"> / Patient Blood Management Committee</w:t>
            </w:r>
            <w:r w:rsidR="00B61C7D" w:rsidRPr="008C4D33">
              <w:rPr>
                <w:rFonts w:ascii="Calibri" w:eastAsia="Calibri" w:hAnsi="Calibri" w:cs="Calibri"/>
                <w:sz w:val="22"/>
                <w:szCs w:val="22"/>
                <w:lang w:eastAsia="en-US"/>
              </w:rPr>
              <w:t xml:space="preserve"> seeking agreement to the g</w:t>
            </w:r>
            <w:r w:rsidRPr="008C4D33">
              <w:rPr>
                <w:rFonts w:ascii="Calibri" w:eastAsia="Calibri" w:hAnsi="Calibri" w:cs="Calibri"/>
                <w:sz w:val="22"/>
                <w:szCs w:val="22"/>
                <w:lang w:eastAsia="en-US"/>
              </w:rPr>
              <w:t xml:space="preserve">uideline and details of how it would be implemented. </w:t>
            </w:r>
          </w:p>
          <w:p w14:paraId="2BDDFE69" w14:textId="77777777" w:rsidR="000145DF" w:rsidRPr="008C4D33" w:rsidRDefault="000145DF" w:rsidP="000145DF">
            <w:pPr>
              <w:numPr>
                <w:ilvl w:val="0"/>
                <w:numId w:val="29"/>
              </w:numPr>
              <w:spacing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Education material tailored for:</w:t>
            </w:r>
          </w:p>
          <w:p w14:paraId="7E75DC0E" w14:textId="77777777" w:rsidR="000145DF" w:rsidRPr="008C4D33" w:rsidRDefault="000145DF" w:rsidP="000145DF">
            <w:pPr>
              <w:numPr>
                <w:ilvl w:val="1"/>
                <w:numId w:val="10"/>
              </w:numPr>
              <w:spacing w:after="120"/>
              <w:rPr>
                <w:rFonts w:ascii="Calibri" w:hAnsi="Calibri" w:cs="Calibri"/>
                <w:sz w:val="22"/>
                <w:szCs w:val="22"/>
              </w:rPr>
            </w:pPr>
            <w:r w:rsidRPr="008C4D33">
              <w:rPr>
                <w:rFonts w:ascii="Calibri" w:hAnsi="Calibri" w:cs="Calibri"/>
                <w:sz w:val="22"/>
                <w:szCs w:val="22"/>
              </w:rPr>
              <w:t>Consumer</w:t>
            </w:r>
            <w:r w:rsidR="00836EFB">
              <w:rPr>
                <w:rFonts w:ascii="Calibri" w:hAnsi="Calibri" w:cs="Calibri"/>
                <w:sz w:val="22"/>
                <w:szCs w:val="22"/>
              </w:rPr>
              <w:t>s:</w:t>
            </w:r>
            <w:r w:rsidRPr="008C4D33">
              <w:rPr>
                <w:rFonts w:ascii="Calibri" w:hAnsi="Calibri" w:cs="Calibri"/>
                <w:sz w:val="22"/>
                <w:szCs w:val="22"/>
              </w:rPr>
              <w:t xml:space="preserve"> For example, iTransfuse Fact Sheet, all about blood, I need to know about Patient Blood Management and Single Unit Red Blood Cell Transfusion</w:t>
            </w:r>
            <w:r w:rsidR="003B7CAE">
              <w:rPr>
                <w:rFonts w:ascii="Calibri" w:hAnsi="Calibri" w:cs="Calibri"/>
                <w:sz w:val="22"/>
                <w:szCs w:val="22"/>
              </w:rPr>
              <w:fldChar w:fldCharType="begin" w:fldLock="1"/>
            </w:r>
            <w:r w:rsidR="00CA27FC">
              <w:rPr>
                <w:rFonts w:ascii="Calibri" w:hAnsi="Calibri" w:cs="Calibri"/>
                <w:sz w:val="22"/>
                <w:szCs w:val="22"/>
              </w:rPr>
              <w:instrText>ADDIN CSL_CITATION { "citationItems" : [ { "id" : "ITEM-1", "itemData" : { "URL" : "http://www.transfusion.com.au/sites/default/files/iTransfuse-FS-Vol4No9-Single-unit-red-blood-cell-transfusion-Published_0.pdf ", "author" : [ { "dropping-particle" : "", "family" : "Australian Red Cross blood Service", "given" : "", "non-dropping-particle" : "", "parse-names" : false, "suffix" : "" } ], "container-title" : "iTransfuse Fact Sheet", "id" : "ITEM-1", "issued" : { "date-parts" : [ [ "2012" ] ] }, "page" : "1", "title" : "iTransfuseFact Sheet, all about blood: Single Unit Red Blood Cell Transfusion", "type" : "webpage" }, "uris" : [ "http://www.mendeley.com/documents/?uuid=a9dca44f-b9e7-4a0f-9746-74cce2e401f7" ] }, { "id" : "ITEM-2", "itemData" : { "URL" : "http://www.transfusion.com.au/sites/default/files/iTransfuse-FS-Vol4No3-I-Need-To-Know-About-Patient-Blood-Management-Published.pdf", "author" : [ { "dropping-particle" : "", "family" : "Australian Red Cross Blood Service", "given" : "", "non-dropping-particle" : "", "parse-names" : false, "suffix" : "" } ], "container-title" : "iTransfuse Fact Sheet", "id" : "ITEM-2", "issued" : { "date-parts" : [ [ "2012" ] ] }, "page" : "1", "title" : "iTransfuse Fact Sheet, all about blood: I need to know about Patient Blood Management", "type" : "webpage" }, "uris" : [ "http://www.mendeley.com/documents/?uuid=ae5ddb84-5e13-4828-9a98-03c8d72be0fd" ] } ], "mendeley" : { "previouslyFormattedCitation" : "&lt;sup&gt;19,20&lt;/sup&gt;" }, "properties" : { "noteIndex" : 0 }, "schema" : "https://github.com/citation-style-language/schema/raw/master/csl-citation.json" }</w:instrText>
            </w:r>
            <w:r w:rsidR="003B7CAE">
              <w:rPr>
                <w:rFonts w:ascii="Calibri" w:hAnsi="Calibri" w:cs="Calibri"/>
                <w:sz w:val="22"/>
                <w:szCs w:val="22"/>
              </w:rPr>
              <w:fldChar w:fldCharType="separate"/>
            </w:r>
            <w:r w:rsidR="00CA27FC" w:rsidRPr="00CA27FC">
              <w:rPr>
                <w:rFonts w:ascii="Calibri" w:hAnsi="Calibri" w:cs="Calibri"/>
                <w:noProof/>
                <w:sz w:val="22"/>
                <w:szCs w:val="22"/>
                <w:vertAlign w:val="superscript"/>
              </w:rPr>
              <w:t>19,20</w:t>
            </w:r>
            <w:r w:rsidR="003B7CAE">
              <w:rPr>
                <w:rFonts w:ascii="Calibri" w:hAnsi="Calibri" w:cs="Calibri"/>
                <w:sz w:val="22"/>
                <w:szCs w:val="22"/>
              </w:rPr>
              <w:fldChar w:fldCharType="end"/>
            </w:r>
            <w:r w:rsidRPr="008C4D33">
              <w:rPr>
                <w:rFonts w:ascii="Calibri" w:hAnsi="Calibri" w:cs="Calibri"/>
                <w:sz w:val="22"/>
                <w:szCs w:val="22"/>
              </w:rPr>
              <w:t xml:space="preserve"> </w:t>
            </w:r>
          </w:p>
          <w:p w14:paraId="0A880418" w14:textId="77777777" w:rsidR="00836EFB" w:rsidRDefault="00836EFB" w:rsidP="000145DF">
            <w:pPr>
              <w:numPr>
                <w:ilvl w:val="1"/>
                <w:numId w:val="10"/>
              </w:numPr>
              <w:spacing w:before="120" w:after="120"/>
              <w:rPr>
                <w:rFonts w:ascii="Calibri" w:hAnsi="Calibri" w:cs="Calibri"/>
                <w:sz w:val="22"/>
                <w:szCs w:val="22"/>
              </w:rPr>
            </w:pPr>
            <w:r>
              <w:rPr>
                <w:rFonts w:ascii="Calibri" w:hAnsi="Calibri" w:cs="Calibri"/>
                <w:sz w:val="22"/>
                <w:szCs w:val="22"/>
              </w:rPr>
              <w:t xml:space="preserve">Staff: </w:t>
            </w:r>
          </w:p>
          <w:p w14:paraId="1F11BBB3" w14:textId="77777777" w:rsidR="000145DF" w:rsidRDefault="00836EFB" w:rsidP="00766F24">
            <w:pPr>
              <w:numPr>
                <w:ilvl w:val="2"/>
                <w:numId w:val="10"/>
              </w:numPr>
              <w:spacing w:before="120" w:after="120"/>
              <w:rPr>
                <w:rFonts w:ascii="Calibri" w:hAnsi="Calibri" w:cs="Calibri"/>
                <w:sz w:val="22"/>
                <w:szCs w:val="22"/>
              </w:rPr>
            </w:pPr>
            <w:r>
              <w:rPr>
                <w:rFonts w:ascii="Calibri" w:hAnsi="Calibri" w:cs="Calibri"/>
                <w:sz w:val="22"/>
                <w:szCs w:val="22"/>
              </w:rPr>
              <w:t>PowerPoint presentation</w:t>
            </w:r>
          </w:p>
          <w:p w14:paraId="065A9799" w14:textId="77777777" w:rsidR="00836EFB" w:rsidRDefault="00836EFB" w:rsidP="00766F24">
            <w:pPr>
              <w:numPr>
                <w:ilvl w:val="2"/>
                <w:numId w:val="10"/>
              </w:numPr>
              <w:spacing w:before="120" w:after="120"/>
              <w:rPr>
                <w:rFonts w:ascii="Calibri" w:hAnsi="Calibri" w:cs="Calibri"/>
                <w:sz w:val="22"/>
                <w:szCs w:val="22"/>
              </w:rPr>
            </w:pPr>
            <w:r>
              <w:rPr>
                <w:rFonts w:ascii="Calibri" w:hAnsi="Calibri" w:cs="Calibri"/>
                <w:sz w:val="22"/>
                <w:szCs w:val="22"/>
              </w:rPr>
              <w:lastRenderedPageBreak/>
              <w:t>Handout of information</w:t>
            </w:r>
          </w:p>
          <w:p w14:paraId="5C768CB1" w14:textId="77777777" w:rsidR="00836EFB" w:rsidRPr="008C4D33" w:rsidRDefault="00836EFB" w:rsidP="00766F24">
            <w:pPr>
              <w:numPr>
                <w:ilvl w:val="2"/>
                <w:numId w:val="10"/>
              </w:numPr>
              <w:spacing w:before="120" w:after="120"/>
              <w:rPr>
                <w:rFonts w:ascii="Calibri" w:hAnsi="Calibri" w:cs="Calibri"/>
                <w:sz w:val="22"/>
                <w:szCs w:val="22"/>
              </w:rPr>
            </w:pPr>
            <w:r>
              <w:rPr>
                <w:rFonts w:ascii="Calibri" w:hAnsi="Calibri" w:cs="Calibri"/>
                <w:sz w:val="22"/>
                <w:szCs w:val="22"/>
              </w:rPr>
              <w:t>Newsletter</w:t>
            </w:r>
          </w:p>
          <w:p w14:paraId="4B004069" w14:textId="77777777" w:rsidR="000145DF" w:rsidRPr="008C4D33" w:rsidRDefault="000145DF" w:rsidP="000145DF">
            <w:pPr>
              <w:numPr>
                <w:ilvl w:val="0"/>
                <w:numId w:val="29"/>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 xml:space="preserve">Visible </w:t>
            </w:r>
            <w:r w:rsidR="00615158" w:rsidRPr="008C4D33">
              <w:rPr>
                <w:rFonts w:ascii="Calibri" w:eastAsia="Calibri" w:hAnsi="Calibri" w:cs="Calibri"/>
                <w:sz w:val="22"/>
                <w:szCs w:val="22"/>
                <w:lang w:eastAsia="en-US"/>
              </w:rPr>
              <w:t>signa</w:t>
            </w:r>
            <w:r w:rsidR="00615158">
              <w:rPr>
                <w:rFonts w:ascii="Calibri" w:eastAsia="Calibri" w:hAnsi="Calibri" w:cs="Calibri"/>
                <w:sz w:val="22"/>
                <w:szCs w:val="22"/>
                <w:lang w:eastAsia="en-US"/>
              </w:rPr>
              <w:t>ge</w:t>
            </w:r>
            <w:r w:rsidR="00615158" w:rsidRPr="008C4D33">
              <w:rPr>
                <w:rFonts w:ascii="Calibri" w:eastAsia="Calibri" w:hAnsi="Calibri" w:cs="Calibri"/>
                <w:sz w:val="22"/>
                <w:szCs w:val="22"/>
                <w:lang w:eastAsia="en-US"/>
              </w:rPr>
              <w:t xml:space="preserve"> </w:t>
            </w:r>
          </w:p>
          <w:p w14:paraId="63B3DB60" w14:textId="77777777" w:rsidR="00F92D60" w:rsidRPr="008C4D33" w:rsidRDefault="000145DF" w:rsidP="00A81ECD">
            <w:pPr>
              <w:spacing w:after="200" w:line="276" w:lineRule="auto"/>
              <w:contextualSpacing/>
              <w:rPr>
                <w:rFonts w:ascii="Calibri" w:eastAsia="Calibri" w:hAnsi="Calibri" w:cs="Calibri"/>
                <w:color w:val="0070C0"/>
                <w:sz w:val="22"/>
                <w:szCs w:val="22"/>
                <w:lang w:eastAsia="en-US"/>
              </w:rPr>
            </w:pPr>
            <w:r w:rsidRPr="008C4D33">
              <w:rPr>
                <w:rFonts w:ascii="Calibri" w:eastAsia="Calibri" w:hAnsi="Calibri" w:cs="Calibri"/>
                <w:b/>
                <w:sz w:val="22"/>
                <w:szCs w:val="22"/>
                <w:lang w:eastAsia="en-US"/>
              </w:rPr>
              <w:t xml:space="preserve">Reminder: This guideline only applies to the stable normovolaemic </w:t>
            </w:r>
            <w:r w:rsidR="00A81ECD">
              <w:rPr>
                <w:rFonts w:ascii="Calibri" w:eastAsia="Calibri" w:hAnsi="Calibri" w:cs="Calibri"/>
                <w:b/>
                <w:sz w:val="22"/>
                <w:szCs w:val="22"/>
                <w:lang w:eastAsia="en-US"/>
              </w:rPr>
              <w:t xml:space="preserve">adult </w:t>
            </w:r>
            <w:r w:rsidRPr="008C4D33">
              <w:rPr>
                <w:rFonts w:ascii="Calibri" w:eastAsia="Calibri" w:hAnsi="Calibri" w:cs="Calibri"/>
                <w:b/>
                <w:sz w:val="22"/>
                <w:szCs w:val="22"/>
                <w:lang w:eastAsia="en-US"/>
              </w:rPr>
              <w:t>patient</w:t>
            </w:r>
            <w:r w:rsidR="00A81ECD">
              <w:rPr>
                <w:rFonts w:ascii="Calibri" w:eastAsia="Calibri" w:hAnsi="Calibri" w:cs="Calibri"/>
                <w:b/>
                <w:sz w:val="22"/>
                <w:szCs w:val="22"/>
                <w:lang w:eastAsia="en-US"/>
              </w:rPr>
              <w:t>s, in an inpatient setting,</w:t>
            </w:r>
            <w:r w:rsidRPr="008C4D33">
              <w:rPr>
                <w:rFonts w:ascii="Calibri" w:eastAsia="Calibri" w:hAnsi="Calibri" w:cs="Calibri"/>
                <w:b/>
                <w:sz w:val="22"/>
                <w:szCs w:val="22"/>
                <w:lang w:eastAsia="en-US"/>
              </w:rPr>
              <w:t xml:space="preserve"> who </w:t>
            </w:r>
            <w:r w:rsidR="00A81ECD">
              <w:rPr>
                <w:rFonts w:ascii="Calibri" w:eastAsia="Calibri" w:hAnsi="Calibri" w:cs="Calibri"/>
                <w:b/>
                <w:sz w:val="22"/>
                <w:szCs w:val="22"/>
                <w:lang w:eastAsia="en-US"/>
              </w:rPr>
              <w:t>does not have clinically significant bleeding.</w:t>
            </w:r>
            <w:r w:rsidR="00295A1A">
              <w:rPr>
                <w:rFonts w:ascii="Calibri" w:eastAsia="Calibri" w:hAnsi="Calibri" w:cs="Calibri"/>
                <w:b/>
                <w:sz w:val="22"/>
                <w:szCs w:val="22"/>
                <w:lang w:eastAsia="en-US"/>
              </w:rPr>
              <w:fldChar w:fldCharType="begin" w:fldLock="1"/>
            </w:r>
            <w:r w:rsidR="00CA27FC">
              <w:rPr>
                <w:rFonts w:ascii="Calibri" w:eastAsia="Calibri" w:hAnsi="Calibri" w:cs="Calibri"/>
                <w:b/>
                <w:sz w:val="22"/>
                <w:szCs w:val="22"/>
                <w:lang w:eastAsia="en-US"/>
              </w:rPr>
              <w:instrText>ADDIN CSL_CITATION { "citationItems" : [ { "id" : "ITEM-1", "itemData" : { "author" : [ { "dropping-particle" : "", "family" : "Webert", "given" : "Kathryn E", "non-dropping-particle" : "", "parse-names" : false, "suffix" : "" }, { "dropping-particle" : "", "family" : "Arnold", "given" : "Donald M", "non-dropping-particle" : "", "parse-names" : false, "suffix" : "" }, { "dropping-particle" : "", "family" : "Lui", "given" : "Yang", "non-dropping-particle" : "", "parse-names" : false, "suffix" : "" }, { "dropping-particle" : "", "family" : "Carruthers", "given" : "Julie", "non-dropping-particle" : "", "parse-names" : false, "suffix" : "" }, { "dropping-particle" : "", "family" : "Arnold", "given" : "Emmy", "non-dropping-particle" : "", "parse-names" : false, "suffix" : "" }, { "dropping-particle" : "", "family" : "Heddle", "given" : "Nancy M", "non-dropping-particle" : "", "parse-names" : false, "suffix" : "" } ], "container-title" : "Transfusion Practice", "id" : "ITEM-1", "issue" : "November", "issued" : { "date-parts" : [ [ "2012" ] ] }, "page" : "2466-2474", "title" : "A new tool to assess bleeding severity in patients with chemotherapy-induced thrmbocytopaenia", "type" : "article-journal", "volume" : "52" }, "uris" : [ "http://www.mendeley.com/documents/?uuid=562c39d6-8041-4e1e-a9c8-0be872a1e516" ] } ], "mendeley" : { "previouslyFormattedCitation" : "&lt;sup&gt;2&lt;/sup&gt;" }, "properties" : { "noteIndex" : 0 }, "schema" : "https://github.com/citation-style-language/schema/raw/master/csl-citation.json" }</w:instrText>
            </w:r>
            <w:r w:rsidR="00295A1A">
              <w:rPr>
                <w:rFonts w:ascii="Calibri" w:eastAsia="Calibri" w:hAnsi="Calibri" w:cs="Calibri"/>
                <w:b/>
                <w:sz w:val="22"/>
                <w:szCs w:val="22"/>
                <w:lang w:eastAsia="en-US"/>
              </w:rPr>
              <w:fldChar w:fldCharType="separate"/>
            </w:r>
            <w:r w:rsidR="00CA27FC" w:rsidRPr="00CA27FC">
              <w:rPr>
                <w:rFonts w:ascii="Calibri" w:eastAsia="Calibri" w:hAnsi="Calibri" w:cs="Calibri"/>
                <w:noProof/>
                <w:sz w:val="22"/>
                <w:szCs w:val="22"/>
                <w:vertAlign w:val="superscript"/>
                <w:lang w:eastAsia="en-US"/>
              </w:rPr>
              <w:t>2</w:t>
            </w:r>
            <w:r w:rsidR="00295A1A">
              <w:rPr>
                <w:rFonts w:ascii="Calibri" w:eastAsia="Calibri" w:hAnsi="Calibri" w:cs="Calibri"/>
                <w:b/>
                <w:sz w:val="22"/>
                <w:szCs w:val="22"/>
                <w:lang w:eastAsia="en-US"/>
              </w:rPr>
              <w:fldChar w:fldCharType="end"/>
            </w:r>
          </w:p>
        </w:tc>
      </w:tr>
    </w:tbl>
    <w:p w14:paraId="79D463DC" w14:textId="77777777" w:rsidR="00C94E8F" w:rsidRPr="008C4D33" w:rsidRDefault="00C94E8F" w:rsidP="00CF58C7">
      <w:pPr>
        <w:spacing w:before="120" w:after="120"/>
        <w:rPr>
          <w:rFonts w:ascii="Calibri" w:hAnsi="Calibri" w:cs="Calibri"/>
          <w:b/>
          <w:sz w:val="22"/>
          <w:szCs w:val="22"/>
        </w:rPr>
      </w:pPr>
      <w:r w:rsidRPr="008C4D33">
        <w:rPr>
          <w:rFonts w:ascii="Calibri" w:hAnsi="Calibri" w:cs="Calibri"/>
          <w:b/>
          <w:sz w:val="22"/>
          <w:szCs w:val="22"/>
        </w:rPr>
        <w:lastRenderedPageBreak/>
        <w:t>EVALUATION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A03E8" w:rsidRPr="008C4D33" w14:paraId="283A1922" w14:textId="77777777" w:rsidTr="004C2B0E">
        <w:tc>
          <w:tcPr>
            <w:tcW w:w="9854" w:type="dxa"/>
            <w:shd w:val="clear" w:color="auto" w:fill="auto"/>
          </w:tcPr>
          <w:p w14:paraId="6407D81F" w14:textId="77777777" w:rsidR="00391C72" w:rsidRPr="008C4D33" w:rsidRDefault="00391C72" w:rsidP="00391C72">
            <w:pPr>
              <w:spacing w:line="276" w:lineRule="auto"/>
              <w:rPr>
                <w:rFonts w:ascii="Calibri" w:eastAsia="Calibri" w:hAnsi="Calibri" w:cs="Calibri"/>
                <w:b/>
                <w:sz w:val="22"/>
                <w:szCs w:val="22"/>
                <w:lang w:eastAsia="en-US"/>
              </w:rPr>
            </w:pPr>
            <w:r w:rsidRPr="008C4D33">
              <w:rPr>
                <w:rFonts w:ascii="Calibri" w:eastAsia="Calibri" w:hAnsi="Calibri" w:cs="Calibri"/>
                <w:b/>
                <w:sz w:val="22"/>
                <w:szCs w:val="22"/>
                <w:lang w:eastAsia="en-US"/>
              </w:rPr>
              <w:t>Collect data and review data on a regular basis.</w:t>
            </w:r>
          </w:p>
          <w:p w14:paraId="1BFAF801" w14:textId="77777777" w:rsidR="00391C72" w:rsidRPr="008C4D33" w:rsidRDefault="00391C72" w:rsidP="00391C72">
            <w:p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 xml:space="preserve">Some </w:t>
            </w:r>
            <w:r w:rsidR="00615158">
              <w:rPr>
                <w:rFonts w:ascii="Calibri" w:eastAsia="Calibri" w:hAnsi="Calibri" w:cs="Calibri"/>
                <w:sz w:val="22"/>
                <w:szCs w:val="22"/>
                <w:lang w:eastAsia="en-US"/>
              </w:rPr>
              <w:t>measures</w:t>
            </w:r>
            <w:r w:rsidR="00615158" w:rsidRPr="008C4D33">
              <w:rPr>
                <w:rFonts w:ascii="Calibri" w:eastAsia="Calibri" w:hAnsi="Calibri" w:cs="Calibri"/>
                <w:sz w:val="22"/>
                <w:szCs w:val="22"/>
                <w:lang w:eastAsia="en-US"/>
              </w:rPr>
              <w:t xml:space="preserve"> </w:t>
            </w:r>
            <w:r w:rsidRPr="008C4D33">
              <w:rPr>
                <w:rFonts w:ascii="Calibri" w:eastAsia="Calibri" w:hAnsi="Calibri" w:cs="Calibri"/>
                <w:sz w:val="22"/>
                <w:szCs w:val="22"/>
                <w:lang w:eastAsia="en-US"/>
              </w:rPr>
              <w:t xml:space="preserve">your hospital may be able to capture to determine the success of the </w:t>
            </w:r>
            <w:r w:rsidR="00615158">
              <w:rPr>
                <w:rFonts w:ascii="Calibri" w:eastAsia="Calibri" w:hAnsi="Calibri" w:cs="Calibri"/>
                <w:sz w:val="22"/>
                <w:szCs w:val="22"/>
                <w:lang w:eastAsia="en-US"/>
              </w:rPr>
              <w:t>guideline</w:t>
            </w:r>
            <w:r w:rsidR="00615158" w:rsidRPr="008C4D33">
              <w:rPr>
                <w:rFonts w:ascii="Calibri" w:eastAsia="Calibri" w:hAnsi="Calibri" w:cs="Calibri"/>
                <w:sz w:val="22"/>
                <w:szCs w:val="22"/>
                <w:lang w:eastAsia="en-US"/>
              </w:rPr>
              <w:t xml:space="preserve"> </w:t>
            </w:r>
            <w:r w:rsidRPr="008C4D33">
              <w:rPr>
                <w:rFonts w:ascii="Calibri" w:eastAsia="Calibri" w:hAnsi="Calibri" w:cs="Calibri"/>
                <w:sz w:val="22"/>
                <w:szCs w:val="22"/>
                <w:lang w:eastAsia="en-US"/>
              </w:rPr>
              <w:t>are:</w:t>
            </w:r>
          </w:p>
          <w:p w14:paraId="0608F092" w14:textId="77777777" w:rsidR="00391C72" w:rsidRPr="008C4D33" w:rsidRDefault="00391C72" w:rsidP="00391C72">
            <w:pPr>
              <w:numPr>
                <w:ilvl w:val="0"/>
                <w:numId w:val="26"/>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 xml:space="preserve">number units ordered per </w:t>
            </w:r>
            <w:r w:rsidR="00A81ECD">
              <w:rPr>
                <w:rFonts w:ascii="Calibri" w:eastAsia="Calibri" w:hAnsi="Calibri" w:cs="Calibri"/>
                <w:sz w:val="22"/>
                <w:szCs w:val="22"/>
                <w:lang w:eastAsia="en-US"/>
              </w:rPr>
              <w:t>24 hours</w:t>
            </w:r>
            <w:r w:rsidR="00A81ECD" w:rsidRPr="008C4D33">
              <w:rPr>
                <w:rFonts w:ascii="Calibri" w:eastAsia="Calibri" w:hAnsi="Calibri" w:cs="Calibri"/>
                <w:sz w:val="22"/>
                <w:szCs w:val="22"/>
                <w:lang w:eastAsia="en-US"/>
              </w:rPr>
              <w:t xml:space="preserve"> </w:t>
            </w:r>
            <w:r w:rsidRPr="008C4D33">
              <w:rPr>
                <w:rFonts w:ascii="Calibri" w:eastAsia="Calibri" w:hAnsi="Calibri" w:cs="Calibri"/>
                <w:sz w:val="22"/>
                <w:szCs w:val="22"/>
                <w:lang w:eastAsia="en-US"/>
              </w:rPr>
              <w:t xml:space="preserve">from </w:t>
            </w:r>
            <w:r w:rsidR="00251437" w:rsidRPr="008C4D33">
              <w:rPr>
                <w:rFonts w:ascii="Calibri" w:eastAsia="Calibri" w:hAnsi="Calibri" w:cs="Calibri"/>
                <w:sz w:val="22"/>
                <w:szCs w:val="22"/>
                <w:lang w:eastAsia="en-US"/>
              </w:rPr>
              <w:t xml:space="preserve">the </w:t>
            </w:r>
            <w:r w:rsidRPr="008C4D33">
              <w:rPr>
                <w:rFonts w:ascii="Calibri" w:eastAsia="Calibri" w:hAnsi="Calibri" w:cs="Calibri"/>
                <w:sz w:val="22"/>
                <w:szCs w:val="22"/>
                <w:lang w:eastAsia="en-US"/>
              </w:rPr>
              <w:t>Blood Service (BloodNet data)</w:t>
            </w:r>
          </w:p>
          <w:p w14:paraId="2001B8FA" w14:textId="77777777" w:rsidR="00391C72" w:rsidRPr="008C4D33" w:rsidRDefault="00391C72" w:rsidP="00391C72">
            <w:pPr>
              <w:numPr>
                <w:ilvl w:val="0"/>
                <w:numId w:val="26"/>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number of units transfused per patient (you should see more “odd” numbers)</w:t>
            </w:r>
          </w:p>
          <w:p w14:paraId="7D22218A" w14:textId="77777777" w:rsidR="00391C72" w:rsidRPr="008C4D33" w:rsidRDefault="00391C72" w:rsidP="00391C72">
            <w:pPr>
              <w:numPr>
                <w:ilvl w:val="0"/>
                <w:numId w:val="26"/>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number of patients who received a single unit transfusion per day</w:t>
            </w:r>
            <w:r w:rsidR="00F3205D" w:rsidRPr="008C4D33">
              <w:rPr>
                <w:rFonts w:ascii="Calibri" w:eastAsia="Calibri" w:hAnsi="Calibri" w:cs="Calibri"/>
                <w:sz w:val="22"/>
                <w:szCs w:val="22"/>
                <w:lang w:eastAsia="en-US"/>
              </w:rPr>
              <w:t xml:space="preserve"> who are not bleeding or in an operating theatre.</w:t>
            </w:r>
          </w:p>
          <w:p w14:paraId="216D995B" w14:textId="77777777" w:rsidR="00391C72" w:rsidRPr="008C4D33" w:rsidRDefault="00391C72" w:rsidP="00391C72">
            <w:p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 xml:space="preserve">Where possible, developing an “intelligent” </w:t>
            </w:r>
            <w:r w:rsidR="00251437" w:rsidRPr="008C4D33">
              <w:rPr>
                <w:rFonts w:ascii="Calibri" w:eastAsia="Calibri" w:hAnsi="Calibri" w:cs="Calibri"/>
                <w:sz w:val="22"/>
                <w:szCs w:val="22"/>
                <w:lang w:eastAsia="en-US"/>
              </w:rPr>
              <w:t xml:space="preserve">computerised physician order entry (CPOE) </w:t>
            </w:r>
            <w:r w:rsidRPr="008C4D33">
              <w:rPr>
                <w:rFonts w:ascii="Calibri" w:eastAsia="Calibri" w:hAnsi="Calibri" w:cs="Calibri"/>
                <w:sz w:val="22"/>
                <w:szCs w:val="22"/>
                <w:lang w:eastAsia="en-US"/>
              </w:rPr>
              <w:t>system with decision support tools and guides to appropriate ordering is likely to assist.</w:t>
            </w:r>
          </w:p>
          <w:p w14:paraId="04A0F308" w14:textId="77777777" w:rsidR="00391C72" w:rsidRPr="008C4D33" w:rsidRDefault="00391C72" w:rsidP="009117CB">
            <w:p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In the absence of an electronic prescribing</w:t>
            </w:r>
            <w:r w:rsidR="00CC6046" w:rsidRPr="008C4D33">
              <w:rPr>
                <w:rFonts w:ascii="Calibri" w:eastAsia="Calibri" w:hAnsi="Calibri" w:cs="Calibri"/>
                <w:sz w:val="22"/>
                <w:szCs w:val="22"/>
                <w:lang w:eastAsia="en-US"/>
              </w:rPr>
              <w:t xml:space="preserve"> </w:t>
            </w:r>
            <w:r w:rsidRPr="008C4D33">
              <w:rPr>
                <w:rFonts w:ascii="Calibri" w:eastAsia="Calibri" w:hAnsi="Calibri" w:cs="Calibri"/>
                <w:sz w:val="22"/>
                <w:szCs w:val="22"/>
                <w:lang w:eastAsia="en-US"/>
              </w:rPr>
              <w:t>/</w:t>
            </w:r>
            <w:r w:rsidR="00CC6046" w:rsidRPr="008C4D33">
              <w:rPr>
                <w:rFonts w:ascii="Calibri" w:eastAsia="Calibri" w:hAnsi="Calibri" w:cs="Calibri"/>
                <w:sz w:val="22"/>
                <w:szCs w:val="22"/>
                <w:lang w:eastAsia="en-US"/>
              </w:rPr>
              <w:t xml:space="preserve"> </w:t>
            </w:r>
            <w:r w:rsidRPr="008C4D33">
              <w:rPr>
                <w:rFonts w:ascii="Calibri" w:eastAsia="Calibri" w:hAnsi="Calibri" w:cs="Calibri"/>
                <w:sz w:val="22"/>
                <w:szCs w:val="22"/>
                <w:lang w:eastAsia="en-US"/>
              </w:rPr>
              <w:t xml:space="preserve">ordering system, incorporation of </w:t>
            </w:r>
            <w:r w:rsidR="00B61C7D" w:rsidRPr="008C4D33">
              <w:rPr>
                <w:rFonts w:ascii="Calibri" w:eastAsia="Calibri" w:hAnsi="Calibri" w:cs="Calibri"/>
                <w:sz w:val="22"/>
                <w:szCs w:val="22"/>
                <w:lang w:eastAsia="en-US"/>
              </w:rPr>
              <w:t>the haemoglobin thresholds and the Single U</w:t>
            </w:r>
            <w:r w:rsidRPr="008C4D33">
              <w:rPr>
                <w:rFonts w:ascii="Calibri" w:eastAsia="Calibri" w:hAnsi="Calibri" w:cs="Calibri"/>
                <w:sz w:val="22"/>
                <w:szCs w:val="22"/>
                <w:lang w:eastAsia="en-US"/>
              </w:rPr>
              <w:t xml:space="preserve">nit </w:t>
            </w:r>
            <w:r w:rsidR="00B61C7D" w:rsidRPr="008C4D33">
              <w:rPr>
                <w:rFonts w:ascii="Calibri" w:eastAsia="Calibri" w:hAnsi="Calibri" w:cs="Calibri"/>
                <w:sz w:val="22"/>
                <w:szCs w:val="22"/>
                <w:lang w:eastAsia="en-US"/>
              </w:rPr>
              <w:t>Transfusion G</w:t>
            </w:r>
            <w:r w:rsidR="00251437" w:rsidRPr="008C4D33">
              <w:rPr>
                <w:rFonts w:ascii="Calibri" w:eastAsia="Calibri" w:hAnsi="Calibri" w:cs="Calibri"/>
                <w:sz w:val="22"/>
                <w:szCs w:val="22"/>
                <w:lang w:eastAsia="en-US"/>
              </w:rPr>
              <w:t xml:space="preserve">uideline </w:t>
            </w:r>
            <w:r w:rsidRPr="008C4D33">
              <w:rPr>
                <w:rFonts w:ascii="Calibri" w:eastAsia="Calibri" w:hAnsi="Calibri" w:cs="Calibri"/>
                <w:sz w:val="22"/>
                <w:szCs w:val="22"/>
                <w:lang w:eastAsia="en-US"/>
              </w:rPr>
              <w:t xml:space="preserve">within the blood order / prescription form will provide timely point of care reminders of the </w:t>
            </w:r>
            <w:r w:rsidR="00F87EB7">
              <w:rPr>
                <w:rFonts w:ascii="Calibri" w:eastAsia="Calibri" w:hAnsi="Calibri" w:cs="Calibri"/>
                <w:sz w:val="22"/>
                <w:szCs w:val="22"/>
                <w:lang w:eastAsia="en-US"/>
              </w:rPr>
              <w:t>guideline</w:t>
            </w:r>
            <w:r w:rsidR="00F87EB7" w:rsidRPr="008C4D33">
              <w:rPr>
                <w:rFonts w:ascii="Calibri" w:eastAsia="Calibri" w:hAnsi="Calibri" w:cs="Calibri"/>
                <w:sz w:val="22"/>
                <w:szCs w:val="22"/>
                <w:lang w:eastAsia="en-US"/>
              </w:rPr>
              <w:t xml:space="preserve"> </w:t>
            </w:r>
            <w:r w:rsidRPr="008C4D33">
              <w:rPr>
                <w:rFonts w:ascii="Calibri" w:eastAsia="Calibri" w:hAnsi="Calibri" w:cs="Calibri"/>
                <w:sz w:val="22"/>
                <w:szCs w:val="22"/>
                <w:lang w:eastAsia="en-US"/>
              </w:rPr>
              <w:t>requirements.</w:t>
            </w:r>
          </w:p>
          <w:p w14:paraId="2D982B83" w14:textId="77777777" w:rsidR="00391C72" w:rsidRPr="008C4D33" w:rsidRDefault="009117CB" w:rsidP="009117CB">
            <w:p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Consideration should</w:t>
            </w:r>
            <w:r w:rsidR="00391C72" w:rsidRPr="008C4D33">
              <w:rPr>
                <w:rFonts w:ascii="Calibri" w:eastAsia="Calibri" w:hAnsi="Calibri" w:cs="Calibri"/>
                <w:sz w:val="22"/>
                <w:szCs w:val="22"/>
                <w:lang w:eastAsia="en-US"/>
              </w:rPr>
              <w:t xml:space="preserve"> be given to introducing data collection and analysis as a standing item on the Transfusion </w:t>
            </w:r>
            <w:r w:rsidR="00251437" w:rsidRPr="008C4D33">
              <w:rPr>
                <w:rFonts w:ascii="Calibri" w:eastAsia="Calibri" w:hAnsi="Calibri" w:cs="Calibri"/>
                <w:sz w:val="22"/>
                <w:szCs w:val="22"/>
                <w:lang w:eastAsia="en-US"/>
              </w:rPr>
              <w:t xml:space="preserve">Governance </w:t>
            </w:r>
            <w:r w:rsidR="00391C72" w:rsidRPr="008C4D33">
              <w:rPr>
                <w:rFonts w:ascii="Calibri" w:eastAsia="Calibri" w:hAnsi="Calibri" w:cs="Calibri"/>
                <w:sz w:val="22"/>
                <w:szCs w:val="22"/>
                <w:lang w:eastAsia="en-US"/>
              </w:rPr>
              <w:t xml:space="preserve">Committee </w:t>
            </w:r>
            <w:r w:rsidR="00F87EB7">
              <w:rPr>
                <w:rFonts w:ascii="Calibri" w:eastAsia="Calibri" w:hAnsi="Calibri" w:cs="Calibri"/>
                <w:sz w:val="22"/>
                <w:szCs w:val="22"/>
                <w:lang w:eastAsia="en-US"/>
              </w:rPr>
              <w:t xml:space="preserve">/ Patient Blood Management Committee </w:t>
            </w:r>
            <w:r w:rsidR="00391C72" w:rsidRPr="008C4D33">
              <w:rPr>
                <w:rFonts w:ascii="Calibri" w:eastAsia="Calibri" w:hAnsi="Calibri" w:cs="Calibri"/>
                <w:sz w:val="22"/>
                <w:szCs w:val="22"/>
                <w:lang w:eastAsia="en-US"/>
              </w:rPr>
              <w:t>agenda</w:t>
            </w:r>
            <w:r w:rsidRPr="008C4D33">
              <w:rPr>
                <w:rFonts w:ascii="Calibri" w:eastAsia="Calibri" w:hAnsi="Calibri" w:cs="Calibri"/>
                <w:sz w:val="22"/>
                <w:szCs w:val="22"/>
                <w:lang w:eastAsia="en-US"/>
              </w:rPr>
              <w:t xml:space="preserve">. </w:t>
            </w:r>
            <w:r w:rsidR="00466940" w:rsidRPr="008C4D33">
              <w:rPr>
                <w:rFonts w:ascii="Calibri" w:eastAsia="Calibri" w:hAnsi="Calibri" w:cs="Calibri"/>
                <w:sz w:val="22"/>
                <w:szCs w:val="22"/>
                <w:lang w:eastAsia="en-US"/>
              </w:rPr>
              <w:t xml:space="preserve">This committee may nominate </w:t>
            </w:r>
            <w:r w:rsidR="00CC6046" w:rsidRPr="008C4D33">
              <w:rPr>
                <w:rFonts w:ascii="Calibri" w:eastAsia="Calibri" w:hAnsi="Calibri" w:cs="Calibri"/>
                <w:sz w:val="22"/>
                <w:szCs w:val="22"/>
                <w:lang w:eastAsia="en-US"/>
              </w:rPr>
              <w:t xml:space="preserve">a </w:t>
            </w:r>
            <w:r w:rsidR="00BA02B4" w:rsidRPr="008C4D33">
              <w:rPr>
                <w:rFonts w:ascii="Calibri" w:eastAsia="Calibri" w:hAnsi="Calibri" w:cs="Calibri"/>
                <w:sz w:val="22"/>
                <w:szCs w:val="22"/>
                <w:lang w:eastAsia="en-US"/>
              </w:rPr>
              <w:t xml:space="preserve">person </w:t>
            </w:r>
            <w:r w:rsidR="00466940" w:rsidRPr="008C4D33">
              <w:rPr>
                <w:rFonts w:ascii="Calibri" w:eastAsia="Calibri" w:hAnsi="Calibri" w:cs="Calibri"/>
                <w:sz w:val="22"/>
                <w:szCs w:val="22"/>
                <w:lang w:eastAsia="en-US"/>
              </w:rPr>
              <w:t>responsible for this task.</w:t>
            </w:r>
          </w:p>
          <w:p w14:paraId="41C9FD82" w14:textId="77777777" w:rsidR="009117CB" w:rsidRPr="008C4D33" w:rsidRDefault="005154C3" w:rsidP="009117CB">
            <w:p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A t</w:t>
            </w:r>
            <w:r w:rsidR="00B61C7D" w:rsidRPr="008C4D33">
              <w:rPr>
                <w:rFonts w:ascii="Calibri" w:eastAsia="Calibri" w:hAnsi="Calibri" w:cs="Calibri"/>
                <w:sz w:val="22"/>
                <w:szCs w:val="22"/>
                <w:lang w:eastAsia="en-US"/>
              </w:rPr>
              <w:t>ransfusion nurse specialist or q</w:t>
            </w:r>
            <w:r w:rsidR="00466940" w:rsidRPr="008C4D33">
              <w:rPr>
                <w:rFonts w:ascii="Calibri" w:eastAsia="Calibri" w:hAnsi="Calibri" w:cs="Calibri"/>
                <w:sz w:val="22"/>
                <w:szCs w:val="22"/>
                <w:lang w:eastAsia="en-US"/>
              </w:rPr>
              <w:t xml:space="preserve">uality management staff </w:t>
            </w:r>
            <w:r w:rsidR="009117CB" w:rsidRPr="008C4D33">
              <w:rPr>
                <w:rFonts w:ascii="Calibri" w:eastAsia="Calibri" w:hAnsi="Calibri" w:cs="Calibri"/>
                <w:sz w:val="22"/>
                <w:szCs w:val="22"/>
                <w:lang w:eastAsia="en-US"/>
              </w:rPr>
              <w:t>may be involved with data collection and analysis.</w:t>
            </w:r>
          </w:p>
          <w:p w14:paraId="7D0F318D" w14:textId="77777777" w:rsidR="009117CB" w:rsidRPr="008C4D33" w:rsidRDefault="009117CB" w:rsidP="009117CB">
            <w:pPr>
              <w:spacing w:line="276" w:lineRule="auto"/>
              <w:rPr>
                <w:rFonts w:ascii="Calibri" w:eastAsia="Calibri" w:hAnsi="Calibri" w:cs="Calibri"/>
                <w:b/>
                <w:sz w:val="22"/>
                <w:szCs w:val="22"/>
                <w:lang w:eastAsia="en-US"/>
              </w:rPr>
            </w:pPr>
            <w:r w:rsidRPr="008C4D33">
              <w:rPr>
                <w:rFonts w:ascii="Calibri" w:eastAsia="Calibri" w:hAnsi="Calibri" w:cs="Calibri"/>
                <w:b/>
                <w:sz w:val="22"/>
                <w:szCs w:val="22"/>
                <w:lang w:eastAsia="en-US"/>
              </w:rPr>
              <w:t>Review and feedback</w:t>
            </w:r>
          </w:p>
          <w:p w14:paraId="4AECD972" w14:textId="77777777" w:rsidR="009117CB" w:rsidRPr="008C4D33" w:rsidRDefault="009117CB" w:rsidP="009117CB">
            <w:pPr>
              <w:numPr>
                <w:ilvl w:val="0"/>
                <w:numId w:val="28"/>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Consider</w:t>
            </w:r>
            <w:r w:rsidR="00251437" w:rsidRPr="008C4D33">
              <w:rPr>
                <w:rFonts w:ascii="Calibri" w:eastAsia="Calibri" w:hAnsi="Calibri" w:cs="Calibri"/>
                <w:sz w:val="22"/>
                <w:szCs w:val="22"/>
                <w:lang w:eastAsia="en-US"/>
              </w:rPr>
              <w:t xml:space="preserve"> </w:t>
            </w:r>
            <w:r w:rsidR="00F3205D" w:rsidRPr="008C4D33">
              <w:rPr>
                <w:rFonts w:ascii="Calibri" w:eastAsia="Calibri" w:hAnsi="Calibri" w:cs="Calibri"/>
                <w:sz w:val="22"/>
                <w:szCs w:val="22"/>
                <w:lang w:eastAsia="en-US"/>
              </w:rPr>
              <w:t xml:space="preserve">including </w:t>
            </w:r>
            <w:r w:rsidRPr="008C4D33">
              <w:rPr>
                <w:rFonts w:ascii="Calibri" w:eastAsia="Calibri" w:hAnsi="Calibri" w:cs="Calibri"/>
                <w:sz w:val="22"/>
                <w:szCs w:val="22"/>
                <w:lang w:eastAsia="en-US"/>
              </w:rPr>
              <w:t xml:space="preserve">audit feedback as a standing item on the Transfusion </w:t>
            </w:r>
            <w:r w:rsidR="00251437" w:rsidRPr="008C4D33">
              <w:rPr>
                <w:rFonts w:ascii="Calibri" w:eastAsia="Calibri" w:hAnsi="Calibri" w:cs="Calibri"/>
                <w:sz w:val="22"/>
                <w:szCs w:val="22"/>
                <w:lang w:eastAsia="en-US"/>
              </w:rPr>
              <w:t>Governance</w:t>
            </w:r>
            <w:r w:rsidRPr="008C4D33">
              <w:rPr>
                <w:rFonts w:ascii="Calibri" w:eastAsia="Calibri" w:hAnsi="Calibri" w:cs="Calibri"/>
                <w:sz w:val="22"/>
                <w:szCs w:val="22"/>
                <w:lang w:eastAsia="en-US"/>
              </w:rPr>
              <w:t xml:space="preserve"> Committee </w:t>
            </w:r>
            <w:r w:rsidR="002E750B" w:rsidRPr="008C4D33">
              <w:rPr>
                <w:rFonts w:ascii="Calibri" w:eastAsia="Calibri" w:hAnsi="Calibri" w:cs="Calibri"/>
                <w:sz w:val="22"/>
                <w:szCs w:val="22"/>
                <w:lang w:eastAsia="en-US"/>
              </w:rPr>
              <w:t xml:space="preserve">/ Patient Blood Management </w:t>
            </w:r>
            <w:r w:rsidR="00855998" w:rsidRPr="009B7EDF">
              <w:rPr>
                <w:rFonts w:ascii="Calibri" w:eastAsia="Calibri" w:hAnsi="Calibri" w:cs="Calibri"/>
                <w:sz w:val="22"/>
                <w:szCs w:val="22"/>
                <w:lang w:eastAsia="en-US"/>
              </w:rPr>
              <w:t xml:space="preserve">Committee </w:t>
            </w:r>
            <w:r w:rsidRPr="008C4D33">
              <w:rPr>
                <w:rFonts w:ascii="Calibri" w:eastAsia="Calibri" w:hAnsi="Calibri" w:cs="Calibri"/>
                <w:sz w:val="22"/>
                <w:szCs w:val="22"/>
                <w:lang w:eastAsia="en-US"/>
              </w:rPr>
              <w:t>agenda</w:t>
            </w:r>
          </w:p>
          <w:p w14:paraId="7B5EC18D" w14:textId="77777777" w:rsidR="009117CB" w:rsidRPr="008C4D33" w:rsidRDefault="00251437" w:rsidP="009117CB">
            <w:pPr>
              <w:numPr>
                <w:ilvl w:val="0"/>
                <w:numId w:val="28"/>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Consider s</w:t>
            </w:r>
            <w:r w:rsidR="009117CB" w:rsidRPr="008C4D33">
              <w:rPr>
                <w:rFonts w:ascii="Calibri" w:eastAsia="Calibri" w:hAnsi="Calibri" w:cs="Calibri"/>
                <w:sz w:val="22"/>
                <w:szCs w:val="22"/>
                <w:lang w:eastAsia="en-US"/>
              </w:rPr>
              <w:t xml:space="preserve">haring statistics with transfusion staff to highlight the impact of the introduction of the Single Unit </w:t>
            </w:r>
            <w:r w:rsidRPr="008C4D33">
              <w:rPr>
                <w:rFonts w:ascii="Calibri" w:eastAsia="Calibri" w:hAnsi="Calibri" w:cs="Calibri"/>
                <w:sz w:val="22"/>
                <w:szCs w:val="22"/>
                <w:lang w:eastAsia="en-US"/>
              </w:rPr>
              <w:t>Transfusion Guideline</w:t>
            </w:r>
          </w:p>
          <w:p w14:paraId="7D3447F0" w14:textId="77777777" w:rsidR="009117CB" w:rsidRPr="008C4D33" w:rsidRDefault="009117CB" w:rsidP="009117CB">
            <w:pPr>
              <w:numPr>
                <w:ilvl w:val="0"/>
                <w:numId w:val="28"/>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Continue empower</w:t>
            </w:r>
            <w:r w:rsidR="00251437" w:rsidRPr="008C4D33">
              <w:rPr>
                <w:rFonts w:ascii="Calibri" w:eastAsia="Calibri" w:hAnsi="Calibri" w:cs="Calibri"/>
                <w:sz w:val="22"/>
                <w:szCs w:val="22"/>
                <w:lang w:eastAsia="en-US"/>
              </w:rPr>
              <w:t>ing</w:t>
            </w:r>
            <w:r w:rsidRPr="008C4D33">
              <w:rPr>
                <w:rFonts w:ascii="Calibri" w:eastAsia="Calibri" w:hAnsi="Calibri" w:cs="Calibri"/>
                <w:sz w:val="22"/>
                <w:szCs w:val="22"/>
                <w:lang w:eastAsia="en-US"/>
              </w:rPr>
              <w:t xml:space="preserve"> transfusion staff</w:t>
            </w:r>
          </w:p>
          <w:p w14:paraId="59B8BCFE" w14:textId="77777777" w:rsidR="009117CB" w:rsidRPr="008C4D33" w:rsidRDefault="00251437" w:rsidP="009117CB">
            <w:pPr>
              <w:numPr>
                <w:ilvl w:val="0"/>
                <w:numId w:val="28"/>
              </w:numPr>
              <w:spacing w:after="200" w:line="276" w:lineRule="auto"/>
              <w:contextualSpacing/>
              <w:rPr>
                <w:rFonts w:ascii="Calibri" w:eastAsia="Calibri" w:hAnsi="Calibri" w:cs="Calibri"/>
                <w:sz w:val="22"/>
                <w:szCs w:val="22"/>
                <w:lang w:eastAsia="en-US"/>
              </w:rPr>
            </w:pPr>
            <w:r w:rsidRPr="008C4D33">
              <w:rPr>
                <w:rFonts w:ascii="Calibri" w:eastAsia="Calibri" w:hAnsi="Calibri" w:cs="Calibri"/>
                <w:sz w:val="22"/>
                <w:szCs w:val="22"/>
                <w:lang w:eastAsia="en-US"/>
              </w:rPr>
              <w:t>Consider p</w:t>
            </w:r>
            <w:r w:rsidR="009117CB" w:rsidRPr="008C4D33">
              <w:rPr>
                <w:rFonts w:ascii="Calibri" w:eastAsia="Calibri" w:hAnsi="Calibri" w:cs="Calibri"/>
                <w:sz w:val="22"/>
                <w:szCs w:val="22"/>
                <w:lang w:eastAsia="en-US"/>
              </w:rPr>
              <w:t>rovid</w:t>
            </w:r>
            <w:r w:rsidRPr="008C4D33">
              <w:rPr>
                <w:rFonts w:ascii="Calibri" w:eastAsia="Calibri" w:hAnsi="Calibri" w:cs="Calibri"/>
                <w:sz w:val="22"/>
                <w:szCs w:val="22"/>
                <w:lang w:eastAsia="en-US"/>
              </w:rPr>
              <w:t>ing</w:t>
            </w:r>
            <w:r w:rsidR="009117CB" w:rsidRPr="008C4D33">
              <w:rPr>
                <w:rFonts w:ascii="Calibri" w:eastAsia="Calibri" w:hAnsi="Calibri" w:cs="Calibri"/>
                <w:sz w:val="22"/>
                <w:szCs w:val="22"/>
                <w:lang w:eastAsia="en-US"/>
              </w:rPr>
              <w:t xml:space="preserve"> a forum to air / discuss </w:t>
            </w:r>
            <w:r w:rsidR="00A81ECD">
              <w:rPr>
                <w:rFonts w:ascii="Calibri" w:eastAsia="Calibri" w:hAnsi="Calibri" w:cs="Calibri"/>
                <w:sz w:val="22"/>
                <w:szCs w:val="22"/>
                <w:lang w:eastAsia="en-US"/>
              </w:rPr>
              <w:t>concerns</w:t>
            </w:r>
            <w:r w:rsidR="00A81ECD" w:rsidRPr="008C4D33">
              <w:rPr>
                <w:rFonts w:ascii="Calibri" w:eastAsia="Calibri" w:hAnsi="Calibri" w:cs="Calibri"/>
                <w:sz w:val="22"/>
                <w:szCs w:val="22"/>
                <w:lang w:eastAsia="en-US"/>
              </w:rPr>
              <w:t xml:space="preserve"> </w:t>
            </w:r>
            <w:r w:rsidR="009117CB" w:rsidRPr="008C4D33">
              <w:rPr>
                <w:rFonts w:ascii="Calibri" w:eastAsia="Calibri" w:hAnsi="Calibri" w:cs="Calibri"/>
                <w:sz w:val="22"/>
                <w:szCs w:val="22"/>
                <w:lang w:eastAsia="en-US"/>
              </w:rPr>
              <w:t>and seek resolution to problems</w:t>
            </w:r>
          </w:p>
          <w:p w14:paraId="1F375164" w14:textId="77777777" w:rsidR="00AA03E8" w:rsidRPr="008C4D33" w:rsidRDefault="00251437" w:rsidP="00615158">
            <w:pPr>
              <w:numPr>
                <w:ilvl w:val="0"/>
                <w:numId w:val="28"/>
              </w:numPr>
              <w:spacing w:after="200" w:line="276" w:lineRule="auto"/>
              <w:contextualSpacing/>
              <w:rPr>
                <w:rFonts w:ascii="Calibri" w:eastAsia="Calibri" w:hAnsi="Calibri" w:cs="Calibri"/>
                <w:color w:val="0070C0"/>
                <w:sz w:val="22"/>
                <w:szCs w:val="22"/>
                <w:lang w:eastAsia="en-US"/>
              </w:rPr>
            </w:pPr>
            <w:r w:rsidRPr="008C4D33">
              <w:rPr>
                <w:rFonts w:ascii="Calibri" w:eastAsia="Calibri" w:hAnsi="Calibri" w:cs="Calibri"/>
                <w:sz w:val="22"/>
                <w:szCs w:val="22"/>
                <w:lang w:eastAsia="en-US"/>
              </w:rPr>
              <w:t>Consider providing</w:t>
            </w:r>
            <w:r w:rsidR="009117CB" w:rsidRPr="008C4D33">
              <w:rPr>
                <w:rFonts w:ascii="Calibri" w:eastAsia="Calibri" w:hAnsi="Calibri" w:cs="Calibri"/>
                <w:sz w:val="22"/>
                <w:szCs w:val="22"/>
                <w:lang w:eastAsia="en-US"/>
              </w:rPr>
              <w:t xml:space="preserve"> access to articles / reports about progress and new developments in Single Unit </w:t>
            </w:r>
            <w:r w:rsidRPr="008C4D33">
              <w:rPr>
                <w:rFonts w:ascii="Calibri" w:eastAsia="Calibri" w:hAnsi="Calibri" w:cs="Calibri"/>
                <w:sz w:val="22"/>
                <w:szCs w:val="22"/>
                <w:lang w:eastAsia="en-US"/>
              </w:rPr>
              <w:t xml:space="preserve">Transfusion </w:t>
            </w:r>
            <w:r w:rsidR="009117CB" w:rsidRPr="008C4D33">
              <w:rPr>
                <w:rFonts w:ascii="Calibri" w:eastAsia="Calibri" w:hAnsi="Calibri" w:cs="Calibri"/>
                <w:sz w:val="22"/>
                <w:szCs w:val="22"/>
                <w:lang w:eastAsia="en-US"/>
              </w:rPr>
              <w:t>and Patient Blood Management .</w:t>
            </w:r>
            <w:r w:rsidR="009117CB" w:rsidRPr="008C4D33">
              <w:rPr>
                <w:rFonts w:ascii="Calibri" w:eastAsia="Calibri" w:hAnsi="Calibri" w:cs="Calibri"/>
                <w:color w:val="0070C0"/>
                <w:sz w:val="22"/>
                <w:szCs w:val="22"/>
                <w:lang w:eastAsia="en-US"/>
              </w:rPr>
              <w:t xml:space="preserve"> </w:t>
            </w:r>
          </w:p>
        </w:tc>
      </w:tr>
    </w:tbl>
    <w:p w14:paraId="57E302D8" w14:textId="77777777" w:rsidR="00C94E8F" w:rsidRPr="003B03FF" w:rsidRDefault="00312106" w:rsidP="00CF58C7">
      <w:pPr>
        <w:spacing w:before="120" w:after="120"/>
        <w:rPr>
          <w:rFonts w:ascii="Calibri" w:hAnsi="Calibri" w:cs="Calibri"/>
          <w:b/>
          <w:sz w:val="22"/>
          <w:szCs w:val="22"/>
        </w:rPr>
      </w:pPr>
      <w:r w:rsidRPr="003B03FF">
        <w:rPr>
          <w:rFonts w:ascii="Calibri" w:hAnsi="Calibri" w:cs="Calibri"/>
          <w:b/>
          <w:sz w:val="22"/>
          <w:szCs w:val="22"/>
        </w:rPr>
        <w:br w:type="page"/>
      </w:r>
      <w:r w:rsidR="00C94E8F" w:rsidRPr="003B03FF">
        <w:rPr>
          <w:rFonts w:ascii="Calibri" w:hAnsi="Calibri" w:cs="Calibri"/>
          <w:b/>
          <w:sz w:val="22"/>
          <w:szCs w:val="22"/>
        </w:rPr>
        <w:lastRenderedPageBreak/>
        <w:t>CONSULTATION WITH KEY STAKEHOLDERS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A03E8" w:rsidRPr="008C4D33" w14:paraId="17B8FFB3" w14:textId="77777777" w:rsidTr="004C2B0E">
        <w:tc>
          <w:tcPr>
            <w:tcW w:w="9854" w:type="dxa"/>
            <w:shd w:val="clear" w:color="auto" w:fill="auto"/>
          </w:tcPr>
          <w:p w14:paraId="3AF0FBF9" w14:textId="77777777" w:rsidR="00EF73CC" w:rsidRPr="008C4D33" w:rsidRDefault="003B2105" w:rsidP="00EF73CC">
            <w:pPr>
              <w:spacing w:before="120" w:after="120"/>
              <w:rPr>
                <w:rFonts w:ascii="Calibri" w:hAnsi="Calibri" w:cs="Calibri"/>
                <w:sz w:val="22"/>
                <w:szCs w:val="22"/>
              </w:rPr>
            </w:pPr>
            <w:r>
              <w:rPr>
                <w:rFonts w:ascii="Calibri" w:hAnsi="Calibri" w:cs="Calibri"/>
                <w:sz w:val="22"/>
                <w:szCs w:val="22"/>
                <w:highlight w:val="lightGray"/>
              </w:rPr>
              <w:t>[</w:t>
            </w:r>
            <w:r w:rsidR="00EF73CC" w:rsidRPr="008C4D33">
              <w:rPr>
                <w:rFonts w:ascii="Calibri" w:hAnsi="Calibri" w:cs="Calibri"/>
                <w:sz w:val="22"/>
                <w:szCs w:val="22"/>
                <w:highlight w:val="lightGray"/>
              </w:rPr>
              <w:t>List the key stakeholders consulted including name and title</w:t>
            </w:r>
            <w:r>
              <w:rPr>
                <w:rFonts w:ascii="Calibri" w:hAnsi="Calibri" w:cs="Calibri"/>
                <w:sz w:val="22"/>
                <w:szCs w:val="22"/>
                <w:highlight w:val="lightGray"/>
              </w:rPr>
              <w:t>]</w:t>
            </w:r>
            <w:r w:rsidR="00D848A3" w:rsidRPr="008C4D33">
              <w:rPr>
                <w:rFonts w:ascii="Calibri" w:hAnsi="Calibri" w:cs="Calibri"/>
                <w:sz w:val="22"/>
                <w:szCs w:val="22"/>
              </w:rPr>
              <w:t xml:space="preserve"> Suggestions</w:t>
            </w:r>
            <w:r w:rsidR="00251437" w:rsidRPr="008C4D33">
              <w:rPr>
                <w:rFonts w:ascii="Calibri" w:hAnsi="Calibri" w:cs="Calibri"/>
                <w:sz w:val="22"/>
                <w:szCs w:val="22"/>
              </w:rPr>
              <w:t xml:space="preserve"> include</w:t>
            </w:r>
            <w:r w:rsidR="00D848A3" w:rsidRPr="008C4D33">
              <w:rPr>
                <w:rFonts w:ascii="Calibri" w:hAnsi="Calibri" w:cs="Calibri"/>
                <w:sz w:val="22"/>
                <w:szCs w:val="22"/>
              </w:rPr>
              <w:t>:</w:t>
            </w:r>
          </w:p>
          <w:p w14:paraId="49FF61B0" w14:textId="77777777" w:rsidR="00D848A3" w:rsidRPr="008C4D33" w:rsidRDefault="00D848A3" w:rsidP="00EF73CC">
            <w:pPr>
              <w:spacing w:before="120" w:after="120"/>
              <w:rPr>
                <w:rFonts w:ascii="Calibri" w:hAnsi="Calibri" w:cs="Calibri"/>
                <w:sz w:val="22"/>
                <w:szCs w:val="22"/>
              </w:rPr>
            </w:pPr>
            <w:r w:rsidRPr="008C4D33">
              <w:rPr>
                <w:rFonts w:ascii="Calibri" w:hAnsi="Calibri" w:cs="Calibri"/>
                <w:sz w:val="22"/>
                <w:szCs w:val="22"/>
              </w:rPr>
              <w:t xml:space="preserve">Chair and membership of </w:t>
            </w:r>
            <w:r w:rsidR="00251437" w:rsidRPr="008C4D33">
              <w:rPr>
                <w:rFonts w:ascii="Calibri" w:hAnsi="Calibri" w:cs="Calibri"/>
                <w:sz w:val="22"/>
                <w:szCs w:val="22"/>
              </w:rPr>
              <w:t xml:space="preserve">the </w:t>
            </w:r>
            <w:r w:rsidRPr="008C4D33">
              <w:rPr>
                <w:rFonts w:ascii="Calibri" w:hAnsi="Calibri" w:cs="Calibri"/>
                <w:sz w:val="22"/>
                <w:szCs w:val="22"/>
              </w:rPr>
              <w:t xml:space="preserve">Transfusion </w:t>
            </w:r>
            <w:r w:rsidR="00251437" w:rsidRPr="008C4D33">
              <w:rPr>
                <w:rFonts w:ascii="Calibri" w:hAnsi="Calibri" w:cs="Calibri"/>
                <w:sz w:val="22"/>
                <w:szCs w:val="22"/>
              </w:rPr>
              <w:t>Governance</w:t>
            </w:r>
            <w:r w:rsidRPr="008C4D33">
              <w:rPr>
                <w:rFonts w:ascii="Calibri" w:hAnsi="Calibri" w:cs="Calibri"/>
                <w:sz w:val="22"/>
                <w:szCs w:val="22"/>
              </w:rPr>
              <w:t xml:space="preserve"> Committee</w:t>
            </w:r>
            <w:r w:rsidR="00251437" w:rsidRPr="008C4D33">
              <w:rPr>
                <w:rFonts w:ascii="Calibri" w:hAnsi="Calibri" w:cs="Calibri"/>
                <w:sz w:val="22"/>
                <w:szCs w:val="22"/>
              </w:rPr>
              <w:t>.</w:t>
            </w:r>
          </w:p>
          <w:p w14:paraId="65537BCB" w14:textId="77777777" w:rsidR="00D848A3" w:rsidRPr="008C4D33" w:rsidRDefault="00D848A3" w:rsidP="00EF73CC">
            <w:pPr>
              <w:spacing w:before="120" w:after="120"/>
              <w:rPr>
                <w:rFonts w:ascii="Calibri" w:hAnsi="Calibri" w:cs="Calibri"/>
                <w:sz w:val="22"/>
                <w:szCs w:val="22"/>
              </w:rPr>
            </w:pPr>
            <w:r w:rsidRPr="008C4D33">
              <w:rPr>
                <w:rFonts w:ascii="Calibri" w:hAnsi="Calibri" w:cs="Calibri"/>
                <w:sz w:val="22"/>
                <w:szCs w:val="22"/>
                <w:u w:val="single"/>
              </w:rPr>
              <w:t>Directors</w:t>
            </w:r>
            <w:r w:rsidRPr="008C4D33">
              <w:rPr>
                <w:rFonts w:ascii="Calibri" w:hAnsi="Calibri" w:cs="Calibri"/>
                <w:sz w:val="22"/>
                <w:szCs w:val="22"/>
              </w:rPr>
              <w:t xml:space="preserve"> of </w:t>
            </w:r>
            <w:r w:rsidR="00A81ECD">
              <w:rPr>
                <w:rFonts w:ascii="Calibri" w:hAnsi="Calibri" w:cs="Calibri"/>
                <w:sz w:val="22"/>
                <w:szCs w:val="22"/>
              </w:rPr>
              <w:t>m</w:t>
            </w:r>
            <w:r w:rsidRPr="008C4D33">
              <w:rPr>
                <w:rFonts w:ascii="Calibri" w:hAnsi="Calibri" w:cs="Calibri"/>
                <w:sz w:val="22"/>
                <w:szCs w:val="22"/>
              </w:rPr>
              <w:t xml:space="preserve">edicine, </w:t>
            </w:r>
            <w:r w:rsidR="00A81ECD">
              <w:rPr>
                <w:rFonts w:ascii="Calibri" w:hAnsi="Calibri" w:cs="Calibri"/>
                <w:sz w:val="22"/>
                <w:szCs w:val="22"/>
              </w:rPr>
              <w:t>s</w:t>
            </w:r>
            <w:r w:rsidRPr="008C4D33">
              <w:rPr>
                <w:rFonts w:ascii="Calibri" w:hAnsi="Calibri" w:cs="Calibri"/>
                <w:sz w:val="22"/>
                <w:szCs w:val="22"/>
              </w:rPr>
              <w:t xml:space="preserve">urgery, </w:t>
            </w:r>
            <w:r w:rsidR="00A81ECD">
              <w:rPr>
                <w:rFonts w:ascii="Calibri" w:hAnsi="Calibri" w:cs="Calibri"/>
                <w:sz w:val="22"/>
                <w:szCs w:val="22"/>
              </w:rPr>
              <w:t>h</w:t>
            </w:r>
            <w:r w:rsidRPr="008C4D33">
              <w:rPr>
                <w:rFonts w:ascii="Calibri" w:hAnsi="Calibri" w:cs="Calibri"/>
                <w:sz w:val="22"/>
                <w:szCs w:val="22"/>
              </w:rPr>
              <w:t xml:space="preserve">aematology, </w:t>
            </w:r>
            <w:r w:rsidR="00A81ECD">
              <w:rPr>
                <w:rFonts w:ascii="Calibri" w:hAnsi="Calibri" w:cs="Calibri"/>
                <w:sz w:val="22"/>
                <w:szCs w:val="22"/>
              </w:rPr>
              <w:t>o</w:t>
            </w:r>
            <w:r w:rsidR="005B09B2" w:rsidRPr="008C4D33">
              <w:rPr>
                <w:rFonts w:ascii="Calibri" w:hAnsi="Calibri" w:cs="Calibri"/>
                <w:sz w:val="22"/>
                <w:szCs w:val="22"/>
              </w:rPr>
              <w:t>ncology</w:t>
            </w:r>
            <w:r w:rsidR="00A81ECD">
              <w:rPr>
                <w:rFonts w:ascii="Calibri" w:hAnsi="Calibri" w:cs="Calibri"/>
                <w:sz w:val="22"/>
                <w:szCs w:val="22"/>
              </w:rPr>
              <w:t>, anaesthetics</w:t>
            </w:r>
            <w:r w:rsidR="008B234E">
              <w:rPr>
                <w:rFonts w:ascii="Calibri" w:hAnsi="Calibri" w:cs="Calibri"/>
                <w:sz w:val="22"/>
                <w:szCs w:val="22"/>
              </w:rPr>
              <w:t>, intensive care</w:t>
            </w:r>
            <w:r w:rsidR="00574AA3" w:rsidRPr="008C4D33">
              <w:rPr>
                <w:rFonts w:ascii="Calibri" w:hAnsi="Calibri" w:cs="Calibri"/>
                <w:sz w:val="22"/>
                <w:szCs w:val="22"/>
              </w:rPr>
              <w:t xml:space="preserve"> and other</w:t>
            </w:r>
            <w:r w:rsidR="00251437" w:rsidRPr="008C4D33">
              <w:rPr>
                <w:rFonts w:ascii="Calibri" w:hAnsi="Calibri" w:cs="Calibri"/>
                <w:sz w:val="22"/>
                <w:szCs w:val="22"/>
              </w:rPr>
              <w:t>s.</w:t>
            </w:r>
          </w:p>
          <w:p w14:paraId="4EC1194D" w14:textId="77777777" w:rsidR="00D848A3" w:rsidRPr="008C4D33" w:rsidRDefault="00D848A3" w:rsidP="00EF73CC">
            <w:pPr>
              <w:spacing w:before="120" w:after="120"/>
              <w:rPr>
                <w:rFonts w:ascii="Calibri" w:hAnsi="Calibri" w:cs="Calibri"/>
                <w:sz w:val="22"/>
                <w:szCs w:val="22"/>
              </w:rPr>
            </w:pPr>
            <w:r w:rsidRPr="008C4D33">
              <w:rPr>
                <w:rFonts w:ascii="Calibri" w:hAnsi="Calibri" w:cs="Calibri"/>
                <w:sz w:val="22"/>
                <w:szCs w:val="22"/>
                <w:u w:val="single"/>
              </w:rPr>
              <w:t>Leading clinicians</w:t>
            </w:r>
            <w:r w:rsidRPr="008C4D33">
              <w:rPr>
                <w:rFonts w:ascii="Calibri" w:hAnsi="Calibri" w:cs="Calibri"/>
                <w:sz w:val="22"/>
                <w:szCs w:val="22"/>
              </w:rPr>
              <w:t xml:space="preserve"> in specialties such as </w:t>
            </w:r>
            <w:r w:rsidR="008B234E">
              <w:rPr>
                <w:rFonts w:ascii="Calibri" w:hAnsi="Calibri" w:cs="Calibri"/>
                <w:sz w:val="22"/>
                <w:szCs w:val="22"/>
              </w:rPr>
              <w:t>m</w:t>
            </w:r>
            <w:r w:rsidR="008B234E" w:rsidRPr="008C4D33">
              <w:rPr>
                <w:rFonts w:ascii="Calibri" w:hAnsi="Calibri" w:cs="Calibri"/>
                <w:sz w:val="22"/>
                <w:szCs w:val="22"/>
              </w:rPr>
              <w:t xml:space="preserve">edicine, </w:t>
            </w:r>
            <w:r w:rsidR="008B234E">
              <w:rPr>
                <w:rFonts w:ascii="Calibri" w:hAnsi="Calibri" w:cs="Calibri"/>
                <w:sz w:val="22"/>
                <w:szCs w:val="22"/>
              </w:rPr>
              <w:t>s</w:t>
            </w:r>
            <w:r w:rsidR="008B234E" w:rsidRPr="008C4D33">
              <w:rPr>
                <w:rFonts w:ascii="Calibri" w:hAnsi="Calibri" w:cs="Calibri"/>
                <w:sz w:val="22"/>
                <w:szCs w:val="22"/>
              </w:rPr>
              <w:t xml:space="preserve">urgery, </w:t>
            </w:r>
            <w:r w:rsidR="008B234E">
              <w:rPr>
                <w:rFonts w:ascii="Calibri" w:hAnsi="Calibri" w:cs="Calibri"/>
                <w:sz w:val="22"/>
                <w:szCs w:val="22"/>
              </w:rPr>
              <w:t>h</w:t>
            </w:r>
            <w:r w:rsidR="008B234E" w:rsidRPr="008C4D33">
              <w:rPr>
                <w:rFonts w:ascii="Calibri" w:hAnsi="Calibri" w:cs="Calibri"/>
                <w:sz w:val="22"/>
                <w:szCs w:val="22"/>
              </w:rPr>
              <w:t xml:space="preserve">aematology, </w:t>
            </w:r>
            <w:r w:rsidR="008B234E">
              <w:rPr>
                <w:rFonts w:ascii="Calibri" w:hAnsi="Calibri" w:cs="Calibri"/>
                <w:sz w:val="22"/>
                <w:szCs w:val="22"/>
              </w:rPr>
              <w:t>o</w:t>
            </w:r>
            <w:r w:rsidR="008B234E" w:rsidRPr="008C4D33">
              <w:rPr>
                <w:rFonts w:ascii="Calibri" w:hAnsi="Calibri" w:cs="Calibri"/>
                <w:sz w:val="22"/>
                <w:szCs w:val="22"/>
              </w:rPr>
              <w:t>ncology</w:t>
            </w:r>
            <w:r w:rsidR="008B234E">
              <w:rPr>
                <w:rFonts w:ascii="Calibri" w:hAnsi="Calibri" w:cs="Calibri"/>
                <w:sz w:val="22"/>
                <w:szCs w:val="22"/>
              </w:rPr>
              <w:t>, anaesthetics, intensive care</w:t>
            </w:r>
            <w:r w:rsidRPr="008C4D33">
              <w:rPr>
                <w:rFonts w:ascii="Calibri" w:hAnsi="Calibri" w:cs="Calibri"/>
                <w:sz w:val="22"/>
                <w:szCs w:val="22"/>
              </w:rPr>
              <w:t>,</w:t>
            </w:r>
            <w:r w:rsidR="005B09B2" w:rsidRPr="008C4D33">
              <w:rPr>
                <w:rFonts w:ascii="Calibri" w:hAnsi="Calibri" w:cs="Calibri"/>
                <w:sz w:val="22"/>
                <w:szCs w:val="22"/>
              </w:rPr>
              <w:t xml:space="preserve"> </w:t>
            </w:r>
            <w:r w:rsidR="008B234E">
              <w:rPr>
                <w:rFonts w:ascii="Calibri" w:hAnsi="Calibri" w:cs="Calibri"/>
                <w:sz w:val="22"/>
                <w:szCs w:val="22"/>
              </w:rPr>
              <w:t>o</w:t>
            </w:r>
            <w:r w:rsidRPr="008C4D33">
              <w:rPr>
                <w:rFonts w:ascii="Calibri" w:hAnsi="Calibri" w:cs="Calibri"/>
                <w:sz w:val="22"/>
                <w:szCs w:val="22"/>
              </w:rPr>
              <w:t xml:space="preserve">rthopaedics, </w:t>
            </w:r>
            <w:r w:rsidR="008B234E">
              <w:rPr>
                <w:rFonts w:ascii="Calibri" w:hAnsi="Calibri" w:cs="Calibri"/>
                <w:sz w:val="22"/>
                <w:szCs w:val="22"/>
              </w:rPr>
              <w:t>c</w:t>
            </w:r>
            <w:r w:rsidRPr="008C4D33">
              <w:rPr>
                <w:rFonts w:ascii="Calibri" w:hAnsi="Calibri" w:cs="Calibri"/>
                <w:sz w:val="22"/>
                <w:szCs w:val="22"/>
              </w:rPr>
              <w:t xml:space="preserve">ardiology, </w:t>
            </w:r>
            <w:r w:rsidR="008B234E">
              <w:rPr>
                <w:rFonts w:ascii="Calibri" w:hAnsi="Calibri" w:cs="Calibri"/>
                <w:sz w:val="22"/>
                <w:szCs w:val="22"/>
              </w:rPr>
              <w:t>g</w:t>
            </w:r>
            <w:r w:rsidRPr="008C4D33">
              <w:rPr>
                <w:rFonts w:ascii="Calibri" w:hAnsi="Calibri" w:cs="Calibri"/>
                <w:sz w:val="22"/>
                <w:szCs w:val="22"/>
              </w:rPr>
              <w:t>astroenterology</w:t>
            </w:r>
            <w:r w:rsidR="008B234E" w:rsidRPr="008C4D33" w:rsidDel="008B234E">
              <w:rPr>
                <w:rFonts w:ascii="Calibri" w:hAnsi="Calibri" w:cs="Calibri"/>
                <w:sz w:val="22"/>
                <w:szCs w:val="22"/>
              </w:rPr>
              <w:t xml:space="preserve"> </w:t>
            </w:r>
            <w:r w:rsidRPr="008C4D33">
              <w:rPr>
                <w:rFonts w:ascii="Calibri" w:hAnsi="Calibri" w:cs="Calibri"/>
                <w:sz w:val="22"/>
                <w:szCs w:val="22"/>
              </w:rPr>
              <w:t xml:space="preserve">, </w:t>
            </w:r>
            <w:r w:rsidR="008B234E">
              <w:rPr>
                <w:rFonts w:ascii="Calibri" w:hAnsi="Calibri" w:cs="Calibri"/>
                <w:sz w:val="22"/>
                <w:szCs w:val="22"/>
              </w:rPr>
              <w:t>r</w:t>
            </w:r>
            <w:r w:rsidRPr="008C4D33">
              <w:rPr>
                <w:rFonts w:ascii="Calibri" w:hAnsi="Calibri" w:cs="Calibri"/>
                <w:sz w:val="22"/>
                <w:szCs w:val="22"/>
              </w:rPr>
              <w:t xml:space="preserve">enal medicine, </w:t>
            </w:r>
            <w:r w:rsidR="008B234E">
              <w:rPr>
                <w:rFonts w:ascii="Calibri" w:hAnsi="Calibri" w:cs="Calibri"/>
                <w:sz w:val="22"/>
                <w:szCs w:val="22"/>
              </w:rPr>
              <w:t>s</w:t>
            </w:r>
            <w:r w:rsidRPr="008C4D33">
              <w:rPr>
                <w:rFonts w:ascii="Calibri" w:hAnsi="Calibri" w:cs="Calibri"/>
                <w:sz w:val="22"/>
                <w:szCs w:val="22"/>
              </w:rPr>
              <w:t>urg</w:t>
            </w:r>
            <w:r w:rsidR="008B234E">
              <w:rPr>
                <w:rFonts w:ascii="Calibri" w:hAnsi="Calibri" w:cs="Calibri"/>
                <w:sz w:val="22"/>
                <w:szCs w:val="22"/>
              </w:rPr>
              <w:t>ical</w:t>
            </w:r>
            <w:r w:rsidRPr="008C4D33">
              <w:rPr>
                <w:rFonts w:ascii="Calibri" w:hAnsi="Calibri" w:cs="Calibri"/>
                <w:sz w:val="22"/>
                <w:szCs w:val="22"/>
              </w:rPr>
              <w:t xml:space="preserve"> spec</w:t>
            </w:r>
            <w:r w:rsidR="00B7541E" w:rsidRPr="008C4D33">
              <w:rPr>
                <w:rFonts w:ascii="Calibri" w:hAnsi="Calibri" w:cs="Calibri"/>
                <w:sz w:val="22"/>
                <w:szCs w:val="22"/>
              </w:rPr>
              <w:t xml:space="preserve">ialties, </w:t>
            </w:r>
            <w:r w:rsidR="005B09B2" w:rsidRPr="008C4D33">
              <w:rPr>
                <w:rFonts w:ascii="Calibri" w:hAnsi="Calibri" w:cs="Calibri"/>
                <w:sz w:val="22"/>
                <w:szCs w:val="22"/>
              </w:rPr>
              <w:t>and others</w:t>
            </w:r>
            <w:r w:rsidR="00251437" w:rsidRPr="008C4D33">
              <w:rPr>
                <w:rFonts w:ascii="Calibri" w:hAnsi="Calibri" w:cs="Calibri"/>
                <w:sz w:val="22"/>
                <w:szCs w:val="22"/>
              </w:rPr>
              <w:t>.</w:t>
            </w:r>
          </w:p>
          <w:p w14:paraId="60F470CB" w14:textId="77777777" w:rsidR="005B09B2" w:rsidRPr="008C4D33" w:rsidRDefault="005B09B2" w:rsidP="00EF73CC">
            <w:pPr>
              <w:spacing w:before="120" w:after="120"/>
              <w:rPr>
                <w:rFonts w:ascii="Calibri" w:hAnsi="Calibri" w:cs="Calibri"/>
                <w:sz w:val="22"/>
                <w:szCs w:val="22"/>
              </w:rPr>
            </w:pPr>
            <w:r w:rsidRPr="00615158">
              <w:rPr>
                <w:rFonts w:ascii="Calibri" w:hAnsi="Calibri" w:cs="Calibri"/>
                <w:sz w:val="22"/>
                <w:szCs w:val="22"/>
                <w:u w:val="single"/>
              </w:rPr>
              <w:t>Visiting Medical Officers / General Practitioners</w:t>
            </w:r>
            <w:r w:rsidRPr="008C4D33">
              <w:rPr>
                <w:rFonts w:ascii="Calibri" w:hAnsi="Calibri" w:cs="Calibri"/>
                <w:sz w:val="22"/>
                <w:szCs w:val="22"/>
              </w:rPr>
              <w:t>, where appropriate</w:t>
            </w:r>
            <w:r w:rsidR="00251437" w:rsidRPr="008C4D33">
              <w:rPr>
                <w:rFonts w:ascii="Calibri" w:hAnsi="Calibri" w:cs="Calibri"/>
                <w:sz w:val="22"/>
                <w:szCs w:val="22"/>
              </w:rPr>
              <w:t>.</w:t>
            </w:r>
          </w:p>
          <w:p w14:paraId="1C980313" w14:textId="77777777" w:rsidR="005B09B2" w:rsidRPr="008C4D33" w:rsidRDefault="00B61C7D" w:rsidP="00EF73CC">
            <w:pPr>
              <w:spacing w:before="120" w:after="120"/>
              <w:rPr>
                <w:rFonts w:ascii="Calibri" w:hAnsi="Calibri" w:cs="Calibri"/>
                <w:sz w:val="22"/>
                <w:szCs w:val="22"/>
              </w:rPr>
            </w:pPr>
            <w:r w:rsidRPr="008C4D33">
              <w:rPr>
                <w:rFonts w:ascii="Calibri" w:hAnsi="Calibri" w:cs="Calibri"/>
                <w:sz w:val="22"/>
                <w:szCs w:val="22"/>
                <w:u w:val="single"/>
              </w:rPr>
              <w:t>Nurse Unit M</w:t>
            </w:r>
            <w:r w:rsidR="009244C6" w:rsidRPr="008C4D33">
              <w:rPr>
                <w:rFonts w:ascii="Calibri" w:hAnsi="Calibri" w:cs="Calibri"/>
                <w:sz w:val="22"/>
                <w:szCs w:val="22"/>
                <w:u w:val="single"/>
              </w:rPr>
              <w:t>anagers</w:t>
            </w:r>
            <w:r w:rsidR="009244C6" w:rsidRPr="008C4D33">
              <w:rPr>
                <w:rFonts w:ascii="Calibri" w:hAnsi="Calibri" w:cs="Calibri"/>
                <w:sz w:val="22"/>
                <w:szCs w:val="22"/>
              </w:rPr>
              <w:t xml:space="preserve"> </w:t>
            </w:r>
            <w:r w:rsidR="00715EF9" w:rsidRPr="009B7EDF">
              <w:rPr>
                <w:rFonts w:ascii="Calibri" w:hAnsi="Calibri" w:cs="Calibri"/>
                <w:sz w:val="22"/>
                <w:szCs w:val="22"/>
              </w:rPr>
              <w:t xml:space="preserve">and educators </w:t>
            </w:r>
            <w:r w:rsidR="009244C6" w:rsidRPr="008C4D33">
              <w:rPr>
                <w:rFonts w:ascii="Calibri" w:hAnsi="Calibri" w:cs="Calibri"/>
                <w:sz w:val="22"/>
                <w:szCs w:val="22"/>
              </w:rPr>
              <w:t>of wards and units where transfusions occur.</w:t>
            </w:r>
          </w:p>
          <w:p w14:paraId="0EBAB5E4" w14:textId="77777777" w:rsidR="009244C6" w:rsidRPr="008C4D33" w:rsidRDefault="009244C6" w:rsidP="00EF73CC">
            <w:pPr>
              <w:spacing w:before="120" w:after="120"/>
              <w:rPr>
                <w:rFonts w:ascii="Calibri" w:hAnsi="Calibri" w:cs="Calibri"/>
                <w:sz w:val="22"/>
                <w:szCs w:val="22"/>
              </w:rPr>
            </w:pPr>
            <w:r w:rsidRPr="008C4D33">
              <w:rPr>
                <w:rFonts w:ascii="Calibri" w:hAnsi="Calibri" w:cs="Calibri"/>
                <w:sz w:val="22"/>
                <w:szCs w:val="22"/>
                <w:u w:val="single"/>
              </w:rPr>
              <w:t>Senior Laboratory staff</w:t>
            </w:r>
            <w:r w:rsidRPr="008C4D33">
              <w:rPr>
                <w:rFonts w:ascii="Calibri" w:hAnsi="Calibri" w:cs="Calibri"/>
                <w:sz w:val="22"/>
                <w:szCs w:val="22"/>
              </w:rPr>
              <w:t xml:space="preserve"> responsible for </w:t>
            </w:r>
            <w:r w:rsidR="00715EF9" w:rsidRPr="009B7EDF">
              <w:rPr>
                <w:rFonts w:ascii="Calibri" w:hAnsi="Calibri" w:cs="Calibri"/>
                <w:sz w:val="22"/>
                <w:szCs w:val="22"/>
              </w:rPr>
              <w:t>t</w:t>
            </w:r>
            <w:r w:rsidRPr="008C4D33">
              <w:rPr>
                <w:rFonts w:ascii="Calibri" w:hAnsi="Calibri" w:cs="Calibri"/>
                <w:sz w:val="22"/>
                <w:szCs w:val="22"/>
              </w:rPr>
              <w:t>ransfusion services.</w:t>
            </w:r>
          </w:p>
          <w:p w14:paraId="2BE091F8" w14:textId="77777777" w:rsidR="009244C6" w:rsidRPr="008C4D33" w:rsidRDefault="009244C6" w:rsidP="00EF73CC">
            <w:pPr>
              <w:spacing w:before="120" w:after="120"/>
              <w:rPr>
                <w:rFonts w:ascii="Calibri" w:hAnsi="Calibri" w:cs="Calibri"/>
                <w:sz w:val="22"/>
                <w:szCs w:val="22"/>
              </w:rPr>
            </w:pPr>
            <w:r w:rsidRPr="008C4D33">
              <w:rPr>
                <w:rFonts w:ascii="Calibri" w:hAnsi="Calibri" w:cs="Calibri"/>
                <w:sz w:val="22"/>
                <w:szCs w:val="22"/>
                <w:u w:val="single"/>
              </w:rPr>
              <w:t>Patient / community consumer</w:t>
            </w:r>
            <w:r w:rsidRPr="008C4D33">
              <w:rPr>
                <w:rFonts w:ascii="Calibri" w:hAnsi="Calibri" w:cs="Calibri"/>
                <w:sz w:val="22"/>
                <w:szCs w:val="22"/>
              </w:rPr>
              <w:t xml:space="preserve"> representative.</w:t>
            </w:r>
          </w:p>
          <w:p w14:paraId="614C9C07" w14:textId="77777777" w:rsidR="00EF73CC" w:rsidRPr="008C4D33" w:rsidRDefault="00EF73CC" w:rsidP="00EF73CC">
            <w:pPr>
              <w:spacing w:before="120" w:after="120"/>
              <w:rPr>
                <w:rFonts w:ascii="Calibri" w:hAnsi="Calibri" w:cs="Calibri"/>
                <w:sz w:val="22"/>
                <w:szCs w:val="22"/>
              </w:rPr>
            </w:pPr>
            <w:r w:rsidRPr="008C4D33">
              <w:rPr>
                <w:rFonts w:ascii="Calibri" w:hAnsi="Calibri" w:cs="Calibri"/>
                <w:b/>
                <w:bCs/>
                <w:sz w:val="22"/>
                <w:szCs w:val="22"/>
              </w:rPr>
              <w:t>Tips on the consultation process:</w:t>
            </w:r>
            <w:r w:rsidRPr="008C4D33">
              <w:rPr>
                <w:rFonts w:ascii="Calibri" w:hAnsi="Calibri" w:cs="Calibri"/>
                <w:sz w:val="22"/>
                <w:szCs w:val="22"/>
              </w:rPr>
              <w:t xml:space="preserve"> Whilst wide consultation is preferable thought should be given to managing the process to ensure the document is finalised within a </w:t>
            </w:r>
            <w:r w:rsidR="00615158">
              <w:rPr>
                <w:rFonts w:ascii="Calibri" w:hAnsi="Calibri" w:cs="Calibri"/>
                <w:sz w:val="22"/>
                <w:szCs w:val="22"/>
              </w:rPr>
              <w:t xml:space="preserve">reasonable </w:t>
            </w:r>
            <w:r w:rsidRPr="008C4D33">
              <w:rPr>
                <w:rFonts w:ascii="Calibri" w:hAnsi="Calibri" w:cs="Calibri"/>
                <w:sz w:val="22"/>
                <w:szCs w:val="22"/>
              </w:rPr>
              <w:t>timeframe. When asking for feedback clear instructions should be given regarding what is being requested, the date by which it should be received and the contact details of the staff member who will collect the information. There are two levels of consultation:</w:t>
            </w:r>
          </w:p>
          <w:p w14:paraId="530A9694" w14:textId="77777777" w:rsidR="00EF73CC" w:rsidRPr="008C4D33" w:rsidRDefault="00EF73CC" w:rsidP="00EF73CC">
            <w:pPr>
              <w:pStyle w:val="ListParagraph"/>
              <w:numPr>
                <w:ilvl w:val="0"/>
                <w:numId w:val="3"/>
              </w:numPr>
              <w:spacing w:before="120" w:after="120"/>
              <w:ind w:left="426"/>
            </w:pPr>
            <w:r w:rsidRPr="008C4D33">
              <w:rPr>
                <w:b/>
                <w:bCs/>
              </w:rPr>
              <w:t>Targeted consultation</w:t>
            </w:r>
            <w:r w:rsidRPr="008C4D33">
              <w:t xml:space="preserve"> - specific staff who are experts in the field and/or whose input is important for the drafting of the document. Involve staff from whom support for the implementation of the document is vital and include representation from the applicable geographic areas and types of clinical settings.</w:t>
            </w:r>
          </w:p>
          <w:p w14:paraId="583F8408" w14:textId="77777777" w:rsidR="007D2E26" w:rsidRPr="008C4D33" w:rsidRDefault="00EF73CC" w:rsidP="00D848A3">
            <w:pPr>
              <w:pStyle w:val="ListParagraph"/>
              <w:numPr>
                <w:ilvl w:val="0"/>
                <w:numId w:val="3"/>
              </w:numPr>
              <w:spacing w:before="120" w:after="120"/>
              <w:ind w:left="426"/>
            </w:pPr>
            <w:r w:rsidRPr="008C4D33">
              <w:rPr>
                <w:b/>
                <w:bCs/>
              </w:rPr>
              <w:t>Non-targeted consultation</w:t>
            </w:r>
            <w:r w:rsidRPr="008C4D33">
              <w:t xml:space="preserve"> - you may wish to notify a wider audience that the document is in development and give them the opportunity to provide feedback by a certain date. Nursing and Midwifery staff can be consulted via the Nursing and Midwifery Clinical Guideline and Procedure Coordinator </w:t>
            </w:r>
            <w:r w:rsidR="00D848A3" w:rsidRPr="008C4D33">
              <w:t>.</w:t>
            </w:r>
          </w:p>
        </w:tc>
      </w:tr>
    </w:tbl>
    <w:p w14:paraId="2F3632DF" w14:textId="77777777" w:rsidR="007F7D73" w:rsidRPr="008C4D33" w:rsidRDefault="007F7D73" w:rsidP="007F7D73">
      <w:pPr>
        <w:spacing w:before="120" w:after="120"/>
        <w:rPr>
          <w:rFonts w:ascii="Calibri" w:hAnsi="Calibri" w:cs="Calibri"/>
          <w:b/>
          <w:sz w:val="22"/>
          <w:szCs w:val="22"/>
        </w:rPr>
      </w:pPr>
      <w:r w:rsidRPr="008C4D33">
        <w:rPr>
          <w:rFonts w:ascii="Calibri" w:hAnsi="Calibri" w:cs="Calibri"/>
          <w:b/>
          <w:sz w:val="22"/>
          <w:szCs w:val="22"/>
        </w:rPr>
        <w:t>APPENDI</w:t>
      </w:r>
      <w:r w:rsidR="00615158">
        <w:rPr>
          <w:rFonts w:ascii="Calibri" w:hAnsi="Calibri" w:cs="Calibri"/>
          <w:b/>
          <w:sz w:val="22"/>
          <w:szCs w:val="22"/>
        </w:rPr>
        <w:t>X</w:t>
      </w:r>
      <w:r w:rsidRPr="008C4D33">
        <w:rPr>
          <w:rFonts w:ascii="Calibri" w:hAnsi="Calibri" w:cs="Calibri"/>
          <w:b/>
          <w:sz w:val="22"/>
          <w:szCs w:val="22"/>
        </w:rPr>
        <w: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F7D73" w:rsidRPr="008C4D33" w14:paraId="38A0147E" w14:textId="77777777" w:rsidTr="00F43CF2">
        <w:tc>
          <w:tcPr>
            <w:tcW w:w="9854" w:type="dxa"/>
            <w:shd w:val="clear" w:color="auto" w:fill="auto"/>
          </w:tcPr>
          <w:p w14:paraId="4D4A5B5E" w14:textId="77777777" w:rsidR="007F7D73" w:rsidRPr="008C4D33" w:rsidRDefault="007F7D73" w:rsidP="00251437">
            <w:pPr>
              <w:numPr>
                <w:ilvl w:val="1"/>
                <w:numId w:val="3"/>
              </w:numPr>
              <w:tabs>
                <w:tab w:val="clear" w:pos="720"/>
              </w:tabs>
              <w:spacing w:before="120" w:after="120"/>
              <w:ind w:left="426"/>
              <w:rPr>
                <w:rFonts w:ascii="Calibri" w:hAnsi="Calibri" w:cs="Calibri"/>
                <w:b/>
                <w:sz w:val="22"/>
                <w:szCs w:val="22"/>
              </w:rPr>
            </w:pPr>
            <w:r w:rsidRPr="008C4D33">
              <w:rPr>
                <w:rFonts w:ascii="Calibri" w:hAnsi="Calibri" w:cs="Calibri"/>
                <w:sz w:val="22"/>
                <w:szCs w:val="22"/>
              </w:rPr>
              <w:t>Audit Tool</w:t>
            </w:r>
            <w:r w:rsidR="00242CCB" w:rsidRPr="008C4D33">
              <w:rPr>
                <w:rFonts w:ascii="Calibri" w:hAnsi="Calibri" w:cs="Calibri"/>
                <w:sz w:val="22"/>
                <w:szCs w:val="22"/>
              </w:rPr>
              <w:t xml:space="preserve"> </w:t>
            </w:r>
            <w:r w:rsidR="00312106" w:rsidRPr="008C4D33">
              <w:rPr>
                <w:rFonts w:ascii="Calibri" w:hAnsi="Calibri" w:cs="Calibri"/>
                <w:sz w:val="22"/>
                <w:szCs w:val="22"/>
              </w:rPr>
              <w:t>– An audit tool is currently under development</w:t>
            </w:r>
          </w:p>
        </w:tc>
      </w:tr>
    </w:tbl>
    <w:p w14:paraId="703EFC76" w14:textId="77777777" w:rsidR="00C94E8F" w:rsidRPr="008C4D33" w:rsidRDefault="00C94E8F" w:rsidP="00CF58C7">
      <w:pPr>
        <w:spacing w:before="120" w:after="120"/>
        <w:rPr>
          <w:rFonts w:ascii="Calibri" w:hAnsi="Calibri" w:cs="Calibri"/>
          <w:b/>
          <w:sz w:val="22"/>
          <w:szCs w:val="22"/>
        </w:rPr>
      </w:pPr>
      <w:r w:rsidRPr="008C4D33">
        <w:rPr>
          <w:rFonts w:ascii="Calibri" w:hAnsi="Calibri" w:cs="Calibri"/>
          <w:b/>
          <w:sz w:val="22"/>
          <w:szCs w:val="22"/>
        </w:rPr>
        <w:t>REFERENCES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B7591C" w:rsidRPr="008C4D33" w14:paraId="4E089480" w14:textId="77777777" w:rsidTr="004C2B0E">
        <w:tc>
          <w:tcPr>
            <w:tcW w:w="9854" w:type="dxa"/>
            <w:shd w:val="clear" w:color="auto" w:fill="auto"/>
          </w:tcPr>
          <w:p w14:paraId="3B684124" w14:textId="77777777" w:rsidR="00CA27FC" w:rsidRPr="0063314A" w:rsidRDefault="0091670C">
            <w:pPr>
              <w:pStyle w:val="NormalWeb"/>
              <w:ind w:left="640" w:hanging="640"/>
              <w:divId w:val="174423845"/>
              <w:rPr>
                <w:rFonts w:ascii="Calibri" w:hAnsi="Calibri" w:cs="Calibri"/>
                <w:noProof/>
                <w:sz w:val="22"/>
              </w:rPr>
            </w:pPr>
            <w:r>
              <w:rPr>
                <w:rFonts w:ascii="Calibri" w:eastAsia="Calibri" w:hAnsi="Calibri" w:cs="Calibri"/>
                <w:sz w:val="22"/>
                <w:szCs w:val="22"/>
                <w:lang w:eastAsia="en-US"/>
              </w:rPr>
              <w:fldChar w:fldCharType="begin" w:fldLock="1"/>
            </w:r>
            <w:r>
              <w:rPr>
                <w:rFonts w:ascii="Calibri" w:eastAsia="Calibri" w:hAnsi="Calibri" w:cs="Calibri"/>
                <w:sz w:val="22"/>
                <w:szCs w:val="22"/>
                <w:lang w:eastAsia="en-US"/>
              </w:rPr>
              <w:instrText xml:space="preserve">ADDIN Mendeley Bibliography CSL_BIBLIOGRAPHY </w:instrText>
            </w:r>
            <w:r>
              <w:rPr>
                <w:rFonts w:ascii="Calibri" w:eastAsia="Calibri" w:hAnsi="Calibri" w:cs="Calibri"/>
                <w:sz w:val="22"/>
                <w:szCs w:val="22"/>
                <w:lang w:eastAsia="en-US"/>
              </w:rPr>
              <w:fldChar w:fldCharType="separate"/>
            </w:r>
            <w:r w:rsidR="00CA27FC" w:rsidRPr="00CA27FC">
              <w:rPr>
                <w:rFonts w:ascii="Calibri" w:hAnsi="Calibri" w:cs="Calibri"/>
                <w:noProof/>
                <w:sz w:val="22"/>
              </w:rPr>
              <w:t>1.</w:t>
            </w:r>
            <w:r w:rsidR="00CA27FC" w:rsidRPr="00CA27FC">
              <w:rPr>
                <w:rFonts w:ascii="Calibri" w:hAnsi="Calibri" w:cs="Calibri"/>
                <w:noProof/>
                <w:sz w:val="22"/>
              </w:rPr>
              <w:tab/>
              <w:t xml:space="preserve">Hunter New England Local Health District </w:t>
            </w:r>
            <w:r w:rsidR="00CA27FC" w:rsidRPr="00CA27FC">
              <w:rPr>
                <w:rFonts w:ascii="Calibri" w:hAnsi="Calibri" w:cs="Calibri"/>
                <w:i/>
                <w:iCs/>
                <w:noProof/>
                <w:sz w:val="22"/>
              </w:rPr>
              <w:t>Clinical Guideline</w:t>
            </w:r>
            <w:r w:rsidR="00CA27FC" w:rsidRPr="00CA27FC">
              <w:rPr>
                <w:rFonts w:ascii="Calibri" w:hAnsi="Calibri" w:cs="Calibri"/>
                <w:noProof/>
                <w:sz w:val="22"/>
              </w:rPr>
              <w:t>. (Hunter New England Health District, NSW Government: 2013).</w:t>
            </w:r>
          </w:p>
          <w:p w14:paraId="2997C8BD"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2.</w:t>
            </w:r>
            <w:r w:rsidRPr="00CA27FC">
              <w:rPr>
                <w:rFonts w:ascii="Calibri" w:hAnsi="Calibri" w:cs="Calibri"/>
                <w:noProof/>
                <w:sz w:val="22"/>
              </w:rPr>
              <w:tab/>
              <w:t xml:space="preserve">Webert, K. E. </w:t>
            </w:r>
            <w:r w:rsidRPr="00CA27FC">
              <w:rPr>
                <w:rFonts w:ascii="Calibri" w:hAnsi="Calibri" w:cs="Calibri"/>
                <w:i/>
                <w:iCs/>
                <w:noProof/>
                <w:sz w:val="22"/>
              </w:rPr>
              <w:t>et al.</w:t>
            </w:r>
            <w:r w:rsidRPr="00CA27FC">
              <w:rPr>
                <w:rFonts w:ascii="Calibri" w:hAnsi="Calibri" w:cs="Calibri"/>
                <w:noProof/>
                <w:sz w:val="22"/>
              </w:rPr>
              <w:t xml:space="preserve"> A new tool to assess bleeding severity in patients with chemotherapy-induced thrmbocytopaenia. </w:t>
            </w:r>
            <w:r w:rsidRPr="00CA27FC">
              <w:rPr>
                <w:rFonts w:ascii="Calibri" w:hAnsi="Calibri" w:cs="Calibri"/>
                <w:i/>
                <w:iCs/>
                <w:noProof/>
                <w:sz w:val="22"/>
              </w:rPr>
              <w:t>Transfusion Practice</w:t>
            </w:r>
            <w:r w:rsidRPr="00CA27FC">
              <w:rPr>
                <w:rFonts w:ascii="Calibri" w:hAnsi="Calibri" w:cs="Calibri"/>
                <w:noProof/>
                <w:sz w:val="22"/>
              </w:rPr>
              <w:t xml:space="preserve"> </w:t>
            </w:r>
            <w:r w:rsidRPr="00CA27FC">
              <w:rPr>
                <w:rFonts w:ascii="Calibri" w:hAnsi="Calibri" w:cs="Calibri"/>
                <w:b/>
                <w:bCs/>
                <w:noProof/>
                <w:sz w:val="22"/>
              </w:rPr>
              <w:t>52</w:t>
            </w:r>
            <w:r w:rsidRPr="00CA27FC">
              <w:rPr>
                <w:rFonts w:ascii="Calibri" w:hAnsi="Calibri" w:cs="Calibri"/>
                <w:noProof/>
                <w:sz w:val="22"/>
              </w:rPr>
              <w:t>, 2466–2474 (2012).</w:t>
            </w:r>
          </w:p>
          <w:p w14:paraId="3EFCB927"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3.</w:t>
            </w:r>
            <w:r w:rsidRPr="00CA27FC">
              <w:rPr>
                <w:rFonts w:ascii="Calibri" w:hAnsi="Calibri" w:cs="Calibri"/>
                <w:noProof/>
                <w:sz w:val="22"/>
              </w:rPr>
              <w:tab/>
              <w:t xml:space="preserve">National Blood Authority </w:t>
            </w:r>
            <w:r w:rsidRPr="00CA27FC">
              <w:rPr>
                <w:rFonts w:ascii="Calibri" w:hAnsi="Calibri" w:cs="Calibri"/>
                <w:i/>
                <w:iCs/>
                <w:noProof/>
                <w:sz w:val="22"/>
              </w:rPr>
              <w:t>Patient blood management guidelines: Module 2 – Perioperative.</w:t>
            </w:r>
            <w:r w:rsidRPr="00CA27FC">
              <w:rPr>
                <w:rFonts w:ascii="Calibri" w:hAnsi="Calibri" w:cs="Calibri"/>
                <w:noProof/>
                <w:sz w:val="22"/>
              </w:rPr>
              <w:t xml:space="preserve"> (Canberra, Australia, 2012).at &lt;</w:t>
            </w:r>
            <w:hyperlink r:id="rId15" w:history="1">
              <w:r w:rsidRPr="00CA27FC">
                <w:rPr>
                  <w:rStyle w:val="Hyperlink"/>
                  <w:rFonts w:ascii="Calibri" w:hAnsi="Calibri" w:cs="Calibri"/>
                  <w:noProof/>
                  <w:sz w:val="22"/>
                </w:rPr>
                <w:t>http://www.blood.gov.au/pbm-guidelines</w:t>
              </w:r>
            </w:hyperlink>
            <w:r w:rsidRPr="00CA27FC">
              <w:rPr>
                <w:rFonts w:ascii="Calibri" w:hAnsi="Calibri" w:cs="Calibri"/>
                <w:noProof/>
                <w:sz w:val="22"/>
              </w:rPr>
              <w:t xml:space="preserve"> &gt;</w:t>
            </w:r>
          </w:p>
          <w:p w14:paraId="0057D361"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4.</w:t>
            </w:r>
            <w:r w:rsidRPr="00CA27FC">
              <w:rPr>
                <w:rFonts w:ascii="Calibri" w:hAnsi="Calibri" w:cs="Calibri"/>
                <w:noProof/>
                <w:sz w:val="22"/>
              </w:rPr>
              <w:tab/>
              <w:t xml:space="preserve">National Blood Authority </w:t>
            </w:r>
            <w:r w:rsidRPr="00CA27FC">
              <w:rPr>
                <w:rFonts w:ascii="Calibri" w:hAnsi="Calibri" w:cs="Calibri"/>
                <w:i/>
                <w:iCs/>
                <w:noProof/>
                <w:sz w:val="22"/>
              </w:rPr>
              <w:t>Patient blood management guidelines: Module 3 – Medical</w:t>
            </w:r>
            <w:r w:rsidRPr="00CA27FC">
              <w:rPr>
                <w:rFonts w:ascii="Calibri" w:hAnsi="Calibri" w:cs="Calibri"/>
                <w:noProof/>
                <w:sz w:val="22"/>
              </w:rPr>
              <w:t>. (National Blood Authority: Canberra, Australia, 2012).at &lt;http://www.blood.gov.au/pbm-guidelines&gt;</w:t>
            </w:r>
          </w:p>
          <w:p w14:paraId="4454EB48"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5.</w:t>
            </w:r>
            <w:r w:rsidRPr="00CA27FC">
              <w:rPr>
                <w:rFonts w:ascii="Calibri" w:hAnsi="Calibri" w:cs="Calibri"/>
                <w:noProof/>
                <w:sz w:val="22"/>
              </w:rPr>
              <w:tab/>
              <w:t xml:space="preserve">National Blood Authority </w:t>
            </w:r>
            <w:r w:rsidRPr="00CA27FC">
              <w:rPr>
                <w:rFonts w:ascii="Calibri" w:hAnsi="Calibri" w:cs="Calibri"/>
                <w:i/>
                <w:iCs/>
                <w:noProof/>
                <w:sz w:val="22"/>
              </w:rPr>
              <w:t>Patient blood management guidelines: Module 4 – Critical Care</w:t>
            </w:r>
            <w:r w:rsidRPr="00CA27FC">
              <w:rPr>
                <w:rFonts w:ascii="Calibri" w:hAnsi="Calibri" w:cs="Calibri"/>
                <w:noProof/>
                <w:sz w:val="22"/>
              </w:rPr>
              <w:t>. (Canberra, Australia, 2013).at &lt;</w:t>
            </w:r>
            <w:hyperlink r:id="rId16" w:history="1">
              <w:r w:rsidRPr="00CA27FC">
                <w:rPr>
                  <w:rStyle w:val="Hyperlink"/>
                  <w:rFonts w:ascii="Calibri" w:hAnsi="Calibri" w:cs="Calibri"/>
                  <w:noProof/>
                  <w:sz w:val="22"/>
                </w:rPr>
                <w:t>http://www.blood.gov.au/pbm-guidelines</w:t>
              </w:r>
            </w:hyperlink>
            <w:r w:rsidRPr="00CA27FC">
              <w:rPr>
                <w:rFonts w:ascii="Calibri" w:hAnsi="Calibri" w:cs="Calibri"/>
                <w:noProof/>
                <w:sz w:val="22"/>
              </w:rPr>
              <w:t>&gt;</w:t>
            </w:r>
          </w:p>
          <w:p w14:paraId="08D30818"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6.</w:t>
            </w:r>
            <w:r w:rsidRPr="00CA27FC">
              <w:rPr>
                <w:rFonts w:ascii="Calibri" w:hAnsi="Calibri" w:cs="Calibri"/>
                <w:noProof/>
                <w:sz w:val="22"/>
              </w:rPr>
              <w:tab/>
              <w:t xml:space="preserve">Ma, M., Eckert, K., Ralley, F. &amp; Chin-Yee, I. A retrospective study evaluating single-unit red blood cell transfusions in reducing allogeneic blood exposure. </w:t>
            </w:r>
            <w:r w:rsidRPr="00CA27FC">
              <w:rPr>
                <w:rFonts w:ascii="Calibri" w:hAnsi="Calibri" w:cs="Calibri"/>
                <w:i/>
                <w:iCs/>
                <w:noProof/>
                <w:sz w:val="22"/>
              </w:rPr>
              <w:t>Transfusion Medicine</w:t>
            </w:r>
            <w:r w:rsidRPr="00CA27FC">
              <w:rPr>
                <w:rFonts w:ascii="Calibri" w:hAnsi="Calibri" w:cs="Calibri"/>
                <w:noProof/>
                <w:sz w:val="22"/>
              </w:rPr>
              <w:t xml:space="preserve"> </w:t>
            </w:r>
            <w:r w:rsidRPr="00CA27FC">
              <w:rPr>
                <w:rFonts w:ascii="Calibri" w:hAnsi="Calibri" w:cs="Calibri"/>
                <w:b/>
                <w:bCs/>
                <w:noProof/>
                <w:sz w:val="22"/>
              </w:rPr>
              <w:t>15</w:t>
            </w:r>
            <w:r w:rsidRPr="00CA27FC">
              <w:rPr>
                <w:rFonts w:ascii="Calibri" w:hAnsi="Calibri" w:cs="Calibri"/>
                <w:noProof/>
                <w:sz w:val="22"/>
              </w:rPr>
              <w:t>, 307–312 (2005).</w:t>
            </w:r>
          </w:p>
          <w:p w14:paraId="22EA47E7"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7.</w:t>
            </w:r>
            <w:r w:rsidRPr="00CA27FC">
              <w:rPr>
                <w:rFonts w:ascii="Calibri" w:hAnsi="Calibri" w:cs="Calibri"/>
                <w:noProof/>
                <w:sz w:val="22"/>
              </w:rPr>
              <w:tab/>
              <w:t xml:space="preserve">Berger, M. D. </w:t>
            </w:r>
            <w:r w:rsidRPr="00CA27FC">
              <w:rPr>
                <w:rFonts w:ascii="Calibri" w:hAnsi="Calibri" w:cs="Calibri"/>
                <w:i/>
                <w:iCs/>
                <w:noProof/>
                <w:sz w:val="22"/>
              </w:rPr>
              <w:t>et al.</w:t>
            </w:r>
            <w:r w:rsidRPr="00CA27FC">
              <w:rPr>
                <w:rFonts w:ascii="Calibri" w:hAnsi="Calibri" w:cs="Calibri"/>
                <w:noProof/>
                <w:sz w:val="22"/>
              </w:rPr>
              <w:t xml:space="preserve"> Significant reduction of red blood cell transfusion requirements by changing </w:t>
            </w:r>
            <w:r w:rsidRPr="00CA27FC">
              <w:rPr>
                <w:rFonts w:ascii="Calibri" w:hAnsi="Calibri" w:cs="Calibri"/>
                <w:noProof/>
                <w:sz w:val="22"/>
              </w:rPr>
              <w:lastRenderedPageBreak/>
              <w:t xml:space="preserve">from a double-unit to a single-unit transfusion policy in patients receiving intensive chemotherapy or stem cell transplantation. </w:t>
            </w:r>
            <w:r w:rsidRPr="00CA27FC">
              <w:rPr>
                <w:rFonts w:ascii="Calibri" w:hAnsi="Calibri" w:cs="Calibri"/>
                <w:i/>
                <w:iCs/>
                <w:noProof/>
                <w:sz w:val="22"/>
              </w:rPr>
              <w:t>haematologica</w:t>
            </w:r>
            <w:r w:rsidRPr="00CA27FC">
              <w:rPr>
                <w:rFonts w:ascii="Calibri" w:hAnsi="Calibri" w:cs="Calibri"/>
                <w:noProof/>
                <w:sz w:val="22"/>
              </w:rPr>
              <w:t xml:space="preserve"> </w:t>
            </w:r>
            <w:r w:rsidRPr="00CA27FC">
              <w:rPr>
                <w:rFonts w:ascii="Calibri" w:hAnsi="Calibri" w:cs="Calibri"/>
                <w:b/>
                <w:bCs/>
                <w:noProof/>
                <w:sz w:val="22"/>
              </w:rPr>
              <w:t>97</w:t>
            </w:r>
            <w:r w:rsidRPr="00CA27FC">
              <w:rPr>
                <w:rFonts w:ascii="Calibri" w:hAnsi="Calibri" w:cs="Calibri"/>
                <w:noProof/>
                <w:sz w:val="22"/>
              </w:rPr>
              <w:t>, 116–122 (2012).</w:t>
            </w:r>
          </w:p>
          <w:p w14:paraId="10D531D4"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8.</w:t>
            </w:r>
            <w:r w:rsidRPr="00CA27FC">
              <w:rPr>
                <w:rFonts w:ascii="Calibri" w:hAnsi="Calibri" w:cs="Calibri"/>
                <w:noProof/>
                <w:sz w:val="22"/>
              </w:rPr>
              <w:tab/>
              <w:t xml:space="preserve">Carson, J. L. Red blood cell transfusion: a clinical practice guideline from the AABB. </w:t>
            </w:r>
            <w:r w:rsidRPr="00CA27FC">
              <w:rPr>
                <w:rFonts w:ascii="Calibri" w:hAnsi="Calibri" w:cs="Calibri"/>
                <w:i/>
                <w:iCs/>
                <w:noProof/>
                <w:sz w:val="22"/>
              </w:rPr>
              <w:t>Annals of Internal Medicine</w:t>
            </w:r>
            <w:r w:rsidRPr="00CA27FC">
              <w:rPr>
                <w:rFonts w:ascii="Calibri" w:hAnsi="Calibri" w:cs="Calibri"/>
                <w:noProof/>
                <w:sz w:val="22"/>
              </w:rPr>
              <w:t xml:space="preserve"> </w:t>
            </w:r>
            <w:r w:rsidRPr="00CA27FC">
              <w:rPr>
                <w:rFonts w:ascii="Calibri" w:hAnsi="Calibri" w:cs="Calibri"/>
                <w:b/>
                <w:bCs/>
                <w:noProof/>
                <w:sz w:val="22"/>
              </w:rPr>
              <w:t>157</w:t>
            </w:r>
            <w:r w:rsidRPr="00CA27FC">
              <w:rPr>
                <w:rFonts w:ascii="Calibri" w:hAnsi="Calibri" w:cs="Calibri"/>
                <w:noProof/>
                <w:sz w:val="22"/>
              </w:rPr>
              <w:t>, 49–58 (2012).</w:t>
            </w:r>
          </w:p>
          <w:p w14:paraId="5DE53B60"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9.</w:t>
            </w:r>
            <w:r w:rsidRPr="00CA27FC">
              <w:rPr>
                <w:rFonts w:ascii="Calibri" w:hAnsi="Calibri" w:cs="Calibri"/>
                <w:noProof/>
                <w:sz w:val="22"/>
              </w:rPr>
              <w:tab/>
              <w:t xml:space="preserve">Rossi, E. C. Anaemia and Red cell Transfusion. </w:t>
            </w:r>
            <w:r w:rsidRPr="00CA27FC">
              <w:rPr>
                <w:rFonts w:ascii="Calibri" w:hAnsi="Calibri" w:cs="Calibri"/>
                <w:i/>
                <w:iCs/>
                <w:noProof/>
                <w:sz w:val="22"/>
              </w:rPr>
              <w:t>Principles of Transfusion Medicine, Second edition</w:t>
            </w:r>
            <w:r w:rsidRPr="00CA27FC">
              <w:rPr>
                <w:rFonts w:ascii="Calibri" w:hAnsi="Calibri" w:cs="Calibri"/>
                <w:noProof/>
                <w:sz w:val="22"/>
              </w:rPr>
              <w:t xml:space="preserve"> </w:t>
            </w:r>
            <w:r w:rsidRPr="00CA27FC">
              <w:rPr>
                <w:rFonts w:ascii="Calibri" w:hAnsi="Calibri" w:cs="Calibri"/>
                <w:b/>
                <w:bCs/>
                <w:noProof/>
                <w:sz w:val="22"/>
              </w:rPr>
              <w:t>1</w:t>
            </w:r>
            <w:r w:rsidRPr="00CA27FC">
              <w:rPr>
                <w:rFonts w:ascii="Calibri" w:hAnsi="Calibri" w:cs="Calibri"/>
                <w:noProof/>
                <w:sz w:val="22"/>
              </w:rPr>
              <w:t>, (1996).</w:t>
            </w:r>
          </w:p>
          <w:p w14:paraId="3E23B5E8"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10.</w:t>
            </w:r>
            <w:r w:rsidRPr="00CA27FC">
              <w:rPr>
                <w:rFonts w:ascii="Calibri" w:hAnsi="Calibri" w:cs="Calibri"/>
                <w:noProof/>
                <w:sz w:val="22"/>
              </w:rPr>
              <w:tab/>
              <w:t xml:space="preserve">Shander, A. A new perspective on best transfusion practices. </w:t>
            </w:r>
            <w:r w:rsidRPr="00CA27FC">
              <w:rPr>
                <w:rFonts w:ascii="Calibri" w:hAnsi="Calibri" w:cs="Calibri"/>
                <w:i/>
                <w:iCs/>
                <w:noProof/>
                <w:sz w:val="22"/>
              </w:rPr>
              <w:t>Review Blood Transfus</w:t>
            </w:r>
            <w:r w:rsidRPr="00CA27FC">
              <w:rPr>
                <w:rFonts w:ascii="Calibri" w:hAnsi="Calibri" w:cs="Calibri"/>
                <w:noProof/>
                <w:sz w:val="22"/>
              </w:rPr>
              <w:t xml:space="preserve"> </w:t>
            </w:r>
            <w:r w:rsidRPr="00CA27FC">
              <w:rPr>
                <w:rFonts w:ascii="Calibri" w:hAnsi="Calibri" w:cs="Calibri"/>
                <w:b/>
                <w:bCs/>
                <w:noProof/>
                <w:sz w:val="22"/>
              </w:rPr>
              <w:t>1</w:t>
            </w:r>
            <w:r w:rsidRPr="00CA27FC">
              <w:rPr>
                <w:rFonts w:ascii="Calibri" w:hAnsi="Calibri" w:cs="Calibri"/>
                <w:noProof/>
                <w:sz w:val="22"/>
              </w:rPr>
              <w:t>, (2012).</w:t>
            </w:r>
          </w:p>
          <w:p w14:paraId="7B064B90"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11.</w:t>
            </w:r>
            <w:r w:rsidRPr="00CA27FC">
              <w:rPr>
                <w:rFonts w:ascii="Calibri" w:hAnsi="Calibri" w:cs="Calibri"/>
                <w:noProof/>
                <w:sz w:val="22"/>
              </w:rPr>
              <w:tab/>
              <w:t xml:space="preserve">National Blood Authority </w:t>
            </w:r>
            <w:r w:rsidRPr="00CA27FC">
              <w:rPr>
                <w:rFonts w:ascii="Calibri" w:hAnsi="Calibri" w:cs="Calibri"/>
                <w:i/>
                <w:iCs/>
                <w:noProof/>
                <w:sz w:val="22"/>
              </w:rPr>
              <w:t>Patient Blood Management Guidelines: Module 1 - Critical Bleeding / Massive Transfusion</w:t>
            </w:r>
            <w:r w:rsidRPr="00CA27FC">
              <w:rPr>
                <w:rFonts w:ascii="Calibri" w:hAnsi="Calibri" w:cs="Calibri"/>
                <w:noProof/>
                <w:sz w:val="22"/>
              </w:rPr>
              <w:t>. (Canberra, Australia, 2011).at &lt;</w:t>
            </w:r>
            <w:hyperlink r:id="rId17" w:history="1">
              <w:r w:rsidRPr="00CA27FC">
                <w:rPr>
                  <w:rStyle w:val="Hyperlink"/>
                  <w:rFonts w:ascii="Calibri" w:hAnsi="Calibri" w:cs="Calibri"/>
                  <w:noProof/>
                  <w:sz w:val="22"/>
                </w:rPr>
                <w:t>http://www.blood.gov.au/pbm-guidelines</w:t>
              </w:r>
            </w:hyperlink>
            <w:r w:rsidRPr="00CA27FC">
              <w:rPr>
                <w:rFonts w:ascii="Calibri" w:hAnsi="Calibri" w:cs="Calibri"/>
                <w:noProof/>
                <w:sz w:val="22"/>
              </w:rPr>
              <w:t>&gt;</w:t>
            </w:r>
          </w:p>
          <w:p w14:paraId="3B8DBBB0"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12.</w:t>
            </w:r>
            <w:r w:rsidRPr="00CA27FC">
              <w:rPr>
                <w:rFonts w:ascii="Calibri" w:hAnsi="Calibri" w:cs="Calibri"/>
                <w:noProof/>
                <w:sz w:val="22"/>
              </w:rPr>
              <w:tab/>
              <w:t xml:space="preserve">Koch CG  Duncan AI et al, L. L. Morbidity and mortality risk associated with red blood cell and blood-component transfusion in isolated coronary artery bypass grafting. </w:t>
            </w:r>
            <w:r w:rsidRPr="00CA27FC">
              <w:rPr>
                <w:rFonts w:ascii="Calibri" w:hAnsi="Calibri" w:cs="Calibri"/>
                <w:i/>
                <w:iCs/>
                <w:noProof/>
                <w:sz w:val="22"/>
              </w:rPr>
              <w:t>Crit Care Med 2006</w:t>
            </w:r>
            <w:r w:rsidRPr="00CA27FC">
              <w:rPr>
                <w:rFonts w:ascii="Calibri" w:hAnsi="Calibri" w:cs="Calibri"/>
                <w:noProof/>
                <w:sz w:val="22"/>
              </w:rPr>
              <w:t xml:space="preserve"> </w:t>
            </w:r>
            <w:r w:rsidRPr="00CA27FC">
              <w:rPr>
                <w:rFonts w:ascii="Calibri" w:hAnsi="Calibri" w:cs="Calibri"/>
                <w:b/>
                <w:bCs/>
                <w:noProof/>
                <w:sz w:val="22"/>
              </w:rPr>
              <w:t>34</w:t>
            </w:r>
            <w:r w:rsidRPr="00CA27FC">
              <w:rPr>
                <w:rFonts w:ascii="Calibri" w:hAnsi="Calibri" w:cs="Calibri"/>
                <w:noProof/>
                <w:sz w:val="22"/>
              </w:rPr>
              <w:t>, 1608–1616 (2006).</w:t>
            </w:r>
          </w:p>
          <w:p w14:paraId="476629D3"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13.</w:t>
            </w:r>
            <w:r w:rsidRPr="00CA27FC">
              <w:rPr>
                <w:rFonts w:ascii="Calibri" w:hAnsi="Calibri" w:cs="Calibri"/>
                <w:noProof/>
                <w:sz w:val="22"/>
              </w:rPr>
              <w:tab/>
              <w:t xml:space="preserve">Hajjar LA Vincent JL et al. Transfusion requirements after cardiac surgery: the TRACS randomised controlled trial. </w:t>
            </w:r>
            <w:r w:rsidRPr="00CA27FC">
              <w:rPr>
                <w:rFonts w:ascii="Calibri" w:hAnsi="Calibri" w:cs="Calibri"/>
                <w:i/>
                <w:iCs/>
                <w:noProof/>
                <w:sz w:val="22"/>
              </w:rPr>
              <w:t>JAMA - Journal of the American Medical Association</w:t>
            </w:r>
            <w:r w:rsidRPr="00CA27FC">
              <w:rPr>
                <w:rFonts w:ascii="Calibri" w:hAnsi="Calibri" w:cs="Calibri"/>
                <w:noProof/>
                <w:sz w:val="22"/>
              </w:rPr>
              <w:t xml:space="preserve"> </w:t>
            </w:r>
            <w:r w:rsidRPr="00CA27FC">
              <w:rPr>
                <w:rFonts w:ascii="Calibri" w:hAnsi="Calibri" w:cs="Calibri"/>
                <w:b/>
                <w:bCs/>
                <w:noProof/>
                <w:sz w:val="22"/>
              </w:rPr>
              <w:t>304</w:t>
            </w:r>
            <w:r w:rsidRPr="00CA27FC">
              <w:rPr>
                <w:rFonts w:ascii="Calibri" w:hAnsi="Calibri" w:cs="Calibri"/>
                <w:noProof/>
                <w:sz w:val="22"/>
              </w:rPr>
              <w:t>, 304:1559–1567</w:t>
            </w:r>
          </w:p>
          <w:p w14:paraId="355F6A28"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14.</w:t>
            </w:r>
            <w:r w:rsidRPr="00CA27FC">
              <w:rPr>
                <w:rFonts w:ascii="Calibri" w:hAnsi="Calibri" w:cs="Calibri"/>
                <w:noProof/>
                <w:sz w:val="22"/>
              </w:rPr>
              <w:tab/>
              <w:t xml:space="preserve">Australian Commission on Safety and Quality in Healthcare </w:t>
            </w:r>
            <w:r w:rsidRPr="00CA27FC">
              <w:rPr>
                <w:rFonts w:ascii="Calibri" w:hAnsi="Calibri" w:cs="Calibri"/>
                <w:i/>
                <w:iCs/>
                <w:noProof/>
                <w:sz w:val="22"/>
              </w:rPr>
              <w:t>Safety and Quality Improvement Guide Standard 7: Blood and Blood Products</w:t>
            </w:r>
            <w:r w:rsidRPr="00CA27FC">
              <w:rPr>
                <w:rFonts w:ascii="Calibri" w:hAnsi="Calibri" w:cs="Calibri"/>
                <w:noProof/>
                <w:sz w:val="22"/>
              </w:rPr>
              <w:t xml:space="preserve">. </w:t>
            </w:r>
            <w:r w:rsidRPr="00CA27FC">
              <w:rPr>
                <w:rFonts w:ascii="Calibri" w:hAnsi="Calibri" w:cs="Calibri"/>
                <w:i/>
                <w:iCs/>
                <w:noProof/>
                <w:sz w:val="22"/>
              </w:rPr>
              <w:t>ACSQHC</w:t>
            </w:r>
            <w:r w:rsidRPr="00CA27FC">
              <w:rPr>
                <w:rFonts w:ascii="Calibri" w:hAnsi="Calibri" w:cs="Calibri"/>
                <w:noProof/>
                <w:sz w:val="22"/>
              </w:rPr>
              <w:t xml:space="preserve"> (2012).at &lt;</w:t>
            </w:r>
            <w:hyperlink r:id="rId18" w:history="1">
              <w:r w:rsidRPr="00CA27FC">
                <w:rPr>
                  <w:rStyle w:val="Hyperlink"/>
                  <w:rFonts w:ascii="Calibri" w:hAnsi="Calibri" w:cs="Calibri"/>
                  <w:noProof/>
                  <w:sz w:val="22"/>
                </w:rPr>
                <w:t>http://www.safetyandquality.gov.au/wp-content/uploads/2012/10/Standard7_Oct_2012_WEB.pdf</w:t>
              </w:r>
            </w:hyperlink>
            <w:r w:rsidRPr="00CA27FC">
              <w:rPr>
                <w:rFonts w:ascii="Calibri" w:hAnsi="Calibri" w:cs="Calibri"/>
                <w:noProof/>
                <w:sz w:val="22"/>
              </w:rPr>
              <w:t>&gt;</w:t>
            </w:r>
          </w:p>
          <w:p w14:paraId="28784697"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15.</w:t>
            </w:r>
            <w:r w:rsidRPr="00CA27FC">
              <w:rPr>
                <w:rFonts w:ascii="Calibri" w:hAnsi="Calibri" w:cs="Calibri"/>
                <w:noProof/>
                <w:sz w:val="22"/>
              </w:rPr>
              <w:tab/>
              <w:t>The British Committee for Standards in Haematology Guidelines on the Administration of Blood Components. Addendum to Administration of Blood Components, August 2012. 1–4 (2012).at &lt;</w:t>
            </w:r>
            <w:hyperlink r:id="rId19" w:history="1">
              <w:r w:rsidRPr="00CA27FC">
                <w:rPr>
                  <w:rStyle w:val="Hyperlink"/>
                  <w:rFonts w:ascii="Calibri" w:hAnsi="Calibri" w:cs="Calibri"/>
                  <w:noProof/>
                  <w:sz w:val="22"/>
                </w:rPr>
                <w:t>http://www.bcshguidelines.com/documents/BCSH_Blood_Admin_-_addendum_August_2012.pdf</w:t>
              </w:r>
            </w:hyperlink>
            <w:r w:rsidRPr="00CA27FC">
              <w:rPr>
                <w:rFonts w:ascii="Calibri" w:hAnsi="Calibri" w:cs="Calibri"/>
                <w:noProof/>
                <w:sz w:val="22"/>
              </w:rPr>
              <w:t xml:space="preserve"> &gt;</w:t>
            </w:r>
          </w:p>
          <w:p w14:paraId="2938E254"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16.</w:t>
            </w:r>
            <w:r w:rsidRPr="00CA27FC">
              <w:rPr>
                <w:rFonts w:ascii="Calibri" w:hAnsi="Calibri" w:cs="Calibri"/>
                <w:noProof/>
                <w:sz w:val="22"/>
              </w:rPr>
              <w:tab/>
              <w:t xml:space="preserve">Hofmann, A., Farmer, S. &amp; Shander, A. Five drivers shifting the paradigm from product-focused transfusion practice to patient blood management. </w:t>
            </w:r>
            <w:r w:rsidRPr="00CA27FC">
              <w:rPr>
                <w:rFonts w:ascii="Calibri" w:hAnsi="Calibri" w:cs="Calibri"/>
                <w:i/>
                <w:iCs/>
                <w:noProof/>
                <w:sz w:val="22"/>
              </w:rPr>
              <w:t>The oncologist</w:t>
            </w:r>
            <w:r w:rsidRPr="00CA27FC">
              <w:rPr>
                <w:rFonts w:ascii="Calibri" w:hAnsi="Calibri" w:cs="Calibri"/>
                <w:noProof/>
                <w:sz w:val="22"/>
              </w:rPr>
              <w:t xml:space="preserve"> </w:t>
            </w:r>
            <w:r w:rsidRPr="00CA27FC">
              <w:rPr>
                <w:rFonts w:ascii="Calibri" w:hAnsi="Calibri" w:cs="Calibri"/>
                <w:b/>
                <w:bCs/>
                <w:noProof/>
                <w:sz w:val="22"/>
              </w:rPr>
              <w:t>16 Suppl 3</w:t>
            </w:r>
            <w:r w:rsidRPr="00CA27FC">
              <w:rPr>
                <w:rFonts w:ascii="Calibri" w:hAnsi="Calibri" w:cs="Calibri"/>
                <w:noProof/>
                <w:sz w:val="22"/>
              </w:rPr>
              <w:t>, 3–11 (2011).</w:t>
            </w:r>
          </w:p>
          <w:p w14:paraId="064F7155"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17.</w:t>
            </w:r>
            <w:r w:rsidRPr="00CA27FC">
              <w:rPr>
                <w:rFonts w:ascii="Calibri" w:hAnsi="Calibri" w:cs="Calibri"/>
                <w:noProof/>
                <w:sz w:val="22"/>
              </w:rPr>
              <w:tab/>
              <w:t xml:space="preserve">Pasricha, S.-R. </w:t>
            </w:r>
            <w:r w:rsidRPr="00CA27FC">
              <w:rPr>
                <w:rFonts w:ascii="Calibri" w:hAnsi="Calibri" w:cs="Calibri"/>
                <w:i/>
                <w:iCs/>
                <w:noProof/>
                <w:sz w:val="22"/>
              </w:rPr>
              <w:t>et al.</w:t>
            </w:r>
            <w:r w:rsidRPr="00CA27FC">
              <w:rPr>
                <w:rFonts w:ascii="Calibri" w:hAnsi="Calibri" w:cs="Calibri"/>
                <w:noProof/>
                <w:sz w:val="22"/>
              </w:rPr>
              <w:t xml:space="preserve"> Diagnosis and management of iron deficiency anaemia: a clinical update. </w:t>
            </w:r>
            <w:r w:rsidRPr="00CA27FC">
              <w:rPr>
                <w:rFonts w:ascii="Calibri" w:hAnsi="Calibri" w:cs="Calibri"/>
                <w:i/>
                <w:iCs/>
                <w:noProof/>
                <w:sz w:val="22"/>
              </w:rPr>
              <w:t>Med J Aust</w:t>
            </w:r>
            <w:r w:rsidRPr="00CA27FC">
              <w:rPr>
                <w:rFonts w:ascii="Calibri" w:hAnsi="Calibri" w:cs="Calibri"/>
                <w:noProof/>
                <w:sz w:val="22"/>
              </w:rPr>
              <w:t xml:space="preserve"> </w:t>
            </w:r>
            <w:r w:rsidRPr="00CA27FC">
              <w:rPr>
                <w:rFonts w:ascii="Calibri" w:hAnsi="Calibri" w:cs="Calibri"/>
                <w:b/>
                <w:bCs/>
                <w:noProof/>
                <w:sz w:val="22"/>
              </w:rPr>
              <w:t>198</w:t>
            </w:r>
            <w:r w:rsidRPr="00CA27FC">
              <w:rPr>
                <w:rFonts w:ascii="Calibri" w:hAnsi="Calibri" w:cs="Calibri"/>
                <w:noProof/>
                <w:sz w:val="22"/>
              </w:rPr>
              <w:t>, 525–532 (2010).</w:t>
            </w:r>
          </w:p>
          <w:p w14:paraId="30BB81ED"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18.</w:t>
            </w:r>
            <w:r w:rsidRPr="00CA27FC">
              <w:rPr>
                <w:rFonts w:ascii="Calibri" w:hAnsi="Calibri" w:cs="Calibri"/>
                <w:noProof/>
                <w:sz w:val="22"/>
              </w:rPr>
              <w:tab/>
              <w:t>Western Australia Government Single Unit Rule: A Quick Start Guide to Transfusion Reduction. (2012).at &lt;</w:t>
            </w:r>
            <w:hyperlink r:id="rId20" w:history="1">
              <w:r w:rsidRPr="00CA27FC">
                <w:rPr>
                  <w:rStyle w:val="Hyperlink"/>
                  <w:rFonts w:ascii="Calibri" w:hAnsi="Calibri" w:cs="Calibri"/>
                  <w:noProof/>
                  <w:sz w:val="22"/>
                </w:rPr>
                <w:t>http://www.health.wa.gov.au/bloodmanagement/docs/Single Unit Rule.pdf</w:t>
              </w:r>
            </w:hyperlink>
            <w:r w:rsidRPr="00CA27FC">
              <w:rPr>
                <w:rFonts w:ascii="Calibri" w:hAnsi="Calibri" w:cs="Calibri"/>
                <w:noProof/>
                <w:sz w:val="22"/>
              </w:rPr>
              <w:t>&gt;</w:t>
            </w:r>
          </w:p>
          <w:p w14:paraId="247435D8"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19.</w:t>
            </w:r>
            <w:r w:rsidRPr="00CA27FC">
              <w:rPr>
                <w:rFonts w:ascii="Calibri" w:hAnsi="Calibri" w:cs="Calibri"/>
                <w:noProof/>
                <w:sz w:val="22"/>
              </w:rPr>
              <w:tab/>
              <w:t xml:space="preserve">Australian Red Cross blood Service iTransfuseFact Sheet, all about blood: Single Unit Red Blood Cell Transfusion. </w:t>
            </w:r>
            <w:r w:rsidRPr="00CA27FC">
              <w:rPr>
                <w:rFonts w:ascii="Calibri" w:hAnsi="Calibri" w:cs="Calibri"/>
                <w:i/>
                <w:iCs/>
                <w:noProof/>
                <w:sz w:val="22"/>
              </w:rPr>
              <w:t>iTransfuse Fact Sheet</w:t>
            </w:r>
            <w:r w:rsidRPr="00CA27FC">
              <w:rPr>
                <w:rFonts w:ascii="Calibri" w:hAnsi="Calibri" w:cs="Calibri"/>
                <w:noProof/>
                <w:sz w:val="22"/>
              </w:rPr>
              <w:t xml:space="preserve"> 1 (2012).at &lt;</w:t>
            </w:r>
            <w:hyperlink r:id="rId21" w:history="1">
              <w:r w:rsidRPr="00CA27FC">
                <w:rPr>
                  <w:rStyle w:val="Hyperlink"/>
                  <w:rFonts w:ascii="Calibri" w:hAnsi="Calibri" w:cs="Calibri"/>
                  <w:noProof/>
                  <w:sz w:val="22"/>
                </w:rPr>
                <w:t>http://www.transfusion.com.au/sites/default/files/iTransfuse-FS-Vol4No9-Single-unit-red-blood-cell-transfusion-Published_0.pdf</w:t>
              </w:r>
            </w:hyperlink>
            <w:r w:rsidRPr="00CA27FC">
              <w:rPr>
                <w:rFonts w:ascii="Calibri" w:hAnsi="Calibri" w:cs="Calibri"/>
                <w:noProof/>
                <w:sz w:val="22"/>
              </w:rPr>
              <w:t xml:space="preserve"> &gt;</w:t>
            </w:r>
          </w:p>
          <w:p w14:paraId="194263A8" w14:textId="77777777" w:rsidR="00CA27FC" w:rsidRPr="00CA27FC" w:rsidRDefault="00CA27FC">
            <w:pPr>
              <w:pStyle w:val="NormalWeb"/>
              <w:ind w:left="640" w:hanging="640"/>
              <w:divId w:val="174423845"/>
              <w:rPr>
                <w:rFonts w:ascii="Calibri" w:hAnsi="Calibri" w:cs="Calibri"/>
                <w:noProof/>
                <w:sz w:val="22"/>
              </w:rPr>
            </w:pPr>
            <w:r w:rsidRPr="00CA27FC">
              <w:rPr>
                <w:rFonts w:ascii="Calibri" w:hAnsi="Calibri" w:cs="Calibri"/>
                <w:noProof/>
                <w:sz w:val="22"/>
              </w:rPr>
              <w:t>20.</w:t>
            </w:r>
            <w:r w:rsidRPr="00CA27FC">
              <w:rPr>
                <w:rFonts w:ascii="Calibri" w:hAnsi="Calibri" w:cs="Calibri"/>
                <w:noProof/>
                <w:sz w:val="22"/>
              </w:rPr>
              <w:tab/>
              <w:t xml:space="preserve">Australian Red Cross Blood Service iTransfuse Fact Sheet, all about blood: I need to know about Patient Blood Management. </w:t>
            </w:r>
            <w:r w:rsidRPr="00CA27FC">
              <w:rPr>
                <w:rFonts w:ascii="Calibri" w:hAnsi="Calibri" w:cs="Calibri"/>
                <w:i/>
                <w:iCs/>
                <w:noProof/>
                <w:sz w:val="22"/>
              </w:rPr>
              <w:t>iTransfuse Fact Sheet</w:t>
            </w:r>
            <w:r w:rsidRPr="00CA27FC">
              <w:rPr>
                <w:rFonts w:ascii="Calibri" w:hAnsi="Calibri" w:cs="Calibri"/>
                <w:noProof/>
                <w:sz w:val="22"/>
              </w:rPr>
              <w:t xml:space="preserve"> 1 (2012).at &lt;</w:t>
            </w:r>
            <w:hyperlink r:id="rId22" w:history="1">
              <w:r w:rsidRPr="00CA27FC">
                <w:rPr>
                  <w:rStyle w:val="Hyperlink"/>
                  <w:rFonts w:ascii="Calibri" w:hAnsi="Calibri" w:cs="Calibri"/>
                  <w:noProof/>
                  <w:sz w:val="22"/>
                </w:rPr>
                <w:t>http://www.transfusion.com.au/sites/default/files/iTransfuse-FS-Vol4No3-I-Need-To-Know-About-Patient-Blood-Management-Published.pdf</w:t>
              </w:r>
            </w:hyperlink>
            <w:r w:rsidRPr="00CA27FC">
              <w:rPr>
                <w:rFonts w:ascii="Calibri" w:hAnsi="Calibri" w:cs="Calibri"/>
                <w:noProof/>
                <w:sz w:val="22"/>
              </w:rPr>
              <w:t xml:space="preserve">&gt; </w:t>
            </w:r>
          </w:p>
          <w:p w14:paraId="22F5E2C0" w14:textId="77777777" w:rsidR="00B7591C" w:rsidRPr="008C4D33" w:rsidRDefault="0091670C" w:rsidP="00CA27FC">
            <w:pPr>
              <w:pStyle w:val="NormalWeb"/>
              <w:ind w:left="640" w:hanging="640"/>
              <w:divId w:val="1016888112"/>
              <w:rPr>
                <w:rFonts w:ascii="Calibri" w:hAnsi="Calibri" w:cs="Calibri"/>
                <w:b/>
                <w:sz w:val="22"/>
                <w:szCs w:val="22"/>
              </w:rPr>
            </w:pPr>
            <w:r>
              <w:rPr>
                <w:rFonts w:ascii="Calibri" w:eastAsia="Calibri" w:hAnsi="Calibri" w:cs="Calibri"/>
                <w:sz w:val="22"/>
                <w:szCs w:val="22"/>
                <w:lang w:eastAsia="en-US"/>
              </w:rPr>
              <w:fldChar w:fldCharType="end"/>
            </w:r>
          </w:p>
        </w:tc>
      </w:tr>
    </w:tbl>
    <w:p w14:paraId="3A35C78B" w14:textId="77777777" w:rsidR="00B81665" w:rsidRPr="0090653A" w:rsidRDefault="0090653A" w:rsidP="00673EC4">
      <w:pPr>
        <w:spacing w:before="120" w:after="120"/>
        <w:jc w:val="right"/>
        <w:rPr>
          <w:rFonts w:ascii="Arial" w:hAnsi="Arial" w:cs="Arial"/>
          <w:i/>
          <w:sz w:val="20"/>
          <w:szCs w:val="20"/>
        </w:rPr>
      </w:pPr>
      <w:r>
        <w:rPr>
          <w:rStyle w:val="HTMLCite"/>
          <w:rFonts w:ascii="Arial" w:hAnsi="Arial" w:cs="Arial"/>
          <w:i w:val="0"/>
          <w:sz w:val="20"/>
          <w:szCs w:val="20"/>
        </w:rPr>
        <w:lastRenderedPageBreak/>
        <w:t xml:space="preserve"> </w:t>
      </w:r>
    </w:p>
    <w:sectPr w:rsidR="00B81665" w:rsidRPr="0090653A" w:rsidSect="00E81E0D">
      <w:footnotePr>
        <w:numFmt w:val="lowerLetter"/>
      </w:footnotePr>
      <w:type w:val="continuous"/>
      <w:pgSz w:w="11906" w:h="16838" w:code="9"/>
      <w:pgMar w:top="851" w:right="1134" w:bottom="567" w:left="1134" w:header="28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B4B8A" w14:textId="77777777" w:rsidR="00993522" w:rsidRDefault="00993522">
      <w:r>
        <w:separator/>
      </w:r>
    </w:p>
  </w:endnote>
  <w:endnote w:type="continuationSeparator" w:id="0">
    <w:p w14:paraId="10FD99F8" w14:textId="77777777" w:rsidR="00993522" w:rsidRDefault="0099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FB76" w14:textId="77777777" w:rsidR="008552BB" w:rsidRPr="005366EB" w:rsidRDefault="008552BB" w:rsidP="008552BB">
    <w:pPr>
      <w:pStyle w:val="Footer"/>
      <w:tabs>
        <w:tab w:val="clear" w:pos="4153"/>
        <w:tab w:val="clear" w:pos="8306"/>
        <w:tab w:val="center" w:pos="5387"/>
      </w:tabs>
      <w:rPr>
        <w:rFonts w:ascii="Arial" w:hAnsi="Arial" w:cs="Arial"/>
        <w:sz w:val="20"/>
        <w:szCs w:val="20"/>
      </w:rPr>
    </w:pPr>
    <w:r w:rsidRPr="005366EB">
      <w:rPr>
        <w:rFonts w:ascii="Arial" w:hAnsi="Arial" w:cs="Arial"/>
        <w:sz w:val="20"/>
        <w:szCs w:val="20"/>
      </w:rPr>
      <w:t xml:space="preserve">Version Number </w:t>
    </w:r>
    <w:r w:rsidRPr="005366EB">
      <w:rPr>
        <w:rFonts w:ascii="Arial" w:hAnsi="Arial" w:cs="Arial"/>
        <w:sz w:val="20"/>
        <w:szCs w:val="20"/>
      </w:rPr>
      <w:tab/>
    </w:r>
    <w:r>
      <w:rPr>
        <w:rFonts w:ascii="Arial" w:hAnsi="Arial" w:cs="Arial"/>
        <w:sz w:val="20"/>
        <w:szCs w:val="20"/>
      </w:rPr>
      <w:tab/>
    </w:r>
    <w:r>
      <w:rPr>
        <w:rFonts w:ascii="Arial" w:hAnsi="Arial" w:cs="Arial"/>
        <w:sz w:val="20"/>
        <w:szCs w:val="20"/>
      </w:rPr>
      <w:tab/>
    </w:r>
    <w:r w:rsidRPr="005366EB">
      <w:rPr>
        <w:rFonts w:ascii="Arial" w:hAnsi="Arial" w:cs="Arial"/>
        <w:sz w:val="20"/>
        <w:szCs w:val="20"/>
      </w:rPr>
      <w:t>Month and Year</w:t>
    </w:r>
    <w:r w:rsidRPr="005366EB">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5366EB">
      <w:rPr>
        <w:rFonts w:ascii="Arial" w:hAnsi="Arial" w:cs="Arial"/>
        <w:sz w:val="20"/>
        <w:szCs w:val="20"/>
      </w:rPr>
      <w:t xml:space="preserve">Page </w:t>
    </w:r>
    <w:r w:rsidRPr="005366EB">
      <w:rPr>
        <w:rStyle w:val="PageNumber"/>
        <w:rFonts w:ascii="Arial" w:hAnsi="Arial" w:cs="Arial"/>
        <w:sz w:val="20"/>
        <w:szCs w:val="20"/>
      </w:rPr>
      <w:fldChar w:fldCharType="begin"/>
    </w:r>
    <w:r w:rsidRPr="005366EB">
      <w:rPr>
        <w:rStyle w:val="PageNumber"/>
        <w:rFonts w:ascii="Arial" w:hAnsi="Arial" w:cs="Arial"/>
        <w:sz w:val="20"/>
        <w:szCs w:val="20"/>
      </w:rPr>
      <w:instrText xml:space="preserve"> PAGE </w:instrText>
    </w:r>
    <w:r w:rsidRPr="005366EB">
      <w:rPr>
        <w:rStyle w:val="PageNumber"/>
        <w:rFonts w:ascii="Arial" w:hAnsi="Arial" w:cs="Arial"/>
        <w:sz w:val="20"/>
        <w:szCs w:val="20"/>
      </w:rPr>
      <w:fldChar w:fldCharType="separate"/>
    </w:r>
    <w:r w:rsidR="007A15B3">
      <w:rPr>
        <w:rStyle w:val="PageNumber"/>
        <w:rFonts w:ascii="Arial" w:hAnsi="Arial" w:cs="Arial"/>
        <w:noProof/>
        <w:sz w:val="20"/>
        <w:szCs w:val="20"/>
      </w:rPr>
      <w:t>1</w:t>
    </w:r>
    <w:r w:rsidRPr="005366EB">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FF8E" w14:textId="77777777" w:rsidR="00993522" w:rsidRDefault="00993522">
      <w:r>
        <w:separator/>
      </w:r>
    </w:p>
  </w:footnote>
  <w:footnote w:type="continuationSeparator" w:id="0">
    <w:p w14:paraId="2D7F2453" w14:textId="77777777" w:rsidR="00993522" w:rsidRDefault="00993522">
      <w:r>
        <w:continuationSeparator/>
      </w:r>
    </w:p>
  </w:footnote>
  <w:footnote w:id="1">
    <w:p w14:paraId="645477B9" w14:textId="77777777" w:rsidR="00E81E0D" w:rsidRDefault="00E81E0D">
      <w:pPr>
        <w:pStyle w:val="FootnoteText"/>
      </w:pPr>
      <w:r>
        <w:rPr>
          <w:rStyle w:val="FootnoteReference"/>
        </w:rPr>
        <w:footnoteRef/>
      </w:r>
      <w:r>
        <w:t xml:space="preserve"> </w:t>
      </w:r>
      <w:r w:rsidRPr="0055422A">
        <w:rPr>
          <w:rFonts w:ascii="Calibri" w:hAnsi="Calibri" w:cs="Calibri"/>
          <w:sz w:val="18"/>
        </w:rPr>
        <w:t xml:space="preserve">Webert et al </w:t>
      </w:r>
      <w:r w:rsidRPr="0055422A">
        <w:rPr>
          <w:rFonts w:ascii="Calibri" w:hAnsi="Calibri" w:cs="Calibri"/>
          <w:i/>
          <w:sz w:val="18"/>
        </w:rPr>
        <w:t>Table 2 Examples of bleeding signs or symptoms and their classification</w:t>
      </w:r>
      <w:r w:rsidRPr="0055422A">
        <w:rPr>
          <w:rFonts w:ascii="Calibri" w:hAnsi="Calibri" w:cs="Calibri"/>
          <w:sz w:val="18"/>
        </w:rPr>
        <w:t>. Grade 2: Clinically Significant Bleeding – Grade 2(a) serious bleeding, Grade 2(b) serious bleeding with significant morbidity, Grade 2(c) fatal bleeding.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B304" w14:textId="77777777" w:rsidR="00B248AB" w:rsidRDefault="00B24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E788" w14:textId="77777777" w:rsidR="00BA46C5" w:rsidRPr="00BA46C5" w:rsidRDefault="00BA46C5">
    <w:pPr>
      <w:pStyle w:val="Header"/>
      <w:rPr>
        <w:rFonts w:ascii="Calibri" w:hAnsi="Calibri" w:cs="Calibri"/>
      </w:rPr>
    </w:pPr>
    <w:r w:rsidRPr="00BA46C5">
      <w:rPr>
        <w:rFonts w:ascii="Calibri" w:hAnsi="Calibri" w:cs="Calibri"/>
        <w:b/>
      </w:rPr>
      <w:t>Appendix 1:</w:t>
    </w:r>
    <w:r w:rsidRPr="00BA46C5">
      <w:rPr>
        <w:rFonts w:ascii="Calibri" w:hAnsi="Calibri" w:cs="Calibri"/>
      </w:rPr>
      <w:t xml:space="preserve"> </w:t>
    </w:r>
    <w:r w:rsidR="00117C32">
      <w:rPr>
        <w:rFonts w:ascii="Calibri" w:hAnsi="Calibri" w:cs="Calibri"/>
      </w:rPr>
      <w:t xml:space="preserve">Example </w:t>
    </w:r>
    <w:r w:rsidR="00117C32" w:rsidRPr="00BA46C5">
      <w:rPr>
        <w:rFonts w:ascii="Calibri" w:hAnsi="Calibri" w:cs="Calibri"/>
      </w:rPr>
      <w:t xml:space="preserve">Clinical Guideline Format </w:t>
    </w:r>
  </w:p>
  <w:p w14:paraId="63F81875" w14:textId="77777777" w:rsidR="00BA46C5" w:rsidRDefault="00BA4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153D" w14:textId="77777777" w:rsidR="00B248AB" w:rsidRDefault="00B24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97F"/>
    <w:multiLevelType w:val="hybridMultilevel"/>
    <w:tmpl w:val="3D38D9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7D7A5D"/>
    <w:multiLevelType w:val="hybridMultilevel"/>
    <w:tmpl w:val="2728809A"/>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 w15:restartNumberingAfterBreak="0">
    <w:nsid w:val="0A866803"/>
    <w:multiLevelType w:val="hybridMultilevel"/>
    <w:tmpl w:val="F80C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82B91"/>
    <w:multiLevelType w:val="hybridMultilevel"/>
    <w:tmpl w:val="45DC60A6"/>
    <w:lvl w:ilvl="0" w:tplc="5B5A0546">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D7487"/>
    <w:multiLevelType w:val="hybridMultilevel"/>
    <w:tmpl w:val="443E5A52"/>
    <w:lvl w:ilvl="0" w:tplc="7DEC47A2">
      <w:start w:val="1"/>
      <w:numFmt w:val="bullet"/>
      <w:lvlText w:val="•"/>
      <w:lvlJc w:val="left"/>
      <w:pPr>
        <w:tabs>
          <w:tab w:val="num" w:pos="720"/>
        </w:tabs>
        <w:ind w:left="720" w:hanging="360"/>
      </w:pPr>
      <w:rPr>
        <w:rFonts w:ascii="Arial" w:hAnsi="Arial" w:hint="default"/>
      </w:rPr>
    </w:lvl>
    <w:lvl w:ilvl="1" w:tplc="A19E93A4">
      <w:start w:val="1"/>
      <w:numFmt w:val="bullet"/>
      <w:lvlText w:val="•"/>
      <w:lvlJc w:val="left"/>
      <w:pPr>
        <w:tabs>
          <w:tab w:val="num" w:pos="1440"/>
        </w:tabs>
        <w:ind w:left="1440" w:hanging="360"/>
      </w:pPr>
      <w:rPr>
        <w:rFonts w:ascii="Arial" w:hAnsi="Arial" w:hint="default"/>
      </w:rPr>
    </w:lvl>
    <w:lvl w:ilvl="2" w:tplc="5DE0C888" w:tentative="1">
      <w:start w:val="1"/>
      <w:numFmt w:val="bullet"/>
      <w:lvlText w:val="•"/>
      <w:lvlJc w:val="left"/>
      <w:pPr>
        <w:tabs>
          <w:tab w:val="num" w:pos="2160"/>
        </w:tabs>
        <w:ind w:left="2160" w:hanging="360"/>
      </w:pPr>
      <w:rPr>
        <w:rFonts w:ascii="Arial" w:hAnsi="Arial" w:hint="default"/>
      </w:rPr>
    </w:lvl>
    <w:lvl w:ilvl="3" w:tplc="B9C8B7D2" w:tentative="1">
      <w:start w:val="1"/>
      <w:numFmt w:val="bullet"/>
      <w:lvlText w:val="•"/>
      <w:lvlJc w:val="left"/>
      <w:pPr>
        <w:tabs>
          <w:tab w:val="num" w:pos="2880"/>
        </w:tabs>
        <w:ind w:left="2880" w:hanging="360"/>
      </w:pPr>
      <w:rPr>
        <w:rFonts w:ascii="Arial" w:hAnsi="Arial" w:hint="default"/>
      </w:rPr>
    </w:lvl>
    <w:lvl w:ilvl="4" w:tplc="797C14A6" w:tentative="1">
      <w:start w:val="1"/>
      <w:numFmt w:val="bullet"/>
      <w:lvlText w:val="•"/>
      <w:lvlJc w:val="left"/>
      <w:pPr>
        <w:tabs>
          <w:tab w:val="num" w:pos="3600"/>
        </w:tabs>
        <w:ind w:left="3600" w:hanging="360"/>
      </w:pPr>
      <w:rPr>
        <w:rFonts w:ascii="Arial" w:hAnsi="Arial" w:hint="default"/>
      </w:rPr>
    </w:lvl>
    <w:lvl w:ilvl="5" w:tplc="7B9EF26A" w:tentative="1">
      <w:start w:val="1"/>
      <w:numFmt w:val="bullet"/>
      <w:lvlText w:val="•"/>
      <w:lvlJc w:val="left"/>
      <w:pPr>
        <w:tabs>
          <w:tab w:val="num" w:pos="4320"/>
        </w:tabs>
        <w:ind w:left="4320" w:hanging="360"/>
      </w:pPr>
      <w:rPr>
        <w:rFonts w:ascii="Arial" w:hAnsi="Arial" w:hint="default"/>
      </w:rPr>
    </w:lvl>
    <w:lvl w:ilvl="6" w:tplc="7F32385C" w:tentative="1">
      <w:start w:val="1"/>
      <w:numFmt w:val="bullet"/>
      <w:lvlText w:val="•"/>
      <w:lvlJc w:val="left"/>
      <w:pPr>
        <w:tabs>
          <w:tab w:val="num" w:pos="5040"/>
        </w:tabs>
        <w:ind w:left="5040" w:hanging="360"/>
      </w:pPr>
      <w:rPr>
        <w:rFonts w:ascii="Arial" w:hAnsi="Arial" w:hint="default"/>
      </w:rPr>
    </w:lvl>
    <w:lvl w:ilvl="7" w:tplc="AC6410EC" w:tentative="1">
      <w:start w:val="1"/>
      <w:numFmt w:val="bullet"/>
      <w:lvlText w:val="•"/>
      <w:lvlJc w:val="left"/>
      <w:pPr>
        <w:tabs>
          <w:tab w:val="num" w:pos="5760"/>
        </w:tabs>
        <w:ind w:left="5760" w:hanging="360"/>
      </w:pPr>
      <w:rPr>
        <w:rFonts w:ascii="Arial" w:hAnsi="Arial" w:hint="default"/>
      </w:rPr>
    </w:lvl>
    <w:lvl w:ilvl="8" w:tplc="A010EC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F94CD8"/>
    <w:multiLevelType w:val="hybridMultilevel"/>
    <w:tmpl w:val="883CEC60"/>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1EC4517"/>
    <w:multiLevelType w:val="hybridMultilevel"/>
    <w:tmpl w:val="BB3EAAB8"/>
    <w:lvl w:ilvl="0" w:tplc="0C09000F">
      <w:start w:val="1"/>
      <w:numFmt w:val="decimal"/>
      <w:lvlText w:val="%1."/>
      <w:lvlJc w:val="left"/>
      <w:pPr>
        <w:tabs>
          <w:tab w:val="num" w:pos="792"/>
        </w:tabs>
        <w:ind w:left="792" w:hanging="360"/>
      </w:pPr>
    </w:lvl>
    <w:lvl w:ilvl="1" w:tplc="0C090019" w:tentative="1">
      <w:start w:val="1"/>
      <w:numFmt w:val="lowerLetter"/>
      <w:lvlText w:val="%2."/>
      <w:lvlJc w:val="left"/>
      <w:pPr>
        <w:tabs>
          <w:tab w:val="num" w:pos="1512"/>
        </w:tabs>
        <w:ind w:left="1512" w:hanging="360"/>
      </w:pPr>
    </w:lvl>
    <w:lvl w:ilvl="2" w:tplc="0C09001B" w:tentative="1">
      <w:start w:val="1"/>
      <w:numFmt w:val="lowerRoman"/>
      <w:lvlText w:val="%3."/>
      <w:lvlJc w:val="right"/>
      <w:pPr>
        <w:tabs>
          <w:tab w:val="num" w:pos="2232"/>
        </w:tabs>
        <w:ind w:left="2232" w:hanging="180"/>
      </w:pPr>
    </w:lvl>
    <w:lvl w:ilvl="3" w:tplc="0C09000F" w:tentative="1">
      <w:start w:val="1"/>
      <w:numFmt w:val="decimal"/>
      <w:lvlText w:val="%4."/>
      <w:lvlJc w:val="left"/>
      <w:pPr>
        <w:tabs>
          <w:tab w:val="num" w:pos="2952"/>
        </w:tabs>
        <w:ind w:left="2952" w:hanging="360"/>
      </w:pPr>
    </w:lvl>
    <w:lvl w:ilvl="4" w:tplc="0C090019" w:tentative="1">
      <w:start w:val="1"/>
      <w:numFmt w:val="lowerLetter"/>
      <w:lvlText w:val="%5."/>
      <w:lvlJc w:val="left"/>
      <w:pPr>
        <w:tabs>
          <w:tab w:val="num" w:pos="3672"/>
        </w:tabs>
        <w:ind w:left="3672" w:hanging="360"/>
      </w:pPr>
    </w:lvl>
    <w:lvl w:ilvl="5" w:tplc="0C09001B" w:tentative="1">
      <w:start w:val="1"/>
      <w:numFmt w:val="lowerRoman"/>
      <w:lvlText w:val="%6."/>
      <w:lvlJc w:val="right"/>
      <w:pPr>
        <w:tabs>
          <w:tab w:val="num" w:pos="4392"/>
        </w:tabs>
        <w:ind w:left="4392" w:hanging="180"/>
      </w:pPr>
    </w:lvl>
    <w:lvl w:ilvl="6" w:tplc="0C09000F" w:tentative="1">
      <w:start w:val="1"/>
      <w:numFmt w:val="decimal"/>
      <w:lvlText w:val="%7."/>
      <w:lvlJc w:val="left"/>
      <w:pPr>
        <w:tabs>
          <w:tab w:val="num" w:pos="5112"/>
        </w:tabs>
        <w:ind w:left="5112" w:hanging="360"/>
      </w:pPr>
    </w:lvl>
    <w:lvl w:ilvl="7" w:tplc="0C090019" w:tentative="1">
      <w:start w:val="1"/>
      <w:numFmt w:val="lowerLetter"/>
      <w:lvlText w:val="%8."/>
      <w:lvlJc w:val="left"/>
      <w:pPr>
        <w:tabs>
          <w:tab w:val="num" w:pos="5832"/>
        </w:tabs>
        <w:ind w:left="5832" w:hanging="360"/>
      </w:pPr>
    </w:lvl>
    <w:lvl w:ilvl="8" w:tplc="0C09001B" w:tentative="1">
      <w:start w:val="1"/>
      <w:numFmt w:val="lowerRoman"/>
      <w:lvlText w:val="%9."/>
      <w:lvlJc w:val="right"/>
      <w:pPr>
        <w:tabs>
          <w:tab w:val="num" w:pos="6552"/>
        </w:tabs>
        <w:ind w:left="6552" w:hanging="180"/>
      </w:pPr>
    </w:lvl>
  </w:abstractNum>
  <w:abstractNum w:abstractNumId="7" w15:restartNumberingAfterBreak="0">
    <w:nsid w:val="16E17DC4"/>
    <w:multiLevelType w:val="hybridMultilevel"/>
    <w:tmpl w:val="2F6806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8025A7"/>
    <w:multiLevelType w:val="hybridMultilevel"/>
    <w:tmpl w:val="389E9358"/>
    <w:lvl w:ilvl="0" w:tplc="2116A5F2">
      <w:start w:val="1"/>
      <w:numFmt w:val="bullet"/>
      <w:lvlText w:val=""/>
      <w:lvlJc w:val="left"/>
      <w:pPr>
        <w:tabs>
          <w:tab w:val="num" w:pos="536"/>
        </w:tabs>
        <w:ind w:left="536"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578C4"/>
    <w:multiLevelType w:val="hybridMultilevel"/>
    <w:tmpl w:val="7C6487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D866370"/>
    <w:multiLevelType w:val="hybridMultilevel"/>
    <w:tmpl w:val="FA74EB5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4A22ED"/>
    <w:multiLevelType w:val="hybridMultilevel"/>
    <w:tmpl w:val="4C086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E723266"/>
    <w:multiLevelType w:val="hybridMultilevel"/>
    <w:tmpl w:val="7B6AF7D4"/>
    <w:lvl w:ilvl="0" w:tplc="5B5A0546">
      <w:numFmt w:val="bullet"/>
      <w:lvlText w:val="-"/>
      <w:lvlJc w:val="left"/>
      <w:pPr>
        <w:ind w:left="1080" w:hanging="360"/>
      </w:pPr>
      <w:rPr>
        <w:rFonts w:ascii="Calibri" w:eastAsia="Calibri" w:hAnsi="Calibri" w:cs="Calibri"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F28742B"/>
    <w:multiLevelType w:val="hybridMultilevel"/>
    <w:tmpl w:val="6F72CCDA"/>
    <w:lvl w:ilvl="0" w:tplc="6BC8340E">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1951095"/>
    <w:multiLevelType w:val="hybridMultilevel"/>
    <w:tmpl w:val="BDBA0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912E23"/>
    <w:multiLevelType w:val="hybridMultilevel"/>
    <w:tmpl w:val="747E9D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6C0502E"/>
    <w:multiLevelType w:val="hybridMultilevel"/>
    <w:tmpl w:val="577E10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66015F"/>
    <w:multiLevelType w:val="hybridMultilevel"/>
    <w:tmpl w:val="BB3EAAB8"/>
    <w:lvl w:ilvl="0" w:tplc="0C09000F">
      <w:start w:val="1"/>
      <w:numFmt w:val="decimal"/>
      <w:lvlText w:val="%1."/>
      <w:lvlJc w:val="left"/>
      <w:pPr>
        <w:tabs>
          <w:tab w:val="num" w:pos="792"/>
        </w:tabs>
        <w:ind w:left="792" w:hanging="360"/>
      </w:pPr>
    </w:lvl>
    <w:lvl w:ilvl="1" w:tplc="0C090019" w:tentative="1">
      <w:start w:val="1"/>
      <w:numFmt w:val="lowerLetter"/>
      <w:lvlText w:val="%2."/>
      <w:lvlJc w:val="left"/>
      <w:pPr>
        <w:tabs>
          <w:tab w:val="num" w:pos="1512"/>
        </w:tabs>
        <w:ind w:left="1512" w:hanging="360"/>
      </w:pPr>
    </w:lvl>
    <w:lvl w:ilvl="2" w:tplc="0C09001B" w:tentative="1">
      <w:start w:val="1"/>
      <w:numFmt w:val="lowerRoman"/>
      <w:lvlText w:val="%3."/>
      <w:lvlJc w:val="right"/>
      <w:pPr>
        <w:tabs>
          <w:tab w:val="num" w:pos="2232"/>
        </w:tabs>
        <w:ind w:left="2232" w:hanging="180"/>
      </w:pPr>
    </w:lvl>
    <w:lvl w:ilvl="3" w:tplc="0C09000F" w:tentative="1">
      <w:start w:val="1"/>
      <w:numFmt w:val="decimal"/>
      <w:lvlText w:val="%4."/>
      <w:lvlJc w:val="left"/>
      <w:pPr>
        <w:tabs>
          <w:tab w:val="num" w:pos="2952"/>
        </w:tabs>
        <w:ind w:left="2952" w:hanging="360"/>
      </w:pPr>
    </w:lvl>
    <w:lvl w:ilvl="4" w:tplc="0C090019" w:tentative="1">
      <w:start w:val="1"/>
      <w:numFmt w:val="lowerLetter"/>
      <w:lvlText w:val="%5."/>
      <w:lvlJc w:val="left"/>
      <w:pPr>
        <w:tabs>
          <w:tab w:val="num" w:pos="3672"/>
        </w:tabs>
        <w:ind w:left="3672" w:hanging="360"/>
      </w:pPr>
    </w:lvl>
    <w:lvl w:ilvl="5" w:tplc="0C09001B" w:tentative="1">
      <w:start w:val="1"/>
      <w:numFmt w:val="lowerRoman"/>
      <w:lvlText w:val="%6."/>
      <w:lvlJc w:val="right"/>
      <w:pPr>
        <w:tabs>
          <w:tab w:val="num" w:pos="4392"/>
        </w:tabs>
        <w:ind w:left="4392" w:hanging="180"/>
      </w:pPr>
    </w:lvl>
    <w:lvl w:ilvl="6" w:tplc="0C09000F" w:tentative="1">
      <w:start w:val="1"/>
      <w:numFmt w:val="decimal"/>
      <w:lvlText w:val="%7."/>
      <w:lvlJc w:val="left"/>
      <w:pPr>
        <w:tabs>
          <w:tab w:val="num" w:pos="5112"/>
        </w:tabs>
        <w:ind w:left="5112" w:hanging="360"/>
      </w:pPr>
    </w:lvl>
    <w:lvl w:ilvl="7" w:tplc="0C090019" w:tentative="1">
      <w:start w:val="1"/>
      <w:numFmt w:val="lowerLetter"/>
      <w:lvlText w:val="%8."/>
      <w:lvlJc w:val="left"/>
      <w:pPr>
        <w:tabs>
          <w:tab w:val="num" w:pos="5832"/>
        </w:tabs>
        <w:ind w:left="5832" w:hanging="360"/>
      </w:pPr>
    </w:lvl>
    <w:lvl w:ilvl="8" w:tplc="0C09001B" w:tentative="1">
      <w:start w:val="1"/>
      <w:numFmt w:val="lowerRoman"/>
      <w:lvlText w:val="%9."/>
      <w:lvlJc w:val="right"/>
      <w:pPr>
        <w:tabs>
          <w:tab w:val="num" w:pos="6552"/>
        </w:tabs>
        <w:ind w:left="6552" w:hanging="180"/>
      </w:pPr>
    </w:lvl>
  </w:abstractNum>
  <w:abstractNum w:abstractNumId="18" w15:restartNumberingAfterBreak="0">
    <w:nsid w:val="2B0C23DF"/>
    <w:multiLevelType w:val="multilevel"/>
    <w:tmpl w:val="D5A6C1F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C27E75"/>
    <w:multiLevelType w:val="hybridMultilevel"/>
    <w:tmpl w:val="4BF2F3E0"/>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413E20DE"/>
    <w:multiLevelType w:val="hybridMultilevel"/>
    <w:tmpl w:val="90E40896"/>
    <w:lvl w:ilvl="0" w:tplc="0C09000F">
      <w:start w:val="1"/>
      <w:numFmt w:val="decimal"/>
      <w:lvlText w:val="%1."/>
      <w:lvlJc w:val="left"/>
      <w:pPr>
        <w:ind w:left="0" w:hanging="360"/>
      </w:pPr>
    </w:lvl>
    <w:lvl w:ilvl="1" w:tplc="0C090019">
      <w:start w:val="1"/>
      <w:numFmt w:val="decimal"/>
      <w:lvlText w:val="%2."/>
      <w:lvlJc w:val="left"/>
      <w:pPr>
        <w:tabs>
          <w:tab w:val="num" w:pos="720"/>
        </w:tabs>
        <w:ind w:left="720" w:hanging="360"/>
      </w:pPr>
    </w:lvl>
    <w:lvl w:ilvl="2" w:tplc="0C09001B">
      <w:start w:val="1"/>
      <w:numFmt w:val="decimal"/>
      <w:lvlText w:val="%3."/>
      <w:lvlJc w:val="left"/>
      <w:pPr>
        <w:tabs>
          <w:tab w:val="num" w:pos="1440"/>
        </w:tabs>
        <w:ind w:left="1440" w:hanging="360"/>
      </w:pPr>
    </w:lvl>
    <w:lvl w:ilvl="3" w:tplc="0C09000F">
      <w:start w:val="1"/>
      <w:numFmt w:val="decimal"/>
      <w:lvlText w:val="%4."/>
      <w:lvlJc w:val="left"/>
      <w:pPr>
        <w:tabs>
          <w:tab w:val="num" w:pos="2160"/>
        </w:tabs>
        <w:ind w:left="2160" w:hanging="360"/>
      </w:pPr>
    </w:lvl>
    <w:lvl w:ilvl="4" w:tplc="0C090019">
      <w:start w:val="1"/>
      <w:numFmt w:val="decimal"/>
      <w:lvlText w:val="%5."/>
      <w:lvlJc w:val="left"/>
      <w:pPr>
        <w:tabs>
          <w:tab w:val="num" w:pos="2880"/>
        </w:tabs>
        <w:ind w:left="2880" w:hanging="360"/>
      </w:pPr>
    </w:lvl>
    <w:lvl w:ilvl="5" w:tplc="0C09001B">
      <w:start w:val="1"/>
      <w:numFmt w:val="decimal"/>
      <w:lvlText w:val="%6."/>
      <w:lvlJc w:val="left"/>
      <w:pPr>
        <w:tabs>
          <w:tab w:val="num" w:pos="3600"/>
        </w:tabs>
        <w:ind w:left="3600" w:hanging="360"/>
      </w:pPr>
    </w:lvl>
    <w:lvl w:ilvl="6" w:tplc="0C09000F">
      <w:start w:val="1"/>
      <w:numFmt w:val="decimal"/>
      <w:lvlText w:val="%7."/>
      <w:lvlJc w:val="left"/>
      <w:pPr>
        <w:tabs>
          <w:tab w:val="num" w:pos="4320"/>
        </w:tabs>
        <w:ind w:left="4320" w:hanging="360"/>
      </w:pPr>
    </w:lvl>
    <w:lvl w:ilvl="7" w:tplc="0C090019">
      <w:start w:val="1"/>
      <w:numFmt w:val="decimal"/>
      <w:lvlText w:val="%8."/>
      <w:lvlJc w:val="left"/>
      <w:pPr>
        <w:tabs>
          <w:tab w:val="num" w:pos="5040"/>
        </w:tabs>
        <w:ind w:left="5040" w:hanging="360"/>
      </w:pPr>
    </w:lvl>
    <w:lvl w:ilvl="8" w:tplc="0C09001B">
      <w:start w:val="1"/>
      <w:numFmt w:val="decimal"/>
      <w:lvlText w:val="%9."/>
      <w:lvlJc w:val="left"/>
      <w:pPr>
        <w:tabs>
          <w:tab w:val="num" w:pos="5760"/>
        </w:tabs>
        <w:ind w:left="5760" w:hanging="360"/>
      </w:pPr>
    </w:lvl>
  </w:abstractNum>
  <w:abstractNum w:abstractNumId="21" w15:restartNumberingAfterBreak="0">
    <w:nsid w:val="426C7968"/>
    <w:multiLevelType w:val="hybridMultilevel"/>
    <w:tmpl w:val="FFB8F0B0"/>
    <w:lvl w:ilvl="0" w:tplc="690AFADA">
      <w:start w:val="1"/>
      <w:numFmt w:val="decimal"/>
      <w:lvlText w:val="%1."/>
      <w:lvlJc w:val="left"/>
      <w:pPr>
        <w:ind w:left="720" w:hanging="360"/>
      </w:pPr>
      <w:rPr>
        <w:color w:va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AE4517F"/>
    <w:multiLevelType w:val="hybridMultilevel"/>
    <w:tmpl w:val="FFF2A8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B122573"/>
    <w:multiLevelType w:val="hybridMultilevel"/>
    <w:tmpl w:val="CE7CEB32"/>
    <w:lvl w:ilvl="0" w:tplc="69041718">
      <w:start w:val="1"/>
      <w:numFmt w:val="bullet"/>
      <w:lvlText w:val=""/>
      <w:lvlJc w:val="left"/>
      <w:pPr>
        <w:tabs>
          <w:tab w:val="num" w:pos="720"/>
        </w:tabs>
        <w:ind w:left="720" w:hanging="360"/>
      </w:pPr>
      <w:rPr>
        <w:rFonts w:ascii="Wingdings" w:hAnsi="Wingdings" w:hint="default"/>
      </w:rPr>
    </w:lvl>
    <w:lvl w:ilvl="1" w:tplc="5E766EF4" w:tentative="1">
      <w:start w:val="1"/>
      <w:numFmt w:val="bullet"/>
      <w:lvlText w:val=""/>
      <w:lvlJc w:val="left"/>
      <w:pPr>
        <w:tabs>
          <w:tab w:val="num" w:pos="1440"/>
        </w:tabs>
        <w:ind w:left="1440" w:hanging="360"/>
      </w:pPr>
      <w:rPr>
        <w:rFonts w:ascii="Wingdings" w:hAnsi="Wingdings" w:hint="default"/>
      </w:rPr>
    </w:lvl>
    <w:lvl w:ilvl="2" w:tplc="F4E802FC" w:tentative="1">
      <w:start w:val="1"/>
      <w:numFmt w:val="bullet"/>
      <w:lvlText w:val=""/>
      <w:lvlJc w:val="left"/>
      <w:pPr>
        <w:tabs>
          <w:tab w:val="num" w:pos="2160"/>
        </w:tabs>
        <w:ind w:left="2160" w:hanging="360"/>
      </w:pPr>
      <w:rPr>
        <w:rFonts w:ascii="Wingdings" w:hAnsi="Wingdings" w:hint="default"/>
      </w:rPr>
    </w:lvl>
    <w:lvl w:ilvl="3" w:tplc="B70E0ED4" w:tentative="1">
      <w:start w:val="1"/>
      <w:numFmt w:val="bullet"/>
      <w:lvlText w:val=""/>
      <w:lvlJc w:val="left"/>
      <w:pPr>
        <w:tabs>
          <w:tab w:val="num" w:pos="2880"/>
        </w:tabs>
        <w:ind w:left="2880" w:hanging="360"/>
      </w:pPr>
      <w:rPr>
        <w:rFonts w:ascii="Wingdings" w:hAnsi="Wingdings" w:hint="default"/>
      </w:rPr>
    </w:lvl>
    <w:lvl w:ilvl="4" w:tplc="60806370" w:tentative="1">
      <w:start w:val="1"/>
      <w:numFmt w:val="bullet"/>
      <w:lvlText w:val=""/>
      <w:lvlJc w:val="left"/>
      <w:pPr>
        <w:tabs>
          <w:tab w:val="num" w:pos="3600"/>
        </w:tabs>
        <w:ind w:left="3600" w:hanging="360"/>
      </w:pPr>
      <w:rPr>
        <w:rFonts w:ascii="Wingdings" w:hAnsi="Wingdings" w:hint="default"/>
      </w:rPr>
    </w:lvl>
    <w:lvl w:ilvl="5" w:tplc="52482C5A" w:tentative="1">
      <w:start w:val="1"/>
      <w:numFmt w:val="bullet"/>
      <w:lvlText w:val=""/>
      <w:lvlJc w:val="left"/>
      <w:pPr>
        <w:tabs>
          <w:tab w:val="num" w:pos="4320"/>
        </w:tabs>
        <w:ind w:left="4320" w:hanging="360"/>
      </w:pPr>
      <w:rPr>
        <w:rFonts w:ascii="Wingdings" w:hAnsi="Wingdings" w:hint="default"/>
      </w:rPr>
    </w:lvl>
    <w:lvl w:ilvl="6" w:tplc="BFDE5AEA" w:tentative="1">
      <w:start w:val="1"/>
      <w:numFmt w:val="bullet"/>
      <w:lvlText w:val=""/>
      <w:lvlJc w:val="left"/>
      <w:pPr>
        <w:tabs>
          <w:tab w:val="num" w:pos="5040"/>
        </w:tabs>
        <w:ind w:left="5040" w:hanging="360"/>
      </w:pPr>
      <w:rPr>
        <w:rFonts w:ascii="Wingdings" w:hAnsi="Wingdings" w:hint="default"/>
      </w:rPr>
    </w:lvl>
    <w:lvl w:ilvl="7" w:tplc="4F3660FE" w:tentative="1">
      <w:start w:val="1"/>
      <w:numFmt w:val="bullet"/>
      <w:lvlText w:val=""/>
      <w:lvlJc w:val="left"/>
      <w:pPr>
        <w:tabs>
          <w:tab w:val="num" w:pos="5760"/>
        </w:tabs>
        <w:ind w:left="5760" w:hanging="360"/>
      </w:pPr>
      <w:rPr>
        <w:rFonts w:ascii="Wingdings" w:hAnsi="Wingdings" w:hint="default"/>
      </w:rPr>
    </w:lvl>
    <w:lvl w:ilvl="8" w:tplc="568802B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002BC0"/>
    <w:multiLevelType w:val="hybridMultilevel"/>
    <w:tmpl w:val="42DAF7F8"/>
    <w:lvl w:ilvl="0" w:tplc="0C09000F">
      <w:start w:val="1"/>
      <w:numFmt w:val="decimal"/>
      <w:lvlText w:val="%1."/>
      <w:lvlJc w:val="left"/>
      <w:pPr>
        <w:ind w:left="360" w:hanging="360"/>
      </w:pPr>
    </w:lvl>
    <w:lvl w:ilvl="1" w:tplc="6A2ED138">
      <w:start w:val="1"/>
      <w:numFmt w:val="lowerLetter"/>
      <w:lvlText w:val="%2."/>
      <w:lvlJc w:val="left"/>
      <w:pPr>
        <w:ind w:left="1080" w:hanging="360"/>
      </w:pPr>
      <w:rPr>
        <w:vertAlign w:val="baseline"/>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32422A"/>
    <w:multiLevelType w:val="hybridMultilevel"/>
    <w:tmpl w:val="300CA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893192"/>
    <w:multiLevelType w:val="hybridMultilevel"/>
    <w:tmpl w:val="4864A898"/>
    <w:lvl w:ilvl="0" w:tplc="3D904A8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CC26D5"/>
    <w:multiLevelType w:val="hybridMultilevel"/>
    <w:tmpl w:val="475266CE"/>
    <w:lvl w:ilvl="0" w:tplc="834EDA8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37C30"/>
    <w:multiLevelType w:val="hybridMultilevel"/>
    <w:tmpl w:val="965E088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99317EF"/>
    <w:multiLevelType w:val="hybridMultilevel"/>
    <w:tmpl w:val="CC427D78"/>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B1016CC"/>
    <w:multiLevelType w:val="hybridMultilevel"/>
    <w:tmpl w:val="79760242"/>
    <w:lvl w:ilvl="0" w:tplc="5B5A0546">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E64428C"/>
    <w:multiLevelType w:val="hybridMultilevel"/>
    <w:tmpl w:val="8B4EA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E783553"/>
    <w:multiLevelType w:val="hybridMultilevel"/>
    <w:tmpl w:val="EE7211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962F77"/>
    <w:multiLevelType w:val="hybridMultilevel"/>
    <w:tmpl w:val="6ACA3256"/>
    <w:lvl w:ilvl="0" w:tplc="0C090001">
      <w:start w:val="1"/>
      <w:numFmt w:val="bullet"/>
      <w:lvlText w:val=""/>
      <w:lvlJc w:val="left"/>
      <w:pPr>
        <w:ind w:left="644" w:hanging="360"/>
      </w:pPr>
      <w:rPr>
        <w:rFonts w:ascii="Symbol" w:hAnsi="Symbol" w:hint="default"/>
      </w:rPr>
    </w:lvl>
    <w:lvl w:ilvl="1" w:tplc="0C090001">
      <w:start w:val="1"/>
      <w:numFmt w:val="bullet"/>
      <w:lvlText w:val=""/>
      <w:lvlJc w:val="left"/>
      <w:pPr>
        <w:ind w:left="1364" w:hanging="360"/>
      </w:pPr>
      <w:rPr>
        <w:rFonts w:ascii="Symbol" w:hAnsi="Symbol" w:hint="default"/>
      </w:rPr>
    </w:lvl>
    <w:lvl w:ilvl="2" w:tplc="0C090005">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1EB14C5"/>
    <w:multiLevelType w:val="hybridMultilevel"/>
    <w:tmpl w:val="DE4817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2585B73"/>
    <w:multiLevelType w:val="hybridMultilevel"/>
    <w:tmpl w:val="4A6217E2"/>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2957BBB"/>
    <w:multiLevelType w:val="hybridMultilevel"/>
    <w:tmpl w:val="27A6650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5B5A0546">
      <w:numFmt w:val="bullet"/>
      <w:lvlText w:val="-"/>
      <w:lvlJc w:val="left"/>
      <w:pPr>
        <w:ind w:left="1800" w:hanging="360"/>
      </w:pPr>
      <w:rPr>
        <w:rFonts w:ascii="Calibri" w:eastAsia="Calibr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A1A03CF"/>
    <w:multiLevelType w:val="hybridMultilevel"/>
    <w:tmpl w:val="AF8C21DC"/>
    <w:lvl w:ilvl="0" w:tplc="91D08362">
      <w:start w:val="1"/>
      <w:numFmt w:val="decimal"/>
      <w:lvlText w:val="%1."/>
      <w:lvlJc w:val="left"/>
      <w:pPr>
        <w:tabs>
          <w:tab w:val="num" w:pos="660"/>
        </w:tabs>
        <w:ind w:left="660" w:hanging="360"/>
      </w:pPr>
      <w:rPr>
        <w:rFonts w:hint="default"/>
      </w:rPr>
    </w:lvl>
    <w:lvl w:ilvl="1" w:tplc="0C090019" w:tentative="1">
      <w:start w:val="1"/>
      <w:numFmt w:val="lowerLetter"/>
      <w:lvlText w:val="%2."/>
      <w:lvlJc w:val="left"/>
      <w:pPr>
        <w:tabs>
          <w:tab w:val="num" w:pos="1380"/>
        </w:tabs>
        <w:ind w:left="1380" w:hanging="360"/>
      </w:pPr>
    </w:lvl>
    <w:lvl w:ilvl="2" w:tplc="0C09001B" w:tentative="1">
      <w:start w:val="1"/>
      <w:numFmt w:val="lowerRoman"/>
      <w:lvlText w:val="%3."/>
      <w:lvlJc w:val="right"/>
      <w:pPr>
        <w:tabs>
          <w:tab w:val="num" w:pos="2100"/>
        </w:tabs>
        <w:ind w:left="2100" w:hanging="180"/>
      </w:pPr>
    </w:lvl>
    <w:lvl w:ilvl="3" w:tplc="0C09000F" w:tentative="1">
      <w:start w:val="1"/>
      <w:numFmt w:val="decimal"/>
      <w:lvlText w:val="%4."/>
      <w:lvlJc w:val="left"/>
      <w:pPr>
        <w:tabs>
          <w:tab w:val="num" w:pos="2820"/>
        </w:tabs>
        <w:ind w:left="2820" w:hanging="360"/>
      </w:pPr>
    </w:lvl>
    <w:lvl w:ilvl="4" w:tplc="0C090019" w:tentative="1">
      <w:start w:val="1"/>
      <w:numFmt w:val="lowerLetter"/>
      <w:lvlText w:val="%5."/>
      <w:lvlJc w:val="left"/>
      <w:pPr>
        <w:tabs>
          <w:tab w:val="num" w:pos="3540"/>
        </w:tabs>
        <w:ind w:left="3540" w:hanging="360"/>
      </w:pPr>
    </w:lvl>
    <w:lvl w:ilvl="5" w:tplc="0C09001B" w:tentative="1">
      <w:start w:val="1"/>
      <w:numFmt w:val="lowerRoman"/>
      <w:lvlText w:val="%6."/>
      <w:lvlJc w:val="right"/>
      <w:pPr>
        <w:tabs>
          <w:tab w:val="num" w:pos="4260"/>
        </w:tabs>
        <w:ind w:left="4260" w:hanging="180"/>
      </w:pPr>
    </w:lvl>
    <w:lvl w:ilvl="6" w:tplc="0C09000F" w:tentative="1">
      <w:start w:val="1"/>
      <w:numFmt w:val="decimal"/>
      <w:lvlText w:val="%7."/>
      <w:lvlJc w:val="left"/>
      <w:pPr>
        <w:tabs>
          <w:tab w:val="num" w:pos="4980"/>
        </w:tabs>
        <w:ind w:left="4980" w:hanging="360"/>
      </w:pPr>
    </w:lvl>
    <w:lvl w:ilvl="7" w:tplc="0C090019" w:tentative="1">
      <w:start w:val="1"/>
      <w:numFmt w:val="lowerLetter"/>
      <w:lvlText w:val="%8."/>
      <w:lvlJc w:val="left"/>
      <w:pPr>
        <w:tabs>
          <w:tab w:val="num" w:pos="5700"/>
        </w:tabs>
        <w:ind w:left="5700" w:hanging="360"/>
      </w:pPr>
    </w:lvl>
    <w:lvl w:ilvl="8" w:tplc="0C09001B" w:tentative="1">
      <w:start w:val="1"/>
      <w:numFmt w:val="lowerRoman"/>
      <w:lvlText w:val="%9."/>
      <w:lvlJc w:val="right"/>
      <w:pPr>
        <w:tabs>
          <w:tab w:val="num" w:pos="6420"/>
        </w:tabs>
        <w:ind w:left="6420" w:hanging="180"/>
      </w:pPr>
    </w:lvl>
  </w:abstractNum>
  <w:abstractNum w:abstractNumId="38" w15:restartNumberingAfterBreak="0">
    <w:nsid w:val="7A961538"/>
    <w:multiLevelType w:val="multilevel"/>
    <w:tmpl w:val="61A2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669C9"/>
    <w:multiLevelType w:val="hybridMultilevel"/>
    <w:tmpl w:val="E69EDBC4"/>
    <w:lvl w:ilvl="0" w:tplc="0C090001">
      <w:start w:val="1"/>
      <w:numFmt w:val="bullet"/>
      <w:lvlText w:val=""/>
      <w:lvlJc w:val="left"/>
      <w:pPr>
        <w:ind w:left="1080" w:hanging="360"/>
      </w:pPr>
      <w:rPr>
        <w:rFonts w:ascii="Symbol" w:hAnsi="Symbol" w:hint="default"/>
      </w:rPr>
    </w:lvl>
    <w:lvl w:ilvl="1" w:tplc="5B5A0546">
      <w:numFmt w:val="bullet"/>
      <w:lvlText w:val="-"/>
      <w:lvlJc w:val="left"/>
      <w:pPr>
        <w:ind w:left="1800" w:hanging="360"/>
      </w:pPr>
      <w:rPr>
        <w:rFonts w:ascii="Calibri" w:eastAsia="Calibri" w:hAnsi="Calibri" w:cs="Calibri"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C3F4B12"/>
    <w:multiLevelType w:val="hybridMultilevel"/>
    <w:tmpl w:val="64741D6C"/>
    <w:lvl w:ilvl="0" w:tplc="5B5A0546">
      <w:numFmt w:val="bullet"/>
      <w:lvlText w:val="-"/>
      <w:lvlJc w:val="left"/>
      <w:pPr>
        <w:ind w:left="144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FCF0751"/>
    <w:multiLevelType w:val="hybridMultilevel"/>
    <w:tmpl w:val="DFAC4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8"/>
  </w:num>
  <w:num w:numId="6">
    <w:abstractNumId w:val="18"/>
  </w:num>
  <w:num w:numId="7">
    <w:abstractNumId w:val="4"/>
  </w:num>
  <w:num w:numId="8">
    <w:abstractNumId w:val="1"/>
  </w:num>
  <w:num w:numId="9">
    <w:abstractNumId w:val="14"/>
  </w:num>
  <w:num w:numId="10">
    <w:abstractNumId w:val="31"/>
  </w:num>
  <w:num w:numId="11">
    <w:abstractNumId w:val="15"/>
  </w:num>
  <w:num w:numId="12">
    <w:abstractNumId w:val="26"/>
  </w:num>
  <w:num w:numId="13">
    <w:abstractNumId w:val="23"/>
  </w:num>
  <w:num w:numId="14">
    <w:abstractNumId w:val="41"/>
  </w:num>
  <w:num w:numId="15">
    <w:abstractNumId w:val="2"/>
  </w:num>
  <w:num w:numId="16">
    <w:abstractNumId w:val="33"/>
  </w:num>
  <w:num w:numId="17">
    <w:abstractNumId w:val="36"/>
  </w:num>
  <w:num w:numId="18">
    <w:abstractNumId w:val="9"/>
  </w:num>
  <w:num w:numId="19">
    <w:abstractNumId w:val="22"/>
  </w:num>
  <w:num w:numId="20">
    <w:abstractNumId w:val="40"/>
  </w:num>
  <w:num w:numId="21">
    <w:abstractNumId w:val="3"/>
  </w:num>
  <w:num w:numId="22">
    <w:abstractNumId w:val="30"/>
  </w:num>
  <w:num w:numId="23">
    <w:abstractNumId w:val="12"/>
  </w:num>
  <w:num w:numId="24">
    <w:abstractNumId w:val="11"/>
  </w:num>
  <w:num w:numId="25">
    <w:abstractNumId w:val="0"/>
  </w:num>
  <w:num w:numId="26">
    <w:abstractNumId w:val="25"/>
  </w:num>
  <w:num w:numId="27">
    <w:abstractNumId w:val="34"/>
  </w:num>
  <w:num w:numId="28">
    <w:abstractNumId w:val="27"/>
  </w:num>
  <w:num w:numId="29">
    <w:abstractNumId w:val="39"/>
  </w:num>
  <w:num w:numId="30">
    <w:abstractNumId w:val="32"/>
  </w:num>
  <w:num w:numId="31">
    <w:abstractNumId w:val="10"/>
  </w:num>
  <w:num w:numId="32">
    <w:abstractNumId w:val="5"/>
  </w:num>
  <w:num w:numId="33">
    <w:abstractNumId w:val="16"/>
  </w:num>
  <w:num w:numId="34">
    <w:abstractNumId w:val="7"/>
  </w:num>
  <w:num w:numId="35">
    <w:abstractNumId w:val="28"/>
  </w:num>
  <w:num w:numId="36">
    <w:abstractNumId w:val="29"/>
  </w:num>
  <w:num w:numId="37">
    <w:abstractNumId w:val="19"/>
  </w:num>
  <w:num w:numId="38">
    <w:abstractNumId w:val="35"/>
  </w:num>
  <w:num w:numId="39">
    <w:abstractNumId w:val="15"/>
    <w:lvlOverride w:ilvl="0"/>
    <w:lvlOverride w:ilvl="1"/>
    <w:lvlOverride w:ilvl="2"/>
    <w:lvlOverride w:ilvl="3"/>
    <w:lvlOverride w:ilvl="4"/>
    <w:lvlOverride w:ilvl="5"/>
    <w:lvlOverride w:ilvl="6"/>
    <w:lvlOverride w:ilvl="7"/>
    <w:lvlOverride w:ilvl="8"/>
  </w:num>
  <w:num w:numId="40">
    <w:abstractNumId w:val="21"/>
  </w:num>
  <w:num w:numId="41">
    <w:abstractNumId w:val="37"/>
  </w:num>
  <w:num w:numId="42">
    <w:abstractNumId w:val="1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4E8F"/>
    <w:rsid w:val="00000A7D"/>
    <w:rsid w:val="000014AD"/>
    <w:rsid w:val="00001849"/>
    <w:rsid w:val="00004AFB"/>
    <w:rsid w:val="00007E63"/>
    <w:rsid w:val="000145DF"/>
    <w:rsid w:val="00020577"/>
    <w:rsid w:val="0002358D"/>
    <w:rsid w:val="00031DB0"/>
    <w:rsid w:val="00032947"/>
    <w:rsid w:val="0004035B"/>
    <w:rsid w:val="00053FCB"/>
    <w:rsid w:val="00055806"/>
    <w:rsid w:val="00061A5A"/>
    <w:rsid w:val="00063846"/>
    <w:rsid w:val="00063A5C"/>
    <w:rsid w:val="00063B04"/>
    <w:rsid w:val="00072E21"/>
    <w:rsid w:val="000819E1"/>
    <w:rsid w:val="00085F91"/>
    <w:rsid w:val="00086AE6"/>
    <w:rsid w:val="000A744E"/>
    <w:rsid w:val="000A7591"/>
    <w:rsid w:val="000B2126"/>
    <w:rsid w:val="000B6427"/>
    <w:rsid w:val="000C4C20"/>
    <w:rsid w:val="000C553A"/>
    <w:rsid w:val="000E23A5"/>
    <w:rsid w:val="000F1826"/>
    <w:rsid w:val="00105C00"/>
    <w:rsid w:val="00107AF0"/>
    <w:rsid w:val="001112B1"/>
    <w:rsid w:val="00117C32"/>
    <w:rsid w:val="00120E27"/>
    <w:rsid w:val="00123C08"/>
    <w:rsid w:val="00142B3D"/>
    <w:rsid w:val="00144DA6"/>
    <w:rsid w:val="001453F3"/>
    <w:rsid w:val="00145604"/>
    <w:rsid w:val="00145643"/>
    <w:rsid w:val="00156B40"/>
    <w:rsid w:val="00162377"/>
    <w:rsid w:val="00171063"/>
    <w:rsid w:val="00180EFA"/>
    <w:rsid w:val="00191A64"/>
    <w:rsid w:val="00195488"/>
    <w:rsid w:val="001971DE"/>
    <w:rsid w:val="001A0EC0"/>
    <w:rsid w:val="001A542F"/>
    <w:rsid w:val="001B0975"/>
    <w:rsid w:val="001B146A"/>
    <w:rsid w:val="001D2475"/>
    <w:rsid w:val="001D27E5"/>
    <w:rsid w:val="001E626C"/>
    <w:rsid w:val="001E6878"/>
    <w:rsid w:val="00216DD3"/>
    <w:rsid w:val="00233029"/>
    <w:rsid w:val="00242CCB"/>
    <w:rsid w:val="00244820"/>
    <w:rsid w:val="00251437"/>
    <w:rsid w:val="0025233A"/>
    <w:rsid w:val="00253882"/>
    <w:rsid w:val="002578ED"/>
    <w:rsid w:val="0026031F"/>
    <w:rsid w:val="00260B34"/>
    <w:rsid w:val="00262716"/>
    <w:rsid w:val="0026690B"/>
    <w:rsid w:val="00271E33"/>
    <w:rsid w:val="00277B3C"/>
    <w:rsid w:val="00284971"/>
    <w:rsid w:val="00291EA0"/>
    <w:rsid w:val="00295A1A"/>
    <w:rsid w:val="002C061C"/>
    <w:rsid w:val="002C2150"/>
    <w:rsid w:val="002C3167"/>
    <w:rsid w:val="002D2739"/>
    <w:rsid w:val="002D364A"/>
    <w:rsid w:val="002D5F44"/>
    <w:rsid w:val="002D75D1"/>
    <w:rsid w:val="002E2687"/>
    <w:rsid w:val="002E50EA"/>
    <w:rsid w:val="002E5133"/>
    <w:rsid w:val="002E750B"/>
    <w:rsid w:val="002F3E08"/>
    <w:rsid w:val="002F4440"/>
    <w:rsid w:val="002F7D50"/>
    <w:rsid w:val="002F7E14"/>
    <w:rsid w:val="00303174"/>
    <w:rsid w:val="00305064"/>
    <w:rsid w:val="003068E3"/>
    <w:rsid w:val="00312106"/>
    <w:rsid w:val="003175A9"/>
    <w:rsid w:val="003176FF"/>
    <w:rsid w:val="00326DE0"/>
    <w:rsid w:val="00327EA8"/>
    <w:rsid w:val="00330D3E"/>
    <w:rsid w:val="00331E20"/>
    <w:rsid w:val="0033265A"/>
    <w:rsid w:val="00336EEB"/>
    <w:rsid w:val="00340867"/>
    <w:rsid w:val="00351AF0"/>
    <w:rsid w:val="00354CD8"/>
    <w:rsid w:val="00361EBC"/>
    <w:rsid w:val="003746EC"/>
    <w:rsid w:val="00391C72"/>
    <w:rsid w:val="003A44E1"/>
    <w:rsid w:val="003B03FF"/>
    <w:rsid w:val="003B1ADC"/>
    <w:rsid w:val="003B2105"/>
    <w:rsid w:val="003B23FE"/>
    <w:rsid w:val="003B3174"/>
    <w:rsid w:val="003B3EBD"/>
    <w:rsid w:val="003B5CD1"/>
    <w:rsid w:val="003B7CAE"/>
    <w:rsid w:val="003C32A5"/>
    <w:rsid w:val="003C68CA"/>
    <w:rsid w:val="003D0AAD"/>
    <w:rsid w:val="003D318E"/>
    <w:rsid w:val="003D5564"/>
    <w:rsid w:val="003E20F3"/>
    <w:rsid w:val="003E799C"/>
    <w:rsid w:val="003F19D4"/>
    <w:rsid w:val="00405702"/>
    <w:rsid w:val="00406A28"/>
    <w:rsid w:val="00412A6D"/>
    <w:rsid w:val="00414F5F"/>
    <w:rsid w:val="00445158"/>
    <w:rsid w:val="004464A4"/>
    <w:rsid w:val="00456EBE"/>
    <w:rsid w:val="00462873"/>
    <w:rsid w:val="004657C6"/>
    <w:rsid w:val="00466940"/>
    <w:rsid w:val="0047034F"/>
    <w:rsid w:val="004720C3"/>
    <w:rsid w:val="00480010"/>
    <w:rsid w:val="004821E9"/>
    <w:rsid w:val="00486259"/>
    <w:rsid w:val="00490F8E"/>
    <w:rsid w:val="00496955"/>
    <w:rsid w:val="004B0765"/>
    <w:rsid w:val="004B28D9"/>
    <w:rsid w:val="004B2C43"/>
    <w:rsid w:val="004B3912"/>
    <w:rsid w:val="004B54AE"/>
    <w:rsid w:val="004B6D38"/>
    <w:rsid w:val="004C089B"/>
    <w:rsid w:val="004C2B0E"/>
    <w:rsid w:val="004D727B"/>
    <w:rsid w:val="004E13FA"/>
    <w:rsid w:val="004E5D88"/>
    <w:rsid w:val="00511552"/>
    <w:rsid w:val="005154C3"/>
    <w:rsid w:val="00515795"/>
    <w:rsid w:val="00516362"/>
    <w:rsid w:val="00523D39"/>
    <w:rsid w:val="00523D7A"/>
    <w:rsid w:val="00527067"/>
    <w:rsid w:val="0053011A"/>
    <w:rsid w:val="005366EB"/>
    <w:rsid w:val="00536BC8"/>
    <w:rsid w:val="0054056A"/>
    <w:rsid w:val="005423BA"/>
    <w:rsid w:val="00547E5D"/>
    <w:rsid w:val="005507B1"/>
    <w:rsid w:val="0055422A"/>
    <w:rsid w:val="00560125"/>
    <w:rsid w:val="00563FA8"/>
    <w:rsid w:val="005709DD"/>
    <w:rsid w:val="00570D5A"/>
    <w:rsid w:val="00574AA3"/>
    <w:rsid w:val="00587AF8"/>
    <w:rsid w:val="00593CEC"/>
    <w:rsid w:val="00593E41"/>
    <w:rsid w:val="005A5D4E"/>
    <w:rsid w:val="005B03F1"/>
    <w:rsid w:val="005B09B2"/>
    <w:rsid w:val="005B7040"/>
    <w:rsid w:val="005D424B"/>
    <w:rsid w:val="005E209F"/>
    <w:rsid w:val="005E2241"/>
    <w:rsid w:val="005E3219"/>
    <w:rsid w:val="005F07F1"/>
    <w:rsid w:val="005F2425"/>
    <w:rsid w:val="005F247E"/>
    <w:rsid w:val="005F3E11"/>
    <w:rsid w:val="0060202B"/>
    <w:rsid w:val="006107C5"/>
    <w:rsid w:val="00614609"/>
    <w:rsid w:val="00615158"/>
    <w:rsid w:val="00616E98"/>
    <w:rsid w:val="00616FC6"/>
    <w:rsid w:val="00621FB9"/>
    <w:rsid w:val="00624895"/>
    <w:rsid w:val="00625446"/>
    <w:rsid w:val="00625E6E"/>
    <w:rsid w:val="00626C7B"/>
    <w:rsid w:val="006326A2"/>
    <w:rsid w:val="0063314A"/>
    <w:rsid w:val="006414C1"/>
    <w:rsid w:val="0064505C"/>
    <w:rsid w:val="00666144"/>
    <w:rsid w:val="00673EC4"/>
    <w:rsid w:val="00674AD0"/>
    <w:rsid w:val="00681373"/>
    <w:rsid w:val="00690816"/>
    <w:rsid w:val="006A1719"/>
    <w:rsid w:val="006A24FD"/>
    <w:rsid w:val="006B1974"/>
    <w:rsid w:val="006B5308"/>
    <w:rsid w:val="006C01FB"/>
    <w:rsid w:val="006C2D04"/>
    <w:rsid w:val="006C4F70"/>
    <w:rsid w:val="006D27F4"/>
    <w:rsid w:val="006D7726"/>
    <w:rsid w:val="006E11D6"/>
    <w:rsid w:val="006F3617"/>
    <w:rsid w:val="00700177"/>
    <w:rsid w:val="00706DCC"/>
    <w:rsid w:val="0071275E"/>
    <w:rsid w:val="00715EF9"/>
    <w:rsid w:val="00723336"/>
    <w:rsid w:val="00733F3A"/>
    <w:rsid w:val="0073458B"/>
    <w:rsid w:val="00743A07"/>
    <w:rsid w:val="0074692C"/>
    <w:rsid w:val="007510CD"/>
    <w:rsid w:val="00754001"/>
    <w:rsid w:val="0076017A"/>
    <w:rsid w:val="00766F24"/>
    <w:rsid w:val="0077032F"/>
    <w:rsid w:val="00786A80"/>
    <w:rsid w:val="0078753F"/>
    <w:rsid w:val="00797EC5"/>
    <w:rsid w:val="007A15B3"/>
    <w:rsid w:val="007A6DF0"/>
    <w:rsid w:val="007A716C"/>
    <w:rsid w:val="007B05FE"/>
    <w:rsid w:val="007B3F62"/>
    <w:rsid w:val="007B6B83"/>
    <w:rsid w:val="007C3B7C"/>
    <w:rsid w:val="007C3CEE"/>
    <w:rsid w:val="007D2E26"/>
    <w:rsid w:val="007E2014"/>
    <w:rsid w:val="007E74AF"/>
    <w:rsid w:val="007F4818"/>
    <w:rsid w:val="007F4FB6"/>
    <w:rsid w:val="007F5615"/>
    <w:rsid w:val="007F6267"/>
    <w:rsid w:val="007F6760"/>
    <w:rsid w:val="007F7D73"/>
    <w:rsid w:val="008018D2"/>
    <w:rsid w:val="00803248"/>
    <w:rsid w:val="00807F62"/>
    <w:rsid w:val="00810C95"/>
    <w:rsid w:val="00836EFB"/>
    <w:rsid w:val="008434E3"/>
    <w:rsid w:val="00850CA4"/>
    <w:rsid w:val="0085130B"/>
    <w:rsid w:val="008549FE"/>
    <w:rsid w:val="008552BB"/>
    <w:rsid w:val="00855998"/>
    <w:rsid w:val="00856B22"/>
    <w:rsid w:val="0085752C"/>
    <w:rsid w:val="008725E1"/>
    <w:rsid w:val="00873694"/>
    <w:rsid w:val="008777E8"/>
    <w:rsid w:val="008821B2"/>
    <w:rsid w:val="0088526B"/>
    <w:rsid w:val="00885319"/>
    <w:rsid w:val="00892E9F"/>
    <w:rsid w:val="00892ED8"/>
    <w:rsid w:val="008937AB"/>
    <w:rsid w:val="008A5D81"/>
    <w:rsid w:val="008A7923"/>
    <w:rsid w:val="008B234E"/>
    <w:rsid w:val="008B7529"/>
    <w:rsid w:val="008C4D33"/>
    <w:rsid w:val="008D13E5"/>
    <w:rsid w:val="008D5CA6"/>
    <w:rsid w:val="008E07C1"/>
    <w:rsid w:val="008F6A9F"/>
    <w:rsid w:val="0090359A"/>
    <w:rsid w:val="00904CB7"/>
    <w:rsid w:val="0090653A"/>
    <w:rsid w:val="009067B1"/>
    <w:rsid w:val="009117CB"/>
    <w:rsid w:val="009121D1"/>
    <w:rsid w:val="0091246A"/>
    <w:rsid w:val="0091670C"/>
    <w:rsid w:val="009244C6"/>
    <w:rsid w:val="00927990"/>
    <w:rsid w:val="009322D2"/>
    <w:rsid w:val="00950AA8"/>
    <w:rsid w:val="00955A31"/>
    <w:rsid w:val="0097134C"/>
    <w:rsid w:val="009758C0"/>
    <w:rsid w:val="00980C53"/>
    <w:rsid w:val="00983B32"/>
    <w:rsid w:val="00991939"/>
    <w:rsid w:val="00993522"/>
    <w:rsid w:val="00994593"/>
    <w:rsid w:val="00995432"/>
    <w:rsid w:val="009A1EBD"/>
    <w:rsid w:val="009A4256"/>
    <w:rsid w:val="009B014D"/>
    <w:rsid w:val="009B7EDF"/>
    <w:rsid w:val="009C2A94"/>
    <w:rsid w:val="009C41A9"/>
    <w:rsid w:val="009D5872"/>
    <w:rsid w:val="009E4F4C"/>
    <w:rsid w:val="009E5B01"/>
    <w:rsid w:val="009F2CDE"/>
    <w:rsid w:val="00A05ECD"/>
    <w:rsid w:val="00A07D23"/>
    <w:rsid w:val="00A12E1C"/>
    <w:rsid w:val="00A319C4"/>
    <w:rsid w:val="00A44613"/>
    <w:rsid w:val="00A54117"/>
    <w:rsid w:val="00A70766"/>
    <w:rsid w:val="00A748B8"/>
    <w:rsid w:val="00A812D7"/>
    <w:rsid w:val="00A81ECD"/>
    <w:rsid w:val="00A8758D"/>
    <w:rsid w:val="00A90BDF"/>
    <w:rsid w:val="00A9117A"/>
    <w:rsid w:val="00A94959"/>
    <w:rsid w:val="00A9661F"/>
    <w:rsid w:val="00AA03E8"/>
    <w:rsid w:val="00AA3835"/>
    <w:rsid w:val="00AB0C12"/>
    <w:rsid w:val="00AB5068"/>
    <w:rsid w:val="00AB568C"/>
    <w:rsid w:val="00AB7A80"/>
    <w:rsid w:val="00AD5243"/>
    <w:rsid w:val="00AD67E6"/>
    <w:rsid w:val="00AD7D30"/>
    <w:rsid w:val="00AE2575"/>
    <w:rsid w:val="00AE35A1"/>
    <w:rsid w:val="00AF6EEA"/>
    <w:rsid w:val="00B01B53"/>
    <w:rsid w:val="00B044A2"/>
    <w:rsid w:val="00B062A8"/>
    <w:rsid w:val="00B065E6"/>
    <w:rsid w:val="00B12BC1"/>
    <w:rsid w:val="00B14D45"/>
    <w:rsid w:val="00B17C5A"/>
    <w:rsid w:val="00B248AB"/>
    <w:rsid w:val="00B34156"/>
    <w:rsid w:val="00B370F5"/>
    <w:rsid w:val="00B45131"/>
    <w:rsid w:val="00B47C73"/>
    <w:rsid w:val="00B61C7D"/>
    <w:rsid w:val="00B646F5"/>
    <w:rsid w:val="00B653A6"/>
    <w:rsid w:val="00B67C9E"/>
    <w:rsid w:val="00B718C8"/>
    <w:rsid w:val="00B7541E"/>
    <w:rsid w:val="00B7591C"/>
    <w:rsid w:val="00B810C9"/>
    <w:rsid w:val="00B813CD"/>
    <w:rsid w:val="00B81665"/>
    <w:rsid w:val="00B956C7"/>
    <w:rsid w:val="00B97BBF"/>
    <w:rsid w:val="00BA02B4"/>
    <w:rsid w:val="00BA46C5"/>
    <w:rsid w:val="00BA6DA3"/>
    <w:rsid w:val="00BB6A1F"/>
    <w:rsid w:val="00BB75A6"/>
    <w:rsid w:val="00BD1794"/>
    <w:rsid w:val="00BD3134"/>
    <w:rsid w:val="00BE0688"/>
    <w:rsid w:val="00BE1F57"/>
    <w:rsid w:val="00BE2C86"/>
    <w:rsid w:val="00BE3CFC"/>
    <w:rsid w:val="00BF4F8C"/>
    <w:rsid w:val="00BF7229"/>
    <w:rsid w:val="00C01DB6"/>
    <w:rsid w:val="00C030CA"/>
    <w:rsid w:val="00C12F00"/>
    <w:rsid w:val="00C153BD"/>
    <w:rsid w:val="00C15E15"/>
    <w:rsid w:val="00C222D3"/>
    <w:rsid w:val="00C33500"/>
    <w:rsid w:val="00C359E7"/>
    <w:rsid w:val="00C364C6"/>
    <w:rsid w:val="00C45436"/>
    <w:rsid w:val="00C50245"/>
    <w:rsid w:val="00C52520"/>
    <w:rsid w:val="00C52C99"/>
    <w:rsid w:val="00C56536"/>
    <w:rsid w:val="00C61181"/>
    <w:rsid w:val="00C7075F"/>
    <w:rsid w:val="00C734C1"/>
    <w:rsid w:val="00C84B12"/>
    <w:rsid w:val="00C869E7"/>
    <w:rsid w:val="00C92E8C"/>
    <w:rsid w:val="00C94E8F"/>
    <w:rsid w:val="00CA1571"/>
    <w:rsid w:val="00CA27FC"/>
    <w:rsid w:val="00CA4C61"/>
    <w:rsid w:val="00CA5128"/>
    <w:rsid w:val="00CB2C54"/>
    <w:rsid w:val="00CB3E58"/>
    <w:rsid w:val="00CC1342"/>
    <w:rsid w:val="00CC6046"/>
    <w:rsid w:val="00CC7361"/>
    <w:rsid w:val="00CD33B4"/>
    <w:rsid w:val="00CE5839"/>
    <w:rsid w:val="00CF2E3D"/>
    <w:rsid w:val="00CF58C7"/>
    <w:rsid w:val="00CF7329"/>
    <w:rsid w:val="00D21174"/>
    <w:rsid w:val="00D274A3"/>
    <w:rsid w:val="00D30196"/>
    <w:rsid w:val="00D30406"/>
    <w:rsid w:val="00D34AE4"/>
    <w:rsid w:val="00D35945"/>
    <w:rsid w:val="00D374AC"/>
    <w:rsid w:val="00D4225A"/>
    <w:rsid w:val="00D572F6"/>
    <w:rsid w:val="00D63218"/>
    <w:rsid w:val="00D67B91"/>
    <w:rsid w:val="00D747C1"/>
    <w:rsid w:val="00D75D6B"/>
    <w:rsid w:val="00D7690B"/>
    <w:rsid w:val="00D842E5"/>
    <w:rsid w:val="00D848A3"/>
    <w:rsid w:val="00D865E9"/>
    <w:rsid w:val="00DA36B0"/>
    <w:rsid w:val="00DA62FF"/>
    <w:rsid w:val="00DA681E"/>
    <w:rsid w:val="00DB33B9"/>
    <w:rsid w:val="00DB5F45"/>
    <w:rsid w:val="00DC4C7D"/>
    <w:rsid w:val="00DD3E02"/>
    <w:rsid w:val="00DD786E"/>
    <w:rsid w:val="00DE1843"/>
    <w:rsid w:val="00DE262A"/>
    <w:rsid w:val="00DF7242"/>
    <w:rsid w:val="00DF7452"/>
    <w:rsid w:val="00E03455"/>
    <w:rsid w:val="00E06E76"/>
    <w:rsid w:val="00E139A0"/>
    <w:rsid w:val="00E165FB"/>
    <w:rsid w:val="00E3307D"/>
    <w:rsid w:val="00E3363B"/>
    <w:rsid w:val="00E378C3"/>
    <w:rsid w:val="00E46954"/>
    <w:rsid w:val="00E54987"/>
    <w:rsid w:val="00E55862"/>
    <w:rsid w:val="00E62EE4"/>
    <w:rsid w:val="00E62FB0"/>
    <w:rsid w:val="00E62FC0"/>
    <w:rsid w:val="00E642BD"/>
    <w:rsid w:val="00E70F34"/>
    <w:rsid w:val="00E741C4"/>
    <w:rsid w:val="00E75DA4"/>
    <w:rsid w:val="00E77645"/>
    <w:rsid w:val="00E812DF"/>
    <w:rsid w:val="00E81E0D"/>
    <w:rsid w:val="00EA72A8"/>
    <w:rsid w:val="00EB61C5"/>
    <w:rsid w:val="00EC350B"/>
    <w:rsid w:val="00EC5200"/>
    <w:rsid w:val="00EC5D22"/>
    <w:rsid w:val="00EC61E4"/>
    <w:rsid w:val="00ED1A5E"/>
    <w:rsid w:val="00ED1A9D"/>
    <w:rsid w:val="00ED3374"/>
    <w:rsid w:val="00ED46C3"/>
    <w:rsid w:val="00ED4C02"/>
    <w:rsid w:val="00EE20EF"/>
    <w:rsid w:val="00EE5169"/>
    <w:rsid w:val="00EF73CC"/>
    <w:rsid w:val="00F029C0"/>
    <w:rsid w:val="00F063E0"/>
    <w:rsid w:val="00F064CC"/>
    <w:rsid w:val="00F16FDA"/>
    <w:rsid w:val="00F30B82"/>
    <w:rsid w:val="00F30D16"/>
    <w:rsid w:val="00F3205D"/>
    <w:rsid w:val="00F3588D"/>
    <w:rsid w:val="00F36E4C"/>
    <w:rsid w:val="00F422BD"/>
    <w:rsid w:val="00F43CF2"/>
    <w:rsid w:val="00F46CB4"/>
    <w:rsid w:val="00F62BC7"/>
    <w:rsid w:val="00F83912"/>
    <w:rsid w:val="00F85580"/>
    <w:rsid w:val="00F87E5D"/>
    <w:rsid w:val="00F87EB7"/>
    <w:rsid w:val="00F92D60"/>
    <w:rsid w:val="00FA287F"/>
    <w:rsid w:val="00FA3AC5"/>
    <w:rsid w:val="00FA44A3"/>
    <w:rsid w:val="00FA6FBE"/>
    <w:rsid w:val="00FA77FE"/>
    <w:rsid w:val="00FD78EE"/>
    <w:rsid w:val="00FE1B05"/>
    <w:rsid w:val="00FE3D88"/>
    <w:rsid w:val="00FF3BFF"/>
    <w:rsid w:val="00FF4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B38CE8B"/>
  <w15:chartTrackingRefBased/>
  <w15:docId w15:val="{29FA6E8D-2F72-4A8A-AD95-657DB92C7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E8F"/>
    <w:rPr>
      <w:sz w:val="24"/>
      <w:szCs w:val="24"/>
    </w:rPr>
  </w:style>
  <w:style w:type="paragraph" w:styleId="Heading1">
    <w:name w:val="heading 1"/>
    <w:basedOn w:val="Normal"/>
    <w:next w:val="Normal"/>
    <w:link w:val="Heading1Char"/>
    <w:qFormat/>
    <w:rsid w:val="00242CC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C94E8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C94E8F"/>
    <w:pPr>
      <w:tabs>
        <w:tab w:val="center" w:pos="4320"/>
        <w:tab w:val="right" w:pos="8640"/>
      </w:tabs>
    </w:pPr>
    <w:rPr>
      <w:sz w:val="20"/>
      <w:szCs w:val="20"/>
      <w:lang w:eastAsia="en-US"/>
    </w:rPr>
  </w:style>
  <w:style w:type="character" w:styleId="PageNumber">
    <w:name w:val="page number"/>
    <w:basedOn w:val="DefaultParagraphFont"/>
    <w:rsid w:val="00C94E8F"/>
  </w:style>
  <w:style w:type="paragraph" w:styleId="BalloonText">
    <w:name w:val="Balloon Text"/>
    <w:basedOn w:val="Normal"/>
    <w:semiHidden/>
    <w:rsid w:val="00743A07"/>
    <w:rPr>
      <w:rFonts w:ascii="Tahoma" w:hAnsi="Tahoma" w:cs="Tahoma"/>
      <w:sz w:val="16"/>
      <w:szCs w:val="16"/>
    </w:rPr>
  </w:style>
  <w:style w:type="table" w:styleId="TableGrid">
    <w:name w:val="Table Grid"/>
    <w:basedOn w:val="TableNormal"/>
    <w:rsid w:val="00AA0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C5200"/>
    <w:pPr>
      <w:tabs>
        <w:tab w:val="center" w:pos="4153"/>
        <w:tab w:val="right" w:pos="8306"/>
      </w:tabs>
    </w:pPr>
  </w:style>
  <w:style w:type="character" w:styleId="Hyperlink">
    <w:name w:val="Hyperlink"/>
    <w:uiPriority w:val="99"/>
    <w:rsid w:val="00412A6D"/>
    <w:rPr>
      <w:color w:val="0000FF"/>
      <w:u w:val="single"/>
    </w:rPr>
  </w:style>
  <w:style w:type="paragraph" w:styleId="ListParagraph">
    <w:name w:val="List Paragraph"/>
    <w:basedOn w:val="Normal"/>
    <w:uiPriority w:val="34"/>
    <w:qFormat/>
    <w:rsid w:val="00EF73CC"/>
    <w:pPr>
      <w:ind w:left="720"/>
    </w:pPr>
    <w:rPr>
      <w:rFonts w:ascii="Calibri" w:eastAsia="Calibri" w:hAnsi="Calibri" w:cs="Calibri"/>
      <w:sz w:val="22"/>
      <w:szCs w:val="22"/>
    </w:rPr>
  </w:style>
  <w:style w:type="character" w:styleId="HTMLCite">
    <w:name w:val="HTML Cite"/>
    <w:uiPriority w:val="99"/>
    <w:unhideWhenUsed/>
    <w:rsid w:val="00B81665"/>
    <w:rPr>
      <w:i/>
      <w:iCs/>
    </w:rPr>
  </w:style>
  <w:style w:type="character" w:styleId="Emphasis">
    <w:name w:val="Emphasis"/>
    <w:uiPriority w:val="20"/>
    <w:qFormat/>
    <w:rsid w:val="00B81665"/>
    <w:rPr>
      <w:b/>
      <w:bCs/>
      <w:i w:val="0"/>
      <w:iCs w:val="0"/>
    </w:rPr>
  </w:style>
  <w:style w:type="character" w:styleId="CommentReference">
    <w:name w:val="annotation reference"/>
    <w:uiPriority w:val="99"/>
    <w:rsid w:val="00DE262A"/>
    <w:rPr>
      <w:sz w:val="16"/>
      <w:szCs w:val="16"/>
    </w:rPr>
  </w:style>
  <w:style w:type="paragraph" w:styleId="CommentText">
    <w:name w:val="annotation text"/>
    <w:basedOn w:val="Normal"/>
    <w:link w:val="CommentTextChar"/>
    <w:uiPriority w:val="99"/>
    <w:rsid w:val="00DE262A"/>
    <w:rPr>
      <w:sz w:val="20"/>
      <w:szCs w:val="20"/>
    </w:rPr>
  </w:style>
  <w:style w:type="character" w:customStyle="1" w:styleId="CommentTextChar">
    <w:name w:val="Comment Text Char"/>
    <w:basedOn w:val="DefaultParagraphFont"/>
    <w:link w:val="CommentText"/>
    <w:uiPriority w:val="99"/>
    <w:rsid w:val="00DE262A"/>
  </w:style>
  <w:style w:type="paragraph" w:styleId="CommentSubject">
    <w:name w:val="annotation subject"/>
    <w:basedOn w:val="CommentText"/>
    <w:next w:val="CommentText"/>
    <w:link w:val="CommentSubjectChar"/>
    <w:rsid w:val="00DE262A"/>
    <w:rPr>
      <w:b/>
      <w:bCs/>
    </w:rPr>
  </w:style>
  <w:style w:type="character" w:customStyle="1" w:styleId="CommentSubjectChar">
    <w:name w:val="Comment Subject Char"/>
    <w:link w:val="CommentSubject"/>
    <w:rsid w:val="00DE262A"/>
    <w:rPr>
      <w:b/>
      <w:bCs/>
    </w:rPr>
  </w:style>
  <w:style w:type="character" w:customStyle="1" w:styleId="l1">
    <w:name w:val="l1"/>
    <w:rsid w:val="002D75D1"/>
    <w:rPr>
      <w:color w:val="0000CC"/>
    </w:rPr>
  </w:style>
  <w:style w:type="character" w:customStyle="1" w:styleId="Heading1Char">
    <w:name w:val="Heading 1 Char"/>
    <w:link w:val="Heading1"/>
    <w:rsid w:val="00242CCB"/>
    <w:rPr>
      <w:rFonts w:ascii="Cambria" w:eastAsia="Times New Roman" w:hAnsi="Cambria" w:cs="Times New Roman"/>
      <w:b/>
      <w:bCs/>
      <w:kern w:val="32"/>
      <w:sz w:val="32"/>
      <w:szCs w:val="32"/>
    </w:rPr>
  </w:style>
  <w:style w:type="paragraph" w:styleId="Revision">
    <w:name w:val="Revision"/>
    <w:hidden/>
    <w:uiPriority w:val="99"/>
    <w:semiHidden/>
    <w:rsid w:val="00666144"/>
    <w:rPr>
      <w:sz w:val="24"/>
      <w:szCs w:val="24"/>
    </w:rPr>
  </w:style>
  <w:style w:type="character" w:styleId="FollowedHyperlink">
    <w:name w:val="FollowedHyperlink"/>
    <w:rsid w:val="0085752C"/>
    <w:rPr>
      <w:color w:val="800080"/>
      <w:u w:val="single"/>
    </w:rPr>
  </w:style>
  <w:style w:type="character" w:customStyle="1" w:styleId="HeaderChar">
    <w:name w:val="Header Char"/>
    <w:link w:val="Header"/>
    <w:uiPriority w:val="99"/>
    <w:rsid w:val="00BA46C5"/>
    <w:rPr>
      <w:lang w:eastAsia="en-US"/>
    </w:rPr>
  </w:style>
  <w:style w:type="paragraph" w:styleId="NoSpacing">
    <w:name w:val="No Spacing"/>
    <w:uiPriority w:val="1"/>
    <w:qFormat/>
    <w:rsid w:val="00A9661F"/>
    <w:rPr>
      <w:rFonts w:ascii="Calibri" w:eastAsia="Calibri" w:hAnsi="Calibri"/>
      <w:sz w:val="22"/>
      <w:szCs w:val="22"/>
      <w:lang w:eastAsia="en-US"/>
    </w:rPr>
  </w:style>
  <w:style w:type="paragraph" w:styleId="NormalWeb">
    <w:name w:val="Normal (Web)"/>
    <w:basedOn w:val="Normal"/>
    <w:uiPriority w:val="99"/>
    <w:unhideWhenUsed/>
    <w:rsid w:val="0091670C"/>
    <w:pPr>
      <w:spacing w:before="100" w:beforeAutospacing="1" w:after="100" w:afterAutospacing="1"/>
    </w:pPr>
  </w:style>
  <w:style w:type="paragraph" w:styleId="FootnoteText">
    <w:name w:val="footnote text"/>
    <w:basedOn w:val="Normal"/>
    <w:link w:val="FootnoteTextChar"/>
    <w:rsid w:val="00E81E0D"/>
    <w:rPr>
      <w:sz w:val="20"/>
      <w:szCs w:val="20"/>
    </w:rPr>
  </w:style>
  <w:style w:type="character" w:customStyle="1" w:styleId="FootnoteTextChar">
    <w:name w:val="Footnote Text Char"/>
    <w:basedOn w:val="DefaultParagraphFont"/>
    <w:link w:val="FootnoteText"/>
    <w:rsid w:val="00E81E0D"/>
  </w:style>
  <w:style w:type="character" w:styleId="FootnoteReference">
    <w:name w:val="footnote reference"/>
    <w:rsid w:val="00E81E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3133">
      <w:bodyDiv w:val="1"/>
      <w:marLeft w:val="0"/>
      <w:marRight w:val="0"/>
      <w:marTop w:val="0"/>
      <w:marBottom w:val="0"/>
      <w:divBdr>
        <w:top w:val="none" w:sz="0" w:space="0" w:color="auto"/>
        <w:left w:val="none" w:sz="0" w:space="0" w:color="auto"/>
        <w:bottom w:val="none" w:sz="0" w:space="0" w:color="auto"/>
        <w:right w:val="none" w:sz="0" w:space="0" w:color="auto"/>
      </w:divBdr>
    </w:div>
    <w:div w:id="590624724">
      <w:bodyDiv w:val="1"/>
      <w:marLeft w:val="0"/>
      <w:marRight w:val="0"/>
      <w:marTop w:val="0"/>
      <w:marBottom w:val="0"/>
      <w:divBdr>
        <w:top w:val="none" w:sz="0" w:space="0" w:color="auto"/>
        <w:left w:val="none" w:sz="0" w:space="0" w:color="auto"/>
        <w:bottom w:val="none" w:sz="0" w:space="0" w:color="auto"/>
        <w:right w:val="none" w:sz="0" w:space="0" w:color="auto"/>
      </w:divBdr>
    </w:div>
    <w:div w:id="707023536">
      <w:bodyDiv w:val="1"/>
      <w:marLeft w:val="0"/>
      <w:marRight w:val="0"/>
      <w:marTop w:val="0"/>
      <w:marBottom w:val="0"/>
      <w:divBdr>
        <w:top w:val="none" w:sz="0" w:space="0" w:color="auto"/>
        <w:left w:val="none" w:sz="0" w:space="0" w:color="auto"/>
        <w:bottom w:val="none" w:sz="0" w:space="0" w:color="auto"/>
        <w:right w:val="none" w:sz="0" w:space="0" w:color="auto"/>
      </w:divBdr>
      <w:divsChild>
        <w:div w:id="1308588304">
          <w:marLeft w:val="0"/>
          <w:marRight w:val="0"/>
          <w:marTop w:val="0"/>
          <w:marBottom w:val="0"/>
          <w:divBdr>
            <w:top w:val="none" w:sz="0" w:space="0" w:color="auto"/>
            <w:left w:val="none" w:sz="0" w:space="0" w:color="auto"/>
            <w:bottom w:val="none" w:sz="0" w:space="0" w:color="auto"/>
            <w:right w:val="none" w:sz="0" w:space="0" w:color="auto"/>
          </w:divBdr>
          <w:divsChild>
            <w:div w:id="1457720082">
              <w:marLeft w:val="0"/>
              <w:marRight w:val="0"/>
              <w:marTop w:val="0"/>
              <w:marBottom w:val="0"/>
              <w:divBdr>
                <w:top w:val="none" w:sz="0" w:space="0" w:color="auto"/>
                <w:left w:val="none" w:sz="0" w:space="0" w:color="auto"/>
                <w:bottom w:val="none" w:sz="0" w:space="0" w:color="auto"/>
                <w:right w:val="none" w:sz="0" w:space="0" w:color="auto"/>
              </w:divBdr>
              <w:divsChild>
                <w:div w:id="424614443">
                  <w:marLeft w:val="0"/>
                  <w:marRight w:val="0"/>
                  <w:marTop w:val="0"/>
                  <w:marBottom w:val="0"/>
                  <w:divBdr>
                    <w:top w:val="none" w:sz="0" w:space="0" w:color="auto"/>
                    <w:left w:val="none" w:sz="0" w:space="0" w:color="auto"/>
                    <w:bottom w:val="none" w:sz="0" w:space="0" w:color="auto"/>
                    <w:right w:val="none" w:sz="0" w:space="0" w:color="auto"/>
                  </w:divBdr>
                  <w:divsChild>
                    <w:div w:id="1526014392">
                      <w:marLeft w:val="0"/>
                      <w:marRight w:val="0"/>
                      <w:marTop w:val="0"/>
                      <w:marBottom w:val="0"/>
                      <w:divBdr>
                        <w:top w:val="none" w:sz="0" w:space="0" w:color="auto"/>
                        <w:left w:val="none" w:sz="0" w:space="0" w:color="auto"/>
                        <w:bottom w:val="none" w:sz="0" w:space="0" w:color="auto"/>
                        <w:right w:val="none" w:sz="0" w:space="0" w:color="auto"/>
                      </w:divBdr>
                      <w:divsChild>
                        <w:div w:id="2038002491">
                          <w:marLeft w:val="0"/>
                          <w:marRight w:val="0"/>
                          <w:marTop w:val="0"/>
                          <w:marBottom w:val="0"/>
                          <w:divBdr>
                            <w:top w:val="none" w:sz="0" w:space="0" w:color="auto"/>
                            <w:left w:val="none" w:sz="0" w:space="0" w:color="auto"/>
                            <w:bottom w:val="none" w:sz="0" w:space="0" w:color="auto"/>
                            <w:right w:val="none" w:sz="0" w:space="0" w:color="auto"/>
                          </w:divBdr>
                          <w:divsChild>
                            <w:div w:id="1259365495">
                              <w:marLeft w:val="0"/>
                              <w:marRight w:val="0"/>
                              <w:marTop w:val="0"/>
                              <w:marBottom w:val="0"/>
                              <w:divBdr>
                                <w:top w:val="none" w:sz="0" w:space="0" w:color="auto"/>
                                <w:left w:val="none" w:sz="0" w:space="0" w:color="auto"/>
                                <w:bottom w:val="none" w:sz="0" w:space="0" w:color="auto"/>
                                <w:right w:val="none" w:sz="0" w:space="0" w:color="auto"/>
                              </w:divBdr>
                              <w:divsChild>
                                <w:div w:id="1617712790">
                                  <w:marLeft w:val="0"/>
                                  <w:marRight w:val="0"/>
                                  <w:marTop w:val="0"/>
                                  <w:marBottom w:val="0"/>
                                  <w:divBdr>
                                    <w:top w:val="none" w:sz="0" w:space="0" w:color="auto"/>
                                    <w:left w:val="none" w:sz="0" w:space="0" w:color="auto"/>
                                    <w:bottom w:val="none" w:sz="0" w:space="0" w:color="auto"/>
                                    <w:right w:val="none" w:sz="0" w:space="0" w:color="auto"/>
                                  </w:divBdr>
                                  <w:divsChild>
                                    <w:div w:id="1434982495">
                                      <w:marLeft w:val="0"/>
                                      <w:marRight w:val="0"/>
                                      <w:marTop w:val="0"/>
                                      <w:marBottom w:val="0"/>
                                      <w:divBdr>
                                        <w:top w:val="none" w:sz="0" w:space="0" w:color="auto"/>
                                        <w:left w:val="none" w:sz="0" w:space="0" w:color="auto"/>
                                        <w:bottom w:val="none" w:sz="0" w:space="0" w:color="auto"/>
                                        <w:right w:val="none" w:sz="0" w:space="0" w:color="auto"/>
                                      </w:divBdr>
                                      <w:divsChild>
                                        <w:div w:id="1404138601">
                                          <w:marLeft w:val="0"/>
                                          <w:marRight w:val="0"/>
                                          <w:marTop w:val="0"/>
                                          <w:marBottom w:val="0"/>
                                          <w:divBdr>
                                            <w:top w:val="none" w:sz="0" w:space="0" w:color="auto"/>
                                            <w:left w:val="none" w:sz="0" w:space="0" w:color="auto"/>
                                            <w:bottom w:val="none" w:sz="0" w:space="0" w:color="auto"/>
                                            <w:right w:val="none" w:sz="0" w:space="0" w:color="auto"/>
                                          </w:divBdr>
                                          <w:divsChild>
                                            <w:div w:id="1635674705">
                                              <w:marLeft w:val="0"/>
                                              <w:marRight w:val="0"/>
                                              <w:marTop w:val="0"/>
                                              <w:marBottom w:val="0"/>
                                              <w:divBdr>
                                                <w:top w:val="none" w:sz="0" w:space="0" w:color="auto"/>
                                                <w:left w:val="none" w:sz="0" w:space="0" w:color="auto"/>
                                                <w:bottom w:val="none" w:sz="0" w:space="0" w:color="auto"/>
                                                <w:right w:val="none" w:sz="0" w:space="0" w:color="auto"/>
                                              </w:divBdr>
                                              <w:divsChild>
                                                <w:div w:id="1998801619">
                                                  <w:marLeft w:val="0"/>
                                                  <w:marRight w:val="0"/>
                                                  <w:marTop w:val="0"/>
                                                  <w:marBottom w:val="0"/>
                                                  <w:divBdr>
                                                    <w:top w:val="none" w:sz="0" w:space="0" w:color="auto"/>
                                                    <w:left w:val="none" w:sz="0" w:space="0" w:color="auto"/>
                                                    <w:bottom w:val="none" w:sz="0" w:space="0" w:color="auto"/>
                                                    <w:right w:val="none" w:sz="0" w:space="0" w:color="auto"/>
                                                  </w:divBdr>
                                                  <w:divsChild>
                                                    <w:div w:id="1854489880">
                                                      <w:marLeft w:val="0"/>
                                                      <w:marRight w:val="0"/>
                                                      <w:marTop w:val="0"/>
                                                      <w:marBottom w:val="0"/>
                                                      <w:divBdr>
                                                        <w:top w:val="none" w:sz="0" w:space="0" w:color="auto"/>
                                                        <w:left w:val="none" w:sz="0" w:space="0" w:color="auto"/>
                                                        <w:bottom w:val="none" w:sz="0" w:space="0" w:color="auto"/>
                                                        <w:right w:val="none" w:sz="0" w:space="0" w:color="auto"/>
                                                      </w:divBdr>
                                                      <w:divsChild>
                                                        <w:div w:id="1960182477">
                                                          <w:marLeft w:val="0"/>
                                                          <w:marRight w:val="0"/>
                                                          <w:marTop w:val="0"/>
                                                          <w:marBottom w:val="0"/>
                                                          <w:divBdr>
                                                            <w:top w:val="none" w:sz="0" w:space="0" w:color="auto"/>
                                                            <w:left w:val="none" w:sz="0" w:space="0" w:color="auto"/>
                                                            <w:bottom w:val="none" w:sz="0" w:space="0" w:color="auto"/>
                                                            <w:right w:val="none" w:sz="0" w:space="0" w:color="auto"/>
                                                          </w:divBdr>
                                                          <w:divsChild>
                                                            <w:div w:id="153618042">
                                                              <w:marLeft w:val="0"/>
                                                              <w:marRight w:val="0"/>
                                                              <w:marTop w:val="0"/>
                                                              <w:marBottom w:val="0"/>
                                                              <w:divBdr>
                                                                <w:top w:val="none" w:sz="0" w:space="0" w:color="auto"/>
                                                                <w:left w:val="none" w:sz="0" w:space="0" w:color="auto"/>
                                                                <w:bottom w:val="none" w:sz="0" w:space="0" w:color="auto"/>
                                                                <w:right w:val="none" w:sz="0" w:space="0" w:color="auto"/>
                                                              </w:divBdr>
                                                              <w:divsChild>
                                                                <w:div w:id="2051295718">
                                                                  <w:marLeft w:val="0"/>
                                                                  <w:marRight w:val="0"/>
                                                                  <w:marTop w:val="0"/>
                                                                  <w:marBottom w:val="0"/>
                                                                  <w:divBdr>
                                                                    <w:top w:val="none" w:sz="0" w:space="0" w:color="auto"/>
                                                                    <w:left w:val="none" w:sz="0" w:space="0" w:color="auto"/>
                                                                    <w:bottom w:val="none" w:sz="0" w:space="0" w:color="auto"/>
                                                                    <w:right w:val="none" w:sz="0" w:space="0" w:color="auto"/>
                                                                  </w:divBdr>
                                                                  <w:divsChild>
                                                                    <w:div w:id="1301182189">
                                                                      <w:marLeft w:val="0"/>
                                                                      <w:marRight w:val="0"/>
                                                                      <w:marTop w:val="0"/>
                                                                      <w:marBottom w:val="0"/>
                                                                      <w:divBdr>
                                                                        <w:top w:val="none" w:sz="0" w:space="0" w:color="auto"/>
                                                                        <w:left w:val="none" w:sz="0" w:space="0" w:color="auto"/>
                                                                        <w:bottom w:val="none" w:sz="0" w:space="0" w:color="auto"/>
                                                                        <w:right w:val="none" w:sz="0" w:space="0" w:color="auto"/>
                                                                      </w:divBdr>
                                                                      <w:divsChild>
                                                                        <w:div w:id="1228228180">
                                                                          <w:marLeft w:val="0"/>
                                                                          <w:marRight w:val="0"/>
                                                                          <w:marTop w:val="0"/>
                                                                          <w:marBottom w:val="0"/>
                                                                          <w:divBdr>
                                                                            <w:top w:val="none" w:sz="0" w:space="0" w:color="auto"/>
                                                                            <w:left w:val="none" w:sz="0" w:space="0" w:color="auto"/>
                                                                            <w:bottom w:val="none" w:sz="0" w:space="0" w:color="auto"/>
                                                                            <w:right w:val="none" w:sz="0" w:space="0" w:color="auto"/>
                                                                          </w:divBdr>
                                                                          <w:divsChild>
                                                                            <w:div w:id="89932809">
                                                                              <w:marLeft w:val="0"/>
                                                                              <w:marRight w:val="0"/>
                                                                              <w:marTop w:val="0"/>
                                                                              <w:marBottom w:val="0"/>
                                                                              <w:divBdr>
                                                                                <w:top w:val="none" w:sz="0" w:space="0" w:color="auto"/>
                                                                                <w:left w:val="none" w:sz="0" w:space="0" w:color="auto"/>
                                                                                <w:bottom w:val="none" w:sz="0" w:space="0" w:color="auto"/>
                                                                                <w:right w:val="none" w:sz="0" w:space="0" w:color="auto"/>
                                                                              </w:divBdr>
                                                                              <w:divsChild>
                                                                                <w:div w:id="1730227889">
                                                                                  <w:marLeft w:val="0"/>
                                                                                  <w:marRight w:val="0"/>
                                                                                  <w:marTop w:val="0"/>
                                                                                  <w:marBottom w:val="0"/>
                                                                                  <w:divBdr>
                                                                                    <w:top w:val="none" w:sz="0" w:space="0" w:color="auto"/>
                                                                                    <w:left w:val="none" w:sz="0" w:space="0" w:color="auto"/>
                                                                                    <w:bottom w:val="none" w:sz="0" w:space="0" w:color="auto"/>
                                                                                    <w:right w:val="none" w:sz="0" w:space="0" w:color="auto"/>
                                                                                  </w:divBdr>
                                                                                  <w:divsChild>
                                                                                    <w:div w:id="1375890054">
                                                                                      <w:marLeft w:val="0"/>
                                                                                      <w:marRight w:val="0"/>
                                                                                      <w:marTop w:val="0"/>
                                                                                      <w:marBottom w:val="0"/>
                                                                                      <w:divBdr>
                                                                                        <w:top w:val="none" w:sz="0" w:space="0" w:color="auto"/>
                                                                                        <w:left w:val="none" w:sz="0" w:space="0" w:color="auto"/>
                                                                                        <w:bottom w:val="none" w:sz="0" w:space="0" w:color="auto"/>
                                                                                        <w:right w:val="none" w:sz="0" w:space="0" w:color="auto"/>
                                                                                      </w:divBdr>
                                                                                      <w:divsChild>
                                                                                        <w:div w:id="1359814612">
                                                                                          <w:marLeft w:val="0"/>
                                                                                          <w:marRight w:val="0"/>
                                                                                          <w:marTop w:val="0"/>
                                                                                          <w:marBottom w:val="0"/>
                                                                                          <w:divBdr>
                                                                                            <w:top w:val="none" w:sz="0" w:space="0" w:color="auto"/>
                                                                                            <w:left w:val="none" w:sz="0" w:space="0" w:color="auto"/>
                                                                                            <w:bottom w:val="none" w:sz="0" w:space="0" w:color="auto"/>
                                                                                            <w:right w:val="none" w:sz="0" w:space="0" w:color="auto"/>
                                                                                          </w:divBdr>
                                                                                          <w:divsChild>
                                                                                            <w:div w:id="1066339742">
                                                                                              <w:marLeft w:val="0"/>
                                                                                              <w:marRight w:val="0"/>
                                                                                              <w:marTop w:val="0"/>
                                                                                              <w:marBottom w:val="0"/>
                                                                                              <w:divBdr>
                                                                                                <w:top w:val="none" w:sz="0" w:space="0" w:color="auto"/>
                                                                                                <w:left w:val="none" w:sz="0" w:space="0" w:color="auto"/>
                                                                                                <w:bottom w:val="none" w:sz="0" w:space="0" w:color="auto"/>
                                                                                                <w:right w:val="none" w:sz="0" w:space="0" w:color="auto"/>
                                                                                              </w:divBdr>
                                                                                              <w:divsChild>
                                                                                                <w:div w:id="324280729">
                                                                                                  <w:marLeft w:val="0"/>
                                                                                                  <w:marRight w:val="0"/>
                                                                                                  <w:marTop w:val="0"/>
                                                                                                  <w:marBottom w:val="0"/>
                                                                                                  <w:divBdr>
                                                                                                    <w:top w:val="none" w:sz="0" w:space="0" w:color="auto"/>
                                                                                                    <w:left w:val="none" w:sz="0" w:space="0" w:color="auto"/>
                                                                                                    <w:bottom w:val="none" w:sz="0" w:space="0" w:color="auto"/>
                                                                                                    <w:right w:val="none" w:sz="0" w:space="0" w:color="auto"/>
                                                                                                  </w:divBdr>
                                                                                                </w:div>
                                                                                                <w:div w:id="1086268836">
                                                                                                  <w:marLeft w:val="0"/>
                                                                                                  <w:marRight w:val="0"/>
                                                                                                  <w:marTop w:val="0"/>
                                                                                                  <w:marBottom w:val="0"/>
                                                                                                  <w:divBdr>
                                                                                                    <w:top w:val="none" w:sz="0" w:space="0" w:color="auto"/>
                                                                                                    <w:left w:val="none" w:sz="0" w:space="0" w:color="auto"/>
                                                                                                    <w:bottom w:val="none" w:sz="0" w:space="0" w:color="auto"/>
                                                                                                    <w:right w:val="none" w:sz="0" w:space="0" w:color="auto"/>
                                                                                                  </w:divBdr>
                                                                                                  <w:divsChild>
                                                                                                    <w:div w:id="543517368">
                                                                                                      <w:marLeft w:val="0"/>
                                                                                                      <w:marRight w:val="0"/>
                                                                                                      <w:marTop w:val="0"/>
                                                                                                      <w:marBottom w:val="0"/>
                                                                                                      <w:divBdr>
                                                                                                        <w:top w:val="none" w:sz="0" w:space="0" w:color="auto"/>
                                                                                                        <w:left w:val="none" w:sz="0" w:space="0" w:color="auto"/>
                                                                                                        <w:bottom w:val="none" w:sz="0" w:space="0" w:color="auto"/>
                                                                                                        <w:right w:val="none" w:sz="0" w:space="0" w:color="auto"/>
                                                                                                      </w:divBdr>
                                                                                                      <w:divsChild>
                                                                                                        <w:div w:id="1016888112">
                                                                                                          <w:marLeft w:val="0"/>
                                                                                                          <w:marRight w:val="0"/>
                                                                                                          <w:marTop w:val="0"/>
                                                                                                          <w:marBottom w:val="0"/>
                                                                                                          <w:divBdr>
                                                                                                            <w:top w:val="none" w:sz="0" w:space="0" w:color="auto"/>
                                                                                                            <w:left w:val="none" w:sz="0" w:space="0" w:color="auto"/>
                                                                                                            <w:bottom w:val="none" w:sz="0" w:space="0" w:color="auto"/>
                                                                                                            <w:right w:val="none" w:sz="0" w:space="0" w:color="auto"/>
                                                                                                          </w:divBdr>
                                                                                                          <w:divsChild>
                                                                                                            <w:div w:id="1744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140338">
      <w:bodyDiv w:val="1"/>
      <w:marLeft w:val="0"/>
      <w:marRight w:val="0"/>
      <w:marTop w:val="0"/>
      <w:marBottom w:val="0"/>
      <w:divBdr>
        <w:top w:val="none" w:sz="0" w:space="0" w:color="auto"/>
        <w:left w:val="none" w:sz="0" w:space="0" w:color="auto"/>
        <w:bottom w:val="none" w:sz="0" w:space="0" w:color="auto"/>
        <w:right w:val="none" w:sz="0" w:space="0" w:color="auto"/>
      </w:divBdr>
    </w:div>
    <w:div w:id="1084914987">
      <w:bodyDiv w:val="1"/>
      <w:marLeft w:val="0"/>
      <w:marRight w:val="0"/>
      <w:marTop w:val="0"/>
      <w:marBottom w:val="0"/>
      <w:divBdr>
        <w:top w:val="none" w:sz="0" w:space="0" w:color="auto"/>
        <w:left w:val="none" w:sz="0" w:space="0" w:color="auto"/>
        <w:bottom w:val="none" w:sz="0" w:space="0" w:color="auto"/>
        <w:right w:val="none" w:sz="0" w:space="0" w:color="auto"/>
      </w:divBdr>
    </w:div>
    <w:div w:id="1231039477">
      <w:bodyDiv w:val="1"/>
      <w:marLeft w:val="0"/>
      <w:marRight w:val="0"/>
      <w:marTop w:val="0"/>
      <w:marBottom w:val="0"/>
      <w:divBdr>
        <w:top w:val="none" w:sz="0" w:space="0" w:color="auto"/>
        <w:left w:val="none" w:sz="0" w:space="0" w:color="auto"/>
        <w:bottom w:val="none" w:sz="0" w:space="0" w:color="auto"/>
        <w:right w:val="none" w:sz="0" w:space="0" w:color="auto"/>
      </w:divBdr>
    </w:div>
    <w:div w:id="1295597551">
      <w:bodyDiv w:val="1"/>
      <w:marLeft w:val="0"/>
      <w:marRight w:val="0"/>
      <w:marTop w:val="0"/>
      <w:marBottom w:val="0"/>
      <w:divBdr>
        <w:top w:val="none" w:sz="0" w:space="0" w:color="auto"/>
        <w:left w:val="none" w:sz="0" w:space="0" w:color="auto"/>
        <w:bottom w:val="none" w:sz="0" w:space="0" w:color="auto"/>
        <w:right w:val="none" w:sz="0" w:space="0" w:color="auto"/>
      </w:divBdr>
    </w:div>
    <w:div w:id="1366445990">
      <w:bodyDiv w:val="1"/>
      <w:marLeft w:val="0"/>
      <w:marRight w:val="0"/>
      <w:marTop w:val="0"/>
      <w:marBottom w:val="0"/>
      <w:divBdr>
        <w:top w:val="none" w:sz="0" w:space="0" w:color="auto"/>
        <w:left w:val="none" w:sz="0" w:space="0" w:color="auto"/>
        <w:bottom w:val="none" w:sz="0" w:space="0" w:color="auto"/>
        <w:right w:val="none" w:sz="0" w:space="0" w:color="auto"/>
      </w:divBdr>
    </w:div>
    <w:div w:id="1467579281">
      <w:bodyDiv w:val="1"/>
      <w:marLeft w:val="0"/>
      <w:marRight w:val="0"/>
      <w:marTop w:val="0"/>
      <w:marBottom w:val="0"/>
      <w:divBdr>
        <w:top w:val="none" w:sz="0" w:space="0" w:color="auto"/>
        <w:left w:val="none" w:sz="0" w:space="0" w:color="auto"/>
        <w:bottom w:val="none" w:sz="0" w:space="0" w:color="auto"/>
        <w:right w:val="none" w:sz="0" w:space="0" w:color="auto"/>
      </w:divBdr>
    </w:div>
    <w:div w:id="1505586191">
      <w:bodyDiv w:val="1"/>
      <w:marLeft w:val="0"/>
      <w:marRight w:val="0"/>
      <w:marTop w:val="0"/>
      <w:marBottom w:val="0"/>
      <w:divBdr>
        <w:top w:val="none" w:sz="0" w:space="0" w:color="auto"/>
        <w:left w:val="none" w:sz="0" w:space="0" w:color="auto"/>
        <w:bottom w:val="none" w:sz="0" w:space="0" w:color="auto"/>
        <w:right w:val="none" w:sz="0" w:space="0" w:color="auto"/>
      </w:divBdr>
    </w:div>
    <w:div w:id="1551309338">
      <w:bodyDiv w:val="1"/>
      <w:marLeft w:val="0"/>
      <w:marRight w:val="0"/>
      <w:marTop w:val="0"/>
      <w:marBottom w:val="0"/>
      <w:divBdr>
        <w:top w:val="none" w:sz="0" w:space="0" w:color="auto"/>
        <w:left w:val="none" w:sz="0" w:space="0" w:color="auto"/>
        <w:bottom w:val="none" w:sz="0" w:space="0" w:color="auto"/>
        <w:right w:val="none" w:sz="0" w:space="0" w:color="auto"/>
      </w:divBdr>
    </w:div>
    <w:div w:id="1569609346">
      <w:bodyDiv w:val="1"/>
      <w:marLeft w:val="0"/>
      <w:marRight w:val="0"/>
      <w:marTop w:val="45"/>
      <w:marBottom w:val="45"/>
      <w:divBdr>
        <w:top w:val="none" w:sz="0" w:space="0" w:color="auto"/>
        <w:left w:val="none" w:sz="0" w:space="0" w:color="auto"/>
        <w:bottom w:val="none" w:sz="0" w:space="0" w:color="auto"/>
        <w:right w:val="none" w:sz="0" w:space="0" w:color="auto"/>
      </w:divBdr>
      <w:divsChild>
        <w:div w:id="540364311">
          <w:marLeft w:val="0"/>
          <w:marRight w:val="0"/>
          <w:marTop w:val="0"/>
          <w:marBottom w:val="0"/>
          <w:divBdr>
            <w:top w:val="none" w:sz="0" w:space="0" w:color="auto"/>
            <w:left w:val="none" w:sz="0" w:space="0" w:color="auto"/>
            <w:bottom w:val="none" w:sz="0" w:space="0" w:color="auto"/>
            <w:right w:val="none" w:sz="0" w:space="0" w:color="auto"/>
          </w:divBdr>
          <w:divsChild>
            <w:div w:id="2014332346">
              <w:marLeft w:val="0"/>
              <w:marRight w:val="0"/>
              <w:marTop w:val="0"/>
              <w:marBottom w:val="0"/>
              <w:divBdr>
                <w:top w:val="none" w:sz="0" w:space="0" w:color="auto"/>
                <w:left w:val="none" w:sz="0" w:space="0" w:color="auto"/>
                <w:bottom w:val="none" w:sz="0" w:space="0" w:color="auto"/>
                <w:right w:val="none" w:sz="0" w:space="0" w:color="auto"/>
              </w:divBdr>
              <w:divsChild>
                <w:div w:id="1131754126">
                  <w:marLeft w:val="0"/>
                  <w:marRight w:val="0"/>
                  <w:marTop w:val="0"/>
                  <w:marBottom w:val="0"/>
                  <w:divBdr>
                    <w:top w:val="none" w:sz="0" w:space="0" w:color="auto"/>
                    <w:left w:val="none" w:sz="0" w:space="0" w:color="auto"/>
                    <w:bottom w:val="none" w:sz="0" w:space="0" w:color="auto"/>
                    <w:right w:val="none" w:sz="0" w:space="0" w:color="auto"/>
                  </w:divBdr>
                  <w:divsChild>
                    <w:div w:id="745762158">
                      <w:marLeft w:val="0"/>
                      <w:marRight w:val="0"/>
                      <w:marTop w:val="0"/>
                      <w:marBottom w:val="0"/>
                      <w:divBdr>
                        <w:top w:val="none" w:sz="0" w:space="0" w:color="auto"/>
                        <w:left w:val="none" w:sz="0" w:space="0" w:color="auto"/>
                        <w:bottom w:val="none" w:sz="0" w:space="0" w:color="auto"/>
                        <w:right w:val="none" w:sz="0" w:space="0" w:color="auto"/>
                      </w:divBdr>
                      <w:divsChild>
                        <w:div w:id="1921215180">
                          <w:marLeft w:val="0"/>
                          <w:marRight w:val="0"/>
                          <w:marTop w:val="315"/>
                          <w:marBottom w:val="0"/>
                          <w:divBdr>
                            <w:top w:val="none" w:sz="0" w:space="0" w:color="auto"/>
                            <w:left w:val="none" w:sz="0" w:space="0" w:color="auto"/>
                            <w:bottom w:val="none" w:sz="0" w:space="0" w:color="auto"/>
                            <w:right w:val="none" w:sz="0" w:space="0" w:color="auto"/>
                          </w:divBdr>
                          <w:divsChild>
                            <w:div w:id="1190605080">
                              <w:marLeft w:val="1980"/>
                              <w:marRight w:val="3960"/>
                              <w:marTop w:val="0"/>
                              <w:marBottom w:val="0"/>
                              <w:divBdr>
                                <w:top w:val="none" w:sz="0" w:space="0" w:color="auto"/>
                                <w:left w:val="none" w:sz="0" w:space="0" w:color="auto"/>
                                <w:bottom w:val="none" w:sz="0" w:space="0" w:color="auto"/>
                                <w:right w:val="none" w:sz="0" w:space="0" w:color="auto"/>
                              </w:divBdr>
                              <w:divsChild>
                                <w:div w:id="1670056799">
                                  <w:marLeft w:val="0"/>
                                  <w:marRight w:val="0"/>
                                  <w:marTop w:val="0"/>
                                  <w:marBottom w:val="0"/>
                                  <w:divBdr>
                                    <w:top w:val="none" w:sz="0" w:space="0" w:color="auto"/>
                                    <w:left w:val="none" w:sz="0" w:space="0" w:color="auto"/>
                                    <w:bottom w:val="none" w:sz="0" w:space="0" w:color="auto"/>
                                    <w:right w:val="none" w:sz="0" w:space="0" w:color="auto"/>
                                  </w:divBdr>
                                  <w:divsChild>
                                    <w:div w:id="501285307">
                                      <w:marLeft w:val="0"/>
                                      <w:marRight w:val="0"/>
                                      <w:marTop w:val="0"/>
                                      <w:marBottom w:val="0"/>
                                      <w:divBdr>
                                        <w:top w:val="none" w:sz="0" w:space="0" w:color="auto"/>
                                        <w:left w:val="none" w:sz="0" w:space="0" w:color="auto"/>
                                        <w:bottom w:val="none" w:sz="0" w:space="0" w:color="auto"/>
                                        <w:right w:val="none" w:sz="0" w:space="0" w:color="auto"/>
                                      </w:divBdr>
                                      <w:divsChild>
                                        <w:div w:id="1737044089">
                                          <w:marLeft w:val="0"/>
                                          <w:marRight w:val="0"/>
                                          <w:marTop w:val="0"/>
                                          <w:marBottom w:val="0"/>
                                          <w:divBdr>
                                            <w:top w:val="none" w:sz="0" w:space="0" w:color="auto"/>
                                            <w:left w:val="none" w:sz="0" w:space="0" w:color="auto"/>
                                            <w:bottom w:val="none" w:sz="0" w:space="0" w:color="auto"/>
                                            <w:right w:val="none" w:sz="0" w:space="0" w:color="auto"/>
                                          </w:divBdr>
                                          <w:divsChild>
                                            <w:div w:id="911089502">
                                              <w:marLeft w:val="0"/>
                                              <w:marRight w:val="0"/>
                                              <w:marTop w:val="0"/>
                                              <w:marBottom w:val="0"/>
                                              <w:divBdr>
                                                <w:top w:val="none" w:sz="0" w:space="0" w:color="auto"/>
                                                <w:left w:val="none" w:sz="0" w:space="0" w:color="auto"/>
                                                <w:bottom w:val="none" w:sz="0" w:space="0" w:color="auto"/>
                                                <w:right w:val="none" w:sz="0" w:space="0" w:color="auto"/>
                                              </w:divBdr>
                                              <w:divsChild>
                                                <w:div w:id="150103675">
                                                  <w:marLeft w:val="0"/>
                                                  <w:marRight w:val="0"/>
                                                  <w:marTop w:val="0"/>
                                                  <w:marBottom w:val="0"/>
                                                  <w:divBdr>
                                                    <w:top w:val="none" w:sz="0" w:space="0" w:color="auto"/>
                                                    <w:left w:val="none" w:sz="0" w:space="0" w:color="auto"/>
                                                    <w:bottom w:val="none" w:sz="0" w:space="0" w:color="auto"/>
                                                    <w:right w:val="none" w:sz="0" w:space="0" w:color="auto"/>
                                                  </w:divBdr>
                                                  <w:divsChild>
                                                    <w:div w:id="1873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861488">
      <w:bodyDiv w:val="1"/>
      <w:marLeft w:val="0"/>
      <w:marRight w:val="0"/>
      <w:marTop w:val="0"/>
      <w:marBottom w:val="0"/>
      <w:divBdr>
        <w:top w:val="none" w:sz="0" w:space="0" w:color="auto"/>
        <w:left w:val="none" w:sz="0" w:space="0" w:color="auto"/>
        <w:bottom w:val="none" w:sz="0" w:space="0" w:color="auto"/>
        <w:right w:val="none" w:sz="0" w:space="0" w:color="auto"/>
      </w:divBdr>
    </w:div>
    <w:div w:id="1977173225">
      <w:bodyDiv w:val="1"/>
      <w:marLeft w:val="0"/>
      <w:marRight w:val="0"/>
      <w:marTop w:val="0"/>
      <w:marBottom w:val="0"/>
      <w:divBdr>
        <w:top w:val="none" w:sz="0" w:space="0" w:color="auto"/>
        <w:left w:val="none" w:sz="0" w:space="0" w:color="auto"/>
        <w:bottom w:val="none" w:sz="0" w:space="0" w:color="auto"/>
        <w:right w:val="none" w:sz="0" w:space="0" w:color="auto"/>
      </w:divBdr>
    </w:div>
    <w:div w:id="20494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afetyandquality.gov.au/wp-content/uploads/2012/10/Standard7_Oct_2012_WEB.pdf" TargetMode="External"/><Relationship Id="rId18" Type="http://schemas.openxmlformats.org/officeDocument/2006/relationships/hyperlink" Target="http://www.safetyandquality.gov.au/wp-content/uploads/2012/10/Standard7_Oct_2012_WEB.pdf" TargetMode="External"/><Relationship Id="rId3" Type="http://schemas.openxmlformats.org/officeDocument/2006/relationships/styles" Target="styles.xml"/><Relationship Id="rId21" Type="http://schemas.openxmlformats.org/officeDocument/2006/relationships/hyperlink" Target="http://www.transfusion.com.au/sites/default/files/iTransfuse-FS-Vol4No9-Single-unit-red-blood-cell-transfusion-Published_0.pdf" TargetMode="External"/><Relationship Id="rId7" Type="http://schemas.openxmlformats.org/officeDocument/2006/relationships/endnotes" Target="endnotes.xml"/><Relationship Id="rId12" Type="http://schemas.openxmlformats.org/officeDocument/2006/relationships/hyperlink" Target="http://www.blood.gov.au/pbm-guidelines" TargetMode="External"/><Relationship Id="rId17" Type="http://schemas.openxmlformats.org/officeDocument/2006/relationships/hyperlink" Target="http://www.blood.gov.au/pbm-guidelines" TargetMode="External"/><Relationship Id="rId2" Type="http://schemas.openxmlformats.org/officeDocument/2006/relationships/numbering" Target="numbering.xml"/><Relationship Id="rId16" Type="http://schemas.openxmlformats.org/officeDocument/2006/relationships/hyperlink" Target="http://www.blood.gov.au/pbm-guidelines" TargetMode="External"/><Relationship Id="rId20" Type="http://schemas.openxmlformats.org/officeDocument/2006/relationships/hyperlink" Target="http://www.health.wa.gov.au/bloodmanagement/docs/Single%20Unit%20Rul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lood.gov.au/pbm-guidelines%2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cshguidelines.com/documents/BCSH_Blood_Admin_-_addendum_August_2012.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afetyandquality.gov.au/wp-content/uploads/2012/10/Standard7_Oct_2012_WEB.pdf" TargetMode="External"/><Relationship Id="rId22" Type="http://schemas.openxmlformats.org/officeDocument/2006/relationships/hyperlink" Target="http://www.transfusion.com.au/sites/default/files/iTransfuse-FS-Vol4No3-I-Need-To-Know-About-Patient-Blood-Management-Publish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2587-5565-4E0E-9CF9-0914A24C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10742</Words>
  <Characters>61234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CLINICAL GUIDELINE</vt:lpstr>
    </vt:vector>
  </TitlesOfParts>
  <Company>Hunter New England Area Health Service</Company>
  <LinksUpToDate>false</LinksUpToDate>
  <CharactersWithSpaces>71833</CharactersWithSpaces>
  <SharedDoc>false</SharedDoc>
  <HLinks>
    <vt:vector size="66" baseType="variant">
      <vt:variant>
        <vt:i4>7929982</vt:i4>
      </vt:variant>
      <vt:variant>
        <vt:i4>122</vt:i4>
      </vt:variant>
      <vt:variant>
        <vt:i4>0</vt:i4>
      </vt:variant>
      <vt:variant>
        <vt:i4>5</vt:i4>
      </vt:variant>
      <vt:variant>
        <vt:lpwstr>http://www.transfusion.com.au/sites/default/files/iTransfuse-FS-Vol4No3-I-Need-To-Know-About-Patient-Blood-Management-Published.pdf</vt:lpwstr>
      </vt:variant>
      <vt:variant>
        <vt:lpwstr/>
      </vt:variant>
      <vt:variant>
        <vt:i4>7077915</vt:i4>
      </vt:variant>
      <vt:variant>
        <vt:i4>119</vt:i4>
      </vt:variant>
      <vt:variant>
        <vt:i4>0</vt:i4>
      </vt:variant>
      <vt:variant>
        <vt:i4>5</vt:i4>
      </vt:variant>
      <vt:variant>
        <vt:lpwstr>http://www.transfusion.com.au/sites/default/files/iTransfuse-FS-Vol4No9-Single-unit-red-blood-cell-transfusion-Published_0.pdf</vt:lpwstr>
      </vt:variant>
      <vt:variant>
        <vt:lpwstr/>
      </vt:variant>
      <vt:variant>
        <vt:i4>917598</vt:i4>
      </vt:variant>
      <vt:variant>
        <vt:i4>116</vt:i4>
      </vt:variant>
      <vt:variant>
        <vt:i4>0</vt:i4>
      </vt:variant>
      <vt:variant>
        <vt:i4>5</vt:i4>
      </vt:variant>
      <vt:variant>
        <vt:lpwstr>http://www.health.wa.gov.au/bloodmanagement/docs/Single Unit Rule.pdf</vt:lpwstr>
      </vt:variant>
      <vt:variant>
        <vt:lpwstr/>
      </vt:variant>
      <vt:variant>
        <vt:i4>4587533</vt:i4>
      </vt:variant>
      <vt:variant>
        <vt:i4>113</vt:i4>
      </vt:variant>
      <vt:variant>
        <vt:i4>0</vt:i4>
      </vt:variant>
      <vt:variant>
        <vt:i4>5</vt:i4>
      </vt:variant>
      <vt:variant>
        <vt:lpwstr>http://www.bcshguidelines.com/documents/BCSH_Blood_Admin_-_addendum_August_2012.pdf</vt:lpwstr>
      </vt:variant>
      <vt:variant>
        <vt:lpwstr/>
      </vt:variant>
      <vt:variant>
        <vt:i4>852028</vt:i4>
      </vt:variant>
      <vt:variant>
        <vt:i4>110</vt:i4>
      </vt:variant>
      <vt:variant>
        <vt:i4>0</vt:i4>
      </vt:variant>
      <vt:variant>
        <vt:i4>5</vt:i4>
      </vt:variant>
      <vt:variant>
        <vt:lpwstr>http://www.safetyandquality.gov.au/wp-content/uploads/2012/10/Standard7_Oct_2012_WEB.pdf</vt:lpwstr>
      </vt:variant>
      <vt:variant>
        <vt:lpwstr/>
      </vt:variant>
      <vt:variant>
        <vt:i4>3276851</vt:i4>
      </vt:variant>
      <vt:variant>
        <vt:i4>107</vt:i4>
      </vt:variant>
      <vt:variant>
        <vt:i4>0</vt:i4>
      </vt:variant>
      <vt:variant>
        <vt:i4>5</vt:i4>
      </vt:variant>
      <vt:variant>
        <vt:lpwstr>http://www.blood.gov.au/pbm-guidelines</vt:lpwstr>
      </vt:variant>
      <vt:variant>
        <vt:lpwstr/>
      </vt:variant>
      <vt:variant>
        <vt:i4>3276851</vt:i4>
      </vt:variant>
      <vt:variant>
        <vt:i4>104</vt:i4>
      </vt:variant>
      <vt:variant>
        <vt:i4>0</vt:i4>
      </vt:variant>
      <vt:variant>
        <vt:i4>5</vt:i4>
      </vt:variant>
      <vt:variant>
        <vt:lpwstr>http://www.blood.gov.au/pbm-guidelines</vt:lpwstr>
      </vt:variant>
      <vt:variant>
        <vt:lpwstr/>
      </vt:variant>
      <vt:variant>
        <vt:i4>3276851</vt:i4>
      </vt:variant>
      <vt:variant>
        <vt:i4>101</vt:i4>
      </vt:variant>
      <vt:variant>
        <vt:i4>0</vt:i4>
      </vt:variant>
      <vt:variant>
        <vt:i4>5</vt:i4>
      </vt:variant>
      <vt:variant>
        <vt:lpwstr>http://www.blood.gov.au/pbm-guidelines</vt:lpwstr>
      </vt:variant>
      <vt:variant>
        <vt:lpwstr/>
      </vt:variant>
      <vt:variant>
        <vt:i4>852028</vt:i4>
      </vt:variant>
      <vt:variant>
        <vt:i4>54</vt:i4>
      </vt:variant>
      <vt:variant>
        <vt:i4>0</vt:i4>
      </vt:variant>
      <vt:variant>
        <vt:i4>5</vt:i4>
      </vt:variant>
      <vt:variant>
        <vt:lpwstr>http://www.safetyandquality.gov.au/wp-content/uploads/2012/10/Standard7_Oct_2012_WEB.pdf</vt:lpwstr>
      </vt:variant>
      <vt:variant>
        <vt:lpwstr/>
      </vt:variant>
      <vt:variant>
        <vt:i4>852028</vt:i4>
      </vt:variant>
      <vt:variant>
        <vt:i4>12</vt:i4>
      </vt:variant>
      <vt:variant>
        <vt:i4>0</vt:i4>
      </vt:variant>
      <vt:variant>
        <vt:i4>5</vt:i4>
      </vt:variant>
      <vt:variant>
        <vt:lpwstr>http://www.safetyandquality.gov.au/wp-content/uploads/2012/10/Standard7_Oct_2012_WEB.pdf</vt:lpwstr>
      </vt:variant>
      <vt:variant>
        <vt:lpwstr/>
      </vt:variant>
      <vt:variant>
        <vt:i4>3276851</vt:i4>
      </vt:variant>
      <vt:variant>
        <vt:i4>9</vt:i4>
      </vt:variant>
      <vt:variant>
        <vt:i4>0</vt:i4>
      </vt:variant>
      <vt:variant>
        <vt:i4>5</vt:i4>
      </vt:variant>
      <vt:variant>
        <vt:lpwstr>http://www.blood.gov.au/pbm-guidelines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GUIDELINE</dc:title>
  <dc:subject/>
  <dc:creator>SDiemar</dc:creator>
  <cp:keywords/>
  <cp:lastModifiedBy>Tran, Alice</cp:lastModifiedBy>
  <cp:revision>2</cp:revision>
  <cp:lastPrinted>2013-09-17T23:41:00Z</cp:lastPrinted>
  <dcterms:created xsi:type="dcterms:W3CDTF">2024-09-30T00:45:00Z</dcterms:created>
  <dcterms:modified xsi:type="dcterms:W3CDTF">2024-09-30T00:45:00Z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Lyndsay.Wall@blood.gov.au@www.mendeley.com</vt:lpwstr>
  </property>
  <property fmtid="{D5CDD505-2E9C-101B-9397-08002B2CF9AE}" pid="4" name="Mendeley Citation Style_1">
    <vt:lpwstr>http://www.zotero.org/styles/nature</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ies>
</file>