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B0" w:rsidRDefault="00DE70B0" w:rsidP="00B554E2">
      <w:pPr>
        <w:pStyle w:val="Heading2"/>
        <w:ind w:left="-284"/>
      </w:pPr>
      <w:r w:rsidRPr="00DE70B0">
        <w:t>Si</w:t>
      </w:r>
      <w:r w:rsidR="000E6538">
        <w:t>ngle Unit Transfusion Guide</w:t>
      </w:r>
      <w:r w:rsidR="00BD4FCB">
        <w:t xml:space="preserve"> – </w:t>
      </w:r>
      <w:r w:rsidR="00B554E2">
        <w:t>handout of information</w:t>
      </w:r>
      <w:r w:rsidRPr="00DE70B0">
        <w:t xml:space="preserve"> </w:t>
      </w:r>
    </w:p>
    <w:p w:rsidR="00E83CB9" w:rsidRPr="000E418A" w:rsidRDefault="00E83CB9" w:rsidP="000E418A">
      <w:pPr>
        <w:pStyle w:val="Heading2"/>
        <w:spacing w:before="0"/>
        <w:ind w:left="-284"/>
      </w:pPr>
      <w:r>
        <w:t>“</w:t>
      </w:r>
      <w:r w:rsidRPr="000E418A">
        <w:rPr>
          <w:b/>
        </w:rPr>
        <w:t xml:space="preserve">Every </w:t>
      </w:r>
      <w:r w:rsidRPr="000E418A">
        <w:rPr>
          <w:b/>
          <w:color w:val="FF0000"/>
        </w:rPr>
        <w:t xml:space="preserve">ONE </w:t>
      </w:r>
      <w:r w:rsidRPr="000E418A">
        <w:rPr>
          <w:b/>
        </w:rPr>
        <w:t>matters</w:t>
      </w:r>
      <w:r>
        <w:t>”</w:t>
      </w:r>
    </w:p>
    <w:p w:rsidR="00DE70B0" w:rsidRPr="00144C52" w:rsidRDefault="00DE70B0" w:rsidP="000E418A">
      <w:pPr>
        <w:pStyle w:val="Heading4"/>
        <w:spacing w:before="240" w:line="276" w:lineRule="auto"/>
        <w:ind w:left="-284"/>
        <w:rPr>
          <w:sz w:val="21"/>
          <w:szCs w:val="21"/>
        </w:rPr>
      </w:pPr>
      <w:r w:rsidRPr="00144C52">
        <w:rPr>
          <w:sz w:val="21"/>
          <w:szCs w:val="21"/>
        </w:rPr>
        <w:t>INTRODUCTION:</w:t>
      </w:r>
    </w:p>
    <w:p w:rsidR="00DE70B0" w:rsidRPr="00144C52" w:rsidRDefault="000E33FE"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S</w:t>
      </w:r>
      <w:r w:rsidR="00DE70B0" w:rsidRPr="00144C52">
        <w:rPr>
          <w:rFonts w:asciiTheme="minorHAnsi" w:eastAsiaTheme="minorHAnsi" w:hAnsiTheme="minorHAnsi" w:cstheme="minorHAnsi"/>
          <w:sz w:val="21"/>
          <w:szCs w:val="21"/>
        </w:rPr>
        <w:t>ingle</w:t>
      </w:r>
      <w:r w:rsidRPr="00144C52">
        <w:rPr>
          <w:rFonts w:asciiTheme="minorHAnsi" w:eastAsiaTheme="minorHAnsi" w:hAnsiTheme="minorHAnsi" w:cstheme="minorHAnsi"/>
          <w:sz w:val="21"/>
          <w:szCs w:val="21"/>
        </w:rPr>
        <w:t xml:space="preserve"> </w:t>
      </w:r>
      <w:r w:rsidR="004E59C2" w:rsidRPr="00144C52">
        <w:rPr>
          <w:rFonts w:asciiTheme="minorHAnsi" w:eastAsiaTheme="minorHAnsi" w:hAnsiTheme="minorHAnsi" w:cstheme="minorHAnsi"/>
          <w:sz w:val="21"/>
          <w:szCs w:val="21"/>
        </w:rPr>
        <w:t>unit transfusion i</w:t>
      </w:r>
      <w:r w:rsidR="00DE70B0" w:rsidRPr="00144C52">
        <w:rPr>
          <w:rFonts w:asciiTheme="minorHAnsi" w:eastAsiaTheme="minorHAnsi" w:hAnsiTheme="minorHAnsi" w:cstheme="minorHAnsi"/>
          <w:sz w:val="21"/>
          <w:szCs w:val="21"/>
        </w:rPr>
        <w:t xml:space="preserve">s part of Patient Blood Management (PBM); an evidence based patient centred strategy to improve patient outcomes by minimising </w:t>
      </w:r>
      <w:r w:rsidR="00E83CB9" w:rsidRPr="00144C52">
        <w:rPr>
          <w:rFonts w:asciiTheme="minorHAnsi" w:eastAsiaTheme="minorHAnsi" w:hAnsiTheme="minorHAnsi" w:cstheme="minorHAnsi"/>
          <w:sz w:val="21"/>
          <w:szCs w:val="21"/>
        </w:rPr>
        <w:t xml:space="preserve">red blood cell </w:t>
      </w:r>
      <w:r w:rsidR="00DE70B0" w:rsidRPr="00144C52">
        <w:rPr>
          <w:rFonts w:asciiTheme="minorHAnsi" w:eastAsiaTheme="minorHAnsi" w:hAnsiTheme="minorHAnsi" w:cstheme="minorHAnsi"/>
          <w:sz w:val="21"/>
          <w:szCs w:val="21"/>
        </w:rPr>
        <w:t>transfusions.</w:t>
      </w:r>
    </w:p>
    <w:p w:rsidR="003B460D" w:rsidRPr="00144C52" w:rsidRDefault="00DE70B0"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In line with the</w:t>
      </w:r>
      <w:r w:rsidR="004E59C2" w:rsidRPr="00144C52">
        <w:rPr>
          <w:rFonts w:asciiTheme="minorHAnsi" w:eastAsiaTheme="minorHAnsi" w:hAnsiTheme="minorHAnsi" w:cstheme="minorHAnsi"/>
          <w:sz w:val="21"/>
          <w:szCs w:val="21"/>
        </w:rPr>
        <w:t xml:space="preserve"> national</w:t>
      </w:r>
      <w:r w:rsidRPr="00144C52">
        <w:rPr>
          <w:rFonts w:asciiTheme="minorHAnsi" w:eastAsiaTheme="minorHAnsi" w:hAnsiTheme="minorHAnsi" w:cstheme="minorHAnsi"/>
          <w:sz w:val="21"/>
          <w:szCs w:val="21"/>
        </w:rPr>
        <w:t xml:space="preserve"> Patient Blood Management Guidelines</w:t>
      </w:r>
      <w:r w:rsidR="003B460D" w:rsidRPr="00144C52">
        <w:rPr>
          <w:rFonts w:asciiTheme="minorHAnsi" w:eastAsiaTheme="minorHAnsi" w:hAnsiTheme="minorHAnsi" w:cstheme="minorHAnsi"/>
          <w:sz w:val="21"/>
          <w:szCs w:val="21"/>
        </w:rPr>
        <w:t>:</w:t>
      </w:r>
      <w:r w:rsidR="00416DD7" w:rsidRPr="00144C52">
        <w:rPr>
          <w:rFonts w:asciiTheme="minorHAnsi" w:eastAsiaTheme="minorHAnsi" w:hAnsiTheme="minorHAnsi" w:cstheme="minorHAnsi"/>
          <w:sz w:val="21"/>
          <w:szCs w:val="21"/>
        </w:rPr>
        <w:t xml:space="preserve"> </w:t>
      </w:r>
      <w:r w:rsidRPr="00144C52">
        <w:rPr>
          <w:rFonts w:asciiTheme="minorHAnsi" w:eastAsiaTheme="minorHAnsi" w:hAnsiTheme="minorHAnsi" w:cstheme="minorHAnsi"/>
          <w:sz w:val="21"/>
          <w:szCs w:val="21"/>
        </w:rPr>
        <w:t>“</w:t>
      </w:r>
      <w:r w:rsidRPr="00144C52">
        <w:rPr>
          <w:rFonts w:asciiTheme="minorHAnsi" w:eastAsiaTheme="minorHAnsi" w:hAnsiTheme="minorHAnsi" w:cstheme="minorHAnsi"/>
          <w:i/>
          <w:sz w:val="21"/>
          <w:szCs w:val="21"/>
        </w:rPr>
        <w:t>Where indicated, transfusion of a single unit of RBC, followed by clinical reassessment to determine the need for further transfusion, is appropriate.</w:t>
      </w:r>
      <w:r w:rsidR="006F33B5" w:rsidRPr="00144C52">
        <w:rPr>
          <w:rFonts w:asciiTheme="minorHAnsi" w:eastAsiaTheme="minorHAnsi" w:hAnsiTheme="minorHAnsi" w:cstheme="minorHAnsi"/>
          <w:sz w:val="21"/>
          <w:szCs w:val="21"/>
        </w:rPr>
        <w:t>”</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"&lt;sup&gt;1,2&lt;/sup&gt;"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1,2</w:t>
      </w:r>
      <w:r w:rsidR="00FE0FD8" w:rsidRPr="00144C52">
        <w:rPr>
          <w:rFonts w:asciiTheme="minorHAnsi" w:eastAsiaTheme="minorHAnsi" w:hAnsiTheme="minorHAnsi" w:cstheme="minorHAnsi"/>
          <w:sz w:val="21"/>
          <w:szCs w:val="21"/>
        </w:rPr>
        <w:fldChar w:fldCharType="end"/>
      </w:r>
      <w:r w:rsidRPr="00144C52">
        <w:rPr>
          <w:rFonts w:asciiTheme="minorHAnsi" w:eastAsiaTheme="minorHAnsi" w:hAnsiTheme="minorHAnsi" w:cstheme="minorHAnsi"/>
          <w:sz w:val="21"/>
          <w:szCs w:val="21"/>
        </w:rPr>
        <w:t xml:space="preserve"> </w:t>
      </w:r>
    </w:p>
    <w:p w:rsidR="00DE70B0" w:rsidRPr="00144C52" w:rsidRDefault="00DE70B0"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b/>
          <w:sz w:val="21"/>
          <w:szCs w:val="21"/>
        </w:rPr>
        <w:t>If one unit of blood adequately improved the symptoms, then no further transfusion should occur.</w:t>
      </w:r>
    </w:p>
    <w:p w:rsidR="00DE70B0" w:rsidRPr="00144C52" w:rsidRDefault="004E59C2"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S</w:t>
      </w:r>
      <w:r w:rsidR="00DE70B0" w:rsidRPr="00144C52">
        <w:rPr>
          <w:rFonts w:asciiTheme="minorHAnsi" w:eastAsiaTheme="minorHAnsi" w:hAnsiTheme="minorHAnsi" w:cstheme="minorHAnsi"/>
          <w:sz w:val="21"/>
          <w:szCs w:val="21"/>
        </w:rPr>
        <w:t xml:space="preserve">ingle unit </w:t>
      </w:r>
      <w:r w:rsidRPr="00144C52">
        <w:rPr>
          <w:rFonts w:asciiTheme="minorHAnsi" w:eastAsiaTheme="minorHAnsi" w:hAnsiTheme="minorHAnsi" w:cstheme="minorHAnsi"/>
          <w:sz w:val="21"/>
          <w:szCs w:val="21"/>
        </w:rPr>
        <w:t xml:space="preserve">transfusion </w:t>
      </w:r>
      <w:r w:rsidR="00DE70B0" w:rsidRPr="00144C52">
        <w:rPr>
          <w:rFonts w:asciiTheme="minorHAnsi" w:eastAsiaTheme="minorHAnsi" w:hAnsiTheme="minorHAnsi" w:cstheme="minorHAnsi"/>
          <w:sz w:val="21"/>
          <w:szCs w:val="21"/>
        </w:rPr>
        <w:t xml:space="preserve">applies to </w:t>
      </w:r>
      <w:r w:rsidRPr="00144C52">
        <w:rPr>
          <w:rFonts w:asciiTheme="minorHAnsi" w:eastAsiaTheme="minorHAnsi" w:hAnsiTheme="minorHAnsi" w:cstheme="minorHAnsi"/>
          <w:sz w:val="21"/>
          <w:szCs w:val="21"/>
        </w:rPr>
        <w:t>stable, normovolaemic adult patients, in an inpatient setting, who do not have clinically significant bleeding</w:t>
      </w:r>
      <w:r w:rsidR="006F33B5" w:rsidRPr="00144C52">
        <w:rPr>
          <w:rFonts w:asciiTheme="minorHAnsi" w:eastAsiaTheme="minorHAnsi" w:hAnsiTheme="minorHAnsi" w:cstheme="minorHAnsi"/>
          <w:sz w:val="21"/>
          <w:szCs w:val="21"/>
        </w:rPr>
        <w:t>.</w:t>
      </w:r>
      <w:r w:rsidR="006F33B5"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"ITEM-1",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"&lt;sup&gt;3&lt;/sup&gt;" }, "properties" : { "noteIndex" : 0 }, "schema" : "https://github.com/citation-style-language/schema/raw/master/csl-citation.json" }</w:instrText>
      </w:r>
      <w:r w:rsidR="006F33B5"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3</w:t>
      </w:r>
      <w:r w:rsidR="006F33B5" w:rsidRPr="00144C52">
        <w:rPr>
          <w:rFonts w:asciiTheme="minorHAnsi" w:eastAsiaTheme="minorHAnsi" w:hAnsiTheme="minorHAnsi" w:cstheme="minorHAnsi"/>
          <w:sz w:val="21"/>
          <w:szCs w:val="21"/>
        </w:rPr>
        <w:fldChar w:fldCharType="end"/>
      </w:r>
      <w:r w:rsidRPr="00144C52">
        <w:rPr>
          <w:rFonts w:asciiTheme="minorHAnsi" w:eastAsiaTheme="minorHAnsi" w:hAnsiTheme="minorHAnsi" w:cstheme="minorHAnsi"/>
          <w:sz w:val="21"/>
          <w:szCs w:val="21"/>
        </w:rPr>
        <w:t xml:space="preserve"> </w:t>
      </w:r>
      <w:r w:rsidRPr="00144C52">
        <w:rPr>
          <w:rFonts w:asciiTheme="minorHAnsi" w:eastAsiaTheme="minorHAnsi" w:hAnsiTheme="minorHAnsi" w:cstheme="minorHAnsi"/>
          <w:sz w:val="21"/>
          <w:szCs w:val="21"/>
          <w:lang w:val="en-GB"/>
        </w:rPr>
        <w:t xml:space="preserve">Transfuse one unit at a time and only when clinically indicated, based on the need to relieve </w:t>
      </w:r>
      <w:r w:rsidR="00623E89" w:rsidRPr="00144C52">
        <w:rPr>
          <w:rFonts w:asciiTheme="minorHAnsi" w:eastAsiaTheme="minorHAnsi" w:hAnsiTheme="minorHAnsi" w:cstheme="minorHAnsi"/>
          <w:sz w:val="21"/>
          <w:szCs w:val="21"/>
          <w:lang w:val="en-GB"/>
        </w:rPr>
        <w:t xml:space="preserve">clinical signs and symptoms of </w:t>
      </w:r>
      <w:r w:rsidRPr="00144C52">
        <w:rPr>
          <w:rFonts w:asciiTheme="minorHAnsi" w:eastAsiaTheme="minorHAnsi" w:hAnsiTheme="minorHAnsi" w:cstheme="minorHAnsi"/>
          <w:sz w:val="21"/>
          <w:szCs w:val="21"/>
          <w:lang w:val="en-GB"/>
        </w:rPr>
        <w:t>anaemia.</w:t>
      </w:r>
      <w:r w:rsidR="006F33B5" w:rsidRPr="00144C52">
        <w:rPr>
          <w:rFonts w:asciiTheme="minorHAnsi" w:eastAsiaTheme="minorHAnsi" w:hAnsiTheme="minorHAnsi" w:cstheme="minorHAnsi"/>
          <w:sz w:val="21"/>
          <w:szCs w:val="21"/>
          <w:lang w:val="en-GB"/>
        </w:rPr>
        <w:fldChar w:fldCharType="begin" w:fldLock="1"/>
      </w:r>
      <w:r w:rsidR="00F76B75" w:rsidRPr="00144C52">
        <w:rPr>
          <w:rFonts w:asciiTheme="minorHAnsi" w:eastAsiaTheme="minorHAnsi" w:hAnsiTheme="minorHAnsi" w:cstheme="minorHAnsi"/>
          <w:sz w:val="21"/>
          <w:szCs w:val="21"/>
          <w:lang w:val="en-GB"/>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"&lt;sup&gt;1,2&lt;/sup&gt;" }, "properties" : { "noteIndex" : 0 }, "schema" : "https://github.com/citation-style-language/schema/raw/master/csl-citation.json" }</w:instrText>
      </w:r>
      <w:r w:rsidR="006F33B5" w:rsidRPr="00144C52">
        <w:rPr>
          <w:rFonts w:asciiTheme="minorHAnsi" w:eastAsiaTheme="minorHAnsi" w:hAnsiTheme="minorHAnsi" w:cstheme="minorHAnsi"/>
          <w:sz w:val="21"/>
          <w:szCs w:val="21"/>
          <w:lang w:val="en-GB"/>
        </w:rPr>
        <w:fldChar w:fldCharType="separate"/>
      </w:r>
      <w:r w:rsidR="00F76B75" w:rsidRPr="00144C52">
        <w:rPr>
          <w:rFonts w:asciiTheme="minorHAnsi" w:eastAsiaTheme="minorHAnsi" w:hAnsiTheme="minorHAnsi" w:cstheme="minorHAnsi"/>
          <w:noProof/>
          <w:sz w:val="21"/>
          <w:szCs w:val="21"/>
          <w:vertAlign w:val="superscript"/>
          <w:lang w:val="en-GB"/>
        </w:rPr>
        <w:t>1,2</w:t>
      </w:r>
      <w:r w:rsidR="006F33B5" w:rsidRPr="00144C52">
        <w:rPr>
          <w:rFonts w:asciiTheme="minorHAnsi" w:eastAsiaTheme="minorHAnsi" w:hAnsiTheme="minorHAnsi" w:cstheme="minorHAnsi"/>
          <w:sz w:val="21"/>
          <w:szCs w:val="21"/>
          <w:lang w:val="en-GB"/>
        </w:rPr>
        <w:fldChar w:fldCharType="end"/>
      </w:r>
      <w:r w:rsidRPr="00144C52">
        <w:rPr>
          <w:rFonts w:asciiTheme="minorHAnsi" w:eastAsiaTheme="minorHAnsi" w:hAnsiTheme="minorHAnsi" w:cstheme="minorHAnsi"/>
          <w:sz w:val="21"/>
          <w:szCs w:val="21"/>
          <w:lang w:val="en-GB"/>
        </w:rPr>
        <w:t xml:space="preserve"> Symptoms may include dyspnoea, tachycardia, chest pain, hypotension, increased heart rate and decreased oxygen saturation.</w:t>
      </w:r>
      <w:r w:rsidR="006F33B5" w:rsidRPr="00144C52">
        <w:rPr>
          <w:rFonts w:asciiTheme="minorHAnsi" w:eastAsiaTheme="minorHAnsi" w:hAnsiTheme="minorHAnsi" w:cstheme="minorHAnsi"/>
          <w:sz w:val="21"/>
          <w:szCs w:val="21"/>
          <w:lang w:val="en-GB"/>
        </w:rPr>
        <w:fldChar w:fldCharType="begin" w:fldLock="1"/>
      </w:r>
      <w:r w:rsidR="00F76B75" w:rsidRPr="00144C52">
        <w:rPr>
          <w:rFonts w:asciiTheme="minorHAnsi" w:eastAsiaTheme="minorHAnsi" w:hAnsiTheme="minorHAnsi" w:cstheme="minorHAnsi"/>
          <w:sz w:val="21"/>
          <w:szCs w:val="21"/>
          <w:lang w:val="en-GB"/>
        </w:rPr>
        <w:instrText>ADDIN CSL_CITATION { "citationItems" : [ { "id" : "ITEM-1", "itemData" : { "abstract" : "Although approximately 85 million units of red blood cells (RBCs) are transfused annually worldwide, transfusion practices vary widely. The AABB (formerly, the American Association of Blood Banks) developed this guideline to provide clinical recommendations about hemoglobin concentration thresholds and other clinical variables that trigger RBC transfusions in hemodynamically stable adults and children.", "author" : [ { "dropping-particle" : "", "family" : "Carson", "given" : "Jeffrey L", "non-dropping-particle" : "", "parse-names" : false, "suffix" : "" } ], "container-title" : "Annals of Internal Medicine", "id" : "ITEM-1", "issue" : "1", "issued" : { "date-parts" : [ [ "2012" ] ] }, "page" : "49-58", "title" : "Red blood cell transfusion: a clinical practice guideline from the AABB", "type" : "article-journal", "volume" : "157" }, "uris" : [ "http://www.mendeley.com/documents/?uuid=1f2a47bc-9d7f-4b77-bdbd-6028e884fabb" ] }, { "id" : "ITEM-2", "itemData" : { "author" : [ { "dropping-particle" : "", "family" : "Rossi", "given" : "E C", "non-dropping-particle" : "", "parse-names" : false, "suffix" : "" } ], "container-title" : "Principles of Transfusion Medicine, Second edition", "id" : "ITEM-2", "issued" : { "date-parts" : [ [ "1996" ] ] }, "title" : "Anaemia and Red cell Transfusion", "type" : "article-journal", "volume" : "1" }, "uris" : [ "http://www.mendeley.com/documents/?uuid=2e29d606-dc65-44eb-b3ba-44a2477d82c7" ] }, { "id" : "ITEM-3", "itemData" : { "author" : [ { "dropping-particle" : "", "family" : "Shander", "given" : "A", "non-dropping-particle" : "", "parse-names" : false, "suffix" : "" } ], "container-title" : "Review Blood Transfus", "id" : "ITEM-3", "issued" : { "date-parts" : [ [ "2012" ] ] }, "title" : "A new perspective on best transfusion practices", "type" : "article-journal", "volume" : "1" }, "uris" : [ "http://www.mendeley.com/documents/?uuid=6c8b828f-556c-41d9-b293-6f1ed9a0ad28" ] } ], "mendeley" : { "previouslyFormattedCitation" : "&lt;sup&gt;4\u20136&lt;/sup&gt;" }, "properties" : { "noteIndex" : 0 }, "schema" : "https://github.com/citation-style-language/schema/raw/master/csl-citation.json" }</w:instrText>
      </w:r>
      <w:r w:rsidR="006F33B5" w:rsidRPr="00144C52">
        <w:rPr>
          <w:rFonts w:asciiTheme="minorHAnsi" w:eastAsiaTheme="minorHAnsi" w:hAnsiTheme="minorHAnsi" w:cstheme="minorHAnsi"/>
          <w:sz w:val="21"/>
          <w:szCs w:val="21"/>
          <w:lang w:val="en-GB"/>
        </w:rPr>
        <w:fldChar w:fldCharType="separate"/>
      </w:r>
      <w:r w:rsidR="00F76B75" w:rsidRPr="00144C52">
        <w:rPr>
          <w:rFonts w:asciiTheme="minorHAnsi" w:eastAsiaTheme="minorHAnsi" w:hAnsiTheme="minorHAnsi" w:cstheme="minorHAnsi"/>
          <w:noProof/>
          <w:sz w:val="21"/>
          <w:szCs w:val="21"/>
          <w:vertAlign w:val="superscript"/>
          <w:lang w:val="en-GB"/>
        </w:rPr>
        <w:t>4–6</w:t>
      </w:r>
      <w:r w:rsidR="006F33B5" w:rsidRPr="00144C52">
        <w:rPr>
          <w:rFonts w:asciiTheme="minorHAnsi" w:eastAsiaTheme="minorHAnsi" w:hAnsiTheme="minorHAnsi" w:cstheme="minorHAnsi"/>
          <w:sz w:val="21"/>
          <w:szCs w:val="21"/>
          <w:lang w:val="en-GB"/>
        </w:rPr>
        <w:fldChar w:fldCharType="end"/>
      </w:r>
      <w:r w:rsidR="006F33B5" w:rsidRPr="00144C52" w:rsidDel="004E59C2">
        <w:rPr>
          <w:rFonts w:asciiTheme="minorHAnsi" w:eastAsiaTheme="minorHAnsi" w:hAnsiTheme="minorHAnsi" w:cstheme="minorHAnsi"/>
          <w:sz w:val="21"/>
          <w:szCs w:val="21"/>
        </w:rPr>
        <w:t xml:space="preserve"> </w:t>
      </w:r>
    </w:p>
    <w:p w:rsidR="00DE70B0" w:rsidRPr="00144C52" w:rsidRDefault="00DE70B0" w:rsidP="000E418A">
      <w:pPr>
        <w:pStyle w:val="Heading4"/>
        <w:spacing w:before="240" w:line="276" w:lineRule="auto"/>
        <w:ind w:left="-284"/>
        <w:rPr>
          <w:sz w:val="21"/>
          <w:szCs w:val="21"/>
        </w:rPr>
      </w:pPr>
      <w:r w:rsidRPr="00144C52">
        <w:rPr>
          <w:sz w:val="21"/>
          <w:szCs w:val="21"/>
        </w:rPr>
        <w:t>SITUATION:</w:t>
      </w:r>
    </w:p>
    <w:p w:rsidR="00DE70B0" w:rsidRPr="00144C52" w:rsidRDefault="0068126A" w:rsidP="00B554E2">
      <w:pPr>
        <w:spacing w:after="120" w:line="276" w:lineRule="auto"/>
        <w:ind w:left="-284"/>
        <w:rPr>
          <w:rFonts w:asciiTheme="minorHAnsi" w:eastAsiaTheme="minorHAnsi" w:hAnsiTheme="minorHAnsi" w:cstheme="minorHAnsi"/>
          <w:sz w:val="21"/>
          <w:szCs w:val="21"/>
          <w:vertAlign w:val="superscript"/>
        </w:rPr>
      </w:pPr>
      <w:r w:rsidRPr="00144C52">
        <w:rPr>
          <w:rFonts w:asciiTheme="minorHAnsi" w:eastAsiaTheme="minorHAnsi" w:hAnsiTheme="minorHAnsi" w:cstheme="minorHAnsi"/>
          <w:sz w:val="21"/>
          <w:szCs w:val="21"/>
        </w:rPr>
        <w:t>It is important to ensure that practice aligns with the national Patient Blood Management Guidelines (</w:t>
      </w:r>
      <w:r w:rsidRPr="00144C52">
        <w:rPr>
          <w:rFonts w:asciiTheme="minorHAnsi" w:eastAsiaTheme="minorHAnsi" w:hAnsiTheme="minorHAnsi" w:cstheme="minorHAnsi"/>
          <w:i/>
          <w:sz w:val="21"/>
          <w:szCs w:val="21"/>
        </w:rPr>
        <w:t>Module 2 – Perioperative</w:t>
      </w:r>
      <w:r w:rsidRPr="00144C52">
        <w:rPr>
          <w:rFonts w:asciiTheme="minorHAnsi" w:eastAsiaTheme="minorHAnsi" w:hAnsiTheme="minorHAnsi" w:cstheme="minorHAnsi"/>
          <w:sz w:val="21"/>
          <w:szCs w:val="21"/>
        </w:rPr>
        <w:t xml:space="preserve">, </w:t>
      </w:r>
      <w:r w:rsidRPr="00144C52">
        <w:rPr>
          <w:rFonts w:asciiTheme="minorHAnsi" w:eastAsiaTheme="minorHAnsi" w:hAnsiTheme="minorHAnsi" w:cstheme="minorHAnsi"/>
          <w:i/>
          <w:sz w:val="21"/>
          <w:szCs w:val="21"/>
        </w:rPr>
        <w:t>Module 3 - Medical</w:t>
      </w:r>
      <w:r w:rsidRPr="00144C52">
        <w:rPr>
          <w:rFonts w:asciiTheme="minorHAnsi" w:eastAsiaTheme="minorHAnsi" w:hAnsiTheme="minorHAnsi" w:cstheme="minorHAnsi"/>
          <w:sz w:val="21"/>
          <w:szCs w:val="21"/>
        </w:rPr>
        <w:t xml:space="preserve"> and </w:t>
      </w:r>
      <w:r w:rsidRPr="00144C52">
        <w:rPr>
          <w:rFonts w:asciiTheme="minorHAnsi" w:eastAsiaTheme="minorHAnsi" w:hAnsiTheme="minorHAnsi" w:cstheme="minorHAnsi"/>
          <w:i/>
          <w:sz w:val="21"/>
          <w:szCs w:val="21"/>
        </w:rPr>
        <w:t>Module 4 - Critical Care</w:t>
      </w:r>
      <w:r w:rsidRPr="00144C52">
        <w:rPr>
          <w:rFonts w:asciiTheme="minorHAnsi" w:eastAsiaTheme="minorHAnsi" w:hAnsiTheme="minorHAnsi" w:cstheme="minorHAnsi"/>
          <w:sz w:val="21"/>
          <w:szCs w:val="21"/>
        </w:rPr>
        <w:t>) which support single unit transfusion</w:t>
      </w:r>
      <w:r w:rsidR="004E59C2" w:rsidRPr="00144C52">
        <w:rPr>
          <w:rFonts w:asciiTheme="minorHAnsi" w:eastAsiaTheme="minorHAnsi" w:hAnsiTheme="minorHAnsi" w:cstheme="minorHAnsi"/>
          <w:sz w:val="21"/>
          <w:szCs w:val="21"/>
        </w:rPr>
        <w:t>.</w:t>
      </w:r>
      <w:r w:rsidR="00FE0FD8" w:rsidRPr="00144C52">
        <w:rPr>
          <w:rFonts w:asciiTheme="minorHAnsi" w:eastAsiaTheme="minorHAnsi" w:hAnsiTheme="minorHAnsi" w:cstheme="minorHAnsi"/>
          <w:b/>
          <w:sz w:val="21"/>
          <w:szCs w:val="21"/>
        </w:rPr>
        <w:fldChar w:fldCharType="begin" w:fldLock="1"/>
      </w:r>
      <w:r w:rsidR="00F76B75" w:rsidRPr="00144C52">
        <w:rPr>
          <w:rFonts w:asciiTheme="minorHAnsi" w:eastAsiaTheme="minorHAnsi" w:hAnsiTheme="minorHAnsi" w:cstheme="minorHAnsi"/>
          <w:b/>
          <w:sz w:val="21"/>
          <w:szCs w:val="21"/>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"id" : "ITEM-3", "itemData" : { "author" : [ { "dropping-particle" : "", "family" : "National Blood Authority", "given" : "", "non-dropping-particle" : "", "parse-names" : false, "suffix" : "" } ], "id" : "ITEM-3", "issued" : { "date-parts" : [ [ "2012" ] ] }, "publisher-place" : "Canberra, Australia", "title" : "Patient blood management guidelines: Module 2 \u2013 Perioperative.", "type" : "book" }, "uris" : [ "http://www.mendeley.com/documents/?uuid=956cf09d-f9be-4289-a9d0-a6445424b170" ] } ], "mendeley" : { "previouslyFormattedCitation" : "&lt;sup&gt;1,2,7&lt;/sup&gt;" }, "properties" : { "noteIndex" : 0 }, "schema" : "https://github.com/citation-style-language/schema/raw/master/csl-citation.json" }</w:instrText>
      </w:r>
      <w:r w:rsidR="00FE0FD8" w:rsidRPr="00144C52">
        <w:rPr>
          <w:rFonts w:asciiTheme="minorHAnsi" w:eastAsiaTheme="minorHAnsi" w:hAnsiTheme="minorHAnsi" w:cstheme="minorHAnsi"/>
          <w:b/>
          <w:sz w:val="21"/>
          <w:szCs w:val="21"/>
        </w:rPr>
        <w:fldChar w:fldCharType="separate"/>
      </w:r>
      <w:r w:rsidR="00F76B75" w:rsidRPr="00144C52">
        <w:rPr>
          <w:rFonts w:asciiTheme="minorHAnsi" w:eastAsiaTheme="minorHAnsi" w:hAnsiTheme="minorHAnsi" w:cstheme="minorHAnsi"/>
          <w:noProof/>
          <w:sz w:val="21"/>
          <w:szCs w:val="21"/>
          <w:vertAlign w:val="superscript"/>
        </w:rPr>
        <w:t>1,2,7</w:t>
      </w:r>
      <w:r w:rsidR="00FE0FD8" w:rsidRPr="00144C52">
        <w:rPr>
          <w:rFonts w:asciiTheme="minorHAnsi" w:eastAsiaTheme="minorHAnsi" w:hAnsiTheme="minorHAnsi" w:cstheme="minorHAnsi"/>
          <w:b/>
          <w:sz w:val="21"/>
          <w:szCs w:val="21"/>
        </w:rPr>
        <w:fldChar w:fldCharType="end"/>
      </w:r>
      <w:r w:rsidR="00DE70B0" w:rsidRPr="00144C52">
        <w:rPr>
          <w:rFonts w:asciiTheme="minorHAnsi" w:eastAsiaTheme="minorHAnsi" w:hAnsiTheme="minorHAnsi" w:cstheme="minorHAnsi"/>
          <w:sz w:val="21"/>
          <w:szCs w:val="21"/>
          <w:vertAlign w:val="superscript"/>
        </w:rPr>
        <w:t xml:space="preserve"> </w:t>
      </w:r>
      <w:r w:rsidR="00DE70B0" w:rsidRPr="00144C52">
        <w:rPr>
          <w:rFonts w:asciiTheme="minorHAnsi" w:eastAsiaTheme="minorHAnsi" w:hAnsiTheme="minorHAnsi" w:cstheme="minorHAnsi"/>
          <w:sz w:val="21"/>
          <w:szCs w:val="21"/>
        </w:rPr>
        <w:t>The National Blood Authority has produced a single unit transfusion guide</w:t>
      </w:r>
      <w:r w:rsidR="006F33B5" w:rsidRPr="00144C52">
        <w:rPr>
          <w:rFonts w:asciiTheme="minorHAnsi" w:eastAsiaTheme="minorHAnsi" w:hAnsiTheme="minorHAnsi" w:cstheme="minorHAnsi"/>
          <w:sz w:val="21"/>
          <w:szCs w:val="21"/>
        </w:rPr>
        <w:t xml:space="preserve"> and supporting resources</w:t>
      </w:r>
      <w:r w:rsidR="00DE70B0" w:rsidRPr="00144C52">
        <w:rPr>
          <w:rFonts w:asciiTheme="minorHAnsi" w:eastAsiaTheme="minorHAnsi" w:hAnsiTheme="minorHAnsi" w:cstheme="minorHAnsi"/>
          <w:sz w:val="21"/>
          <w:szCs w:val="21"/>
        </w:rPr>
        <w:t xml:space="preserve"> to assist </w:t>
      </w:r>
      <w:r w:rsidR="00623E89" w:rsidRPr="00144C52">
        <w:rPr>
          <w:rFonts w:asciiTheme="minorHAnsi" w:eastAsiaTheme="minorHAnsi" w:hAnsiTheme="minorHAnsi" w:cstheme="minorHAnsi"/>
          <w:sz w:val="21"/>
          <w:szCs w:val="21"/>
        </w:rPr>
        <w:t>meeting</w:t>
      </w:r>
      <w:r w:rsidR="00DE70B0" w:rsidRPr="00144C52">
        <w:rPr>
          <w:rFonts w:asciiTheme="minorHAnsi" w:eastAsiaTheme="minorHAnsi" w:hAnsiTheme="minorHAnsi" w:cstheme="minorHAnsi"/>
          <w:sz w:val="21"/>
          <w:szCs w:val="21"/>
        </w:rPr>
        <w:t xml:space="preserve"> the Patient Blood Management Guidelines and compliance with the National Safety and Quality in Health Care (NSQHS), Standard 7: Blood and Blood Products.</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"Australian Commission on Safety and Quality in Healthcare", "given" : "", "non-dropping-particle" : "", "parse-names" : false, "suffix" : "" } ], "container-title" : "ACSQHC", "id" : "ITEM-1", "issued" : { "date-parts" : [ [ "2012" ] ] }, "title" : "Safety and Quality Improvement Guide Standard 7: Blood and Blood Products", "type" : "book" }, "uris" : [ "http://www.mendeley.com/documents/?uuid=bc00cee3-5cc2-41e6-8c61-bd93566fb71a" ] } ], "mendeley" : { "previouslyFormattedCitation" : "&lt;sup&gt;8&lt;/sup&gt;"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8</w:t>
      </w:r>
      <w:r w:rsidR="00FE0FD8" w:rsidRPr="00144C52">
        <w:rPr>
          <w:rFonts w:asciiTheme="minorHAnsi" w:eastAsiaTheme="minorHAnsi" w:hAnsiTheme="minorHAnsi" w:cstheme="minorHAnsi"/>
          <w:sz w:val="21"/>
          <w:szCs w:val="21"/>
        </w:rPr>
        <w:fldChar w:fldCharType="end"/>
      </w:r>
    </w:p>
    <w:p w:rsidR="00DE70B0" w:rsidRPr="00144C52" w:rsidRDefault="00DE70B0"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Morbidity from transfusion has been shown to be dose dependent.</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"Koch CG  Duncan AI et al", "given" : "Li L", "non-dropping-particle" : "", "parse-names" : false, "suffix" : "" } ], "container-title" : "Crit Care Med 2006", "id" : "ITEM-1", "issue" : "34", "issued" : { "date-parts" : [ [ "2006" ] ] }, "page" : "1608-1616", "title" : "Morbidity and mortality risk associated with red blood cell and blood-component transfusion in isolated coronary artery bypass grafting.", "type" : "article-journal", "volume" : "34" }, "uris" : [ "http://www.mendeley.com/documents/?uuid=92a943f7-35b9-4e46-948d-e1033d47cc97" ] }, { "id" : "ITEM-2", "itemData" : { "author" : [ { "dropping-particle" : "", "family" : "Hajjar LA Vincent JL et al.", "given" : "", "non-dropping-particle" : "", "parse-names" : false, "suffix" : "" } ], "container-title" : "JAMA - Journal of the American Medical Association", "id" : "ITEM-2", "issue" : "304", "issued" : { "date-parts" : [ [ "0" ] ] }, "page" : "304:1559-1567", "title" : "Transfusion requirements after cardiac surgery: the TRACS randomised controlled trial.", "type" : "article-journal", "volume" : "304" }, "uris" : [ "http://www.mendeley.com/documents/?uuid=f204d20a-6164-4ae2-8c61-0482cc10f507" ] } ], "mendeley" : { "previouslyFormattedCitation" : "&lt;sup&gt;9,10&lt;/sup&gt;"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9,10</w:t>
      </w:r>
      <w:r w:rsidR="00FE0FD8" w:rsidRPr="00144C52">
        <w:rPr>
          <w:rFonts w:asciiTheme="minorHAnsi" w:eastAsiaTheme="minorHAnsi" w:hAnsiTheme="minorHAnsi" w:cstheme="minorHAnsi"/>
          <w:sz w:val="21"/>
          <w:szCs w:val="21"/>
        </w:rPr>
        <w:fldChar w:fldCharType="end"/>
      </w:r>
      <w:r w:rsidRPr="00144C52">
        <w:rPr>
          <w:rFonts w:asciiTheme="minorHAnsi" w:eastAsiaTheme="minorHAnsi" w:hAnsiTheme="minorHAnsi" w:cstheme="minorHAnsi"/>
          <w:sz w:val="21"/>
          <w:szCs w:val="21"/>
        </w:rPr>
        <w:t xml:space="preserve"> Two units are commonly prescribed when one unit may have met the clinical expectation and outcome of the transfusion. </w:t>
      </w:r>
      <w:r w:rsidR="004E59C2" w:rsidRPr="00144C52">
        <w:rPr>
          <w:rFonts w:asciiTheme="minorHAnsi" w:eastAsiaTheme="minorHAnsi" w:hAnsiTheme="minorHAnsi" w:cstheme="minorHAnsi"/>
          <w:sz w:val="21"/>
          <w:szCs w:val="21"/>
        </w:rPr>
        <w:t>Each</w:t>
      </w:r>
      <w:r w:rsidR="00623E89" w:rsidRPr="00144C52">
        <w:rPr>
          <w:rFonts w:asciiTheme="minorHAnsi" w:eastAsiaTheme="minorHAnsi" w:hAnsiTheme="minorHAnsi" w:cstheme="minorHAnsi"/>
          <w:sz w:val="21"/>
          <w:szCs w:val="21"/>
        </w:rPr>
        <w:t xml:space="preserve"> additional</w:t>
      </w:r>
      <w:r w:rsidR="004E59C2" w:rsidRPr="00144C52">
        <w:rPr>
          <w:rFonts w:asciiTheme="minorHAnsi" w:eastAsiaTheme="minorHAnsi" w:hAnsiTheme="minorHAnsi" w:cstheme="minorHAnsi"/>
          <w:sz w:val="21"/>
          <w:szCs w:val="21"/>
        </w:rPr>
        <w:t xml:space="preserve"> transfusion</w:t>
      </w:r>
      <w:r w:rsidRPr="00144C52">
        <w:rPr>
          <w:rFonts w:asciiTheme="minorHAnsi" w:eastAsiaTheme="minorHAnsi" w:hAnsiTheme="minorHAnsi" w:cstheme="minorHAnsi"/>
          <w:sz w:val="21"/>
          <w:szCs w:val="21"/>
        </w:rPr>
        <w:t xml:space="preserve"> exposes patients to increased risk of </w:t>
      </w:r>
      <w:r w:rsidR="00FD6566">
        <w:rPr>
          <w:rFonts w:asciiTheme="minorHAnsi" w:eastAsiaTheme="minorHAnsi" w:hAnsiTheme="minorHAnsi" w:cstheme="minorHAnsi"/>
          <w:sz w:val="21"/>
          <w:szCs w:val="21"/>
        </w:rPr>
        <w:t xml:space="preserve">an </w:t>
      </w:r>
      <w:r w:rsidRPr="00144C52">
        <w:rPr>
          <w:rFonts w:asciiTheme="minorHAnsi" w:eastAsiaTheme="minorHAnsi" w:hAnsiTheme="minorHAnsi" w:cstheme="minorHAnsi"/>
          <w:sz w:val="21"/>
          <w:szCs w:val="21"/>
        </w:rPr>
        <w:t>adverse event</w:t>
      </w:r>
      <w:r w:rsidRPr="00144C52">
        <w:rPr>
          <w:rFonts w:asciiTheme="minorHAnsi" w:eastAsiaTheme="minorHAnsi" w:hAnsiTheme="minorHAnsi" w:cstheme="minorHAnsi"/>
          <w:b/>
          <w:sz w:val="21"/>
          <w:szCs w:val="21"/>
        </w:rPr>
        <w:t>.</w:t>
      </w:r>
      <w:r w:rsidR="00FE0FD8" w:rsidRPr="00144C52">
        <w:rPr>
          <w:rFonts w:asciiTheme="minorHAnsi" w:eastAsiaTheme="minorHAnsi" w:hAnsiTheme="minorHAnsi" w:cstheme="minorHAnsi"/>
          <w:b/>
          <w:sz w:val="21"/>
          <w:szCs w:val="21"/>
        </w:rPr>
        <w:fldChar w:fldCharType="begin" w:fldLock="1"/>
      </w:r>
      <w:r w:rsidR="00F76B75" w:rsidRPr="00144C52">
        <w:rPr>
          <w:rFonts w:asciiTheme="minorHAnsi" w:eastAsiaTheme="minorHAnsi" w:hAnsiTheme="minorHAnsi" w:cstheme="minorHAnsi"/>
          <w:b/>
          <w:sz w:val="21"/>
          <w:szCs w:val="21"/>
        </w:rPr>
        <w:instrText>ADDIN CSL_CITATION { "citationItems" : [ { "id" : "ITEM-1", "itemData" : { "DOI" : "10.1634/theoncologist.2011-S3-3", "abstract" : "The objective of this paper is to introduce clinicians and health care professionals to the concept of patient blood management (PBM) and to explain the difference between PBM and the concept of \"appropriate use\" of blood products. The five reasons why modern health systems need to shift from product-focused transfusion practice to PBM are also presented. These are: the aging population with a leveraged demand for blood products opposed to a shrinking donor base; the growing awareness that transfusion is a complex service involving many different cost centers within a hospital and representing a multiple of the blood product cost; the continuous effort to protect blood pools from known, new, or re-emerging pathogens while facing uncertainty over their potentially long silent carrier states; the emerging evidence that transfusion is an independent risk factor for adverse outcomes; and finally, a lack of evidence for benefit of transfusion for the vast majority of recipients.", "author" : [ { "dropping-particle" : "", "family" : "Hofmann", "given" : "Axel", "non-dropping-particle" : "", "parse-names" : false, "suffix" : "" }, { "dropping-particle" : "", "family" : "Farmer", "given" : "Shannon", "non-dropping-particle" : "", "parse-names" : false, "suffix" : "" }, { "dropping-particle" : "", "family" : "Shander", "given" : "Aryeh", "non-dropping-particle" : "", "parse-names" : false, "suffix" : "" } ], "container-title" : "The oncologist", "id" : "ITEM-1", "issued" : { "date-parts" : [ [ "2011" ] ] }, "page" : "3-11", "title" : "Five drivers shifting the paradigm from product-focused transfusion practice to patient blood management.", "type" : "article-journal", "volume" : "16 Suppl 3" }, "uris" : [ "http://www.mendeley.com/documents/?uuid=3a94e34c-9f7b-496c-af50-99a9cf529f48" ] }, { "id" : "ITEM-2", "itemData" : { "DOI" : "10.1097/ACO.0b013e32834eb726", "abstract" : "PURPOSE OF REVIEW: Evidence-based patient blood management (PBM) is aimed at achieving better patient outcomes by relying on a patient's own blood rather than on donor blood. This review covers the rationale behind PBM, the treatment modalities involved and the drivers to adopt PBM as a new standard of care. RECENT FINDINGS: Transfusion rates vary significantly between comparable countries; they also vary between centers for matched patients in standardized elective surgical interventions. Preoperative anemia, perioperative blood loss and liberal transfusion triggers are the main predictors for transfusion and pose risks to the patient. PBM is mitigating these risks by optimizing the patient's native red cell mass, minimizing blood loss, optimizing the physiological reserve of anemia and preempting transfusions. A growing number of studies show that transfusion is associated in a dose-dependent relationship with increased morbidity, mortality and hospital length of stay. Evidence suggests that this relationship is not merely associative but causal. Furthermore, the over-ageing population of the developed world leads to a growing gap between supply and demand of blood, the safety of donor blood remains unpredictable and the cost of transfusion is much higher than previously estimated. SUMMARY: High transfusion variability, adverse transfusion outcomes, limited evidence for the benefit of transfusion particularly in elective patients and high cost of transfusion are challenging the traditional transfusion paradigm. National and state-wide initiatives are underway in Australia to broadly implement PBM and PBM programs as a new and cost-effective standard of care in the public health system.", "author" : [ { "dropping-particle" : "", "family" : "Hofmann", "given" : "Axel", "non-dropping-particle" : "", "parse-names" : false, "suffix" : "" }, { "dropping-particle" : "", "family" : "Farmer", "given" : "Shannon", "non-dropping-particle" : "", "parse-names" : false, "suffix" : "" }, { "dropping-particle" : "", "family" : "Towler", "given" : "Simon C", "non-dropping-particle" : "", "parse-names" : false, "suffix" : "" } ], "container-title" : "Current opinion in anaesthesiology", "id" : "ITEM-2", "issue" : "1", "issued" : { "date-parts" : [ [ "2012" ] ] }, "page" : "66-73", "title" : "Strategies to preempt and reduce the use of blood products: an Australian perspective.", "type" : "article-journal", "volume" : "25" }, "uris" : [ "http://www.mendeley.com/documents/?uuid=bd9ad883-c5dd-465f-bd70-928259714a47" ] } ], "mendeley" : { "previouslyFormattedCitation" : "&lt;sup&gt;11,12&lt;/sup&gt;" }, "properties" : { "noteIndex" : 0 }, "schema" : "https://github.com/citation-style-language/schema/raw/master/csl-citation.json" }</w:instrText>
      </w:r>
      <w:r w:rsidR="00FE0FD8" w:rsidRPr="00144C52">
        <w:rPr>
          <w:rFonts w:asciiTheme="minorHAnsi" w:eastAsiaTheme="minorHAnsi" w:hAnsiTheme="minorHAnsi" w:cstheme="minorHAnsi"/>
          <w:b/>
          <w:sz w:val="21"/>
          <w:szCs w:val="21"/>
        </w:rPr>
        <w:fldChar w:fldCharType="separate"/>
      </w:r>
      <w:r w:rsidR="00F76B75" w:rsidRPr="00144C52">
        <w:rPr>
          <w:rFonts w:asciiTheme="minorHAnsi" w:eastAsiaTheme="minorHAnsi" w:hAnsiTheme="minorHAnsi" w:cstheme="minorHAnsi"/>
          <w:noProof/>
          <w:sz w:val="21"/>
          <w:szCs w:val="21"/>
          <w:vertAlign w:val="superscript"/>
        </w:rPr>
        <w:t>11,12</w:t>
      </w:r>
      <w:r w:rsidR="00FE0FD8" w:rsidRPr="00144C52">
        <w:rPr>
          <w:rFonts w:asciiTheme="minorHAnsi" w:eastAsiaTheme="minorHAnsi" w:hAnsiTheme="minorHAnsi" w:cstheme="minorHAnsi"/>
          <w:b/>
          <w:sz w:val="21"/>
          <w:szCs w:val="21"/>
        </w:rPr>
        <w:fldChar w:fldCharType="end"/>
      </w:r>
    </w:p>
    <w:p w:rsidR="00DE70B0" w:rsidRPr="00144C52" w:rsidRDefault="00DE70B0" w:rsidP="000E418A">
      <w:pPr>
        <w:pStyle w:val="Heading4"/>
        <w:spacing w:before="240" w:line="276" w:lineRule="auto"/>
        <w:ind w:left="-284"/>
        <w:rPr>
          <w:sz w:val="21"/>
          <w:szCs w:val="21"/>
        </w:rPr>
      </w:pPr>
      <w:r w:rsidRPr="00144C52">
        <w:rPr>
          <w:sz w:val="21"/>
          <w:szCs w:val="21"/>
        </w:rPr>
        <w:t>BACK</w:t>
      </w:r>
      <w:r w:rsidR="00BB43DE" w:rsidRPr="00144C52">
        <w:rPr>
          <w:sz w:val="21"/>
          <w:szCs w:val="21"/>
        </w:rPr>
        <w:t>G</w:t>
      </w:r>
      <w:r w:rsidRPr="00144C52">
        <w:rPr>
          <w:sz w:val="21"/>
          <w:szCs w:val="21"/>
        </w:rPr>
        <w:t>ROUND:</w:t>
      </w:r>
    </w:p>
    <w:p w:rsidR="00DE70B0" w:rsidRPr="00144C52" w:rsidRDefault="00D46F12" w:rsidP="00B554E2">
      <w:pPr>
        <w:spacing w:after="120" w:line="276" w:lineRule="auto"/>
        <w:ind w:left="-284"/>
        <w:rPr>
          <w:rFonts w:asciiTheme="minorHAnsi" w:eastAsiaTheme="minorHAnsi" w:hAnsiTheme="minorHAnsi" w:cstheme="minorHAnsi"/>
          <w:sz w:val="21"/>
          <w:szCs w:val="21"/>
          <w:vertAlign w:val="superscript"/>
        </w:rPr>
      </w:pPr>
      <w:r w:rsidRPr="00144C52">
        <w:rPr>
          <w:rFonts w:asciiTheme="minorHAnsi" w:eastAsiaTheme="minorHAnsi" w:hAnsiTheme="minorHAnsi" w:cstheme="minorHAnsi"/>
          <w:sz w:val="21"/>
          <w:szCs w:val="21"/>
        </w:rPr>
        <w:t>Historically, t</w:t>
      </w:r>
      <w:r w:rsidR="00DE70B0" w:rsidRPr="00144C52">
        <w:rPr>
          <w:rFonts w:asciiTheme="minorHAnsi" w:eastAsiaTheme="minorHAnsi" w:hAnsiTheme="minorHAnsi" w:cstheme="minorHAnsi"/>
          <w:sz w:val="21"/>
          <w:szCs w:val="21"/>
        </w:rPr>
        <w:t xml:space="preserve">wo unit blood transfusions </w:t>
      </w:r>
      <w:r w:rsidRPr="00144C52">
        <w:rPr>
          <w:rFonts w:asciiTheme="minorHAnsi" w:eastAsiaTheme="minorHAnsi" w:hAnsiTheme="minorHAnsi" w:cstheme="minorHAnsi"/>
          <w:sz w:val="21"/>
          <w:szCs w:val="21"/>
        </w:rPr>
        <w:t>were</w:t>
      </w:r>
      <w:r w:rsidR="00DE70B0" w:rsidRPr="00144C52">
        <w:rPr>
          <w:rFonts w:asciiTheme="minorHAnsi" w:eastAsiaTheme="minorHAnsi" w:hAnsiTheme="minorHAnsi" w:cstheme="minorHAnsi"/>
          <w:sz w:val="21"/>
          <w:szCs w:val="21"/>
        </w:rPr>
        <w:t xml:space="preserve"> </w:t>
      </w:r>
      <w:r w:rsidR="00E83CB9" w:rsidRPr="00144C52">
        <w:rPr>
          <w:rFonts w:asciiTheme="minorHAnsi" w:eastAsiaTheme="minorHAnsi" w:hAnsiTheme="minorHAnsi" w:cstheme="minorHAnsi"/>
          <w:sz w:val="21"/>
          <w:szCs w:val="21"/>
          <w:lang w:val="en-GB"/>
        </w:rPr>
        <w:t xml:space="preserve">common </w:t>
      </w:r>
      <w:r w:rsidR="006F33B5" w:rsidRPr="00144C52">
        <w:rPr>
          <w:rFonts w:asciiTheme="minorHAnsi" w:eastAsiaTheme="minorHAnsi" w:hAnsiTheme="minorHAnsi" w:cstheme="minorHAnsi"/>
          <w:sz w:val="21"/>
          <w:szCs w:val="21"/>
          <w:lang w:val="en-GB"/>
        </w:rPr>
        <w:t>practice as a single unit was not considered sufficient to correct anaemia.</w:t>
      </w:r>
      <w:r w:rsidR="006F33B5" w:rsidRPr="00144C52">
        <w:rPr>
          <w:rFonts w:asciiTheme="minorHAnsi" w:eastAsiaTheme="minorHAnsi" w:hAnsiTheme="minorHAnsi" w:cstheme="minorHAnsi"/>
          <w:sz w:val="21"/>
          <w:szCs w:val="21"/>
          <w:lang w:val="en-GB"/>
        </w:rPr>
        <w:fldChar w:fldCharType="begin" w:fldLock="1"/>
      </w:r>
      <w:r w:rsidR="00F76B75" w:rsidRPr="00144C52">
        <w:rPr>
          <w:rFonts w:asciiTheme="minorHAnsi" w:eastAsiaTheme="minorHAnsi" w:hAnsiTheme="minorHAnsi" w:cstheme="minorHAnsi"/>
          <w:sz w:val="21"/>
          <w:szCs w:val="21"/>
          <w:lang w:val="en-GB"/>
        </w:rPr>
        <w:instrText>ADDIN CSL_CITATION { "citationItems" : [ { "id" : "ITEM-1", "itemData" : { "DOI" : "10.1111/j.1365-3148.2005.00592.x", "author" : [ { "dropping-particle" : "", "family" : "Ma", "given" : "M", "non-dropping-particle" : "", "parse-names" : false, "suffix" : "" }, { "dropping-particle" : "", "family" : "Eckert", "given" : "K", "non-dropping-particle" : "", "parse-names" : false, "suffix" : "" }, { "dropping-particle" : "", "family" : "Ralley", "given" : "F", "non-dropping-particle" : "", "parse-names" : false, "suffix" : "" }, { "dropping-particle" : "", "family" : "Chin-Yee", "given" : "I", "non-dropping-particle" : "", "parse-names" : false, "suffix" : "" } ], "container-title" : "Transfusion Medicine", "id" : "ITEM-1", "issued" : { "date-parts" : [ [ "2005" ] ] }, "page" : "307-312", "title" : "A retrospective study evaluating single-unit red blood cell transfusions in reducing allogeneic blood exposure", "type" : "article-journal", "volume" : "15" }, "uris" : [ "http://www.mendeley.com/documents/?uuid=19ce6532-0258-4cc4-82a3-caf33c150805" ] }, { "id" : "ITEM-2", "itemData" : { "DOI" : "10.3324/haematol.2011.047035", "author" : [ { "dropping-particle" : "", "family" : "Berger", "given" : "Martin David", "non-dropping-particle" : "", "parse-names" : false, "suffix" : "" }, { "dropping-particle" : "", "family" : "Gerber", "given" : "Bernhard", "non-dropping-particle" : "", "parse-names" : false, "suffix" : "" }, { "dropping-particle" : "", "family" : "Arn", "given" : "Kornelius", "non-dropping-particle" : "", "parse-names" : false, "suffix" : "" }, { "dropping-particle" : "", "family" : "Senn", "given" : "Oliver", "non-dropping-particle" : "", "parse-names" : false, "suffix" : "" }, { "dropping-particle" : "", "family" : "Schanz", "given" : "Urs", "non-dropping-particle" : "", "parse-names" : false, "suffix" : "" }, { "dropping-particle" : "", "family" : "Stussi", "given" : "Georg", "non-dropping-particle" : "", "parse-names" : false, "suffix" : "" } ], "container-title" : "haematologica", "id" : "ITEM-2", "issue" : "1", "issued" : { "date-parts" : [ [ "2012" ] ] }, "page" : "116-122", "title" : "Significant reduction of red blood cell transfusion requirements by changing from a double-unit to a single-unit transfusion policy in patients receiving intensive chemotherapy or stem cell transplantation", "type" : "article-journal", "volume" : "97" }, "uris" : [ "http://www.mendeley.com/documents/?uuid=e3206e28-32bb-4aa7-9a73-14d547dcc572" ] } ], "mendeley" : { "previouslyFormattedCitation" : "&lt;sup&gt;13,14&lt;/sup&gt;" }, "properties" : { "noteIndex" : 0 }, "schema" : "https://github.com/citation-style-language/schema/raw/master/csl-citation.json" }</w:instrText>
      </w:r>
      <w:r w:rsidR="006F33B5" w:rsidRPr="00144C52">
        <w:rPr>
          <w:rFonts w:asciiTheme="minorHAnsi" w:eastAsiaTheme="minorHAnsi" w:hAnsiTheme="minorHAnsi" w:cstheme="minorHAnsi"/>
          <w:sz w:val="21"/>
          <w:szCs w:val="21"/>
          <w:lang w:val="en-GB"/>
        </w:rPr>
        <w:fldChar w:fldCharType="separate"/>
      </w:r>
      <w:r w:rsidR="00F76B75" w:rsidRPr="00144C52">
        <w:rPr>
          <w:rFonts w:asciiTheme="minorHAnsi" w:eastAsiaTheme="minorHAnsi" w:hAnsiTheme="minorHAnsi" w:cstheme="minorHAnsi"/>
          <w:noProof/>
          <w:sz w:val="21"/>
          <w:szCs w:val="21"/>
          <w:vertAlign w:val="superscript"/>
          <w:lang w:val="en-GB"/>
        </w:rPr>
        <w:t>13,14</w:t>
      </w:r>
      <w:r w:rsidR="006F33B5" w:rsidRPr="00144C52">
        <w:rPr>
          <w:rFonts w:asciiTheme="minorHAnsi" w:eastAsiaTheme="minorHAnsi" w:hAnsiTheme="minorHAnsi" w:cstheme="minorHAnsi"/>
          <w:sz w:val="21"/>
          <w:szCs w:val="21"/>
          <w:lang w:val="en-GB"/>
        </w:rPr>
        <w:fldChar w:fldCharType="end"/>
      </w:r>
      <w:bookmarkStart w:id="0" w:name="_GoBack"/>
      <w:bookmarkEnd w:id="0"/>
      <w:r w:rsidR="00DE70B0" w:rsidRPr="00144C52">
        <w:rPr>
          <w:rFonts w:asciiTheme="minorHAnsi" w:eastAsiaTheme="minorHAnsi" w:hAnsiTheme="minorHAnsi" w:cstheme="minorHAnsi"/>
          <w:sz w:val="21"/>
          <w:szCs w:val="21"/>
        </w:rPr>
        <w:t xml:space="preserve"> Transfusion was</w:t>
      </w:r>
      <w:r w:rsidR="00B554E2" w:rsidRPr="00144C52">
        <w:rPr>
          <w:rFonts w:asciiTheme="minorHAnsi" w:eastAsiaTheme="minorHAnsi" w:hAnsiTheme="minorHAnsi" w:cstheme="minorHAnsi"/>
          <w:sz w:val="21"/>
          <w:szCs w:val="21"/>
        </w:rPr>
        <w:t xml:space="preserve"> often</w:t>
      </w:r>
      <w:r w:rsidR="00DE70B0" w:rsidRPr="00144C52">
        <w:rPr>
          <w:rFonts w:asciiTheme="minorHAnsi" w:eastAsiaTheme="minorHAnsi" w:hAnsiTheme="minorHAnsi" w:cstheme="minorHAnsi"/>
          <w:sz w:val="21"/>
          <w:szCs w:val="21"/>
        </w:rPr>
        <w:t xml:space="preserve"> habitual /cultural, according to haemoglobin and not based on evidence of benefit. </w:t>
      </w:r>
      <w:r w:rsidR="003B460D" w:rsidRPr="00144C52">
        <w:rPr>
          <w:rFonts w:asciiTheme="minorHAnsi" w:eastAsiaTheme="minorHAnsi" w:hAnsiTheme="minorHAnsi" w:cstheme="minorHAnsi"/>
          <w:sz w:val="21"/>
          <w:szCs w:val="21"/>
        </w:rPr>
        <w:t xml:space="preserve">Current evidence now demonstrates </w:t>
      </w:r>
      <w:r w:rsidR="00B554E2" w:rsidRPr="00144C52">
        <w:rPr>
          <w:rFonts w:asciiTheme="minorHAnsi" w:eastAsiaTheme="minorHAnsi" w:hAnsiTheme="minorHAnsi" w:cstheme="minorHAnsi"/>
          <w:sz w:val="21"/>
          <w:szCs w:val="21"/>
        </w:rPr>
        <w:t xml:space="preserve">that </w:t>
      </w:r>
      <w:r w:rsidR="003B460D" w:rsidRPr="00144C52">
        <w:rPr>
          <w:rFonts w:asciiTheme="minorHAnsi" w:eastAsiaTheme="minorHAnsi" w:hAnsiTheme="minorHAnsi" w:cstheme="minorHAnsi"/>
          <w:sz w:val="21"/>
          <w:szCs w:val="21"/>
        </w:rPr>
        <w:t>i</w:t>
      </w:r>
      <w:r w:rsidR="00DE70B0" w:rsidRPr="00144C52">
        <w:rPr>
          <w:rFonts w:asciiTheme="minorHAnsi" w:eastAsiaTheme="minorHAnsi" w:hAnsiTheme="minorHAnsi" w:cstheme="minorHAnsi"/>
          <w:sz w:val="21"/>
          <w:szCs w:val="21"/>
        </w:rPr>
        <w:t xml:space="preserve">ncreased morbidity, mortality and length of hospital stay </w:t>
      </w:r>
      <w:r w:rsidR="00623E89" w:rsidRPr="00144C52">
        <w:rPr>
          <w:rFonts w:asciiTheme="minorHAnsi" w:eastAsiaTheme="minorHAnsi" w:hAnsiTheme="minorHAnsi" w:cstheme="minorHAnsi"/>
          <w:sz w:val="21"/>
          <w:szCs w:val="21"/>
        </w:rPr>
        <w:t>may be</w:t>
      </w:r>
      <w:r w:rsidRPr="00144C52">
        <w:rPr>
          <w:rFonts w:asciiTheme="minorHAnsi" w:eastAsiaTheme="minorHAnsi" w:hAnsiTheme="minorHAnsi" w:cstheme="minorHAnsi"/>
          <w:sz w:val="21"/>
          <w:szCs w:val="21"/>
        </w:rPr>
        <w:t xml:space="preserve"> associated with</w:t>
      </w:r>
      <w:r w:rsidR="00DE70B0" w:rsidRPr="00144C52">
        <w:rPr>
          <w:rFonts w:asciiTheme="minorHAnsi" w:eastAsiaTheme="minorHAnsi" w:hAnsiTheme="minorHAnsi" w:cstheme="minorHAnsi"/>
          <w:sz w:val="21"/>
          <w:szCs w:val="21"/>
        </w:rPr>
        <w:t xml:space="preserve"> transfusion.</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"Koch CG  Duncan AI et al", "given" : "Li L", "non-dropping-particle" : "", "parse-names" : false, "suffix" : "" } ], "container-title" : "Crit Care Med 2006", "id" : "ITEM-1", "issue" : "34", "issued" : { "date-parts" : [ [ "2006" ] ] }, "page" : "1608-1616", "title" : "Morbidity and mortality risk associated with red blood cell and blood-component transfusion in isolated coronary artery bypass grafting.", "type" : "article-journal", "volume" : "34" }, "uris" : [ "http://www.mendeley.com/documents/?uuid=92a943f7-35b9-4e46-948d-e1033d47cc97" ] }, { "id" : "ITEM-2", "itemData" : { "author" : [ { "dropping-particle" : "", "family" : "Hajjar LA Vincent JL et al.", "given" : "", "non-dropping-particle" : "", "parse-names" : false, "suffix" : "" } ], "container-title" : "JAMA - Journal of the American Medical Association", "id" : "ITEM-2", "issue" : "304", "issued" : { "date-parts" : [ [ "0" ] ] }, "page" : "304:1559-1567", "title" : "Transfusion requirements after cardiac surgery: the TRACS randomised controlled trial.", "type" : "article-journal", "volume" : "304" }, "uris" : [ "http://www.mendeley.com/documents/?uuid=f204d20a-6164-4ae2-8c61-0482cc10f507" ] } ], "mendeley" : { "previouslyFormattedCitation" : "&lt;sup&gt;9,10&lt;/sup&gt;"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9,10</w:t>
      </w:r>
      <w:r w:rsidR="00FE0FD8" w:rsidRPr="00144C52">
        <w:rPr>
          <w:rFonts w:asciiTheme="minorHAnsi" w:eastAsiaTheme="minorHAnsi" w:hAnsiTheme="minorHAnsi" w:cstheme="minorHAnsi"/>
          <w:sz w:val="21"/>
          <w:szCs w:val="21"/>
        </w:rPr>
        <w:fldChar w:fldCharType="end"/>
      </w:r>
      <w:r w:rsidR="00DE70B0" w:rsidRPr="00144C52">
        <w:rPr>
          <w:rFonts w:asciiTheme="minorHAnsi" w:eastAsiaTheme="minorHAnsi" w:hAnsiTheme="minorHAnsi" w:cstheme="minorHAnsi"/>
          <w:sz w:val="21"/>
          <w:szCs w:val="21"/>
        </w:rPr>
        <w:t xml:space="preserve"> </w:t>
      </w:r>
    </w:p>
    <w:p w:rsidR="00DE70B0" w:rsidRPr="00144C52" w:rsidRDefault="00DE70B0" w:rsidP="000E418A">
      <w:pPr>
        <w:pStyle w:val="Heading4"/>
        <w:spacing w:before="240" w:line="276" w:lineRule="auto"/>
        <w:ind w:left="-284"/>
        <w:rPr>
          <w:sz w:val="21"/>
          <w:szCs w:val="21"/>
        </w:rPr>
      </w:pPr>
      <w:r w:rsidRPr="00144C52">
        <w:rPr>
          <w:sz w:val="21"/>
          <w:szCs w:val="21"/>
        </w:rPr>
        <w:t>ASSESSMENT:</w:t>
      </w:r>
    </w:p>
    <w:p w:rsidR="00DE70B0" w:rsidRPr="00144C52" w:rsidRDefault="00DE70B0" w:rsidP="00B554E2">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Blood transfusion is a live tissue transplant.</w:t>
      </w:r>
      <w:r w:rsidRPr="00144C52">
        <w:rPr>
          <w:rFonts w:asciiTheme="minorHAnsi" w:eastAsiaTheme="minorHAnsi" w:hAnsiTheme="minorHAnsi" w:cstheme="minorHAnsi"/>
          <w:b/>
          <w:sz w:val="21"/>
          <w:szCs w:val="21"/>
        </w:rPr>
        <w:t xml:space="preserve"> </w:t>
      </w:r>
      <w:r w:rsidRPr="00144C52">
        <w:rPr>
          <w:rFonts w:asciiTheme="minorHAnsi" w:eastAsiaTheme="minorHAnsi" w:hAnsiTheme="minorHAnsi" w:cstheme="minorHAnsi"/>
          <w:sz w:val="21"/>
          <w:szCs w:val="21"/>
        </w:rPr>
        <w:t xml:space="preserve">Emerging evidence of harm from transfusion requires a precautionary approach to balance risk with benefit for </w:t>
      </w:r>
      <w:r w:rsidRPr="00144C52">
        <w:rPr>
          <w:rFonts w:asciiTheme="minorHAnsi" w:eastAsiaTheme="minorHAnsi" w:hAnsiTheme="minorHAnsi" w:cstheme="minorHAnsi"/>
          <w:b/>
          <w:sz w:val="21"/>
          <w:szCs w:val="21"/>
        </w:rPr>
        <w:t>each unit</w:t>
      </w:r>
      <w:r w:rsidRPr="00144C52">
        <w:rPr>
          <w:rFonts w:asciiTheme="minorHAnsi" w:eastAsiaTheme="minorHAnsi" w:hAnsiTheme="minorHAnsi" w:cstheme="minorHAnsi"/>
          <w:sz w:val="21"/>
          <w:szCs w:val="21"/>
        </w:rPr>
        <w:t>.</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"DOI" : "10.1634/theoncologist.2011-S3-3", "abstract" : "The objective of this paper is to introduce clinicians and health care professionals to the concept of patient blood management (PBM) and to explain the difference between PBM and the concept of \"appropriate use\" of blood products. The five reasons why modern health systems need to shift from product-focused transfusion practice to PBM are also presented. These are: the aging population with a leveraged demand for blood products opposed to a shrinking donor base; the growing awareness that transfusion is a complex service involving many different cost centers within a hospital and representing a multiple of the blood product cost; the continuous effort to protect blood pools from known, new, or re-emerging pathogens while facing uncertainty over their potentially long silent carrier states; the emerging evidence that transfusion is an independent risk factor for adverse outcomes; and finally, a lack of evidence for benefit of transfusion for the vast majority of recipients.", "author" : [ { "dropping-particle" : "", "family" : "Hofmann", "given" : "Axel", "non-dropping-particle" : "", "parse-names" : false, "suffix" : "" }, { "dropping-particle" : "", "family" : "Farmer", "given" : "Shannon", "non-dropping-particle" : "", "parse-names" : false, "suffix" : "" }, { "dropping-particle" : "", "family" : "Shander", "given" : "Aryeh", "non-dropping-particle" : "", "parse-names" : false, "suffix" : "" } ], "container-title" : "The oncologist", "id" : "ITEM-1", "issued" : { "date-parts" : [ [ "2011" ] ] }, "page" : "3-11", "title" : "Five drivers shifting the paradigm from product-focused transfusion practice to patient blood management.", "type" : "article-journal", "volume" : "16 Suppl 3" }, "uris" : [ "http://www.mendeley.com/documents/?uuid=3a94e34c-9f7b-496c-af50-99a9cf529f48" ] }, { "id" : "ITEM-2", "itemData" : { "DOI" : "10.1097/ACO.0b013e32834eb726", "abstract" : "PURPOSE OF REVIEW: Evidence-based patient blood management (PBM) is aimed at achieving better patient outcomes by relying on a patient's own blood rather than on donor blood. This review covers the rationale behind PBM, the treatment modalities involved and the drivers to adopt PBM as a new standard of care. RECENT FINDINGS: Transfusion rates vary significantly between comparable countries; they also vary between centers for matched patients in standardized elective surgical interventions. Preoperative anemia, perioperative blood loss and liberal transfusion triggers are the main predictors for transfusion and pose risks to the patient. PBM is mitigating these risks by optimizing the patient's native red cell mass, minimizing blood loss, optimizing the physiological reserve of anemia and preempting transfusions. A growing number of studies show that transfusion is associated in a dose-dependent relationship with increased morbidity, mortality and hospital length of stay. Evidence suggests that this relationship is not merely associative but causal. Furthermore, the over-ageing population of the developed world leads to a growing gap between supply and demand of blood, the safety of donor blood remains unpredictable and the cost of transfusion is much higher than previously estimated. SUMMARY: High transfusion variability, adverse transfusion outcomes, limited evidence for the benefit of transfusion particularly in elective patients and high cost of transfusion are challenging the traditional transfusion paradigm. National and state-wide initiatives are underway in Australia to broadly implement PBM and PBM programs as a new and cost-effective standard of care in the public health system.", "author" : [ { "dropping-particle" : "", "family" : "Hofmann", "given" : "Axel", "non-dropping-particle" : "", "parse-names" : false, "suffix" : "" }, { "dropping-particle" : "", "family" : "Farmer", "given" : "Shannon", "non-dropping-particle" : "", "parse-names" : false, "suffix" : "" }, { "dropping-particle" : "", "family" : "Towler", "given" : "Simon C", "non-dropping-particle" : "", "parse-names" : false, "suffix" : "" } ], "container-title" : "Current opinion in anaesthesiology", "id" : "ITEM-2", "issue" : "1", "issued" : { "date-parts" : [ [ "2012" ] ] }, "page" : "66-73", "title" : "Strategies to preempt and reduce the use of blood products: an Australian perspective.", "type" : "article-journal", "volume" : "25" }, "uris" : [ "http://www.mendeley.com/documents/?uuid=bd9ad883-c5dd-465f-bd70-928259714a47" ] } ], "mendeley" : { "previouslyFormattedCitation" : "&lt;sup&gt;11,12&lt;/sup&gt;"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11,12</w:t>
      </w:r>
      <w:r w:rsidR="00FE0FD8" w:rsidRPr="00144C52">
        <w:rPr>
          <w:rFonts w:asciiTheme="minorHAnsi" w:eastAsiaTheme="minorHAnsi" w:hAnsiTheme="minorHAnsi" w:cstheme="minorHAnsi"/>
          <w:sz w:val="21"/>
          <w:szCs w:val="21"/>
        </w:rPr>
        <w:fldChar w:fldCharType="end"/>
      </w:r>
      <w:r w:rsidRPr="00144C52">
        <w:rPr>
          <w:rFonts w:asciiTheme="minorHAnsi" w:eastAsiaTheme="minorHAnsi" w:hAnsiTheme="minorHAnsi" w:cstheme="minorHAnsi"/>
          <w:sz w:val="21"/>
          <w:szCs w:val="21"/>
        </w:rPr>
        <w:t xml:space="preserve"> </w:t>
      </w:r>
      <w:r w:rsidR="004E59C2" w:rsidRPr="00144C52">
        <w:rPr>
          <w:rFonts w:asciiTheme="minorHAnsi" w:eastAsiaTheme="minorHAnsi" w:hAnsiTheme="minorHAnsi" w:cstheme="minorHAnsi"/>
          <w:sz w:val="21"/>
          <w:szCs w:val="21"/>
        </w:rPr>
        <w:t>S</w:t>
      </w:r>
      <w:r w:rsidRPr="00144C52">
        <w:rPr>
          <w:rFonts w:asciiTheme="minorHAnsi" w:eastAsiaTheme="minorHAnsi" w:hAnsiTheme="minorHAnsi" w:cstheme="minorHAnsi"/>
          <w:sz w:val="21"/>
          <w:szCs w:val="21"/>
        </w:rPr>
        <w:t xml:space="preserve">ingle unit transfusions are </w:t>
      </w:r>
      <w:r w:rsidR="0068126A" w:rsidRPr="00144C52">
        <w:rPr>
          <w:rFonts w:asciiTheme="minorHAnsi" w:eastAsiaTheme="minorHAnsi" w:hAnsiTheme="minorHAnsi" w:cstheme="minorHAnsi"/>
          <w:sz w:val="21"/>
          <w:szCs w:val="21"/>
        </w:rPr>
        <w:t xml:space="preserve">appropriate </w:t>
      </w:r>
      <w:r w:rsidRPr="00144C52">
        <w:rPr>
          <w:rFonts w:asciiTheme="minorHAnsi" w:eastAsiaTheme="minorHAnsi" w:hAnsiTheme="minorHAnsi" w:cstheme="minorHAnsi"/>
          <w:sz w:val="21"/>
          <w:szCs w:val="21"/>
        </w:rPr>
        <w:t xml:space="preserve">in patients who </w:t>
      </w:r>
      <w:r w:rsidR="00865E40" w:rsidRPr="00144C52">
        <w:rPr>
          <w:rFonts w:asciiTheme="minorHAnsi" w:eastAsiaTheme="minorHAnsi" w:hAnsiTheme="minorHAnsi" w:cstheme="minorHAnsi"/>
          <w:sz w:val="21"/>
          <w:szCs w:val="21"/>
        </w:rPr>
        <w:t xml:space="preserve">do not have clinically significant </w:t>
      </w:r>
      <w:r w:rsidRPr="00144C52">
        <w:rPr>
          <w:rFonts w:asciiTheme="minorHAnsi" w:eastAsiaTheme="minorHAnsi" w:hAnsiTheme="minorHAnsi" w:cstheme="minorHAnsi"/>
          <w:sz w:val="21"/>
          <w:szCs w:val="21"/>
        </w:rPr>
        <w:t>bleeding and reduce risk.</w:t>
      </w:r>
      <w:r w:rsidR="00FE0FD8" w:rsidRPr="00144C52">
        <w:rPr>
          <w:rFonts w:asciiTheme="minorHAnsi" w:eastAsiaTheme="minorHAnsi" w:hAnsiTheme="minorHAnsi" w:cstheme="minorHAnsi"/>
          <w:sz w:val="21"/>
          <w:szCs w:val="21"/>
        </w:rPr>
        <w:fldChar w:fldCharType="begin" w:fldLock="1"/>
      </w:r>
      <w:r w:rsidR="00F76B75" w:rsidRPr="00144C52">
        <w:rPr>
          <w:rFonts w:asciiTheme="minorHAnsi" w:eastAsiaTheme="minorHAnsi" w:hAnsiTheme="minorHAnsi" w:cstheme="minorHAnsi"/>
          <w:sz w:val="21"/>
          <w:szCs w:val="21"/>
        </w:rPr>
        <w:instrText>ADDIN CSL_CITATION { "citationItems" : [ { "id" : "ITEM-1", "itemData" : { "author" : [ { "dropping-particle" : "", "family" : "The British Committee for Standards in Haematology", "given" : "", "non-dropping-particle" : "", "parse-names" : false, "suffix" : "" } ], "id" : "ITEM-1", "issue" : "August", "issued" : { "date-parts" : [ [ "2012" ] ] }, "page" : "1-4", "title" : "Guidelines on the Administration of Blood Components. Addendum to Administration of Blood Components, August 2012", "type" : "article-journal" }, "uris" : [ "http://www.mendeley.com/documents/?uuid=57a24f16-b5f2-461f-b1a8-01a5254b1f19" ] }, { "id" : "ITEM-2", "itemData" : { "DOI" : "10.1002/14651858.CD002042.pub3", "abstract" : "BACKGROUND: Most clinical practice guidelines recommend restrictive red cell transfusion practices, with the goal of minimising exposure to allogeneic blood. The purpose of this review is to compare clinical outcomes in patients randomised to restrictive versus liberal transfusion thresholds (triggers).\n\nOBJECTIVES: To examine the evidence for the effect of transfusion thresholds on the use of allogeneic and/or autologous red cell transfusion, and the evidence for any effect on clinical outcomes.\n\nSEARCH METHODS: We identified trials by searching; The Cochrane Injuries Group Specialised Register (searched 01 Feb 2011), Cochrane Central Register of Controlled Trials 2011, issue 1 (The Cochrane Library), MEDLINE (Ovid) 1948 to January Week 3 2011, EMBASE (Ovid) 1980 to 2011 (Week 04), ISI Web of Science: Science Citation Index Expanded (1970 to Feb 2011), ISI Web of Science: Conference Proceedings Citation Index- Science (1990 to Feb 2011). We checked reference lists of other published reviews and relevant papers to identify any additional trials.\n\nSELECTION CRITERIA: Controlled trials in which patients were randomised to an intervention group or to a control group. Trials were included where intervention groups were assigned on the basis of a clear transfusion 'trigger', described as a haemoglobin (Hb) or haematocrit (Hct) level below which a red blood cell (RBC) transfusion was to be administered.\n\nDATA COLLECTION AND ANALYSIS: Risk ratios of requiring allogeneic blood transfusion, transfused blood volumes and other clinical outcomes were pooled across trials, using a random effects model. Data extraction and assessment of the risk of bias was performed by two people.\n\nMAIN RESULTS: Nineteen trials involving a total of 6264 patients were identified, and were similar enough that the results could be combined. Restrictive transfusion strategies reduced the risk of receiving a RBC transfusion by 39% (RR 0.61, 95% CI 0.52 to 0.72). This equates to an average absolute risk reduction (ARR) of 34% (95% CI 24% to 45%). The volume of RBCs transfused was reduced on average by 1.19 units (95% CI 0.53 to 1.85 units). However, heterogeneity between trials was statistically significant (P&lt;0.00001; I(2)\u226593%) for these outcomes. Restrictive transfusion strategies did not appear to impact the rate of adverse events compared to liberal transfusion strategies (i.e. mortality, cardiac events, myocardial infarction, stroke, pneumonia and thromboembolism). Restrictive transf\u2026", "author" : [ { "dropping-particle" : "", "family" : "Carson", "given" : "Jeffrey L", "non-dropping-particle" : "", "parse-names" : false, "suffix" : "" }, { "dropping-particle" : "", "family" : "Carless", "given" : "Paul a", "non-dropping-particle" : "", "parse-names" : false, "suffix" : "" }, { "dropping-particle" : "", "family" : "Hebert", "given" : "Paul C", "non-dropping-particle" : "", "parse-names" : false, "suffix" : "" } ], "container-title" : "The Cochrane database of systematic reviews", "id" : "ITEM-2", "issue" : "1", "issued" : { "date-parts" : [ [ "2012", "1" ] ] }, "page" : "CD002042", "title" : "Transfusion thresholds and other strategies for guiding allogeneic red blood cell transfusion.", "type" : "article-journal", "volume" : "4" }, "uris" : [ "http://www.mendeley.com/documents/?uuid=40e56cac-2714-466c-8f42-7cedb9f17339" ] }, { "id" : "ITEM-3",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"ITEM-3",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"&lt;sup&gt;3,15,16&lt;/sup&gt;" }, "properties" : { "noteIndex" : 0 }, "schema" : "https://github.com/citation-style-language/schema/raw/master/csl-citation.json" }</w:instrText>
      </w:r>
      <w:r w:rsidR="00FE0FD8" w:rsidRPr="00144C52">
        <w:rPr>
          <w:rFonts w:asciiTheme="minorHAnsi" w:eastAsiaTheme="minorHAnsi" w:hAnsiTheme="minorHAnsi" w:cstheme="minorHAnsi"/>
          <w:sz w:val="21"/>
          <w:szCs w:val="21"/>
        </w:rPr>
        <w:fldChar w:fldCharType="separate"/>
      </w:r>
      <w:r w:rsidR="00F76B75" w:rsidRPr="00144C52">
        <w:rPr>
          <w:rFonts w:asciiTheme="minorHAnsi" w:eastAsiaTheme="minorHAnsi" w:hAnsiTheme="minorHAnsi" w:cstheme="minorHAnsi"/>
          <w:noProof/>
          <w:sz w:val="21"/>
          <w:szCs w:val="21"/>
          <w:vertAlign w:val="superscript"/>
        </w:rPr>
        <w:t>3,15,16</w:t>
      </w:r>
      <w:r w:rsidR="00FE0FD8" w:rsidRPr="00144C52">
        <w:rPr>
          <w:rFonts w:asciiTheme="minorHAnsi" w:eastAsiaTheme="minorHAnsi" w:hAnsiTheme="minorHAnsi" w:cstheme="minorHAnsi"/>
          <w:sz w:val="21"/>
          <w:szCs w:val="21"/>
        </w:rPr>
        <w:fldChar w:fldCharType="end"/>
      </w:r>
    </w:p>
    <w:p w:rsidR="00DE70B0" w:rsidRPr="00144C52" w:rsidRDefault="00DE70B0" w:rsidP="000E418A">
      <w:pPr>
        <w:pStyle w:val="Heading4"/>
        <w:spacing w:before="240" w:line="276" w:lineRule="auto"/>
        <w:ind w:left="-284"/>
        <w:rPr>
          <w:sz w:val="21"/>
          <w:szCs w:val="21"/>
        </w:rPr>
      </w:pPr>
      <w:r w:rsidRPr="00144C52">
        <w:rPr>
          <w:sz w:val="21"/>
          <w:szCs w:val="21"/>
        </w:rPr>
        <w:t>RECOMMENDATION:</w:t>
      </w:r>
    </w:p>
    <w:p w:rsidR="00E83CB9" w:rsidRPr="00144C52" w:rsidRDefault="00E83CB9" w:rsidP="000E418A">
      <w:pPr>
        <w:spacing w:after="120" w:line="276" w:lineRule="auto"/>
        <w:ind w:left="-284"/>
        <w:rPr>
          <w:rFonts w:asciiTheme="minorHAnsi" w:eastAsiaTheme="minorHAnsi" w:hAnsiTheme="minorHAnsi" w:cstheme="minorHAnsi"/>
          <w:sz w:val="21"/>
          <w:szCs w:val="21"/>
          <w:lang w:val="en-GB"/>
        </w:rPr>
      </w:pPr>
      <w:r w:rsidRPr="00144C52">
        <w:rPr>
          <w:rFonts w:asciiTheme="minorHAnsi" w:eastAsiaTheme="minorHAnsi" w:hAnsiTheme="minorHAnsi" w:cstheme="minorHAnsi"/>
          <w:sz w:val="21"/>
          <w:szCs w:val="21"/>
        </w:rPr>
        <w:t xml:space="preserve">Obtain informed </w:t>
      </w:r>
      <w:r w:rsidRPr="00144C52">
        <w:rPr>
          <w:rFonts w:asciiTheme="minorHAnsi" w:eastAsiaTheme="minorHAnsi" w:hAnsiTheme="minorHAnsi" w:cstheme="minorHAnsi"/>
          <w:sz w:val="21"/>
          <w:szCs w:val="21"/>
          <w:lang w:val="en-GB"/>
        </w:rPr>
        <w:t xml:space="preserve">consent from the patient or responsible person/guardian prior to prescribing a red blood cell transfusion. </w:t>
      </w:r>
    </w:p>
    <w:p w:rsidR="00E83CB9" w:rsidRPr="00144C52" w:rsidRDefault="00E83CB9" w:rsidP="000E418A">
      <w:pPr>
        <w:spacing w:after="120" w:line="276" w:lineRule="auto"/>
        <w:ind w:left="-284"/>
        <w:rPr>
          <w:rFonts w:asciiTheme="minorHAnsi" w:eastAsiaTheme="minorHAnsi" w:hAnsiTheme="minorHAnsi" w:cstheme="minorHAnsi"/>
          <w:sz w:val="21"/>
          <w:szCs w:val="21"/>
        </w:rPr>
      </w:pPr>
      <w:r w:rsidRPr="00144C52">
        <w:rPr>
          <w:rFonts w:asciiTheme="minorHAnsi" w:eastAsiaTheme="minorHAnsi" w:hAnsiTheme="minorHAnsi" w:cstheme="minorHAnsi"/>
          <w:sz w:val="21"/>
          <w:szCs w:val="21"/>
        </w:rPr>
        <w:t>Ensure the safety and efficacy of red blood cell transfusion by confirming every unit transfused is a</w:t>
      </w:r>
      <w:r w:rsidR="00FD6566">
        <w:rPr>
          <w:rFonts w:asciiTheme="minorHAnsi" w:eastAsiaTheme="minorHAnsi" w:hAnsiTheme="minorHAnsi" w:cstheme="minorHAnsi"/>
          <w:sz w:val="21"/>
          <w:szCs w:val="21"/>
        </w:rPr>
        <w:t>n</w:t>
      </w:r>
      <w:r w:rsidRPr="00144C52">
        <w:rPr>
          <w:rFonts w:asciiTheme="minorHAnsi" w:eastAsiaTheme="minorHAnsi" w:hAnsiTheme="minorHAnsi" w:cstheme="minorHAnsi"/>
          <w:sz w:val="21"/>
          <w:szCs w:val="21"/>
        </w:rPr>
        <w:t xml:space="preserve"> </w:t>
      </w:r>
      <w:r w:rsidR="00144C52" w:rsidRPr="00144C52">
        <w:rPr>
          <w:rFonts w:asciiTheme="minorHAnsi" w:eastAsiaTheme="minorHAnsi" w:hAnsiTheme="minorHAnsi" w:cstheme="minorHAnsi"/>
          <w:sz w:val="21"/>
          <w:szCs w:val="21"/>
        </w:rPr>
        <w:t xml:space="preserve">independent </w:t>
      </w:r>
      <w:r w:rsidRPr="00144C52">
        <w:rPr>
          <w:rFonts w:asciiTheme="minorHAnsi" w:eastAsiaTheme="minorHAnsi" w:hAnsiTheme="minorHAnsi" w:cstheme="minorHAnsi"/>
          <w:sz w:val="21"/>
          <w:szCs w:val="21"/>
        </w:rPr>
        <w:t>clinical decision where the expected benefit outweighs the risks</w:t>
      </w:r>
      <w:r w:rsidR="00144C52" w:rsidRPr="00144C52">
        <w:rPr>
          <w:rFonts w:asciiTheme="minorHAnsi" w:eastAsiaTheme="minorHAnsi" w:hAnsiTheme="minorHAnsi" w:cstheme="minorHAnsi"/>
          <w:sz w:val="21"/>
          <w:szCs w:val="21"/>
        </w:rPr>
        <w:t xml:space="preserve"> and alternatives have been considered.</w:t>
      </w:r>
    </w:p>
    <w:p w:rsidR="00E83CB9" w:rsidRDefault="00E83CB9" w:rsidP="000E418A">
      <w:pPr>
        <w:ind w:left="-284"/>
      </w:pPr>
      <w:r w:rsidRPr="00144C52">
        <w:rPr>
          <w:rFonts w:asciiTheme="minorHAnsi" w:eastAsiaTheme="minorHAnsi" w:hAnsiTheme="minorHAnsi" w:cstheme="minorHAnsi"/>
          <w:sz w:val="21"/>
          <w:szCs w:val="21"/>
        </w:rPr>
        <w:t xml:space="preserve">Where indicated, transfuse a single unit of red blood cells, then clinically reassess the patient to determine if further transfusion is required. Transfusion should not be based on haemoglobin level alone but should also </w:t>
      </w:r>
      <w:r w:rsidR="00FD6566">
        <w:rPr>
          <w:rFonts w:asciiTheme="minorHAnsi" w:eastAsiaTheme="minorHAnsi" w:hAnsiTheme="minorHAnsi" w:cstheme="minorHAnsi"/>
          <w:sz w:val="21"/>
          <w:szCs w:val="21"/>
        </w:rPr>
        <w:t xml:space="preserve">be based </w:t>
      </w:r>
      <w:r w:rsidRPr="00144C52">
        <w:rPr>
          <w:rFonts w:asciiTheme="minorHAnsi" w:eastAsiaTheme="minorHAnsi" w:hAnsiTheme="minorHAnsi" w:cstheme="minorHAnsi"/>
          <w:sz w:val="21"/>
          <w:szCs w:val="21"/>
        </w:rPr>
        <w:t xml:space="preserve">on </w:t>
      </w:r>
      <w:r w:rsidR="00FD6566">
        <w:rPr>
          <w:rFonts w:asciiTheme="minorHAnsi" w:eastAsiaTheme="minorHAnsi" w:hAnsiTheme="minorHAnsi" w:cstheme="minorHAnsi"/>
          <w:sz w:val="21"/>
          <w:szCs w:val="21"/>
        </w:rPr>
        <w:t xml:space="preserve">an </w:t>
      </w:r>
      <w:r w:rsidRPr="00144C52">
        <w:rPr>
          <w:rFonts w:asciiTheme="minorHAnsi" w:eastAsiaTheme="minorHAnsi" w:hAnsiTheme="minorHAnsi" w:cstheme="minorHAnsi"/>
          <w:sz w:val="21"/>
          <w:szCs w:val="21"/>
        </w:rPr>
        <w:t>assessment of the patient’s clinical status.</w:t>
      </w:r>
      <w:r w:rsidR="00F76B75" w:rsidRPr="00144C52">
        <w:rPr>
          <w:rFonts w:asciiTheme="minorHAnsi" w:eastAsiaTheme="minorHAnsi" w:hAnsiTheme="minorHAnsi" w:cstheme="minorHAnsi"/>
          <w:sz w:val="21"/>
          <w:szCs w:val="21"/>
          <w:vertAlign w:val="superscript"/>
        </w:rPr>
        <w:fldChar w:fldCharType="begin" w:fldLock="1"/>
      </w:r>
      <w:r w:rsidR="00F76B75" w:rsidRPr="00144C52">
        <w:rPr>
          <w:rFonts w:asciiTheme="minorHAnsi" w:eastAsiaTheme="minorHAnsi" w:hAnsiTheme="minorHAnsi" w:cstheme="minorHAnsi"/>
          <w:sz w:val="21"/>
          <w:szCs w:val="21"/>
          <w:vertAlign w:val="superscript"/>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"&lt;sup&gt;1,2&lt;/sup&gt;" }, "properties" : { "noteIndex" : 0 }, "schema" : "https://github.com/citation-style-language/schema/raw/master/csl-citation.json" }</w:instrText>
      </w:r>
      <w:r w:rsidR="00F76B75" w:rsidRPr="00144C52">
        <w:rPr>
          <w:rFonts w:asciiTheme="minorHAnsi" w:eastAsiaTheme="minorHAnsi" w:hAnsiTheme="minorHAnsi" w:cstheme="minorHAnsi"/>
          <w:sz w:val="21"/>
          <w:szCs w:val="21"/>
          <w:vertAlign w:val="superscript"/>
        </w:rPr>
        <w:fldChar w:fldCharType="separate"/>
      </w:r>
      <w:r w:rsidR="00F76B75" w:rsidRPr="00144C52">
        <w:rPr>
          <w:rFonts w:asciiTheme="minorHAnsi" w:eastAsiaTheme="minorHAnsi" w:hAnsiTheme="minorHAnsi" w:cstheme="minorHAnsi"/>
          <w:noProof/>
          <w:sz w:val="21"/>
          <w:szCs w:val="21"/>
          <w:vertAlign w:val="superscript"/>
        </w:rPr>
        <w:t>1,2</w:t>
      </w:r>
      <w:r w:rsidR="00F76B75" w:rsidRPr="00144C52">
        <w:rPr>
          <w:rFonts w:asciiTheme="minorHAnsi" w:eastAsiaTheme="minorHAnsi" w:hAnsiTheme="minorHAnsi" w:cstheme="minorHAnsi"/>
          <w:sz w:val="21"/>
          <w:szCs w:val="21"/>
          <w:vertAlign w:val="superscript"/>
        </w:rPr>
        <w:fldChar w:fldCharType="end"/>
      </w:r>
      <w:r w:rsidRPr="000E418A">
        <w:rPr>
          <w:rFonts w:asciiTheme="minorHAnsi" w:eastAsiaTheme="minorHAnsi" w:hAnsiTheme="minorHAnsi" w:cstheme="minorHAnsi"/>
          <w:sz w:val="21"/>
          <w:szCs w:val="21"/>
        </w:rPr>
        <w:t xml:space="preserve"> </w:t>
      </w:r>
      <w:r>
        <w:br w:type="page"/>
      </w:r>
    </w:p>
    <w:p w:rsidR="00DE70B0" w:rsidRPr="00B554E2" w:rsidRDefault="00DE70B0" w:rsidP="00B554E2">
      <w:pPr>
        <w:spacing w:after="120" w:line="276" w:lineRule="auto"/>
        <w:ind w:left="-284"/>
        <w:rPr>
          <w:rFonts w:asciiTheme="minorHAnsi" w:eastAsiaTheme="minorHAnsi" w:hAnsiTheme="minorHAnsi" w:cstheme="minorHAnsi"/>
          <w:sz w:val="21"/>
          <w:szCs w:val="21"/>
        </w:rPr>
      </w:pPr>
    </w:p>
    <w:p w:rsidR="00DE70B0" w:rsidRDefault="00DE70B0" w:rsidP="00DE70B0">
      <w:pPr>
        <w:pStyle w:val="Heading4"/>
      </w:pPr>
      <w:r w:rsidRPr="00DE70B0">
        <w:t>R</w:t>
      </w:r>
      <w:r>
        <w:t>EFERENCES</w:t>
      </w:r>
      <w:r w:rsidRPr="00DE70B0">
        <w:t>:</w:t>
      </w:r>
    </w:p>
    <w:p w:rsidR="00F76B75" w:rsidRPr="00F76B75" w:rsidRDefault="00FE0FD8">
      <w:pPr>
        <w:pStyle w:val="NormalWeb"/>
        <w:ind w:left="640" w:hanging="640"/>
        <w:divId w:val="487550509"/>
        <w:rPr>
          <w:rFonts w:ascii="Calibri" w:hAnsi="Calibri" w:cs="Calibri"/>
          <w:noProof/>
          <w:sz w:val="20"/>
        </w:rPr>
      </w:pPr>
      <w:r w:rsidRPr="006F33B5">
        <w:rPr>
          <w:rFonts w:asciiTheme="minorHAnsi" w:hAnsiTheme="minorHAnsi" w:cstheme="minorHAnsi"/>
          <w:sz w:val="21"/>
          <w:szCs w:val="21"/>
        </w:rPr>
        <w:fldChar w:fldCharType="begin" w:fldLock="1"/>
      </w:r>
      <w:r w:rsidRPr="006F33B5">
        <w:rPr>
          <w:rFonts w:asciiTheme="minorHAnsi" w:hAnsiTheme="minorHAnsi" w:cstheme="minorHAnsi"/>
          <w:sz w:val="21"/>
          <w:szCs w:val="21"/>
        </w:rPr>
        <w:instrText xml:space="preserve">ADDIN Mendeley Bibliography CSL_BIBLIOGRAPHY </w:instrText>
      </w:r>
      <w:r w:rsidRPr="006F33B5">
        <w:rPr>
          <w:rFonts w:asciiTheme="minorHAnsi" w:hAnsiTheme="minorHAnsi" w:cstheme="minorHAnsi"/>
          <w:sz w:val="21"/>
          <w:szCs w:val="21"/>
        </w:rPr>
        <w:fldChar w:fldCharType="separate"/>
      </w:r>
      <w:r w:rsidR="00F76B75" w:rsidRPr="00F76B75">
        <w:rPr>
          <w:rFonts w:ascii="Calibri" w:hAnsi="Calibri" w:cs="Calibri"/>
          <w:noProof/>
          <w:sz w:val="20"/>
        </w:rPr>
        <w:t>1.</w:t>
      </w:r>
      <w:r w:rsidR="00F76B75" w:rsidRPr="00F76B75">
        <w:rPr>
          <w:rFonts w:ascii="Calibri" w:hAnsi="Calibri" w:cs="Calibri"/>
          <w:noProof/>
          <w:sz w:val="20"/>
        </w:rPr>
        <w:tab/>
        <w:t xml:space="preserve">National Blood Authority </w:t>
      </w:r>
      <w:r w:rsidR="00F76B75" w:rsidRPr="00F76B75">
        <w:rPr>
          <w:rFonts w:ascii="Calibri" w:hAnsi="Calibri" w:cs="Calibri"/>
          <w:i/>
          <w:iCs/>
          <w:noProof/>
          <w:sz w:val="20"/>
        </w:rPr>
        <w:t>Patient blood management guidelines: Module 3 – Medical</w:t>
      </w:r>
      <w:r w:rsidR="00F76B75" w:rsidRPr="00F76B75">
        <w:rPr>
          <w:rFonts w:ascii="Calibri" w:hAnsi="Calibri" w:cs="Calibri"/>
          <w:noProof/>
          <w:sz w:val="20"/>
        </w:rPr>
        <w:t>. (National Blood Authority: Canberra, Australia, 2012).at &lt;</w:t>
      </w:r>
      <w:hyperlink r:id="rId9" w:history="1">
        <w:r w:rsidR="00F76B75" w:rsidRPr="007A7E0F">
          <w:rPr>
            <w:rStyle w:val="Hyperlink"/>
            <w:rFonts w:ascii="Calibri" w:hAnsi="Calibri" w:cs="Calibri"/>
            <w:noProof/>
            <w:sz w:val="20"/>
          </w:rPr>
          <w:t>http://www.blood.gov.au/pbm-guidelines</w:t>
        </w:r>
      </w:hyperlink>
      <w:r w:rsidR="00F76B75" w:rsidRPr="00F76B75">
        <w:rPr>
          <w:rFonts w:ascii="Calibri" w:hAnsi="Calibri" w:cs="Calibri"/>
          <w:noProof/>
          <w:sz w:val="20"/>
        </w:rPr>
        <w:t>&gt;</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2.</w:t>
      </w:r>
      <w:r w:rsidRPr="00F76B75">
        <w:rPr>
          <w:rFonts w:ascii="Calibri" w:hAnsi="Calibri" w:cs="Calibri"/>
          <w:noProof/>
          <w:sz w:val="20"/>
        </w:rPr>
        <w:tab/>
        <w:t xml:space="preserve">National Blood Authority </w:t>
      </w:r>
      <w:r w:rsidRPr="00F76B75">
        <w:rPr>
          <w:rFonts w:ascii="Calibri" w:hAnsi="Calibri" w:cs="Calibri"/>
          <w:i/>
          <w:iCs/>
          <w:noProof/>
          <w:sz w:val="20"/>
        </w:rPr>
        <w:t>Patient blood management guidelines: Module 4 – Critical Care</w:t>
      </w:r>
      <w:r w:rsidRPr="00F76B75">
        <w:rPr>
          <w:rFonts w:ascii="Calibri" w:hAnsi="Calibri" w:cs="Calibri"/>
          <w:noProof/>
          <w:sz w:val="20"/>
        </w:rPr>
        <w:t>. (Canberra, Australia, 2013).at &lt;</w:t>
      </w:r>
      <w:hyperlink r:id="rId10" w:history="1">
        <w:r w:rsidRPr="007A7E0F">
          <w:rPr>
            <w:rStyle w:val="Hyperlink"/>
            <w:rFonts w:ascii="Calibri" w:hAnsi="Calibri" w:cs="Calibri"/>
            <w:noProof/>
            <w:sz w:val="20"/>
          </w:rPr>
          <w:t>http://www.blood.gov.au/pbm-guidelines</w:t>
        </w:r>
      </w:hyperlink>
      <w:r w:rsidRPr="00F76B75">
        <w:rPr>
          <w:rFonts w:ascii="Calibri" w:hAnsi="Calibri" w:cs="Calibri"/>
          <w:noProof/>
          <w:sz w:val="20"/>
        </w:rPr>
        <w:t>&gt;</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3.</w:t>
      </w:r>
      <w:r w:rsidRPr="00F76B75">
        <w:rPr>
          <w:rFonts w:ascii="Calibri" w:hAnsi="Calibri" w:cs="Calibri"/>
          <w:noProof/>
          <w:sz w:val="20"/>
        </w:rPr>
        <w:tab/>
        <w:t xml:space="preserve">Webert, K. E. </w:t>
      </w:r>
      <w:r w:rsidRPr="00F76B75">
        <w:rPr>
          <w:rFonts w:ascii="Calibri" w:hAnsi="Calibri" w:cs="Calibri"/>
          <w:i/>
          <w:iCs/>
          <w:noProof/>
          <w:sz w:val="20"/>
        </w:rPr>
        <w:t>et al.</w:t>
      </w:r>
      <w:r w:rsidRPr="00F76B75">
        <w:rPr>
          <w:rFonts w:ascii="Calibri" w:hAnsi="Calibri" w:cs="Calibri"/>
          <w:noProof/>
          <w:sz w:val="20"/>
        </w:rPr>
        <w:t xml:space="preserve"> A new tool to assess bleeding severity in patients with chemotherapy-induced thrmbocytopaenia. </w:t>
      </w:r>
      <w:r w:rsidRPr="00F76B75">
        <w:rPr>
          <w:rFonts w:ascii="Calibri" w:hAnsi="Calibri" w:cs="Calibri"/>
          <w:i/>
          <w:iCs/>
          <w:noProof/>
          <w:sz w:val="20"/>
        </w:rPr>
        <w:t>Transfusion Practice</w:t>
      </w:r>
      <w:r w:rsidRPr="00F76B75">
        <w:rPr>
          <w:rFonts w:ascii="Calibri" w:hAnsi="Calibri" w:cs="Calibri"/>
          <w:noProof/>
          <w:sz w:val="20"/>
        </w:rPr>
        <w:t xml:space="preserve"> </w:t>
      </w:r>
      <w:r w:rsidRPr="00F76B75">
        <w:rPr>
          <w:rFonts w:ascii="Calibri" w:hAnsi="Calibri" w:cs="Calibri"/>
          <w:b/>
          <w:bCs/>
          <w:noProof/>
          <w:sz w:val="20"/>
        </w:rPr>
        <w:t>52</w:t>
      </w:r>
      <w:r w:rsidRPr="00F76B75">
        <w:rPr>
          <w:rFonts w:ascii="Calibri" w:hAnsi="Calibri" w:cs="Calibri"/>
          <w:noProof/>
          <w:sz w:val="20"/>
        </w:rPr>
        <w:t>, 2466–2474 (2012).</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4.</w:t>
      </w:r>
      <w:r w:rsidRPr="00F76B75">
        <w:rPr>
          <w:rFonts w:ascii="Calibri" w:hAnsi="Calibri" w:cs="Calibri"/>
          <w:noProof/>
          <w:sz w:val="20"/>
        </w:rPr>
        <w:tab/>
        <w:t xml:space="preserve">Carson, J. L. Red blood cell transfusion: a clinical practice guideline from the AABB. </w:t>
      </w:r>
      <w:r w:rsidRPr="00F76B75">
        <w:rPr>
          <w:rFonts w:ascii="Calibri" w:hAnsi="Calibri" w:cs="Calibri"/>
          <w:i/>
          <w:iCs/>
          <w:noProof/>
          <w:sz w:val="20"/>
        </w:rPr>
        <w:t>Annals of Internal Medicine</w:t>
      </w:r>
      <w:r w:rsidRPr="00F76B75">
        <w:rPr>
          <w:rFonts w:ascii="Calibri" w:hAnsi="Calibri" w:cs="Calibri"/>
          <w:noProof/>
          <w:sz w:val="20"/>
        </w:rPr>
        <w:t xml:space="preserve"> </w:t>
      </w:r>
      <w:r w:rsidRPr="00F76B75">
        <w:rPr>
          <w:rFonts w:ascii="Calibri" w:hAnsi="Calibri" w:cs="Calibri"/>
          <w:b/>
          <w:bCs/>
          <w:noProof/>
          <w:sz w:val="20"/>
        </w:rPr>
        <w:t>157</w:t>
      </w:r>
      <w:r w:rsidRPr="00F76B75">
        <w:rPr>
          <w:rFonts w:ascii="Calibri" w:hAnsi="Calibri" w:cs="Calibri"/>
          <w:noProof/>
          <w:sz w:val="20"/>
        </w:rPr>
        <w:t>, 49–58 (2012).</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5.</w:t>
      </w:r>
      <w:r w:rsidRPr="00F76B75">
        <w:rPr>
          <w:rFonts w:ascii="Calibri" w:hAnsi="Calibri" w:cs="Calibri"/>
          <w:noProof/>
          <w:sz w:val="20"/>
        </w:rPr>
        <w:tab/>
        <w:t xml:space="preserve">Rossi, E. C. Anaemia and Red cell Transfusion. </w:t>
      </w:r>
      <w:r w:rsidRPr="00F76B75">
        <w:rPr>
          <w:rFonts w:ascii="Calibri" w:hAnsi="Calibri" w:cs="Calibri"/>
          <w:i/>
          <w:iCs/>
          <w:noProof/>
          <w:sz w:val="20"/>
        </w:rPr>
        <w:t>Principles of Transfusion Medicine, Second edition</w:t>
      </w:r>
      <w:r w:rsidRPr="00F76B75">
        <w:rPr>
          <w:rFonts w:ascii="Calibri" w:hAnsi="Calibri" w:cs="Calibri"/>
          <w:noProof/>
          <w:sz w:val="20"/>
        </w:rPr>
        <w:t xml:space="preserve"> </w:t>
      </w:r>
      <w:r w:rsidRPr="00F76B75">
        <w:rPr>
          <w:rFonts w:ascii="Calibri" w:hAnsi="Calibri" w:cs="Calibri"/>
          <w:b/>
          <w:bCs/>
          <w:noProof/>
          <w:sz w:val="20"/>
        </w:rPr>
        <w:t>1</w:t>
      </w:r>
      <w:r w:rsidRPr="00F76B75">
        <w:rPr>
          <w:rFonts w:ascii="Calibri" w:hAnsi="Calibri" w:cs="Calibri"/>
          <w:noProof/>
          <w:sz w:val="20"/>
        </w:rPr>
        <w:t>, (1996).</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6.</w:t>
      </w:r>
      <w:r w:rsidRPr="00F76B75">
        <w:rPr>
          <w:rFonts w:ascii="Calibri" w:hAnsi="Calibri" w:cs="Calibri"/>
          <w:noProof/>
          <w:sz w:val="20"/>
        </w:rPr>
        <w:tab/>
        <w:t xml:space="preserve">Shander, A. A new perspective on best transfusion practices. </w:t>
      </w:r>
      <w:r w:rsidRPr="00F76B75">
        <w:rPr>
          <w:rFonts w:ascii="Calibri" w:hAnsi="Calibri" w:cs="Calibri"/>
          <w:i/>
          <w:iCs/>
          <w:noProof/>
          <w:sz w:val="20"/>
        </w:rPr>
        <w:t>Review Blood Transfus</w:t>
      </w:r>
      <w:r w:rsidRPr="00F76B75">
        <w:rPr>
          <w:rFonts w:ascii="Calibri" w:hAnsi="Calibri" w:cs="Calibri"/>
          <w:noProof/>
          <w:sz w:val="20"/>
        </w:rPr>
        <w:t xml:space="preserve"> </w:t>
      </w:r>
      <w:r w:rsidRPr="00F76B75">
        <w:rPr>
          <w:rFonts w:ascii="Calibri" w:hAnsi="Calibri" w:cs="Calibri"/>
          <w:b/>
          <w:bCs/>
          <w:noProof/>
          <w:sz w:val="20"/>
        </w:rPr>
        <w:t>1</w:t>
      </w:r>
      <w:r w:rsidRPr="00F76B75">
        <w:rPr>
          <w:rFonts w:ascii="Calibri" w:hAnsi="Calibri" w:cs="Calibri"/>
          <w:noProof/>
          <w:sz w:val="20"/>
        </w:rPr>
        <w:t>, (2012).</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7.</w:t>
      </w:r>
      <w:r w:rsidRPr="00F76B75">
        <w:rPr>
          <w:rFonts w:ascii="Calibri" w:hAnsi="Calibri" w:cs="Calibri"/>
          <w:noProof/>
          <w:sz w:val="20"/>
        </w:rPr>
        <w:tab/>
        <w:t xml:space="preserve">National Blood Authority </w:t>
      </w:r>
      <w:r w:rsidRPr="00F76B75">
        <w:rPr>
          <w:rFonts w:ascii="Calibri" w:hAnsi="Calibri" w:cs="Calibri"/>
          <w:i/>
          <w:iCs/>
          <w:noProof/>
          <w:sz w:val="20"/>
        </w:rPr>
        <w:t>Patient blood management guidelines: Module 2 – Perioperative.</w:t>
      </w:r>
      <w:r w:rsidRPr="00F76B75">
        <w:rPr>
          <w:rFonts w:ascii="Calibri" w:hAnsi="Calibri" w:cs="Calibri"/>
          <w:noProof/>
          <w:sz w:val="20"/>
        </w:rPr>
        <w:t xml:space="preserve"> (Canberra, Australia, 2012).at &lt;</w:t>
      </w:r>
      <w:hyperlink r:id="rId11" w:history="1">
        <w:r w:rsidRPr="007A7E0F">
          <w:rPr>
            <w:rStyle w:val="Hyperlink"/>
            <w:rFonts w:ascii="Calibri" w:hAnsi="Calibri" w:cs="Calibri"/>
            <w:noProof/>
            <w:sz w:val="20"/>
          </w:rPr>
          <w:t>http://www.blood.gov.au/pbm-guidelines</w:t>
        </w:r>
      </w:hyperlink>
      <w:r w:rsidRPr="00F76B75">
        <w:rPr>
          <w:rFonts w:ascii="Calibri" w:hAnsi="Calibri" w:cs="Calibri"/>
          <w:noProof/>
          <w:sz w:val="20"/>
        </w:rPr>
        <w:t xml:space="preserve"> &gt;</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8.</w:t>
      </w:r>
      <w:r w:rsidRPr="00F76B75">
        <w:rPr>
          <w:rFonts w:ascii="Calibri" w:hAnsi="Calibri" w:cs="Calibri"/>
          <w:noProof/>
          <w:sz w:val="20"/>
        </w:rPr>
        <w:tab/>
        <w:t xml:space="preserve">Australian Commission on Safety and Quality in Healthcare </w:t>
      </w:r>
      <w:r w:rsidRPr="00F76B75">
        <w:rPr>
          <w:rFonts w:ascii="Calibri" w:hAnsi="Calibri" w:cs="Calibri"/>
          <w:i/>
          <w:iCs/>
          <w:noProof/>
          <w:sz w:val="20"/>
        </w:rPr>
        <w:t>Safety and Quality Improvement Guide Standard 7: Blood and Blood Products</w:t>
      </w:r>
      <w:r w:rsidRPr="00F76B75">
        <w:rPr>
          <w:rFonts w:ascii="Calibri" w:hAnsi="Calibri" w:cs="Calibri"/>
          <w:noProof/>
          <w:sz w:val="20"/>
        </w:rPr>
        <w:t xml:space="preserve">. </w:t>
      </w:r>
      <w:r w:rsidRPr="00F76B75">
        <w:rPr>
          <w:rFonts w:ascii="Calibri" w:hAnsi="Calibri" w:cs="Calibri"/>
          <w:i/>
          <w:iCs/>
          <w:noProof/>
          <w:sz w:val="20"/>
        </w:rPr>
        <w:t>ACSQHC</w:t>
      </w:r>
      <w:r w:rsidRPr="00F76B75">
        <w:rPr>
          <w:rFonts w:ascii="Calibri" w:hAnsi="Calibri" w:cs="Calibri"/>
          <w:noProof/>
          <w:sz w:val="20"/>
        </w:rPr>
        <w:t xml:space="preserve"> (2012).at &lt;</w:t>
      </w:r>
      <w:hyperlink r:id="rId12" w:history="1">
        <w:r w:rsidRPr="007A7E0F">
          <w:rPr>
            <w:rStyle w:val="Hyperlink"/>
            <w:rFonts w:ascii="Calibri" w:hAnsi="Calibri" w:cs="Calibri"/>
            <w:noProof/>
            <w:sz w:val="20"/>
          </w:rPr>
          <w:t>http://www.safetyandquality.gov.au/wp-content/uploads/2012/10/Standard7_Oct_2012_WEB.pdf</w:t>
        </w:r>
      </w:hyperlink>
      <w:r w:rsidRPr="00F76B75">
        <w:rPr>
          <w:rFonts w:ascii="Calibri" w:hAnsi="Calibri" w:cs="Calibri"/>
          <w:noProof/>
          <w:sz w:val="20"/>
        </w:rPr>
        <w:t>&gt;</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9.</w:t>
      </w:r>
      <w:r w:rsidRPr="00F76B75">
        <w:rPr>
          <w:rFonts w:ascii="Calibri" w:hAnsi="Calibri" w:cs="Calibri"/>
          <w:noProof/>
          <w:sz w:val="20"/>
        </w:rPr>
        <w:tab/>
        <w:t xml:space="preserve">Koch CG  Duncan AI et al, L. L. Morbidity and mortality risk associated with red blood cell and blood-component transfusion in isolated coronary artery bypass grafting. </w:t>
      </w:r>
      <w:r w:rsidRPr="00F76B75">
        <w:rPr>
          <w:rFonts w:ascii="Calibri" w:hAnsi="Calibri" w:cs="Calibri"/>
          <w:i/>
          <w:iCs/>
          <w:noProof/>
          <w:sz w:val="20"/>
        </w:rPr>
        <w:t>Crit Care Med 2006</w:t>
      </w:r>
      <w:r w:rsidRPr="00F76B75">
        <w:rPr>
          <w:rFonts w:ascii="Calibri" w:hAnsi="Calibri" w:cs="Calibri"/>
          <w:noProof/>
          <w:sz w:val="20"/>
        </w:rPr>
        <w:t xml:space="preserve"> </w:t>
      </w:r>
      <w:r w:rsidRPr="00F76B75">
        <w:rPr>
          <w:rFonts w:ascii="Calibri" w:hAnsi="Calibri" w:cs="Calibri"/>
          <w:b/>
          <w:bCs/>
          <w:noProof/>
          <w:sz w:val="20"/>
        </w:rPr>
        <w:t>34</w:t>
      </w:r>
      <w:r w:rsidRPr="00F76B75">
        <w:rPr>
          <w:rFonts w:ascii="Calibri" w:hAnsi="Calibri" w:cs="Calibri"/>
          <w:noProof/>
          <w:sz w:val="20"/>
        </w:rPr>
        <w:t>, 1608–1616 (2006).</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10.</w:t>
      </w:r>
      <w:r w:rsidRPr="00F76B75">
        <w:rPr>
          <w:rFonts w:ascii="Calibri" w:hAnsi="Calibri" w:cs="Calibri"/>
          <w:noProof/>
          <w:sz w:val="20"/>
        </w:rPr>
        <w:tab/>
        <w:t xml:space="preserve">Hajjar LA Vincent JL et al. Transfusion requirements after cardiac surgery: the TRACS randomised controlled trial. </w:t>
      </w:r>
      <w:r w:rsidRPr="00F76B75">
        <w:rPr>
          <w:rFonts w:ascii="Calibri" w:hAnsi="Calibri" w:cs="Calibri"/>
          <w:i/>
          <w:iCs/>
          <w:noProof/>
          <w:sz w:val="20"/>
        </w:rPr>
        <w:t>JAMA - Journal of the American Medical Association</w:t>
      </w:r>
      <w:r w:rsidRPr="00F76B75">
        <w:rPr>
          <w:rFonts w:ascii="Calibri" w:hAnsi="Calibri" w:cs="Calibri"/>
          <w:noProof/>
          <w:sz w:val="20"/>
        </w:rPr>
        <w:t xml:space="preserve"> </w:t>
      </w:r>
      <w:r w:rsidRPr="00F76B75">
        <w:rPr>
          <w:rFonts w:ascii="Calibri" w:hAnsi="Calibri" w:cs="Calibri"/>
          <w:b/>
          <w:bCs/>
          <w:noProof/>
          <w:sz w:val="20"/>
        </w:rPr>
        <w:t>304</w:t>
      </w:r>
      <w:r w:rsidRPr="00F76B75">
        <w:rPr>
          <w:rFonts w:ascii="Calibri" w:hAnsi="Calibri" w:cs="Calibri"/>
          <w:noProof/>
          <w:sz w:val="20"/>
        </w:rPr>
        <w:t>, 304:1559–1567</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11.</w:t>
      </w:r>
      <w:r w:rsidRPr="00F76B75">
        <w:rPr>
          <w:rFonts w:ascii="Calibri" w:hAnsi="Calibri" w:cs="Calibri"/>
          <w:noProof/>
          <w:sz w:val="20"/>
        </w:rPr>
        <w:tab/>
        <w:t xml:space="preserve">Hofmann, A., Farmer, S. &amp; Shander, A. Five drivers shifting the paradigm from product-focused transfusion practice to patient blood management. </w:t>
      </w:r>
      <w:r w:rsidRPr="00F76B75">
        <w:rPr>
          <w:rFonts w:ascii="Calibri" w:hAnsi="Calibri" w:cs="Calibri"/>
          <w:i/>
          <w:iCs/>
          <w:noProof/>
          <w:sz w:val="20"/>
        </w:rPr>
        <w:t>The oncologist</w:t>
      </w:r>
      <w:r w:rsidRPr="00F76B75">
        <w:rPr>
          <w:rFonts w:ascii="Calibri" w:hAnsi="Calibri" w:cs="Calibri"/>
          <w:noProof/>
          <w:sz w:val="20"/>
        </w:rPr>
        <w:t xml:space="preserve"> </w:t>
      </w:r>
      <w:r w:rsidRPr="00F76B75">
        <w:rPr>
          <w:rFonts w:ascii="Calibri" w:hAnsi="Calibri" w:cs="Calibri"/>
          <w:b/>
          <w:bCs/>
          <w:noProof/>
          <w:sz w:val="20"/>
        </w:rPr>
        <w:t>16 Suppl 3</w:t>
      </w:r>
      <w:r w:rsidRPr="00F76B75">
        <w:rPr>
          <w:rFonts w:ascii="Calibri" w:hAnsi="Calibri" w:cs="Calibri"/>
          <w:noProof/>
          <w:sz w:val="20"/>
        </w:rPr>
        <w:t>, 3–11 (2011).</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12.</w:t>
      </w:r>
      <w:r w:rsidRPr="00F76B75">
        <w:rPr>
          <w:rFonts w:ascii="Calibri" w:hAnsi="Calibri" w:cs="Calibri"/>
          <w:noProof/>
          <w:sz w:val="20"/>
        </w:rPr>
        <w:tab/>
        <w:t xml:space="preserve">Hofmann, A., Farmer, S. &amp; Towler, S. C. Strategies to preempt and reduce the use of blood products: an Australian perspective. </w:t>
      </w:r>
      <w:r w:rsidRPr="00F76B75">
        <w:rPr>
          <w:rFonts w:ascii="Calibri" w:hAnsi="Calibri" w:cs="Calibri"/>
          <w:i/>
          <w:iCs/>
          <w:noProof/>
          <w:sz w:val="20"/>
        </w:rPr>
        <w:t>Current opinion in anaesthesiology</w:t>
      </w:r>
      <w:r w:rsidRPr="00F76B75">
        <w:rPr>
          <w:rFonts w:ascii="Calibri" w:hAnsi="Calibri" w:cs="Calibri"/>
          <w:noProof/>
          <w:sz w:val="20"/>
        </w:rPr>
        <w:t xml:space="preserve"> </w:t>
      </w:r>
      <w:r w:rsidRPr="00F76B75">
        <w:rPr>
          <w:rFonts w:ascii="Calibri" w:hAnsi="Calibri" w:cs="Calibri"/>
          <w:b/>
          <w:bCs/>
          <w:noProof/>
          <w:sz w:val="20"/>
        </w:rPr>
        <w:t>25</w:t>
      </w:r>
      <w:r w:rsidRPr="00F76B75">
        <w:rPr>
          <w:rFonts w:ascii="Calibri" w:hAnsi="Calibri" w:cs="Calibri"/>
          <w:noProof/>
          <w:sz w:val="20"/>
        </w:rPr>
        <w:t>, 66–73 (2012).</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13.</w:t>
      </w:r>
      <w:r w:rsidRPr="00F76B75">
        <w:rPr>
          <w:rFonts w:ascii="Calibri" w:hAnsi="Calibri" w:cs="Calibri"/>
          <w:noProof/>
          <w:sz w:val="20"/>
        </w:rPr>
        <w:tab/>
        <w:t xml:space="preserve">Ma, M., Eckert, K., Ralley, F. &amp; Chin-Yee, I. A retrospective study evaluating single-unit red blood cell transfusions in reducing allogeneic blood exposure. </w:t>
      </w:r>
      <w:r w:rsidRPr="00F76B75">
        <w:rPr>
          <w:rFonts w:ascii="Calibri" w:hAnsi="Calibri" w:cs="Calibri"/>
          <w:i/>
          <w:iCs/>
          <w:noProof/>
          <w:sz w:val="20"/>
        </w:rPr>
        <w:t>Transfusion Medicine</w:t>
      </w:r>
      <w:r w:rsidRPr="00F76B75">
        <w:rPr>
          <w:rFonts w:ascii="Calibri" w:hAnsi="Calibri" w:cs="Calibri"/>
          <w:noProof/>
          <w:sz w:val="20"/>
        </w:rPr>
        <w:t xml:space="preserve"> </w:t>
      </w:r>
      <w:r w:rsidRPr="00F76B75">
        <w:rPr>
          <w:rFonts w:ascii="Calibri" w:hAnsi="Calibri" w:cs="Calibri"/>
          <w:b/>
          <w:bCs/>
          <w:noProof/>
          <w:sz w:val="20"/>
        </w:rPr>
        <w:t>15</w:t>
      </w:r>
      <w:r w:rsidRPr="00F76B75">
        <w:rPr>
          <w:rFonts w:ascii="Calibri" w:hAnsi="Calibri" w:cs="Calibri"/>
          <w:noProof/>
          <w:sz w:val="20"/>
        </w:rPr>
        <w:t>, 307–312 (2005).</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14.</w:t>
      </w:r>
      <w:r w:rsidRPr="00F76B75">
        <w:rPr>
          <w:rFonts w:ascii="Calibri" w:hAnsi="Calibri" w:cs="Calibri"/>
          <w:noProof/>
          <w:sz w:val="20"/>
        </w:rPr>
        <w:tab/>
        <w:t xml:space="preserve">Berger, M. D. </w:t>
      </w:r>
      <w:r w:rsidRPr="00F76B75">
        <w:rPr>
          <w:rFonts w:ascii="Calibri" w:hAnsi="Calibri" w:cs="Calibri"/>
          <w:i/>
          <w:iCs/>
          <w:noProof/>
          <w:sz w:val="20"/>
        </w:rPr>
        <w:t>et al.</w:t>
      </w:r>
      <w:r w:rsidRPr="00F76B75">
        <w:rPr>
          <w:rFonts w:ascii="Calibri" w:hAnsi="Calibri" w:cs="Calibri"/>
          <w:noProof/>
          <w:sz w:val="20"/>
        </w:rPr>
        <w:t xml:space="preserve"> Significant reduction of red blood cell transfusion requirements by changing from a double-unit to a single-unit transfusion policy in patients receiving intensive chemotherapy or stem cell transplantation. </w:t>
      </w:r>
      <w:r w:rsidRPr="00F76B75">
        <w:rPr>
          <w:rFonts w:ascii="Calibri" w:hAnsi="Calibri" w:cs="Calibri"/>
          <w:i/>
          <w:iCs/>
          <w:noProof/>
          <w:sz w:val="20"/>
        </w:rPr>
        <w:t>haematologica</w:t>
      </w:r>
      <w:r w:rsidRPr="00F76B75">
        <w:rPr>
          <w:rFonts w:ascii="Calibri" w:hAnsi="Calibri" w:cs="Calibri"/>
          <w:noProof/>
          <w:sz w:val="20"/>
        </w:rPr>
        <w:t xml:space="preserve"> </w:t>
      </w:r>
      <w:r w:rsidRPr="00F76B75">
        <w:rPr>
          <w:rFonts w:ascii="Calibri" w:hAnsi="Calibri" w:cs="Calibri"/>
          <w:b/>
          <w:bCs/>
          <w:noProof/>
          <w:sz w:val="20"/>
        </w:rPr>
        <w:t>97</w:t>
      </w:r>
      <w:r w:rsidRPr="00F76B75">
        <w:rPr>
          <w:rFonts w:ascii="Calibri" w:hAnsi="Calibri" w:cs="Calibri"/>
          <w:noProof/>
          <w:sz w:val="20"/>
        </w:rPr>
        <w:t>, 116–122 (2012).</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15.</w:t>
      </w:r>
      <w:r w:rsidRPr="00F76B75">
        <w:rPr>
          <w:rFonts w:ascii="Calibri" w:hAnsi="Calibri" w:cs="Calibri"/>
          <w:noProof/>
          <w:sz w:val="20"/>
        </w:rPr>
        <w:tab/>
        <w:t>The British Committee for Standards in Haematology Guidelines on the Administration of Blood Components. Addendum to Administration of Blood Components, August 2012. 1–4 (2012).at &lt;</w:t>
      </w:r>
      <w:hyperlink r:id="rId13" w:history="1">
        <w:r w:rsidRPr="007A7E0F">
          <w:rPr>
            <w:rStyle w:val="Hyperlink"/>
            <w:rFonts w:ascii="Calibri" w:hAnsi="Calibri" w:cs="Calibri"/>
            <w:noProof/>
            <w:sz w:val="20"/>
          </w:rPr>
          <w:t>http://www.bcshguidelines.com/documents/BCSH_Blood_Admin_-_addendum_August_2012.pdf</w:t>
        </w:r>
      </w:hyperlink>
      <w:r w:rsidRPr="00F76B75">
        <w:rPr>
          <w:rFonts w:ascii="Calibri" w:hAnsi="Calibri" w:cs="Calibri"/>
          <w:noProof/>
          <w:sz w:val="20"/>
        </w:rPr>
        <w:t xml:space="preserve"> &gt;</w:t>
      </w:r>
    </w:p>
    <w:p w:rsidR="00F76B75" w:rsidRPr="00F76B75" w:rsidRDefault="00F76B75">
      <w:pPr>
        <w:pStyle w:val="NormalWeb"/>
        <w:ind w:left="640" w:hanging="640"/>
        <w:divId w:val="487550509"/>
        <w:rPr>
          <w:rFonts w:ascii="Calibri" w:hAnsi="Calibri" w:cs="Calibri"/>
          <w:noProof/>
          <w:sz w:val="20"/>
        </w:rPr>
      </w:pPr>
      <w:r w:rsidRPr="00F76B75">
        <w:rPr>
          <w:rFonts w:ascii="Calibri" w:hAnsi="Calibri" w:cs="Calibri"/>
          <w:noProof/>
          <w:sz w:val="20"/>
        </w:rPr>
        <w:t>16.</w:t>
      </w:r>
      <w:r w:rsidRPr="00F76B75">
        <w:rPr>
          <w:rFonts w:ascii="Calibri" w:hAnsi="Calibri" w:cs="Calibri"/>
          <w:noProof/>
          <w:sz w:val="20"/>
        </w:rPr>
        <w:tab/>
        <w:t xml:space="preserve">Carson, J. L., Carless, P. a &amp; Hebert, P. C. Transfusion thresholds and other strategies for guiding allogeneic red blood cell transfusion. </w:t>
      </w:r>
      <w:r w:rsidRPr="00F76B75">
        <w:rPr>
          <w:rFonts w:ascii="Calibri" w:hAnsi="Calibri" w:cs="Calibri"/>
          <w:i/>
          <w:iCs/>
          <w:noProof/>
          <w:sz w:val="20"/>
        </w:rPr>
        <w:t>The Cochrane database of systematic reviews</w:t>
      </w:r>
      <w:r w:rsidRPr="00F76B75">
        <w:rPr>
          <w:rFonts w:ascii="Calibri" w:hAnsi="Calibri" w:cs="Calibri"/>
          <w:noProof/>
          <w:sz w:val="20"/>
        </w:rPr>
        <w:t xml:space="preserve"> </w:t>
      </w:r>
      <w:r w:rsidRPr="00F76B75">
        <w:rPr>
          <w:rFonts w:ascii="Calibri" w:hAnsi="Calibri" w:cs="Calibri"/>
          <w:b/>
          <w:bCs/>
          <w:noProof/>
          <w:sz w:val="20"/>
        </w:rPr>
        <w:t>4</w:t>
      </w:r>
      <w:r w:rsidRPr="00F76B75">
        <w:rPr>
          <w:rFonts w:ascii="Calibri" w:hAnsi="Calibri" w:cs="Calibri"/>
          <w:noProof/>
          <w:sz w:val="20"/>
        </w:rPr>
        <w:t xml:space="preserve">, CD002042 (2012). </w:t>
      </w:r>
    </w:p>
    <w:p w:rsidR="00FE0FD8" w:rsidRPr="000E33FE" w:rsidRDefault="00FE0FD8" w:rsidP="00F76B75">
      <w:pPr>
        <w:pStyle w:val="NormalWeb"/>
        <w:spacing w:before="0" w:beforeAutospacing="0" w:after="120" w:afterAutospacing="0" w:line="276" w:lineRule="auto"/>
        <w:ind w:left="641" w:hanging="641"/>
        <w:divId w:val="420415577"/>
      </w:pPr>
      <w:r w:rsidRPr="006F33B5">
        <w:rPr>
          <w:rFonts w:asciiTheme="minorHAnsi" w:hAnsiTheme="minorHAnsi" w:cstheme="minorHAnsi"/>
          <w:sz w:val="21"/>
          <w:szCs w:val="21"/>
        </w:rPr>
        <w:fldChar w:fldCharType="end"/>
      </w:r>
    </w:p>
    <w:p w:rsidR="00B3726E" w:rsidRPr="009E38CC" w:rsidRDefault="00B3726E" w:rsidP="00856618">
      <w:pPr>
        <w:spacing w:line="276" w:lineRule="auto"/>
      </w:pPr>
    </w:p>
    <w:sectPr w:rsidR="00B3726E" w:rsidRPr="009E38CC" w:rsidSect="00B554E2">
      <w:footerReference w:type="default" r:id="rId14"/>
      <w:headerReference w:type="first" r:id="rId15"/>
      <w:pgSz w:w="11906" w:h="16838"/>
      <w:pgMar w:top="681" w:right="1133" w:bottom="1440" w:left="1440"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B0" w:rsidRDefault="00DE70B0" w:rsidP="00856708">
      <w:pPr>
        <w:spacing w:after="0"/>
      </w:pPr>
      <w:r>
        <w:separator/>
      </w:r>
    </w:p>
  </w:endnote>
  <w:endnote w:type="continuationSeparator" w:id="0">
    <w:p w:rsidR="00DE70B0" w:rsidRDefault="00DE70B0"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0D3F52">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B0" w:rsidRDefault="00DE70B0" w:rsidP="00856708">
      <w:pPr>
        <w:spacing w:after="0"/>
      </w:pPr>
      <w:r>
        <w:separator/>
      </w:r>
    </w:p>
  </w:footnote>
  <w:footnote w:type="continuationSeparator" w:id="0">
    <w:p w:rsidR="00DE70B0" w:rsidRDefault="00DE70B0"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86" w:rsidRDefault="00326C86" w:rsidP="00B554E2">
    <w:pPr>
      <w:pStyle w:val="Header"/>
      <w:ind w:left="-284"/>
    </w:pPr>
    <w:r w:rsidRPr="00326C86">
      <w:rPr>
        <w:b/>
      </w:rPr>
      <w:t xml:space="preserve">Appendix </w:t>
    </w:r>
    <w:r w:rsidR="006F33B5">
      <w:rPr>
        <w:b/>
      </w:rPr>
      <w:t>3</w:t>
    </w:r>
    <w:r w:rsidRPr="00326C86">
      <w:rPr>
        <w:b/>
      </w:rPr>
      <w:t>:</w:t>
    </w:r>
    <w:r>
      <w:t xml:space="preserve"> </w:t>
    </w:r>
    <w:r w:rsidR="007B4884">
      <w:t>Example Handout  - S</w:t>
    </w:r>
    <w:r w:rsidR="00416DD7">
      <w:t xml:space="preserve">ingle Unit Transfusion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2E23"/>
    <w:multiLevelType w:val="hybridMultilevel"/>
    <w:tmpl w:val="BBC60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B0"/>
    <w:rsid w:val="00036EDC"/>
    <w:rsid w:val="000D3F52"/>
    <w:rsid w:val="000E33FE"/>
    <w:rsid w:val="000E418A"/>
    <w:rsid w:val="000E6538"/>
    <w:rsid w:val="00144C52"/>
    <w:rsid w:val="002537F2"/>
    <w:rsid w:val="00295CD3"/>
    <w:rsid w:val="002D45E9"/>
    <w:rsid w:val="00326C86"/>
    <w:rsid w:val="003B460D"/>
    <w:rsid w:val="003D27F1"/>
    <w:rsid w:val="00416DD7"/>
    <w:rsid w:val="004D4636"/>
    <w:rsid w:val="004E59C2"/>
    <w:rsid w:val="00540020"/>
    <w:rsid w:val="00623E89"/>
    <w:rsid w:val="0068126A"/>
    <w:rsid w:val="006E7AD0"/>
    <w:rsid w:val="006F33B5"/>
    <w:rsid w:val="00722F75"/>
    <w:rsid w:val="007A7E0F"/>
    <w:rsid w:val="007B4884"/>
    <w:rsid w:val="007F432C"/>
    <w:rsid w:val="00856618"/>
    <w:rsid w:val="00856708"/>
    <w:rsid w:val="00865E40"/>
    <w:rsid w:val="00893E0A"/>
    <w:rsid w:val="00920C85"/>
    <w:rsid w:val="00951B85"/>
    <w:rsid w:val="009C55BD"/>
    <w:rsid w:val="009E38CC"/>
    <w:rsid w:val="00A1231E"/>
    <w:rsid w:val="00A77711"/>
    <w:rsid w:val="00B05B82"/>
    <w:rsid w:val="00B3726E"/>
    <w:rsid w:val="00B554E2"/>
    <w:rsid w:val="00BB43DE"/>
    <w:rsid w:val="00BD4FCB"/>
    <w:rsid w:val="00CA3028"/>
    <w:rsid w:val="00D262E2"/>
    <w:rsid w:val="00D279F9"/>
    <w:rsid w:val="00D46F12"/>
    <w:rsid w:val="00DE70B0"/>
    <w:rsid w:val="00E83CB9"/>
    <w:rsid w:val="00EB6FEC"/>
    <w:rsid w:val="00F76B75"/>
    <w:rsid w:val="00FD6566"/>
    <w:rsid w:val="00FE0FD8"/>
    <w:rsid w:val="00FF4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DE70B0"/>
    <w:rPr>
      <w:sz w:val="16"/>
      <w:szCs w:val="16"/>
    </w:rPr>
  </w:style>
  <w:style w:type="paragraph" w:styleId="CommentText">
    <w:name w:val="annotation text"/>
    <w:basedOn w:val="Normal"/>
    <w:link w:val="CommentTextChar"/>
    <w:uiPriority w:val="99"/>
    <w:semiHidden/>
    <w:unhideWhenUsed/>
    <w:rsid w:val="00DE70B0"/>
    <w:rPr>
      <w:rFonts w:ascii="Arial" w:eastAsiaTheme="minorHAnsi" w:hAnsi="Arial" w:cs="Arial"/>
      <w:sz w:val="20"/>
      <w:szCs w:val="20"/>
    </w:rPr>
  </w:style>
  <w:style w:type="character" w:customStyle="1" w:styleId="CommentTextChar">
    <w:name w:val="Comment Text Char"/>
    <w:basedOn w:val="DefaultParagraphFont"/>
    <w:link w:val="CommentText"/>
    <w:uiPriority w:val="99"/>
    <w:semiHidden/>
    <w:rsid w:val="00DE70B0"/>
    <w:rPr>
      <w:rFonts w:ascii="Arial" w:hAnsi="Arial" w:cs="Arial"/>
      <w:sz w:val="20"/>
      <w:szCs w:val="20"/>
    </w:rPr>
  </w:style>
  <w:style w:type="paragraph" w:styleId="BalloonText">
    <w:name w:val="Balloon Text"/>
    <w:basedOn w:val="Normal"/>
    <w:link w:val="BalloonTextChar"/>
    <w:uiPriority w:val="99"/>
    <w:semiHidden/>
    <w:unhideWhenUsed/>
    <w:rsid w:val="00DE70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B0"/>
    <w:rPr>
      <w:rFonts w:ascii="Tahoma" w:eastAsia="Dotum" w:hAnsi="Tahoma" w:cs="Tahoma"/>
      <w:sz w:val="16"/>
      <w:szCs w:val="16"/>
    </w:rPr>
  </w:style>
  <w:style w:type="paragraph" w:styleId="NormalWeb">
    <w:name w:val="Normal (Web)"/>
    <w:basedOn w:val="Normal"/>
    <w:uiPriority w:val="99"/>
    <w:unhideWhenUsed/>
    <w:rsid w:val="00FE0FD8"/>
    <w:pPr>
      <w:spacing w:before="100" w:beforeAutospacing="1" w:after="100" w:afterAutospacing="1"/>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FE0FD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D45E9"/>
    <w:rPr>
      <w:rFonts w:ascii="Calibri" w:eastAsia="Dotum" w:hAnsi="Calibri" w:cs="Calibri"/>
      <w:b/>
      <w:bCs/>
    </w:rPr>
  </w:style>
  <w:style w:type="character" w:customStyle="1" w:styleId="CommentSubjectChar">
    <w:name w:val="Comment Subject Char"/>
    <w:basedOn w:val="CommentTextChar"/>
    <w:link w:val="CommentSubject"/>
    <w:uiPriority w:val="99"/>
    <w:semiHidden/>
    <w:rsid w:val="002D45E9"/>
    <w:rPr>
      <w:rFonts w:ascii="Calibri" w:eastAsia="Dotum"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DE70B0"/>
    <w:rPr>
      <w:sz w:val="16"/>
      <w:szCs w:val="16"/>
    </w:rPr>
  </w:style>
  <w:style w:type="paragraph" w:styleId="CommentText">
    <w:name w:val="annotation text"/>
    <w:basedOn w:val="Normal"/>
    <w:link w:val="CommentTextChar"/>
    <w:uiPriority w:val="99"/>
    <w:semiHidden/>
    <w:unhideWhenUsed/>
    <w:rsid w:val="00DE70B0"/>
    <w:rPr>
      <w:rFonts w:ascii="Arial" w:eastAsiaTheme="minorHAnsi" w:hAnsi="Arial" w:cs="Arial"/>
      <w:sz w:val="20"/>
      <w:szCs w:val="20"/>
    </w:rPr>
  </w:style>
  <w:style w:type="character" w:customStyle="1" w:styleId="CommentTextChar">
    <w:name w:val="Comment Text Char"/>
    <w:basedOn w:val="DefaultParagraphFont"/>
    <w:link w:val="CommentText"/>
    <w:uiPriority w:val="99"/>
    <w:semiHidden/>
    <w:rsid w:val="00DE70B0"/>
    <w:rPr>
      <w:rFonts w:ascii="Arial" w:hAnsi="Arial" w:cs="Arial"/>
      <w:sz w:val="20"/>
      <w:szCs w:val="20"/>
    </w:rPr>
  </w:style>
  <w:style w:type="paragraph" w:styleId="BalloonText">
    <w:name w:val="Balloon Text"/>
    <w:basedOn w:val="Normal"/>
    <w:link w:val="BalloonTextChar"/>
    <w:uiPriority w:val="99"/>
    <w:semiHidden/>
    <w:unhideWhenUsed/>
    <w:rsid w:val="00DE70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B0"/>
    <w:rPr>
      <w:rFonts w:ascii="Tahoma" w:eastAsia="Dotum" w:hAnsi="Tahoma" w:cs="Tahoma"/>
      <w:sz w:val="16"/>
      <w:szCs w:val="16"/>
    </w:rPr>
  </w:style>
  <w:style w:type="paragraph" w:styleId="NormalWeb">
    <w:name w:val="Normal (Web)"/>
    <w:basedOn w:val="Normal"/>
    <w:uiPriority w:val="99"/>
    <w:unhideWhenUsed/>
    <w:rsid w:val="00FE0FD8"/>
    <w:pPr>
      <w:spacing w:before="100" w:beforeAutospacing="1" w:after="100" w:afterAutospacing="1"/>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FE0FD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D45E9"/>
    <w:rPr>
      <w:rFonts w:ascii="Calibri" w:eastAsia="Dotum" w:hAnsi="Calibri" w:cs="Calibri"/>
      <w:b/>
      <w:bCs/>
    </w:rPr>
  </w:style>
  <w:style w:type="character" w:customStyle="1" w:styleId="CommentSubjectChar">
    <w:name w:val="Comment Subject Char"/>
    <w:basedOn w:val="CommentTextChar"/>
    <w:link w:val="CommentSubject"/>
    <w:uiPriority w:val="99"/>
    <w:semiHidden/>
    <w:rsid w:val="002D45E9"/>
    <w:rPr>
      <w:rFonts w:ascii="Calibri" w:eastAsia="Dotum"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88847">
      <w:bodyDiv w:val="1"/>
      <w:marLeft w:val="0"/>
      <w:marRight w:val="0"/>
      <w:marTop w:val="0"/>
      <w:marBottom w:val="0"/>
      <w:divBdr>
        <w:top w:val="none" w:sz="0" w:space="0" w:color="auto"/>
        <w:left w:val="none" w:sz="0" w:space="0" w:color="auto"/>
        <w:bottom w:val="none" w:sz="0" w:space="0" w:color="auto"/>
        <w:right w:val="none" w:sz="0" w:space="0" w:color="auto"/>
      </w:divBdr>
      <w:divsChild>
        <w:div w:id="2054033382">
          <w:marLeft w:val="0"/>
          <w:marRight w:val="0"/>
          <w:marTop w:val="0"/>
          <w:marBottom w:val="0"/>
          <w:divBdr>
            <w:top w:val="none" w:sz="0" w:space="0" w:color="auto"/>
            <w:left w:val="none" w:sz="0" w:space="0" w:color="auto"/>
            <w:bottom w:val="none" w:sz="0" w:space="0" w:color="auto"/>
            <w:right w:val="none" w:sz="0" w:space="0" w:color="auto"/>
          </w:divBdr>
          <w:divsChild>
            <w:div w:id="1099570423">
              <w:marLeft w:val="0"/>
              <w:marRight w:val="0"/>
              <w:marTop w:val="0"/>
              <w:marBottom w:val="0"/>
              <w:divBdr>
                <w:top w:val="none" w:sz="0" w:space="0" w:color="auto"/>
                <w:left w:val="none" w:sz="0" w:space="0" w:color="auto"/>
                <w:bottom w:val="none" w:sz="0" w:space="0" w:color="auto"/>
                <w:right w:val="none" w:sz="0" w:space="0" w:color="auto"/>
              </w:divBdr>
              <w:divsChild>
                <w:div w:id="1526748063">
                  <w:marLeft w:val="0"/>
                  <w:marRight w:val="0"/>
                  <w:marTop w:val="0"/>
                  <w:marBottom w:val="0"/>
                  <w:divBdr>
                    <w:top w:val="none" w:sz="0" w:space="0" w:color="auto"/>
                    <w:left w:val="none" w:sz="0" w:space="0" w:color="auto"/>
                    <w:bottom w:val="none" w:sz="0" w:space="0" w:color="auto"/>
                    <w:right w:val="none" w:sz="0" w:space="0" w:color="auto"/>
                  </w:divBdr>
                  <w:divsChild>
                    <w:div w:id="2002080848">
                      <w:marLeft w:val="0"/>
                      <w:marRight w:val="0"/>
                      <w:marTop w:val="0"/>
                      <w:marBottom w:val="0"/>
                      <w:divBdr>
                        <w:top w:val="none" w:sz="0" w:space="0" w:color="auto"/>
                        <w:left w:val="none" w:sz="0" w:space="0" w:color="auto"/>
                        <w:bottom w:val="none" w:sz="0" w:space="0" w:color="auto"/>
                        <w:right w:val="none" w:sz="0" w:space="0" w:color="auto"/>
                      </w:divBdr>
                      <w:divsChild>
                        <w:div w:id="1962883461">
                          <w:marLeft w:val="0"/>
                          <w:marRight w:val="0"/>
                          <w:marTop w:val="0"/>
                          <w:marBottom w:val="0"/>
                          <w:divBdr>
                            <w:top w:val="none" w:sz="0" w:space="0" w:color="auto"/>
                            <w:left w:val="none" w:sz="0" w:space="0" w:color="auto"/>
                            <w:bottom w:val="none" w:sz="0" w:space="0" w:color="auto"/>
                            <w:right w:val="none" w:sz="0" w:space="0" w:color="auto"/>
                          </w:divBdr>
                          <w:divsChild>
                            <w:div w:id="1834057398">
                              <w:marLeft w:val="0"/>
                              <w:marRight w:val="0"/>
                              <w:marTop w:val="0"/>
                              <w:marBottom w:val="0"/>
                              <w:divBdr>
                                <w:top w:val="none" w:sz="0" w:space="0" w:color="auto"/>
                                <w:left w:val="none" w:sz="0" w:space="0" w:color="auto"/>
                                <w:bottom w:val="none" w:sz="0" w:space="0" w:color="auto"/>
                                <w:right w:val="none" w:sz="0" w:space="0" w:color="auto"/>
                              </w:divBdr>
                              <w:divsChild>
                                <w:div w:id="1876767293">
                                  <w:marLeft w:val="0"/>
                                  <w:marRight w:val="0"/>
                                  <w:marTop w:val="0"/>
                                  <w:marBottom w:val="0"/>
                                  <w:divBdr>
                                    <w:top w:val="none" w:sz="0" w:space="0" w:color="auto"/>
                                    <w:left w:val="none" w:sz="0" w:space="0" w:color="auto"/>
                                    <w:bottom w:val="none" w:sz="0" w:space="0" w:color="auto"/>
                                    <w:right w:val="none" w:sz="0" w:space="0" w:color="auto"/>
                                  </w:divBdr>
                                  <w:divsChild>
                                    <w:div w:id="420415577">
                                      <w:marLeft w:val="0"/>
                                      <w:marRight w:val="0"/>
                                      <w:marTop w:val="0"/>
                                      <w:marBottom w:val="0"/>
                                      <w:divBdr>
                                        <w:top w:val="none" w:sz="0" w:space="0" w:color="auto"/>
                                        <w:left w:val="none" w:sz="0" w:space="0" w:color="auto"/>
                                        <w:bottom w:val="none" w:sz="0" w:space="0" w:color="auto"/>
                                        <w:right w:val="none" w:sz="0" w:space="0" w:color="auto"/>
                                      </w:divBdr>
                                      <w:divsChild>
                                        <w:div w:id="487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640613">
      <w:bodyDiv w:val="1"/>
      <w:marLeft w:val="0"/>
      <w:marRight w:val="0"/>
      <w:marTop w:val="0"/>
      <w:marBottom w:val="0"/>
      <w:divBdr>
        <w:top w:val="none" w:sz="0" w:space="0" w:color="auto"/>
        <w:left w:val="none" w:sz="0" w:space="0" w:color="auto"/>
        <w:bottom w:val="none" w:sz="0" w:space="0" w:color="auto"/>
        <w:right w:val="none" w:sz="0" w:space="0" w:color="auto"/>
      </w:divBdr>
    </w:div>
    <w:div w:id="13246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shguidelines.com/documents/BCSH_Blood_Admin_-_addendum_August_2012.pdf%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tyandquality.gov.au/wp-content/uploads/2012/10/Standard7_Oct_2012_WE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d.gov.au/pbm-guidelin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lood.gov.au/pbm-guidelines" TargetMode="External"/><Relationship Id="rId4" Type="http://schemas.microsoft.com/office/2007/relationships/stylesWithEffects" Target="stylesWithEffects.xml"/><Relationship Id="rId9" Type="http://schemas.openxmlformats.org/officeDocument/2006/relationships/hyperlink" Target="http://www.blood.gov.au/pbm-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9BA8-E7B9-4492-AC5A-5E8943CA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5601</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37458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 Lyndsay</dc:creator>
  <cp:lastModifiedBy>Wall, Lyndsay</cp:lastModifiedBy>
  <cp:revision>13</cp:revision>
  <dcterms:created xsi:type="dcterms:W3CDTF">2013-09-11T04:20:00Z</dcterms:created>
  <dcterms:modified xsi:type="dcterms:W3CDTF">2013-09-17T21:41:00Z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Lyndsay.Wall@blood.gov.au@www.mendeley.com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