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32DE4" w14:textId="34536A4B" w:rsidR="004414E2" w:rsidRPr="00DD6668" w:rsidRDefault="004414E2" w:rsidP="008922E5">
      <w:pPr>
        <w:pStyle w:val="Heading3"/>
        <w:spacing w:before="0" w:after="0"/>
        <w:rPr>
          <w:rFonts w:ascii="Aptos" w:hAnsi="Aptos" w:cstheme="minorHAnsi"/>
          <w:b/>
          <w:sz w:val="22"/>
          <w:szCs w:val="22"/>
        </w:rPr>
      </w:pPr>
      <w:r w:rsidRPr="00DD6668">
        <w:rPr>
          <w:rFonts w:ascii="Aptos" w:hAnsi="Aptos" w:cstheme="minorHAnsi"/>
          <w:b/>
          <w:sz w:val="22"/>
          <w:szCs w:val="22"/>
        </w:rPr>
        <w:t xml:space="preserve">Ig usage data and statistics </w:t>
      </w:r>
      <w:r w:rsidR="008C5BC4" w:rsidRPr="00DD6668">
        <w:rPr>
          <w:rFonts w:ascii="Aptos" w:hAnsi="Aptos" w:cstheme="minorHAnsi"/>
          <w:b/>
          <w:sz w:val="22"/>
          <w:szCs w:val="22"/>
        </w:rPr>
        <w:t>–</w:t>
      </w:r>
      <w:r w:rsidRPr="00DD6668">
        <w:rPr>
          <w:rFonts w:ascii="Aptos" w:hAnsi="Aptos" w:cstheme="minorHAnsi"/>
          <w:b/>
          <w:sz w:val="22"/>
          <w:szCs w:val="22"/>
        </w:rPr>
        <w:t xml:space="preserve"> </w:t>
      </w:r>
      <w:sdt>
        <w:sdtPr>
          <w:rPr>
            <w:rFonts w:ascii="Aptos" w:hAnsi="Aptos" w:cstheme="minorHAnsi"/>
            <w:b/>
            <w:sz w:val="22"/>
            <w:szCs w:val="22"/>
          </w:rPr>
          <w:id w:val="-1082291856"/>
          <w:placeholder>
            <w:docPart w:val="DCE3C108B2A94D6297CA328D3E09FA57"/>
          </w:placeholder>
          <w:date w:fullDate="2024-06-01T00:00:00Z">
            <w:dateFormat w:val="MMMM yyyy"/>
            <w:lid w:val="en-AU"/>
            <w:storeMappedDataAs w:val="dateTime"/>
            <w:calendar w:val="gregorian"/>
          </w:date>
        </w:sdtPr>
        <w:sdtEndPr/>
        <w:sdtContent>
          <w:r w:rsidR="008C5BC4" w:rsidRPr="00DD6668">
            <w:rPr>
              <w:rFonts w:ascii="Aptos" w:hAnsi="Aptos" w:cstheme="minorHAnsi"/>
              <w:b/>
              <w:sz w:val="22"/>
              <w:szCs w:val="22"/>
            </w:rPr>
            <w:t xml:space="preserve">June </w:t>
          </w:r>
          <w:r w:rsidR="007C33E3" w:rsidRPr="00DD6668">
            <w:rPr>
              <w:rFonts w:ascii="Aptos" w:hAnsi="Aptos" w:cstheme="minorHAnsi"/>
              <w:b/>
              <w:sz w:val="22"/>
              <w:szCs w:val="22"/>
            </w:rPr>
            <w:t>2024</w:t>
          </w:r>
        </w:sdtContent>
      </w:sdt>
    </w:p>
    <w:p w14:paraId="0804313D" w14:textId="2D211EF7" w:rsidR="004414E2" w:rsidRPr="00DD6668" w:rsidRDefault="008922E5" w:rsidP="008922E5">
      <w:pPr>
        <w:pStyle w:val="Heading4"/>
        <w:rPr>
          <w:rFonts w:ascii="Aptos" w:hAnsi="Aptos" w:cstheme="minorHAnsi"/>
        </w:rPr>
      </w:pPr>
      <w:r w:rsidRPr="00DD6668">
        <w:rPr>
          <w:rFonts w:ascii="Aptos" w:hAnsi="Aptos" w:cstheme="minorHAnsi"/>
        </w:rPr>
        <w:br/>
      </w:r>
      <w:r w:rsidR="004414E2" w:rsidRPr="00DD6668">
        <w:rPr>
          <w:rFonts w:ascii="Aptos" w:hAnsi="Aptos" w:cstheme="minorHAnsi"/>
        </w:rPr>
        <w:t>Overview</w:t>
      </w:r>
    </w:p>
    <w:p w14:paraId="23E1A77C" w14:textId="77777777" w:rsidR="004414E2" w:rsidRPr="00DD6668" w:rsidRDefault="004414E2" w:rsidP="008922E5">
      <w:pPr>
        <w:spacing w:after="0"/>
        <w:rPr>
          <w:rFonts w:ascii="Aptos" w:hAnsi="Aptos" w:cstheme="minorHAnsi"/>
        </w:rPr>
      </w:pPr>
      <w:r w:rsidRPr="00DD6668">
        <w:rPr>
          <w:rFonts w:ascii="Aptos" w:hAnsi="Aptos" w:cstheme="minorHAnsi"/>
        </w:rPr>
        <w:t>Recent data and statistics on Ig use in Australia are presented below, providing a snapshot of Ig usage and trends in Australia. To accommodate data entry and reconciliation requirements, data are usually published approximately three months in arrears.</w:t>
      </w:r>
    </w:p>
    <w:p w14:paraId="22E30DF9" w14:textId="6AADAD63" w:rsidR="004414E2" w:rsidRPr="00DD6668" w:rsidRDefault="008922E5" w:rsidP="004414E2">
      <w:pPr>
        <w:pStyle w:val="Heading4"/>
        <w:rPr>
          <w:rFonts w:ascii="Aptos" w:hAnsi="Aptos" w:cstheme="minorHAnsi"/>
        </w:rPr>
      </w:pPr>
      <w:r w:rsidRPr="00DD6668">
        <w:rPr>
          <w:rFonts w:ascii="Aptos" w:hAnsi="Aptos" w:cstheme="minorHAnsi"/>
        </w:rPr>
        <w:br/>
      </w:r>
      <w:r w:rsidR="004414E2" w:rsidRPr="00DD6668">
        <w:rPr>
          <w:rFonts w:ascii="Aptos" w:hAnsi="Aptos" w:cstheme="minorHAnsi"/>
        </w:rPr>
        <w:t xml:space="preserve">Snapshot </w:t>
      </w:r>
    </w:p>
    <w:p w14:paraId="7B9BDFB2" w14:textId="3B36C78B" w:rsidR="004414E2" w:rsidRPr="00DD6668" w:rsidRDefault="004414E2" w:rsidP="008922E5">
      <w:pPr>
        <w:spacing w:after="0"/>
        <w:rPr>
          <w:rFonts w:ascii="Aptos" w:hAnsi="Aptos" w:cstheme="minorHAnsi"/>
        </w:rPr>
      </w:pPr>
      <w:r w:rsidRPr="00DD6668">
        <w:rPr>
          <w:rFonts w:ascii="Aptos" w:hAnsi="Aptos" w:cstheme="minorHAnsi"/>
        </w:rPr>
        <w:t>The snapshot provides an overview of the information that is further detailed in the graphs and tables that follow.</w:t>
      </w:r>
      <w:r w:rsidR="008922E5" w:rsidRPr="00DD6668">
        <w:rPr>
          <w:rFonts w:ascii="Aptos" w:hAnsi="Aptos" w:cstheme="minorHAnsi"/>
        </w:rPr>
        <w:br/>
      </w:r>
    </w:p>
    <w:tbl>
      <w:tblPr>
        <w:tblW w:w="1390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83"/>
        <w:gridCol w:w="6823"/>
      </w:tblGrid>
      <w:tr w:rsidR="004414E2" w:rsidRPr="00DD6668" w14:paraId="5326C218" w14:textId="77777777" w:rsidTr="003C5F9F">
        <w:trPr>
          <w:trHeight w:val="324"/>
        </w:trPr>
        <w:tc>
          <w:tcPr>
            <w:tcW w:w="7083" w:type="dxa"/>
            <w:tcBorders>
              <w:top w:val="single" w:sz="4" w:space="0" w:color="auto"/>
              <w:bottom w:val="single" w:sz="4" w:space="0" w:color="auto"/>
            </w:tcBorders>
            <w:shd w:val="clear" w:color="auto" w:fill="FFC02F"/>
            <w:noWrap/>
            <w:vAlign w:val="center"/>
            <w:hideMark/>
          </w:tcPr>
          <w:p w14:paraId="25E1B27E" w14:textId="77777777" w:rsidR="004414E2" w:rsidRPr="00DD6668" w:rsidRDefault="004414E2" w:rsidP="007D2C0C">
            <w:pPr>
              <w:spacing w:after="0" w:line="276" w:lineRule="auto"/>
              <w:jc w:val="center"/>
              <w:rPr>
                <w:rFonts w:ascii="Aptos" w:eastAsia="Times New Roman" w:hAnsi="Aptos" w:cstheme="minorHAnsi"/>
                <w:b/>
                <w:bCs/>
                <w:color w:val="000000"/>
                <w:lang w:eastAsia="en-AU"/>
              </w:rPr>
            </w:pPr>
            <w:r w:rsidRPr="00DD6668">
              <w:rPr>
                <w:rFonts w:ascii="Aptos" w:eastAsia="Times New Roman" w:hAnsi="Aptos" w:cstheme="minorHAnsi"/>
                <w:b/>
                <w:bCs/>
                <w:color w:val="000000"/>
                <w:lang w:eastAsia="en-AU"/>
              </w:rPr>
              <w:t>Patients</w:t>
            </w:r>
          </w:p>
        </w:tc>
        <w:tc>
          <w:tcPr>
            <w:tcW w:w="6823" w:type="dxa"/>
            <w:tcBorders>
              <w:top w:val="single" w:sz="4" w:space="0" w:color="auto"/>
              <w:bottom w:val="single" w:sz="4" w:space="0" w:color="auto"/>
            </w:tcBorders>
            <w:shd w:val="clear" w:color="auto" w:fill="FFC02F"/>
            <w:noWrap/>
            <w:vAlign w:val="center"/>
            <w:hideMark/>
          </w:tcPr>
          <w:p w14:paraId="5E8944F1" w14:textId="77777777" w:rsidR="004414E2" w:rsidRPr="00DD6668" w:rsidRDefault="004414E2" w:rsidP="007D2C0C">
            <w:pPr>
              <w:spacing w:after="0" w:line="276" w:lineRule="auto"/>
              <w:jc w:val="center"/>
              <w:rPr>
                <w:rFonts w:ascii="Aptos" w:eastAsia="Times New Roman" w:hAnsi="Aptos" w:cstheme="minorHAnsi"/>
                <w:b/>
                <w:bCs/>
                <w:color w:val="000000"/>
                <w:lang w:eastAsia="en-AU"/>
              </w:rPr>
            </w:pPr>
            <w:r w:rsidRPr="00DD6668">
              <w:rPr>
                <w:rFonts w:ascii="Aptos" w:eastAsia="Times New Roman" w:hAnsi="Aptos" w:cstheme="minorHAnsi"/>
                <w:b/>
                <w:bCs/>
                <w:color w:val="000000"/>
                <w:lang w:eastAsia="en-AU"/>
              </w:rPr>
              <w:t>BloodSTAR</w:t>
            </w:r>
          </w:p>
        </w:tc>
      </w:tr>
      <w:tr w:rsidR="00B53E8C" w:rsidRPr="00DD6668" w14:paraId="0693A1FF" w14:textId="77777777" w:rsidTr="003C5F9F">
        <w:trPr>
          <w:trHeight w:val="385"/>
        </w:trPr>
        <w:tc>
          <w:tcPr>
            <w:tcW w:w="7083" w:type="dxa"/>
            <w:tcBorders>
              <w:top w:val="single" w:sz="4" w:space="0" w:color="auto"/>
              <w:bottom w:val="nil"/>
              <w:right w:val="single" w:sz="4" w:space="0" w:color="auto"/>
            </w:tcBorders>
            <w:noWrap/>
            <w:vAlign w:val="center"/>
            <w:hideMark/>
          </w:tcPr>
          <w:p w14:paraId="10F0E5D1" w14:textId="09607424" w:rsidR="00B53E8C" w:rsidRPr="00DD6668" w:rsidRDefault="009B5C80" w:rsidP="003C5F9F">
            <w:pPr>
              <w:spacing w:before="240" w:after="0" w:line="276" w:lineRule="auto"/>
              <w:jc w:val="center"/>
              <w:rPr>
                <w:rFonts w:ascii="Aptos" w:eastAsia="Times New Roman" w:hAnsi="Aptos" w:cstheme="minorHAnsi"/>
                <w:color w:val="000000"/>
                <w:lang w:eastAsia="en-AU"/>
              </w:rPr>
            </w:pPr>
            <w:r w:rsidRPr="00DD6668">
              <w:rPr>
                <w:rFonts w:ascii="Aptos" w:hAnsi="Aptos"/>
                <w:color w:val="000000"/>
              </w:rPr>
              <w:t>15,</w:t>
            </w:r>
            <w:r w:rsidR="008C5BC4" w:rsidRPr="00DD6668">
              <w:rPr>
                <w:rFonts w:ascii="Aptos" w:hAnsi="Aptos"/>
                <w:color w:val="000000"/>
              </w:rPr>
              <w:t>195</w:t>
            </w:r>
          </w:p>
        </w:tc>
        <w:tc>
          <w:tcPr>
            <w:tcW w:w="6823" w:type="dxa"/>
            <w:tcBorders>
              <w:top w:val="single" w:sz="4" w:space="0" w:color="auto"/>
              <w:left w:val="single" w:sz="4" w:space="0" w:color="auto"/>
            </w:tcBorders>
            <w:noWrap/>
            <w:vAlign w:val="center"/>
            <w:hideMark/>
          </w:tcPr>
          <w:p w14:paraId="04AD4744" w14:textId="3017BE43" w:rsidR="00B53E8C" w:rsidRPr="00DD6668" w:rsidRDefault="00A442F0" w:rsidP="003C5F9F">
            <w:pPr>
              <w:spacing w:before="240" w:after="0" w:line="276" w:lineRule="auto"/>
              <w:jc w:val="center"/>
              <w:rPr>
                <w:rFonts w:ascii="Aptos" w:eastAsia="Times New Roman" w:hAnsi="Aptos" w:cstheme="minorHAnsi"/>
                <w:color w:val="000000"/>
                <w:lang w:eastAsia="en-AU"/>
              </w:rPr>
            </w:pPr>
            <w:r w:rsidRPr="00DD6668">
              <w:rPr>
                <w:rFonts w:ascii="Aptos" w:hAnsi="Aptos"/>
                <w:color w:val="000000"/>
              </w:rPr>
              <w:t>1,2</w:t>
            </w:r>
            <w:r w:rsidR="008C5BC4" w:rsidRPr="00DD6668">
              <w:rPr>
                <w:rFonts w:ascii="Aptos" w:hAnsi="Aptos"/>
                <w:color w:val="000000"/>
              </w:rPr>
              <w:t>32</w:t>
            </w:r>
          </w:p>
        </w:tc>
      </w:tr>
      <w:tr w:rsidR="00B53E8C" w:rsidRPr="00DD6668" w14:paraId="1E5E73D0" w14:textId="77777777" w:rsidTr="003C5F9F">
        <w:trPr>
          <w:trHeight w:val="308"/>
        </w:trPr>
        <w:tc>
          <w:tcPr>
            <w:tcW w:w="7083" w:type="dxa"/>
            <w:tcBorders>
              <w:top w:val="nil"/>
              <w:bottom w:val="nil"/>
              <w:right w:val="single" w:sz="4" w:space="0" w:color="auto"/>
            </w:tcBorders>
            <w:noWrap/>
            <w:vAlign w:val="center"/>
            <w:hideMark/>
          </w:tcPr>
          <w:p w14:paraId="68BA6024" w14:textId="3438066B" w:rsidR="00B53E8C" w:rsidRPr="00DD6668" w:rsidRDefault="00B53E8C" w:rsidP="007D2C0C">
            <w:pPr>
              <w:spacing w:after="0" w:line="276" w:lineRule="auto"/>
              <w:jc w:val="center"/>
              <w:rPr>
                <w:rFonts w:ascii="Aptos" w:eastAsia="Times New Roman" w:hAnsi="Aptos" w:cstheme="minorHAnsi"/>
                <w:color w:val="000000"/>
                <w:lang w:eastAsia="en-AU"/>
              </w:rPr>
            </w:pPr>
            <w:r w:rsidRPr="00DD6668">
              <w:rPr>
                <w:rFonts w:ascii="Aptos" w:hAnsi="Aptos"/>
                <w:color w:val="000000"/>
              </w:rPr>
              <w:t xml:space="preserve">Total Patients </w:t>
            </w:r>
            <w:r w:rsidR="008C5BC4" w:rsidRPr="00DD6668">
              <w:rPr>
                <w:rFonts w:ascii="Aptos" w:hAnsi="Aptos"/>
                <w:color w:val="000000"/>
              </w:rPr>
              <w:t>June</w:t>
            </w:r>
            <w:r w:rsidR="00F23BA8" w:rsidRPr="00DD6668">
              <w:rPr>
                <w:rFonts w:ascii="Aptos" w:hAnsi="Aptos"/>
                <w:color w:val="000000"/>
              </w:rPr>
              <w:t xml:space="preserve"> </w:t>
            </w:r>
            <w:r w:rsidRPr="00DD6668">
              <w:rPr>
                <w:rFonts w:ascii="Aptos" w:hAnsi="Aptos"/>
                <w:color w:val="000000"/>
              </w:rPr>
              <w:t>2024</w:t>
            </w:r>
          </w:p>
        </w:tc>
        <w:tc>
          <w:tcPr>
            <w:tcW w:w="6823" w:type="dxa"/>
            <w:tcBorders>
              <w:left w:val="single" w:sz="4" w:space="0" w:color="auto"/>
            </w:tcBorders>
            <w:noWrap/>
            <w:vAlign w:val="center"/>
            <w:hideMark/>
          </w:tcPr>
          <w:p w14:paraId="5107413C" w14:textId="4783D074" w:rsidR="00B53E8C" w:rsidRPr="00DD6668" w:rsidRDefault="00B53E8C" w:rsidP="007D2C0C">
            <w:pPr>
              <w:spacing w:after="0" w:line="276" w:lineRule="auto"/>
              <w:jc w:val="center"/>
              <w:rPr>
                <w:rFonts w:ascii="Aptos" w:hAnsi="Aptos"/>
                <w:color w:val="000000"/>
              </w:rPr>
            </w:pPr>
            <w:r w:rsidRPr="00DD6668">
              <w:rPr>
                <w:rFonts w:ascii="Aptos" w:hAnsi="Aptos"/>
                <w:color w:val="000000"/>
              </w:rPr>
              <w:t xml:space="preserve">Authorisations in </w:t>
            </w:r>
            <w:r w:rsidR="008C5BC4" w:rsidRPr="00DD6668">
              <w:rPr>
                <w:rFonts w:ascii="Aptos" w:hAnsi="Aptos"/>
                <w:color w:val="000000"/>
              </w:rPr>
              <w:t>June</w:t>
            </w:r>
            <w:r w:rsidRPr="00DD6668">
              <w:rPr>
                <w:rFonts w:ascii="Aptos" w:hAnsi="Aptos"/>
                <w:color w:val="000000"/>
              </w:rPr>
              <w:t xml:space="preserve"> 2024</w:t>
            </w:r>
          </w:p>
        </w:tc>
      </w:tr>
      <w:tr w:rsidR="00B53E8C" w:rsidRPr="00DD6668" w14:paraId="5B36688D" w14:textId="77777777" w:rsidTr="003C5F9F">
        <w:trPr>
          <w:trHeight w:val="235"/>
        </w:trPr>
        <w:tc>
          <w:tcPr>
            <w:tcW w:w="7083" w:type="dxa"/>
            <w:tcBorders>
              <w:top w:val="nil"/>
              <w:bottom w:val="nil"/>
              <w:right w:val="single" w:sz="4" w:space="0" w:color="auto"/>
            </w:tcBorders>
            <w:noWrap/>
            <w:vAlign w:val="center"/>
            <w:hideMark/>
          </w:tcPr>
          <w:p w14:paraId="288DC450" w14:textId="776C83ED" w:rsidR="00B53E8C" w:rsidRPr="00DD6668" w:rsidRDefault="00A442F0" w:rsidP="007D2C0C">
            <w:pPr>
              <w:spacing w:before="240" w:after="0" w:line="276" w:lineRule="auto"/>
              <w:jc w:val="center"/>
              <w:rPr>
                <w:rFonts w:ascii="Aptos" w:eastAsia="Times New Roman" w:hAnsi="Aptos" w:cstheme="minorHAnsi"/>
                <w:color w:val="000000"/>
                <w:lang w:eastAsia="en-AU"/>
              </w:rPr>
            </w:pPr>
            <w:r w:rsidRPr="00DD6668">
              <w:rPr>
                <w:rFonts w:ascii="Aptos" w:hAnsi="Aptos"/>
                <w:color w:val="000000"/>
              </w:rPr>
              <w:t>7</w:t>
            </w:r>
            <w:r w:rsidR="008C5BC4" w:rsidRPr="00DD6668">
              <w:rPr>
                <w:rFonts w:ascii="Aptos" w:hAnsi="Aptos"/>
                <w:color w:val="000000"/>
              </w:rPr>
              <w:t>51</w:t>
            </w:r>
          </w:p>
        </w:tc>
        <w:tc>
          <w:tcPr>
            <w:tcW w:w="6823" w:type="dxa"/>
            <w:tcBorders>
              <w:left w:val="single" w:sz="4" w:space="0" w:color="auto"/>
            </w:tcBorders>
            <w:noWrap/>
            <w:vAlign w:val="center"/>
          </w:tcPr>
          <w:p w14:paraId="61B0EB0E" w14:textId="73C2B0D0" w:rsidR="00B53E8C" w:rsidRPr="00DD6668" w:rsidRDefault="00A442F0" w:rsidP="007D2C0C">
            <w:pPr>
              <w:spacing w:before="240" w:after="0" w:line="276" w:lineRule="auto"/>
              <w:jc w:val="center"/>
              <w:rPr>
                <w:rFonts w:ascii="Aptos" w:hAnsi="Aptos"/>
                <w:color w:val="000000"/>
              </w:rPr>
            </w:pPr>
            <w:r w:rsidRPr="00DD6668">
              <w:rPr>
                <w:rFonts w:ascii="Aptos" w:hAnsi="Aptos"/>
                <w:color w:val="000000"/>
              </w:rPr>
              <w:t>2</w:t>
            </w:r>
            <w:r w:rsidR="008C5BC4" w:rsidRPr="00DD6668">
              <w:rPr>
                <w:rFonts w:ascii="Aptos" w:hAnsi="Aptos"/>
                <w:color w:val="000000"/>
              </w:rPr>
              <w:t>5,476</w:t>
            </w:r>
          </w:p>
        </w:tc>
      </w:tr>
      <w:tr w:rsidR="00B53E8C" w:rsidRPr="00DD6668" w14:paraId="149B9A78" w14:textId="77777777" w:rsidTr="003C5F9F">
        <w:trPr>
          <w:trHeight w:val="324"/>
        </w:trPr>
        <w:tc>
          <w:tcPr>
            <w:tcW w:w="7083" w:type="dxa"/>
            <w:tcBorders>
              <w:top w:val="nil"/>
              <w:bottom w:val="single" w:sz="4" w:space="0" w:color="auto"/>
              <w:right w:val="single" w:sz="4" w:space="0" w:color="auto"/>
            </w:tcBorders>
            <w:noWrap/>
            <w:vAlign w:val="center"/>
            <w:hideMark/>
          </w:tcPr>
          <w:p w14:paraId="5155DBB6" w14:textId="75CB23CF" w:rsidR="00B53E8C" w:rsidRPr="00DD6668" w:rsidRDefault="00B53E8C" w:rsidP="007D2C0C">
            <w:pPr>
              <w:spacing w:after="0" w:line="276" w:lineRule="auto"/>
              <w:jc w:val="center"/>
              <w:rPr>
                <w:rFonts w:ascii="Aptos" w:eastAsia="Times New Roman" w:hAnsi="Aptos" w:cstheme="minorHAnsi"/>
                <w:color w:val="000000"/>
                <w:lang w:eastAsia="en-AU"/>
              </w:rPr>
            </w:pPr>
            <w:r w:rsidRPr="00DD6668">
              <w:rPr>
                <w:rFonts w:ascii="Aptos" w:hAnsi="Aptos"/>
                <w:color w:val="000000"/>
              </w:rPr>
              <w:t xml:space="preserve">New Patients who had Dispenses in </w:t>
            </w:r>
            <w:r w:rsidR="008C5BC4" w:rsidRPr="00DD6668">
              <w:rPr>
                <w:rFonts w:ascii="Aptos" w:hAnsi="Aptos"/>
                <w:color w:val="000000"/>
              </w:rPr>
              <w:t>June</w:t>
            </w:r>
            <w:r w:rsidRPr="00DD6668">
              <w:rPr>
                <w:rFonts w:ascii="Aptos" w:hAnsi="Aptos"/>
                <w:color w:val="000000"/>
              </w:rPr>
              <w:t xml:space="preserve"> 2024</w:t>
            </w:r>
          </w:p>
        </w:tc>
        <w:tc>
          <w:tcPr>
            <w:tcW w:w="6823" w:type="dxa"/>
            <w:tcBorders>
              <w:left w:val="single" w:sz="4" w:space="0" w:color="auto"/>
              <w:bottom w:val="single" w:sz="4" w:space="0" w:color="auto"/>
            </w:tcBorders>
            <w:noWrap/>
            <w:vAlign w:val="center"/>
          </w:tcPr>
          <w:p w14:paraId="65DAC3EF" w14:textId="2D195C59" w:rsidR="00B53E8C" w:rsidRPr="00DD6668" w:rsidRDefault="00B53E8C" w:rsidP="007D2C0C">
            <w:pPr>
              <w:spacing w:after="0" w:line="276" w:lineRule="auto"/>
              <w:jc w:val="center"/>
              <w:rPr>
                <w:rFonts w:ascii="Aptos" w:eastAsia="Times New Roman" w:hAnsi="Aptos" w:cstheme="minorHAnsi"/>
                <w:color w:val="000000"/>
                <w:lang w:eastAsia="en-AU"/>
              </w:rPr>
            </w:pPr>
            <w:r w:rsidRPr="00DD6668">
              <w:rPr>
                <w:rFonts w:ascii="Aptos" w:hAnsi="Aptos"/>
                <w:color w:val="000000"/>
              </w:rPr>
              <w:t xml:space="preserve">Dispense Events in </w:t>
            </w:r>
            <w:r w:rsidR="008C5BC4" w:rsidRPr="00DD6668">
              <w:rPr>
                <w:rFonts w:ascii="Aptos" w:hAnsi="Aptos"/>
                <w:color w:val="000000"/>
              </w:rPr>
              <w:t>June</w:t>
            </w:r>
            <w:r w:rsidRPr="00DD6668">
              <w:rPr>
                <w:rFonts w:ascii="Aptos" w:hAnsi="Aptos"/>
                <w:color w:val="000000"/>
              </w:rPr>
              <w:t xml:space="preserve"> 2024</w:t>
            </w:r>
          </w:p>
        </w:tc>
      </w:tr>
      <w:tr w:rsidR="004414E2" w:rsidRPr="00DD6668" w14:paraId="554D4709" w14:textId="77777777" w:rsidTr="003C5F9F">
        <w:trPr>
          <w:trHeight w:val="324"/>
        </w:trPr>
        <w:tc>
          <w:tcPr>
            <w:tcW w:w="7083" w:type="dxa"/>
            <w:tcBorders>
              <w:top w:val="single" w:sz="4" w:space="0" w:color="auto"/>
              <w:bottom w:val="single" w:sz="4" w:space="0" w:color="auto"/>
              <w:right w:val="single" w:sz="4" w:space="0" w:color="auto"/>
            </w:tcBorders>
            <w:shd w:val="clear" w:color="auto" w:fill="FFC02F"/>
            <w:noWrap/>
            <w:vAlign w:val="center"/>
            <w:hideMark/>
          </w:tcPr>
          <w:p w14:paraId="30819DA0" w14:textId="77777777" w:rsidR="004414E2" w:rsidRPr="00DD6668" w:rsidRDefault="004414E2" w:rsidP="007D2C0C">
            <w:pPr>
              <w:spacing w:after="0" w:line="276" w:lineRule="auto"/>
              <w:jc w:val="center"/>
              <w:rPr>
                <w:rFonts w:ascii="Aptos" w:eastAsia="Times New Roman" w:hAnsi="Aptos" w:cstheme="minorHAnsi"/>
                <w:b/>
                <w:bCs/>
                <w:color w:val="000000"/>
                <w:lang w:eastAsia="en-AU"/>
              </w:rPr>
            </w:pPr>
            <w:r w:rsidRPr="00DD6668">
              <w:rPr>
                <w:rFonts w:ascii="Aptos" w:eastAsia="Times New Roman" w:hAnsi="Aptos" w:cstheme="minorHAnsi"/>
                <w:b/>
                <w:bCs/>
                <w:color w:val="000000"/>
                <w:lang w:eastAsia="en-AU"/>
              </w:rPr>
              <w:t>Product Issued</w:t>
            </w:r>
          </w:p>
        </w:tc>
        <w:tc>
          <w:tcPr>
            <w:tcW w:w="6823" w:type="dxa"/>
            <w:tcBorders>
              <w:top w:val="single" w:sz="4" w:space="0" w:color="auto"/>
              <w:left w:val="single" w:sz="4" w:space="0" w:color="auto"/>
              <w:bottom w:val="single" w:sz="4" w:space="0" w:color="auto"/>
            </w:tcBorders>
            <w:shd w:val="clear" w:color="auto" w:fill="FFC02F"/>
            <w:noWrap/>
            <w:vAlign w:val="center"/>
            <w:hideMark/>
          </w:tcPr>
          <w:p w14:paraId="7788C728" w14:textId="77777777" w:rsidR="004414E2" w:rsidRPr="00DD6668" w:rsidRDefault="004414E2" w:rsidP="007D2C0C">
            <w:pPr>
              <w:spacing w:after="0" w:line="276" w:lineRule="auto"/>
              <w:jc w:val="center"/>
              <w:rPr>
                <w:rFonts w:ascii="Aptos" w:eastAsia="Times New Roman" w:hAnsi="Aptos" w:cstheme="minorHAnsi"/>
                <w:b/>
                <w:bCs/>
                <w:color w:val="000000"/>
                <w:lang w:eastAsia="en-AU"/>
              </w:rPr>
            </w:pPr>
            <w:r w:rsidRPr="00DD6668">
              <w:rPr>
                <w:rFonts w:ascii="Aptos" w:eastAsia="Times New Roman" w:hAnsi="Aptos" w:cstheme="minorHAnsi"/>
                <w:b/>
                <w:bCs/>
                <w:color w:val="000000"/>
                <w:lang w:eastAsia="en-AU"/>
              </w:rPr>
              <w:t>Ig Use</w:t>
            </w:r>
          </w:p>
        </w:tc>
      </w:tr>
      <w:tr w:rsidR="003C5F9F" w:rsidRPr="00DD6668" w14:paraId="732DA0FF" w14:textId="77777777" w:rsidTr="003C5F9F">
        <w:trPr>
          <w:trHeight w:val="385"/>
        </w:trPr>
        <w:tc>
          <w:tcPr>
            <w:tcW w:w="7083" w:type="dxa"/>
            <w:tcBorders>
              <w:top w:val="single" w:sz="4" w:space="0" w:color="auto"/>
              <w:bottom w:val="nil"/>
              <w:right w:val="single" w:sz="4" w:space="0" w:color="auto"/>
            </w:tcBorders>
            <w:vAlign w:val="center"/>
          </w:tcPr>
          <w:p w14:paraId="09590DAB" w14:textId="6C42F05C" w:rsidR="003C5F9F" w:rsidRPr="00DD6668" w:rsidRDefault="006E2974" w:rsidP="003C5F9F">
            <w:pPr>
              <w:spacing w:before="240" w:after="0" w:line="276" w:lineRule="auto"/>
              <w:jc w:val="center"/>
              <w:rPr>
                <w:rFonts w:ascii="Aptos" w:hAnsi="Aptos"/>
                <w:color w:val="000000"/>
              </w:rPr>
            </w:pPr>
            <w:r w:rsidRPr="00DD6668">
              <w:rPr>
                <w:rFonts w:ascii="Aptos" w:hAnsi="Aptos"/>
                <w:color w:val="000000"/>
              </w:rPr>
              <w:t>7</w:t>
            </w:r>
            <w:r w:rsidR="008C5BC4" w:rsidRPr="00DD6668">
              <w:rPr>
                <w:rFonts w:ascii="Aptos" w:hAnsi="Aptos"/>
                <w:color w:val="000000"/>
              </w:rPr>
              <w:t>39,529</w:t>
            </w:r>
          </w:p>
        </w:tc>
        <w:tc>
          <w:tcPr>
            <w:tcW w:w="6823" w:type="dxa"/>
            <w:tcBorders>
              <w:top w:val="single" w:sz="4" w:space="0" w:color="auto"/>
              <w:left w:val="single" w:sz="4" w:space="0" w:color="auto"/>
            </w:tcBorders>
            <w:vAlign w:val="center"/>
          </w:tcPr>
          <w:p w14:paraId="386E1BCF" w14:textId="7D13E066" w:rsidR="003C5F9F" w:rsidRPr="00DD6668" w:rsidRDefault="0020338B" w:rsidP="003C5F9F">
            <w:pPr>
              <w:spacing w:before="240" w:after="0" w:line="276" w:lineRule="auto"/>
              <w:jc w:val="center"/>
              <w:rPr>
                <w:rFonts w:ascii="Aptos" w:hAnsi="Aptos"/>
                <w:color w:val="000000"/>
              </w:rPr>
            </w:pPr>
            <w:r w:rsidRPr="00DD6668">
              <w:rPr>
                <w:rFonts w:ascii="Aptos" w:hAnsi="Aptos"/>
                <w:color w:val="000000"/>
              </w:rPr>
              <w:t>7</w:t>
            </w:r>
            <w:r w:rsidR="008C5BC4" w:rsidRPr="00DD6668">
              <w:rPr>
                <w:rFonts w:ascii="Aptos" w:hAnsi="Aptos"/>
                <w:color w:val="000000"/>
              </w:rPr>
              <w:t>27,436</w:t>
            </w:r>
          </w:p>
        </w:tc>
      </w:tr>
      <w:tr w:rsidR="00B53E8C" w:rsidRPr="00DD6668" w14:paraId="6FC9AEDC" w14:textId="77777777" w:rsidTr="003C5F9F">
        <w:trPr>
          <w:trHeight w:val="385"/>
        </w:trPr>
        <w:tc>
          <w:tcPr>
            <w:tcW w:w="7083" w:type="dxa"/>
            <w:tcBorders>
              <w:top w:val="nil"/>
              <w:bottom w:val="nil"/>
              <w:right w:val="single" w:sz="4" w:space="0" w:color="auto"/>
            </w:tcBorders>
            <w:vAlign w:val="center"/>
            <w:hideMark/>
          </w:tcPr>
          <w:p w14:paraId="0C812431" w14:textId="4A3EB864" w:rsidR="00B53E8C" w:rsidRPr="00DD6668" w:rsidRDefault="00B53E8C" w:rsidP="007D2C0C">
            <w:pPr>
              <w:spacing w:after="0" w:line="276" w:lineRule="auto"/>
              <w:jc w:val="center"/>
              <w:rPr>
                <w:rFonts w:ascii="Aptos" w:hAnsi="Aptos"/>
                <w:color w:val="000000"/>
              </w:rPr>
            </w:pPr>
            <w:r w:rsidRPr="00DD6668">
              <w:rPr>
                <w:rFonts w:ascii="Aptos" w:hAnsi="Aptos"/>
                <w:color w:val="000000"/>
              </w:rPr>
              <w:t xml:space="preserve">Grams Issued in </w:t>
            </w:r>
            <w:r w:rsidR="008C5BC4" w:rsidRPr="00DD6668">
              <w:rPr>
                <w:rFonts w:ascii="Aptos" w:hAnsi="Aptos"/>
                <w:color w:val="000000"/>
              </w:rPr>
              <w:t>June</w:t>
            </w:r>
            <w:r w:rsidRPr="00DD6668">
              <w:rPr>
                <w:rFonts w:ascii="Aptos" w:hAnsi="Aptos"/>
                <w:color w:val="000000"/>
              </w:rPr>
              <w:t xml:space="preserve"> 2024</w:t>
            </w:r>
          </w:p>
          <w:p w14:paraId="10AB07B4" w14:textId="5383A9A5" w:rsidR="00B53E8C" w:rsidRPr="00DD6668" w:rsidRDefault="00B53E8C" w:rsidP="007D2C0C">
            <w:pPr>
              <w:spacing w:after="0" w:line="276" w:lineRule="auto"/>
              <w:jc w:val="center"/>
              <w:rPr>
                <w:rFonts w:ascii="Aptos" w:eastAsia="Times New Roman" w:hAnsi="Aptos" w:cstheme="minorHAnsi"/>
                <w:color w:val="000000"/>
                <w:lang w:eastAsia="en-AU"/>
              </w:rPr>
            </w:pPr>
          </w:p>
        </w:tc>
        <w:tc>
          <w:tcPr>
            <w:tcW w:w="6823" w:type="dxa"/>
            <w:tcBorders>
              <w:left w:val="single" w:sz="4" w:space="0" w:color="auto"/>
            </w:tcBorders>
            <w:vAlign w:val="center"/>
          </w:tcPr>
          <w:p w14:paraId="0C53394B" w14:textId="13E1D26A" w:rsidR="00B53E8C" w:rsidRPr="00DD6668" w:rsidRDefault="00B53E8C" w:rsidP="007D2C0C">
            <w:pPr>
              <w:tabs>
                <w:tab w:val="left" w:pos="1772"/>
              </w:tabs>
              <w:spacing w:after="0" w:line="276" w:lineRule="auto"/>
              <w:jc w:val="center"/>
              <w:rPr>
                <w:rFonts w:ascii="Aptos" w:eastAsia="Times New Roman" w:hAnsi="Aptos" w:cstheme="minorHAnsi"/>
                <w:color w:val="000000"/>
                <w:lang w:eastAsia="en-AU"/>
              </w:rPr>
            </w:pPr>
            <w:r w:rsidRPr="00DD6668">
              <w:rPr>
                <w:rFonts w:ascii="Aptos" w:eastAsia="Times New Roman" w:hAnsi="Aptos" w:cstheme="minorHAnsi"/>
                <w:color w:val="000000"/>
                <w:lang w:eastAsia="en-AU"/>
              </w:rPr>
              <w:t xml:space="preserve">Grams Dispensed in </w:t>
            </w:r>
            <w:r w:rsidR="008C5BC4" w:rsidRPr="00DD6668">
              <w:rPr>
                <w:rFonts w:ascii="Aptos" w:eastAsia="Times New Roman" w:hAnsi="Aptos" w:cstheme="minorHAnsi"/>
                <w:color w:val="000000"/>
                <w:lang w:eastAsia="en-AU"/>
              </w:rPr>
              <w:t>June</w:t>
            </w:r>
            <w:r w:rsidRPr="00DD6668">
              <w:rPr>
                <w:rFonts w:ascii="Aptos" w:eastAsia="Times New Roman" w:hAnsi="Aptos" w:cstheme="minorHAnsi"/>
                <w:color w:val="000000"/>
                <w:lang w:eastAsia="en-AU"/>
              </w:rPr>
              <w:t xml:space="preserve"> 2024</w:t>
            </w:r>
          </w:p>
        </w:tc>
      </w:tr>
      <w:tr w:rsidR="00B53E8C" w:rsidRPr="00DD6668" w14:paraId="646F38F3" w14:textId="77777777" w:rsidTr="003C5F9F">
        <w:trPr>
          <w:trHeight w:val="617"/>
        </w:trPr>
        <w:tc>
          <w:tcPr>
            <w:tcW w:w="7083" w:type="dxa"/>
            <w:tcBorders>
              <w:top w:val="nil"/>
              <w:bottom w:val="nil"/>
              <w:right w:val="single" w:sz="4" w:space="0" w:color="auto"/>
            </w:tcBorders>
            <w:vAlign w:val="center"/>
          </w:tcPr>
          <w:p w14:paraId="27462C1A" w14:textId="600EA62D" w:rsidR="00B53E8C" w:rsidRPr="00DD6668" w:rsidRDefault="00B53E8C" w:rsidP="003C5F9F">
            <w:pPr>
              <w:spacing w:before="240" w:after="0" w:line="276" w:lineRule="auto"/>
              <w:jc w:val="center"/>
              <w:rPr>
                <w:rFonts w:ascii="Aptos" w:eastAsia="Times New Roman" w:hAnsi="Aptos" w:cstheme="minorHAnsi"/>
                <w:color w:val="000000"/>
                <w:lang w:eastAsia="en-AU"/>
              </w:rPr>
            </w:pPr>
            <w:r w:rsidRPr="00DD6668">
              <w:rPr>
                <w:rFonts w:ascii="Aptos" w:hAnsi="Aptos"/>
                <w:color w:val="000000"/>
              </w:rPr>
              <w:t>$</w:t>
            </w:r>
            <w:r w:rsidR="008C5BC4" w:rsidRPr="00DD6668">
              <w:rPr>
                <w:rFonts w:ascii="Aptos" w:hAnsi="Aptos"/>
                <w:color w:val="000000"/>
              </w:rPr>
              <w:t>80</w:t>
            </w:r>
            <w:r w:rsidRPr="00DD6668">
              <w:rPr>
                <w:rFonts w:ascii="Aptos" w:hAnsi="Aptos"/>
                <w:color w:val="000000"/>
              </w:rPr>
              <w:t xml:space="preserve"> Million</w:t>
            </w:r>
          </w:p>
        </w:tc>
        <w:tc>
          <w:tcPr>
            <w:tcW w:w="6823" w:type="dxa"/>
            <w:tcBorders>
              <w:left w:val="single" w:sz="4" w:space="0" w:color="auto"/>
            </w:tcBorders>
            <w:vAlign w:val="center"/>
          </w:tcPr>
          <w:p w14:paraId="4A16B6CA" w14:textId="242244A2" w:rsidR="00B53E8C" w:rsidRPr="00DD6668" w:rsidRDefault="0020338B" w:rsidP="003C5F9F">
            <w:pPr>
              <w:spacing w:before="240" w:after="0" w:line="276" w:lineRule="auto"/>
              <w:jc w:val="center"/>
              <w:rPr>
                <w:rFonts w:ascii="Aptos" w:eastAsia="Times New Roman" w:hAnsi="Aptos" w:cstheme="minorHAnsi"/>
                <w:color w:val="000000"/>
                <w:lang w:eastAsia="en-AU"/>
              </w:rPr>
            </w:pPr>
            <w:r w:rsidRPr="00DD6668">
              <w:rPr>
                <w:rFonts w:ascii="Aptos" w:hAnsi="Aptos"/>
                <w:color w:val="000000"/>
              </w:rPr>
              <w:t>1</w:t>
            </w:r>
            <w:r w:rsidR="008C5BC4" w:rsidRPr="00DD6668">
              <w:rPr>
                <w:rFonts w:ascii="Aptos" w:hAnsi="Aptos"/>
                <w:color w:val="000000"/>
              </w:rPr>
              <w:t>89</w:t>
            </w:r>
            <w:r w:rsidRPr="00DD6668">
              <w:rPr>
                <w:rFonts w:ascii="Aptos" w:hAnsi="Aptos"/>
                <w:color w:val="000000"/>
              </w:rPr>
              <w:t>,</w:t>
            </w:r>
            <w:r w:rsidR="008C5BC4" w:rsidRPr="00DD6668">
              <w:rPr>
                <w:rFonts w:ascii="Aptos" w:hAnsi="Aptos"/>
                <w:color w:val="000000"/>
              </w:rPr>
              <w:t>609</w:t>
            </w:r>
            <w:r w:rsidR="00F771B9" w:rsidRPr="00DD6668">
              <w:rPr>
                <w:rFonts w:ascii="Aptos" w:hAnsi="Aptos"/>
              </w:rPr>
              <w:t xml:space="preserve"> </w:t>
            </w:r>
            <w:r w:rsidR="00F771B9" w:rsidRPr="00DD6668">
              <w:rPr>
                <w:rFonts w:ascii="Aptos" w:hAnsi="Aptos"/>
              </w:rPr>
              <w:br/>
            </w:r>
            <w:r w:rsidR="00F771B9" w:rsidRPr="00DD6668">
              <w:rPr>
                <w:rFonts w:ascii="Aptos" w:hAnsi="Aptos"/>
                <w:color w:val="FF0000"/>
              </w:rPr>
              <w:t>Acquired-hypogammaglobulinaemia — haematological malignancy or post HSCT</w:t>
            </w:r>
          </w:p>
        </w:tc>
      </w:tr>
      <w:tr w:rsidR="003C5F9F" w:rsidRPr="00DD6668" w14:paraId="1A2B1A29" w14:textId="77777777" w:rsidTr="003C5F9F">
        <w:trPr>
          <w:trHeight w:val="428"/>
        </w:trPr>
        <w:tc>
          <w:tcPr>
            <w:tcW w:w="7083" w:type="dxa"/>
            <w:tcBorders>
              <w:top w:val="nil"/>
              <w:bottom w:val="single" w:sz="4" w:space="0" w:color="auto"/>
              <w:right w:val="single" w:sz="4" w:space="0" w:color="auto"/>
            </w:tcBorders>
            <w:vAlign w:val="center"/>
          </w:tcPr>
          <w:p w14:paraId="19E8ACC1" w14:textId="2112F2FC" w:rsidR="003C5F9F" w:rsidRPr="00DD6668" w:rsidRDefault="003C5F9F" w:rsidP="007D2C0C">
            <w:pPr>
              <w:spacing w:after="0" w:line="276" w:lineRule="auto"/>
              <w:jc w:val="center"/>
              <w:rPr>
                <w:rFonts w:ascii="Aptos" w:eastAsia="Times New Roman" w:hAnsi="Aptos" w:cstheme="minorHAnsi"/>
                <w:color w:val="000000"/>
                <w:lang w:eastAsia="en-AU"/>
              </w:rPr>
            </w:pPr>
            <w:r w:rsidRPr="00DD6668">
              <w:rPr>
                <w:rFonts w:ascii="Aptos" w:hAnsi="Aptos"/>
                <w:color w:val="000000"/>
              </w:rPr>
              <w:t xml:space="preserve">Expenditure in </w:t>
            </w:r>
            <w:r w:rsidR="008C5BC4" w:rsidRPr="00DD6668">
              <w:rPr>
                <w:rFonts w:ascii="Aptos" w:hAnsi="Aptos"/>
                <w:color w:val="000000"/>
              </w:rPr>
              <w:t>June</w:t>
            </w:r>
            <w:r w:rsidRPr="00DD6668">
              <w:rPr>
                <w:rFonts w:ascii="Aptos" w:hAnsi="Aptos"/>
                <w:color w:val="000000"/>
              </w:rPr>
              <w:t xml:space="preserve"> 2024</w:t>
            </w:r>
          </w:p>
        </w:tc>
        <w:tc>
          <w:tcPr>
            <w:tcW w:w="6823" w:type="dxa"/>
            <w:tcBorders>
              <w:left w:val="single" w:sz="4" w:space="0" w:color="auto"/>
            </w:tcBorders>
            <w:vAlign w:val="center"/>
          </w:tcPr>
          <w:p w14:paraId="0E381FDD" w14:textId="4EE6A42C" w:rsidR="003C5F9F" w:rsidRPr="00DD6668" w:rsidRDefault="003C5F9F" w:rsidP="007D2C0C">
            <w:pPr>
              <w:spacing w:after="0" w:line="276" w:lineRule="auto"/>
              <w:jc w:val="center"/>
              <w:rPr>
                <w:rFonts w:ascii="Aptos" w:hAnsi="Aptos"/>
                <w:color w:val="000000"/>
              </w:rPr>
            </w:pPr>
            <w:r w:rsidRPr="00DD6668">
              <w:rPr>
                <w:rFonts w:ascii="Aptos" w:hAnsi="Aptos"/>
                <w:color w:val="000000"/>
              </w:rPr>
              <w:t xml:space="preserve">Grams Highest Medical Condition in </w:t>
            </w:r>
            <w:r w:rsidR="008C5BC4" w:rsidRPr="00DD6668">
              <w:rPr>
                <w:rFonts w:ascii="Aptos" w:hAnsi="Aptos"/>
                <w:color w:val="000000"/>
              </w:rPr>
              <w:t>June</w:t>
            </w:r>
            <w:r w:rsidRPr="00DD6668">
              <w:rPr>
                <w:rFonts w:ascii="Aptos" w:hAnsi="Aptos"/>
                <w:color w:val="000000"/>
              </w:rPr>
              <w:t xml:space="preserve"> 2024</w:t>
            </w:r>
          </w:p>
        </w:tc>
      </w:tr>
    </w:tbl>
    <w:p w14:paraId="570B2A5E" w14:textId="35167A74" w:rsidR="005A4625" w:rsidRPr="00DD6668" w:rsidRDefault="005A4625" w:rsidP="004414E2">
      <w:pPr>
        <w:rPr>
          <w:rFonts w:ascii="Aptos" w:hAnsi="Aptos" w:cstheme="minorHAnsi"/>
        </w:rPr>
      </w:pPr>
    </w:p>
    <w:p w14:paraId="3A647DF2" w14:textId="3C408388" w:rsidR="007D2C0C" w:rsidRPr="00DD6668" w:rsidRDefault="007D2C0C" w:rsidP="004414E2">
      <w:pPr>
        <w:rPr>
          <w:rFonts w:ascii="Aptos" w:hAnsi="Aptos" w:cstheme="minorHAnsi"/>
        </w:rPr>
      </w:pPr>
    </w:p>
    <w:p w14:paraId="1202D159" w14:textId="77777777" w:rsidR="007D2C0C" w:rsidRPr="00DD6668" w:rsidRDefault="007D2C0C" w:rsidP="004414E2">
      <w:pPr>
        <w:rPr>
          <w:rFonts w:ascii="Aptos" w:hAnsi="Aptos" w:cstheme="minorHAnsi"/>
        </w:rPr>
      </w:pPr>
    </w:p>
    <w:p w14:paraId="738AB279" w14:textId="7CF5D316" w:rsidR="004414E2" w:rsidRPr="00DD6668" w:rsidRDefault="004414E2" w:rsidP="004414E2">
      <w:pPr>
        <w:pStyle w:val="Heading4"/>
        <w:rPr>
          <w:rStyle w:val="Heading3Char"/>
          <w:rFonts w:ascii="Aptos" w:hAnsi="Aptos" w:cstheme="minorHAnsi"/>
          <w:color w:val="auto"/>
          <w:sz w:val="22"/>
          <w:szCs w:val="22"/>
        </w:rPr>
      </w:pPr>
      <w:r w:rsidRPr="00DD6668">
        <w:rPr>
          <w:rStyle w:val="Heading3Char"/>
          <w:rFonts w:ascii="Aptos" w:hAnsi="Aptos" w:cstheme="minorHAnsi"/>
          <w:color w:val="auto"/>
          <w:sz w:val="22"/>
          <w:szCs w:val="22"/>
        </w:rPr>
        <w:lastRenderedPageBreak/>
        <w:t>Ig use</w:t>
      </w:r>
      <w:r w:rsidR="00DB7577" w:rsidRPr="00DD6668">
        <w:rPr>
          <w:rStyle w:val="Heading3Char"/>
          <w:rFonts w:ascii="Aptos" w:hAnsi="Aptos" w:cstheme="minorHAnsi"/>
          <w:color w:val="auto"/>
          <w:sz w:val="22"/>
          <w:szCs w:val="22"/>
        </w:rPr>
        <w:br/>
      </w:r>
    </w:p>
    <w:p w14:paraId="7CD87401" w14:textId="1E79AAAD" w:rsidR="004414E2" w:rsidRPr="00DD6668" w:rsidRDefault="004414E2" w:rsidP="004414E2">
      <w:pPr>
        <w:rPr>
          <w:rFonts w:ascii="Aptos" w:hAnsi="Aptos" w:cstheme="minorHAnsi"/>
          <w:b/>
        </w:rPr>
      </w:pPr>
      <w:r w:rsidRPr="00DD6668">
        <w:rPr>
          <w:rFonts w:ascii="Aptos" w:hAnsi="Aptos" w:cstheme="minorHAnsi"/>
          <w:b/>
        </w:rPr>
        <w:t>Year to date</w:t>
      </w:r>
      <w:r w:rsidR="005A4625" w:rsidRPr="00DD6668">
        <w:rPr>
          <w:rFonts w:ascii="Aptos" w:hAnsi="Aptos" w:cstheme="minorHAnsi"/>
          <w:b/>
        </w:rPr>
        <w:t xml:space="preserve"> </w:t>
      </w:r>
      <w:sdt>
        <w:sdtPr>
          <w:rPr>
            <w:rFonts w:ascii="Aptos" w:hAnsi="Aptos" w:cstheme="minorHAnsi"/>
            <w:b/>
          </w:rPr>
          <w:id w:val="-684441281"/>
          <w:placeholder>
            <w:docPart w:val="AAB76AA566A849A7B1A730B2347E39E1"/>
          </w:placeholder>
          <w:date w:fullDate="2024-06-01T00:00:00Z">
            <w:dateFormat w:val="MMMM yyyy"/>
            <w:lid w:val="en-AU"/>
            <w:storeMappedDataAs w:val="dateTime"/>
            <w:calendar w:val="gregorian"/>
          </w:date>
        </w:sdtPr>
        <w:sdtEndPr/>
        <w:sdtContent>
          <w:r w:rsidR="008C5BC4" w:rsidRPr="00DD6668">
            <w:rPr>
              <w:rFonts w:ascii="Aptos" w:hAnsi="Aptos" w:cstheme="minorHAnsi"/>
              <w:b/>
            </w:rPr>
            <w:t>June</w:t>
          </w:r>
          <w:r w:rsidR="00F63880" w:rsidRPr="00DD6668">
            <w:rPr>
              <w:rFonts w:ascii="Aptos" w:hAnsi="Aptos" w:cstheme="minorHAnsi"/>
              <w:b/>
            </w:rPr>
            <w:t xml:space="preserve"> 2024</w:t>
          </w:r>
        </w:sdtContent>
      </w:sdt>
      <w:r w:rsidRPr="00DD6668">
        <w:rPr>
          <w:rFonts w:ascii="Aptos" w:hAnsi="Aptos" w:cstheme="minorHAnsi"/>
          <w:b/>
        </w:rPr>
        <w:t xml:space="preserve"> - % </w:t>
      </w:r>
      <w:bookmarkStart w:id="0" w:name="_Hlk101251449"/>
      <w:r w:rsidRPr="00DD6668">
        <w:rPr>
          <w:rFonts w:ascii="Aptos" w:hAnsi="Aptos" w:cstheme="minorHAnsi"/>
          <w:b/>
        </w:rPr>
        <w:t>varia</w:t>
      </w:r>
      <w:bookmarkEnd w:id="0"/>
      <w:r w:rsidRPr="00DD6668">
        <w:rPr>
          <w:rFonts w:ascii="Aptos" w:hAnsi="Aptos" w:cstheme="minorHAnsi"/>
          <w:b/>
        </w:rPr>
        <w:t xml:space="preserve">tion year on year by jurisdiction. </w:t>
      </w:r>
      <w:r w:rsidRPr="00DD6668">
        <w:rPr>
          <w:rFonts w:ascii="Aptos" w:hAnsi="Aptos" w:cstheme="minorHAnsi"/>
        </w:rPr>
        <w:t>This graph shows a cumulative percentage changes in Ig issued, nationally and by jurisdiction, for the current financial year to date as compared to the same period in the previous financial year.</w:t>
      </w:r>
      <w:r w:rsidR="001D4F26" w:rsidRPr="00DD6668">
        <w:rPr>
          <w:rFonts w:ascii="Aptos" w:hAnsi="Aptos" w:cstheme="minorHAnsi"/>
        </w:rPr>
        <w:br/>
      </w:r>
      <w:r w:rsidR="008922E5" w:rsidRPr="00DD6668">
        <w:rPr>
          <w:rFonts w:ascii="Aptos" w:hAnsi="Aptos" w:cstheme="minorHAnsi"/>
        </w:rPr>
        <w:br/>
      </w:r>
      <w:r w:rsidR="00541A31" w:rsidRPr="00DD6668">
        <w:rPr>
          <w:rFonts w:ascii="Aptos" w:hAnsi="Aptos"/>
          <w:noProof/>
        </w:rPr>
        <w:drawing>
          <wp:inline distT="0" distB="0" distL="0" distR="0" wp14:anchorId="3C956E76" wp14:editId="3C23BDB9">
            <wp:extent cx="8754110" cy="3390900"/>
            <wp:effectExtent l="0" t="0" r="8890" b="0"/>
            <wp:docPr id="1" name="Chart 1">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59A0347" w14:textId="77777777" w:rsidR="00541A31" w:rsidRPr="00DD6668" w:rsidRDefault="00541A31" w:rsidP="005A4625">
      <w:pPr>
        <w:rPr>
          <w:rFonts w:ascii="Aptos" w:hAnsi="Aptos" w:cstheme="minorHAnsi"/>
          <w:b/>
        </w:rPr>
      </w:pPr>
    </w:p>
    <w:p w14:paraId="3E13BC6D" w14:textId="47D8285B" w:rsidR="005A4625" w:rsidRPr="00DD6668" w:rsidRDefault="00541A31" w:rsidP="005A4625">
      <w:pPr>
        <w:rPr>
          <w:rFonts w:ascii="Aptos" w:hAnsi="Aptos" w:cstheme="minorHAnsi"/>
          <w:color w:val="FF0000"/>
        </w:rPr>
      </w:pPr>
      <w:r w:rsidRPr="00DD6668">
        <w:rPr>
          <w:rFonts w:ascii="Aptos" w:hAnsi="Aptos" w:cstheme="minorHAnsi"/>
          <w:b/>
        </w:rPr>
        <w:br/>
      </w:r>
      <w:r w:rsidRPr="00DD6668">
        <w:rPr>
          <w:rFonts w:ascii="Aptos" w:hAnsi="Aptos" w:cstheme="minorHAnsi"/>
          <w:b/>
        </w:rPr>
        <w:br/>
      </w:r>
      <w:r w:rsidRPr="00DD6668">
        <w:rPr>
          <w:rFonts w:ascii="Aptos" w:hAnsi="Aptos" w:cstheme="minorHAnsi"/>
          <w:b/>
        </w:rPr>
        <w:br/>
      </w:r>
      <w:r w:rsidRPr="00DD6668">
        <w:rPr>
          <w:rFonts w:ascii="Aptos" w:hAnsi="Aptos" w:cstheme="minorHAnsi"/>
          <w:b/>
        </w:rPr>
        <w:br/>
      </w:r>
      <w:r w:rsidRPr="00DD6668">
        <w:rPr>
          <w:rFonts w:ascii="Aptos" w:hAnsi="Aptos" w:cstheme="minorHAnsi"/>
          <w:b/>
        </w:rPr>
        <w:br/>
      </w:r>
      <w:r w:rsidRPr="00DD6668">
        <w:rPr>
          <w:rFonts w:ascii="Aptos" w:hAnsi="Aptos" w:cstheme="minorHAnsi"/>
          <w:b/>
        </w:rPr>
        <w:br/>
      </w:r>
      <w:r w:rsidRPr="00DD6668">
        <w:rPr>
          <w:rFonts w:ascii="Aptos" w:hAnsi="Aptos" w:cstheme="minorHAnsi"/>
          <w:b/>
        </w:rPr>
        <w:lastRenderedPageBreak/>
        <w:br/>
      </w:r>
      <w:r w:rsidR="004414E2" w:rsidRPr="00DD6668">
        <w:rPr>
          <w:rFonts w:ascii="Aptos" w:hAnsi="Aptos" w:cstheme="minorHAnsi"/>
          <w:b/>
        </w:rPr>
        <w:t xml:space="preserve">Issues of Ig per 1,000 population by jurisdiction. </w:t>
      </w:r>
      <w:r w:rsidR="004414E2" w:rsidRPr="00DD6668">
        <w:rPr>
          <w:rFonts w:ascii="Aptos" w:hAnsi="Aptos" w:cstheme="minorHAnsi"/>
        </w:rPr>
        <w:t>This graph shows the amount of Ig issued (grams) per 1,000 population nationally and by jurisdiction for the previous 3 months.</w:t>
      </w:r>
      <w:r w:rsidR="008922E5" w:rsidRPr="00DD6668">
        <w:rPr>
          <w:rFonts w:ascii="Aptos" w:hAnsi="Aptos" w:cstheme="minorHAnsi"/>
        </w:rPr>
        <w:br/>
      </w:r>
      <w:r w:rsidR="008922E5" w:rsidRPr="00DD6668">
        <w:rPr>
          <w:rFonts w:ascii="Aptos" w:hAnsi="Aptos" w:cstheme="minorHAnsi"/>
        </w:rPr>
        <w:br/>
      </w:r>
      <w:r w:rsidRPr="00DD6668">
        <w:rPr>
          <w:rFonts w:ascii="Aptos" w:hAnsi="Aptos"/>
          <w:noProof/>
        </w:rPr>
        <w:drawing>
          <wp:inline distT="0" distB="0" distL="0" distR="0" wp14:anchorId="79EB26DA" wp14:editId="472B8DA2">
            <wp:extent cx="8801735" cy="3753016"/>
            <wp:effectExtent l="0" t="0" r="18415" b="0"/>
            <wp:docPr id="2" name="Chart 2">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8AFFF3" w14:textId="67F14CA8" w:rsidR="004414E2" w:rsidRPr="00DD6668" w:rsidRDefault="004414E2" w:rsidP="004414E2">
      <w:pPr>
        <w:rPr>
          <w:rFonts w:ascii="Aptos" w:hAnsi="Aptos" w:cstheme="minorHAnsi"/>
        </w:rPr>
      </w:pPr>
      <w:r w:rsidRPr="00DD6668">
        <w:rPr>
          <w:rFonts w:ascii="Aptos" w:hAnsi="Aptos" w:cstheme="minorHAnsi"/>
          <w:b/>
        </w:rPr>
        <w:lastRenderedPageBreak/>
        <w:t xml:space="preserve">Ig use by medical condition. </w:t>
      </w:r>
      <w:r w:rsidRPr="00DD6668">
        <w:rPr>
          <w:rFonts w:ascii="Aptos" w:hAnsi="Aptos" w:cstheme="minorHAnsi"/>
        </w:rPr>
        <w:t>This graph shows the medical conditions which account for the highest use (grams dispensed) of Ig products.</w:t>
      </w:r>
      <w:r w:rsidR="008922E5" w:rsidRPr="00DD6668">
        <w:rPr>
          <w:rFonts w:ascii="Aptos" w:hAnsi="Aptos" w:cstheme="minorHAnsi"/>
        </w:rPr>
        <w:br/>
      </w:r>
      <w:r w:rsidR="008922E5" w:rsidRPr="00DD6668">
        <w:rPr>
          <w:rFonts w:ascii="Aptos" w:hAnsi="Aptos" w:cstheme="minorHAnsi"/>
        </w:rPr>
        <w:br/>
      </w:r>
      <w:r w:rsidR="0043109F" w:rsidRPr="00DD6668">
        <w:rPr>
          <w:rFonts w:ascii="Aptos" w:hAnsi="Aptos"/>
          <w:noProof/>
        </w:rPr>
        <w:drawing>
          <wp:inline distT="0" distB="0" distL="0" distR="0" wp14:anchorId="2F16C3C4" wp14:editId="410F1C4A">
            <wp:extent cx="8801735" cy="4206240"/>
            <wp:effectExtent l="0" t="0" r="18415" b="3810"/>
            <wp:docPr id="3" name="Chart 3">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D5E476" w14:textId="77777777" w:rsidR="0032490A" w:rsidRDefault="00DD6668" w:rsidP="004414E2">
      <w:pPr>
        <w:pStyle w:val="Heading4"/>
        <w:rPr>
          <w:rFonts w:ascii="Aptos" w:hAnsi="Aptos" w:cstheme="minorHAnsi"/>
        </w:rPr>
      </w:pPr>
      <w:r w:rsidRPr="00DD6668">
        <w:rPr>
          <w:rFonts w:ascii="Aptos" w:hAnsi="Aptos" w:cstheme="minorHAnsi"/>
        </w:rPr>
        <w:br/>
      </w:r>
      <w:r w:rsidRPr="00DD6668">
        <w:rPr>
          <w:rFonts w:ascii="Aptos" w:hAnsi="Aptos" w:cstheme="minorHAnsi"/>
        </w:rPr>
        <w:br/>
      </w:r>
      <w:r w:rsidRPr="00DD6668">
        <w:rPr>
          <w:rFonts w:ascii="Aptos" w:hAnsi="Aptos" w:cstheme="minorHAnsi"/>
        </w:rPr>
        <w:br/>
      </w:r>
      <w:r w:rsidRPr="00DD6668">
        <w:rPr>
          <w:rFonts w:ascii="Aptos" w:hAnsi="Aptos" w:cstheme="minorHAnsi"/>
        </w:rPr>
        <w:br/>
      </w:r>
    </w:p>
    <w:p w14:paraId="518E4621" w14:textId="7BBD14DA" w:rsidR="004414E2" w:rsidRPr="00DD6668" w:rsidRDefault="004414E2" w:rsidP="004414E2">
      <w:pPr>
        <w:pStyle w:val="Heading4"/>
        <w:rPr>
          <w:rFonts w:ascii="Aptos" w:hAnsi="Aptos" w:cstheme="minorHAnsi"/>
        </w:rPr>
      </w:pPr>
      <w:r w:rsidRPr="00DD6668">
        <w:rPr>
          <w:rFonts w:ascii="Aptos" w:hAnsi="Aptos" w:cstheme="minorHAnsi"/>
        </w:rPr>
        <w:lastRenderedPageBreak/>
        <w:t>Product issued</w:t>
      </w:r>
      <w:r w:rsidR="00975CB2" w:rsidRPr="00DD6668">
        <w:rPr>
          <w:rFonts w:ascii="Aptos" w:hAnsi="Aptos" w:cstheme="minorHAnsi"/>
        </w:rPr>
        <w:br/>
      </w:r>
    </w:p>
    <w:p w14:paraId="5A3BBB49" w14:textId="1FB50869" w:rsidR="00C2272C" w:rsidRPr="00DD6668" w:rsidRDefault="004414E2" w:rsidP="004414E2">
      <w:pPr>
        <w:rPr>
          <w:rFonts w:ascii="Aptos" w:hAnsi="Aptos" w:cstheme="minorHAnsi"/>
        </w:rPr>
      </w:pPr>
      <w:r w:rsidRPr="00DD6668">
        <w:rPr>
          <w:rFonts w:ascii="Aptos" w:hAnsi="Aptos" w:cstheme="minorHAnsi"/>
          <w:b/>
        </w:rPr>
        <w:t xml:space="preserve">Monthly expenditure on Ig. </w:t>
      </w:r>
      <w:r w:rsidRPr="00DD6668">
        <w:rPr>
          <w:rFonts w:ascii="Aptos" w:hAnsi="Aptos" w:cstheme="minorHAnsi"/>
        </w:rPr>
        <w:t xml:space="preserve">This graph shows the cost of Ig products issued over the last 9 months.  </w:t>
      </w:r>
      <w:r w:rsidR="008922E5" w:rsidRPr="00DD6668">
        <w:rPr>
          <w:rFonts w:ascii="Aptos" w:hAnsi="Aptos" w:cstheme="minorHAnsi"/>
        </w:rPr>
        <w:br/>
      </w:r>
      <w:r w:rsidR="008922E5" w:rsidRPr="00DD6668">
        <w:rPr>
          <w:rFonts w:ascii="Aptos" w:hAnsi="Aptos" w:cstheme="minorHAnsi"/>
        </w:rPr>
        <w:br/>
      </w:r>
      <w:r w:rsidR="0043109F" w:rsidRPr="00DD6668">
        <w:rPr>
          <w:rFonts w:ascii="Aptos" w:hAnsi="Aptos"/>
          <w:noProof/>
        </w:rPr>
        <w:drawing>
          <wp:inline distT="0" distB="0" distL="0" distR="0" wp14:anchorId="7F1066E7" wp14:editId="6B69488C">
            <wp:extent cx="8588849" cy="4555332"/>
            <wp:effectExtent l="0" t="0" r="3175" b="17145"/>
            <wp:docPr id="4" name="Chart 4">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9180A4" w14:textId="3A209244" w:rsidR="004414E2" w:rsidRPr="00DD6668" w:rsidRDefault="004414E2" w:rsidP="004414E2">
      <w:pPr>
        <w:rPr>
          <w:rFonts w:ascii="Aptos" w:hAnsi="Aptos" w:cstheme="minorHAnsi"/>
        </w:rPr>
      </w:pPr>
      <w:r w:rsidRPr="00DD6668">
        <w:rPr>
          <w:rFonts w:ascii="Aptos" w:hAnsi="Aptos" w:cstheme="minorHAnsi"/>
          <w:b/>
        </w:rPr>
        <w:lastRenderedPageBreak/>
        <w:t xml:space="preserve">Monthly usage of Ig. </w:t>
      </w:r>
      <w:r w:rsidRPr="00DD6668">
        <w:rPr>
          <w:rFonts w:ascii="Aptos" w:hAnsi="Aptos" w:cstheme="minorHAnsi"/>
        </w:rPr>
        <w:t>This graph shows the amount of domestic and imported Ig products issued (grams) in the last 9 months.</w:t>
      </w:r>
      <w:r w:rsidR="008922E5" w:rsidRPr="00DD6668">
        <w:rPr>
          <w:rFonts w:ascii="Aptos" w:hAnsi="Aptos" w:cstheme="minorHAnsi"/>
        </w:rPr>
        <w:br/>
      </w:r>
      <w:r w:rsidR="008922E5" w:rsidRPr="00DD6668">
        <w:rPr>
          <w:rFonts w:ascii="Aptos" w:hAnsi="Aptos" w:cstheme="minorHAnsi"/>
        </w:rPr>
        <w:br/>
      </w:r>
      <w:r w:rsidR="0043109F" w:rsidRPr="00DD6668">
        <w:rPr>
          <w:rFonts w:ascii="Aptos" w:hAnsi="Aptos"/>
          <w:noProof/>
        </w:rPr>
        <w:drawing>
          <wp:inline distT="0" distB="0" distL="0" distR="0" wp14:anchorId="0E97FF31" wp14:editId="74D742C4">
            <wp:extent cx="8649339" cy="4221957"/>
            <wp:effectExtent l="0" t="0" r="18415" b="7620"/>
            <wp:docPr id="5" name="Chart 5">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E48007" w14:textId="77777777" w:rsidR="005A4625" w:rsidRPr="00DD6668" w:rsidRDefault="005A4625" w:rsidP="005A4625">
      <w:pPr>
        <w:spacing w:line="276" w:lineRule="auto"/>
        <w:rPr>
          <w:rFonts w:ascii="Aptos" w:hAnsi="Aptos" w:cstheme="minorHAnsi"/>
        </w:rPr>
      </w:pPr>
    </w:p>
    <w:p w14:paraId="29189596" w14:textId="165AEAF1" w:rsidR="004414E2" w:rsidRPr="00DD6668" w:rsidRDefault="00DD6668" w:rsidP="008922E5">
      <w:pPr>
        <w:spacing w:after="0" w:line="276" w:lineRule="auto"/>
        <w:rPr>
          <w:rFonts w:ascii="Aptos" w:hAnsi="Aptos" w:cstheme="minorHAnsi"/>
          <w:b/>
          <w:bCs/>
        </w:rPr>
      </w:pPr>
      <w:r w:rsidRPr="00DD6668">
        <w:rPr>
          <w:rFonts w:ascii="Aptos" w:hAnsi="Aptos" w:cstheme="minorHAnsi"/>
          <w:b/>
          <w:bCs/>
        </w:rPr>
        <w:br/>
      </w:r>
      <w:r w:rsidRPr="00DD6668">
        <w:rPr>
          <w:rFonts w:ascii="Aptos" w:hAnsi="Aptos" w:cstheme="minorHAnsi"/>
          <w:b/>
          <w:bCs/>
        </w:rPr>
        <w:br/>
      </w:r>
      <w:r w:rsidR="004414E2" w:rsidRPr="00DD6668">
        <w:rPr>
          <w:rFonts w:ascii="Aptos" w:hAnsi="Aptos" w:cstheme="minorHAnsi"/>
          <w:b/>
          <w:bCs/>
        </w:rPr>
        <w:lastRenderedPageBreak/>
        <w:t xml:space="preserve">BloodSTAR </w:t>
      </w:r>
      <w:r w:rsidR="00DB3508" w:rsidRPr="00DD6668">
        <w:rPr>
          <w:rFonts w:ascii="Aptos" w:hAnsi="Aptos" w:cstheme="minorHAnsi"/>
          <w:b/>
          <w:bCs/>
        </w:rPr>
        <w:br/>
      </w:r>
    </w:p>
    <w:p w14:paraId="2F2F74F5" w14:textId="77777777" w:rsidR="004414E2" w:rsidRPr="00DD6668" w:rsidRDefault="004414E2" w:rsidP="004414E2">
      <w:pPr>
        <w:pStyle w:val="ListParagraph"/>
        <w:ind w:left="0"/>
        <w:rPr>
          <w:rFonts w:ascii="Aptos" w:hAnsi="Aptos" w:cstheme="minorHAnsi"/>
        </w:rPr>
      </w:pPr>
      <w:r w:rsidRPr="00DD6668">
        <w:rPr>
          <w:rFonts w:ascii="Aptos" w:hAnsi="Aptos" w:cstheme="minorHAnsi"/>
          <w:b/>
        </w:rPr>
        <w:t xml:space="preserve">Patients. </w:t>
      </w:r>
      <w:r w:rsidRPr="00DD6668">
        <w:rPr>
          <w:rFonts w:ascii="Aptos" w:hAnsi="Aptos" w:cstheme="minorHAnsi"/>
        </w:rPr>
        <w:t>This graph shows the total number of patients receiving Ig and the number of new patients over the last 9 months.</w:t>
      </w:r>
    </w:p>
    <w:p w14:paraId="0D102BDD" w14:textId="77777777" w:rsidR="007D2C0C" w:rsidRPr="00DD6668" w:rsidRDefault="007D2C0C" w:rsidP="005A4625">
      <w:pPr>
        <w:pStyle w:val="ListParagraph"/>
        <w:ind w:left="0"/>
        <w:rPr>
          <w:rFonts w:ascii="Aptos" w:hAnsi="Aptos" w:cstheme="minorHAnsi"/>
          <w:b/>
          <w:noProof/>
        </w:rPr>
      </w:pPr>
    </w:p>
    <w:p w14:paraId="5D946D22" w14:textId="2FB912C8" w:rsidR="005A4625" w:rsidRPr="00DD6668" w:rsidRDefault="0043109F" w:rsidP="005A4625">
      <w:pPr>
        <w:pStyle w:val="ListParagraph"/>
        <w:ind w:left="0"/>
        <w:rPr>
          <w:rFonts w:ascii="Aptos" w:hAnsi="Aptos" w:cstheme="minorHAnsi"/>
          <w:b/>
        </w:rPr>
      </w:pPr>
      <w:r w:rsidRPr="00DD6668">
        <w:rPr>
          <w:rFonts w:ascii="Aptos" w:hAnsi="Aptos"/>
          <w:noProof/>
        </w:rPr>
        <w:drawing>
          <wp:inline distT="0" distB="0" distL="0" distR="0" wp14:anchorId="6A123DB3" wp14:editId="58F540C4">
            <wp:extent cx="8794143" cy="4527550"/>
            <wp:effectExtent l="0" t="0" r="6985" b="6350"/>
            <wp:docPr id="9" name="Chart 9">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AFE97D7" w14:textId="77777777" w:rsidR="0032490A" w:rsidRDefault="004414E2" w:rsidP="00D063B9">
      <w:pPr>
        <w:spacing w:after="0" w:line="276" w:lineRule="auto"/>
        <w:rPr>
          <w:rFonts w:ascii="Aptos" w:hAnsi="Aptos" w:cstheme="minorHAnsi"/>
        </w:rPr>
      </w:pPr>
      <w:r w:rsidRPr="00DD6668">
        <w:rPr>
          <w:rFonts w:ascii="Aptos" w:hAnsi="Aptos" w:cstheme="minorHAnsi"/>
          <w:b/>
        </w:rPr>
        <w:lastRenderedPageBreak/>
        <w:t xml:space="preserve">Authorisation and dispense events. </w:t>
      </w:r>
      <w:r w:rsidRPr="00DD6668">
        <w:rPr>
          <w:rFonts w:ascii="Aptos" w:hAnsi="Aptos" w:cstheme="minorHAnsi"/>
        </w:rPr>
        <w:t>This graph shows the number of new authorisation requests approved and the number of dispense events over the last 9 months.</w:t>
      </w:r>
      <w:r w:rsidR="0032490A">
        <w:rPr>
          <w:rFonts w:ascii="Aptos" w:hAnsi="Aptos" w:cstheme="minorHAnsi"/>
        </w:rPr>
        <w:br/>
      </w:r>
    </w:p>
    <w:p w14:paraId="59853436" w14:textId="1F91E4AE" w:rsidR="00B8089C" w:rsidRPr="00DD6668" w:rsidRDefault="0043109F" w:rsidP="00D063B9">
      <w:pPr>
        <w:spacing w:after="0" w:line="276" w:lineRule="auto"/>
        <w:rPr>
          <w:rFonts w:ascii="Aptos" w:hAnsi="Aptos" w:cstheme="minorHAnsi"/>
        </w:rPr>
      </w:pPr>
      <w:r w:rsidRPr="00DD6668">
        <w:rPr>
          <w:rFonts w:ascii="Aptos" w:hAnsi="Aptos"/>
          <w:noProof/>
        </w:rPr>
        <w:drawing>
          <wp:inline distT="0" distB="0" distL="0" distR="0" wp14:anchorId="571BCFAE" wp14:editId="495A7669">
            <wp:extent cx="8863330" cy="4715123"/>
            <wp:effectExtent l="0" t="0" r="13970" b="9525"/>
            <wp:docPr id="10" name="Chart 10">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ED5168A" w14:textId="2333E4EF" w:rsidR="004414E2" w:rsidRPr="00DD6668" w:rsidRDefault="004414E2" w:rsidP="00D063B9">
      <w:pPr>
        <w:spacing w:after="0" w:line="276" w:lineRule="auto"/>
        <w:rPr>
          <w:rFonts w:ascii="Aptos" w:hAnsi="Aptos" w:cstheme="minorHAnsi"/>
          <w:b/>
        </w:rPr>
      </w:pPr>
      <w:r w:rsidRPr="00DD6668">
        <w:rPr>
          <w:rFonts w:ascii="Aptos" w:hAnsi="Aptos" w:cstheme="minorHAnsi"/>
          <w:b/>
        </w:rPr>
        <w:br w:type="page"/>
      </w:r>
      <w:r w:rsidRPr="00DD6668">
        <w:rPr>
          <w:rFonts w:ascii="Aptos" w:hAnsi="Aptos" w:cstheme="minorHAnsi"/>
          <w:b/>
        </w:rPr>
        <w:lastRenderedPageBreak/>
        <w:t xml:space="preserve">Facilities and Users as of </w:t>
      </w:r>
      <w:sdt>
        <w:sdtPr>
          <w:rPr>
            <w:rFonts w:ascii="Aptos" w:hAnsi="Aptos" w:cstheme="minorHAnsi"/>
            <w:b/>
          </w:rPr>
          <w:id w:val="1026060860"/>
          <w:placeholder>
            <w:docPart w:val="C23FFD6BF3F148BC8C879FF80D9C83B4"/>
          </w:placeholder>
          <w:date w:fullDate="2024-06-30T00:00:00Z">
            <w:dateFormat w:val="d MMMM yyyy"/>
            <w:lid w:val="en-AU"/>
            <w:storeMappedDataAs w:val="dateTime"/>
            <w:calendar w:val="gregorian"/>
          </w:date>
        </w:sdtPr>
        <w:sdtEndPr/>
        <w:sdtContent>
          <w:r w:rsidR="0043109F" w:rsidRPr="00DD6668">
            <w:rPr>
              <w:rFonts w:ascii="Aptos" w:hAnsi="Aptos" w:cstheme="minorHAnsi"/>
              <w:b/>
            </w:rPr>
            <w:t>30 June 2024</w:t>
          </w:r>
        </w:sdtContent>
      </w:sdt>
    </w:p>
    <w:p w14:paraId="1FCE61DC" w14:textId="77777777" w:rsidR="004414E2" w:rsidRPr="00DD6668" w:rsidRDefault="004414E2" w:rsidP="004414E2">
      <w:pPr>
        <w:pStyle w:val="ListParagraph"/>
        <w:rPr>
          <w:rFonts w:ascii="Aptos" w:hAnsi="Aptos" w:cstheme="minorHAnsi"/>
          <w:b/>
        </w:rPr>
      </w:pPr>
    </w:p>
    <w:tbl>
      <w:tblPr>
        <w:tblStyle w:val="TableGrid"/>
        <w:tblW w:w="4799" w:type="pct"/>
        <w:tblInd w:w="0" w:type="dxa"/>
        <w:tblLook w:val="04A0" w:firstRow="1" w:lastRow="0" w:firstColumn="1" w:lastColumn="0" w:noHBand="0" w:noVBand="1"/>
      </w:tblPr>
      <w:tblGrid>
        <w:gridCol w:w="4461"/>
        <w:gridCol w:w="4463"/>
        <w:gridCol w:w="4463"/>
      </w:tblGrid>
      <w:tr w:rsidR="004414E2" w:rsidRPr="00DD6668" w14:paraId="48A15E47" w14:textId="77777777" w:rsidTr="007D2C0C">
        <w:trPr>
          <w:trHeight w:val="470"/>
        </w:trPr>
        <w:tc>
          <w:tcPr>
            <w:tcW w:w="1666" w:type="pct"/>
            <w:tcBorders>
              <w:top w:val="single" w:sz="4" w:space="0" w:color="auto"/>
              <w:left w:val="single" w:sz="4" w:space="0" w:color="auto"/>
              <w:bottom w:val="single" w:sz="4" w:space="0" w:color="auto"/>
              <w:right w:val="single" w:sz="4" w:space="0" w:color="auto"/>
            </w:tcBorders>
            <w:shd w:val="clear" w:color="auto" w:fill="FFC02F"/>
            <w:hideMark/>
          </w:tcPr>
          <w:p w14:paraId="4B8CF177" w14:textId="77777777" w:rsidR="004414E2" w:rsidRPr="00DD6668" w:rsidRDefault="004414E2">
            <w:pPr>
              <w:pStyle w:val="ListParagraph"/>
              <w:spacing w:after="0"/>
              <w:ind w:left="0"/>
              <w:jc w:val="center"/>
              <w:rPr>
                <w:rFonts w:ascii="Aptos" w:hAnsi="Aptos" w:cstheme="minorHAnsi"/>
                <w:b/>
              </w:rPr>
            </w:pPr>
            <w:r w:rsidRPr="00DD6668">
              <w:rPr>
                <w:rFonts w:ascii="Aptos" w:hAnsi="Aptos" w:cstheme="minorHAnsi"/>
                <w:b/>
              </w:rPr>
              <w:t>Number of registered facilities</w:t>
            </w:r>
          </w:p>
        </w:tc>
        <w:tc>
          <w:tcPr>
            <w:tcW w:w="1667" w:type="pct"/>
            <w:tcBorders>
              <w:top w:val="single" w:sz="4" w:space="0" w:color="auto"/>
              <w:left w:val="single" w:sz="4" w:space="0" w:color="auto"/>
              <w:bottom w:val="single" w:sz="4" w:space="0" w:color="auto"/>
              <w:right w:val="single" w:sz="4" w:space="0" w:color="auto"/>
            </w:tcBorders>
            <w:shd w:val="clear" w:color="auto" w:fill="FFC02F"/>
            <w:hideMark/>
          </w:tcPr>
          <w:p w14:paraId="79183313" w14:textId="77777777" w:rsidR="004414E2" w:rsidRPr="00DD6668" w:rsidRDefault="004414E2">
            <w:pPr>
              <w:pStyle w:val="ListParagraph"/>
              <w:spacing w:after="0"/>
              <w:ind w:left="0"/>
              <w:jc w:val="center"/>
              <w:rPr>
                <w:rFonts w:ascii="Aptos" w:hAnsi="Aptos" w:cstheme="minorHAnsi"/>
                <w:b/>
              </w:rPr>
            </w:pPr>
            <w:r w:rsidRPr="00DD6668">
              <w:rPr>
                <w:rFonts w:ascii="Aptos" w:hAnsi="Aptos" w:cstheme="minorHAnsi"/>
                <w:b/>
              </w:rPr>
              <w:t>Number of registered SCIg approved facilities</w:t>
            </w:r>
          </w:p>
        </w:tc>
        <w:tc>
          <w:tcPr>
            <w:tcW w:w="1667" w:type="pct"/>
            <w:tcBorders>
              <w:top w:val="single" w:sz="4" w:space="0" w:color="auto"/>
              <w:left w:val="single" w:sz="4" w:space="0" w:color="auto"/>
              <w:bottom w:val="single" w:sz="4" w:space="0" w:color="auto"/>
              <w:right w:val="single" w:sz="4" w:space="0" w:color="auto"/>
            </w:tcBorders>
            <w:shd w:val="clear" w:color="auto" w:fill="FFC02F"/>
            <w:hideMark/>
          </w:tcPr>
          <w:p w14:paraId="306C5FBB" w14:textId="77777777" w:rsidR="004414E2" w:rsidRPr="00DD6668" w:rsidRDefault="004414E2">
            <w:pPr>
              <w:pStyle w:val="ListParagraph"/>
              <w:spacing w:after="0"/>
              <w:ind w:left="0"/>
              <w:jc w:val="center"/>
              <w:rPr>
                <w:rFonts w:ascii="Aptos" w:hAnsi="Aptos" w:cstheme="minorHAnsi"/>
                <w:b/>
              </w:rPr>
            </w:pPr>
            <w:r w:rsidRPr="00DD6668">
              <w:rPr>
                <w:rFonts w:ascii="Aptos" w:hAnsi="Aptos" w:cstheme="minorHAnsi"/>
                <w:b/>
              </w:rPr>
              <w:t xml:space="preserve">Total number of registered users </w:t>
            </w:r>
          </w:p>
        </w:tc>
      </w:tr>
      <w:tr w:rsidR="004414E2" w:rsidRPr="00DD6668" w14:paraId="18E40214" w14:textId="77777777" w:rsidTr="007D2C0C">
        <w:trPr>
          <w:trHeight w:val="61"/>
        </w:trPr>
        <w:tc>
          <w:tcPr>
            <w:tcW w:w="1666" w:type="pct"/>
            <w:tcBorders>
              <w:top w:val="single" w:sz="4" w:space="0" w:color="auto"/>
              <w:left w:val="single" w:sz="4" w:space="0" w:color="auto"/>
              <w:bottom w:val="single" w:sz="4" w:space="0" w:color="auto"/>
              <w:right w:val="single" w:sz="4" w:space="0" w:color="auto"/>
            </w:tcBorders>
            <w:hideMark/>
          </w:tcPr>
          <w:p w14:paraId="71AA9F5C" w14:textId="60E16CA7" w:rsidR="004414E2" w:rsidRPr="00DD6668" w:rsidRDefault="00190031">
            <w:pPr>
              <w:pStyle w:val="ListParagraph"/>
              <w:spacing w:after="0"/>
              <w:ind w:left="0"/>
              <w:jc w:val="center"/>
              <w:rPr>
                <w:rFonts w:ascii="Aptos" w:hAnsi="Aptos" w:cstheme="minorHAnsi"/>
              </w:rPr>
            </w:pPr>
            <w:r w:rsidRPr="00190031">
              <w:rPr>
                <w:rFonts w:ascii="Aptos" w:eastAsia="Times New Roman" w:hAnsi="Aptos"/>
                <w:color w:val="000000"/>
                <w:lang w:eastAsia="en-AU"/>
              </w:rPr>
              <w:t>1,210</w:t>
            </w:r>
          </w:p>
        </w:tc>
        <w:tc>
          <w:tcPr>
            <w:tcW w:w="1667" w:type="pct"/>
            <w:tcBorders>
              <w:top w:val="single" w:sz="4" w:space="0" w:color="auto"/>
              <w:left w:val="single" w:sz="4" w:space="0" w:color="auto"/>
              <w:bottom w:val="single" w:sz="4" w:space="0" w:color="auto"/>
              <w:right w:val="single" w:sz="4" w:space="0" w:color="auto"/>
            </w:tcBorders>
            <w:hideMark/>
          </w:tcPr>
          <w:p w14:paraId="39B076E5" w14:textId="16ECECD1" w:rsidR="004414E2" w:rsidRPr="00DD6668" w:rsidRDefault="00190031">
            <w:pPr>
              <w:pStyle w:val="ListParagraph"/>
              <w:spacing w:after="0"/>
              <w:ind w:left="0"/>
              <w:jc w:val="center"/>
              <w:rPr>
                <w:rFonts w:ascii="Aptos" w:hAnsi="Aptos" w:cstheme="minorHAnsi"/>
              </w:rPr>
            </w:pPr>
            <w:r w:rsidRPr="00190031">
              <w:rPr>
                <w:rFonts w:ascii="Aptos" w:eastAsia="Times New Roman" w:hAnsi="Aptos"/>
                <w:color w:val="000000"/>
                <w:lang w:eastAsia="en-AU"/>
              </w:rPr>
              <w:t>119</w:t>
            </w:r>
          </w:p>
        </w:tc>
        <w:tc>
          <w:tcPr>
            <w:tcW w:w="1667" w:type="pct"/>
            <w:tcBorders>
              <w:top w:val="single" w:sz="4" w:space="0" w:color="auto"/>
              <w:left w:val="single" w:sz="4" w:space="0" w:color="auto"/>
              <w:bottom w:val="single" w:sz="4" w:space="0" w:color="auto"/>
              <w:right w:val="single" w:sz="4" w:space="0" w:color="auto"/>
            </w:tcBorders>
            <w:hideMark/>
          </w:tcPr>
          <w:p w14:paraId="41CE0D60" w14:textId="27B123EC" w:rsidR="004414E2" w:rsidRPr="00DD6668" w:rsidRDefault="00190031">
            <w:pPr>
              <w:pStyle w:val="ListParagraph"/>
              <w:spacing w:after="0"/>
              <w:ind w:left="0"/>
              <w:jc w:val="center"/>
              <w:rPr>
                <w:rFonts w:ascii="Aptos" w:hAnsi="Aptos" w:cstheme="minorHAnsi"/>
              </w:rPr>
            </w:pPr>
            <w:r w:rsidRPr="00190031">
              <w:rPr>
                <w:rFonts w:ascii="Aptos" w:eastAsia="Times New Roman" w:hAnsi="Aptos"/>
                <w:color w:val="000000"/>
                <w:lang w:eastAsia="en-AU"/>
              </w:rPr>
              <w:t>26,436</w:t>
            </w:r>
          </w:p>
        </w:tc>
      </w:tr>
    </w:tbl>
    <w:p w14:paraId="7E3089CF" w14:textId="77777777" w:rsidR="004414E2" w:rsidRPr="00DD6668" w:rsidRDefault="004414E2" w:rsidP="00D063B9">
      <w:pPr>
        <w:pStyle w:val="ListParagraph"/>
        <w:spacing w:after="0"/>
        <w:rPr>
          <w:rFonts w:ascii="Aptos" w:hAnsi="Aptos" w:cstheme="minorHAnsi"/>
        </w:rPr>
      </w:pPr>
    </w:p>
    <w:p w14:paraId="53620132" w14:textId="77777777" w:rsidR="00190031" w:rsidRPr="00DD6668" w:rsidRDefault="00190031" w:rsidP="00D063B9">
      <w:pPr>
        <w:pStyle w:val="Heading3"/>
        <w:spacing w:before="0"/>
        <w:rPr>
          <w:rFonts w:ascii="Aptos" w:hAnsi="Aptos" w:cstheme="minorHAnsi"/>
          <w:b/>
          <w:color w:val="auto"/>
          <w:sz w:val="22"/>
          <w:szCs w:val="22"/>
        </w:rPr>
      </w:pPr>
    </w:p>
    <w:p w14:paraId="2723D485" w14:textId="1686FB43" w:rsidR="004414E2" w:rsidRPr="00DD6668" w:rsidRDefault="004414E2" w:rsidP="00D063B9">
      <w:pPr>
        <w:pStyle w:val="Heading3"/>
        <w:spacing w:before="0"/>
        <w:rPr>
          <w:rFonts w:ascii="Aptos" w:hAnsi="Aptos" w:cstheme="minorHAnsi"/>
          <w:b/>
          <w:color w:val="auto"/>
          <w:sz w:val="22"/>
          <w:szCs w:val="22"/>
        </w:rPr>
      </w:pPr>
      <w:r w:rsidRPr="00DD6668">
        <w:rPr>
          <w:rFonts w:ascii="Aptos" w:hAnsi="Aptos" w:cstheme="minorHAnsi"/>
          <w:b/>
          <w:color w:val="auto"/>
          <w:sz w:val="22"/>
          <w:szCs w:val="22"/>
        </w:rPr>
        <w:t>More information</w:t>
      </w:r>
    </w:p>
    <w:p w14:paraId="249CB1C8" w14:textId="3A1455BC" w:rsidR="004414E2" w:rsidRPr="00DD6668" w:rsidRDefault="004414E2" w:rsidP="004414E2">
      <w:pPr>
        <w:rPr>
          <w:rFonts w:ascii="Aptos" w:hAnsi="Aptos" w:cstheme="minorHAnsi"/>
        </w:rPr>
      </w:pPr>
      <w:r w:rsidRPr="00DD6668">
        <w:rPr>
          <w:rFonts w:ascii="Aptos" w:hAnsi="Aptos" w:cstheme="minorHAnsi"/>
        </w:rPr>
        <w:t xml:space="preserve">Annual reports on the issue and usage of immunoglobulin provide further information. For context and links, see: </w:t>
      </w:r>
      <w:hyperlink r:id="rId14" w:history="1">
        <w:r w:rsidR="001722D9" w:rsidRPr="00DD6668">
          <w:rPr>
            <w:rStyle w:val="Hyperlink"/>
            <w:rFonts w:ascii="Aptos" w:hAnsi="Aptos"/>
          </w:rPr>
          <w:t>Immunoglobulin usage and data | National Blood Authority</w:t>
        </w:r>
      </w:hyperlink>
      <w:r w:rsidR="001722D9" w:rsidRPr="00DD6668">
        <w:rPr>
          <w:rFonts w:ascii="Aptos" w:hAnsi="Aptos"/>
        </w:rPr>
        <w:t>.</w:t>
      </w:r>
    </w:p>
    <w:p w14:paraId="2A5D19BA" w14:textId="77777777" w:rsidR="004414E2" w:rsidRPr="00DD6668" w:rsidRDefault="004414E2" w:rsidP="004414E2">
      <w:pPr>
        <w:rPr>
          <w:rFonts w:ascii="Aptos" w:hAnsi="Aptos" w:cstheme="minorHAnsi"/>
        </w:rPr>
      </w:pPr>
      <w:r w:rsidRPr="00DD6668">
        <w:rPr>
          <w:rFonts w:ascii="Aptos" w:hAnsi="Aptos" w:cstheme="minorHAnsi"/>
        </w:rPr>
        <w:t>In addition:</w:t>
      </w:r>
    </w:p>
    <w:p w14:paraId="50B0C6C4" w14:textId="77777777" w:rsidR="004414E2" w:rsidRPr="00DD6668" w:rsidRDefault="004414E2" w:rsidP="004414E2">
      <w:pPr>
        <w:rPr>
          <w:rFonts w:ascii="Aptos" w:hAnsi="Aptos" w:cstheme="minorHAnsi"/>
        </w:rPr>
      </w:pPr>
      <w:r w:rsidRPr="00DD6668">
        <w:rPr>
          <w:rFonts w:ascii="Aptos" w:hAnsi="Aptos" w:cstheme="minorHAnsi"/>
        </w:rPr>
        <w:t>BloodSTAR Facility Administrators can access reports about their facility’s Ig usage through the reports function in BloodSTAR.</w:t>
      </w:r>
    </w:p>
    <w:p w14:paraId="28C63102" w14:textId="3929DFF2" w:rsidR="004414E2" w:rsidRPr="00DD6668" w:rsidRDefault="004414E2" w:rsidP="004414E2">
      <w:pPr>
        <w:rPr>
          <w:rFonts w:ascii="Aptos" w:hAnsi="Aptos" w:cstheme="minorHAnsi"/>
        </w:rPr>
      </w:pPr>
      <w:r w:rsidRPr="00DD6668">
        <w:rPr>
          <w:rFonts w:ascii="Aptos" w:hAnsi="Aptos" w:cstheme="minorHAnsi"/>
        </w:rPr>
        <w:t>Jurisdictional Reports are available to Jurisdictional Blood Committee (JBC) representatives and their nominees. These provide information on the Ig dispensed for each State and Territory</w:t>
      </w:r>
      <w:r w:rsidR="001722D9" w:rsidRPr="00DD6668">
        <w:rPr>
          <w:rFonts w:ascii="Aptos" w:hAnsi="Aptos" w:cstheme="minorHAnsi"/>
        </w:rPr>
        <w:t>.</w:t>
      </w:r>
    </w:p>
    <w:p w14:paraId="5652F177" w14:textId="715A8E5C" w:rsidR="004414E2" w:rsidRPr="00DD6668" w:rsidRDefault="004414E2" w:rsidP="004414E2">
      <w:pPr>
        <w:rPr>
          <w:rFonts w:ascii="Aptos" w:hAnsi="Aptos" w:cstheme="minorHAnsi"/>
        </w:rPr>
      </w:pPr>
      <w:r w:rsidRPr="00DD6668">
        <w:rPr>
          <w:rFonts w:ascii="Aptos" w:hAnsi="Aptos" w:cstheme="minorHAnsi"/>
        </w:rPr>
        <w:t xml:space="preserve">The NBA will also consider specific requests for data. All requests will be considered in line with the NBA’s Data and Information Governance Framework. More information, including about how to submit data requests, is available </w:t>
      </w:r>
      <w:hyperlink r:id="rId15" w:history="1">
        <w:r w:rsidRPr="00DD6668">
          <w:rPr>
            <w:rStyle w:val="Hyperlink"/>
            <w:rFonts w:ascii="Aptos" w:hAnsi="Aptos" w:cstheme="minorHAnsi"/>
          </w:rPr>
          <w:t>here</w:t>
        </w:r>
      </w:hyperlink>
      <w:r w:rsidRPr="00DD6668">
        <w:rPr>
          <w:rFonts w:ascii="Aptos" w:hAnsi="Aptos" w:cstheme="minorHAnsi"/>
        </w:rPr>
        <w:t>.</w:t>
      </w:r>
    </w:p>
    <w:p w14:paraId="37D763CC" w14:textId="107631FA" w:rsidR="008C54C7" w:rsidRPr="00DD6668" w:rsidRDefault="008C54C7">
      <w:pPr>
        <w:rPr>
          <w:rFonts w:ascii="Aptos" w:hAnsi="Aptos" w:cstheme="minorHAnsi"/>
        </w:rPr>
      </w:pPr>
    </w:p>
    <w:sectPr w:rsidR="008C54C7" w:rsidRPr="00DD6668" w:rsidSect="00A20E9A">
      <w:headerReference w:type="even" r:id="rId16"/>
      <w:headerReference w:type="default" r:id="rId17"/>
      <w:headerReference w:type="first" r:id="rId18"/>
      <w:pgSz w:w="16838" w:h="11906" w:orient="landscape"/>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77C52" w14:textId="77777777" w:rsidR="00723EF1" w:rsidRDefault="00723EF1" w:rsidP="00721BF9">
      <w:pPr>
        <w:spacing w:after="0"/>
      </w:pPr>
      <w:r>
        <w:separator/>
      </w:r>
    </w:p>
  </w:endnote>
  <w:endnote w:type="continuationSeparator" w:id="0">
    <w:p w14:paraId="62CD076F" w14:textId="77777777" w:rsidR="00723EF1" w:rsidRDefault="00723EF1" w:rsidP="00721B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0CB77" w14:textId="77777777" w:rsidR="00723EF1" w:rsidRDefault="00723EF1" w:rsidP="00721BF9">
      <w:pPr>
        <w:spacing w:after="0"/>
      </w:pPr>
      <w:r>
        <w:separator/>
      </w:r>
    </w:p>
  </w:footnote>
  <w:footnote w:type="continuationSeparator" w:id="0">
    <w:p w14:paraId="4CCF9129" w14:textId="77777777" w:rsidR="00723EF1" w:rsidRDefault="00723EF1" w:rsidP="00721B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F7A14" w14:textId="63C13EEE" w:rsidR="00721BF9" w:rsidRDefault="00721BF9">
    <w:pPr>
      <w:pStyle w:val="Header"/>
    </w:pPr>
    <w:r>
      <w:rPr>
        <w:noProof/>
      </w:rPr>
      <mc:AlternateContent>
        <mc:Choice Requires="wps">
          <w:drawing>
            <wp:anchor distT="0" distB="0" distL="0" distR="0" simplePos="0" relativeHeight="251659264" behindDoc="0" locked="0" layoutInCell="1" allowOverlap="1" wp14:anchorId="079819D0" wp14:editId="270393B1">
              <wp:simplePos x="635" y="635"/>
              <wp:positionH relativeFrom="column">
                <wp:align>center</wp:align>
              </wp:positionH>
              <wp:positionV relativeFrom="paragraph">
                <wp:posOffset>635</wp:posOffset>
              </wp:positionV>
              <wp:extent cx="443865" cy="443865"/>
              <wp:effectExtent l="0" t="0" r="635" b="10795"/>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5D7115" w14:textId="03C7D7F2" w:rsidR="00721BF9" w:rsidRPr="00721BF9" w:rsidRDefault="00721BF9">
                          <w:pPr>
                            <w:rPr>
                              <w:rFonts w:eastAsia="Calibri"/>
                              <w:color w:val="FF0000"/>
                              <w:sz w:val="24"/>
                              <w:szCs w:val="24"/>
                            </w:rPr>
                          </w:pPr>
                          <w:r w:rsidRPr="00721BF9">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079819D0" id="_x0000_t202" coordsize="21600,21600" o:spt="202" path="m,l,21600r21600,l21600,xe">
              <v:stroke joinstyle="miter"/>
              <v:path gradientshapeok="t" o:connecttype="rect"/>
            </v:shapetype>
            <v:shape id="Text Box 7"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85D7115" w14:textId="03C7D7F2" w:rsidR="00721BF9" w:rsidRPr="00721BF9" w:rsidRDefault="00721BF9">
                    <w:pPr>
                      <w:rPr>
                        <w:rFonts w:eastAsia="Calibri"/>
                        <w:color w:val="FF0000"/>
                        <w:sz w:val="24"/>
                        <w:szCs w:val="24"/>
                      </w:rPr>
                    </w:pPr>
                    <w:r w:rsidRPr="00721BF9">
                      <w:rPr>
                        <w:rFonts w:eastAsia="Calibri"/>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5405" w14:textId="40B69B9E" w:rsidR="00721BF9" w:rsidRDefault="00721BF9">
    <w:pPr>
      <w:pStyle w:val="Header"/>
    </w:pPr>
    <w:r>
      <w:rPr>
        <w:noProof/>
      </w:rPr>
      <mc:AlternateContent>
        <mc:Choice Requires="wps">
          <w:drawing>
            <wp:anchor distT="0" distB="0" distL="0" distR="0" simplePos="0" relativeHeight="251660288" behindDoc="0" locked="0" layoutInCell="1" allowOverlap="1" wp14:anchorId="387CC202" wp14:editId="46A9742E">
              <wp:simplePos x="635" y="635"/>
              <wp:positionH relativeFrom="column">
                <wp:align>center</wp:align>
              </wp:positionH>
              <wp:positionV relativeFrom="paragraph">
                <wp:posOffset>635</wp:posOffset>
              </wp:positionV>
              <wp:extent cx="443865" cy="443865"/>
              <wp:effectExtent l="0" t="0" r="635" b="10795"/>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C77C0B" w14:textId="18EE9BDF" w:rsidR="00721BF9" w:rsidRPr="00721BF9" w:rsidRDefault="00721BF9">
                          <w:pPr>
                            <w:rPr>
                              <w:rFonts w:eastAsia="Calibri"/>
                              <w:color w:val="FF0000"/>
                              <w:sz w:val="24"/>
                              <w:szCs w:val="24"/>
                            </w:rPr>
                          </w:pPr>
                          <w:r w:rsidRPr="00721BF9">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387CC202" id="_x0000_t202" coordsize="21600,21600" o:spt="202" path="m,l,21600r21600,l21600,xe">
              <v:stroke joinstyle="miter"/>
              <v:path gradientshapeok="t" o:connecttype="rect"/>
            </v:shapetype>
            <v:shape id="Text Box 8"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DC77C0B" w14:textId="18EE9BDF" w:rsidR="00721BF9" w:rsidRPr="00721BF9" w:rsidRDefault="00721BF9">
                    <w:pPr>
                      <w:rPr>
                        <w:rFonts w:eastAsia="Calibri"/>
                        <w:color w:val="FF0000"/>
                        <w:sz w:val="24"/>
                        <w:szCs w:val="24"/>
                      </w:rPr>
                    </w:pPr>
                    <w:r w:rsidRPr="00721BF9">
                      <w:rPr>
                        <w:rFonts w:eastAsia="Calibri"/>
                        <w:color w:val="FF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1B9F" w14:textId="673A8F77" w:rsidR="00721BF9" w:rsidRDefault="00721BF9">
    <w:pPr>
      <w:pStyle w:val="Header"/>
    </w:pPr>
    <w:r>
      <w:rPr>
        <w:noProof/>
      </w:rPr>
      <mc:AlternateContent>
        <mc:Choice Requires="wps">
          <w:drawing>
            <wp:anchor distT="0" distB="0" distL="0" distR="0" simplePos="0" relativeHeight="251658240" behindDoc="0" locked="0" layoutInCell="1" allowOverlap="1" wp14:anchorId="4C9EAA3C" wp14:editId="3D3719CF">
              <wp:simplePos x="635" y="635"/>
              <wp:positionH relativeFrom="column">
                <wp:align>center</wp:align>
              </wp:positionH>
              <wp:positionV relativeFrom="paragraph">
                <wp:posOffset>635</wp:posOffset>
              </wp:positionV>
              <wp:extent cx="443865" cy="443865"/>
              <wp:effectExtent l="0" t="0" r="635" b="1079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389C35" w14:textId="4ECD505B" w:rsidR="00721BF9" w:rsidRPr="00721BF9" w:rsidRDefault="00721BF9">
                          <w:pPr>
                            <w:rPr>
                              <w:rFonts w:eastAsia="Calibri"/>
                              <w:color w:val="FF0000"/>
                              <w:sz w:val="24"/>
                              <w:szCs w:val="24"/>
                            </w:rPr>
                          </w:pPr>
                          <w:r w:rsidRPr="00721BF9">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4C9EAA3C" id="_x0000_t202" coordsize="21600,21600" o:spt="202" path="m,l,21600r21600,l21600,xe">
              <v:stroke joinstyle="miter"/>
              <v:path gradientshapeok="t" o:connecttype="rect"/>
            </v:shapetype>
            <v:shape id="Text Box 6"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8389C35" w14:textId="4ECD505B" w:rsidR="00721BF9" w:rsidRPr="00721BF9" w:rsidRDefault="00721BF9">
                    <w:pPr>
                      <w:rPr>
                        <w:rFonts w:eastAsia="Calibri"/>
                        <w:color w:val="FF0000"/>
                        <w:sz w:val="24"/>
                        <w:szCs w:val="24"/>
                      </w:rPr>
                    </w:pPr>
                    <w:r w:rsidRPr="00721BF9">
                      <w:rPr>
                        <w:rFonts w:eastAsia="Calibri"/>
                        <w:color w:val="FF0000"/>
                        <w:sz w:val="24"/>
                        <w:szCs w:val="24"/>
                      </w:rPr>
                      <w:t>OFFICIAL</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E2"/>
    <w:rsid w:val="0005779E"/>
    <w:rsid w:val="000C0384"/>
    <w:rsid w:val="00113456"/>
    <w:rsid w:val="00124304"/>
    <w:rsid w:val="00130119"/>
    <w:rsid w:val="001564C7"/>
    <w:rsid w:val="001722D9"/>
    <w:rsid w:val="00190031"/>
    <w:rsid w:val="001D4F26"/>
    <w:rsid w:val="0020338B"/>
    <w:rsid w:val="00203C8A"/>
    <w:rsid w:val="00250722"/>
    <w:rsid w:val="0025727E"/>
    <w:rsid w:val="00311E9F"/>
    <w:rsid w:val="003225CD"/>
    <w:rsid w:val="0032490A"/>
    <w:rsid w:val="00387966"/>
    <w:rsid w:val="003C5F9F"/>
    <w:rsid w:val="003D28FD"/>
    <w:rsid w:val="003D4325"/>
    <w:rsid w:val="00421DB3"/>
    <w:rsid w:val="00423092"/>
    <w:rsid w:val="00430818"/>
    <w:rsid w:val="0043109F"/>
    <w:rsid w:val="0043158C"/>
    <w:rsid w:val="004414E2"/>
    <w:rsid w:val="00471740"/>
    <w:rsid w:val="00487313"/>
    <w:rsid w:val="004A6F8F"/>
    <w:rsid w:val="004B7BB4"/>
    <w:rsid w:val="00541A31"/>
    <w:rsid w:val="00541E1D"/>
    <w:rsid w:val="00557F75"/>
    <w:rsid w:val="005665A8"/>
    <w:rsid w:val="005A4625"/>
    <w:rsid w:val="005F1BFF"/>
    <w:rsid w:val="00642ED2"/>
    <w:rsid w:val="006E2974"/>
    <w:rsid w:val="00721BF9"/>
    <w:rsid w:val="00723EF1"/>
    <w:rsid w:val="007620F0"/>
    <w:rsid w:val="007C33E3"/>
    <w:rsid w:val="007D2C0C"/>
    <w:rsid w:val="008320E4"/>
    <w:rsid w:val="00871A3E"/>
    <w:rsid w:val="008922E5"/>
    <w:rsid w:val="008C45EB"/>
    <w:rsid w:val="008C54C7"/>
    <w:rsid w:val="008C5BC4"/>
    <w:rsid w:val="00975CB2"/>
    <w:rsid w:val="009B5C80"/>
    <w:rsid w:val="00A13EF8"/>
    <w:rsid w:val="00A20E9A"/>
    <w:rsid w:val="00A442F0"/>
    <w:rsid w:val="00A67373"/>
    <w:rsid w:val="00A9518E"/>
    <w:rsid w:val="00AC3269"/>
    <w:rsid w:val="00AF5311"/>
    <w:rsid w:val="00AF67F3"/>
    <w:rsid w:val="00B00FD0"/>
    <w:rsid w:val="00B06481"/>
    <w:rsid w:val="00B53E8C"/>
    <w:rsid w:val="00B8089C"/>
    <w:rsid w:val="00BC4C60"/>
    <w:rsid w:val="00C2272C"/>
    <w:rsid w:val="00C24A47"/>
    <w:rsid w:val="00D063B9"/>
    <w:rsid w:val="00DB3508"/>
    <w:rsid w:val="00DB7577"/>
    <w:rsid w:val="00DD6668"/>
    <w:rsid w:val="00E13B04"/>
    <w:rsid w:val="00E23297"/>
    <w:rsid w:val="00E405DC"/>
    <w:rsid w:val="00E40A78"/>
    <w:rsid w:val="00F23BA8"/>
    <w:rsid w:val="00F35BBA"/>
    <w:rsid w:val="00F63880"/>
    <w:rsid w:val="00F771B9"/>
    <w:rsid w:val="00F86E51"/>
    <w:rsid w:val="00FB0B7E"/>
    <w:rsid w:val="00FE1E50"/>
    <w:rsid w:val="00FE2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A3225"/>
  <w15:chartTrackingRefBased/>
  <w15:docId w15:val="{AB4C2F8A-B0FA-4814-9959-4A73CD03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4E2"/>
    <w:pPr>
      <w:spacing w:after="200" w:line="240" w:lineRule="auto"/>
    </w:pPr>
    <w:rPr>
      <w:rFonts w:ascii="Calibri" w:eastAsia="Dotum" w:hAnsi="Calibri" w:cs="Calibri"/>
    </w:rPr>
  </w:style>
  <w:style w:type="paragraph" w:styleId="Heading3">
    <w:name w:val="heading 3"/>
    <w:basedOn w:val="Normal"/>
    <w:next w:val="Normal"/>
    <w:link w:val="Heading3Char"/>
    <w:uiPriority w:val="9"/>
    <w:semiHidden/>
    <w:unhideWhenUsed/>
    <w:qFormat/>
    <w:rsid w:val="004414E2"/>
    <w:pPr>
      <w:spacing w:before="120" w:after="120"/>
      <w:outlineLvl w:val="2"/>
    </w:pPr>
    <w:rPr>
      <w:rFonts w:ascii="Arial" w:hAnsi="Arial" w:cs="Arial"/>
      <w:color w:val="C60C30"/>
      <w:sz w:val="28"/>
      <w:szCs w:val="28"/>
    </w:rPr>
  </w:style>
  <w:style w:type="paragraph" w:styleId="Heading4">
    <w:name w:val="heading 4"/>
    <w:basedOn w:val="Normal"/>
    <w:next w:val="Normal"/>
    <w:link w:val="Heading4Char"/>
    <w:uiPriority w:val="9"/>
    <w:semiHidden/>
    <w:unhideWhenUsed/>
    <w:qFormat/>
    <w:rsid w:val="004414E2"/>
    <w:pPr>
      <w:spacing w:after="0"/>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414E2"/>
    <w:rPr>
      <w:rFonts w:ascii="Arial" w:eastAsia="Dotum" w:hAnsi="Arial" w:cs="Arial"/>
      <w:color w:val="C60C30"/>
      <w:sz w:val="28"/>
      <w:szCs w:val="28"/>
    </w:rPr>
  </w:style>
  <w:style w:type="character" w:customStyle="1" w:styleId="Heading4Char">
    <w:name w:val="Heading 4 Char"/>
    <w:basedOn w:val="DefaultParagraphFont"/>
    <w:link w:val="Heading4"/>
    <w:uiPriority w:val="9"/>
    <w:semiHidden/>
    <w:rsid w:val="004414E2"/>
    <w:rPr>
      <w:rFonts w:ascii="Arial" w:eastAsia="Dotum" w:hAnsi="Arial" w:cs="Arial"/>
      <w:b/>
    </w:rPr>
  </w:style>
  <w:style w:type="character" w:styleId="Hyperlink">
    <w:name w:val="Hyperlink"/>
    <w:basedOn w:val="DefaultParagraphFont"/>
    <w:uiPriority w:val="99"/>
    <w:unhideWhenUsed/>
    <w:rsid w:val="004414E2"/>
    <w:rPr>
      <w:color w:val="0563C1" w:themeColor="hyperlink"/>
      <w:u w:val="single"/>
    </w:rPr>
  </w:style>
  <w:style w:type="paragraph" w:styleId="ListParagraph">
    <w:name w:val="List Paragraph"/>
    <w:basedOn w:val="Normal"/>
    <w:uiPriority w:val="34"/>
    <w:qFormat/>
    <w:rsid w:val="004414E2"/>
    <w:pPr>
      <w:ind w:left="720"/>
      <w:contextualSpacing/>
    </w:pPr>
  </w:style>
  <w:style w:type="table" w:styleId="TableGrid">
    <w:name w:val="Table Grid"/>
    <w:basedOn w:val="TableNormal"/>
    <w:uiPriority w:val="59"/>
    <w:rsid w:val="004414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414E2"/>
    <w:rPr>
      <w:i/>
      <w:iCs/>
    </w:rPr>
  </w:style>
  <w:style w:type="character" w:styleId="PlaceholderText">
    <w:name w:val="Placeholder Text"/>
    <w:basedOn w:val="DefaultParagraphFont"/>
    <w:uiPriority w:val="99"/>
    <w:semiHidden/>
    <w:rsid w:val="004414E2"/>
    <w:rPr>
      <w:color w:val="808080"/>
    </w:rPr>
  </w:style>
  <w:style w:type="paragraph" w:styleId="Header">
    <w:name w:val="header"/>
    <w:basedOn w:val="Normal"/>
    <w:link w:val="HeaderChar"/>
    <w:uiPriority w:val="99"/>
    <w:unhideWhenUsed/>
    <w:rsid w:val="00721BF9"/>
    <w:pPr>
      <w:tabs>
        <w:tab w:val="center" w:pos="4513"/>
        <w:tab w:val="right" w:pos="9026"/>
      </w:tabs>
      <w:spacing w:after="0"/>
    </w:pPr>
  </w:style>
  <w:style w:type="character" w:customStyle="1" w:styleId="HeaderChar">
    <w:name w:val="Header Char"/>
    <w:basedOn w:val="DefaultParagraphFont"/>
    <w:link w:val="Header"/>
    <w:uiPriority w:val="99"/>
    <w:rsid w:val="00721BF9"/>
    <w:rPr>
      <w:rFonts w:ascii="Calibri" w:eastAsia="Dotum" w:hAnsi="Calibri" w:cs="Calibri"/>
    </w:rPr>
  </w:style>
  <w:style w:type="paragraph" w:styleId="Footer">
    <w:name w:val="footer"/>
    <w:basedOn w:val="Normal"/>
    <w:link w:val="FooterChar"/>
    <w:uiPriority w:val="99"/>
    <w:unhideWhenUsed/>
    <w:rsid w:val="00721BF9"/>
    <w:pPr>
      <w:tabs>
        <w:tab w:val="center" w:pos="4513"/>
        <w:tab w:val="right" w:pos="9026"/>
      </w:tabs>
      <w:spacing w:after="0"/>
    </w:pPr>
  </w:style>
  <w:style w:type="character" w:customStyle="1" w:styleId="FooterChar">
    <w:name w:val="Footer Char"/>
    <w:basedOn w:val="DefaultParagraphFont"/>
    <w:link w:val="Footer"/>
    <w:uiPriority w:val="99"/>
    <w:rsid w:val="00721BF9"/>
    <w:rPr>
      <w:rFonts w:ascii="Calibri" w:eastAsia="Dotum" w:hAnsi="Calibri" w:cs="Calibri"/>
    </w:rPr>
  </w:style>
  <w:style w:type="character" w:styleId="UnresolvedMention">
    <w:name w:val="Unresolved Mention"/>
    <w:basedOn w:val="DefaultParagraphFont"/>
    <w:uiPriority w:val="99"/>
    <w:semiHidden/>
    <w:unhideWhenUsed/>
    <w:rsid w:val="007D2C0C"/>
    <w:rPr>
      <w:color w:val="605E5C"/>
      <w:shd w:val="clear" w:color="auto" w:fill="E1DFDD"/>
    </w:rPr>
  </w:style>
  <w:style w:type="paragraph" w:styleId="Revision">
    <w:name w:val="Revision"/>
    <w:hidden/>
    <w:uiPriority w:val="99"/>
    <w:semiHidden/>
    <w:rsid w:val="003D28FD"/>
    <w:pPr>
      <w:spacing w:after="0" w:line="240" w:lineRule="auto"/>
    </w:pPr>
    <w:rPr>
      <w:rFonts w:ascii="Calibri" w:eastAsia="Dotum" w:hAnsi="Calibri" w:cs="Calibri"/>
    </w:rPr>
  </w:style>
  <w:style w:type="character" w:styleId="CommentReference">
    <w:name w:val="annotation reference"/>
    <w:basedOn w:val="DefaultParagraphFont"/>
    <w:uiPriority w:val="99"/>
    <w:semiHidden/>
    <w:unhideWhenUsed/>
    <w:rsid w:val="003D28FD"/>
    <w:rPr>
      <w:sz w:val="16"/>
      <w:szCs w:val="16"/>
    </w:rPr>
  </w:style>
  <w:style w:type="paragraph" w:styleId="CommentText">
    <w:name w:val="annotation text"/>
    <w:basedOn w:val="Normal"/>
    <w:link w:val="CommentTextChar"/>
    <w:uiPriority w:val="99"/>
    <w:unhideWhenUsed/>
    <w:rsid w:val="003D28FD"/>
    <w:rPr>
      <w:sz w:val="20"/>
      <w:szCs w:val="20"/>
    </w:rPr>
  </w:style>
  <w:style w:type="character" w:customStyle="1" w:styleId="CommentTextChar">
    <w:name w:val="Comment Text Char"/>
    <w:basedOn w:val="DefaultParagraphFont"/>
    <w:link w:val="CommentText"/>
    <w:uiPriority w:val="99"/>
    <w:rsid w:val="003D28FD"/>
    <w:rPr>
      <w:rFonts w:ascii="Calibri" w:eastAsia="Dotum" w:hAnsi="Calibri" w:cs="Calibri"/>
      <w:sz w:val="20"/>
      <w:szCs w:val="20"/>
    </w:rPr>
  </w:style>
  <w:style w:type="paragraph" w:styleId="CommentSubject">
    <w:name w:val="annotation subject"/>
    <w:basedOn w:val="CommentText"/>
    <w:next w:val="CommentText"/>
    <w:link w:val="CommentSubjectChar"/>
    <w:uiPriority w:val="99"/>
    <w:semiHidden/>
    <w:unhideWhenUsed/>
    <w:rsid w:val="003D28FD"/>
    <w:rPr>
      <w:b/>
      <w:bCs/>
    </w:rPr>
  </w:style>
  <w:style w:type="character" w:customStyle="1" w:styleId="CommentSubjectChar">
    <w:name w:val="Comment Subject Char"/>
    <w:basedOn w:val="CommentTextChar"/>
    <w:link w:val="CommentSubject"/>
    <w:uiPriority w:val="99"/>
    <w:semiHidden/>
    <w:rsid w:val="003D28FD"/>
    <w:rPr>
      <w:rFonts w:ascii="Calibri" w:eastAsia="Dotum" w:hAnsi="Calibri" w:cs="Calibri"/>
      <w:b/>
      <w:bCs/>
      <w:sz w:val="20"/>
      <w:szCs w:val="20"/>
    </w:rPr>
  </w:style>
  <w:style w:type="character" w:styleId="FollowedHyperlink">
    <w:name w:val="FollowedHyperlink"/>
    <w:basedOn w:val="DefaultParagraphFont"/>
    <w:uiPriority w:val="99"/>
    <w:semiHidden/>
    <w:unhideWhenUsed/>
    <w:rsid w:val="003D28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45730">
      <w:bodyDiv w:val="1"/>
      <w:marLeft w:val="0"/>
      <w:marRight w:val="0"/>
      <w:marTop w:val="0"/>
      <w:marBottom w:val="0"/>
      <w:divBdr>
        <w:top w:val="none" w:sz="0" w:space="0" w:color="auto"/>
        <w:left w:val="none" w:sz="0" w:space="0" w:color="auto"/>
        <w:bottom w:val="none" w:sz="0" w:space="0" w:color="auto"/>
        <w:right w:val="none" w:sz="0" w:space="0" w:color="auto"/>
      </w:divBdr>
    </w:div>
    <w:div w:id="211852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yperlink" Target="https://www.blood.gov.au/data-and-research/data-and-reporting" TargetMode="Externa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www.blood.gov.au/blood-products/immunoglobulin-products/immunoglobulin-usage-and-data"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nba.local\Data\Restricted\Data\IgGovernance\Data\2023-24%20Data\Monthly%20Reports\Monthly%20Dashboards\Monthly%20Dashboard%20June%20202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nba.local\Data\Restricted\Data\IgGovernance\Data\2023-24%20Data\Monthly%20Reports\Monthly%20Dashboards\Monthly%20Dashboard%20June%20202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nba.local\Data\Restricted\Data\IgGovernance\Data\2023-24%20Data\Monthly%20Reports\Monthly%20Dashboards\Monthly%20Dashboard%20June%202024.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nba.local\Data\Restricted\Data\IgGovernance\Data\2023-24%20Data\Monthly%20Reports\Monthly%20Dashboards\Monthly%20Dashboard%20June%202024.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nba.local\Data\Restricted\Data\IgGovernance\Data\2023-24%20Data\Monthly%20Reports\Monthly%20Dashboards\Monthly%20Dashboard%20June%202024.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nba.local\Data\Restricted\Data\IgGovernance\Data\2023-24%20Data\Monthly%20Reports\Monthly%20Dashboards\Monthly%20Dashboard%20June%202024.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nba.local\Data\Restricted\Data\IgGovernance\Data\2023-24%20Data\Monthly%20Reports\Monthly%20Dashboards\Monthly%20Dashboard%20June%202024.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'Dashboard - Issue Variation'!$A$1</c:f>
          <c:strCache>
            <c:ptCount val="1"/>
            <c:pt idx="0">
              <c:v>Year to Date June 2024 - % Variation Year on Year by Jurisdiction</c:v>
            </c:pt>
          </c:strCache>
        </c:strRef>
      </c:tx>
      <c:layout>
        <c:manualLayout>
          <c:xMode val="edge"/>
          <c:yMode val="edge"/>
          <c:x val="0.14362040000767207"/>
          <c:y val="8.0531507952486415E-3"/>
        </c:manualLayout>
      </c:layout>
      <c:overlay val="0"/>
      <c:txPr>
        <a:bodyPr/>
        <a:lstStyle/>
        <a:p>
          <a:pPr algn="ctr">
            <a:defRPr>
              <a:latin typeface="Aptos" panose="020B0004020202020204" pitchFamily="34" charset="0"/>
            </a:defRPr>
          </a:pPr>
          <a:endParaRPr lang="en-US"/>
        </a:p>
      </c:txPr>
    </c:title>
    <c:autoTitleDeleted val="0"/>
    <c:plotArea>
      <c:layout>
        <c:manualLayout>
          <c:layoutTarget val="inner"/>
          <c:xMode val="edge"/>
          <c:yMode val="edge"/>
          <c:x val="0.11510041936834126"/>
          <c:y val="0.16901566084187131"/>
          <c:w val="0.62222516819299289"/>
          <c:h val="0.7151527641488945"/>
        </c:manualLayout>
      </c:layout>
      <c:barChart>
        <c:barDir val="bar"/>
        <c:grouping val="clustered"/>
        <c:varyColors val="0"/>
        <c:ser>
          <c:idx val="0"/>
          <c:order val="0"/>
          <c:tx>
            <c:strRef>
              <c:f>'Dashboard - Issue Variation'!$B$80</c:f>
              <c:strCache>
                <c:ptCount val="1"/>
                <c:pt idx="0">
                  <c:v>% Variation 2022-23 to 2021-22</c:v>
                </c:pt>
              </c:strCache>
            </c:strRef>
          </c:tx>
          <c:spPr>
            <a:solidFill>
              <a:schemeClr val="bg1">
                <a:lumMod val="65000"/>
              </a:schemeClr>
            </a:solidFill>
            <a:ln>
              <a:solidFill>
                <a:schemeClr val="tx1">
                  <a:lumMod val="50000"/>
                  <a:lumOff val="50000"/>
                </a:schemeClr>
              </a:solidFill>
            </a:ln>
          </c:spPr>
          <c:invertIfNegative val="0"/>
          <c:cat>
            <c:strRef>
              <c:f>'Dashboard - Issue Variation'!$C$3:$K$3</c:f>
              <c:strCache>
                <c:ptCount val="9"/>
                <c:pt idx="0">
                  <c:v>NSW</c:v>
                </c:pt>
                <c:pt idx="1">
                  <c:v>VIC</c:v>
                </c:pt>
                <c:pt idx="2">
                  <c:v>QLD</c:v>
                </c:pt>
                <c:pt idx="3">
                  <c:v>SA</c:v>
                </c:pt>
                <c:pt idx="4">
                  <c:v>WA</c:v>
                </c:pt>
                <c:pt idx="5">
                  <c:v>TAS</c:v>
                </c:pt>
                <c:pt idx="6">
                  <c:v>NT</c:v>
                </c:pt>
                <c:pt idx="7">
                  <c:v>ACT</c:v>
                </c:pt>
                <c:pt idx="8">
                  <c:v>National</c:v>
                </c:pt>
              </c:strCache>
            </c:strRef>
          </c:cat>
          <c:val>
            <c:numRef>
              <c:f>'Dashboard - Issue Variation'!$C$117:$K$117</c:f>
              <c:numCache>
                <c:formatCode>0%</c:formatCode>
                <c:ptCount val="9"/>
                <c:pt idx="0">
                  <c:v>6.4759614755135697E-2</c:v>
                </c:pt>
                <c:pt idx="1">
                  <c:v>9.5400113528897518E-2</c:v>
                </c:pt>
                <c:pt idx="2">
                  <c:v>5.7296539365648068E-2</c:v>
                </c:pt>
                <c:pt idx="3">
                  <c:v>0.10638365201718428</c:v>
                </c:pt>
                <c:pt idx="4">
                  <c:v>8.8108820082709469E-2</c:v>
                </c:pt>
                <c:pt idx="5">
                  <c:v>0.13436795685048547</c:v>
                </c:pt>
                <c:pt idx="6">
                  <c:v>0.11281189098310357</c:v>
                </c:pt>
                <c:pt idx="7">
                  <c:v>0.13586922992178022</c:v>
                </c:pt>
                <c:pt idx="8">
                  <c:v>7.8588431577779547E-2</c:v>
                </c:pt>
              </c:numCache>
            </c:numRef>
          </c:val>
          <c:extLst>
            <c:ext xmlns:c16="http://schemas.microsoft.com/office/drawing/2014/chart" uri="{C3380CC4-5D6E-409C-BE32-E72D297353CC}">
              <c16:uniqueId val="{00000000-AC9A-455D-8F74-E91E56F76597}"/>
            </c:ext>
          </c:extLst>
        </c:ser>
        <c:ser>
          <c:idx val="1"/>
          <c:order val="1"/>
          <c:tx>
            <c:strRef>
              <c:f>'Dashboard - Issue Variation'!$B$81</c:f>
              <c:strCache>
                <c:ptCount val="1"/>
                <c:pt idx="0">
                  <c:v>% Variation 2023-24 to 2022-23</c:v>
                </c:pt>
              </c:strCache>
            </c:strRef>
          </c:tx>
          <c:spPr>
            <a:pattFill prst="lgConfetti">
              <a:fgClr>
                <a:srgbClr val="FFC02F"/>
              </a:fgClr>
              <a:bgClr>
                <a:srgbClr val="FFD49F"/>
              </a:bgClr>
            </a:pattFill>
            <a:ln>
              <a:solidFill>
                <a:schemeClr val="tx1">
                  <a:lumMod val="50000"/>
                  <a:lumOff val="50000"/>
                </a:schemeClr>
              </a:solidFill>
            </a:ln>
          </c:spPr>
          <c:invertIfNegative val="0"/>
          <c:cat>
            <c:strRef>
              <c:f>'Dashboard - Issue Variation'!$C$3:$K$3</c:f>
              <c:strCache>
                <c:ptCount val="9"/>
                <c:pt idx="0">
                  <c:v>NSW</c:v>
                </c:pt>
                <c:pt idx="1">
                  <c:v>VIC</c:v>
                </c:pt>
                <c:pt idx="2">
                  <c:v>QLD</c:v>
                </c:pt>
                <c:pt idx="3">
                  <c:v>SA</c:v>
                </c:pt>
                <c:pt idx="4">
                  <c:v>WA</c:v>
                </c:pt>
                <c:pt idx="5">
                  <c:v>TAS</c:v>
                </c:pt>
                <c:pt idx="6">
                  <c:v>NT</c:v>
                </c:pt>
                <c:pt idx="7">
                  <c:v>ACT</c:v>
                </c:pt>
                <c:pt idx="8">
                  <c:v>National</c:v>
                </c:pt>
              </c:strCache>
            </c:strRef>
          </c:cat>
          <c:val>
            <c:numRef>
              <c:f>'Dashboard - Issue Variation'!$C$129:$K$129</c:f>
              <c:numCache>
                <c:formatCode>0%</c:formatCode>
                <c:ptCount val="9"/>
                <c:pt idx="0">
                  <c:v>7.14254457621534E-2</c:v>
                </c:pt>
                <c:pt idx="1">
                  <c:v>8.9729169560910399E-2</c:v>
                </c:pt>
                <c:pt idx="2">
                  <c:v>2.4678277954600526E-2</c:v>
                </c:pt>
                <c:pt idx="3">
                  <c:v>7.0086556345772807E-2</c:v>
                </c:pt>
                <c:pt idx="4">
                  <c:v>9.352636948656215E-2</c:v>
                </c:pt>
                <c:pt idx="5">
                  <c:v>0.14464276683519081</c:v>
                </c:pt>
                <c:pt idx="6">
                  <c:v>4.3298833851108907E-2</c:v>
                </c:pt>
                <c:pt idx="7">
                  <c:v>7.7086132924550618E-2</c:v>
                </c:pt>
                <c:pt idx="8">
                  <c:v>6.6368014656190702E-2</c:v>
                </c:pt>
              </c:numCache>
            </c:numRef>
          </c:val>
          <c:extLst>
            <c:ext xmlns:c16="http://schemas.microsoft.com/office/drawing/2014/chart" uri="{C3380CC4-5D6E-409C-BE32-E72D297353CC}">
              <c16:uniqueId val="{00000001-AC9A-455D-8F74-E91E56F76597}"/>
            </c:ext>
          </c:extLst>
        </c:ser>
        <c:dLbls>
          <c:showLegendKey val="0"/>
          <c:showVal val="0"/>
          <c:showCatName val="0"/>
          <c:showSerName val="0"/>
          <c:showPercent val="0"/>
          <c:showBubbleSize val="0"/>
        </c:dLbls>
        <c:gapWidth val="150"/>
        <c:axId val="237708288"/>
        <c:axId val="236456192"/>
      </c:barChart>
      <c:catAx>
        <c:axId val="237708288"/>
        <c:scaling>
          <c:orientation val="minMax"/>
        </c:scaling>
        <c:delete val="0"/>
        <c:axPos val="l"/>
        <c:numFmt formatCode="General" sourceLinked="0"/>
        <c:majorTickMark val="out"/>
        <c:minorTickMark val="none"/>
        <c:tickLblPos val="nextTo"/>
        <c:txPr>
          <a:bodyPr/>
          <a:lstStyle/>
          <a:p>
            <a:pPr>
              <a:defRPr sz="1200" b="1"/>
            </a:pPr>
            <a:endParaRPr lang="en-US"/>
          </a:p>
        </c:txPr>
        <c:crossAx val="236456192"/>
        <c:crosses val="autoZero"/>
        <c:auto val="1"/>
        <c:lblAlgn val="ctr"/>
        <c:lblOffset val="100"/>
        <c:noMultiLvlLbl val="0"/>
      </c:catAx>
      <c:valAx>
        <c:axId val="236456192"/>
        <c:scaling>
          <c:orientation val="minMax"/>
        </c:scaling>
        <c:delete val="0"/>
        <c:axPos val="b"/>
        <c:majorGridlines/>
        <c:numFmt formatCode="0%" sourceLinked="1"/>
        <c:majorTickMark val="out"/>
        <c:minorTickMark val="none"/>
        <c:tickLblPos val="nextTo"/>
        <c:txPr>
          <a:bodyPr/>
          <a:lstStyle/>
          <a:p>
            <a:pPr>
              <a:defRPr sz="1200" b="1"/>
            </a:pPr>
            <a:endParaRPr lang="en-US"/>
          </a:p>
        </c:txPr>
        <c:crossAx val="237708288"/>
        <c:crosses val="autoZero"/>
        <c:crossBetween val="between"/>
      </c:valAx>
    </c:plotArea>
    <c:legend>
      <c:legendPos val="r"/>
      <c:layout>
        <c:manualLayout>
          <c:xMode val="edge"/>
          <c:yMode val="edge"/>
          <c:x val="0.74514183721016825"/>
          <c:y val="0.40329767013470003"/>
          <c:w val="0.25199242271245681"/>
          <c:h val="0.16511812608887952"/>
        </c:manualLayout>
      </c:layout>
      <c:overlay val="0"/>
      <c:txPr>
        <a:bodyPr/>
        <a:lstStyle/>
        <a:p>
          <a:pPr>
            <a:defRPr sz="1200" b="1"/>
          </a:pPr>
          <a:endParaRPr lang="en-US"/>
        </a:p>
      </c:txPr>
    </c:legend>
    <c:plotVisOnly val="1"/>
    <c:dispBlanksAs val="gap"/>
    <c:showDLblsOverMax val="0"/>
  </c:chart>
  <c:spPr>
    <a:ln w="25400"/>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'Dashboard - Per 1000 Pop'!$A$1</c:f>
          <c:strCache>
            <c:ptCount val="1"/>
            <c:pt idx="0">
              <c:v>Jurisdiction Ig Issues per 1000 population April 2024 - June 2024</c:v>
            </c:pt>
          </c:strCache>
        </c:strRef>
      </c:tx>
      <c:layout>
        <c:manualLayout>
          <c:xMode val="edge"/>
          <c:yMode val="edge"/>
          <c:x val="0.1447864403108087"/>
          <c:y val="8.6547853034450327E-4"/>
        </c:manualLayout>
      </c:layout>
      <c:overlay val="0"/>
      <c:txPr>
        <a:bodyPr/>
        <a:lstStyle/>
        <a:p>
          <a:pPr algn="ctr">
            <a:defRPr>
              <a:latin typeface="Aptos" panose="020B0004020202020204" pitchFamily="34" charset="0"/>
            </a:defRPr>
          </a:pPr>
          <a:endParaRPr lang="en-US"/>
        </a:p>
      </c:txPr>
    </c:title>
    <c:autoTitleDeleted val="0"/>
    <c:plotArea>
      <c:layout>
        <c:manualLayout>
          <c:layoutTarget val="inner"/>
          <c:xMode val="edge"/>
          <c:yMode val="edge"/>
          <c:x val="7.1903488145852582E-2"/>
          <c:y val="0.10884986146361826"/>
          <c:w val="0.86448991327267644"/>
          <c:h val="0.81767838002680904"/>
        </c:manualLayout>
      </c:layout>
      <c:barChart>
        <c:barDir val="col"/>
        <c:grouping val="clustered"/>
        <c:varyColors val="0"/>
        <c:ser>
          <c:idx val="0"/>
          <c:order val="0"/>
          <c:tx>
            <c:strRef>
              <c:f>'Dashboard - Per 1000 Pop'!$B$37</c:f>
              <c:strCache>
                <c:ptCount val="1"/>
                <c:pt idx="0">
                  <c:v>Apr-24</c:v>
                </c:pt>
              </c:strCache>
            </c:strRef>
          </c:tx>
          <c:spPr>
            <a:solidFill>
              <a:schemeClr val="bg1">
                <a:lumMod val="75000"/>
              </a:schemeClr>
            </a:solidFill>
            <a:ln>
              <a:solidFill>
                <a:schemeClr val="tx1">
                  <a:tint val="75000"/>
                  <a:shade val="95000"/>
                  <a:satMod val="105000"/>
                </a:schemeClr>
              </a:solidFill>
            </a:ln>
          </c:spPr>
          <c:invertIfNegative val="0"/>
          <c:cat>
            <c:strRef>
              <c:f>'Dashboard - Per 1000 Pop'!$N$3:$V$3</c:f>
              <c:strCache>
                <c:ptCount val="9"/>
                <c:pt idx="0">
                  <c:v>NSW</c:v>
                </c:pt>
                <c:pt idx="1">
                  <c:v>VIC</c:v>
                </c:pt>
                <c:pt idx="2">
                  <c:v>QLD</c:v>
                </c:pt>
                <c:pt idx="3">
                  <c:v>SA</c:v>
                </c:pt>
                <c:pt idx="4">
                  <c:v>WA</c:v>
                </c:pt>
                <c:pt idx="5">
                  <c:v>TAS</c:v>
                </c:pt>
                <c:pt idx="6">
                  <c:v>NT</c:v>
                </c:pt>
                <c:pt idx="7">
                  <c:v>ACT</c:v>
                </c:pt>
                <c:pt idx="8">
                  <c:v>National</c:v>
                </c:pt>
              </c:strCache>
            </c:strRef>
          </c:cat>
          <c:val>
            <c:numRef>
              <c:f>'Dashboard - Per 1000 Pop'!$N$37:$V$37</c:f>
              <c:numCache>
                <c:formatCode>_(* #,##0.00_);_(* \(#,##0.00\);_(* "-"??_);_(@_)</c:formatCode>
                <c:ptCount val="9"/>
                <c:pt idx="0">
                  <c:v>32.195841159090122</c:v>
                </c:pt>
                <c:pt idx="1">
                  <c:v>25.971194811220077</c:v>
                </c:pt>
                <c:pt idx="2">
                  <c:v>32.326711396576016</c:v>
                </c:pt>
                <c:pt idx="3">
                  <c:v>23.779441659995779</c:v>
                </c:pt>
                <c:pt idx="4">
                  <c:v>23.571598367150656</c:v>
                </c:pt>
                <c:pt idx="5">
                  <c:v>34.02093247840196</c:v>
                </c:pt>
                <c:pt idx="6">
                  <c:v>14.49332502740169</c:v>
                </c:pt>
                <c:pt idx="7">
                  <c:v>39.580462410044404</c:v>
                </c:pt>
                <c:pt idx="8">
                  <c:v>29.110332800097442</c:v>
                </c:pt>
              </c:numCache>
            </c:numRef>
          </c:val>
          <c:extLst>
            <c:ext xmlns:c16="http://schemas.microsoft.com/office/drawing/2014/chart" uri="{C3380CC4-5D6E-409C-BE32-E72D297353CC}">
              <c16:uniqueId val="{00000000-8E03-4743-A643-613CDDD03E26}"/>
            </c:ext>
          </c:extLst>
        </c:ser>
        <c:ser>
          <c:idx val="1"/>
          <c:order val="1"/>
          <c:tx>
            <c:strRef>
              <c:f>'Dashboard - Per 1000 Pop'!$B$38</c:f>
              <c:strCache>
                <c:ptCount val="1"/>
                <c:pt idx="0">
                  <c:v>May-24</c:v>
                </c:pt>
              </c:strCache>
            </c:strRef>
          </c:tx>
          <c:spPr>
            <a:solidFill>
              <a:schemeClr val="bg1">
                <a:lumMod val="50000"/>
              </a:schemeClr>
            </a:solidFill>
          </c:spPr>
          <c:invertIfNegative val="0"/>
          <c:cat>
            <c:strRef>
              <c:f>'Dashboard - Per 1000 Pop'!$N$3:$V$3</c:f>
              <c:strCache>
                <c:ptCount val="9"/>
                <c:pt idx="0">
                  <c:v>NSW</c:v>
                </c:pt>
                <c:pt idx="1">
                  <c:v>VIC</c:v>
                </c:pt>
                <c:pt idx="2">
                  <c:v>QLD</c:v>
                </c:pt>
                <c:pt idx="3">
                  <c:v>SA</c:v>
                </c:pt>
                <c:pt idx="4">
                  <c:v>WA</c:v>
                </c:pt>
                <c:pt idx="5">
                  <c:v>TAS</c:v>
                </c:pt>
                <c:pt idx="6">
                  <c:v>NT</c:v>
                </c:pt>
                <c:pt idx="7">
                  <c:v>ACT</c:v>
                </c:pt>
                <c:pt idx="8">
                  <c:v>National</c:v>
                </c:pt>
              </c:strCache>
            </c:strRef>
          </c:cat>
          <c:val>
            <c:numRef>
              <c:f>'Dashboard - Per 1000 Pop'!$N$38:$V$38</c:f>
              <c:numCache>
                <c:formatCode>_(* #,##0.00_);_(* \(#,##0.00\);_(* "-"??_);_(@_)</c:formatCode>
                <c:ptCount val="9"/>
                <c:pt idx="0">
                  <c:v>34.824252135865493</c:v>
                </c:pt>
                <c:pt idx="1">
                  <c:v>28.614194832361179</c:v>
                </c:pt>
                <c:pt idx="2">
                  <c:v>34.35165870399031</c:v>
                </c:pt>
                <c:pt idx="3">
                  <c:v>25.651041248061691</c:v>
                </c:pt>
                <c:pt idx="4">
                  <c:v>25.098296109687254</c:v>
                </c:pt>
                <c:pt idx="5">
                  <c:v>39.756048755448447</c:v>
                </c:pt>
                <c:pt idx="6">
                  <c:v>16.419328638904876</c:v>
                </c:pt>
                <c:pt idx="7">
                  <c:v>44.954405484952112</c:v>
                </c:pt>
                <c:pt idx="8">
                  <c:v>31.554216278059467</c:v>
                </c:pt>
              </c:numCache>
            </c:numRef>
          </c:val>
          <c:extLst>
            <c:ext xmlns:c16="http://schemas.microsoft.com/office/drawing/2014/chart" uri="{C3380CC4-5D6E-409C-BE32-E72D297353CC}">
              <c16:uniqueId val="{00000001-8E03-4743-A643-613CDDD03E26}"/>
            </c:ext>
          </c:extLst>
        </c:ser>
        <c:ser>
          <c:idx val="2"/>
          <c:order val="2"/>
          <c:tx>
            <c:strRef>
              <c:f>'Dashboard - Per 1000 Pop'!$B$39</c:f>
              <c:strCache>
                <c:ptCount val="1"/>
                <c:pt idx="0">
                  <c:v>Jun-24</c:v>
                </c:pt>
              </c:strCache>
            </c:strRef>
          </c:tx>
          <c:spPr>
            <a:pattFill prst="lgConfetti">
              <a:fgClr>
                <a:srgbClr val="FFC02F"/>
              </a:fgClr>
              <a:bgClr>
                <a:srgbClr val="FFD49F"/>
              </a:bgClr>
            </a:pattFill>
            <a:ln>
              <a:solidFill>
                <a:schemeClr val="tx1">
                  <a:tint val="75000"/>
                  <a:shade val="95000"/>
                  <a:satMod val="105000"/>
                </a:schemeClr>
              </a:solidFill>
            </a:ln>
          </c:spPr>
          <c:invertIfNegative val="0"/>
          <c:cat>
            <c:strRef>
              <c:f>'Dashboard - Per 1000 Pop'!$N$3:$V$3</c:f>
              <c:strCache>
                <c:ptCount val="9"/>
                <c:pt idx="0">
                  <c:v>NSW</c:v>
                </c:pt>
                <c:pt idx="1">
                  <c:v>VIC</c:v>
                </c:pt>
                <c:pt idx="2">
                  <c:v>QLD</c:v>
                </c:pt>
                <c:pt idx="3">
                  <c:v>SA</c:v>
                </c:pt>
                <c:pt idx="4">
                  <c:v>WA</c:v>
                </c:pt>
                <c:pt idx="5">
                  <c:v>TAS</c:v>
                </c:pt>
                <c:pt idx="6">
                  <c:v>NT</c:v>
                </c:pt>
                <c:pt idx="7">
                  <c:v>ACT</c:v>
                </c:pt>
                <c:pt idx="8">
                  <c:v>National</c:v>
                </c:pt>
              </c:strCache>
            </c:strRef>
          </c:cat>
          <c:val>
            <c:numRef>
              <c:f>'Dashboard - Per 1000 Pop'!$N$39:$V$39</c:f>
              <c:numCache>
                <c:formatCode>_(* #,##0.00_);_(* \(#,##0.00\);_(* "-"??_);_(@_)</c:formatCode>
                <c:ptCount val="9"/>
                <c:pt idx="0">
                  <c:v>30.248540739895912</c:v>
                </c:pt>
                <c:pt idx="1">
                  <c:v>24.193532038474491</c:v>
                </c:pt>
                <c:pt idx="2">
                  <c:v>30.369958750369914</c:v>
                </c:pt>
                <c:pt idx="3">
                  <c:v>23.84641845601875</c:v>
                </c:pt>
                <c:pt idx="4">
                  <c:v>22.676243080336405</c:v>
                </c:pt>
                <c:pt idx="5">
                  <c:v>29.101887055097833</c:v>
                </c:pt>
                <c:pt idx="6">
                  <c:v>14.237050237744151</c:v>
                </c:pt>
                <c:pt idx="7">
                  <c:v>38.49376477993841</c:v>
                </c:pt>
                <c:pt idx="8">
                  <c:v>27.425782869623585</c:v>
                </c:pt>
              </c:numCache>
            </c:numRef>
          </c:val>
          <c:extLst>
            <c:ext xmlns:c16="http://schemas.microsoft.com/office/drawing/2014/chart" uri="{C3380CC4-5D6E-409C-BE32-E72D297353CC}">
              <c16:uniqueId val="{00000002-8E03-4743-A643-613CDDD03E26}"/>
            </c:ext>
          </c:extLst>
        </c:ser>
        <c:dLbls>
          <c:showLegendKey val="0"/>
          <c:showVal val="0"/>
          <c:showCatName val="0"/>
          <c:showSerName val="0"/>
          <c:showPercent val="0"/>
          <c:showBubbleSize val="0"/>
        </c:dLbls>
        <c:gapWidth val="150"/>
        <c:axId val="237710848"/>
        <c:axId val="236458496"/>
      </c:barChart>
      <c:catAx>
        <c:axId val="237710848"/>
        <c:scaling>
          <c:orientation val="minMax"/>
        </c:scaling>
        <c:delete val="0"/>
        <c:axPos val="b"/>
        <c:numFmt formatCode="General" sourceLinked="0"/>
        <c:majorTickMark val="out"/>
        <c:minorTickMark val="none"/>
        <c:tickLblPos val="nextTo"/>
        <c:crossAx val="236458496"/>
        <c:crosses val="autoZero"/>
        <c:auto val="1"/>
        <c:lblAlgn val="ctr"/>
        <c:lblOffset val="100"/>
        <c:noMultiLvlLbl val="0"/>
      </c:catAx>
      <c:valAx>
        <c:axId val="236458496"/>
        <c:scaling>
          <c:orientation val="minMax"/>
        </c:scaling>
        <c:delete val="0"/>
        <c:axPos val="l"/>
        <c:majorGridlines/>
        <c:title>
          <c:tx>
            <c:rich>
              <a:bodyPr rot="-5400000" vert="horz"/>
              <a:lstStyle/>
              <a:p>
                <a:pPr>
                  <a:defRPr/>
                </a:pPr>
                <a:r>
                  <a:rPr lang="en-AU"/>
                  <a:t>Ig grams issued per 1000 population</a:t>
                </a:r>
              </a:p>
            </c:rich>
          </c:tx>
          <c:overlay val="0"/>
        </c:title>
        <c:numFmt formatCode="_(* #,##0.00_);_(* \(#,##0.00\);_(* &quot;-&quot;??_);_(@_)" sourceLinked="1"/>
        <c:majorTickMark val="out"/>
        <c:minorTickMark val="none"/>
        <c:tickLblPos val="nextTo"/>
        <c:crossAx val="237710848"/>
        <c:crosses val="autoZero"/>
        <c:crossBetween val="between"/>
      </c:valAx>
    </c:plotArea>
    <c:legend>
      <c:legendPos val="r"/>
      <c:overlay val="0"/>
    </c:legend>
    <c:plotVisOnly val="1"/>
    <c:dispBlanksAs val="gap"/>
    <c:showDLblsOverMax val="0"/>
  </c:chart>
  <c:spPr>
    <a:ln w="25400"/>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'Dashboard - Top 10 Conditions'!$A$1</c:f>
          <c:strCache>
            <c:ptCount val="1"/>
            <c:pt idx="0">
              <c:v>Immunoglobulin Use by Medical Condition June 2024</c:v>
            </c:pt>
          </c:strCache>
        </c:strRef>
      </c:tx>
      <c:layout>
        <c:manualLayout>
          <c:xMode val="edge"/>
          <c:yMode val="edge"/>
          <c:x val="0.22972661417322834"/>
          <c:y val="2.9585798816568047E-3"/>
        </c:manualLayout>
      </c:layout>
      <c:overlay val="0"/>
      <c:txPr>
        <a:bodyPr/>
        <a:lstStyle/>
        <a:p>
          <a:pPr>
            <a:defRPr>
              <a:latin typeface="Aptos" panose="020B0004020202020204" pitchFamily="34" charset="0"/>
            </a:defRPr>
          </a:pPr>
          <a:endParaRPr lang="en-US"/>
        </a:p>
      </c:txPr>
    </c:title>
    <c:autoTitleDeleted val="0"/>
    <c:plotArea>
      <c:layout/>
      <c:barChart>
        <c:barDir val="bar"/>
        <c:grouping val="clustered"/>
        <c:varyColors val="0"/>
        <c:ser>
          <c:idx val="0"/>
          <c:order val="0"/>
          <c:tx>
            <c:strRef>
              <c:f>'Dashboard - Top 10 Conditions'!$A$2</c:f>
              <c:strCache>
                <c:ptCount val="1"/>
                <c:pt idx="0">
                  <c:v>Ig Grams Dispensed</c:v>
                </c:pt>
              </c:strCache>
            </c:strRef>
          </c:tx>
          <c:spPr>
            <a:pattFill prst="pct5">
              <a:fgClr>
                <a:srgbClr val="FFC02F"/>
              </a:fgClr>
              <a:bgClr>
                <a:srgbClr val="FFDA89"/>
              </a:bgClr>
            </a:pattFill>
            <a:ln>
              <a:solidFill>
                <a:schemeClr val="tx1">
                  <a:lumMod val="50000"/>
                  <a:lumOff val="50000"/>
                </a:schemeClr>
              </a:solidFill>
            </a:ln>
          </c:spPr>
          <c:invertIfNegative val="0"/>
          <c:cat>
            <c:strRef>
              <c:f>'Dashboard - Top 10 Conditions'!$A$6:$A$15</c:f>
              <c:strCache>
                <c:ptCount val="10"/>
                <c:pt idx="0">
                  <c:v>Acquired-hypogammaglobulinaemia — haematological malignancy or post HSCT</c:v>
                </c:pt>
                <c:pt idx="1">
                  <c:v>Chronic inflammatory demyelinating polyneuropathy (CIDP)</c:v>
                </c:pt>
                <c:pt idx="2">
                  <c:v>Primary immunodeficiency diseases (PID)</c:v>
                </c:pt>
                <c:pt idx="3">
                  <c:v>Myasthenia gravis (MG)</c:v>
                </c:pt>
                <c:pt idx="4">
                  <c:v>Inflammatory myopathies: polymyositis, dermatomyositis and necrotising autoimmune myopathy</c:v>
                </c:pt>
                <c:pt idx="5">
                  <c:v>Secondary hypogammaglobulinaemia (including iatrogenic immunodeficiency)</c:v>
                </c:pt>
                <c:pt idx="6">
                  <c:v>Multifocal motor neuropathy (MMN)</c:v>
                </c:pt>
                <c:pt idx="7">
                  <c:v>Immune thrombocytopenic purpura (ITP) — adult</c:v>
                </c:pt>
                <c:pt idx="8">
                  <c:v>Antibody mediated autoimmune encephalitis (AMAE)</c:v>
                </c:pt>
                <c:pt idx="9">
                  <c:v>Solid organ transplantation</c:v>
                </c:pt>
              </c:strCache>
            </c:strRef>
          </c:cat>
          <c:val>
            <c:numRef>
              <c:f>'Dashboard - Top 10 Conditions'!$B$6:$B$15</c:f>
              <c:numCache>
                <c:formatCode>#,##0</c:formatCode>
                <c:ptCount val="10"/>
                <c:pt idx="0">
                  <c:v>189609</c:v>
                </c:pt>
                <c:pt idx="1">
                  <c:v>152310</c:v>
                </c:pt>
                <c:pt idx="2">
                  <c:v>65696</c:v>
                </c:pt>
                <c:pt idx="3">
                  <c:v>57668</c:v>
                </c:pt>
                <c:pt idx="4">
                  <c:v>42010</c:v>
                </c:pt>
                <c:pt idx="5">
                  <c:v>36810</c:v>
                </c:pt>
                <c:pt idx="6">
                  <c:v>34640</c:v>
                </c:pt>
                <c:pt idx="7">
                  <c:v>22705</c:v>
                </c:pt>
                <c:pt idx="8">
                  <c:v>19958</c:v>
                </c:pt>
                <c:pt idx="9">
                  <c:v>18940</c:v>
                </c:pt>
              </c:numCache>
            </c:numRef>
          </c:val>
          <c:extLst>
            <c:ext xmlns:c16="http://schemas.microsoft.com/office/drawing/2014/chart" uri="{C3380CC4-5D6E-409C-BE32-E72D297353CC}">
              <c16:uniqueId val="{00000000-ABEB-4DE5-A884-9C6D4229764F}"/>
            </c:ext>
          </c:extLst>
        </c:ser>
        <c:dLbls>
          <c:showLegendKey val="0"/>
          <c:showVal val="0"/>
          <c:showCatName val="0"/>
          <c:showSerName val="0"/>
          <c:showPercent val="0"/>
          <c:showBubbleSize val="0"/>
        </c:dLbls>
        <c:gapWidth val="150"/>
        <c:axId val="238050816"/>
        <c:axId val="236460800"/>
      </c:barChart>
      <c:catAx>
        <c:axId val="238050816"/>
        <c:scaling>
          <c:orientation val="maxMin"/>
        </c:scaling>
        <c:delete val="0"/>
        <c:axPos val="l"/>
        <c:numFmt formatCode="General" sourceLinked="0"/>
        <c:majorTickMark val="out"/>
        <c:minorTickMark val="none"/>
        <c:tickLblPos val="nextTo"/>
        <c:txPr>
          <a:bodyPr/>
          <a:lstStyle/>
          <a:p>
            <a:pPr>
              <a:defRPr sz="1200" b="1">
                <a:latin typeface="Aptos" panose="020B0004020202020204" pitchFamily="34" charset="0"/>
              </a:defRPr>
            </a:pPr>
            <a:endParaRPr lang="en-US"/>
          </a:p>
        </c:txPr>
        <c:crossAx val="236460800"/>
        <c:crosses val="autoZero"/>
        <c:auto val="1"/>
        <c:lblAlgn val="ctr"/>
        <c:lblOffset val="100"/>
        <c:noMultiLvlLbl val="0"/>
      </c:catAx>
      <c:valAx>
        <c:axId val="236460800"/>
        <c:scaling>
          <c:orientation val="minMax"/>
        </c:scaling>
        <c:delete val="0"/>
        <c:axPos val="t"/>
        <c:majorGridlines/>
        <c:numFmt formatCode="#,##0" sourceLinked="1"/>
        <c:majorTickMark val="out"/>
        <c:minorTickMark val="none"/>
        <c:tickLblPos val="nextTo"/>
        <c:txPr>
          <a:bodyPr/>
          <a:lstStyle/>
          <a:p>
            <a:pPr>
              <a:defRPr sz="1200" b="1"/>
            </a:pPr>
            <a:endParaRPr lang="en-US"/>
          </a:p>
        </c:txPr>
        <c:crossAx val="238050816"/>
        <c:crosses val="autoZero"/>
        <c:crossBetween val="between"/>
      </c:valAx>
    </c:plotArea>
    <c:legend>
      <c:legendPos val="r"/>
      <c:layout>
        <c:manualLayout>
          <c:xMode val="edge"/>
          <c:yMode val="edge"/>
          <c:x val="0.81430592945595393"/>
          <c:y val="0.51882037163832784"/>
          <c:w val="0.18569407054404616"/>
          <c:h val="6.1906358172619726E-2"/>
        </c:manualLayout>
      </c:layout>
      <c:overlay val="0"/>
      <c:txPr>
        <a:bodyPr/>
        <a:lstStyle/>
        <a:p>
          <a:pPr>
            <a:defRPr sz="1200" b="1">
              <a:latin typeface="Aptos" panose="020B0004020202020204" pitchFamily="34" charset="0"/>
            </a:defRPr>
          </a:pPr>
          <a:endParaRPr lang="en-US"/>
        </a:p>
      </c:txPr>
    </c:legend>
    <c:plotVisOnly val="1"/>
    <c:dispBlanksAs val="gap"/>
    <c:showDLblsOverMax val="0"/>
  </c:chart>
  <c:spPr>
    <a:ln w="25400"/>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'Dashboard - Product Issued'!$L$2</c:f>
          <c:strCache>
            <c:ptCount val="1"/>
            <c:pt idx="0">
              <c:v>Cost of domestic and imported Ig issued October 2023 - June 2024</c:v>
            </c:pt>
          </c:strCache>
        </c:strRef>
      </c:tx>
      <c:layout>
        <c:manualLayout>
          <c:xMode val="edge"/>
          <c:yMode val="edge"/>
          <c:x val="0.11670496455965186"/>
          <c:y val="5.0976375757296336E-3"/>
        </c:manualLayout>
      </c:layout>
      <c:overlay val="0"/>
      <c:txPr>
        <a:bodyPr anchor="t" anchorCtr="1"/>
        <a:lstStyle/>
        <a:p>
          <a:pPr>
            <a:defRPr sz="1800" baseline="0">
              <a:latin typeface="Aptos" panose="020B0004020202020204" pitchFamily="34" charset="0"/>
            </a:defRPr>
          </a:pPr>
          <a:endParaRPr lang="en-US"/>
        </a:p>
      </c:txPr>
    </c:title>
    <c:autoTitleDeleted val="0"/>
    <c:plotArea>
      <c:layout>
        <c:manualLayout>
          <c:layoutTarget val="inner"/>
          <c:xMode val="edge"/>
          <c:yMode val="edge"/>
          <c:x val="7.4823974795703727E-2"/>
          <c:y val="0.13606300802746504"/>
          <c:w val="0.80306514212319202"/>
          <c:h val="0.78796842734356987"/>
        </c:manualLayout>
      </c:layout>
      <c:barChart>
        <c:barDir val="col"/>
        <c:grouping val="stacked"/>
        <c:varyColors val="0"/>
        <c:ser>
          <c:idx val="0"/>
          <c:order val="0"/>
          <c:tx>
            <c:strRef>
              <c:f>'Dashboard - Product Issued'!$G$2</c:f>
              <c:strCache>
                <c:ptCount val="1"/>
                <c:pt idx="0">
                  <c:v>Domestic Ig</c:v>
                </c:pt>
              </c:strCache>
            </c:strRef>
          </c:tx>
          <c:spPr>
            <a:pattFill prst="lgConfetti">
              <a:fgClr>
                <a:srgbClr val="FFC02F"/>
              </a:fgClr>
              <a:bgClr>
                <a:srgbClr val="FFD49F"/>
              </a:bgClr>
            </a:pattFill>
            <a:ln>
              <a:solidFill>
                <a:schemeClr val="tx1">
                  <a:tint val="75000"/>
                  <a:shade val="95000"/>
                  <a:satMod val="105000"/>
                </a:schemeClr>
              </a:solidFill>
            </a:ln>
          </c:spPr>
          <c:invertIfNegative val="0"/>
          <c:cat>
            <c:numRef>
              <c:f>'Dashboard - Product Issued'!$B$42:$B$50</c:f>
              <c:numCache>
                <c:formatCode>mmm\-yy</c:formatCode>
                <c:ptCount val="9"/>
                <c:pt idx="0">
                  <c:v>45200</c:v>
                </c:pt>
                <c:pt idx="1">
                  <c:v>45231</c:v>
                </c:pt>
                <c:pt idx="2">
                  <c:v>45261</c:v>
                </c:pt>
                <c:pt idx="3">
                  <c:v>45292</c:v>
                </c:pt>
                <c:pt idx="4">
                  <c:v>45323</c:v>
                </c:pt>
                <c:pt idx="5">
                  <c:v>45352</c:v>
                </c:pt>
                <c:pt idx="6">
                  <c:v>45383</c:v>
                </c:pt>
                <c:pt idx="7">
                  <c:v>45413</c:v>
                </c:pt>
                <c:pt idx="8">
                  <c:v>45444</c:v>
                </c:pt>
              </c:numCache>
            </c:numRef>
          </c:cat>
          <c:val>
            <c:numRef>
              <c:f>'Dashboard - Product Issued'!$G$42:$G$50</c:f>
              <c:numCache>
                <c:formatCode>_-* #,##0_-;\-* #,##0_-;_-* "-"??_-;_-@_-</c:formatCode>
                <c:ptCount val="9"/>
                <c:pt idx="0">
                  <c:v>44.95421552017762</c:v>
                </c:pt>
                <c:pt idx="1">
                  <c:v>44.635715752173851</c:v>
                </c:pt>
                <c:pt idx="2">
                  <c:v>42.260115725999171</c:v>
                </c:pt>
                <c:pt idx="3">
                  <c:v>46.432945932081211</c:v>
                </c:pt>
                <c:pt idx="4">
                  <c:v>42.537440561088651</c:v>
                </c:pt>
                <c:pt idx="5">
                  <c:v>46.403890240805893</c:v>
                </c:pt>
                <c:pt idx="6">
                  <c:v>46.725088255061365</c:v>
                </c:pt>
                <c:pt idx="7">
                  <c:v>52.579672848075681</c:v>
                </c:pt>
                <c:pt idx="8">
                  <c:v>45.313996931399423</c:v>
                </c:pt>
              </c:numCache>
            </c:numRef>
          </c:val>
          <c:extLst>
            <c:ext xmlns:c16="http://schemas.microsoft.com/office/drawing/2014/chart" uri="{C3380CC4-5D6E-409C-BE32-E72D297353CC}">
              <c16:uniqueId val="{00000000-56C9-4715-9A64-AC6459CAFCFA}"/>
            </c:ext>
          </c:extLst>
        </c:ser>
        <c:ser>
          <c:idx val="1"/>
          <c:order val="1"/>
          <c:tx>
            <c:strRef>
              <c:f>'Dashboard - Product Issued'!$H$2</c:f>
              <c:strCache>
                <c:ptCount val="1"/>
                <c:pt idx="0">
                  <c:v>Imported Ig</c:v>
                </c:pt>
              </c:strCache>
            </c:strRef>
          </c:tx>
          <c:spPr>
            <a:solidFill>
              <a:schemeClr val="bg1">
                <a:lumMod val="65000"/>
              </a:schemeClr>
            </a:solidFill>
            <a:ln>
              <a:solidFill>
                <a:schemeClr val="tx1">
                  <a:tint val="75000"/>
                  <a:shade val="95000"/>
                  <a:satMod val="105000"/>
                </a:schemeClr>
              </a:solidFill>
            </a:ln>
          </c:spPr>
          <c:invertIfNegative val="0"/>
          <c:cat>
            <c:numRef>
              <c:f>'Dashboard - Product Issued'!$B$42:$B$50</c:f>
              <c:numCache>
                <c:formatCode>mmm\-yy</c:formatCode>
                <c:ptCount val="9"/>
                <c:pt idx="0">
                  <c:v>45200</c:v>
                </c:pt>
                <c:pt idx="1">
                  <c:v>45231</c:v>
                </c:pt>
                <c:pt idx="2">
                  <c:v>45261</c:v>
                </c:pt>
                <c:pt idx="3">
                  <c:v>45292</c:v>
                </c:pt>
                <c:pt idx="4">
                  <c:v>45323</c:v>
                </c:pt>
                <c:pt idx="5">
                  <c:v>45352</c:v>
                </c:pt>
                <c:pt idx="6">
                  <c:v>45383</c:v>
                </c:pt>
                <c:pt idx="7">
                  <c:v>45413</c:v>
                </c:pt>
                <c:pt idx="8">
                  <c:v>45444</c:v>
                </c:pt>
              </c:numCache>
            </c:numRef>
          </c:cat>
          <c:val>
            <c:numRef>
              <c:f>'Dashboard - Product Issued'!$H$42:$H$50</c:f>
              <c:numCache>
                <c:formatCode>_-* #,##0_-;\-* #,##0_-;_-* "-"??_-;_-@_-</c:formatCode>
                <c:ptCount val="9"/>
                <c:pt idx="0">
                  <c:v>38.866050073533167</c:v>
                </c:pt>
                <c:pt idx="1">
                  <c:v>37.749248586205198</c:v>
                </c:pt>
                <c:pt idx="2">
                  <c:v>35.538454303342625</c:v>
                </c:pt>
                <c:pt idx="3">
                  <c:v>39.525814056802069</c:v>
                </c:pt>
                <c:pt idx="4">
                  <c:v>36.550398620653262</c:v>
                </c:pt>
                <c:pt idx="5">
                  <c:v>36.021755171962376</c:v>
                </c:pt>
                <c:pt idx="6">
                  <c:v>37.564776911959058</c:v>
                </c:pt>
                <c:pt idx="7">
                  <c:v>39.719746823513269</c:v>
                </c:pt>
                <c:pt idx="8">
                  <c:v>34.725506988958927</c:v>
                </c:pt>
              </c:numCache>
            </c:numRef>
          </c:val>
          <c:extLst>
            <c:ext xmlns:c16="http://schemas.microsoft.com/office/drawing/2014/chart" uri="{C3380CC4-5D6E-409C-BE32-E72D297353CC}">
              <c16:uniqueId val="{00000001-56C9-4715-9A64-AC6459CAFCFA}"/>
            </c:ext>
          </c:extLst>
        </c:ser>
        <c:dLbls>
          <c:showLegendKey val="0"/>
          <c:showVal val="0"/>
          <c:showCatName val="0"/>
          <c:showSerName val="0"/>
          <c:showPercent val="0"/>
          <c:showBubbleSize val="0"/>
        </c:dLbls>
        <c:gapWidth val="150"/>
        <c:overlap val="100"/>
        <c:axId val="237831680"/>
        <c:axId val="236505920"/>
      </c:barChart>
      <c:dateAx>
        <c:axId val="237831680"/>
        <c:scaling>
          <c:orientation val="minMax"/>
        </c:scaling>
        <c:delete val="0"/>
        <c:axPos val="b"/>
        <c:numFmt formatCode="mmm\-yy" sourceLinked="1"/>
        <c:majorTickMark val="out"/>
        <c:minorTickMark val="none"/>
        <c:tickLblPos val="nextTo"/>
        <c:txPr>
          <a:bodyPr/>
          <a:lstStyle/>
          <a:p>
            <a:pPr>
              <a:defRPr>
                <a:latin typeface="Aptos" panose="020B0004020202020204" pitchFamily="34" charset="0"/>
              </a:defRPr>
            </a:pPr>
            <a:endParaRPr lang="en-US"/>
          </a:p>
        </c:txPr>
        <c:crossAx val="236505920"/>
        <c:crosses val="autoZero"/>
        <c:auto val="1"/>
        <c:lblOffset val="100"/>
        <c:baseTimeUnit val="months"/>
      </c:dateAx>
      <c:valAx>
        <c:axId val="236505920"/>
        <c:scaling>
          <c:orientation val="minMax"/>
        </c:scaling>
        <c:delete val="0"/>
        <c:axPos val="l"/>
        <c:majorGridlines/>
        <c:title>
          <c:tx>
            <c:rich>
              <a:bodyPr rot="-5400000" vert="horz"/>
              <a:lstStyle/>
              <a:p>
                <a:pPr>
                  <a:defRPr>
                    <a:latin typeface="Aptos" panose="020B0004020202020204" pitchFamily="34" charset="0"/>
                  </a:defRPr>
                </a:pPr>
                <a:r>
                  <a:rPr lang="en-US">
                    <a:latin typeface="Aptos" panose="020B0004020202020204" pitchFamily="34" charset="0"/>
                  </a:rPr>
                  <a:t>Dollars (millions)</a:t>
                </a:r>
              </a:p>
            </c:rich>
          </c:tx>
          <c:overlay val="0"/>
        </c:title>
        <c:numFmt formatCode="_-* #,##0_-;\-* #,##0_-;_-* &quot;-&quot;??_-;_-@_-" sourceLinked="1"/>
        <c:majorTickMark val="out"/>
        <c:minorTickMark val="none"/>
        <c:tickLblPos val="nextTo"/>
        <c:txPr>
          <a:bodyPr/>
          <a:lstStyle/>
          <a:p>
            <a:pPr>
              <a:defRPr>
                <a:latin typeface="Aptos" panose="020B0004020202020204" pitchFamily="34" charset="0"/>
              </a:defRPr>
            </a:pPr>
            <a:endParaRPr lang="en-US"/>
          </a:p>
        </c:txPr>
        <c:crossAx val="237831680"/>
        <c:crosses val="autoZero"/>
        <c:crossBetween val="between"/>
      </c:valAx>
    </c:plotArea>
    <c:legend>
      <c:legendPos val="r"/>
      <c:layout>
        <c:manualLayout>
          <c:xMode val="edge"/>
          <c:yMode val="edge"/>
          <c:x val="0.89997094910271158"/>
          <c:y val="0.45759678409082172"/>
          <c:w val="9.5592821692112889E-2"/>
          <c:h val="0.10083877532874262"/>
        </c:manualLayout>
      </c:layout>
      <c:overlay val="0"/>
      <c:txPr>
        <a:bodyPr/>
        <a:lstStyle/>
        <a:p>
          <a:pPr>
            <a:defRPr>
              <a:latin typeface="Aptos" panose="020B0004020202020204" pitchFamily="34" charset="0"/>
            </a:defRPr>
          </a:pPr>
          <a:endParaRPr lang="en-US"/>
        </a:p>
      </c:txPr>
    </c:legend>
    <c:plotVisOnly val="1"/>
    <c:dispBlanksAs val="gap"/>
    <c:showDLblsOverMax val="0"/>
  </c:chart>
  <c:spPr>
    <a:ln w="25400"/>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'Dashboard - Product Issued'!$L$1</c:f>
          <c:strCache>
            <c:ptCount val="1"/>
            <c:pt idx="0">
              <c:v>Domestic and imported Ig issued October 2023 - June 2024</c:v>
            </c:pt>
          </c:strCache>
        </c:strRef>
      </c:tx>
      <c:layout>
        <c:manualLayout>
          <c:xMode val="edge"/>
          <c:yMode val="edge"/>
          <c:x val="0.17551719294026652"/>
          <c:y val="6.5484143001980346E-3"/>
        </c:manualLayout>
      </c:layout>
      <c:overlay val="0"/>
      <c:txPr>
        <a:bodyPr/>
        <a:lstStyle/>
        <a:p>
          <a:pPr>
            <a:defRPr sz="1800" baseline="0">
              <a:latin typeface="Aptos" panose="020B0004020202020204" pitchFamily="34" charset="0"/>
            </a:defRPr>
          </a:pPr>
          <a:endParaRPr lang="en-US"/>
        </a:p>
      </c:txPr>
    </c:title>
    <c:autoTitleDeleted val="0"/>
    <c:plotArea>
      <c:layout>
        <c:manualLayout>
          <c:layoutTarget val="inner"/>
          <c:xMode val="edge"/>
          <c:yMode val="edge"/>
          <c:x val="0.11453682168732467"/>
          <c:y val="0.12600475194320276"/>
          <c:w val="0.753166388009328"/>
          <c:h val="0.79408221967967252"/>
        </c:manualLayout>
      </c:layout>
      <c:barChart>
        <c:barDir val="col"/>
        <c:grouping val="stacked"/>
        <c:varyColors val="0"/>
        <c:ser>
          <c:idx val="0"/>
          <c:order val="0"/>
          <c:tx>
            <c:strRef>
              <c:f>'Dashboard - Product Issued'!$D$2</c:f>
              <c:strCache>
                <c:ptCount val="1"/>
                <c:pt idx="0">
                  <c:v>Domestic Ig</c:v>
                </c:pt>
              </c:strCache>
            </c:strRef>
          </c:tx>
          <c:spPr>
            <a:pattFill prst="lgConfetti">
              <a:fgClr>
                <a:srgbClr val="FFC02F"/>
              </a:fgClr>
              <a:bgClr>
                <a:srgbClr val="FFD49F"/>
              </a:bgClr>
            </a:pattFill>
            <a:ln>
              <a:solidFill>
                <a:schemeClr val="tx1">
                  <a:tint val="75000"/>
                  <a:shade val="95000"/>
                  <a:satMod val="105000"/>
                </a:schemeClr>
              </a:solidFill>
            </a:ln>
          </c:spPr>
          <c:invertIfNegative val="0"/>
          <c:cat>
            <c:numRef>
              <c:f>'Dashboard - Product Issued'!$B$42:$B$50</c:f>
              <c:numCache>
                <c:formatCode>mmm\-yy</c:formatCode>
                <c:ptCount val="9"/>
                <c:pt idx="0">
                  <c:v>45200</c:v>
                </c:pt>
                <c:pt idx="1">
                  <c:v>45231</c:v>
                </c:pt>
                <c:pt idx="2">
                  <c:v>45261</c:v>
                </c:pt>
                <c:pt idx="3">
                  <c:v>45292</c:v>
                </c:pt>
                <c:pt idx="4">
                  <c:v>45323</c:v>
                </c:pt>
                <c:pt idx="5">
                  <c:v>45352</c:v>
                </c:pt>
                <c:pt idx="6">
                  <c:v>45383</c:v>
                </c:pt>
                <c:pt idx="7">
                  <c:v>45413</c:v>
                </c:pt>
                <c:pt idx="8">
                  <c:v>45444</c:v>
                </c:pt>
              </c:numCache>
            </c:numRef>
          </c:cat>
          <c:val>
            <c:numRef>
              <c:f>'Dashboard - Product Issued'!$D$42:$D$50</c:f>
              <c:numCache>
                <c:formatCode>_-* #,##0_-;\-* #,##0_-;_-* "-"??_-;_-@_-</c:formatCode>
                <c:ptCount val="9"/>
                <c:pt idx="0">
                  <c:v>294891.39999999997</c:v>
                </c:pt>
                <c:pt idx="1">
                  <c:v>292802.09999999998</c:v>
                </c:pt>
                <c:pt idx="2">
                  <c:v>277218.59999999998</c:v>
                </c:pt>
                <c:pt idx="3">
                  <c:v>304591.59999999998</c:v>
                </c:pt>
                <c:pt idx="4">
                  <c:v>279037.8</c:v>
                </c:pt>
                <c:pt idx="5">
                  <c:v>304401</c:v>
                </c:pt>
                <c:pt idx="6">
                  <c:v>306508</c:v>
                </c:pt>
                <c:pt idx="7">
                  <c:v>344913</c:v>
                </c:pt>
                <c:pt idx="8">
                  <c:v>297251.5</c:v>
                </c:pt>
              </c:numCache>
            </c:numRef>
          </c:val>
          <c:extLst>
            <c:ext xmlns:c16="http://schemas.microsoft.com/office/drawing/2014/chart" uri="{C3380CC4-5D6E-409C-BE32-E72D297353CC}">
              <c16:uniqueId val="{00000000-2C5D-45B3-AE6E-6C5DE9CB4D6C}"/>
            </c:ext>
          </c:extLst>
        </c:ser>
        <c:ser>
          <c:idx val="1"/>
          <c:order val="1"/>
          <c:tx>
            <c:strRef>
              <c:f>'Dashboard - Product Issued'!$E$2</c:f>
              <c:strCache>
                <c:ptCount val="1"/>
                <c:pt idx="0">
                  <c:v>Imported Ig</c:v>
                </c:pt>
              </c:strCache>
            </c:strRef>
          </c:tx>
          <c:spPr>
            <a:solidFill>
              <a:schemeClr val="bg1">
                <a:lumMod val="65000"/>
              </a:schemeClr>
            </a:solidFill>
            <a:ln>
              <a:solidFill>
                <a:schemeClr val="tx1">
                  <a:tint val="75000"/>
                  <a:shade val="95000"/>
                  <a:satMod val="105000"/>
                </a:schemeClr>
              </a:solidFill>
            </a:ln>
          </c:spPr>
          <c:invertIfNegative val="0"/>
          <c:cat>
            <c:numRef>
              <c:f>'Dashboard - Product Issued'!$B$42:$B$50</c:f>
              <c:numCache>
                <c:formatCode>mmm\-yy</c:formatCode>
                <c:ptCount val="9"/>
                <c:pt idx="0">
                  <c:v>45200</c:v>
                </c:pt>
                <c:pt idx="1">
                  <c:v>45231</c:v>
                </c:pt>
                <c:pt idx="2">
                  <c:v>45261</c:v>
                </c:pt>
                <c:pt idx="3">
                  <c:v>45292</c:v>
                </c:pt>
                <c:pt idx="4">
                  <c:v>45323</c:v>
                </c:pt>
                <c:pt idx="5">
                  <c:v>45352</c:v>
                </c:pt>
                <c:pt idx="6">
                  <c:v>45383</c:v>
                </c:pt>
                <c:pt idx="7">
                  <c:v>45413</c:v>
                </c:pt>
                <c:pt idx="8">
                  <c:v>45444</c:v>
                </c:pt>
              </c:numCache>
            </c:numRef>
          </c:cat>
          <c:val>
            <c:numRef>
              <c:f>'Dashboard - Product Issued'!$E$42:$E$50</c:f>
              <c:numCache>
                <c:formatCode>_-* #,##0_-;\-* #,##0_-;_-* "-"??_-;_-@_-</c:formatCode>
                <c:ptCount val="9"/>
                <c:pt idx="0">
                  <c:v>495012.5</c:v>
                </c:pt>
                <c:pt idx="1">
                  <c:v>480788.5</c:v>
                </c:pt>
                <c:pt idx="2">
                  <c:v>452631</c:v>
                </c:pt>
                <c:pt idx="3">
                  <c:v>503415.5</c:v>
                </c:pt>
                <c:pt idx="4">
                  <c:v>465519.5</c:v>
                </c:pt>
                <c:pt idx="5">
                  <c:v>458786.5</c:v>
                </c:pt>
                <c:pt idx="6">
                  <c:v>478439</c:v>
                </c:pt>
                <c:pt idx="7">
                  <c:v>505885.5</c:v>
                </c:pt>
                <c:pt idx="8">
                  <c:v>442277</c:v>
                </c:pt>
              </c:numCache>
            </c:numRef>
          </c:val>
          <c:extLst>
            <c:ext xmlns:c16="http://schemas.microsoft.com/office/drawing/2014/chart" uri="{C3380CC4-5D6E-409C-BE32-E72D297353CC}">
              <c16:uniqueId val="{00000001-2C5D-45B3-AE6E-6C5DE9CB4D6C}"/>
            </c:ext>
          </c:extLst>
        </c:ser>
        <c:dLbls>
          <c:showLegendKey val="0"/>
          <c:showVal val="0"/>
          <c:showCatName val="0"/>
          <c:showSerName val="0"/>
          <c:showPercent val="0"/>
          <c:showBubbleSize val="0"/>
        </c:dLbls>
        <c:gapWidth val="150"/>
        <c:overlap val="100"/>
        <c:axId val="247839744"/>
        <c:axId val="236503616"/>
      </c:barChart>
      <c:dateAx>
        <c:axId val="247839744"/>
        <c:scaling>
          <c:orientation val="minMax"/>
        </c:scaling>
        <c:delete val="0"/>
        <c:axPos val="b"/>
        <c:numFmt formatCode="mmm\-yy" sourceLinked="1"/>
        <c:majorTickMark val="out"/>
        <c:minorTickMark val="none"/>
        <c:tickLblPos val="nextTo"/>
        <c:txPr>
          <a:bodyPr/>
          <a:lstStyle/>
          <a:p>
            <a:pPr>
              <a:defRPr>
                <a:latin typeface="Aptos" panose="020B0004020202020204" pitchFamily="34" charset="0"/>
              </a:defRPr>
            </a:pPr>
            <a:endParaRPr lang="en-US"/>
          </a:p>
        </c:txPr>
        <c:crossAx val="236503616"/>
        <c:crosses val="autoZero"/>
        <c:auto val="1"/>
        <c:lblOffset val="100"/>
        <c:baseTimeUnit val="months"/>
      </c:dateAx>
      <c:valAx>
        <c:axId val="236503616"/>
        <c:scaling>
          <c:orientation val="minMax"/>
        </c:scaling>
        <c:delete val="0"/>
        <c:axPos val="l"/>
        <c:majorGridlines/>
        <c:title>
          <c:tx>
            <c:rich>
              <a:bodyPr rot="-5400000" vert="horz"/>
              <a:lstStyle/>
              <a:p>
                <a:pPr>
                  <a:defRPr>
                    <a:latin typeface="Aptos" panose="020B0004020202020204" pitchFamily="34" charset="0"/>
                  </a:defRPr>
                </a:pPr>
                <a:r>
                  <a:rPr lang="en-US">
                    <a:latin typeface="Aptos" panose="020B0004020202020204" pitchFamily="34" charset="0"/>
                  </a:rPr>
                  <a:t>Grams</a:t>
                </a:r>
              </a:p>
            </c:rich>
          </c:tx>
          <c:layout>
            <c:manualLayout>
              <c:xMode val="edge"/>
              <c:yMode val="edge"/>
              <c:x val="4.069908264623813E-3"/>
              <c:y val="0.4648021546945621"/>
            </c:manualLayout>
          </c:layout>
          <c:overlay val="0"/>
        </c:title>
        <c:numFmt formatCode="_-* #,##0_-;\-* #,##0_-;_-* &quot;-&quot;??_-;_-@_-" sourceLinked="1"/>
        <c:majorTickMark val="out"/>
        <c:minorTickMark val="none"/>
        <c:tickLblPos val="nextTo"/>
        <c:txPr>
          <a:bodyPr/>
          <a:lstStyle/>
          <a:p>
            <a:pPr>
              <a:defRPr>
                <a:latin typeface="Aptos" panose="020B0004020202020204" pitchFamily="34" charset="0"/>
              </a:defRPr>
            </a:pPr>
            <a:endParaRPr lang="en-US"/>
          </a:p>
        </c:txPr>
        <c:crossAx val="247839744"/>
        <c:crosses val="autoZero"/>
        <c:crossBetween val="between"/>
      </c:valAx>
    </c:plotArea>
    <c:legend>
      <c:legendPos val="r"/>
      <c:layout>
        <c:manualLayout>
          <c:xMode val="edge"/>
          <c:yMode val="edge"/>
          <c:x val="0.89571961312632709"/>
          <c:y val="0.48609468717132381"/>
          <c:w val="0.10224538658646316"/>
          <c:h val="0.11369323426416339"/>
        </c:manualLayout>
      </c:layout>
      <c:overlay val="0"/>
      <c:txPr>
        <a:bodyPr/>
        <a:lstStyle/>
        <a:p>
          <a:pPr>
            <a:defRPr>
              <a:latin typeface="Aptos" panose="020B0004020202020204" pitchFamily="34" charset="0"/>
            </a:defRPr>
          </a:pPr>
          <a:endParaRPr lang="en-US"/>
        </a:p>
      </c:txPr>
    </c:legend>
    <c:plotVisOnly val="1"/>
    <c:dispBlanksAs val="gap"/>
    <c:showDLblsOverMax val="0"/>
  </c:chart>
  <c:spPr>
    <a:ln w="25400"/>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'Dashboard - Patients'!$K$1</c:f>
          <c:strCache>
            <c:ptCount val="1"/>
            <c:pt idx="0">
              <c:v>Patients October 2023 - June 2024</c:v>
            </c:pt>
          </c:strCache>
        </c:strRef>
      </c:tx>
      <c:layout>
        <c:manualLayout>
          <c:xMode val="edge"/>
          <c:yMode val="edge"/>
          <c:x val="0.27554982156819163"/>
          <c:y val="2.3085333127187994E-3"/>
        </c:manualLayout>
      </c:layout>
      <c:overlay val="0"/>
      <c:txPr>
        <a:bodyPr/>
        <a:lstStyle/>
        <a:p>
          <a:pPr>
            <a:defRPr>
              <a:latin typeface="Aptos" panose="020B0004020202020204" pitchFamily="34" charset="0"/>
            </a:defRPr>
          </a:pPr>
          <a:endParaRPr lang="en-US"/>
        </a:p>
      </c:txPr>
    </c:title>
    <c:autoTitleDeleted val="0"/>
    <c:plotArea>
      <c:layout>
        <c:manualLayout>
          <c:layoutTarget val="inner"/>
          <c:xMode val="edge"/>
          <c:yMode val="edge"/>
          <c:x val="5.9007353797731428E-2"/>
          <c:y val="7.5274739559345799E-2"/>
          <c:w val="0.84654257593086635"/>
          <c:h val="0.8286828208087561"/>
        </c:manualLayout>
      </c:layout>
      <c:barChart>
        <c:barDir val="col"/>
        <c:grouping val="clustered"/>
        <c:varyColors val="0"/>
        <c:ser>
          <c:idx val="0"/>
          <c:order val="0"/>
          <c:tx>
            <c:strRef>
              <c:f>'Dashboard - Patients'!$C$42</c:f>
              <c:strCache>
                <c:ptCount val="1"/>
                <c:pt idx="0">
                  <c:v>New Patients</c:v>
                </c:pt>
              </c:strCache>
            </c:strRef>
          </c:tx>
          <c:spPr>
            <a:pattFill prst="lgConfetti">
              <a:fgClr>
                <a:srgbClr val="FFC02F"/>
              </a:fgClr>
              <a:bgClr>
                <a:srgbClr val="FFD49F"/>
              </a:bgClr>
            </a:pattFill>
            <a:ln w="3175">
              <a:solidFill>
                <a:schemeClr val="tx1">
                  <a:lumMod val="50000"/>
                  <a:lumOff val="50000"/>
                </a:schemeClr>
              </a:solidFill>
            </a:ln>
          </c:spPr>
          <c:invertIfNegative val="0"/>
          <c:cat>
            <c:numRef>
              <c:f>'Dashboard - Patients'!$B$30:$B$38</c:f>
              <c:numCache>
                <c:formatCode>mmm\-yy</c:formatCode>
                <c:ptCount val="9"/>
                <c:pt idx="0">
                  <c:v>45200</c:v>
                </c:pt>
                <c:pt idx="1">
                  <c:v>45231</c:v>
                </c:pt>
                <c:pt idx="2">
                  <c:v>45261</c:v>
                </c:pt>
                <c:pt idx="3">
                  <c:v>45292</c:v>
                </c:pt>
                <c:pt idx="4">
                  <c:v>45323</c:v>
                </c:pt>
                <c:pt idx="5">
                  <c:v>45352</c:v>
                </c:pt>
                <c:pt idx="6">
                  <c:v>45383</c:v>
                </c:pt>
                <c:pt idx="7">
                  <c:v>45413</c:v>
                </c:pt>
                <c:pt idx="8">
                  <c:v>45444</c:v>
                </c:pt>
              </c:numCache>
            </c:numRef>
          </c:cat>
          <c:val>
            <c:numRef>
              <c:f>'Dashboard - Patients'!$C$70:$C$78</c:f>
              <c:numCache>
                <c:formatCode>General</c:formatCode>
                <c:ptCount val="9"/>
                <c:pt idx="0">
                  <c:v>844</c:v>
                </c:pt>
                <c:pt idx="1">
                  <c:v>809</c:v>
                </c:pt>
                <c:pt idx="2">
                  <c:v>715</c:v>
                </c:pt>
                <c:pt idx="3">
                  <c:v>805</c:v>
                </c:pt>
                <c:pt idx="4">
                  <c:v>722</c:v>
                </c:pt>
                <c:pt idx="5">
                  <c:v>790</c:v>
                </c:pt>
                <c:pt idx="6">
                  <c:v>715</c:v>
                </c:pt>
                <c:pt idx="7">
                  <c:v>879</c:v>
                </c:pt>
                <c:pt idx="8">
                  <c:v>751</c:v>
                </c:pt>
              </c:numCache>
            </c:numRef>
          </c:val>
          <c:extLst>
            <c:ext xmlns:c16="http://schemas.microsoft.com/office/drawing/2014/chart" uri="{C3380CC4-5D6E-409C-BE32-E72D297353CC}">
              <c16:uniqueId val="{00000000-1FC9-42E0-95C0-67E402B7BA36}"/>
            </c:ext>
          </c:extLst>
        </c:ser>
        <c:dLbls>
          <c:showLegendKey val="0"/>
          <c:showVal val="0"/>
          <c:showCatName val="0"/>
          <c:showSerName val="0"/>
          <c:showPercent val="0"/>
          <c:showBubbleSize val="0"/>
        </c:dLbls>
        <c:gapWidth val="150"/>
        <c:axId val="235467264"/>
        <c:axId val="225743360"/>
      </c:barChart>
      <c:lineChart>
        <c:grouping val="standard"/>
        <c:varyColors val="0"/>
        <c:ser>
          <c:idx val="1"/>
          <c:order val="1"/>
          <c:tx>
            <c:strRef>
              <c:f>'Dashboard - Patients'!$G$2</c:f>
              <c:strCache>
                <c:ptCount val="1"/>
                <c:pt idx="0">
                  <c:v>Total Patients</c:v>
                </c:pt>
              </c:strCache>
            </c:strRef>
          </c:tx>
          <c:spPr>
            <a:ln>
              <a:solidFill>
                <a:schemeClr val="tx1"/>
              </a:solidFill>
            </a:ln>
          </c:spPr>
          <c:marker>
            <c:symbol val="none"/>
          </c:marker>
          <c:cat>
            <c:numRef>
              <c:f>'Dashboard - Patients'!$B$30:$B$38</c:f>
              <c:numCache>
                <c:formatCode>mmm\-yy</c:formatCode>
                <c:ptCount val="9"/>
                <c:pt idx="0">
                  <c:v>45200</c:v>
                </c:pt>
                <c:pt idx="1">
                  <c:v>45231</c:v>
                </c:pt>
                <c:pt idx="2">
                  <c:v>45261</c:v>
                </c:pt>
                <c:pt idx="3">
                  <c:v>45292</c:v>
                </c:pt>
                <c:pt idx="4">
                  <c:v>45323</c:v>
                </c:pt>
                <c:pt idx="5">
                  <c:v>45352</c:v>
                </c:pt>
                <c:pt idx="6">
                  <c:v>45383</c:v>
                </c:pt>
                <c:pt idx="7">
                  <c:v>45413</c:v>
                </c:pt>
                <c:pt idx="8">
                  <c:v>45444</c:v>
                </c:pt>
              </c:numCache>
            </c:numRef>
          </c:cat>
          <c:val>
            <c:numRef>
              <c:f>'Dashboard - Patients'!$G$30:$G$38</c:f>
              <c:numCache>
                <c:formatCode>#,##0</c:formatCode>
                <c:ptCount val="9"/>
                <c:pt idx="0">
                  <c:v>15002</c:v>
                </c:pt>
                <c:pt idx="1">
                  <c:v>15078</c:v>
                </c:pt>
                <c:pt idx="2">
                  <c:v>14557</c:v>
                </c:pt>
                <c:pt idx="3">
                  <c:v>15194</c:v>
                </c:pt>
                <c:pt idx="4">
                  <c:v>14901</c:v>
                </c:pt>
                <c:pt idx="5">
                  <c:v>15062</c:v>
                </c:pt>
                <c:pt idx="6">
                  <c:v>15255</c:v>
                </c:pt>
                <c:pt idx="7">
                  <c:v>15822</c:v>
                </c:pt>
                <c:pt idx="8">
                  <c:v>15195</c:v>
                </c:pt>
              </c:numCache>
            </c:numRef>
          </c:val>
          <c:smooth val="0"/>
          <c:extLst>
            <c:ext xmlns:c16="http://schemas.microsoft.com/office/drawing/2014/chart" uri="{C3380CC4-5D6E-409C-BE32-E72D297353CC}">
              <c16:uniqueId val="{00000001-1FC9-42E0-95C0-67E402B7BA36}"/>
            </c:ext>
          </c:extLst>
        </c:ser>
        <c:dLbls>
          <c:showLegendKey val="0"/>
          <c:showVal val="0"/>
          <c:showCatName val="0"/>
          <c:showSerName val="0"/>
          <c:showPercent val="0"/>
          <c:showBubbleSize val="0"/>
        </c:dLbls>
        <c:marker val="1"/>
        <c:smooth val="0"/>
        <c:axId val="235468288"/>
        <c:axId val="225743936"/>
      </c:lineChart>
      <c:dateAx>
        <c:axId val="235467264"/>
        <c:scaling>
          <c:orientation val="minMax"/>
        </c:scaling>
        <c:delete val="0"/>
        <c:axPos val="b"/>
        <c:numFmt formatCode="mmm\-yy" sourceLinked="1"/>
        <c:majorTickMark val="out"/>
        <c:minorTickMark val="none"/>
        <c:tickLblPos val="nextTo"/>
        <c:txPr>
          <a:bodyPr/>
          <a:lstStyle/>
          <a:p>
            <a:pPr>
              <a:defRPr>
                <a:latin typeface="Aptos" panose="020B0004020202020204" pitchFamily="34" charset="0"/>
              </a:defRPr>
            </a:pPr>
            <a:endParaRPr lang="en-US"/>
          </a:p>
        </c:txPr>
        <c:crossAx val="225743360"/>
        <c:crosses val="autoZero"/>
        <c:auto val="1"/>
        <c:lblOffset val="100"/>
        <c:baseTimeUnit val="months"/>
      </c:dateAx>
      <c:valAx>
        <c:axId val="225743360"/>
        <c:scaling>
          <c:orientation val="minMax"/>
        </c:scaling>
        <c:delete val="0"/>
        <c:axPos val="l"/>
        <c:majorGridlines/>
        <c:title>
          <c:tx>
            <c:rich>
              <a:bodyPr rot="-5400000" vert="horz"/>
              <a:lstStyle/>
              <a:p>
                <a:pPr>
                  <a:defRPr>
                    <a:latin typeface="Aptos" panose="020B0004020202020204" pitchFamily="34" charset="0"/>
                  </a:defRPr>
                </a:pPr>
                <a:r>
                  <a:rPr lang="en-AU">
                    <a:latin typeface="Aptos" panose="020B0004020202020204" pitchFamily="34" charset="0"/>
                  </a:rPr>
                  <a:t>New Patients</a:t>
                </a:r>
              </a:p>
            </c:rich>
          </c:tx>
          <c:overlay val="0"/>
        </c:title>
        <c:numFmt formatCode="General" sourceLinked="1"/>
        <c:majorTickMark val="out"/>
        <c:minorTickMark val="none"/>
        <c:tickLblPos val="nextTo"/>
        <c:txPr>
          <a:bodyPr/>
          <a:lstStyle/>
          <a:p>
            <a:pPr>
              <a:defRPr>
                <a:latin typeface="Aptos" panose="020B0004020202020204" pitchFamily="34" charset="0"/>
              </a:defRPr>
            </a:pPr>
            <a:endParaRPr lang="en-US"/>
          </a:p>
        </c:txPr>
        <c:crossAx val="235467264"/>
        <c:crosses val="autoZero"/>
        <c:crossBetween val="between"/>
      </c:valAx>
      <c:valAx>
        <c:axId val="225743936"/>
        <c:scaling>
          <c:orientation val="minMax"/>
        </c:scaling>
        <c:delete val="0"/>
        <c:axPos val="r"/>
        <c:title>
          <c:tx>
            <c:rich>
              <a:bodyPr/>
              <a:lstStyle/>
              <a:p>
                <a:pPr>
                  <a:defRPr>
                    <a:latin typeface="Aptos" panose="020B0004020202020204" pitchFamily="34" charset="0"/>
                  </a:defRPr>
                </a:pPr>
                <a:r>
                  <a:rPr lang="en-AU">
                    <a:latin typeface="Aptos" panose="020B0004020202020204" pitchFamily="34" charset="0"/>
                  </a:rPr>
                  <a:t>Total Patients</a:t>
                </a:r>
              </a:p>
            </c:rich>
          </c:tx>
          <c:layout>
            <c:manualLayout>
              <c:xMode val="edge"/>
              <c:yMode val="edge"/>
              <c:x val="0.97760548236385214"/>
              <c:y val="0.38481938355181056"/>
            </c:manualLayout>
          </c:layout>
          <c:overlay val="0"/>
        </c:title>
        <c:numFmt formatCode="#,##0" sourceLinked="1"/>
        <c:majorTickMark val="out"/>
        <c:minorTickMark val="none"/>
        <c:tickLblPos val="nextTo"/>
        <c:txPr>
          <a:bodyPr/>
          <a:lstStyle/>
          <a:p>
            <a:pPr>
              <a:defRPr>
                <a:latin typeface="Aptos" panose="020B0004020202020204" pitchFamily="34" charset="0"/>
              </a:defRPr>
            </a:pPr>
            <a:endParaRPr lang="en-US"/>
          </a:p>
        </c:txPr>
        <c:crossAx val="235468288"/>
        <c:crosses val="max"/>
        <c:crossBetween val="between"/>
      </c:valAx>
      <c:dateAx>
        <c:axId val="235468288"/>
        <c:scaling>
          <c:orientation val="minMax"/>
        </c:scaling>
        <c:delete val="1"/>
        <c:axPos val="b"/>
        <c:numFmt formatCode="mmm\-yy" sourceLinked="1"/>
        <c:majorTickMark val="out"/>
        <c:minorTickMark val="none"/>
        <c:tickLblPos val="nextTo"/>
        <c:crossAx val="225743936"/>
        <c:crosses val="autoZero"/>
        <c:auto val="1"/>
        <c:lblOffset val="100"/>
        <c:baseTimeUnit val="months"/>
      </c:dateAx>
    </c:plotArea>
    <c:legend>
      <c:legendPos val="b"/>
      <c:layout>
        <c:manualLayout>
          <c:xMode val="edge"/>
          <c:yMode val="edge"/>
          <c:x val="0.35882473065992126"/>
          <c:y val="0.94927654029221098"/>
          <c:w val="0.28235042585574494"/>
          <c:h val="5.0723459707788979E-2"/>
        </c:manualLayout>
      </c:layout>
      <c:overlay val="0"/>
      <c:txPr>
        <a:bodyPr/>
        <a:lstStyle/>
        <a:p>
          <a:pPr>
            <a:defRPr>
              <a:latin typeface="Aptos" panose="020B0004020202020204" pitchFamily="34" charset="0"/>
            </a:defRPr>
          </a:pPr>
          <a:endParaRPr lang="en-US"/>
        </a:p>
      </c:txPr>
    </c:legend>
    <c:plotVisOnly val="1"/>
    <c:dispBlanksAs val="gap"/>
    <c:showDLblsOverMax val="0"/>
  </c:chart>
  <c:spPr>
    <a:ln w="25400">
      <a:solidFill>
        <a:schemeClr val="tx1">
          <a:lumMod val="50000"/>
          <a:lumOff val="50000"/>
        </a:schemeClr>
      </a:solid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'Dashboard - Episodes'!$Q$1</c:f>
          <c:strCache>
            <c:ptCount val="1"/>
            <c:pt idx="0">
              <c:v>Authorisations and Dispense Events October 2023 - June 2024</c:v>
            </c:pt>
          </c:strCache>
        </c:strRef>
      </c:tx>
      <c:layout>
        <c:manualLayout>
          <c:xMode val="edge"/>
          <c:yMode val="edge"/>
          <c:x val="0.16329269021913884"/>
          <c:y val="2.1156446353296741E-3"/>
        </c:manualLayout>
      </c:layout>
      <c:overlay val="0"/>
      <c:txPr>
        <a:bodyPr/>
        <a:lstStyle/>
        <a:p>
          <a:pPr>
            <a:defRPr>
              <a:latin typeface="Aptos" panose="020B0004020202020204" pitchFamily="34" charset="0"/>
            </a:defRPr>
          </a:pPr>
          <a:endParaRPr lang="en-US"/>
        </a:p>
      </c:txPr>
    </c:title>
    <c:autoTitleDeleted val="0"/>
    <c:plotArea>
      <c:layout>
        <c:manualLayout>
          <c:layoutTarget val="inner"/>
          <c:xMode val="edge"/>
          <c:yMode val="edge"/>
          <c:x val="9.8527921670749613E-2"/>
          <c:y val="7.7675337239769951E-2"/>
          <c:w val="0.79990686388731891"/>
          <c:h val="0.81089281939142244"/>
        </c:manualLayout>
      </c:layout>
      <c:barChart>
        <c:barDir val="col"/>
        <c:grouping val="clustered"/>
        <c:varyColors val="0"/>
        <c:ser>
          <c:idx val="0"/>
          <c:order val="0"/>
          <c:tx>
            <c:strRef>
              <c:f>'Dashboard - Episodes'!$P$45</c:f>
              <c:strCache>
                <c:ptCount val="1"/>
                <c:pt idx="0">
                  <c:v>Authorisations</c:v>
                </c:pt>
              </c:strCache>
            </c:strRef>
          </c:tx>
          <c:spPr>
            <a:pattFill prst="lgConfetti">
              <a:fgClr>
                <a:srgbClr val="FFC02F"/>
              </a:fgClr>
              <a:bgClr>
                <a:srgbClr val="FFD49F"/>
              </a:bgClr>
            </a:pattFill>
            <a:ln w="3175">
              <a:solidFill>
                <a:schemeClr val="tx1">
                  <a:lumMod val="50000"/>
                  <a:lumOff val="50000"/>
                </a:schemeClr>
              </a:solidFill>
            </a:ln>
          </c:spPr>
          <c:invertIfNegative val="0"/>
          <c:cat>
            <c:numRef>
              <c:f>'Dashboard - Episodes'!$O$73:$O$81</c:f>
              <c:numCache>
                <c:formatCode>mmm\-yy</c:formatCode>
                <c:ptCount val="9"/>
                <c:pt idx="0">
                  <c:v>45200</c:v>
                </c:pt>
                <c:pt idx="1">
                  <c:v>45231</c:v>
                </c:pt>
                <c:pt idx="2">
                  <c:v>45261</c:v>
                </c:pt>
                <c:pt idx="3">
                  <c:v>45292</c:v>
                </c:pt>
                <c:pt idx="4">
                  <c:v>45323</c:v>
                </c:pt>
                <c:pt idx="5">
                  <c:v>45352</c:v>
                </c:pt>
                <c:pt idx="6">
                  <c:v>45383</c:v>
                </c:pt>
                <c:pt idx="7">
                  <c:v>45413</c:v>
                </c:pt>
                <c:pt idx="8">
                  <c:v>45444</c:v>
                </c:pt>
              </c:numCache>
            </c:numRef>
          </c:cat>
          <c:val>
            <c:numRef>
              <c:f>'Dashboard - Episodes'!$P$73:$P$81</c:f>
              <c:numCache>
                <c:formatCode>#,##0</c:formatCode>
                <c:ptCount val="9"/>
                <c:pt idx="0">
                  <c:v>1289</c:v>
                </c:pt>
                <c:pt idx="1">
                  <c:v>1291</c:v>
                </c:pt>
                <c:pt idx="2">
                  <c:v>1127</c:v>
                </c:pt>
                <c:pt idx="3">
                  <c:v>1238</c:v>
                </c:pt>
                <c:pt idx="4">
                  <c:v>1174</c:v>
                </c:pt>
                <c:pt idx="5">
                  <c:v>1247</c:v>
                </c:pt>
                <c:pt idx="6">
                  <c:v>1158</c:v>
                </c:pt>
                <c:pt idx="7">
                  <c:v>1421</c:v>
                </c:pt>
                <c:pt idx="8">
                  <c:v>1232</c:v>
                </c:pt>
              </c:numCache>
            </c:numRef>
          </c:val>
          <c:extLst>
            <c:ext xmlns:c16="http://schemas.microsoft.com/office/drawing/2014/chart" uri="{C3380CC4-5D6E-409C-BE32-E72D297353CC}">
              <c16:uniqueId val="{00000000-026D-4612-825B-8850B38528B8}"/>
            </c:ext>
          </c:extLst>
        </c:ser>
        <c:dLbls>
          <c:showLegendKey val="0"/>
          <c:showVal val="0"/>
          <c:showCatName val="0"/>
          <c:showSerName val="0"/>
          <c:showPercent val="0"/>
          <c:showBubbleSize val="0"/>
        </c:dLbls>
        <c:gapWidth val="150"/>
        <c:axId val="235467264"/>
        <c:axId val="225743360"/>
      </c:barChart>
      <c:lineChart>
        <c:grouping val="standard"/>
        <c:varyColors val="0"/>
        <c:ser>
          <c:idx val="1"/>
          <c:order val="1"/>
          <c:tx>
            <c:strRef>
              <c:f>'Dashboard - Episodes'!$R$45</c:f>
              <c:strCache>
                <c:ptCount val="1"/>
                <c:pt idx="0">
                  <c:v>Dispense Events</c:v>
                </c:pt>
              </c:strCache>
            </c:strRef>
          </c:tx>
          <c:spPr>
            <a:ln>
              <a:solidFill>
                <a:schemeClr val="tx1"/>
              </a:solidFill>
            </a:ln>
          </c:spPr>
          <c:marker>
            <c:symbol val="none"/>
          </c:marker>
          <c:cat>
            <c:numRef>
              <c:f>'Dashboard - Episodes'!$O$73:$O$81</c:f>
              <c:numCache>
                <c:formatCode>mmm\-yy</c:formatCode>
                <c:ptCount val="9"/>
                <c:pt idx="0">
                  <c:v>45200</c:v>
                </c:pt>
                <c:pt idx="1">
                  <c:v>45231</c:v>
                </c:pt>
                <c:pt idx="2">
                  <c:v>45261</c:v>
                </c:pt>
                <c:pt idx="3">
                  <c:v>45292</c:v>
                </c:pt>
                <c:pt idx="4">
                  <c:v>45323</c:v>
                </c:pt>
                <c:pt idx="5">
                  <c:v>45352</c:v>
                </c:pt>
                <c:pt idx="6">
                  <c:v>45383</c:v>
                </c:pt>
                <c:pt idx="7">
                  <c:v>45413</c:v>
                </c:pt>
                <c:pt idx="8">
                  <c:v>45444</c:v>
                </c:pt>
              </c:numCache>
            </c:numRef>
          </c:cat>
          <c:val>
            <c:numRef>
              <c:f>'Dashboard - Episodes'!$R$73:$R$81</c:f>
              <c:numCache>
                <c:formatCode>#,##0</c:formatCode>
                <c:ptCount val="9"/>
                <c:pt idx="0">
                  <c:v>26119</c:v>
                </c:pt>
                <c:pt idx="1">
                  <c:v>26143</c:v>
                </c:pt>
                <c:pt idx="2">
                  <c:v>25141</c:v>
                </c:pt>
                <c:pt idx="3">
                  <c:v>27077</c:v>
                </c:pt>
                <c:pt idx="4">
                  <c:v>25592</c:v>
                </c:pt>
                <c:pt idx="5">
                  <c:v>26184</c:v>
                </c:pt>
                <c:pt idx="6">
                  <c:v>26451</c:v>
                </c:pt>
                <c:pt idx="7">
                  <c:v>29558</c:v>
                </c:pt>
                <c:pt idx="8">
                  <c:v>25476</c:v>
                </c:pt>
              </c:numCache>
            </c:numRef>
          </c:val>
          <c:smooth val="0"/>
          <c:extLst>
            <c:ext xmlns:c16="http://schemas.microsoft.com/office/drawing/2014/chart" uri="{C3380CC4-5D6E-409C-BE32-E72D297353CC}">
              <c16:uniqueId val="{00000001-026D-4612-825B-8850B38528B8}"/>
            </c:ext>
          </c:extLst>
        </c:ser>
        <c:dLbls>
          <c:showLegendKey val="0"/>
          <c:showVal val="0"/>
          <c:showCatName val="0"/>
          <c:showSerName val="0"/>
          <c:showPercent val="0"/>
          <c:showBubbleSize val="0"/>
        </c:dLbls>
        <c:marker val="1"/>
        <c:smooth val="0"/>
        <c:axId val="235468288"/>
        <c:axId val="225743936"/>
      </c:lineChart>
      <c:dateAx>
        <c:axId val="235467264"/>
        <c:scaling>
          <c:orientation val="minMax"/>
        </c:scaling>
        <c:delete val="0"/>
        <c:axPos val="b"/>
        <c:numFmt formatCode="mmm\-yy" sourceLinked="1"/>
        <c:majorTickMark val="out"/>
        <c:minorTickMark val="none"/>
        <c:tickLblPos val="nextTo"/>
        <c:txPr>
          <a:bodyPr/>
          <a:lstStyle/>
          <a:p>
            <a:pPr>
              <a:defRPr>
                <a:latin typeface="Aptos" panose="020B0004020202020204" pitchFamily="34" charset="0"/>
              </a:defRPr>
            </a:pPr>
            <a:endParaRPr lang="en-US"/>
          </a:p>
        </c:txPr>
        <c:crossAx val="225743360"/>
        <c:crosses val="autoZero"/>
        <c:auto val="1"/>
        <c:lblOffset val="100"/>
        <c:baseTimeUnit val="months"/>
      </c:dateAx>
      <c:valAx>
        <c:axId val="225743360"/>
        <c:scaling>
          <c:orientation val="minMax"/>
        </c:scaling>
        <c:delete val="0"/>
        <c:axPos val="l"/>
        <c:majorGridlines/>
        <c:title>
          <c:tx>
            <c:rich>
              <a:bodyPr rot="-5400000" vert="horz"/>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Aptos" panose="020B0004020202020204" pitchFamily="34" charset="0"/>
                    <a:ea typeface="+mn-ea"/>
                    <a:cs typeface="+mn-cs"/>
                  </a:defRPr>
                </a:pPr>
                <a:r>
                  <a:rPr lang="en-AU" sz="1000" b="1" i="0" baseline="0">
                    <a:effectLst/>
                    <a:latin typeface="Aptos" panose="020B0004020202020204" pitchFamily="34" charset="0"/>
                  </a:rPr>
                  <a:t>Authorisation Requests</a:t>
                </a:r>
                <a:endParaRPr lang="en-AU" sz="1000">
                  <a:effectLst/>
                  <a:latin typeface="Aptos" panose="020B0004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Aptos" panose="020B0004020202020204" pitchFamily="34" charset="0"/>
                    <a:ea typeface="+mn-ea"/>
                    <a:cs typeface="+mn-cs"/>
                  </a:defRPr>
                </a:pPr>
                <a:endParaRPr lang="en-AU" sz="1000">
                  <a:latin typeface="Aptos" panose="020B0004020202020204" pitchFamily="34" charset="0"/>
                </a:endParaRPr>
              </a:p>
            </c:rich>
          </c:tx>
          <c:layout>
            <c:manualLayout>
              <c:xMode val="edge"/>
              <c:yMode val="edge"/>
              <c:x val="3.280482617706889E-3"/>
              <c:y val="0.38324982104509664"/>
            </c:manualLayout>
          </c:layout>
          <c:overlay val="0"/>
        </c:title>
        <c:numFmt formatCode="#,##0" sourceLinked="1"/>
        <c:majorTickMark val="out"/>
        <c:minorTickMark val="none"/>
        <c:tickLblPos val="nextTo"/>
        <c:crossAx val="235467264"/>
        <c:crosses val="autoZero"/>
        <c:crossBetween val="between"/>
      </c:valAx>
      <c:valAx>
        <c:axId val="225743936"/>
        <c:scaling>
          <c:orientation val="minMax"/>
        </c:scaling>
        <c:delete val="0"/>
        <c:axPos val="r"/>
        <c:title>
          <c:tx>
            <c:rich>
              <a:bodyPr/>
              <a:lstStyle/>
              <a:p>
                <a:pPr>
                  <a:defRPr>
                    <a:latin typeface="Aptos" panose="020B0004020202020204" pitchFamily="34" charset="0"/>
                  </a:defRPr>
                </a:pPr>
                <a:r>
                  <a:rPr lang="en-US">
                    <a:latin typeface="Aptos" panose="020B0004020202020204" pitchFamily="34" charset="0"/>
                  </a:rPr>
                  <a:t>Dispense Events</a:t>
                </a:r>
              </a:p>
            </c:rich>
          </c:tx>
          <c:layout>
            <c:manualLayout>
              <c:xMode val="edge"/>
              <c:yMode val="edge"/>
              <c:x val="0.9724007793910413"/>
              <c:y val="0.36784898857339804"/>
            </c:manualLayout>
          </c:layout>
          <c:overlay val="0"/>
        </c:title>
        <c:numFmt formatCode="#,##0" sourceLinked="0"/>
        <c:majorTickMark val="out"/>
        <c:minorTickMark val="none"/>
        <c:tickLblPos val="nextTo"/>
        <c:crossAx val="235468288"/>
        <c:crosses val="max"/>
        <c:crossBetween val="between"/>
      </c:valAx>
      <c:dateAx>
        <c:axId val="235468288"/>
        <c:scaling>
          <c:orientation val="minMax"/>
        </c:scaling>
        <c:delete val="1"/>
        <c:axPos val="b"/>
        <c:numFmt formatCode="mmm\-yy" sourceLinked="1"/>
        <c:majorTickMark val="out"/>
        <c:minorTickMark val="none"/>
        <c:tickLblPos val="nextTo"/>
        <c:crossAx val="225743936"/>
        <c:crosses val="autoZero"/>
        <c:auto val="1"/>
        <c:lblOffset val="100"/>
        <c:baseTimeUnit val="months"/>
      </c:dateAx>
    </c:plotArea>
    <c:legend>
      <c:legendPos val="b"/>
      <c:layout>
        <c:manualLayout>
          <c:xMode val="edge"/>
          <c:yMode val="edge"/>
          <c:x val="0.34285116316328063"/>
          <c:y val="0.95129181579575284"/>
          <c:w val="0.31429767367343875"/>
          <c:h val="4.8708184204247197E-2"/>
        </c:manualLayout>
      </c:layout>
      <c:overlay val="0"/>
      <c:txPr>
        <a:bodyPr/>
        <a:lstStyle/>
        <a:p>
          <a:pPr>
            <a:defRPr>
              <a:latin typeface="Aptos" panose="020B0004020202020204" pitchFamily="34" charset="0"/>
            </a:defRPr>
          </a:pPr>
          <a:endParaRPr lang="en-US"/>
        </a:p>
      </c:txPr>
    </c:legend>
    <c:plotVisOnly val="1"/>
    <c:dispBlanksAs val="gap"/>
    <c:showDLblsOverMax val="0"/>
  </c:chart>
  <c:spPr>
    <a:ln w="25400">
      <a:solidFill>
        <a:schemeClr val="tx1">
          <a:lumMod val="50000"/>
          <a:lumOff val="50000"/>
        </a:schemeClr>
      </a:solidFill>
    </a:ln>
  </c:sp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E3C108B2A94D6297CA328D3E09FA57"/>
        <w:category>
          <w:name w:val="General"/>
          <w:gallery w:val="placeholder"/>
        </w:category>
        <w:types>
          <w:type w:val="bbPlcHdr"/>
        </w:types>
        <w:behaviors>
          <w:behavior w:val="content"/>
        </w:behaviors>
        <w:guid w:val="{714524EA-6562-42A7-A7E7-4AF4782FD875}"/>
      </w:docPartPr>
      <w:docPartBody>
        <w:p w:rsidR="006E4C2F" w:rsidRDefault="003D765F" w:rsidP="003D765F">
          <w:pPr>
            <w:pStyle w:val="DCE3C108B2A94D6297CA328D3E09FA574"/>
          </w:pPr>
          <w:r w:rsidRPr="005A4625">
            <w:rPr>
              <w:rFonts w:asciiTheme="minorHAnsi" w:hAnsiTheme="minorHAnsi" w:cstheme="minorHAnsi"/>
              <w:b/>
              <w:sz w:val="22"/>
              <w:szCs w:val="22"/>
              <w:highlight w:val="yellow"/>
            </w:rPr>
            <w:t>Click or tap to enter a date.</w:t>
          </w:r>
        </w:p>
      </w:docPartBody>
    </w:docPart>
    <w:docPart>
      <w:docPartPr>
        <w:name w:val="C23FFD6BF3F148BC8C879FF80D9C83B4"/>
        <w:category>
          <w:name w:val="General"/>
          <w:gallery w:val="placeholder"/>
        </w:category>
        <w:types>
          <w:type w:val="bbPlcHdr"/>
        </w:types>
        <w:behaviors>
          <w:behavior w:val="content"/>
        </w:behaviors>
        <w:guid w:val="{165FF81F-4AB7-4A67-8025-86BA1320A8FE}"/>
      </w:docPartPr>
      <w:docPartBody>
        <w:p w:rsidR="006E4C2F" w:rsidRDefault="003D765F" w:rsidP="003D765F">
          <w:pPr>
            <w:pStyle w:val="C23FFD6BF3F148BC8C879FF80D9C83B41"/>
          </w:pPr>
          <w:r w:rsidRPr="005A4625">
            <w:rPr>
              <w:rFonts w:asciiTheme="minorHAnsi" w:hAnsiTheme="minorHAnsi" w:cstheme="minorHAnsi"/>
              <w:b/>
              <w:highlight w:val="yellow"/>
            </w:rPr>
            <w:t>Click or tap to enter last day on month</w:t>
          </w:r>
          <w:r w:rsidRPr="005A4625">
            <w:rPr>
              <w:rStyle w:val="PlaceholderText"/>
              <w:highlight w:val="yellow"/>
            </w:rPr>
            <w:t>.</w:t>
          </w:r>
        </w:p>
      </w:docPartBody>
    </w:docPart>
    <w:docPart>
      <w:docPartPr>
        <w:name w:val="AAB76AA566A849A7B1A730B2347E39E1"/>
        <w:category>
          <w:name w:val="General"/>
          <w:gallery w:val="placeholder"/>
        </w:category>
        <w:types>
          <w:type w:val="bbPlcHdr"/>
        </w:types>
        <w:behaviors>
          <w:behavior w:val="content"/>
        </w:behaviors>
        <w:guid w:val="{4F99CD74-B90D-41A7-B097-66DEC97134D3}"/>
      </w:docPartPr>
      <w:docPartBody>
        <w:p w:rsidR="006E4C2F" w:rsidRDefault="003D765F" w:rsidP="003D765F">
          <w:pPr>
            <w:pStyle w:val="AAB76AA566A849A7B1A730B2347E39E11"/>
          </w:pPr>
          <w:r w:rsidRPr="005A4625">
            <w:rPr>
              <w:rFonts w:asciiTheme="minorHAnsi" w:hAnsiTheme="minorHAnsi" w:cstheme="minorHAnsi"/>
              <w:b/>
              <w:highlight w:val="yellow"/>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5F"/>
    <w:rsid w:val="00130119"/>
    <w:rsid w:val="002C7086"/>
    <w:rsid w:val="003A3F86"/>
    <w:rsid w:val="003D765F"/>
    <w:rsid w:val="00545E2E"/>
    <w:rsid w:val="006444AE"/>
    <w:rsid w:val="006D3018"/>
    <w:rsid w:val="006E4C2F"/>
    <w:rsid w:val="00DD63C0"/>
    <w:rsid w:val="00EA33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D765F"/>
    <w:pPr>
      <w:spacing w:before="120" w:after="120" w:line="240" w:lineRule="auto"/>
      <w:outlineLvl w:val="2"/>
    </w:pPr>
    <w:rPr>
      <w:rFonts w:ascii="Arial" w:eastAsia="Dotum" w:hAnsi="Arial" w:cs="Arial"/>
      <w:color w:val="C60C3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C2F"/>
    <w:rPr>
      <w:color w:val="808080"/>
    </w:rPr>
  </w:style>
  <w:style w:type="character" w:customStyle="1" w:styleId="Heading3Char">
    <w:name w:val="Heading 3 Char"/>
    <w:basedOn w:val="DefaultParagraphFont"/>
    <w:link w:val="Heading3"/>
    <w:uiPriority w:val="9"/>
    <w:semiHidden/>
    <w:rsid w:val="003D765F"/>
    <w:rPr>
      <w:rFonts w:ascii="Arial" w:eastAsia="Dotum" w:hAnsi="Arial" w:cs="Arial"/>
      <w:color w:val="C60C30"/>
      <w:sz w:val="28"/>
      <w:szCs w:val="28"/>
      <w:lang w:eastAsia="en-US"/>
    </w:rPr>
  </w:style>
  <w:style w:type="paragraph" w:customStyle="1" w:styleId="DCE3C108B2A94D6297CA328D3E09FA574">
    <w:name w:val="DCE3C108B2A94D6297CA328D3E09FA574"/>
    <w:rsid w:val="003D765F"/>
    <w:pPr>
      <w:spacing w:before="120" w:after="120" w:line="240" w:lineRule="auto"/>
      <w:outlineLvl w:val="2"/>
    </w:pPr>
    <w:rPr>
      <w:rFonts w:ascii="Arial" w:eastAsia="Dotum" w:hAnsi="Arial" w:cs="Arial"/>
      <w:color w:val="C60C30"/>
      <w:sz w:val="28"/>
      <w:szCs w:val="28"/>
      <w:lang w:eastAsia="en-US"/>
    </w:rPr>
  </w:style>
  <w:style w:type="paragraph" w:customStyle="1" w:styleId="AAB76AA566A849A7B1A730B2347E39E11">
    <w:name w:val="AAB76AA566A849A7B1A730B2347E39E11"/>
    <w:rsid w:val="003D765F"/>
    <w:pPr>
      <w:spacing w:after="200" w:line="240" w:lineRule="auto"/>
    </w:pPr>
    <w:rPr>
      <w:rFonts w:ascii="Calibri" w:eastAsia="Dotum" w:hAnsi="Calibri" w:cs="Calibri"/>
      <w:lang w:eastAsia="en-US"/>
    </w:rPr>
  </w:style>
  <w:style w:type="paragraph" w:customStyle="1" w:styleId="C23FFD6BF3F148BC8C879FF80D9C83B41">
    <w:name w:val="C23FFD6BF3F148BC8C879FF80D9C83B41"/>
    <w:rsid w:val="003D765F"/>
    <w:pPr>
      <w:spacing w:after="200" w:line="240" w:lineRule="auto"/>
    </w:pPr>
    <w:rPr>
      <w:rFonts w:ascii="Calibri" w:eastAsia="Dotum" w:hAnsi="Calibri" w:cs="Calibr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2DE6B-8B0A-4679-BA6A-0A8D5F45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464</Words>
  <Characters>2693</Characters>
  <Application>Microsoft Office Word</Application>
  <DocSecurity>0</DocSecurity>
  <Lines>74</Lines>
  <Paragraphs>34</Paragraphs>
  <ScaleCrop>false</ScaleCrop>
  <HeadingPairs>
    <vt:vector size="2" baseType="variant">
      <vt:variant>
        <vt:lpstr>Title</vt:lpstr>
      </vt:variant>
      <vt:variant>
        <vt:i4>1</vt:i4>
      </vt:variant>
    </vt:vector>
  </HeadingPairs>
  <TitlesOfParts>
    <vt:vector size="1" baseType="lpstr">
      <vt:lpstr/>
    </vt:vector>
  </TitlesOfParts>
  <Company>National Blood Authority</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Whipp, Ainsleigh</dc:creator>
  <cp:keywords/>
  <dc:description/>
  <cp:lastModifiedBy>Tran, Alice</cp:lastModifiedBy>
  <cp:revision>2</cp:revision>
  <dcterms:created xsi:type="dcterms:W3CDTF">2024-09-04T23:03:00Z</dcterms:created>
  <dcterms:modified xsi:type="dcterms:W3CDTF">2024-09-04T23:03:00Z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6,7,8</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MSIP_Label_11d3a1ea-a727-4720-a216-7dae13a61c56_Enabled">
    <vt:lpwstr>true</vt:lpwstr>
  </property>
  <property fmtid="{D5CDD505-2E9C-101B-9397-08002B2CF9AE}" pid="6" name="MSIP_Label_11d3a1ea-a727-4720-a216-7dae13a61c56_SetDate">
    <vt:lpwstr>2024-03-12T23:23:21Z</vt:lpwstr>
  </property>
  <property fmtid="{D5CDD505-2E9C-101B-9397-08002B2CF9AE}" pid="7" name="MSIP_Label_11d3a1ea-a727-4720-a216-7dae13a61c56_Method">
    <vt:lpwstr>Privileged</vt:lpwstr>
  </property>
  <property fmtid="{D5CDD505-2E9C-101B-9397-08002B2CF9AE}" pid="8" name="MSIP_Label_11d3a1ea-a727-4720-a216-7dae13a61c56_Name">
    <vt:lpwstr>OFFICIAL</vt:lpwstr>
  </property>
  <property fmtid="{D5CDD505-2E9C-101B-9397-08002B2CF9AE}" pid="9" name="MSIP_Label_11d3a1ea-a727-4720-a216-7dae13a61c56_SiteId">
    <vt:lpwstr>9c233057-0738-4b40-91b2-3798ceb38ebf</vt:lpwstr>
  </property>
  <property fmtid="{D5CDD505-2E9C-101B-9397-08002B2CF9AE}" pid="10" name="MSIP_Label_11d3a1ea-a727-4720-a216-7dae13a61c56_ActionId">
    <vt:lpwstr>edfeb3bc-f976-4440-8c94-e8431291bdd3</vt:lpwstr>
  </property>
  <property fmtid="{D5CDD505-2E9C-101B-9397-08002B2CF9AE}" pid="11" name="MSIP_Label_11d3a1ea-a727-4720-a216-7dae13a61c56_ContentBits">
    <vt:lpwstr>1</vt:lpwstr>
  </property>
</Properties>
</file>