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DA479" w14:textId="740A9055" w:rsidR="004570C0" w:rsidRDefault="004570C0" w:rsidP="00E94B0F">
      <w:pPr>
        <w:pStyle w:val="Heading1"/>
      </w:pPr>
      <w:r>
        <w:rPr>
          <w:noProof/>
          <w:lang w:eastAsia="en-AU"/>
        </w:rPr>
        <mc:AlternateContent>
          <mc:Choice Requires="wps">
            <w:drawing>
              <wp:anchor distT="0" distB="0" distL="114300" distR="114300" simplePos="0" relativeHeight="251659264" behindDoc="0" locked="0" layoutInCell="1" allowOverlap="1" wp14:anchorId="544FEFEF" wp14:editId="5D459DD2">
                <wp:simplePos x="0" y="0"/>
                <wp:positionH relativeFrom="column">
                  <wp:posOffset>-751576</wp:posOffset>
                </wp:positionH>
                <wp:positionV relativeFrom="paragraph">
                  <wp:posOffset>-704215</wp:posOffset>
                </wp:positionV>
                <wp:extent cx="10382250" cy="20383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0382250" cy="2038350"/>
                        </a:xfrm>
                        <a:prstGeom prst="rect">
                          <a:avLst/>
                        </a:prstGeom>
                        <a:solidFill>
                          <a:schemeClr val="lt1"/>
                        </a:solidFill>
                        <a:ln w="6350">
                          <a:noFill/>
                        </a:ln>
                      </wps:spPr>
                      <wps:txbx>
                        <w:txbxContent>
                          <w:p w14:paraId="4443CDB5" w14:textId="2022A185" w:rsidR="004570C0" w:rsidRDefault="00E160D6">
                            <w:r>
                              <w:rPr>
                                <w:noProof/>
                                <w:lang w:eastAsia="en-AU"/>
                              </w:rPr>
                              <w:drawing>
                                <wp:inline distT="0" distB="0" distL="0" distR="0" wp14:anchorId="6B9B3B30" wp14:editId="68A1622B">
                                  <wp:extent cx="10193020" cy="1718310"/>
                                  <wp:effectExtent l="0" t="0" r="0" b="0"/>
                                  <wp:docPr id="76913216" name="Picture 76913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193020" cy="17183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FEFEF" id="_x0000_t202" coordsize="21600,21600" o:spt="202" path="m,l,21600r21600,l21600,xe">
                <v:stroke joinstyle="miter"/>
                <v:path gradientshapeok="t" o:connecttype="rect"/>
              </v:shapetype>
              <v:shape id="Text Box 1" o:spid="_x0000_s1026" type="#_x0000_t202" style="position:absolute;margin-left:-59.2pt;margin-top:-55.45pt;width:817.5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uxKgIAAFYEAAAOAAAAZHJzL2Uyb0RvYy54bWysVE1v2zAMvQ/YfxB0X5y4adcacYosRYYB&#10;QVsgHXpWZCk2IImapMTOfv0o2WmybqdhF5kUKX48Pnp232lFDsL5BkxJJ6MxJcJwqBqzK+n3l9Wn&#10;W0p8YKZiCowo6VF4ej//+GHW2kLkUIOqhCMYxPiitSWtQ7BFlnleC838CKwwaJTgNAuoul1WOdZi&#10;dK2yfDy+yVpwlXXAhfd4+9Ab6TzFl1Lw8CSlF4GokmJtIZ0undt4ZvMZK3aO2brhQxnsH6rQrDGY&#10;9C3UAwuM7F3zRyjdcAceZBhx0BlI2XCResBuJuN33WxqZkXqBcHx9g0m///C8sfDxj47Erov0OEA&#10;IyCt9YXHy9hPJ52OX6yUoB0hPL7BJrpAeHw0vrrN82u0cTTmqF2hgoGy83vrfPgqQJMolNThYBJe&#10;7LD2oXc9ucR0HlRTrRqlkhLJIJbKkQPDMaqQqsTgv3kpQ9qS3sTU8ZGB+LyPrAzWcu4qSqHbdkOr&#10;W6iOiICDnhze8lWDRa6ZD8/MIRuwMWR4eMJDKsAkMEiU1OB+/u0++uOQ0EpJi+wqqf+xZ05Qor4Z&#10;HN/dZDqNdEzK9Ppzjoq7tGwvLWavl4CdT3CXLE9i9A/qJEoH+hUXYRGzookZjrlLGk7iMvScx0Xi&#10;YrFITkhAy8LabCyPoSNocQQv3StzdphTwBk/womHrHg3rt63h3uxDyCbNMsIcI/qgDuSN7FhWLS4&#10;HZd68jr/Dua/AAAA//8DAFBLAwQUAAYACAAAACEAeXBKCOQAAAAOAQAADwAAAGRycy9kb3ducmV2&#10;LnhtbEyPy07DMBBF90j8gzVIbFBru6WhhDgVQkAldjQ8xM6NhyQiHkexm4S/x2UDuxnN0Z1zs81k&#10;WzZg7xtHCuRcAEMqnWmoUvBSPMzWwHzQZHTrCBV8o4dNfnqS6dS4kZ5x2IWKxRDyqVZQh9ClnPuy&#10;Rqv93HVI8fbpeqtDXPuKm16PMdy2fCFEwq1uKH6odYd3NZZfu4NV8HFRvT/56fF1XK6W3f12KK7e&#10;TKHU+dl0ewMs4BT+YDjqR3XIo9PeHch41iqYSbm+jOzvJK6BHZmVTBJgewULKSTwPOP/a+Q/AAAA&#10;//8DAFBLAQItABQABgAIAAAAIQC2gziS/gAAAOEBAAATAAAAAAAAAAAAAAAAAAAAAABbQ29udGVu&#10;dF9UeXBlc10ueG1sUEsBAi0AFAAGAAgAAAAhADj9If/WAAAAlAEAAAsAAAAAAAAAAAAAAAAALwEA&#10;AF9yZWxzLy5yZWxzUEsBAi0AFAAGAAgAAAAhANba+7EqAgAAVgQAAA4AAAAAAAAAAAAAAAAALgIA&#10;AGRycy9lMm9Eb2MueG1sUEsBAi0AFAAGAAgAAAAhAHlwSgjkAAAADgEAAA8AAAAAAAAAAAAAAAAA&#10;hAQAAGRycy9kb3ducmV2LnhtbFBLBQYAAAAABAAEAPMAAACVBQAAAAA=&#10;" fillcolor="white [3201]" stroked="f" strokeweight=".5pt">
                <v:textbox>
                  <w:txbxContent>
                    <w:p w14:paraId="4443CDB5" w14:textId="2022A185" w:rsidR="004570C0" w:rsidRDefault="00E160D6">
                      <w:r>
                        <w:rPr>
                          <w:noProof/>
                          <w:lang w:eastAsia="en-AU"/>
                        </w:rPr>
                        <w:drawing>
                          <wp:inline distT="0" distB="0" distL="0" distR="0" wp14:anchorId="6B9B3B30" wp14:editId="68A1622B">
                            <wp:extent cx="10193020" cy="1718310"/>
                            <wp:effectExtent l="0" t="0" r="0" b="0"/>
                            <wp:docPr id="76913216" name="Picture 76913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193020" cy="1718310"/>
                                    </a:xfrm>
                                    <a:prstGeom prst="rect">
                                      <a:avLst/>
                                    </a:prstGeom>
                                  </pic:spPr>
                                </pic:pic>
                              </a:graphicData>
                            </a:graphic>
                          </wp:inline>
                        </w:drawing>
                      </w:r>
                    </w:p>
                  </w:txbxContent>
                </v:textbox>
              </v:shape>
            </w:pict>
          </mc:Fallback>
        </mc:AlternateContent>
      </w:r>
    </w:p>
    <w:p w14:paraId="11819E49" w14:textId="1C7AEB1A" w:rsidR="004570C0" w:rsidRDefault="00004552" w:rsidP="00E94B0F">
      <w:pPr>
        <w:pStyle w:val="Heading1"/>
      </w:pPr>
      <w:r>
        <w:rPr>
          <w:noProof/>
          <w:lang w:eastAsia="en-AU"/>
        </w:rPr>
        <mc:AlternateContent>
          <mc:Choice Requires="wps">
            <w:drawing>
              <wp:anchor distT="0" distB="0" distL="114300" distR="114300" simplePos="0" relativeHeight="251660288" behindDoc="0" locked="0" layoutInCell="1" allowOverlap="1" wp14:anchorId="2B5FC9C3" wp14:editId="2C5560F9">
                <wp:simplePos x="0" y="0"/>
                <wp:positionH relativeFrom="column">
                  <wp:posOffset>-647701</wp:posOffset>
                </wp:positionH>
                <wp:positionV relativeFrom="paragraph">
                  <wp:posOffset>536575</wp:posOffset>
                </wp:positionV>
                <wp:extent cx="10183495" cy="666750"/>
                <wp:effectExtent l="0" t="0" r="8255" b="0"/>
                <wp:wrapNone/>
                <wp:docPr id="3" name="Text Box 3"/>
                <wp:cNvGraphicFramePr/>
                <a:graphic xmlns:a="http://schemas.openxmlformats.org/drawingml/2006/main">
                  <a:graphicData uri="http://schemas.microsoft.com/office/word/2010/wordprocessingShape">
                    <wps:wsp>
                      <wps:cNvSpPr txBox="1"/>
                      <wps:spPr>
                        <a:xfrm>
                          <a:off x="0" y="0"/>
                          <a:ext cx="10183495" cy="666750"/>
                        </a:xfrm>
                        <a:prstGeom prst="rect">
                          <a:avLst/>
                        </a:prstGeom>
                        <a:solidFill>
                          <a:schemeClr val="bg1">
                            <a:lumMod val="75000"/>
                          </a:schemeClr>
                        </a:solidFill>
                        <a:ln w="6350">
                          <a:noFill/>
                        </a:ln>
                      </wps:spPr>
                      <wps:txbx>
                        <w:txbxContent>
                          <w:p w14:paraId="181A21BD" w14:textId="77777777" w:rsidR="004570C0" w:rsidRPr="00CD603E" w:rsidRDefault="004570C0" w:rsidP="004570C0">
                            <w:pPr>
                              <w:spacing w:before="200"/>
                              <w:rPr>
                                <w:b/>
                                <w:color w:val="FFFFFF" w:themeColor="background1"/>
                                <w:sz w:val="40"/>
                              </w:rPr>
                            </w:pPr>
                            <w:r w:rsidRPr="00CD603E">
                              <w:rPr>
                                <w:b/>
                                <w:i/>
                                <w:color w:val="FFFFFF" w:themeColor="background1"/>
                                <w:sz w:val="40"/>
                              </w:rPr>
                              <w:t>Criteria for clinical use of immunoglobulin in Australia</w:t>
                            </w:r>
                            <w:r w:rsidRPr="00CD603E">
                              <w:rPr>
                                <w:b/>
                                <w:color w:val="FFFFFF" w:themeColor="background1"/>
                                <w:sz w:val="40"/>
                              </w:rPr>
                              <w:t xml:space="preserve"> (</w:t>
                            </w:r>
                            <w:r>
                              <w:rPr>
                                <w:b/>
                                <w:color w:val="FFFFFF" w:themeColor="background1"/>
                                <w:sz w:val="40"/>
                              </w:rPr>
                              <w:t xml:space="preserve">the </w:t>
                            </w:r>
                            <w:r w:rsidRPr="00CD603E">
                              <w:rPr>
                                <w:b/>
                                <w:color w:val="FFFFFF" w:themeColor="background1"/>
                                <w:sz w:val="40"/>
                              </w:rPr>
                              <w:t>Criteria)</w:t>
                            </w:r>
                          </w:p>
                          <w:p w14:paraId="62ABEE4C" w14:textId="77777777" w:rsidR="004570C0" w:rsidRDefault="004570C0" w:rsidP="004570C0">
                            <w:pPr>
                              <w:spacing w:before="20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FC9C3" id="Text Box 3" o:spid="_x0000_s1027" type="#_x0000_t202" style="position:absolute;margin-left:-51pt;margin-top:42.25pt;width:801.8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yMPwIAAIAEAAAOAAAAZHJzL2Uyb0RvYy54bWysVEtv2zAMvg/YfxB0X2ynSdoacYosRYYB&#10;WVsgHXpWZDk2IImapMTOfv0oOa91Ow27yKRI8fHxo6cPnZJkL6xrQBc0G6SUCM2hbPS2oN9fl5/u&#10;KHGe6ZJJ0KKgB+How+zjh2lrcjGEGmQpLMEg2uWtKWjtvcmTxPFaKOYGYIRGYwVWMY+q3SalZS1G&#10;VzIZpukkacGWxgIXzuHtY2+ksxi/qgT3z1XlhCeyoFibj6eN5yacyWzK8q1lpm74sQz2D1Uo1mhM&#10;eg71yDwjO9v8EUo13IKDyg84qASqquEi9oDdZOm7btY1MyL2guA4c4bJ/b+w/Gm/Ni+W+O4zdDjA&#10;AEhrXO7wMvTTVVaFL1ZK0I4QHs6wic4THh6l2d3N6H5MCUfjZDK5HUdgk8tzY53/IkCRIBTU4lwi&#10;XGy/ch5TouvJJWRzIJty2UgZlcAFsZCW7BlOcbPN4lO5U9+g7O8wYXpKGakT3GPU3yJJTVos8AbL&#10;C4E1hBR9dqnR/dJ4kHy36UhTXoGygfKAWFnoaeQMXzbYz4o5/8Is8gbhwV3wz3hUEjAXHCVKarA/&#10;/3Yf/HGcaKWkRR4W1P3YMSsokV81Dvo+G40CcaMyGt8OUbHXls21Re/UAhCkDLfO8CgGfy9PYmVB&#10;veHKzENWNDHNMXdB/Ulc+H47cOW4mM+jE1LVML/Sa8ND6IBdmNZr98asOY7UIxue4MRYlr+bbO/b&#10;oz7feaiaOPaAc4/qEX6keZzbcSXDHl3r0evy45j9AgAA//8DAFBLAwQUAAYACAAAACEAu5vxjuMA&#10;AAAMAQAADwAAAGRycy9kb3ducmV2LnhtbEyPT0sDMRTE74LfITzBi7TJFqPrutlSChYUhG3rxdvr&#10;Ju4G82dJ0nb99qYnvc1jhnm/qZeTNeSkQtTeCSjmDIhynZfa9QI+9i+zEkhM6CQa75SAHxVh2Vxf&#10;1VhJf3ZbddqlnuQSFysUMKQ0VpTGblAW49yPymXvyweLKZ+hpzLgOZdbQxeMPVCL2uUPA45qPaju&#10;e3e0Alrc7HlAvX7T7+3n692mNVu+EuL2Zlo9A0lqSn9huOBndGgy08EfnYzECJgVbJHHJAHlPQdy&#10;SXBWPAI5ZFU+caBNTf+PaH4BAAD//wMAUEsBAi0AFAAGAAgAAAAhALaDOJL+AAAA4QEAABMAAAAA&#10;AAAAAAAAAAAAAAAAAFtDb250ZW50X1R5cGVzXS54bWxQSwECLQAUAAYACAAAACEAOP0h/9YAAACU&#10;AQAACwAAAAAAAAAAAAAAAAAvAQAAX3JlbHMvLnJlbHNQSwECLQAUAAYACAAAACEARKmMjD8CAACA&#10;BAAADgAAAAAAAAAAAAAAAAAuAgAAZHJzL2Uyb0RvYy54bWxQSwECLQAUAAYACAAAACEAu5vxjuMA&#10;AAAMAQAADwAAAAAAAAAAAAAAAACZBAAAZHJzL2Rvd25yZXYueG1sUEsFBgAAAAAEAAQA8wAAAKkF&#10;AAAAAA==&#10;" fillcolor="#bfbfbf [2412]" stroked="f" strokeweight=".5pt">
                <v:textbox>
                  <w:txbxContent>
                    <w:p w14:paraId="181A21BD" w14:textId="77777777" w:rsidR="004570C0" w:rsidRPr="00CD603E" w:rsidRDefault="004570C0" w:rsidP="004570C0">
                      <w:pPr>
                        <w:spacing w:before="200"/>
                        <w:rPr>
                          <w:b/>
                          <w:color w:val="FFFFFF" w:themeColor="background1"/>
                          <w:sz w:val="40"/>
                        </w:rPr>
                      </w:pPr>
                      <w:r w:rsidRPr="00CD603E">
                        <w:rPr>
                          <w:b/>
                          <w:i/>
                          <w:color w:val="FFFFFF" w:themeColor="background1"/>
                          <w:sz w:val="40"/>
                        </w:rPr>
                        <w:t>Criteria for clinical use of immunoglobulin in Australia</w:t>
                      </w:r>
                      <w:r w:rsidRPr="00CD603E">
                        <w:rPr>
                          <w:b/>
                          <w:color w:val="FFFFFF" w:themeColor="background1"/>
                          <w:sz w:val="40"/>
                        </w:rPr>
                        <w:t xml:space="preserve"> (</w:t>
                      </w:r>
                      <w:r>
                        <w:rPr>
                          <w:b/>
                          <w:color w:val="FFFFFF" w:themeColor="background1"/>
                          <w:sz w:val="40"/>
                        </w:rPr>
                        <w:t xml:space="preserve">the </w:t>
                      </w:r>
                      <w:r w:rsidRPr="00CD603E">
                        <w:rPr>
                          <w:b/>
                          <w:color w:val="FFFFFF" w:themeColor="background1"/>
                          <w:sz w:val="40"/>
                        </w:rPr>
                        <w:t>Criteria)</w:t>
                      </w:r>
                    </w:p>
                    <w:p w14:paraId="62ABEE4C" w14:textId="77777777" w:rsidR="004570C0" w:rsidRDefault="004570C0" w:rsidP="004570C0">
                      <w:pPr>
                        <w:spacing w:before="200"/>
                      </w:pPr>
                    </w:p>
                  </w:txbxContent>
                </v:textbox>
              </v:shape>
            </w:pict>
          </mc:Fallback>
        </mc:AlternateContent>
      </w:r>
    </w:p>
    <w:p w14:paraId="59AC57B6" w14:textId="1E00B70B" w:rsidR="004570C0" w:rsidRDefault="004570C0" w:rsidP="00E94B0F">
      <w:pPr>
        <w:pStyle w:val="Heading1"/>
      </w:pPr>
    </w:p>
    <w:p w14:paraId="57831A61" w14:textId="3457285B" w:rsidR="004570C0" w:rsidRPr="00E45E04" w:rsidRDefault="004570C0" w:rsidP="00E45E04">
      <w:pPr>
        <w:pStyle w:val="Heading1"/>
        <w:spacing w:after="0" w:line="240" w:lineRule="auto"/>
        <w:rPr>
          <w:sz w:val="18"/>
        </w:rPr>
      </w:pPr>
    </w:p>
    <w:p w14:paraId="4E1451BB" w14:textId="56CFE9BC" w:rsidR="00B3726E" w:rsidRDefault="00FF45E6" w:rsidP="00E45E04">
      <w:pPr>
        <w:pStyle w:val="Heading1"/>
        <w:spacing w:before="120" w:after="120" w:line="240" w:lineRule="auto"/>
        <w:ind w:left="-737" w:right="0"/>
      </w:pPr>
      <w:r>
        <w:t>Haematology</w:t>
      </w:r>
      <w:r w:rsidR="004570C0">
        <w:t xml:space="preserve"> Conditions - </w:t>
      </w:r>
      <w:r w:rsidR="00D96C83">
        <w:t>Summary of Criteria Changes</w:t>
      </w:r>
    </w:p>
    <w:p w14:paraId="63C8AD33" w14:textId="77777777" w:rsidR="00716E56" w:rsidRDefault="00716E56" w:rsidP="00716E56">
      <w:pPr>
        <w:ind w:left="-737"/>
      </w:pPr>
      <w:r>
        <w:t xml:space="preserve">The </w:t>
      </w:r>
      <w:r w:rsidRPr="00D96C83">
        <w:rPr>
          <w:i/>
        </w:rPr>
        <w:t>Criteria for clinical use of immunoglobulin in Australia</w:t>
      </w:r>
      <w:r>
        <w:t xml:space="preserve"> (Criteria) is under a continuous review cycle following release of Version 3 on 22 October 2018. The table below summarises subsequent changes made by medical condition and indication to the Criteria following the publication of Version 3. Changes will be applied immediately to new authorisations and to existing authorisations at the next continuing treatment request, unless otherwise stated. This table will be updated when any change is made.</w:t>
      </w:r>
    </w:p>
    <w:tbl>
      <w:tblPr>
        <w:tblStyle w:val="TableGrid"/>
        <w:tblpPr w:leftFromText="180" w:rightFromText="180" w:vertAnchor="text" w:horzAnchor="margin" w:tblpXSpec="center" w:tblpY="465"/>
        <w:tblW w:w="16160" w:type="dxa"/>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620"/>
        <w:gridCol w:w="4660"/>
        <w:gridCol w:w="6476"/>
        <w:gridCol w:w="1413"/>
        <w:gridCol w:w="991"/>
      </w:tblGrid>
      <w:tr w:rsidR="00283560" w:rsidRPr="004570C0" w14:paraId="24372CE6" w14:textId="77777777" w:rsidTr="009C7156">
        <w:trPr>
          <w:cantSplit/>
          <w:trHeight w:val="547"/>
          <w:tblHeader/>
        </w:trPr>
        <w:tc>
          <w:tcPr>
            <w:tcW w:w="2620" w:type="dxa"/>
            <w:shd w:val="clear" w:color="auto" w:fill="F79646" w:themeFill="accent6"/>
            <w:vAlign w:val="center"/>
          </w:tcPr>
          <w:p w14:paraId="2A3A8368" w14:textId="1CF7ABAE" w:rsidR="00283560" w:rsidRPr="004570C0" w:rsidRDefault="00283560" w:rsidP="000661DA">
            <w:pPr>
              <w:tabs>
                <w:tab w:val="left" w:pos="902"/>
              </w:tabs>
              <w:spacing w:before="240" w:after="120"/>
              <w:ind w:left="27"/>
              <w:rPr>
                <w:b/>
                <w:color w:val="FFFFFF" w:themeColor="background1"/>
              </w:rPr>
            </w:pPr>
            <w:r w:rsidRPr="004570C0">
              <w:rPr>
                <w:b/>
                <w:color w:val="FFFFFF" w:themeColor="background1"/>
              </w:rPr>
              <w:t>Medical condition</w:t>
            </w:r>
          </w:p>
        </w:tc>
        <w:tc>
          <w:tcPr>
            <w:tcW w:w="4660" w:type="dxa"/>
            <w:shd w:val="clear" w:color="auto" w:fill="F79646" w:themeFill="accent6"/>
            <w:vAlign w:val="center"/>
          </w:tcPr>
          <w:p w14:paraId="21CFFB88" w14:textId="77777777" w:rsidR="00283560" w:rsidRPr="004570C0" w:rsidRDefault="00283560" w:rsidP="000661DA">
            <w:pPr>
              <w:tabs>
                <w:tab w:val="left" w:pos="902"/>
              </w:tabs>
              <w:spacing w:before="240" w:after="120"/>
              <w:rPr>
                <w:b/>
                <w:color w:val="FFFFFF" w:themeColor="background1"/>
              </w:rPr>
            </w:pPr>
            <w:r w:rsidRPr="004570C0">
              <w:rPr>
                <w:b/>
                <w:color w:val="FFFFFF" w:themeColor="background1"/>
              </w:rPr>
              <w:t>Indication/s</w:t>
            </w:r>
          </w:p>
        </w:tc>
        <w:tc>
          <w:tcPr>
            <w:tcW w:w="6476" w:type="dxa"/>
            <w:shd w:val="clear" w:color="auto" w:fill="F79646" w:themeFill="accent6"/>
            <w:vAlign w:val="center"/>
          </w:tcPr>
          <w:p w14:paraId="42F16693" w14:textId="6481F160" w:rsidR="00283560" w:rsidRPr="004570C0" w:rsidRDefault="00283560" w:rsidP="000661DA">
            <w:pPr>
              <w:tabs>
                <w:tab w:val="left" w:pos="902"/>
              </w:tabs>
              <w:spacing w:before="240" w:after="120"/>
              <w:rPr>
                <w:b/>
                <w:color w:val="FFFFFF" w:themeColor="background1"/>
              </w:rPr>
            </w:pPr>
            <w:r w:rsidRPr="004570C0">
              <w:rPr>
                <w:b/>
                <w:color w:val="FFFFFF" w:themeColor="background1"/>
              </w:rPr>
              <w:t>Summary of changes</w:t>
            </w:r>
          </w:p>
        </w:tc>
        <w:tc>
          <w:tcPr>
            <w:tcW w:w="1413" w:type="dxa"/>
            <w:shd w:val="clear" w:color="auto" w:fill="F79646" w:themeFill="accent6"/>
            <w:vAlign w:val="center"/>
          </w:tcPr>
          <w:p w14:paraId="41F8EAE5" w14:textId="77777777" w:rsidR="00283560" w:rsidRPr="004570C0" w:rsidRDefault="00283560" w:rsidP="000661DA">
            <w:pPr>
              <w:tabs>
                <w:tab w:val="left" w:pos="902"/>
              </w:tabs>
              <w:spacing w:before="240" w:after="120"/>
              <w:ind w:left="-57" w:right="-57"/>
              <w:rPr>
                <w:b/>
                <w:color w:val="FFFFFF" w:themeColor="background1"/>
              </w:rPr>
            </w:pPr>
            <w:r w:rsidRPr="004570C0">
              <w:rPr>
                <w:b/>
                <w:color w:val="FFFFFF" w:themeColor="background1"/>
              </w:rPr>
              <w:t>Date changed</w:t>
            </w:r>
          </w:p>
        </w:tc>
        <w:tc>
          <w:tcPr>
            <w:tcW w:w="991" w:type="dxa"/>
            <w:shd w:val="clear" w:color="auto" w:fill="F79646" w:themeFill="accent6"/>
            <w:vAlign w:val="center"/>
          </w:tcPr>
          <w:p w14:paraId="055836B3" w14:textId="77777777" w:rsidR="00283560" w:rsidRPr="004570C0" w:rsidRDefault="00283560" w:rsidP="000661DA">
            <w:pPr>
              <w:tabs>
                <w:tab w:val="left" w:pos="902"/>
              </w:tabs>
              <w:spacing w:before="120" w:after="120"/>
              <w:rPr>
                <w:b/>
                <w:color w:val="FFFFFF" w:themeColor="background1"/>
              </w:rPr>
            </w:pPr>
            <w:r w:rsidRPr="004570C0">
              <w:rPr>
                <w:b/>
                <w:color w:val="FFFFFF" w:themeColor="background1"/>
              </w:rPr>
              <w:t>Version number</w:t>
            </w:r>
          </w:p>
        </w:tc>
      </w:tr>
      <w:tr w:rsidR="00AB5206" w14:paraId="2CEEDA41" w14:textId="77777777" w:rsidTr="000661DA">
        <w:trPr>
          <w:cantSplit/>
        </w:trPr>
        <w:tc>
          <w:tcPr>
            <w:tcW w:w="2620" w:type="dxa"/>
            <w:vMerge w:val="restart"/>
            <w:vAlign w:val="center"/>
          </w:tcPr>
          <w:p w14:paraId="73C22C0C" w14:textId="77777777" w:rsidR="00AB5206" w:rsidRPr="003728D5" w:rsidRDefault="00AB5206" w:rsidP="000661DA">
            <w:pPr>
              <w:tabs>
                <w:tab w:val="left" w:pos="902"/>
              </w:tabs>
              <w:ind w:left="27"/>
            </w:pPr>
            <w:r w:rsidRPr="003728D5">
              <w:rPr>
                <w:rFonts w:cs="Helvetica"/>
                <w:color w:val="333333"/>
              </w:rPr>
              <w:t>Acquired hypogammaglobulinaemia secondary to haematological malignancies, or post-haemopoietic stem cell transplantation (HSCT)</w:t>
            </w:r>
          </w:p>
        </w:tc>
        <w:tc>
          <w:tcPr>
            <w:tcW w:w="4660" w:type="dxa"/>
            <w:vMerge w:val="restart"/>
            <w:vAlign w:val="center"/>
          </w:tcPr>
          <w:p w14:paraId="7B20C6E9" w14:textId="77777777" w:rsidR="00AB5206" w:rsidRPr="003728D5" w:rsidRDefault="00AB5206" w:rsidP="000661DA">
            <w:pPr>
              <w:pStyle w:val="ListParagraph"/>
              <w:numPr>
                <w:ilvl w:val="0"/>
                <w:numId w:val="6"/>
              </w:numPr>
              <w:tabs>
                <w:tab w:val="left" w:pos="902"/>
              </w:tabs>
            </w:pPr>
            <w:r w:rsidRPr="003728D5">
              <w:t>Prevention of recurrent bacterial infections due to hypogammaglobulinemia associated with haematological malignancies or post haemopoietic stem cell transplant</w:t>
            </w:r>
          </w:p>
        </w:tc>
        <w:tc>
          <w:tcPr>
            <w:tcW w:w="6476" w:type="dxa"/>
            <w:vAlign w:val="center"/>
          </w:tcPr>
          <w:p w14:paraId="030A3531" w14:textId="029810EE" w:rsidR="00AB5206" w:rsidRPr="00653C39" w:rsidRDefault="00C7497E" w:rsidP="000661DA">
            <w:pPr>
              <w:pStyle w:val="ListParagraph"/>
              <w:numPr>
                <w:ilvl w:val="0"/>
                <w:numId w:val="6"/>
              </w:numPr>
              <w:tabs>
                <w:tab w:val="left" w:pos="902"/>
              </w:tabs>
            </w:pPr>
            <w:r w:rsidRPr="00653C39">
              <w:t>C</w:t>
            </w:r>
            <w:r w:rsidR="001A5741" w:rsidRPr="00653C39">
              <w:t>hange</w:t>
            </w:r>
            <w:r w:rsidR="000378E9" w:rsidRPr="00653C39">
              <w:t xml:space="preserve"> to the </w:t>
            </w:r>
            <w:r w:rsidRPr="00653C39">
              <w:t>conditions for additional dose clarifying that the clinician should list the patient’s current IgG level in the comment box</w:t>
            </w:r>
          </w:p>
        </w:tc>
        <w:tc>
          <w:tcPr>
            <w:tcW w:w="1413" w:type="dxa"/>
            <w:vAlign w:val="center"/>
          </w:tcPr>
          <w:p w14:paraId="39A737F9" w14:textId="2B5BE05A" w:rsidR="00AB5206" w:rsidRPr="00653C39" w:rsidRDefault="00E617FE" w:rsidP="000661DA">
            <w:pPr>
              <w:tabs>
                <w:tab w:val="left" w:pos="902"/>
              </w:tabs>
            </w:pPr>
            <w:r w:rsidRPr="00653C39">
              <w:t>December 2024</w:t>
            </w:r>
          </w:p>
        </w:tc>
        <w:tc>
          <w:tcPr>
            <w:tcW w:w="991" w:type="dxa"/>
            <w:vAlign w:val="center"/>
          </w:tcPr>
          <w:p w14:paraId="5F1B1483" w14:textId="498DAD58" w:rsidR="00AB5206" w:rsidRPr="00653C39" w:rsidRDefault="00E617FE" w:rsidP="000661DA">
            <w:pPr>
              <w:tabs>
                <w:tab w:val="left" w:pos="902"/>
              </w:tabs>
            </w:pPr>
            <w:r w:rsidRPr="00653C39">
              <w:t>3.4</w:t>
            </w:r>
          </w:p>
        </w:tc>
      </w:tr>
      <w:tr w:rsidR="00AB5206" w14:paraId="55A68E63" w14:textId="77777777" w:rsidTr="000661DA">
        <w:trPr>
          <w:cantSplit/>
          <w:trHeight w:val="2102"/>
        </w:trPr>
        <w:tc>
          <w:tcPr>
            <w:tcW w:w="2620" w:type="dxa"/>
            <w:vMerge/>
            <w:vAlign w:val="center"/>
          </w:tcPr>
          <w:p w14:paraId="0763B128" w14:textId="77777777" w:rsidR="00AB5206" w:rsidRPr="003728D5" w:rsidRDefault="00AB5206" w:rsidP="000661DA">
            <w:pPr>
              <w:tabs>
                <w:tab w:val="left" w:pos="902"/>
              </w:tabs>
              <w:ind w:left="27"/>
              <w:rPr>
                <w:rFonts w:cs="Helvetica"/>
                <w:color w:val="333333"/>
              </w:rPr>
            </w:pPr>
          </w:p>
        </w:tc>
        <w:tc>
          <w:tcPr>
            <w:tcW w:w="4660" w:type="dxa"/>
            <w:vMerge/>
            <w:vAlign w:val="center"/>
          </w:tcPr>
          <w:p w14:paraId="168FFFD6" w14:textId="77777777" w:rsidR="00AB5206" w:rsidRPr="003728D5" w:rsidRDefault="00AB5206" w:rsidP="000661DA">
            <w:pPr>
              <w:pStyle w:val="ListParagraph"/>
              <w:numPr>
                <w:ilvl w:val="0"/>
                <w:numId w:val="6"/>
              </w:numPr>
              <w:tabs>
                <w:tab w:val="left" w:pos="902"/>
              </w:tabs>
            </w:pPr>
          </w:p>
        </w:tc>
        <w:tc>
          <w:tcPr>
            <w:tcW w:w="6476" w:type="dxa"/>
            <w:vAlign w:val="center"/>
          </w:tcPr>
          <w:p w14:paraId="68C9A59B" w14:textId="77777777" w:rsidR="00AB5206" w:rsidRPr="003728D5" w:rsidRDefault="00AB5206" w:rsidP="000661DA">
            <w:pPr>
              <w:pStyle w:val="ListParagraph"/>
              <w:numPr>
                <w:ilvl w:val="0"/>
                <w:numId w:val="6"/>
              </w:numPr>
              <w:tabs>
                <w:tab w:val="left" w:pos="902"/>
              </w:tabs>
            </w:pPr>
            <w:r w:rsidRPr="003728D5">
              <w:t>The date of test is now only required for the first immunoglobulin level, where more than one Immunoglobulin is tested on the same day</w:t>
            </w:r>
          </w:p>
          <w:p w14:paraId="1AE31902" w14:textId="77777777" w:rsidR="00AB5206" w:rsidRPr="003728D5" w:rsidRDefault="00AB5206" w:rsidP="000661DA">
            <w:pPr>
              <w:pStyle w:val="ListParagraph"/>
              <w:numPr>
                <w:ilvl w:val="0"/>
                <w:numId w:val="6"/>
              </w:numPr>
              <w:tabs>
                <w:tab w:val="left" w:pos="902"/>
              </w:tabs>
            </w:pPr>
            <w:r w:rsidRPr="003728D5">
              <w:t>The interpretation of results values for all Ig levels now include recording of results that are above normal range</w:t>
            </w:r>
          </w:p>
          <w:p w14:paraId="15431235" w14:textId="3910EFD9" w:rsidR="00AB5206" w:rsidRPr="003728D5" w:rsidRDefault="00AB5206" w:rsidP="000661DA">
            <w:pPr>
              <w:pStyle w:val="ListParagraph"/>
              <w:numPr>
                <w:ilvl w:val="0"/>
                <w:numId w:val="6"/>
              </w:numPr>
              <w:tabs>
                <w:tab w:val="left" w:pos="902"/>
              </w:tabs>
            </w:pPr>
            <w:r w:rsidRPr="003728D5">
              <w:t xml:space="preserve">Data entry error has been corrected to remove mandatory field for pre-treatment IgA and IgM levels in </w:t>
            </w:r>
            <w:r w:rsidR="00B05B7F">
              <w:t>q</w:t>
            </w:r>
            <w:r w:rsidRPr="003728D5">
              <w:t xml:space="preserve">ualifying </w:t>
            </w:r>
            <w:r w:rsidR="00B05B7F">
              <w:t>c</w:t>
            </w:r>
            <w:r w:rsidRPr="003728D5">
              <w:t>riteria</w:t>
            </w:r>
          </w:p>
          <w:p w14:paraId="491E42BC" w14:textId="560755FB" w:rsidR="00AB5206" w:rsidRPr="003728D5" w:rsidRDefault="00AB5206" w:rsidP="000661DA">
            <w:pPr>
              <w:pStyle w:val="ListParagraph"/>
              <w:numPr>
                <w:ilvl w:val="0"/>
                <w:numId w:val="6"/>
              </w:numPr>
              <w:tabs>
                <w:tab w:val="left" w:pos="902"/>
              </w:tabs>
            </w:pPr>
            <w:r w:rsidRPr="003728D5">
              <w:lastRenderedPageBreak/>
              <w:t xml:space="preserve">The </w:t>
            </w:r>
            <w:r w:rsidR="00B05B7F">
              <w:t>q</w:t>
            </w:r>
            <w:r w:rsidRPr="003728D5">
              <w:t xml:space="preserve">ualifying </w:t>
            </w:r>
            <w:r w:rsidR="00B05B7F">
              <w:t>p</w:t>
            </w:r>
            <w:r w:rsidRPr="003728D5">
              <w:t xml:space="preserve">ostscript and </w:t>
            </w:r>
            <w:r w:rsidR="00B05B7F">
              <w:t>r</w:t>
            </w:r>
            <w:r w:rsidRPr="003728D5">
              <w:t xml:space="preserve">eview </w:t>
            </w:r>
            <w:r w:rsidR="00B05B7F">
              <w:t>p</w:t>
            </w:r>
            <w:r w:rsidRPr="003728D5">
              <w:t>reamble have been updated to allow any specialist to diagnose and review patients with this medical condition</w:t>
            </w:r>
          </w:p>
          <w:p w14:paraId="28F30B14" w14:textId="3D4D1104" w:rsidR="00AB5206" w:rsidRPr="003728D5" w:rsidRDefault="00AB5206" w:rsidP="000661DA">
            <w:pPr>
              <w:pStyle w:val="ListParagraph"/>
              <w:numPr>
                <w:ilvl w:val="0"/>
                <w:numId w:val="6"/>
              </w:numPr>
              <w:tabs>
                <w:tab w:val="left" w:pos="902"/>
              </w:tabs>
            </w:pPr>
            <w:r w:rsidRPr="003728D5">
              <w:t xml:space="preserve">The trial cessation criterion wording in </w:t>
            </w:r>
            <w:r w:rsidR="00B05B7F">
              <w:t>r</w:t>
            </w:r>
            <w:r w:rsidRPr="003728D5">
              <w:t xml:space="preserve">eview </w:t>
            </w:r>
            <w:r w:rsidR="00B05B7F">
              <w:t>c</w:t>
            </w:r>
            <w:r w:rsidRPr="003728D5">
              <w:t>riteria has been updated to ensure medical officers know it needs to be completed</w:t>
            </w:r>
          </w:p>
          <w:p w14:paraId="2D565FFA" w14:textId="71470E7C" w:rsidR="00AB5206" w:rsidRPr="003728D5" w:rsidRDefault="00AB5206" w:rsidP="000661DA">
            <w:pPr>
              <w:pStyle w:val="ListParagraph"/>
              <w:numPr>
                <w:ilvl w:val="0"/>
                <w:numId w:val="6"/>
              </w:numPr>
            </w:pPr>
            <w:r w:rsidRPr="003728D5">
              <w:t xml:space="preserve">The </w:t>
            </w:r>
            <w:r w:rsidR="00B05B7F">
              <w:t>e</w:t>
            </w:r>
            <w:r w:rsidRPr="003728D5">
              <w:t xml:space="preserve">xclusion </w:t>
            </w:r>
            <w:r w:rsidR="00B05B7F">
              <w:t>c</w:t>
            </w:r>
            <w:r w:rsidRPr="003728D5">
              <w:t xml:space="preserve">riteria has been updated for </w:t>
            </w:r>
            <w:r w:rsidR="00B05B7F">
              <w:t>t</w:t>
            </w:r>
            <w:r w:rsidRPr="003728D5">
              <w:t xml:space="preserve">ransplantation related immunomodulatory therapy in the absence of hypogammaglobulinaemia and the link to </w:t>
            </w:r>
            <w:r w:rsidR="00B05B7F">
              <w:t>s</w:t>
            </w:r>
            <w:r w:rsidRPr="003728D5">
              <w:t>olid organ transplantation has been removed</w:t>
            </w:r>
          </w:p>
        </w:tc>
        <w:tc>
          <w:tcPr>
            <w:tcW w:w="1413" w:type="dxa"/>
            <w:vAlign w:val="center"/>
          </w:tcPr>
          <w:p w14:paraId="65ACCC3D" w14:textId="10FEE365" w:rsidR="00AB5206" w:rsidRPr="003728D5" w:rsidRDefault="00AB5206" w:rsidP="000661DA">
            <w:pPr>
              <w:tabs>
                <w:tab w:val="left" w:pos="902"/>
              </w:tabs>
            </w:pPr>
            <w:r w:rsidRPr="003728D5">
              <w:lastRenderedPageBreak/>
              <w:t>March 2020</w:t>
            </w:r>
          </w:p>
        </w:tc>
        <w:tc>
          <w:tcPr>
            <w:tcW w:w="991" w:type="dxa"/>
            <w:vAlign w:val="center"/>
          </w:tcPr>
          <w:p w14:paraId="312438DF" w14:textId="1D6651E4" w:rsidR="00AB5206" w:rsidRPr="003728D5" w:rsidRDefault="00AB5206" w:rsidP="000661DA">
            <w:pPr>
              <w:tabs>
                <w:tab w:val="left" w:pos="902"/>
              </w:tabs>
            </w:pPr>
            <w:r w:rsidRPr="003728D5">
              <w:t>3.3</w:t>
            </w:r>
          </w:p>
        </w:tc>
      </w:tr>
      <w:tr w:rsidR="00AB5206" w14:paraId="34A57D76" w14:textId="77777777" w:rsidTr="000661DA">
        <w:trPr>
          <w:cantSplit/>
        </w:trPr>
        <w:tc>
          <w:tcPr>
            <w:tcW w:w="2620" w:type="dxa"/>
            <w:vMerge/>
            <w:vAlign w:val="center"/>
          </w:tcPr>
          <w:p w14:paraId="57BF7E66" w14:textId="77777777" w:rsidR="00AB5206" w:rsidRPr="003728D5" w:rsidRDefault="00AB5206" w:rsidP="000661DA">
            <w:pPr>
              <w:tabs>
                <w:tab w:val="left" w:pos="902"/>
              </w:tabs>
              <w:ind w:left="27"/>
              <w:rPr>
                <w:rFonts w:cs="Helvetica"/>
                <w:color w:val="333333"/>
              </w:rPr>
            </w:pPr>
          </w:p>
        </w:tc>
        <w:tc>
          <w:tcPr>
            <w:tcW w:w="4660" w:type="dxa"/>
            <w:vMerge/>
            <w:vAlign w:val="center"/>
          </w:tcPr>
          <w:p w14:paraId="6860FF98" w14:textId="77777777" w:rsidR="00AB5206" w:rsidRPr="003728D5" w:rsidRDefault="00AB5206" w:rsidP="000661DA">
            <w:pPr>
              <w:pStyle w:val="ListParagraph"/>
              <w:numPr>
                <w:ilvl w:val="0"/>
                <w:numId w:val="6"/>
              </w:numPr>
              <w:tabs>
                <w:tab w:val="left" w:pos="902"/>
              </w:tabs>
            </w:pPr>
          </w:p>
        </w:tc>
        <w:tc>
          <w:tcPr>
            <w:tcW w:w="6476" w:type="dxa"/>
            <w:vAlign w:val="center"/>
          </w:tcPr>
          <w:p w14:paraId="5F948782" w14:textId="5CC4ADCF" w:rsidR="00AB5206" w:rsidRPr="003728D5" w:rsidRDefault="00AB5206" w:rsidP="000661DA">
            <w:pPr>
              <w:pStyle w:val="ListParagraph"/>
              <w:numPr>
                <w:ilvl w:val="0"/>
                <w:numId w:val="6"/>
              </w:numPr>
            </w:pPr>
            <w:r w:rsidRPr="003728D5">
              <w:t xml:space="preserve">An additional </w:t>
            </w:r>
            <w:r w:rsidR="00ED7B73" w:rsidRPr="003728D5">
              <w:t>one-off</w:t>
            </w:r>
            <w:r w:rsidRPr="003728D5">
              <w:t xml:space="preserve"> dose is now available during the course of the authorisation in the form of intravenous immunoglobulin or subcutaneous immunoglobulin</w:t>
            </w:r>
          </w:p>
          <w:p w14:paraId="601F8035" w14:textId="4FD9F766" w:rsidR="00AB5206" w:rsidRPr="003728D5" w:rsidRDefault="00AB5206" w:rsidP="000661DA">
            <w:pPr>
              <w:pStyle w:val="ListParagraph"/>
              <w:numPr>
                <w:ilvl w:val="0"/>
                <w:numId w:val="6"/>
              </w:numPr>
            </w:pPr>
            <w:r w:rsidRPr="003728D5">
              <w:t>The maintenance dose has been amended to allow 0.4 – 0.6</w:t>
            </w:r>
            <w:r w:rsidR="00B05B7F">
              <w:t xml:space="preserve"> </w:t>
            </w:r>
            <w:r w:rsidRPr="003728D5">
              <w:t>g/kg every four weeks or more frequently</w:t>
            </w:r>
          </w:p>
          <w:p w14:paraId="6C3A63AD" w14:textId="6815CE6F" w:rsidR="00AB5206" w:rsidRPr="003728D5" w:rsidRDefault="00AB5206" w:rsidP="000661DA">
            <w:pPr>
              <w:pStyle w:val="ListParagraph"/>
              <w:numPr>
                <w:ilvl w:val="0"/>
                <w:numId w:val="6"/>
              </w:numPr>
            </w:pPr>
            <w:r w:rsidRPr="003728D5">
              <w:t>Separate doses are now available for intravenous and subcutaneous immunoglobulin administration.</w:t>
            </w:r>
          </w:p>
        </w:tc>
        <w:tc>
          <w:tcPr>
            <w:tcW w:w="1413" w:type="dxa"/>
            <w:vAlign w:val="center"/>
          </w:tcPr>
          <w:p w14:paraId="170ECE8C" w14:textId="4611FA51" w:rsidR="00AB5206" w:rsidRPr="003728D5" w:rsidRDefault="00AB5206" w:rsidP="000661DA">
            <w:pPr>
              <w:tabs>
                <w:tab w:val="left" w:pos="902"/>
              </w:tabs>
            </w:pPr>
            <w:r w:rsidRPr="003728D5">
              <w:t>October 2019</w:t>
            </w:r>
          </w:p>
        </w:tc>
        <w:tc>
          <w:tcPr>
            <w:tcW w:w="991" w:type="dxa"/>
            <w:vAlign w:val="center"/>
          </w:tcPr>
          <w:p w14:paraId="2E169D83" w14:textId="3ABCCAEB" w:rsidR="00AB5206" w:rsidRPr="003728D5" w:rsidRDefault="00AB5206" w:rsidP="000661DA">
            <w:pPr>
              <w:tabs>
                <w:tab w:val="left" w:pos="902"/>
              </w:tabs>
            </w:pPr>
            <w:r w:rsidRPr="003728D5">
              <w:t>3.1</w:t>
            </w:r>
          </w:p>
        </w:tc>
      </w:tr>
      <w:tr w:rsidR="00AB5206" w14:paraId="2698212D" w14:textId="77777777" w:rsidTr="000661DA">
        <w:trPr>
          <w:cantSplit/>
        </w:trPr>
        <w:tc>
          <w:tcPr>
            <w:tcW w:w="2620" w:type="dxa"/>
            <w:vAlign w:val="center"/>
          </w:tcPr>
          <w:p w14:paraId="71BB5EE3" w14:textId="153553C3" w:rsidR="00AB5206" w:rsidRPr="003728D5" w:rsidRDefault="00AB5206" w:rsidP="000661DA">
            <w:pPr>
              <w:tabs>
                <w:tab w:val="left" w:pos="902"/>
              </w:tabs>
              <w:ind w:left="27"/>
              <w:rPr>
                <w:rFonts w:asciiTheme="minorHAnsi" w:hAnsiTheme="minorHAnsi" w:cstheme="minorHAnsi"/>
                <w:color w:val="333333"/>
              </w:rPr>
            </w:pPr>
            <w:r w:rsidRPr="003728D5">
              <w:rPr>
                <w:rFonts w:asciiTheme="minorHAnsi" w:hAnsiTheme="minorHAnsi" w:cstheme="minorHAnsi"/>
              </w:rPr>
              <w:t>Fetal and neonatal alloimmune thrombocytopenia (FNAIT)</w:t>
            </w:r>
          </w:p>
        </w:tc>
        <w:tc>
          <w:tcPr>
            <w:tcW w:w="4660" w:type="dxa"/>
            <w:vAlign w:val="center"/>
          </w:tcPr>
          <w:p w14:paraId="2A2C11E0" w14:textId="77777777" w:rsidR="00AB5206" w:rsidRDefault="00EB6F45" w:rsidP="000661DA">
            <w:pPr>
              <w:pStyle w:val="ListParagraph"/>
              <w:numPr>
                <w:ilvl w:val="0"/>
                <w:numId w:val="6"/>
              </w:numPr>
              <w:tabs>
                <w:tab w:val="left" w:pos="902"/>
              </w:tabs>
              <w:rPr>
                <w:rFonts w:asciiTheme="minorHAnsi" w:hAnsiTheme="minorHAnsi" w:cstheme="minorHAnsi"/>
              </w:rPr>
            </w:pPr>
            <w:r>
              <w:rPr>
                <w:rFonts w:asciiTheme="minorHAnsi" w:hAnsiTheme="minorHAnsi" w:cstheme="minorHAnsi"/>
              </w:rPr>
              <w:t>Prevention or treatment of fetal thrombocytopenia or haemorrhage where no previous pregnancy affected by FNAIT</w:t>
            </w:r>
          </w:p>
          <w:p w14:paraId="51FF5CE5" w14:textId="77777777" w:rsidR="00EB6F45" w:rsidRDefault="00EB6F45" w:rsidP="000661DA">
            <w:pPr>
              <w:pStyle w:val="ListParagraph"/>
              <w:numPr>
                <w:ilvl w:val="0"/>
                <w:numId w:val="6"/>
              </w:numPr>
              <w:tabs>
                <w:tab w:val="left" w:pos="902"/>
              </w:tabs>
              <w:rPr>
                <w:rFonts w:asciiTheme="minorHAnsi" w:hAnsiTheme="minorHAnsi" w:cstheme="minorHAnsi"/>
              </w:rPr>
            </w:pPr>
            <w:r>
              <w:rPr>
                <w:rFonts w:asciiTheme="minorHAnsi" w:hAnsiTheme="minorHAnsi" w:cstheme="minorHAnsi"/>
              </w:rPr>
              <w:t>Prevention or treatment of fetal alloimmune thrombocytopenia where unexplained previous fetal death or previous sibling affected by FNAIT</w:t>
            </w:r>
          </w:p>
          <w:p w14:paraId="3C342C9E" w14:textId="4408F05B" w:rsidR="00EB6F45" w:rsidRPr="003728D5" w:rsidRDefault="00EB6F45" w:rsidP="000661DA">
            <w:pPr>
              <w:pStyle w:val="ListParagraph"/>
              <w:numPr>
                <w:ilvl w:val="0"/>
                <w:numId w:val="6"/>
              </w:numPr>
              <w:tabs>
                <w:tab w:val="left" w:pos="902"/>
              </w:tabs>
              <w:rPr>
                <w:rFonts w:asciiTheme="minorHAnsi" w:hAnsiTheme="minorHAnsi" w:cstheme="minorHAnsi"/>
              </w:rPr>
            </w:pPr>
            <w:r>
              <w:rPr>
                <w:rFonts w:asciiTheme="minorHAnsi" w:hAnsiTheme="minorHAnsi" w:cstheme="minorHAnsi"/>
              </w:rPr>
              <w:t>Prevention or treatment of neonatal thrombocytopenia or haemorrhage</w:t>
            </w:r>
          </w:p>
        </w:tc>
        <w:tc>
          <w:tcPr>
            <w:tcW w:w="6476" w:type="dxa"/>
            <w:vAlign w:val="center"/>
          </w:tcPr>
          <w:p w14:paraId="38A07082" w14:textId="62191CEF" w:rsidR="00AB5206" w:rsidRPr="003728D5" w:rsidRDefault="00AB5206" w:rsidP="000661DA">
            <w:pPr>
              <w:pStyle w:val="ListParagraph"/>
              <w:numPr>
                <w:ilvl w:val="0"/>
                <w:numId w:val="6"/>
              </w:numPr>
              <w:rPr>
                <w:rFonts w:asciiTheme="minorHAnsi" w:hAnsiTheme="minorHAnsi" w:cstheme="minorHAnsi"/>
              </w:rPr>
            </w:pPr>
            <w:r w:rsidRPr="003728D5">
              <w:rPr>
                <w:rFonts w:asciiTheme="minorHAnsi" w:hAnsiTheme="minorHAnsi" w:cstheme="minorHAnsi"/>
              </w:rPr>
              <w:t>Diagnostic criteria have been updated to replace the term 'Blood Service' with 'Lifeblood'.</w:t>
            </w:r>
          </w:p>
        </w:tc>
        <w:tc>
          <w:tcPr>
            <w:tcW w:w="1413" w:type="dxa"/>
            <w:vAlign w:val="center"/>
          </w:tcPr>
          <w:p w14:paraId="7E08ED29" w14:textId="7EA70589" w:rsidR="00AB5206" w:rsidRPr="003728D5" w:rsidRDefault="00AB5206" w:rsidP="000661DA">
            <w:pPr>
              <w:tabs>
                <w:tab w:val="left" w:pos="902"/>
              </w:tabs>
              <w:rPr>
                <w:rFonts w:asciiTheme="minorHAnsi" w:hAnsiTheme="minorHAnsi" w:cstheme="minorHAnsi"/>
              </w:rPr>
            </w:pPr>
            <w:r w:rsidRPr="003728D5">
              <w:rPr>
                <w:rFonts w:asciiTheme="minorHAnsi" w:hAnsiTheme="minorHAnsi" w:cstheme="minorHAnsi"/>
              </w:rPr>
              <w:t>November 2023</w:t>
            </w:r>
          </w:p>
        </w:tc>
        <w:tc>
          <w:tcPr>
            <w:tcW w:w="991" w:type="dxa"/>
            <w:vAlign w:val="center"/>
          </w:tcPr>
          <w:p w14:paraId="377F381A" w14:textId="6AF3D364" w:rsidR="00AB5206" w:rsidRPr="003728D5" w:rsidRDefault="00AB5206" w:rsidP="000661DA">
            <w:pPr>
              <w:tabs>
                <w:tab w:val="left" w:pos="902"/>
              </w:tabs>
              <w:rPr>
                <w:rFonts w:asciiTheme="minorHAnsi" w:hAnsiTheme="minorHAnsi" w:cstheme="minorHAnsi"/>
              </w:rPr>
            </w:pPr>
            <w:r w:rsidRPr="003728D5">
              <w:rPr>
                <w:rFonts w:asciiTheme="minorHAnsi" w:hAnsiTheme="minorHAnsi" w:cstheme="minorHAnsi"/>
              </w:rPr>
              <w:t>3.1</w:t>
            </w:r>
          </w:p>
        </w:tc>
      </w:tr>
      <w:tr w:rsidR="00AB5206" w14:paraId="5DB6189E" w14:textId="77777777" w:rsidTr="000661DA">
        <w:trPr>
          <w:cantSplit/>
        </w:trPr>
        <w:tc>
          <w:tcPr>
            <w:tcW w:w="2620" w:type="dxa"/>
            <w:vAlign w:val="center"/>
          </w:tcPr>
          <w:p w14:paraId="581DD84C" w14:textId="5B595399" w:rsidR="00AB5206" w:rsidRPr="003728D5" w:rsidRDefault="00AB5206" w:rsidP="000661DA">
            <w:pPr>
              <w:tabs>
                <w:tab w:val="left" w:pos="902"/>
              </w:tabs>
              <w:ind w:left="27"/>
              <w:rPr>
                <w:rFonts w:cs="Helvetica"/>
                <w:color w:val="333333"/>
              </w:rPr>
            </w:pPr>
            <w:r w:rsidRPr="003728D5">
              <w:lastRenderedPageBreak/>
              <w:t>Haemolytic disease of the fetus (HDF)</w:t>
            </w:r>
          </w:p>
        </w:tc>
        <w:tc>
          <w:tcPr>
            <w:tcW w:w="4660" w:type="dxa"/>
            <w:vAlign w:val="center"/>
          </w:tcPr>
          <w:p w14:paraId="0BFFBDC5" w14:textId="0CE8F505" w:rsidR="00AB5206" w:rsidRPr="003728D5" w:rsidRDefault="00AB5206" w:rsidP="000661DA">
            <w:pPr>
              <w:pStyle w:val="ListParagraph"/>
              <w:numPr>
                <w:ilvl w:val="0"/>
                <w:numId w:val="6"/>
              </w:numPr>
              <w:tabs>
                <w:tab w:val="left" w:pos="902"/>
              </w:tabs>
            </w:pPr>
            <w:r w:rsidRPr="003728D5">
              <w:t>Haemolytic disease of the fetus with high risk of early fetal hydrops or death</w:t>
            </w:r>
          </w:p>
        </w:tc>
        <w:tc>
          <w:tcPr>
            <w:tcW w:w="6476" w:type="dxa"/>
            <w:vAlign w:val="center"/>
          </w:tcPr>
          <w:p w14:paraId="6D1FE017" w14:textId="600F8E7B" w:rsidR="00AB5206" w:rsidRPr="003728D5" w:rsidRDefault="00AB5206" w:rsidP="000661DA">
            <w:pPr>
              <w:pStyle w:val="ListParagraph"/>
              <w:numPr>
                <w:ilvl w:val="0"/>
                <w:numId w:val="6"/>
              </w:numPr>
            </w:pPr>
            <w:r w:rsidRPr="003728D5">
              <w:t xml:space="preserve">The </w:t>
            </w:r>
            <w:r w:rsidR="00B05B7F">
              <w:t>d</w:t>
            </w:r>
            <w:r w:rsidRPr="003728D5">
              <w:t xml:space="preserve">escription and </w:t>
            </w:r>
            <w:r w:rsidR="00B05B7F">
              <w:t>d</w:t>
            </w:r>
            <w:r w:rsidRPr="003728D5">
              <w:t xml:space="preserve">iagnostic </w:t>
            </w:r>
            <w:r w:rsidR="00B05B7F">
              <w:t>c</w:t>
            </w:r>
            <w:r w:rsidRPr="003728D5">
              <w:t>riteria has been updated to align with Patient Blood Management Guidelines (PBM) Module 6 - Paediatric and Neonatal</w:t>
            </w:r>
          </w:p>
        </w:tc>
        <w:tc>
          <w:tcPr>
            <w:tcW w:w="1413" w:type="dxa"/>
            <w:vAlign w:val="center"/>
          </w:tcPr>
          <w:p w14:paraId="7AE4D507" w14:textId="08E8CFC7" w:rsidR="00AB5206" w:rsidRPr="003728D5" w:rsidRDefault="00AB5206" w:rsidP="000661DA">
            <w:pPr>
              <w:tabs>
                <w:tab w:val="left" w:pos="902"/>
              </w:tabs>
            </w:pPr>
            <w:r w:rsidRPr="003728D5">
              <w:t>March 2020</w:t>
            </w:r>
          </w:p>
        </w:tc>
        <w:tc>
          <w:tcPr>
            <w:tcW w:w="991" w:type="dxa"/>
            <w:vAlign w:val="center"/>
          </w:tcPr>
          <w:p w14:paraId="37CD655B" w14:textId="463DD58E" w:rsidR="00AB5206" w:rsidRPr="003728D5" w:rsidRDefault="00AB5206" w:rsidP="000661DA">
            <w:pPr>
              <w:tabs>
                <w:tab w:val="left" w:pos="902"/>
              </w:tabs>
            </w:pPr>
            <w:r w:rsidRPr="003728D5">
              <w:t>3.1</w:t>
            </w:r>
          </w:p>
        </w:tc>
      </w:tr>
      <w:tr w:rsidR="00AB5206" w14:paraId="716AC488" w14:textId="77777777" w:rsidTr="000661DA">
        <w:trPr>
          <w:cantSplit/>
        </w:trPr>
        <w:tc>
          <w:tcPr>
            <w:tcW w:w="2620" w:type="dxa"/>
            <w:vAlign w:val="center"/>
          </w:tcPr>
          <w:p w14:paraId="5E91B586" w14:textId="75FB8B46" w:rsidR="00AB5206" w:rsidRPr="003728D5" w:rsidRDefault="00AB5206" w:rsidP="000661DA">
            <w:pPr>
              <w:tabs>
                <w:tab w:val="left" w:pos="902"/>
              </w:tabs>
              <w:ind w:left="27"/>
              <w:rPr>
                <w:rFonts w:asciiTheme="minorHAnsi" w:hAnsiTheme="minorHAnsi" w:cstheme="minorHAnsi"/>
              </w:rPr>
            </w:pPr>
            <w:r w:rsidRPr="003728D5">
              <w:rPr>
                <w:rFonts w:asciiTheme="minorHAnsi" w:hAnsiTheme="minorHAnsi" w:cstheme="minorHAnsi"/>
              </w:rPr>
              <w:t>Immune thrombocytopenic purpura (ITP)</w:t>
            </w:r>
            <w:r w:rsidR="006965F7">
              <w:rPr>
                <w:rFonts w:asciiTheme="minorHAnsi" w:hAnsiTheme="minorHAnsi" w:cstheme="minorHAnsi"/>
              </w:rPr>
              <w:t xml:space="preserve"> - adult</w:t>
            </w:r>
          </w:p>
        </w:tc>
        <w:tc>
          <w:tcPr>
            <w:tcW w:w="4660" w:type="dxa"/>
            <w:vAlign w:val="center"/>
          </w:tcPr>
          <w:p w14:paraId="16EDBBF6" w14:textId="26C91695" w:rsidR="00AB5206" w:rsidRPr="003728D5" w:rsidRDefault="00AB5206" w:rsidP="000661DA">
            <w:pPr>
              <w:pStyle w:val="ListParagraph"/>
              <w:numPr>
                <w:ilvl w:val="0"/>
                <w:numId w:val="6"/>
              </w:numPr>
              <w:tabs>
                <w:tab w:val="left" w:pos="902"/>
              </w:tabs>
              <w:rPr>
                <w:rFonts w:asciiTheme="minorHAnsi" w:hAnsiTheme="minorHAnsi" w:cstheme="minorHAnsi"/>
              </w:rPr>
            </w:pPr>
            <w:r w:rsidRPr="003728D5">
              <w:rPr>
                <w:rFonts w:asciiTheme="minorHAnsi" w:hAnsiTheme="minorHAnsi" w:cstheme="minorHAnsi"/>
                <w:lang w:eastAsia="en-AU"/>
              </w:rPr>
              <w:t>Newly diagnosed or persistent ITP – subsequent therapy (diagnosis &lt; 12 months)</w:t>
            </w:r>
          </w:p>
        </w:tc>
        <w:tc>
          <w:tcPr>
            <w:tcW w:w="6476" w:type="dxa"/>
            <w:vAlign w:val="center"/>
          </w:tcPr>
          <w:p w14:paraId="39507D85" w14:textId="1238D1D3" w:rsidR="00AB5206" w:rsidRPr="003728D5" w:rsidRDefault="00AB5206" w:rsidP="000661DA">
            <w:pPr>
              <w:pStyle w:val="ListParagraph"/>
              <w:numPr>
                <w:ilvl w:val="0"/>
                <w:numId w:val="6"/>
              </w:numPr>
              <w:rPr>
                <w:rFonts w:asciiTheme="minorHAnsi" w:hAnsiTheme="minorHAnsi" w:cstheme="minorHAnsi"/>
              </w:rPr>
            </w:pPr>
            <w:r w:rsidRPr="003728D5">
              <w:rPr>
                <w:rFonts w:asciiTheme="minorHAnsi" w:hAnsiTheme="minorHAnsi" w:cstheme="minorHAnsi"/>
              </w:rPr>
              <w:t xml:space="preserve">Comment section added to </w:t>
            </w:r>
            <w:r w:rsidR="00A40E15">
              <w:rPr>
                <w:rFonts w:asciiTheme="minorHAnsi" w:hAnsiTheme="minorHAnsi" w:cstheme="minorHAnsi"/>
              </w:rPr>
              <w:t>q</w:t>
            </w:r>
            <w:r w:rsidRPr="003728D5">
              <w:rPr>
                <w:rFonts w:asciiTheme="minorHAnsi" w:hAnsiTheme="minorHAnsi" w:cstheme="minorHAnsi"/>
              </w:rPr>
              <w:t>ualifying criteria 4 for evidence item 'There is a risk of clinically significant bleeding'</w:t>
            </w:r>
          </w:p>
        </w:tc>
        <w:tc>
          <w:tcPr>
            <w:tcW w:w="1413" w:type="dxa"/>
            <w:vAlign w:val="center"/>
          </w:tcPr>
          <w:p w14:paraId="5FEC3726" w14:textId="4F3ABCE6" w:rsidR="00AB5206" w:rsidRPr="003728D5" w:rsidRDefault="00AB5206" w:rsidP="000661DA">
            <w:pPr>
              <w:tabs>
                <w:tab w:val="left" w:pos="902"/>
              </w:tabs>
            </w:pPr>
            <w:r w:rsidRPr="003728D5">
              <w:t>November 2023</w:t>
            </w:r>
          </w:p>
        </w:tc>
        <w:tc>
          <w:tcPr>
            <w:tcW w:w="991" w:type="dxa"/>
            <w:vAlign w:val="center"/>
          </w:tcPr>
          <w:p w14:paraId="040C92DC" w14:textId="2549A9FB" w:rsidR="00AB5206" w:rsidRPr="003728D5" w:rsidRDefault="00AB5206" w:rsidP="000661DA">
            <w:pPr>
              <w:tabs>
                <w:tab w:val="left" w:pos="902"/>
              </w:tabs>
            </w:pPr>
            <w:r w:rsidRPr="003728D5">
              <w:t>3.2</w:t>
            </w:r>
          </w:p>
        </w:tc>
      </w:tr>
      <w:tr w:rsidR="00AB5206" w14:paraId="4E55397D" w14:textId="77777777" w:rsidTr="000661DA">
        <w:trPr>
          <w:cantSplit/>
        </w:trPr>
        <w:tc>
          <w:tcPr>
            <w:tcW w:w="2620" w:type="dxa"/>
            <w:vAlign w:val="center"/>
          </w:tcPr>
          <w:p w14:paraId="049EE01E" w14:textId="56C0CB56" w:rsidR="00AB5206" w:rsidRPr="003728D5" w:rsidRDefault="00AB5206" w:rsidP="000661DA">
            <w:pPr>
              <w:tabs>
                <w:tab w:val="left" w:pos="902"/>
              </w:tabs>
              <w:ind w:left="27"/>
              <w:rPr>
                <w:rFonts w:asciiTheme="minorHAnsi" w:hAnsiTheme="minorHAnsi" w:cstheme="minorHAnsi"/>
              </w:rPr>
            </w:pPr>
            <w:r w:rsidRPr="003728D5">
              <w:rPr>
                <w:rFonts w:asciiTheme="minorHAnsi" w:hAnsiTheme="minorHAnsi" w:cstheme="minorHAnsi"/>
              </w:rPr>
              <w:t xml:space="preserve">Immune thrombocytopenic purpura (ITP) - </w:t>
            </w:r>
            <w:r w:rsidR="00B05B7F">
              <w:rPr>
                <w:rFonts w:asciiTheme="minorHAnsi" w:hAnsiTheme="minorHAnsi" w:cstheme="minorHAnsi"/>
              </w:rPr>
              <w:t>c</w:t>
            </w:r>
            <w:r w:rsidRPr="003728D5">
              <w:rPr>
                <w:rFonts w:asciiTheme="minorHAnsi" w:hAnsiTheme="minorHAnsi" w:cstheme="minorHAnsi"/>
              </w:rPr>
              <w:t>hildren</w:t>
            </w:r>
          </w:p>
        </w:tc>
        <w:tc>
          <w:tcPr>
            <w:tcW w:w="4660" w:type="dxa"/>
            <w:vAlign w:val="center"/>
          </w:tcPr>
          <w:p w14:paraId="5E0883D6" w14:textId="6A4F4B04" w:rsidR="00AB5206" w:rsidRPr="003728D5" w:rsidRDefault="00AB5206" w:rsidP="000661DA">
            <w:pPr>
              <w:pStyle w:val="ListParagraph"/>
              <w:numPr>
                <w:ilvl w:val="0"/>
                <w:numId w:val="6"/>
              </w:numPr>
              <w:tabs>
                <w:tab w:val="left" w:pos="902"/>
              </w:tabs>
              <w:rPr>
                <w:rFonts w:asciiTheme="minorHAnsi" w:hAnsiTheme="minorHAnsi" w:cstheme="minorHAnsi"/>
              </w:rPr>
            </w:pPr>
            <w:r w:rsidRPr="003728D5">
              <w:rPr>
                <w:rFonts w:asciiTheme="minorHAnsi" w:eastAsia="Times New Roman" w:hAnsiTheme="minorHAnsi" w:cstheme="minorHAnsi"/>
                <w:lang w:eastAsia="en-AU"/>
              </w:rPr>
              <w:t>Treatment of moderate to severe bleeding in chronic ITP in responsive patients with platelet count less than 30 x 10</w:t>
            </w:r>
            <w:r w:rsidRPr="003728D5">
              <w:rPr>
                <w:rFonts w:asciiTheme="minorHAnsi" w:eastAsia="Times New Roman" w:hAnsiTheme="minorHAnsi" w:cstheme="minorHAnsi"/>
                <w:vertAlign w:val="superscript"/>
                <w:lang w:eastAsia="en-AU"/>
              </w:rPr>
              <w:t>9</w:t>
            </w:r>
            <w:r w:rsidRPr="003728D5">
              <w:rPr>
                <w:rFonts w:asciiTheme="minorHAnsi" w:eastAsia="Times New Roman" w:hAnsiTheme="minorHAnsi" w:cstheme="minorHAnsi"/>
                <w:lang w:eastAsia="en-AU"/>
              </w:rPr>
              <w:t>/L where other therapeutic options have failed or are contraindicated</w:t>
            </w:r>
          </w:p>
        </w:tc>
        <w:tc>
          <w:tcPr>
            <w:tcW w:w="6476" w:type="dxa"/>
            <w:vAlign w:val="center"/>
          </w:tcPr>
          <w:p w14:paraId="07B697A4" w14:textId="3618D902" w:rsidR="00AB5206" w:rsidRPr="003728D5" w:rsidRDefault="00AB5206" w:rsidP="000661DA">
            <w:pPr>
              <w:pStyle w:val="ListParagraph"/>
              <w:numPr>
                <w:ilvl w:val="0"/>
                <w:numId w:val="6"/>
              </w:numPr>
              <w:rPr>
                <w:rFonts w:asciiTheme="minorHAnsi" w:hAnsiTheme="minorHAnsi" w:cstheme="minorHAnsi"/>
              </w:rPr>
            </w:pPr>
            <w:r w:rsidRPr="003728D5">
              <w:rPr>
                <w:rFonts w:asciiTheme="minorHAnsi" w:hAnsiTheme="minorHAnsi" w:cstheme="minorHAnsi"/>
              </w:rPr>
              <w:t xml:space="preserve">The </w:t>
            </w:r>
            <w:r w:rsidR="00A40E15">
              <w:rPr>
                <w:rFonts w:asciiTheme="minorHAnsi" w:hAnsiTheme="minorHAnsi" w:cstheme="minorHAnsi"/>
              </w:rPr>
              <w:t>m</w:t>
            </w:r>
            <w:r w:rsidRPr="003728D5">
              <w:rPr>
                <w:rFonts w:asciiTheme="minorHAnsi" w:hAnsiTheme="minorHAnsi" w:cstheme="minorHAnsi"/>
              </w:rPr>
              <w:t>ultiplication symbol (</w:t>
            </w:r>
            <w:r w:rsidR="00B05B7F">
              <w:rPr>
                <w:rFonts w:asciiTheme="minorHAnsi" w:hAnsiTheme="minorHAnsi" w:cstheme="minorHAnsi"/>
              </w:rPr>
              <w:t>x</w:t>
            </w:r>
            <w:r w:rsidRPr="003728D5">
              <w:rPr>
                <w:rFonts w:asciiTheme="minorHAnsi" w:hAnsiTheme="minorHAnsi" w:cstheme="minorHAnsi"/>
              </w:rPr>
              <w:t xml:space="preserve">) has been added to the unit of measure in qualifying </w:t>
            </w:r>
            <w:r w:rsidR="00B05B7F">
              <w:rPr>
                <w:rFonts w:asciiTheme="minorHAnsi" w:hAnsiTheme="minorHAnsi" w:cstheme="minorHAnsi"/>
              </w:rPr>
              <w:t>c</w:t>
            </w:r>
            <w:r w:rsidRPr="003728D5">
              <w:rPr>
                <w:rFonts w:asciiTheme="minorHAnsi" w:hAnsiTheme="minorHAnsi" w:cstheme="minorHAnsi"/>
              </w:rPr>
              <w:t>riteria 3.</w:t>
            </w:r>
          </w:p>
        </w:tc>
        <w:tc>
          <w:tcPr>
            <w:tcW w:w="1413" w:type="dxa"/>
            <w:vAlign w:val="center"/>
          </w:tcPr>
          <w:p w14:paraId="02E41B77" w14:textId="02CD293E" w:rsidR="00AB5206" w:rsidRPr="003728D5" w:rsidRDefault="00AB5206" w:rsidP="000661DA">
            <w:pPr>
              <w:tabs>
                <w:tab w:val="left" w:pos="902"/>
              </w:tabs>
            </w:pPr>
            <w:r w:rsidRPr="003728D5">
              <w:t>November 2023</w:t>
            </w:r>
          </w:p>
        </w:tc>
        <w:tc>
          <w:tcPr>
            <w:tcW w:w="991" w:type="dxa"/>
            <w:vAlign w:val="center"/>
          </w:tcPr>
          <w:p w14:paraId="03FE5024" w14:textId="2B26F630" w:rsidR="00AB5206" w:rsidRPr="003728D5" w:rsidRDefault="00AB5206" w:rsidP="000661DA">
            <w:pPr>
              <w:tabs>
                <w:tab w:val="left" w:pos="902"/>
              </w:tabs>
            </w:pPr>
            <w:r w:rsidRPr="003728D5">
              <w:t>3.2</w:t>
            </w:r>
          </w:p>
        </w:tc>
      </w:tr>
      <w:tr w:rsidR="00AB5206" w14:paraId="2EED35B6" w14:textId="77777777" w:rsidTr="000661DA">
        <w:trPr>
          <w:cantSplit/>
        </w:trPr>
        <w:tc>
          <w:tcPr>
            <w:tcW w:w="2620" w:type="dxa"/>
            <w:vAlign w:val="center"/>
          </w:tcPr>
          <w:p w14:paraId="29F0CB3F" w14:textId="4D367157" w:rsidR="00AB5206" w:rsidRPr="003728D5" w:rsidRDefault="00AB5206" w:rsidP="000661DA">
            <w:pPr>
              <w:tabs>
                <w:tab w:val="left" w:pos="902"/>
              </w:tabs>
              <w:ind w:left="27"/>
              <w:rPr>
                <w:rFonts w:cs="Helvetica"/>
                <w:color w:val="333333"/>
              </w:rPr>
            </w:pPr>
            <w:r w:rsidRPr="003728D5">
              <w:t>Neonatal haemochromatosis (NH)</w:t>
            </w:r>
          </w:p>
        </w:tc>
        <w:tc>
          <w:tcPr>
            <w:tcW w:w="4660" w:type="dxa"/>
            <w:vAlign w:val="center"/>
          </w:tcPr>
          <w:p w14:paraId="15B2030F" w14:textId="3CA6FEC2" w:rsidR="00AB5206" w:rsidRPr="003728D5" w:rsidRDefault="00AB5206" w:rsidP="000661DA">
            <w:pPr>
              <w:pStyle w:val="ListParagraph"/>
              <w:numPr>
                <w:ilvl w:val="0"/>
                <w:numId w:val="6"/>
              </w:numPr>
              <w:tabs>
                <w:tab w:val="left" w:pos="902"/>
              </w:tabs>
            </w:pPr>
            <w:r w:rsidRPr="003728D5">
              <w:t>Pregnant women who have had a previous pregnancy affected by neonatal haemochromatosis</w:t>
            </w:r>
          </w:p>
        </w:tc>
        <w:tc>
          <w:tcPr>
            <w:tcW w:w="6476" w:type="dxa"/>
            <w:vAlign w:val="center"/>
          </w:tcPr>
          <w:p w14:paraId="692C21C0" w14:textId="279D5B02" w:rsidR="00AB5206" w:rsidRPr="003728D5" w:rsidRDefault="00AB5206" w:rsidP="000661DA">
            <w:pPr>
              <w:pStyle w:val="ListParagraph"/>
              <w:numPr>
                <w:ilvl w:val="0"/>
                <w:numId w:val="6"/>
              </w:numPr>
            </w:pPr>
            <w:r w:rsidRPr="003728D5">
              <w:t>The dosing controls have been updated to allow divisions.</w:t>
            </w:r>
          </w:p>
        </w:tc>
        <w:tc>
          <w:tcPr>
            <w:tcW w:w="1413" w:type="dxa"/>
            <w:vAlign w:val="center"/>
          </w:tcPr>
          <w:p w14:paraId="5D17B1A4" w14:textId="497BEB91" w:rsidR="00AB5206" w:rsidRPr="003728D5" w:rsidRDefault="00AB5206" w:rsidP="000661DA">
            <w:pPr>
              <w:tabs>
                <w:tab w:val="left" w:pos="902"/>
              </w:tabs>
            </w:pPr>
            <w:r w:rsidRPr="003728D5">
              <w:t>Mar</w:t>
            </w:r>
            <w:r>
              <w:t>c</w:t>
            </w:r>
            <w:r w:rsidRPr="003728D5">
              <w:t>h 2020</w:t>
            </w:r>
          </w:p>
        </w:tc>
        <w:tc>
          <w:tcPr>
            <w:tcW w:w="991" w:type="dxa"/>
            <w:vAlign w:val="center"/>
          </w:tcPr>
          <w:p w14:paraId="7106DA2F" w14:textId="6D2ED48D" w:rsidR="00AB5206" w:rsidRPr="003728D5" w:rsidRDefault="00AB5206" w:rsidP="000661DA">
            <w:pPr>
              <w:tabs>
                <w:tab w:val="left" w:pos="902"/>
              </w:tabs>
            </w:pPr>
            <w:r w:rsidRPr="003728D5">
              <w:t>3.1</w:t>
            </w:r>
          </w:p>
        </w:tc>
      </w:tr>
      <w:tr w:rsidR="00AB5206" w14:paraId="07A67660" w14:textId="77777777" w:rsidTr="000661DA">
        <w:trPr>
          <w:cantSplit/>
        </w:trPr>
        <w:tc>
          <w:tcPr>
            <w:tcW w:w="2620" w:type="dxa"/>
            <w:vAlign w:val="center"/>
          </w:tcPr>
          <w:p w14:paraId="51562CB7" w14:textId="433FB8E2" w:rsidR="00AB5206" w:rsidRPr="003728D5" w:rsidRDefault="00AB5206" w:rsidP="000661DA">
            <w:pPr>
              <w:tabs>
                <w:tab w:val="left" w:pos="902"/>
              </w:tabs>
              <w:ind w:left="27"/>
            </w:pPr>
            <w:r w:rsidRPr="003728D5">
              <w:t>Post-transfusion purpura (PTP)</w:t>
            </w:r>
          </w:p>
        </w:tc>
        <w:tc>
          <w:tcPr>
            <w:tcW w:w="4660" w:type="dxa"/>
            <w:vAlign w:val="center"/>
          </w:tcPr>
          <w:p w14:paraId="71FE4F0E" w14:textId="31303A1E" w:rsidR="00AB5206" w:rsidRPr="003728D5" w:rsidRDefault="00C53B07" w:rsidP="000661DA">
            <w:pPr>
              <w:pStyle w:val="ListParagraph"/>
              <w:numPr>
                <w:ilvl w:val="0"/>
                <w:numId w:val="6"/>
              </w:numPr>
              <w:tabs>
                <w:tab w:val="left" w:pos="902"/>
              </w:tabs>
            </w:pPr>
            <w:r>
              <w:rPr>
                <w:rFonts w:asciiTheme="minorHAnsi" w:hAnsiTheme="minorHAnsi" w:cstheme="minorHAnsi"/>
              </w:rPr>
              <w:t>PTP or suspected PTP with thrombocytopenia associated with a risk of life-threatening bleeding</w:t>
            </w:r>
          </w:p>
        </w:tc>
        <w:tc>
          <w:tcPr>
            <w:tcW w:w="6476" w:type="dxa"/>
            <w:vAlign w:val="center"/>
          </w:tcPr>
          <w:p w14:paraId="442BBF7A" w14:textId="4662962E" w:rsidR="00AB5206" w:rsidRPr="003728D5" w:rsidRDefault="00AB5206" w:rsidP="000661DA">
            <w:pPr>
              <w:pStyle w:val="ListParagraph"/>
              <w:numPr>
                <w:ilvl w:val="0"/>
                <w:numId w:val="6"/>
              </w:numPr>
            </w:pPr>
            <w:r w:rsidRPr="003728D5">
              <w:rPr>
                <w:rFonts w:asciiTheme="minorHAnsi" w:hAnsiTheme="minorHAnsi" w:cstheme="minorHAnsi"/>
              </w:rPr>
              <w:t>Diagnostic criteria have been updated to replace the term 'Blood Service' with 'Lifeblood'.</w:t>
            </w:r>
          </w:p>
        </w:tc>
        <w:tc>
          <w:tcPr>
            <w:tcW w:w="1413" w:type="dxa"/>
            <w:vAlign w:val="center"/>
          </w:tcPr>
          <w:p w14:paraId="5D5D7AAB" w14:textId="4F282A7E" w:rsidR="00AB5206" w:rsidRPr="003728D5" w:rsidRDefault="00AB5206" w:rsidP="000661DA">
            <w:pPr>
              <w:tabs>
                <w:tab w:val="left" w:pos="902"/>
              </w:tabs>
            </w:pPr>
            <w:r w:rsidRPr="003728D5">
              <w:rPr>
                <w:rFonts w:asciiTheme="minorHAnsi" w:hAnsiTheme="minorHAnsi" w:cstheme="minorHAnsi"/>
              </w:rPr>
              <w:t>November 2023</w:t>
            </w:r>
          </w:p>
        </w:tc>
        <w:tc>
          <w:tcPr>
            <w:tcW w:w="991" w:type="dxa"/>
            <w:vAlign w:val="center"/>
          </w:tcPr>
          <w:p w14:paraId="6637D9AC" w14:textId="52F2FE10" w:rsidR="00AB5206" w:rsidRPr="003728D5" w:rsidRDefault="00AB5206" w:rsidP="000661DA">
            <w:pPr>
              <w:tabs>
                <w:tab w:val="left" w:pos="902"/>
              </w:tabs>
            </w:pPr>
            <w:r w:rsidRPr="003728D5">
              <w:rPr>
                <w:rFonts w:asciiTheme="minorHAnsi" w:hAnsiTheme="minorHAnsi" w:cstheme="minorHAnsi"/>
              </w:rPr>
              <w:t>3.1</w:t>
            </w:r>
          </w:p>
        </w:tc>
      </w:tr>
      <w:tr w:rsidR="00AB5206" w14:paraId="48C5D76C" w14:textId="77777777" w:rsidTr="000661DA">
        <w:trPr>
          <w:cantSplit/>
        </w:trPr>
        <w:tc>
          <w:tcPr>
            <w:tcW w:w="2620" w:type="dxa"/>
            <w:vAlign w:val="center"/>
          </w:tcPr>
          <w:p w14:paraId="6ECBEECD" w14:textId="77777777" w:rsidR="00AB5206" w:rsidRPr="003728D5" w:rsidRDefault="00AB5206" w:rsidP="000661DA">
            <w:pPr>
              <w:pStyle w:val="Heading4"/>
              <w:shd w:val="clear" w:color="auto" w:fill="FFFFFF"/>
              <w:spacing w:after="75"/>
              <w:rPr>
                <w:rFonts w:ascii="Calibri" w:hAnsi="Calibri" w:cs="Calibri"/>
                <w:b w:val="0"/>
              </w:rPr>
            </w:pPr>
            <w:r w:rsidRPr="003728D5">
              <w:rPr>
                <w:rFonts w:ascii="Calibri" w:hAnsi="Calibri" w:cs="Calibri"/>
                <w:b w:val="0"/>
              </w:rPr>
              <w:t>Vaccine induced immune thrombotic thrombocytopenia (VITT)/ Vaccine induced prothrombotic immune thrombocytopenia (VIPIT)</w:t>
            </w:r>
          </w:p>
          <w:p w14:paraId="61BECBD0" w14:textId="77777777" w:rsidR="00AB5206" w:rsidRPr="003728D5" w:rsidRDefault="00AB5206" w:rsidP="000661DA">
            <w:pPr>
              <w:tabs>
                <w:tab w:val="left" w:pos="902"/>
              </w:tabs>
              <w:ind w:left="27"/>
            </w:pPr>
          </w:p>
        </w:tc>
        <w:tc>
          <w:tcPr>
            <w:tcW w:w="4660" w:type="dxa"/>
            <w:vAlign w:val="center"/>
          </w:tcPr>
          <w:p w14:paraId="20953195" w14:textId="77777777" w:rsidR="00AB5206" w:rsidRPr="003728D5" w:rsidRDefault="00AB5206" w:rsidP="000661DA">
            <w:pPr>
              <w:pStyle w:val="ListParagraph"/>
              <w:numPr>
                <w:ilvl w:val="0"/>
                <w:numId w:val="6"/>
              </w:numPr>
            </w:pPr>
            <w:r w:rsidRPr="003728D5">
              <w:t>Treatment of vaccine induced immune thrombotic thrombocytopenia (VITT)</w:t>
            </w:r>
          </w:p>
          <w:p w14:paraId="6F9DCC44" w14:textId="77777777" w:rsidR="00AB5206" w:rsidRPr="003728D5" w:rsidRDefault="00AB5206" w:rsidP="000661DA">
            <w:pPr>
              <w:pStyle w:val="ListParagraph"/>
              <w:tabs>
                <w:tab w:val="left" w:pos="902"/>
              </w:tabs>
              <w:ind w:left="360"/>
            </w:pPr>
          </w:p>
        </w:tc>
        <w:tc>
          <w:tcPr>
            <w:tcW w:w="6476" w:type="dxa"/>
            <w:vAlign w:val="center"/>
          </w:tcPr>
          <w:p w14:paraId="169BD79B" w14:textId="2F15163B" w:rsidR="00AB5206" w:rsidRPr="003728D5" w:rsidRDefault="00AB5206" w:rsidP="000661DA">
            <w:pPr>
              <w:pStyle w:val="ListParagraph"/>
              <w:numPr>
                <w:ilvl w:val="0"/>
                <w:numId w:val="6"/>
              </w:numPr>
              <w:rPr>
                <w:lang w:val="en-US"/>
              </w:rPr>
            </w:pPr>
            <w:r w:rsidRPr="003728D5">
              <w:rPr>
                <w:lang w:val="en-US"/>
              </w:rPr>
              <w:t>The NBA has temporarily added VITT as a new condition in the Criteria to enable supply of intravenous immunoglobulin under the national blood arrangements. This is based on advice received from the NBA’s Haematology Specialist Working Group as well as jurisdictions, including the Commonwealth.</w:t>
            </w:r>
          </w:p>
          <w:p w14:paraId="13B24783" w14:textId="72DAA5CA" w:rsidR="00AB5206" w:rsidRPr="003728D5" w:rsidRDefault="00AB5206" w:rsidP="000661DA">
            <w:pPr>
              <w:pStyle w:val="ListParagraph"/>
              <w:ind w:left="360"/>
            </w:pPr>
          </w:p>
        </w:tc>
        <w:tc>
          <w:tcPr>
            <w:tcW w:w="1413" w:type="dxa"/>
            <w:vAlign w:val="center"/>
          </w:tcPr>
          <w:p w14:paraId="396E3B57" w14:textId="73AB0ACE" w:rsidR="00AB5206" w:rsidRPr="003728D5" w:rsidRDefault="00AB5206" w:rsidP="000661DA">
            <w:pPr>
              <w:tabs>
                <w:tab w:val="left" w:pos="902"/>
              </w:tabs>
            </w:pPr>
            <w:r w:rsidRPr="003728D5">
              <w:t>April 2021</w:t>
            </w:r>
          </w:p>
        </w:tc>
        <w:tc>
          <w:tcPr>
            <w:tcW w:w="991" w:type="dxa"/>
            <w:vAlign w:val="center"/>
          </w:tcPr>
          <w:p w14:paraId="54E74EC6" w14:textId="03CA7534" w:rsidR="00AB5206" w:rsidRPr="003728D5" w:rsidRDefault="00AB5206" w:rsidP="000661DA">
            <w:pPr>
              <w:tabs>
                <w:tab w:val="left" w:pos="902"/>
              </w:tabs>
            </w:pPr>
            <w:r w:rsidRPr="003728D5">
              <w:t>3.0</w:t>
            </w:r>
          </w:p>
        </w:tc>
      </w:tr>
    </w:tbl>
    <w:p w14:paraId="1F0DDFA2" w14:textId="1549480E" w:rsidR="00E90271" w:rsidRDefault="00E90271" w:rsidP="00D96C83"/>
    <w:p w14:paraId="375E062C" w14:textId="77777777" w:rsidR="00283560" w:rsidRPr="00D96C83" w:rsidRDefault="00283560" w:rsidP="00D96C83"/>
    <w:sectPr w:rsidR="00283560" w:rsidRPr="00D96C83" w:rsidSect="00004552">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40" w:right="1440" w:bottom="1133" w:left="1440" w:header="708" w:footer="708" w:gutter="0"/>
      <w:pgBorders w:offsetFrom="page">
        <w:top w:val="single" w:sz="48" w:space="15" w:color="F79646" w:themeColor="accent6"/>
        <w:left w:val="single" w:sz="48" w:space="15" w:color="F79646" w:themeColor="accent6"/>
        <w:bottom w:val="single" w:sz="48" w:space="15" w:color="F79646" w:themeColor="accent6"/>
        <w:right w:val="single" w:sz="48" w:space="15" w:color="F79646" w:themeColor="accent6"/>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5ECB3" w14:textId="77777777" w:rsidR="00C90A01" w:rsidRDefault="00C90A01" w:rsidP="00856708">
      <w:pPr>
        <w:spacing w:after="0"/>
      </w:pPr>
      <w:r>
        <w:separator/>
      </w:r>
    </w:p>
  </w:endnote>
  <w:endnote w:type="continuationSeparator" w:id="0">
    <w:p w14:paraId="11EFFD5D" w14:textId="77777777" w:rsidR="00C90A01" w:rsidRDefault="00C90A01" w:rsidP="008567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YGothic-Extra">
    <w:panose1 w:val="00000000000000000000"/>
    <w:charset w:val="81"/>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C94C3" w14:textId="77777777" w:rsidR="00E4678F" w:rsidRDefault="00E46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0A758" w14:textId="7E95DAED" w:rsidR="00E66B16" w:rsidRDefault="00C16D7B" w:rsidP="00C16D7B">
    <w:pPr>
      <w:pStyle w:val="Footer"/>
      <w:tabs>
        <w:tab w:val="clear" w:pos="9026"/>
        <w:tab w:val="right" w:pos="9356"/>
      </w:tabs>
      <w:ind w:right="-284"/>
      <w:rPr>
        <w:sz w:val="20"/>
        <w:szCs w:val="20"/>
      </w:rPr>
    </w:pPr>
    <w:r>
      <w:rPr>
        <w:rStyle w:val="Heading3Char"/>
      </w:rPr>
      <w:tab/>
    </w:r>
    <w:r w:rsidR="00856708" w:rsidRPr="00856708">
      <w:rPr>
        <w:sz w:val="20"/>
        <w:szCs w:val="20"/>
      </w:rPr>
      <w:tab/>
    </w:r>
    <w:r>
      <w:rPr>
        <w:sz w:val="20"/>
        <w:szCs w:val="20"/>
      </w:rPr>
      <w:t xml:space="preserve"> </w:t>
    </w:r>
    <w:r w:rsidR="00E66B16">
      <w:rPr>
        <w:sz w:val="20"/>
        <w:szCs w:val="20"/>
      </w:rPr>
      <w:t xml:space="preserve">      </w:t>
    </w:r>
    <w:r w:rsidR="00601625">
      <w:rPr>
        <w:sz w:val="20"/>
        <w:szCs w:val="20"/>
      </w:rPr>
      <w:tab/>
    </w:r>
    <w:r>
      <w:rPr>
        <w:sz w:val="20"/>
        <w:szCs w:val="20"/>
      </w:rPr>
      <w:t xml:space="preserve"> </w:t>
    </w:r>
  </w:p>
  <w:tbl>
    <w:tblPr>
      <w:tblStyle w:val="TableGrid"/>
      <w:tblW w:w="1502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5"/>
      <w:gridCol w:w="3005"/>
      <w:gridCol w:w="3006"/>
    </w:tblGrid>
    <w:tr w:rsidR="00E66B16" w14:paraId="2A0DDD41" w14:textId="77777777" w:rsidTr="00E66B16">
      <w:tc>
        <w:tcPr>
          <w:tcW w:w="3005" w:type="dxa"/>
        </w:tcPr>
        <w:p w14:paraId="2A20D80F" w14:textId="679BFF7A" w:rsidR="00E66B16" w:rsidRDefault="00E66B16" w:rsidP="00E66B16">
          <w:pPr>
            <w:pStyle w:val="Footer"/>
            <w:tabs>
              <w:tab w:val="clear" w:pos="9026"/>
              <w:tab w:val="right" w:pos="9356"/>
            </w:tabs>
            <w:ind w:right="-284"/>
            <w:rPr>
              <w:sz w:val="20"/>
              <w:szCs w:val="20"/>
            </w:rPr>
          </w:pPr>
          <w:r w:rsidRPr="00C16D7B">
            <w:rPr>
              <w:noProof/>
              <w:sz w:val="20"/>
              <w:szCs w:val="20"/>
              <w:lang w:eastAsia="en-AU"/>
            </w:rPr>
            <w:drawing>
              <wp:inline distT="0" distB="0" distL="0" distR="0" wp14:anchorId="66A4CD06" wp14:editId="359D7DA3">
                <wp:extent cx="1339851" cy="371475"/>
                <wp:effectExtent l="0" t="0" r="0" b="0"/>
                <wp:docPr id="8" name="Picture 8" descr="\\nba.local\data\Users\83449654\My Documents\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ba.local\data\Users\83449654\My Documents\My Pictur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629" cy="386662"/>
                        </a:xfrm>
                        <a:prstGeom prst="rect">
                          <a:avLst/>
                        </a:prstGeom>
                        <a:noFill/>
                        <a:ln>
                          <a:noFill/>
                        </a:ln>
                      </pic:spPr>
                    </pic:pic>
                  </a:graphicData>
                </a:graphic>
              </wp:inline>
            </w:drawing>
          </w:r>
        </w:p>
      </w:tc>
      <w:tc>
        <w:tcPr>
          <w:tcW w:w="3005" w:type="dxa"/>
        </w:tcPr>
        <w:p w14:paraId="490D7377" w14:textId="3DA97088" w:rsidR="00E66B16" w:rsidRDefault="00E66B16" w:rsidP="00E66B16">
          <w:pPr>
            <w:pStyle w:val="Footer"/>
            <w:tabs>
              <w:tab w:val="clear" w:pos="9026"/>
              <w:tab w:val="right" w:pos="9356"/>
            </w:tabs>
            <w:spacing w:before="120" w:after="120"/>
            <w:ind w:right="-284"/>
            <w:rPr>
              <w:sz w:val="20"/>
              <w:szCs w:val="20"/>
            </w:rPr>
          </w:pPr>
          <w:hyperlink r:id="rId2" w:history="1">
            <w:r w:rsidRPr="00961955">
              <w:rPr>
                <w:rStyle w:val="Hyperlink"/>
                <w:rFonts w:ascii="Arial" w:hAnsi="Arial" w:cs="Arial"/>
                <w:sz w:val="28"/>
                <w:szCs w:val="28"/>
              </w:rPr>
              <w:t>www.blood.gov.au</w:t>
            </w:r>
          </w:hyperlink>
        </w:p>
      </w:tc>
      <w:tc>
        <w:tcPr>
          <w:tcW w:w="3005" w:type="dxa"/>
        </w:tcPr>
        <w:p w14:paraId="6C9CF9BA" w14:textId="77777777" w:rsidR="00E66B16" w:rsidRPr="00601625" w:rsidRDefault="00E66B16" w:rsidP="00E66B16">
          <w:pPr>
            <w:spacing w:before="60"/>
            <w:jc w:val="center"/>
            <w:rPr>
              <w:sz w:val="14"/>
            </w:rPr>
          </w:pPr>
          <w:r w:rsidRPr="00601625">
            <w:rPr>
              <w:sz w:val="14"/>
            </w:rPr>
            <w:t xml:space="preserve">Visit </w:t>
          </w:r>
          <w:hyperlink r:id="rId3" w:history="1">
            <w:r w:rsidRPr="00601625">
              <w:rPr>
                <w:rStyle w:val="Hyperlink"/>
                <w:sz w:val="14"/>
              </w:rPr>
              <w:t>www.blood.gov.au/Ig-governance</w:t>
            </w:r>
          </w:hyperlink>
        </w:p>
        <w:p w14:paraId="5D254C3B" w14:textId="77777777" w:rsidR="00E66B16" w:rsidRPr="00601625" w:rsidRDefault="00E66B16" w:rsidP="00E66B16">
          <w:pPr>
            <w:jc w:val="center"/>
            <w:rPr>
              <w:sz w:val="14"/>
            </w:rPr>
          </w:pPr>
          <w:r w:rsidRPr="00601625">
            <w:rPr>
              <w:sz w:val="14"/>
            </w:rPr>
            <w:t>for more information about</w:t>
          </w:r>
        </w:p>
        <w:p w14:paraId="24138907" w14:textId="4FED4CF9" w:rsidR="00E66B16" w:rsidRPr="00E66B16" w:rsidRDefault="00E66B16" w:rsidP="00E66B16">
          <w:pPr>
            <w:jc w:val="center"/>
            <w:rPr>
              <w:sz w:val="18"/>
            </w:rPr>
          </w:pPr>
          <w:r w:rsidRPr="00601625">
            <w:rPr>
              <w:sz w:val="14"/>
            </w:rPr>
            <w:t>Ig Governance and the Criteria</w:t>
          </w:r>
        </w:p>
      </w:tc>
      <w:tc>
        <w:tcPr>
          <w:tcW w:w="3005" w:type="dxa"/>
        </w:tcPr>
        <w:p w14:paraId="1C7CA17E" w14:textId="2BE81C50" w:rsidR="00E66B16" w:rsidRDefault="00E66B16" w:rsidP="00E66B16">
          <w:pPr>
            <w:pStyle w:val="Footer"/>
            <w:tabs>
              <w:tab w:val="clear" w:pos="9026"/>
              <w:tab w:val="right" w:pos="9356"/>
            </w:tabs>
            <w:ind w:right="-284"/>
            <w:jc w:val="center"/>
            <w:rPr>
              <w:sz w:val="20"/>
              <w:szCs w:val="20"/>
            </w:rPr>
          </w:pPr>
          <w:r w:rsidRPr="00C16D7B">
            <w:rPr>
              <w:noProof/>
              <w:sz w:val="20"/>
              <w:szCs w:val="20"/>
              <w:lang w:eastAsia="en-AU"/>
            </w:rPr>
            <w:drawing>
              <wp:inline distT="0" distB="0" distL="0" distR="0" wp14:anchorId="0293018F" wp14:editId="5CAF6BEB">
                <wp:extent cx="1181100" cy="410493"/>
                <wp:effectExtent l="0" t="0" r="0" b="8890"/>
                <wp:docPr id="9" name="Picture 9" descr="G:\Logos\IgGovernance\Ig Governance(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ogos\IgGovernance\Ig Governance(300 dpi).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6832" cy="422912"/>
                        </a:xfrm>
                        <a:prstGeom prst="rect">
                          <a:avLst/>
                        </a:prstGeom>
                        <a:noFill/>
                        <a:ln>
                          <a:noFill/>
                        </a:ln>
                      </pic:spPr>
                    </pic:pic>
                  </a:graphicData>
                </a:graphic>
              </wp:inline>
            </w:drawing>
          </w:r>
        </w:p>
      </w:tc>
      <w:tc>
        <w:tcPr>
          <w:tcW w:w="3006" w:type="dxa"/>
        </w:tcPr>
        <w:p w14:paraId="744C3157" w14:textId="6FE9FF90" w:rsidR="00E66B16" w:rsidRDefault="00E66B16" w:rsidP="00E66B16">
          <w:pPr>
            <w:pStyle w:val="Footer"/>
            <w:tabs>
              <w:tab w:val="clear" w:pos="9026"/>
              <w:tab w:val="right" w:pos="9356"/>
            </w:tabs>
            <w:spacing w:before="160"/>
            <w:ind w:right="-284"/>
            <w:jc w:val="center"/>
            <w:rPr>
              <w:sz w:val="20"/>
              <w:szCs w:val="20"/>
            </w:rPr>
          </w:pPr>
          <w:r w:rsidRPr="00C16D7B">
            <w:rPr>
              <w:noProof/>
              <w:sz w:val="20"/>
              <w:szCs w:val="20"/>
              <w:lang w:eastAsia="en-AU"/>
            </w:rPr>
            <w:drawing>
              <wp:inline distT="0" distB="0" distL="0" distR="0" wp14:anchorId="7EFE308B" wp14:editId="052D5B08">
                <wp:extent cx="1538696" cy="231699"/>
                <wp:effectExtent l="0" t="0" r="4445" b="0"/>
                <wp:docPr id="10" name="Picture 10" descr="G:\Logos\NBA\NBA System Logos\BloodStar\BloodStar logo\BLOOD_STAR_GRADIENT_v1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Logos\NBA\NBA System Logos\BloodStar\BloodStar logo\BLOOD_STAR_GRADIENT_v13-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5877" cy="252356"/>
                        </a:xfrm>
                        <a:prstGeom prst="rect">
                          <a:avLst/>
                        </a:prstGeom>
                        <a:noFill/>
                        <a:ln>
                          <a:noFill/>
                        </a:ln>
                      </pic:spPr>
                    </pic:pic>
                  </a:graphicData>
                </a:graphic>
              </wp:inline>
            </w:drawing>
          </w:r>
        </w:p>
      </w:tc>
    </w:tr>
  </w:tbl>
  <w:p w14:paraId="6DDC5162" w14:textId="110EA504" w:rsidR="00856708" w:rsidRPr="00856708" w:rsidRDefault="00601625" w:rsidP="00C16D7B">
    <w:pPr>
      <w:pStyle w:val="Footer"/>
      <w:tabs>
        <w:tab w:val="clear" w:pos="9026"/>
        <w:tab w:val="right" w:pos="9356"/>
      </w:tabs>
      <w:ind w:right="-284"/>
      <w:rPr>
        <w:sz w:val="20"/>
        <w:szCs w:val="20"/>
      </w:rPr>
    </w:pPr>
    <w:r>
      <w:rPr>
        <w:sz w:val="20"/>
        <w:szCs w:val="20"/>
      </w:rPr>
      <w:tab/>
    </w:r>
    <w:r>
      <w:rPr>
        <w:sz w:val="20"/>
        <w:szCs w:val="20"/>
      </w:rPr>
      <w:tab/>
    </w:r>
    <w:r w:rsidR="00E66B16">
      <w:rPr>
        <w:sz w:val="20"/>
        <w:szCs w:val="20"/>
      </w:rPr>
      <w:tab/>
    </w:r>
    <w:r w:rsidR="00E66B16">
      <w:rPr>
        <w:sz w:val="20"/>
        <w:szCs w:val="20"/>
      </w:rPr>
      <w:tab/>
    </w:r>
    <w:r w:rsidR="00E66B16">
      <w:rPr>
        <w:sz w:val="20"/>
        <w:szCs w:val="20"/>
      </w:rPr>
      <w:tab/>
    </w:r>
    <w:r w:rsidR="00E66B16">
      <w:rPr>
        <w:sz w:val="20"/>
        <w:szCs w:val="20"/>
      </w:rPr>
      <w:tab/>
    </w:r>
    <w:r w:rsidR="00E66B16">
      <w:rPr>
        <w:sz w:val="20"/>
        <w:szCs w:val="20"/>
      </w:rPr>
      <w:tab/>
    </w:r>
    <w:r w:rsidR="00E66B16">
      <w:rPr>
        <w:sz w:val="20"/>
        <w:szCs w:val="20"/>
      </w:rPr>
      <w:tab/>
    </w:r>
    <w:r w:rsidR="00E66B16">
      <w:rPr>
        <w:sz w:val="20"/>
        <w:szCs w:val="20"/>
      </w:rPr>
      <w:tab/>
    </w:r>
    <w:r w:rsidR="00856708" w:rsidRPr="00856708">
      <w:rPr>
        <w:sz w:val="20"/>
        <w:szCs w:val="20"/>
      </w:rPr>
      <w:t xml:space="preserve">pg. </w:t>
    </w:r>
    <w:r w:rsidR="00856708" w:rsidRPr="00856708">
      <w:rPr>
        <w:sz w:val="20"/>
        <w:szCs w:val="20"/>
      </w:rPr>
      <w:fldChar w:fldCharType="begin"/>
    </w:r>
    <w:r w:rsidR="00856708" w:rsidRPr="00856708">
      <w:rPr>
        <w:sz w:val="20"/>
        <w:szCs w:val="20"/>
      </w:rPr>
      <w:instrText xml:space="preserve"> PAGE    \* MERGEFORMAT </w:instrText>
    </w:r>
    <w:r w:rsidR="00856708" w:rsidRPr="00856708">
      <w:rPr>
        <w:sz w:val="20"/>
        <w:szCs w:val="20"/>
      </w:rPr>
      <w:fldChar w:fldCharType="separate"/>
    </w:r>
    <w:r w:rsidR="00EA4369">
      <w:rPr>
        <w:noProof/>
        <w:sz w:val="20"/>
        <w:szCs w:val="20"/>
      </w:rPr>
      <w:t>2</w:t>
    </w:r>
    <w:r w:rsidR="00856708" w:rsidRPr="00856708">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3F45B" w14:textId="77777777" w:rsidR="00E4678F" w:rsidRDefault="00E46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162C6" w14:textId="77777777" w:rsidR="00C90A01" w:rsidRDefault="00C90A01" w:rsidP="00856708">
      <w:pPr>
        <w:spacing w:after="0"/>
      </w:pPr>
      <w:r>
        <w:separator/>
      </w:r>
    </w:p>
  </w:footnote>
  <w:footnote w:type="continuationSeparator" w:id="0">
    <w:p w14:paraId="1BACD679" w14:textId="77777777" w:rsidR="00C90A01" w:rsidRDefault="00C90A01" w:rsidP="008567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2B02A" w14:textId="4785098E" w:rsidR="00E4678F" w:rsidRDefault="00E4678F">
    <w:pPr>
      <w:pStyle w:val="Header"/>
    </w:pPr>
    <w:r>
      <w:rPr>
        <w:noProof/>
      </w:rPr>
      <mc:AlternateContent>
        <mc:Choice Requires="wps">
          <w:drawing>
            <wp:anchor distT="0" distB="0" distL="0" distR="0" simplePos="0" relativeHeight="251659264" behindDoc="0" locked="0" layoutInCell="1" allowOverlap="1" wp14:anchorId="55CC563D" wp14:editId="037DEE21">
              <wp:simplePos x="635" y="635"/>
              <wp:positionH relativeFrom="column">
                <wp:align>center</wp:align>
              </wp:positionH>
              <wp:positionV relativeFrom="paragraph">
                <wp:posOffset>635</wp:posOffset>
              </wp:positionV>
              <wp:extent cx="443865" cy="443865"/>
              <wp:effectExtent l="0" t="0" r="635" b="10795"/>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A3B7EE" w14:textId="0DD410FD" w:rsidR="00E4678F" w:rsidRPr="00E4678F" w:rsidRDefault="00E4678F">
                          <w:pPr>
                            <w:rPr>
                              <w:rFonts w:eastAsia="Calibri"/>
                              <w:color w:val="FF0000"/>
                              <w:sz w:val="24"/>
                              <w:szCs w:val="24"/>
                            </w:rPr>
                          </w:pPr>
                          <w:r w:rsidRPr="00E4678F">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5CC563D" id="_x0000_t202" coordsize="21600,21600" o:spt="202" path="m,l,21600r21600,l21600,xe">
              <v:stroke joinstyle="miter"/>
              <v:path gradientshapeok="t" o:connecttype="rect"/>
            </v:shapetype>
            <v:shape id="Text Box 5" o:spid="_x0000_s1028"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2A3B7EE" w14:textId="0DD410FD" w:rsidR="00E4678F" w:rsidRPr="00E4678F" w:rsidRDefault="00E4678F">
                    <w:pPr>
                      <w:rPr>
                        <w:rFonts w:eastAsia="Calibri"/>
                        <w:color w:val="FF0000"/>
                        <w:sz w:val="24"/>
                        <w:szCs w:val="24"/>
                      </w:rPr>
                    </w:pPr>
                    <w:r w:rsidRPr="00E4678F">
                      <w:rPr>
                        <w:rFonts w:eastAsia="Calibri"/>
                        <w:color w:val="FF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9EA23" w14:textId="553FD10F" w:rsidR="00E4678F" w:rsidRDefault="00E4678F">
    <w:pPr>
      <w:pStyle w:val="Header"/>
    </w:pPr>
    <w:r>
      <w:rPr>
        <w:noProof/>
      </w:rPr>
      <mc:AlternateContent>
        <mc:Choice Requires="wps">
          <w:drawing>
            <wp:anchor distT="0" distB="0" distL="0" distR="0" simplePos="0" relativeHeight="251660288" behindDoc="0" locked="0" layoutInCell="1" allowOverlap="1" wp14:anchorId="0C441B46" wp14:editId="35E0C41D">
              <wp:simplePos x="914400" y="450273"/>
              <wp:positionH relativeFrom="column">
                <wp:align>center</wp:align>
              </wp:positionH>
              <wp:positionV relativeFrom="paragraph">
                <wp:posOffset>635</wp:posOffset>
              </wp:positionV>
              <wp:extent cx="443865" cy="443865"/>
              <wp:effectExtent l="0" t="0" r="635" b="10795"/>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E0E3D1" w14:textId="2090C66F" w:rsidR="00E4678F" w:rsidRPr="00E4678F" w:rsidRDefault="00E4678F">
                          <w:pPr>
                            <w:rPr>
                              <w:rFonts w:eastAsia="Calibri"/>
                              <w:color w:val="FF0000"/>
                              <w:sz w:val="24"/>
                              <w:szCs w:val="24"/>
                            </w:rPr>
                          </w:pPr>
                          <w:r w:rsidRPr="00E4678F">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441B46" id="_x0000_t202" coordsize="21600,21600" o:spt="202" path="m,l,21600r21600,l21600,xe">
              <v:stroke joinstyle="miter"/>
              <v:path gradientshapeok="t" o:connecttype="rect"/>
            </v:shapetype>
            <v:shape id="Text Box 6" o:spid="_x0000_s1029"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AE0E3D1" w14:textId="2090C66F" w:rsidR="00E4678F" w:rsidRPr="00E4678F" w:rsidRDefault="00E4678F">
                    <w:pPr>
                      <w:rPr>
                        <w:rFonts w:eastAsia="Calibri"/>
                        <w:color w:val="FF0000"/>
                        <w:sz w:val="24"/>
                        <w:szCs w:val="24"/>
                      </w:rPr>
                    </w:pPr>
                    <w:r w:rsidRPr="00E4678F">
                      <w:rPr>
                        <w:rFonts w:eastAsia="Calibri"/>
                        <w:color w:val="FF0000"/>
                        <w:sz w:val="24"/>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14FD6" w14:textId="715CAB8A" w:rsidR="00E4678F" w:rsidRDefault="00E4678F">
    <w:pPr>
      <w:pStyle w:val="Header"/>
    </w:pPr>
    <w:r>
      <w:rPr>
        <w:noProof/>
      </w:rPr>
      <mc:AlternateContent>
        <mc:Choice Requires="wps">
          <w:drawing>
            <wp:anchor distT="0" distB="0" distL="0" distR="0" simplePos="0" relativeHeight="251658240" behindDoc="0" locked="0" layoutInCell="1" allowOverlap="1" wp14:anchorId="0B2DAE52" wp14:editId="0B4EA112">
              <wp:simplePos x="914400" y="450273"/>
              <wp:positionH relativeFrom="column">
                <wp:align>center</wp:align>
              </wp:positionH>
              <wp:positionV relativeFrom="paragraph">
                <wp:posOffset>635</wp:posOffset>
              </wp:positionV>
              <wp:extent cx="443865" cy="443865"/>
              <wp:effectExtent l="0" t="0" r="635" b="10795"/>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3C243A" w14:textId="5F46916C" w:rsidR="00E4678F" w:rsidRPr="00E4678F" w:rsidRDefault="00E4678F">
                          <w:pPr>
                            <w:rPr>
                              <w:rFonts w:eastAsia="Calibri"/>
                              <w:color w:val="FF0000"/>
                              <w:sz w:val="24"/>
                              <w:szCs w:val="24"/>
                            </w:rPr>
                          </w:pPr>
                          <w:r w:rsidRPr="00E4678F">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B2DAE52" id="_x0000_t202" coordsize="21600,21600" o:spt="202" path="m,l,21600r21600,l21600,xe">
              <v:stroke joinstyle="miter"/>
              <v:path gradientshapeok="t" o:connecttype="rect"/>
            </v:shapetype>
            <v:shape id="Text Box 4" o:spid="_x0000_s1030"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353C243A" w14:textId="5F46916C" w:rsidR="00E4678F" w:rsidRPr="00E4678F" w:rsidRDefault="00E4678F">
                    <w:pPr>
                      <w:rPr>
                        <w:rFonts w:eastAsia="Calibri"/>
                        <w:color w:val="FF0000"/>
                        <w:sz w:val="24"/>
                        <w:szCs w:val="24"/>
                      </w:rPr>
                    </w:pPr>
                    <w:r w:rsidRPr="00E4678F">
                      <w:rPr>
                        <w:rFonts w:eastAsia="Calibri"/>
                        <w:color w:val="FF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2pt;height:12.55pt" o:bullet="t">
        <v:imagedata r:id="rId1" o:title="black drop"/>
      </v:shape>
    </w:pict>
  </w:numPicBullet>
  <w:abstractNum w:abstractNumId="0" w15:restartNumberingAfterBreak="0">
    <w:nsid w:val="02953113"/>
    <w:multiLevelType w:val="hybridMultilevel"/>
    <w:tmpl w:val="578AB430"/>
    <w:lvl w:ilvl="0" w:tplc="D1E01526">
      <w:start w:val="1"/>
      <w:numFmt w:val="bullet"/>
      <w:lvlText w:val=""/>
      <w:lvlPicBulletId w:val="0"/>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432C4F"/>
    <w:multiLevelType w:val="hybridMultilevel"/>
    <w:tmpl w:val="0E0AD6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6243D7"/>
    <w:multiLevelType w:val="hybridMultilevel"/>
    <w:tmpl w:val="29BC8ABC"/>
    <w:lvl w:ilvl="0" w:tplc="B2EA4808">
      <w:numFmt w:val="bullet"/>
      <w:lvlText w:val="•"/>
      <w:lvlJc w:val="left"/>
      <w:pPr>
        <w:ind w:left="1080" w:hanging="720"/>
      </w:pPr>
      <w:rPr>
        <w:rFonts w:ascii="Calibri" w:eastAsia="Dotum"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716F47"/>
    <w:multiLevelType w:val="hybridMultilevel"/>
    <w:tmpl w:val="1B3A0180"/>
    <w:lvl w:ilvl="0" w:tplc="265AB132">
      <w:start w:val="1"/>
      <w:numFmt w:val="bullet"/>
      <w:lvlText w:val=""/>
      <w:lvlPicBulletId w:val="0"/>
      <w:lvlJc w:val="left"/>
      <w:pPr>
        <w:ind w:left="720" w:hanging="360"/>
      </w:pPr>
      <w:rPr>
        <w:rFonts w:ascii="Symbol" w:hAnsi="Symbol" w:hint="default"/>
        <w:color w:val="F79646" w:themeColor="accent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3C7386"/>
    <w:multiLevelType w:val="hybridMultilevel"/>
    <w:tmpl w:val="5C16155C"/>
    <w:lvl w:ilvl="0" w:tplc="D49AB12C">
      <w:start w:val="1"/>
      <w:numFmt w:val="bullet"/>
      <w:lvlText w:val="&gt;"/>
      <w:lvlJc w:val="left"/>
      <w:pPr>
        <w:ind w:left="720" w:hanging="360"/>
      </w:pPr>
      <w:rPr>
        <w:rFonts w:ascii="Calibri" w:hAnsi="Calibri" w:hint="default"/>
        <w:b/>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DF7BF4"/>
    <w:multiLevelType w:val="multilevel"/>
    <w:tmpl w:val="E25EB8C8"/>
    <w:lvl w:ilvl="0">
      <w:start w:val="1"/>
      <w:numFmt w:val="decimal"/>
      <w:lvlText w:val="%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37434B42"/>
    <w:multiLevelType w:val="hybridMultilevel"/>
    <w:tmpl w:val="E28CBCD8"/>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F911AD"/>
    <w:multiLevelType w:val="hybridMultilevel"/>
    <w:tmpl w:val="1DE07D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51A62B5"/>
    <w:multiLevelType w:val="hybridMultilevel"/>
    <w:tmpl w:val="256042B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2B4E9F"/>
    <w:multiLevelType w:val="hybridMultilevel"/>
    <w:tmpl w:val="CD327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EA216AE"/>
    <w:multiLevelType w:val="hybridMultilevel"/>
    <w:tmpl w:val="79BEDF2C"/>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18316778">
    <w:abstractNumId w:val="5"/>
  </w:num>
  <w:num w:numId="2" w16cid:durableId="237134229">
    <w:abstractNumId w:val="5"/>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16cid:durableId="495995163">
    <w:abstractNumId w:val="6"/>
  </w:num>
  <w:num w:numId="4" w16cid:durableId="442191071">
    <w:abstractNumId w:val="10"/>
  </w:num>
  <w:num w:numId="5" w16cid:durableId="1010718816">
    <w:abstractNumId w:val="4"/>
  </w:num>
  <w:num w:numId="6" w16cid:durableId="1294017702">
    <w:abstractNumId w:val="0"/>
  </w:num>
  <w:num w:numId="7" w16cid:durableId="984747184">
    <w:abstractNumId w:val="7"/>
  </w:num>
  <w:num w:numId="8" w16cid:durableId="1608199417">
    <w:abstractNumId w:val="8"/>
  </w:num>
  <w:num w:numId="9" w16cid:durableId="814226963">
    <w:abstractNumId w:val="1"/>
  </w:num>
  <w:num w:numId="10" w16cid:durableId="1099564321">
    <w:abstractNumId w:val="2"/>
  </w:num>
  <w:num w:numId="11" w16cid:durableId="1279992637">
    <w:abstractNumId w:val="9"/>
  </w:num>
  <w:num w:numId="12" w16cid:durableId="2083017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C83"/>
    <w:rsid w:val="000040AF"/>
    <w:rsid w:val="00004552"/>
    <w:rsid w:val="00024BFC"/>
    <w:rsid w:val="00036EDC"/>
    <w:rsid w:val="000378E9"/>
    <w:rsid w:val="0005497C"/>
    <w:rsid w:val="00061BDB"/>
    <w:rsid w:val="00063B1F"/>
    <w:rsid w:val="00064124"/>
    <w:rsid w:val="000661DA"/>
    <w:rsid w:val="00066671"/>
    <w:rsid w:val="00066DAF"/>
    <w:rsid w:val="00072A27"/>
    <w:rsid w:val="000A2BBA"/>
    <w:rsid w:val="000B676E"/>
    <w:rsid w:val="000C033E"/>
    <w:rsid w:val="000D0F37"/>
    <w:rsid w:val="000F1000"/>
    <w:rsid w:val="000F1766"/>
    <w:rsid w:val="001120A9"/>
    <w:rsid w:val="0011478F"/>
    <w:rsid w:val="001209A2"/>
    <w:rsid w:val="00122186"/>
    <w:rsid w:val="00123568"/>
    <w:rsid w:val="00135390"/>
    <w:rsid w:val="00155A2E"/>
    <w:rsid w:val="0016364D"/>
    <w:rsid w:val="00174FB6"/>
    <w:rsid w:val="001A5741"/>
    <w:rsid w:val="001B583F"/>
    <w:rsid w:val="001D257D"/>
    <w:rsid w:val="001E79F4"/>
    <w:rsid w:val="0021024D"/>
    <w:rsid w:val="002105E0"/>
    <w:rsid w:val="002139F8"/>
    <w:rsid w:val="00214525"/>
    <w:rsid w:val="00215F8B"/>
    <w:rsid w:val="002174D5"/>
    <w:rsid w:val="002311CA"/>
    <w:rsid w:val="00237652"/>
    <w:rsid w:val="00240B2C"/>
    <w:rsid w:val="0024258E"/>
    <w:rsid w:val="0025349A"/>
    <w:rsid w:val="002535A9"/>
    <w:rsid w:val="002537F2"/>
    <w:rsid w:val="00253DA3"/>
    <w:rsid w:val="00256293"/>
    <w:rsid w:val="002637A4"/>
    <w:rsid w:val="002641BD"/>
    <w:rsid w:val="00267D78"/>
    <w:rsid w:val="002802CE"/>
    <w:rsid w:val="00283560"/>
    <w:rsid w:val="00286E5A"/>
    <w:rsid w:val="00295CD3"/>
    <w:rsid w:val="002B2383"/>
    <w:rsid w:val="002C116E"/>
    <w:rsid w:val="002D1A3D"/>
    <w:rsid w:val="002D4B3C"/>
    <w:rsid w:val="003002DA"/>
    <w:rsid w:val="003120F1"/>
    <w:rsid w:val="00333157"/>
    <w:rsid w:val="003540FB"/>
    <w:rsid w:val="003728D5"/>
    <w:rsid w:val="00382CB6"/>
    <w:rsid w:val="00393A6B"/>
    <w:rsid w:val="00397DFD"/>
    <w:rsid w:val="003A718B"/>
    <w:rsid w:val="003D27F1"/>
    <w:rsid w:val="003E78B4"/>
    <w:rsid w:val="003F1554"/>
    <w:rsid w:val="00417CC1"/>
    <w:rsid w:val="00433E52"/>
    <w:rsid w:val="00436123"/>
    <w:rsid w:val="00455507"/>
    <w:rsid w:val="00455B0E"/>
    <w:rsid w:val="004570C0"/>
    <w:rsid w:val="004575C7"/>
    <w:rsid w:val="00460225"/>
    <w:rsid w:val="004634C2"/>
    <w:rsid w:val="00463F12"/>
    <w:rsid w:val="00487A31"/>
    <w:rsid w:val="00491946"/>
    <w:rsid w:val="004B4A08"/>
    <w:rsid w:val="004B5F59"/>
    <w:rsid w:val="004B6A97"/>
    <w:rsid w:val="004C6FEB"/>
    <w:rsid w:val="004D35FB"/>
    <w:rsid w:val="004D3BF4"/>
    <w:rsid w:val="004D4636"/>
    <w:rsid w:val="004D5E5C"/>
    <w:rsid w:val="004E528F"/>
    <w:rsid w:val="004E5B97"/>
    <w:rsid w:val="004F6CBE"/>
    <w:rsid w:val="00504C7B"/>
    <w:rsid w:val="0050673D"/>
    <w:rsid w:val="0052460C"/>
    <w:rsid w:val="00531BE2"/>
    <w:rsid w:val="00540020"/>
    <w:rsid w:val="005407FA"/>
    <w:rsid w:val="00543137"/>
    <w:rsid w:val="005534EE"/>
    <w:rsid w:val="005614A6"/>
    <w:rsid w:val="005716D5"/>
    <w:rsid w:val="00582FD3"/>
    <w:rsid w:val="005869C4"/>
    <w:rsid w:val="00587037"/>
    <w:rsid w:val="005973F3"/>
    <w:rsid w:val="005A02EB"/>
    <w:rsid w:val="005A134E"/>
    <w:rsid w:val="005B7B8C"/>
    <w:rsid w:val="005C581D"/>
    <w:rsid w:val="00601625"/>
    <w:rsid w:val="00632999"/>
    <w:rsid w:val="00637749"/>
    <w:rsid w:val="00653C39"/>
    <w:rsid w:val="00666957"/>
    <w:rsid w:val="006965F7"/>
    <w:rsid w:val="006A15AD"/>
    <w:rsid w:val="006A2447"/>
    <w:rsid w:val="006D1118"/>
    <w:rsid w:val="006D59D5"/>
    <w:rsid w:val="006E5A33"/>
    <w:rsid w:val="006E7A3B"/>
    <w:rsid w:val="006E7CC2"/>
    <w:rsid w:val="00716E56"/>
    <w:rsid w:val="00725C72"/>
    <w:rsid w:val="0074694A"/>
    <w:rsid w:val="00753AB8"/>
    <w:rsid w:val="0075585F"/>
    <w:rsid w:val="0075722E"/>
    <w:rsid w:val="00760B0E"/>
    <w:rsid w:val="00781405"/>
    <w:rsid w:val="00787A76"/>
    <w:rsid w:val="00790302"/>
    <w:rsid w:val="007947B5"/>
    <w:rsid w:val="00794AFC"/>
    <w:rsid w:val="007B1EEE"/>
    <w:rsid w:val="007B2C01"/>
    <w:rsid w:val="007B63F4"/>
    <w:rsid w:val="0080383D"/>
    <w:rsid w:val="00816F63"/>
    <w:rsid w:val="00817FCC"/>
    <w:rsid w:val="00856708"/>
    <w:rsid w:val="00893E0A"/>
    <w:rsid w:val="008A67D8"/>
    <w:rsid w:val="008B4DB3"/>
    <w:rsid w:val="008F0F12"/>
    <w:rsid w:val="008F4ACF"/>
    <w:rsid w:val="009007D8"/>
    <w:rsid w:val="00911603"/>
    <w:rsid w:val="00927E4B"/>
    <w:rsid w:val="00951B85"/>
    <w:rsid w:val="00954485"/>
    <w:rsid w:val="009734EA"/>
    <w:rsid w:val="00974D4D"/>
    <w:rsid w:val="00982C49"/>
    <w:rsid w:val="00985E68"/>
    <w:rsid w:val="00987B70"/>
    <w:rsid w:val="009971CF"/>
    <w:rsid w:val="009A2901"/>
    <w:rsid w:val="009B0811"/>
    <w:rsid w:val="009B5876"/>
    <w:rsid w:val="009C7156"/>
    <w:rsid w:val="009D7A34"/>
    <w:rsid w:val="009E38CC"/>
    <w:rsid w:val="00A01BA4"/>
    <w:rsid w:val="00A21958"/>
    <w:rsid w:val="00A34744"/>
    <w:rsid w:val="00A40E15"/>
    <w:rsid w:val="00A658B4"/>
    <w:rsid w:val="00A83B03"/>
    <w:rsid w:val="00A90D4F"/>
    <w:rsid w:val="00A95C5A"/>
    <w:rsid w:val="00A971A5"/>
    <w:rsid w:val="00AB5206"/>
    <w:rsid w:val="00AC66BE"/>
    <w:rsid w:val="00AC7FBD"/>
    <w:rsid w:val="00AD47DD"/>
    <w:rsid w:val="00AD7E83"/>
    <w:rsid w:val="00AF0ABE"/>
    <w:rsid w:val="00AF2C07"/>
    <w:rsid w:val="00AF4DA4"/>
    <w:rsid w:val="00B0471F"/>
    <w:rsid w:val="00B05B7F"/>
    <w:rsid w:val="00B27B9C"/>
    <w:rsid w:val="00B31249"/>
    <w:rsid w:val="00B3726E"/>
    <w:rsid w:val="00B53EFD"/>
    <w:rsid w:val="00B719F0"/>
    <w:rsid w:val="00B7737C"/>
    <w:rsid w:val="00B870A9"/>
    <w:rsid w:val="00B93BFB"/>
    <w:rsid w:val="00B93D89"/>
    <w:rsid w:val="00BA2ED6"/>
    <w:rsid w:val="00BA2F01"/>
    <w:rsid w:val="00BD6558"/>
    <w:rsid w:val="00BD7E10"/>
    <w:rsid w:val="00BE4722"/>
    <w:rsid w:val="00C00622"/>
    <w:rsid w:val="00C16D7B"/>
    <w:rsid w:val="00C53B07"/>
    <w:rsid w:val="00C671E6"/>
    <w:rsid w:val="00C73E27"/>
    <w:rsid w:val="00C7497E"/>
    <w:rsid w:val="00C80871"/>
    <w:rsid w:val="00C90A01"/>
    <w:rsid w:val="00CA6EB6"/>
    <w:rsid w:val="00CB0432"/>
    <w:rsid w:val="00CB13B4"/>
    <w:rsid w:val="00CB2EFB"/>
    <w:rsid w:val="00CB4E2D"/>
    <w:rsid w:val="00CD66DB"/>
    <w:rsid w:val="00CE7C43"/>
    <w:rsid w:val="00CF1D7F"/>
    <w:rsid w:val="00CF5D11"/>
    <w:rsid w:val="00D12C94"/>
    <w:rsid w:val="00D3312A"/>
    <w:rsid w:val="00D44A41"/>
    <w:rsid w:val="00D7337B"/>
    <w:rsid w:val="00D96C83"/>
    <w:rsid w:val="00DC2153"/>
    <w:rsid w:val="00DC4B27"/>
    <w:rsid w:val="00DC4E05"/>
    <w:rsid w:val="00DF567F"/>
    <w:rsid w:val="00E00119"/>
    <w:rsid w:val="00E160D6"/>
    <w:rsid w:val="00E45ABD"/>
    <w:rsid w:val="00E45E04"/>
    <w:rsid w:val="00E4678F"/>
    <w:rsid w:val="00E56666"/>
    <w:rsid w:val="00E617FE"/>
    <w:rsid w:val="00E6230F"/>
    <w:rsid w:val="00E66B16"/>
    <w:rsid w:val="00E70A78"/>
    <w:rsid w:val="00E71FE7"/>
    <w:rsid w:val="00E72CC2"/>
    <w:rsid w:val="00E861FD"/>
    <w:rsid w:val="00E87507"/>
    <w:rsid w:val="00E90271"/>
    <w:rsid w:val="00E94B0F"/>
    <w:rsid w:val="00EA23C7"/>
    <w:rsid w:val="00EA4369"/>
    <w:rsid w:val="00EB6F45"/>
    <w:rsid w:val="00ED7237"/>
    <w:rsid w:val="00ED7B73"/>
    <w:rsid w:val="00EF3F06"/>
    <w:rsid w:val="00F01ECB"/>
    <w:rsid w:val="00F50165"/>
    <w:rsid w:val="00F77063"/>
    <w:rsid w:val="00FB0CF2"/>
    <w:rsid w:val="00FB46FA"/>
    <w:rsid w:val="00FF45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F02DE"/>
  <w15:docId w15:val="{9FE2AF17-AA15-445E-A1B1-0707BBF4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625"/>
    <w:pPr>
      <w:spacing w:line="240" w:lineRule="auto"/>
    </w:pPr>
    <w:rPr>
      <w:rFonts w:ascii="Calibri" w:eastAsia="Dotum" w:hAnsi="Calibri" w:cs="Calibri"/>
    </w:rPr>
  </w:style>
  <w:style w:type="paragraph" w:styleId="Heading1">
    <w:name w:val="heading 1"/>
    <w:next w:val="Normal"/>
    <w:link w:val="Heading1Char"/>
    <w:uiPriority w:val="9"/>
    <w:qFormat/>
    <w:rsid w:val="003D27F1"/>
    <w:pPr>
      <w:widowControl w:val="0"/>
      <w:spacing w:after="240" w:line="580" w:lineRule="exact"/>
      <w:ind w:right="6"/>
      <w:outlineLvl w:val="0"/>
    </w:pPr>
    <w:rPr>
      <w:rFonts w:ascii="Calibri" w:eastAsia="HYGothic-Extra" w:hAnsi="Calibri" w:cs="Calibri"/>
      <w:bCs/>
      <w:color w:val="1E1E1E"/>
      <w:spacing w:val="-20"/>
      <w:sz w:val="56"/>
      <w:szCs w:val="72"/>
    </w:rPr>
  </w:style>
  <w:style w:type="paragraph" w:styleId="Heading2">
    <w:name w:val="heading 2"/>
    <w:next w:val="Normal"/>
    <w:link w:val="Heading2Char"/>
    <w:uiPriority w:val="9"/>
    <w:unhideWhenUsed/>
    <w:qFormat/>
    <w:rsid w:val="00B3726E"/>
    <w:pPr>
      <w:spacing w:before="360" w:after="120" w:line="240" w:lineRule="auto"/>
      <w:outlineLvl w:val="1"/>
    </w:pPr>
    <w:rPr>
      <w:rFonts w:ascii="Arial" w:eastAsia="Dotum" w:hAnsi="Arial" w:cs="Arial"/>
      <w:sz w:val="36"/>
      <w:szCs w:val="36"/>
    </w:rPr>
  </w:style>
  <w:style w:type="paragraph" w:styleId="Heading3">
    <w:name w:val="heading 3"/>
    <w:basedOn w:val="Normal"/>
    <w:next w:val="Normal"/>
    <w:link w:val="Heading3Char"/>
    <w:uiPriority w:val="9"/>
    <w:unhideWhenUsed/>
    <w:qFormat/>
    <w:rsid w:val="003D27F1"/>
    <w:pPr>
      <w:spacing w:before="120" w:after="120"/>
      <w:outlineLvl w:val="2"/>
    </w:pPr>
    <w:rPr>
      <w:rFonts w:ascii="Arial" w:hAnsi="Arial" w:cs="Arial"/>
      <w:color w:val="C60C30"/>
      <w:sz w:val="28"/>
      <w:szCs w:val="28"/>
    </w:rPr>
  </w:style>
  <w:style w:type="paragraph" w:styleId="Heading4">
    <w:name w:val="heading 4"/>
    <w:basedOn w:val="Normal"/>
    <w:next w:val="Normal"/>
    <w:link w:val="Heading4Char"/>
    <w:uiPriority w:val="9"/>
    <w:unhideWhenUsed/>
    <w:qFormat/>
    <w:rsid w:val="00B3726E"/>
    <w:pPr>
      <w:spacing w:after="0"/>
      <w:outlineLvl w:val="3"/>
    </w:pPr>
    <w:rPr>
      <w:rFonts w:ascii="Arial" w:hAnsi="Arial" w:cs="Arial"/>
      <w:b/>
    </w:rPr>
  </w:style>
  <w:style w:type="paragraph" w:styleId="Heading5">
    <w:name w:val="heading 5"/>
    <w:basedOn w:val="Normal"/>
    <w:next w:val="Normal"/>
    <w:link w:val="Heading5Char"/>
    <w:uiPriority w:val="9"/>
    <w:unhideWhenUsed/>
    <w:rsid w:val="00B3726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B372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2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2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72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7F1"/>
    <w:rPr>
      <w:rFonts w:ascii="Calibri" w:eastAsia="HYGothic-Extra" w:hAnsi="Calibri" w:cs="Calibri"/>
      <w:bCs/>
      <w:color w:val="1E1E1E"/>
      <w:spacing w:val="-20"/>
      <w:sz w:val="56"/>
      <w:szCs w:val="72"/>
    </w:rPr>
  </w:style>
  <w:style w:type="character" w:customStyle="1" w:styleId="Heading2Char">
    <w:name w:val="Heading 2 Char"/>
    <w:basedOn w:val="DefaultParagraphFont"/>
    <w:link w:val="Heading2"/>
    <w:uiPriority w:val="9"/>
    <w:rsid w:val="00B3726E"/>
    <w:rPr>
      <w:rFonts w:ascii="Arial" w:eastAsia="Dotum" w:hAnsi="Arial" w:cs="Arial"/>
      <w:sz w:val="36"/>
      <w:szCs w:val="36"/>
    </w:rPr>
  </w:style>
  <w:style w:type="character" w:customStyle="1" w:styleId="Heading3Char">
    <w:name w:val="Heading 3 Char"/>
    <w:basedOn w:val="DefaultParagraphFont"/>
    <w:link w:val="Heading3"/>
    <w:uiPriority w:val="9"/>
    <w:rsid w:val="003D27F1"/>
    <w:rPr>
      <w:rFonts w:ascii="Arial" w:eastAsia="Dotum" w:hAnsi="Arial" w:cs="Arial"/>
      <w:color w:val="C60C30"/>
      <w:sz w:val="28"/>
      <w:szCs w:val="28"/>
    </w:rPr>
  </w:style>
  <w:style w:type="character" w:customStyle="1" w:styleId="Heading4Char">
    <w:name w:val="Heading 4 Char"/>
    <w:basedOn w:val="DefaultParagraphFont"/>
    <w:link w:val="Heading4"/>
    <w:uiPriority w:val="9"/>
    <w:rsid w:val="00B3726E"/>
    <w:rPr>
      <w:rFonts w:ascii="Arial" w:eastAsia="Dotum" w:hAnsi="Arial" w:cs="Arial"/>
      <w:b/>
    </w:rPr>
  </w:style>
  <w:style w:type="character" w:customStyle="1" w:styleId="Heading5Char">
    <w:name w:val="Heading 5 Char"/>
    <w:basedOn w:val="DefaultParagraphFont"/>
    <w:link w:val="Heading5"/>
    <w:uiPriority w:val="9"/>
    <w:rsid w:val="00B372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72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72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72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726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B3726E"/>
    <w:pPr>
      <w:ind w:left="720"/>
      <w:contextualSpacing/>
    </w:pPr>
  </w:style>
  <w:style w:type="table" w:styleId="TableGrid">
    <w:name w:val="Table Grid"/>
    <w:basedOn w:val="TableNormal"/>
    <w:uiPriority w:val="59"/>
    <w:rsid w:val="00B3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36EDC"/>
    <w:pPr>
      <w:spacing w:before="3000" w:after="300"/>
      <w:contextualSpacing/>
    </w:pPr>
    <w:rPr>
      <w:rFonts w:ascii="Arial" w:eastAsiaTheme="majorEastAsia" w:hAnsi="Arial" w:cstheme="majorBidi"/>
      <w:caps/>
      <w:color w:val="1E1E1E"/>
      <w:spacing w:val="-22"/>
      <w:w w:val="105"/>
      <w:kern w:val="28"/>
      <w:sz w:val="80"/>
      <w:szCs w:val="80"/>
    </w:rPr>
  </w:style>
  <w:style w:type="character" w:customStyle="1" w:styleId="TitleChar">
    <w:name w:val="Title Char"/>
    <w:basedOn w:val="DefaultParagraphFont"/>
    <w:link w:val="Title"/>
    <w:uiPriority w:val="10"/>
    <w:rsid w:val="00036EDC"/>
    <w:rPr>
      <w:rFonts w:ascii="Arial" w:eastAsiaTheme="majorEastAsia" w:hAnsi="Arial" w:cstheme="majorBidi"/>
      <w:caps/>
      <w:color w:val="1E1E1E"/>
      <w:spacing w:val="-22"/>
      <w:w w:val="105"/>
      <w:kern w:val="28"/>
      <w:sz w:val="80"/>
      <w:szCs w:val="80"/>
    </w:rPr>
  </w:style>
  <w:style w:type="paragraph" w:styleId="Subtitle">
    <w:name w:val="Subtitle"/>
    <w:basedOn w:val="Normal"/>
    <w:next w:val="Normal"/>
    <w:link w:val="SubtitleChar"/>
    <w:uiPriority w:val="11"/>
    <w:qFormat/>
    <w:rsid w:val="004D4636"/>
    <w:rPr>
      <w:rFonts w:asciiTheme="majorHAnsi" w:eastAsiaTheme="majorEastAsia" w:hAnsiTheme="majorHAnsi" w:cstheme="majorBidi"/>
      <w:i/>
      <w:iCs/>
      <w:color w:val="C60C30"/>
      <w:spacing w:val="15"/>
      <w:sz w:val="24"/>
      <w:szCs w:val="24"/>
    </w:rPr>
  </w:style>
  <w:style w:type="character" w:customStyle="1" w:styleId="SubtitleChar">
    <w:name w:val="Subtitle Char"/>
    <w:basedOn w:val="DefaultParagraphFont"/>
    <w:link w:val="Subtitle"/>
    <w:uiPriority w:val="11"/>
    <w:rsid w:val="004D4636"/>
    <w:rPr>
      <w:rFonts w:asciiTheme="majorHAnsi" w:eastAsiaTheme="majorEastAsia" w:hAnsiTheme="majorHAnsi" w:cstheme="majorBidi"/>
      <w:i/>
      <w:iCs/>
      <w:color w:val="C60C30"/>
      <w:spacing w:val="15"/>
      <w:sz w:val="24"/>
      <w:szCs w:val="24"/>
    </w:rPr>
  </w:style>
  <w:style w:type="paragraph" w:styleId="Header">
    <w:name w:val="header"/>
    <w:basedOn w:val="Normal"/>
    <w:link w:val="HeaderChar"/>
    <w:uiPriority w:val="99"/>
    <w:unhideWhenUsed/>
    <w:rsid w:val="00856708"/>
    <w:pPr>
      <w:tabs>
        <w:tab w:val="center" w:pos="4513"/>
        <w:tab w:val="right" w:pos="9026"/>
      </w:tabs>
      <w:spacing w:after="0"/>
    </w:pPr>
  </w:style>
  <w:style w:type="character" w:customStyle="1" w:styleId="HeaderChar">
    <w:name w:val="Header Char"/>
    <w:basedOn w:val="DefaultParagraphFont"/>
    <w:link w:val="Header"/>
    <w:uiPriority w:val="99"/>
    <w:rsid w:val="00856708"/>
    <w:rPr>
      <w:rFonts w:ascii="Calibri" w:eastAsia="Dotum" w:hAnsi="Calibri" w:cs="Calibri"/>
    </w:rPr>
  </w:style>
  <w:style w:type="paragraph" w:styleId="Footer">
    <w:name w:val="footer"/>
    <w:basedOn w:val="Normal"/>
    <w:link w:val="FooterChar"/>
    <w:uiPriority w:val="99"/>
    <w:unhideWhenUsed/>
    <w:rsid w:val="00856708"/>
    <w:pPr>
      <w:tabs>
        <w:tab w:val="center" w:pos="4513"/>
        <w:tab w:val="right" w:pos="9026"/>
      </w:tabs>
      <w:spacing w:after="0"/>
    </w:pPr>
  </w:style>
  <w:style w:type="character" w:customStyle="1" w:styleId="FooterChar">
    <w:name w:val="Footer Char"/>
    <w:basedOn w:val="DefaultParagraphFont"/>
    <w:link w:val="Footer"/>
    <w:uiPriority w:val="99"/>
    <w:rsid w:val="00856708"/>
    <w:rPr>
      <w:rFonts w:ascii="Calibri" w:eastAsia="Dotum" w:hAnsi="Calibri" w:cs="Calibri"/>
    </w:rPr>
  </w:style>
  <w:style w:type="character" w:styleId="CommentReference">
    <w:name w:val="annotation reference"/>
    <w:basedOn w:val="DefaultParagraphFont"/>
    <w:uiPriority w:val="99"/>
    <w:semiHidden/>
    <w:unhideWhenUsed/>
    <w:rsid w:val="002C116E"/>
    <w:rPr>
      <w:sz w:val="16"/>
      <w:szCs w:val="16"/>
    </w:rPr>
  </w:style>
  <w:style w:type="paragraph" w:styleId="CommentText">
    <w:name w:val="annotation text"/>
    <w:basedOn w:val="Normal"/>
    <w:link w:val="CommentTextChar"/>
    <w:uiPriority w:val="99"/>
    <w:unhideWhenUsed/>
    <w:rsid w:val="002C116E"/>
    <w:rPr>
      <w:sz w:val="20"/>
      <w:szCs w:val="20"/>
    </w:rPr>
  </w:style>
  <w:style w:type="character" w:customStyle="1" w:styleId="CommentTextChar">
    <w:name w:val="Comment Text Char"/>
    <w:basedOn w:val="DefaultParagraphFont"/>
    <w:link w:val="CommentText"/>
    <w:uiPriority w:val="99"/>
    <w:rsid w:val="002C116E"/>
    <w:rPr>
      <w:rFonts w:ascii="Calibri" w:eastAsia="Dotum" w:hAnsi="Calibri" w:cs="Calibri"/>
      <w:sz w:val="20"/>
      <w:szCs w:val="20"/>
    </w:rPr>
  </w:style>
  <w:style w:type="paragraph" w:styleId="CommentSubject">
    <w:name w:val="annotation subject"/>
    <w:basedOn w:val="CommentText"/>
    <w:next w:val="CommentText"/>
    <w:link w:val="CommentSubjectChar"/>
    <w:uiPriority w:val="99"/>
    <w:semiHidden/>
    <w:unhideWhenUsed/>
    <w:rsid w:val="002C116E"/>
    <w:rPr>
      <w:b/>
      <w:bCs/>
    </w:rPr>
  </w:style>
  <w:style w:type="character" w:customStyle="1" w:styleId="CommentSubjectChar">
    <w:name w:val="Comment Subject Char"/>
    <w:basedOn w:val="CommentTextChar"/>
    <w:link w:val="CommentSubject"/>
    <w:uiPriority w:val="99"/>
    <w:semiHidden/>
    <w:rsid w:val="002C116E"/>
    <w:rPr>
      <w:rFonts w:ascii="Calibri" w:eastAsia="Dotum" w:hAnsi="Calibri" w:cs="Calibri"/>
      <w:b/>
      <w:bCs/>
      <w:sz w:val="20"/>
      <w:szCs w:val="20"/>
    </w:rPr>
  </w:style>
  <w:style w:type="paragraph" w:styleId="BalloonText">
    <w:name w:val="Balloon Text"/>
    <w:basedOn w:val="Normal"/>
    <w:link w:val="BalloonTextChar"/>
    <w:uiPriority w:val="99"/>
    <w:semiHidden/>
    <w:unhideWhenUsed/>
    <w:rsid w:val="002C116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16E"/>
    <w:rPr>
      <w:rFonts w:ascii="Tahoma" w:eastAsia="Dotum" w:hAnsi="Tahoma" w:cs="Tahoma"/>
      <w:sz w:val="16"/>
      <w:szCs w:val="16"/>
    </w:rPr>
  </w:style>
  <w:style w:type="paragraph" w:styleId="Revision">
    <w:name w:val="Revision"/>
    <w:hidden/>
    <w:uiPriority w:val="99"/>
    <w:semiHidden/>
    <w:rsid w:val="00927E4B"/>
    <w:pPr>
      <w:spacing w:after="0" w:line="240" w:lineRule="auto"/>
    </w:pPr>
    <w:rPr>
      <w:rFonts w:ascii="Calibri" w:eastAsia="Dotum" w:hAnsi="Calibri" w:cs="Calibri"/>
    </w:rPr>
  </w:style>
  <w:style w:type="character" w:customStyle="1" w:styleId="ListParagraphChar">
    <w:name w:val="List Paragraph Char"/>
    <w:link w:val="ListParagraph"/>
    <w:uiPriority w:val="34"/>
    <w:rsid w:val="004E5B97"/>
    <w:rPr>
      <w:rFonts w:ascii="Calibri" w:eastAsia="Dotum" w:hAnsi="Calibri" w:cs="Calibri"/>
    </w:rPr>
  </w:style>
  <w:style w:type="character" w:styleId="Hyperlink">
    <w:name w:val="Hyperlink"/>
    <w:basedOn w:val="DefaultParagraphFont"/>
    <w:uiPriority w:val="99"/>
    <w:unhideWhenUsed/>
    <w:rsid w:val="00C16D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444844">
      <w:bodyDiv w:val="1"/>
      <w:marLeft w:val="0"/>
      <w:marRight w:val="0"/>
      <w:marTop w:val="0"/>
      <w:marBottom w:val="0"/>
      <w:divBdr>
        <w:top w:val="none" w:sz="0" w:space="0" w:color="auto"/>
        <w:left w:val="none" w:sz="0" w:space="0" w:color="auto"/>
        <w:bottom w:val="none" w:sz="0" w:space="0" w:color="auto"/>
        <w:right w:val="none" w:sz="0" w:space="0" w:color="auto"/>
      </w:divBdr>
    </w:div>
    <w:div w:id="1040665172">
      <w:bodyDiv w:val="1"/>
      <w:marLeft w:val="0"/>
      <w:marRight w:val="0"/>
      <w:marTop w:val="0"/>
      <w:marBottom w:val="0"/>
      <w:divBdr>
        <w:top w:val="none" w:sz="0" w:space="0" w:color="auto"/>
        <w:left w:val="none" w:sz="0" w:space="0" w:color="auto"/>
        <w:bottom w:val="none" w:sz="0" w:space="0" w:color="auto"/>
        <w:right w:val="none" w:sz="0" w:space="0" w:color="auto"/>
      </w:divBdr>
    </w:div>
    <w:div w:id="1109007814">
      <w:bodyDiv w:val="1"/>
      <w:marLeft w:val="0"/>
      <w:marRight w:val="0"/>
      <w:marTop w:val="0"/>
      <w:marBottom w:val="0"/>
      <w:divBdr>
        <w:top w:val="none" w:sz="0" w:space="0" w:color="auto"/>
        <w:left w:val="none" w:sz="0" w:space="0" w:color="auto"/>
        <w:bottom w:val="none" w:sz="0" w:space="0" w:color="auto"/>
        <w:right w:val="none" w:sz="0" w:space="0" w:color="auto"/>
      </w:divBdr>
    </w:div>
    <w:div w:id="136232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blood.gov.au/Ig-governance" TargetMode="External"/><Relationship Id="rId2" Type="http://schemas.openxmlformats.org/officeDocument/2006/relationships/hyperlink" Target="http://www.blood.gov.au" TargetMode="External"/><Relationship Id="rId1" Type="http://schemas.openxmlformats.org/officeDocument/2006/relationships/image" Target="media/image3.png"/><Relationship Id="rId5" Type="http://schemas.openxmlformats.org/officeDocument/2006/relationships/image" Target="media/image5.png"/><Relationship Id="rId4"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Lyndsay Wall</dc:creator>
  <cp:lastModifiedBy>Mairs, Courtney</cp:lastModifiedBy>
  <cp:revision>20</cp:revision>
  <cp:lastPrinted>2020-01-13T05:33:00Z</cp:lastPrinted>
  <dcterms:created xsi:type="dcterms:W3CDTF">2024-09-19T06:30:00Z</dcterms:created>
  <dcterms:modified xsi:type="dcterms:W3CDTF">2024-11-22T04:16:00Z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MSIP_Label_11d3a1ea-a727-4720-a216-7dae13a61c56_Enabled">
    <vt:lpwstr>true</vt:lpwstr>
  </property>
  <property fmtid="{D5CDD505-2E9C-101B-9397-08002B2CF9AE}" pid="6" name="MSIP_Label_11d3a1ea-a727-4720-a216-7dae13a61c56_SetDate">
    <vt:lpwstr>2023-11-15T22:47:21Z</vt:lpwstr>
  </property>
  <property fmtid="{D5CDD505-2E9C-101B-9397-08002B2CF9AE}" pid="7" name="MSIP_Label_11d3a1ea-a727-4720-a216-7dae13a61c56_Method">
    <vt:lpwstr>Privileged</vt:lpwstr>
  </property>
  <property fmtid="{D5CDD505-2E9C-101B-9397-08002B2CF9AE}" pid="8" name="MSIP_Label_11d3a1ea-a727-4720-a216-7dae13a61c56_Name">
    <vt:lpwstr>OFFICIAL</vt:lpwstr>
  </property>
  <property fmtid="{D5CDD505-2E9C-101B-9397-08002B2CF9AE}" pid="9" name="MSIP_Label_11d3a1ea-a727-4720-a216-7dae13a61c56_SiteId">
    <vt:lpwstr>9c233057-0738-4b40-91b2-3798ceb38ebf</vt:lpwstr>
  </property>
  <property fmtid="{D5CDD505-2E9C-101B-9397-08002B2CF9AE}" pid="10" name="MSIP_Label_11d3a1ea-a727-4720-a216-7dae13a61c56_ActionId">
    <vt:lpwstr>ce1d7954-467e-430f-b60d-b584582602d6</vt:lpwstr>
  </property>
  <property fmtid="{D5CDD505-2E9C-101B-9397-08002B2CF9AE}" pid="11" name="MSIP_Label_11d3a1ea-a727-4720-a216-7dae13a61c56_ContentBits">
    <vt:lpwstr>1</vt:lpwstr>
  </property>
</Properties>
</file>