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A6F1" w14:textId="0AE9B9BF" w:rsidR="00411611" w:rsidRDefault="00411611" w:rsidP="00411611">
      <w:pPr>
        <w:spacing w:after="0" w:line="259" w:lineRule="auto"/>
        <w:ind w:hanging="425"/>
        <w:rPr>
          <w:rFonts w:ascii="Calibri" w:eastAsia="Calibri" w:hAnsi="Calibri" w:cs="Calibri"/>
          <w:bCs/>
          <w:sz w:val="72"/>
          <w:szCs w:val="72"/>
          <w:lang w:eastAsia="en-US"/>
        </w:rPr>
      </w:pPr>
    </w:p>
    <w:p w14:paraId="68DB2585" w14:textId="77777777" w:rsidR="00411611" w:rsidRDefault="00411611" w:rsidP="00411611">
      <w:pPr>
        <w:spacing w:after="0" w:line="259" w:lineRule="auto"/>
        <w:ind w:hanging="425"/>
        <w:rPr>
          <w:rFonts w:ascii="Calibri" w:eastAsia="Calibri" w:hAnsi="Calibri" w:cs="Calibri"/>
          <w:bCs/>
          <w:sz w:val="72"/>
          <w:szCs w:val="72"/>
          <w:lang w:eastAsia="en-US"/>
        </w:rPr>
      </w:pPr>
    </w:p>
    <w:p w14:paraId="3C09E868" w14:textId="1CB25863" w:rsidR="00C426D3" w:rsidRPr="00883BBC" w:rsidRDefault="00411611" w:rsidP="00C426D3">
      <w:pPr>
        <w:pStyle w:val="Heading1"/>
      </w:pPr>
      <w:bookmarkStart w:id="0" w:name="_Toc106706220"/>
      <w:bookmarkStart w:id="1" w:name="_Toc109030571"/>
      <w:r w:rsidRPr="00C426D3">
        <w:rPr>
          <w:rFonts w:eastAsia="Calibri"/>
          <w:noProof/>
          <w:lang w:eastAsia="en-US"/>
        </w:rPr>
        <w:drawing>
          <wp:anchor distT="0" distB="0" distL="114300" distR="114300" simplePos="0" relativeHeight="251659264" behindDoc="1" locked="0" layoutInCell="1" allowOverlap="1" wp14:anchorId="13F210D2" wp14:editId="44C6D4AD">
            <wp:simplePos x="0" y="0"/>
            <wp:positionH relativeFrom="page">
              <wp:align>left</wp:align>
            </wp:positionH>
            <wp:positionV relativeFrom="page">
              <wp:align>top</wp:align>
            </wp:positionV>
            <wp:extent cx="7601340" cy="10789285"/>
            <wp:effectExtent l="19050" t="0" r="19050" b="300291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01340" cy="10789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C426D3" w:rsidRPr="00883BBC">
        <w:t>National Blood Research</w:t>
      </w:r>
      <w:r w:rsidR="00C426D3">
        <w:br/>
      </w:r>
      <w:r w:rsidR="00C426D3" w:rsidRPr="00883BBC">
        <w:t xml:space="preserve">and Development </w:t>
      </w:r>
      <w:r w:rsidR="00C426D3">
        <w:br/>
      </w:r>
      <w:r w:rsidR="00C426D3" w:rsidRPr="00883BBC">
        <w:t xml:space="preserve">Strategic Priorities </w:t>
      </w:r>
      <w:r w:rsidR="00C426D3">
        <w:br/>
      </w:r>
      <w:r w:rsidR="00C426D3" w:rsidRPr="00883BBC">
        <w:t>2022-27</w:t>
      </w:r>
      <w:bookmarkEnd w:id="0"/>
      <w:bookmarkEnd w:id="1"/>
    </w:p>
    <w:p w14:paraId="16AA317A" w14:textId="2AC6A4A2" w:rsidR="008E313D" w:rsidRDefault="008E313D" w:rsidP="00963C0E">
      <w:pPr>
        <w:pStyle w:val="BodyText"/>
      </w:pPr>
    </w:p>
    <w:p w14:paraId="21A6B0B9" w14:textId="12D662D4" w:rsidR="00C426D3" w:rsidRDefault="00C426D3" w:rsidP="00C426D3">
      <w:pPr>
        <w:rPr>
          <w:rFonts w:eastAsia="Calibri"/>
          <w:lang w:eastAsia="en-US"/>
        </w:rPr>
      </w:pPr>
    </w:p>
    <w:p w14:paraId="459A2CA4" w14:textId="46AF704F" w:rsidR="00C426D3" w:rsidRDefault="00C426D3" w:rsidP="00C426D3">
      <w:pPr>
        <w:rPr>
          <w:rFonts w:eastAsia="Calibri"/>
          <w:lang w:eastAsia="en-US"/>
        </w:rPr>
      </w:pPr>
    </w:p>
    <w:p w14:paraId="537473A5" w14:textId="35855ED4" w:rsidR="00C426D3" w:rsidRDefault="00C426D3" w:rsidP="00C426D3">
      <w:pPr>
        <w:rPr>
          <w:rFonts w:eastAsia="Calibri"/>
          <w:lang w:eastAsia="en-US"/>
        </w:rPr>
      </w:pPr>
    </w:p>
    <w:p w14:paraId="5893B558" w14:textId="35A0D200" w:rsidR="00C426D3" w:rsidRDefault="00C426D3" w:rsidP="00C426D3">
      <w:pPr>
        <w:rPr>
          <w:rFonts w:eastAsia="Calibri"/>
          <w:lang w:eastAsia="en-US"/>
        </w:rPr>
      </w:pPr>
    </w:p>
    <w:p w14:paraId="75A52C74" w14:textId="5CA751E7" w:rsidR="00C426D3" w:rsidRDefault="00C426D3" w:rsidP="00C426D3">
      <w:pPr>
        <w:rPr>
          <w:rFonts w:eastAsia="Calibri"/>
          <w:lang w:eastAsia="en-US"/>
        </w:rPr>
      </w:pPr>
    </w:p>
    <w:p w14:paraId="14793B8E" w14:textId="19B86160" w:rsidR="00C426D3" w:rsidRPr="00C426D3" w:rsidRDefault="00C426D3" w:rsidP="00C426D3">
      <w:pPr>
        <w:rPr>
          <w:rFonts w:eastAsia="Calibri"/>
          <w:lang w:eastAsia="en-US"/>
        </w:rPr>
      </w:pPr>
    </w:p>
    <w:p w14:paraId="296ECED2" w14:textId="77777777" w:rsidR="00C426D3" w:rsidRPr="00991D4B" w:rsidRDefault="00C426D3" w:rsidP="00C426D3">
      <w:pPr>
        <w:pStyle w:val="Heading2"/>
        <w:rPr>
          <w:rFonts w:eastAsia="Calibri"/>
          <w:color w:val="FFFFFF" w:themeColor="background1"/>
          <w:sz w:val="44"/>
          <w:szCs w:val="40"/>
          <w:lang w:eastAsia="en-US"/>
        </w:rPr>
      </w:pPr>
      <w:bookmarkStart w:id="2" w:name="_Toc106706221"/>
      <w:bookmarkStart w:id="3" w:name="_Toc109030572"/>
      <w:r w:rsidRPr="00991D4B">
        <w:rPr>
          <w:rFonts w:eastAsia="Calibri"/>
          <w:color w:val="FFFFFF" w:themeColor="background1"/>
          <w:sz w:val="44"/>
          <w:szCs w:val="40"/>
          <w:lang w:eastAsia="en-US"/>
        </w:rPr>
        <w:t>Applicant Guide</w:t>
      </w:r>
      <w:bookmarkEnd w:id="2"/>
      <w:bookmarkEnd w:id="3"/>
    </w:p>
    <w:p w14:paraId="4296ACC5" w14:textId="77777777" w:rsidR="00C426D3" w:rsidRPr="00C426D3" w:rsidRDefault="00C426D3" w:rsidP="00C426D3">
      <w:pPr>
        <w:rPr>
          <w:rFonts w:eastAsia="Calibri"/>
          <w:lang w:eastAsia="en-US"/>
        </w:rPr>
      </w:pPr>
    </w:p>
    <w:p w14:paraId="6DB7B59E" w14:textId="77777777" w:rsidR="00411611" w:rsidRDefault="00411611" w:rsidP="00411611">
      <w:pPr>
        <w:spacing w:after="0" w:line="259" w:lineRule="auto"/>
        <w:ind w:hanging="425"/>
        <w:rPr>
          <w:rFonts w:ascii="Calibri" w:eastAsia="Calibri" w:hAnsi="Calibri" w:cs="Calibri"/>
          <w:bCs/>
          <w:sz w:val="52"/>
          <w:szCs w:val="52"/>
          <w:lang w:eastAsia="en-US"/>
        </w:rPr>
      </w:pPr>
    </w:p>
    <w:p w14:paraId="39C95E48" w14:textId="77777777" w:rsidR="00411611" w:rsidRDefault="00411611" w:rsidP="00411611">
      <w:pPr>
        <w:spacing w:after="0" w:line="259" w:lineRule="auto"/>
        <w:ind w:hanging="425"/>
        <w:rPr>
          <w:rFonts w:ascii="Calibri" w:eastAsia="Calibri" w:hAnsi="Calibri" w:cs="Calibri"/>
          <w:bCs/>
          <w:sz w:val="52"/>
          <w:szCs w:val="52"/>
          <w:lang w:eastAsia="en-US"/>
        </w:rPr>
      </w:pPr>
    </w:p>
    <w:p w14:paraId="1C90DA72" w14:textId="77777777" w:rsidR="00411611" w:rsidRDefault="00411611" w:rsidP="00411611">
      <w:pPr>
        <w:spacing w:after="0" w:line="259" w:lineRule="auto"/>
        <w:ind w:hanging="425"/>
        <w:rPr>
          <w:rFonts w:ascii="Calibri" w:eastAsia="Calibri" w:hAnsi="Calibri" w:cs="Calibri"/>
          <w:bCs/>
          <w:sz w:val="52"/>
          <w:szCs w:val="52"/>
          <w:lang w:eastAsia="en-US"/>
        </w:rPr>
      </w:pPr>
    </w:p>
    <w:p w14:paraId="17D44ED8" w14:textId="441678EF" w:rsidR="00411611" w:rsidRDefault="00411611">
      <w:pPr>
        <w:spacing w:after="160" w:line="259" w:lineRule="auto"/>
        <w:rPr>
          <w:rFonts w:ascii="Calibri" w:eastAsia="Calibri" w:hAnsi="Calibri" w:cs="Calibri"/>
          <w:bCs/>
          <w:sz w:val="52"/>
          <w:szCs w:val="52"/>
          <w:lang w:eastAsia="en-US"/>
        </w:rPr>
      </w:pPr>
      <w:r>
        <w:rPr>
          <w:rFonts w:ascii="Calibri" w:eastAsia="Calibri" w:hAnsi="Calibri" w:cs="Calibri"/>
          <w:bCs/>
          <w:sz w:val="52"/>
          <w:szCs w:val="52"/>
          <w:lang w:eastAsia="en-US"/>
        </w:rPr>
        <w:br w:type="page"/>
      </w:r>
    </w:p>
    <w:sdt>
      <w:sdtPr>
        <w:rPr>
          <w:rFonts w:asciiTheme="minorHAnsi" w:eastAsia="Times New Roman" w:hAnsiTheme="minorHAnsi" w:cstheme="minorHAnsi"/>
          <w:sz w:val="22"/>
          <w:szCs w:val="22"/>
          <w:lang w:val="en-AU" w:eastAsia="en-AU"/>
        </w:rPr>
        <w:id w:val="-1188904200"/>
        <w:docPartObj>
          <w:docPartGallery w:val="Table of Contents"/>
          <w:docPartUnique/>
        </w:docPartObj>
      </w:sdtPr>
      <w:sdtEndPr>
        <w:rPr>
          <w:rFonts w:ascii="Franklin Gothic Book" w:hAnsi="Franklin Gothic Book" w:cs="Times New Roman"/>
          <w:b/>
          <w:bCs/>
          <w:noProof/>
        </w:rPr>
      </w:sdtEndPr>
      <w:sdtContent>
        <w:p w14:paraId="5104E82C" w14:textId="44561560" w:rsidR="004C1F87" w:rsidRPr="00310256" w:rsidRDefault="004C1F87" w:rsidP="00D63846">
          <w:pPr>
            <w:pStyle w:val="TOCHeading"/>
            <w:tabs>
              <w:tab w:val="left" w:pos="3900"/>
            </w:tabs>
            <w:rPr>
              <w:rFonts w:asciiTheme="minorHAnsi" w:hAnsiTheme="minorHAnsi" w:cstheme="minorHAnsi"/>
            </w:rPr>
          </w:pPr>
          <w:r w:rsidRPr="00310256">
            <w:rPr>
              <w:rStyle w:val="Heading2Char"/>
              <w:rFonts w:asciiTheme="minorHAnsi" w:hAnsiTheme="minorHAnsi" w:cstheme="minorHAnsi"/>
              <w:b/>
              <w:bCs/>
            </w:rPr>
            <w:t>Contents</w:t>
          </w:r>
          <w:r w:rsidR="00D63846" w:rsidRPr="00310256">
            <w:rPr>
              <w:rFonts w:asciiTheme="minorHAnsi" w:hAnsiTheme="minorHAnsi" w:cstheme="minorHAnsi"/>
            </w:rPr>
            <w:tab/>
          </w:r>
        </w:p>
        <w:p w14:paraId="5BA4AA19" w14:textId="0CD6D91E" w:rsidR="00310256" w:rsidRPr="00310256" w:rsidRDefault="004C1F87" w:rsidP="00603C1C">
          <w:pPr>
            <w:pStyle w:val="TOC1"/>
            <w:ind w:left="220"/>
          </w:pPr>
          <w:r w:rsidRPr="00310256">
            <w:rPr>
              <w:b w:val="0"/>
              <w:bCs w:val="0"/>
            </w:rPr>
            <w:fldChar w:fldCharType="begin"/>
          </w:r>
          <w:r w:rsidRPr="00310256">
            <w:rPr>
              <w:b w:val="0"/>
              <w:bCs w:val="0"/>
            </w:rPr>
            <w:instrText xml:space="preserve"> TOC \o "1-3" \h \z \u </w:instrText>
          </w:r>
          <w:r w:rsidRPr="00310256">
            <w:rPr>
              <w:b w:val="0"/>
              <w:bCs w:val="0"/>
            </w:rPr>
            <w:fldChar w:fldCharType="separate"/>
          </w:r>
        </w:p>
        <w:p w14:paraId="44F1661E" w14:textId="74ED2A22" w:rsidR="00310256" w:rsidRPr="00310256" w:rsidRDefault="00310256">
          <w:pPr>
            <w:pStyle w:val="TOC1"/>
            <w:rPr>
              <w:rFonts w:eastAsiaTheme="minorEastAsia"/>
              <w:b w:val="0"/>
              <w:bCs w:val="0"/>
            </w:rPr>
          </w:pPr>
          <w:hyperlink w:anchor="_Toc109030571" w:history="1">
            <w:r w:rsidRPr="00310256">
              <w:rPr>
                <w:rStyle w:val="Hyperlink"/>
              </w:rPr>
              <w:t>National Blood Research and Development  Strategic Priorities  2022-27</w:t>
            </w:r>
            <w:r w:rsidRPr="00310256">
              <w:rPr>
                <w:webHidden/>
              </w:rPr>
              <w:tab/>
            </w:r>
            <w:r w:rsidRPr="00310256">
              <w:rPr>
                <w:webHidden/>
              </w:rPr>
              <w:fldChar w:fldCharType="begin"/>
            </w:r>
            <w:r w:rsidRPr="00310256">
              <w:rPr>
                <w:webHidden/>
              </w:rPr>
              <w:instrText xml:space="preserve"> PAGEREF _Toc109030571 \h </w:instrText>
            </w:r>
            <w:r w:rsidRPr="00310256">
              <w:rPr>
                <w:webHidden/>
              </w:rPr>
            </w:r>
            <w:r w:rsidRPr="00310256">
              <w:rPr>
                <w:webHidden/>
              </w:rPr>
              <w:fldChar w:fldCharType="separate"/>
            </w:r>
            <w:r w:rsidR="002D198A">
              <w:rPr>
                <w:webHidden/>
              </w:rPr>
              <w:t>1</w:t>
            </w:r>
            <w:r w:rsidRPr="00310256">
              <w:rPr>
                <w:webHidden/>
              </w:rPr>
              <w:fldChar w:fldCharType="end"/>
            </w:r>
          </w:hyperlink>
        </w:p>
        <w:p w14:paraId="7BE77319" w14:textId="720259F2" w:rsidR="00310256" w:rsidRPr="00310256" w:rsidRDefault="00310256">
          <w:pPr>
            <w:pStyle w:val="TOC2"/>
            <w:rPr>
              <w:rFonts w:asciiTheme="minorHAnsi" w:eastAsiaTheme="minorEastAsia" w:hAnsiTheme="minorHAnsi" w:cstheme="minorHAnsi"/>
              <w:noProof/>
            </w:rPr>
          </w:pPr>
          <w:hyperlink w:anchor="_Toc109030572" w:history="1">
            <w:r w:rsidRPr="00310256">
              <w:rPr>
                <w:rStyle w:val="Hyperlink"/>
                <w:rFonts w:asciiTheme="minorHAnsi" w:eastAsia="Calibri" w:hAnsiTheme="minorHAnsi" w:cstheme="minorHAnsi"/>
                <w:noProof/>
                <w:lang w:eastAsia="en-US"/>
              </w:rPr>
              <w:t>Applicant Guide</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_Toc109030572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1</w:t>
            </w:r>
            <w:r w:rsidRPr="00310256">
              <w:rPr>
                <w:rFonts w:asciiTheme="minorHAnsi" w:hAnsiTheme="minorHAnsi" w:cstheme="minorHAnsi"/>
                <w:noProof/>
                <w:webHidden/>
              </w:rPr>
              <w:fldChar w:fldCharType="end"/>
            </w:r>
          </w:hyperlink>
        </w:p>
        <w:p w14:paraId="79377CFD" w14:textId="1ADF72DD" w:rsidR="00310256" w:rsidRPr="00310256" w:rsidRDefault="00310256">
          <w:pPr>
            <w:pStyle w:val="TOC2"/>
            <w:rPr>
              <w:rFonts w:asciiTheme="minorHAnsi" w:eastAsiaTheme="minorEastAsia" w:hAnsiTheme="minorHAnsi" w:cstheme="minorHAnsi"/>
              <w:noProof/>
            </w:rPr>
          </w:pPr>
          <w:hyperlink w:anchor="_Toc109030573" w:history="1">
            <w:r w:rsidRPr="00310256">
              <w:rPr>
                <w:rStyle w:val="Hyperlink"/>
                <w:rFonts w:asciiTheme="minorHAnsi" w:hAnsiTheme="minorHAnsi" w:cstheme="minorHAnsi"/>
                <w:noProof/>
              </w:rPr>
              <w:t>Context</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_Toc109030573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3</w:t>
            </w:r>
            <w:r w:rsidRPr="00310256">
              <w:rPr>
                <w:rFonts w:asciiTheme="minorHAnsi" w:hAnsiTheme="minorHAnsi" w:cstheme="minorHAnsi"/>
                <w:noProof/>
                <w:webHidden/>
              </w:rPr>
              <w:fldChar w:fldCharType="end"/>
            </w:r>
          </w:hyperlink>
        </w:p>
        <w:p w14:paraId="60C3004D" w14:textId="6EB3748D" w:rsidR="00310256" w:rsidRPr="00310256" w:rsidRDefault="00310256">
          <w:pPr>
            <w:pStyle w:val="TOC2"/>
            <w:rPr>
              <w:rFonts w:asciiTheme="minorHAnsi" w:eastAsiaTheme="minorEastAsia" w:hAnsiTheme="minorHAnsi" w:cstheme="minorHAnsi"/>
              <w:noProof/>
            </w:rPr>
          </w:pPr>
          <w:hyperlink w:anchor="_Toc109030574" w:history="1">
            <w:r w:rsidRPr="00310256">
              <w:rPr>
                <w:rStyle w:val="Hyperlink"/>
                <w:rFonts w:asciiTheme="minorHAnsi" w:hAnsiTheme="minorHAnsi" w:cstheme="minorHAnsi"/>
                <w:noProof/>
              </w:rPr>
              <w:t>Background</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_Toc109030574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3</w:t>
            </w:r>
            <w:r w:rsidRPr="00310256">
              <w:rPr>
                <w:rFonts w:asciiTheme="minorHAnsi" w:hAnsiTheme="minorHAnsi" w:cstheme="minorHAnsi"/>
                <w:noProof/>
                <w:webHidden/>
              </w:rPr>
              <w:fldChar w:fldCharType="end"/>
            </w:r>
          </w:hyperlink>
        </w:p>
        <w:p w14:paraId="33EF76B2" w14:textId="4A3B2A4B" w:rsidR="00310256" w:rsidRPr="00310256" w:rsidRDefault="00310256">
          <w:pPr>
            <w:pStyle w:val="TOC3"/>
            <w:rPr>
              <w:rFonts w:asciiTheme="minorHAnsi" w:eastAsiaTheme="minorEastAsia" w:hAnsiTheme="minorHAnsi" w:cstheme="minorHAnsi"/>
              <w:noProof/>
            </w:rPr>
          </w:pPr>
          <w:hyperlink w:anchor="_Toc109030575" w:history="1">
            <w:r w:rsidRPr="00310256">
              <w:rPr>
                <w:rStyle w:val="Hyperlink"/>
                <w:rFonts w:asciiTheme="minorHAnsi" w:hAnsiTheme="minorHAnsi" w:cstheme="minorHAnsi"/>
                <w:noProof/>
              </w:rPr>
              <w:t>2022-27 Priorities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_Toc109030575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3</w:t>
            </w:r>
            <w:r w:rsidRPr="00310256">
              <w:rPr>
                <w:rFonts w:asciiTheme="minorHAnsi" w:hAnsiTheme="minorHAnsi" w:cstheme="minorHAnsi"/>
                <w:noProof/>
                <w:webHidden/>
              </w:rPr>
              <w:fldChar w:fldCharType="end"/>
            </w:r>
          </w:hyperlink>
        </w:p>
        <w:p w14:paraId="04A953A6" w14:textId="309372A7" w:rsidR="00310256" w:rsidRPr="00310256" w:rsidRDefault="00310256">
          <w:pPr>
            <w:pStyle w:val="TOC2"/>
            <w:rPr>
              <w:rFonts w:asciiTheme="minorHAnsi" w:eastAsiaTheme="minorEastAsia" w:hAnsiTheme="minorHAnsi" w:cstheme="minorHAnsi"/>
              <w:noProof/>
            </w:rPr>
          </w:pPr>
          <w:hyperlink w:anchor="_Toc109030576" w:history="1">
            <w:r w:rsidRPr="00310256">
              <w:rPr>
                <w:rStyle w:val="Hyperlink"/>
                <w:rFonts w:asciiTheme="minorHAnsi" w:hAnsiTheme="minorHAnsi" w:cstheme="minorHAnsi"/>
                <w:noProof/>
              </w:rPr>
              <w:t>Priority 1 - Optimise the use of blood and blood products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_Toc109030576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4</w:t>
            </w:r>
            <w:r w:rsidRPr="00310256">
              <w:rPr>
                <w:rFonts w:asciiTheme="minorHAnsi" w:hAnsiTheme="minorHAnsi" w:cstheme="minorHAnsi"/>
                <w:noProof/>
                <w:webHidden/>
              </w:rPr>
              <w:fldChar w:fldCharType="end"/>
            </w:r>
          </w:hyperlink>
        </w:p>
        <w:p w14:paraId="6EFAB7A2" w14:textId="34D1AD64" w:rsidR="00310256" w:rsidRPr="00310256" w:rsidRDefault="00310256">
          <w:pPr>
            <w:pStyle w:val="TOC3"/>
            <w:rPr>
              <w:rFonts w:asciiTheme="minorHAnsi" w:eastAsiaTheme="minorEastAsia" w:hAnsiTheme="minorHAnsi" w:cstheme="minorHAnsi"/>
              <w:noProof/>
            </w:rPr>
          </w:pPr>
          <w:hyperlink w:anchor="_Toc109030577" w:history="1">
            <w:r w:rsidRPr="00310256">
              <w:rPr>
                <w:rStyle w:val="Hyperlink"/>
                <w:rFonts w:asciiTheme="minorHAnsi" w:hAnsiTheme="minorHAnsi" w:cstheme="minorHAnsi"/>
                <w:noProof/>
              </w:rPr>
              <w:t>What we are trying to achieve through further research</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_Toc109030577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4</w:t>
            </w:r>
            <w:r w:rsidRPr="00310256">
              <w:rPr>
                <w:rFonts w:asciiTheme="minorHAnsi" w:hAnsiTheme="minorHAnsi" w:cstheme="minorHAnsi"/>
                <w:noProof/>
                <w:webHidden/>
              </w:rPr>
              <w:fldChar w:fldCharType="end"/>
            </w:r>
          </w:hyperlink>
        </w:p>
        <w:p w14:paraId="2363A1C3" w14:textId="4CFB87DA" w:rsidR="00310256" w:rsidRPr="00310256" w:rsidRDefault="00310256">
          <w:pPr>
            <w:pStyle w:val="TOC3"/>
            <w:rPr>
              <w:rFonts w:asciiTheme="minorHAnsi" w:eastAsiaTheme="minorEastAsia" w:hAnsiTheme="minorHAnsi" w:cstheme="minorHAnsi"/>
              <w:noProof/>
            </w:rPr>
          </w:pPr>
          <w:hyperlink w:anchor="_Toc109030578" w:history="1">
            <w:r w:rsidRPr="00310256">
              <w:rPr>
                <w:rStyle w:val="Hyperlink"/>
                <w:rFonts w:asciiTheme="minorHAnsi" w:hAnsiTheme="minorHAnsi" w:cstheme="minorHAnsi"/>
                <w:noProof/>
              </w:rPr>
              <w:t>Work progressed under the previous 2013-16 Priorities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_Toc109030578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4</w:t>
            </w:r>
            <w:r w:rsidRPr="00310256">
              <w:rPr>
                <w:rFonts w:asciiTheme="minorHAnsi" w:hAnsiTheme="minorHAnsi" w:cstheme="minorHAnsi"/>
                <w:noProof/>
                <w:webHidden/>
              </w:rPr>
              <w:fldChar w:fldCharType="end"/>
            </w:r>
          </w:hyperlink>
        </w:p>
        <w:p w14:paraId="40417C7F" w14:textId="0D95DDE2" w:rsidR="00310256" w:rsidRPr="00310256" w:rsidRDefault="00310256">
          <w:pPr>
            <w:pStyle w:val="TOC3"/>
            <w:rPr>
              <w:rFonts w:asciiTheme="minorHAnsi" w:eastAsiaTheme="minorEastAsia" w:hAnsiTheme="minorHAnsi" w:cstheme="minorHAnsi"/>
              <w:noProof/>
            </w:rPr>
          </w:pPr>
          <w:hyperlink w:anchor="_Toc109030579" w:history="1">
            <w:r w:rsidRPr="00310256">
              <w:rPr>
                <w:rStyle w:val="Hyperlink"/>
                <w:rFonts w:asciiTheme="minorHAnsi" w:hAnsiTheme="minorHAnsi" w:cstheme="minorHAnsi"/>
                <w:noProof/>
              </w:rPr>
              <w:t>What we want from the research community</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_Toc109030579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4</w:t>
            </w:r>
            <w:r w:rsidRPr="00310256">
              <w:rPr>
                <w:rFonts w:asciiTheme="minorHAnsi" w:hAnsiTheme="minorHAnsi" w:cstheme="minorHAnsi"/>
                <w:noProof/>
                <w:webHidden/>
              </w:rPr>
              <w:fldChar w:fldCharType="end"/>
            </w:r>
          </w:hyperlink>
        </w:p>
        <w:p w14:paraId="2B51F8FE" w14:textId="19C03AB8" w:rsidR="00310256" w:rsidRPr="00310256" w:rsidRDefault="00310256">
          <w:pPr>
            <w:pStyle w:val="TOC2"/>
            <w:rPr>
              <w:rFonts w:asciiTheme="minorHAnsi" w:eastAsiaTheme="minorEastAsia" w:hAnsiTheme="minorHAnsi" w:cstheme="minorHAnsi"/>
              <w:noProof/>
            </w:rPr>
          </w:pPr>
          <w:hyperlink w:anchor="_Toc109030580" w:history="1">
            <w:r w:rsidRPr="00310256">
              <w:rPr>
                <w:rStyle w:val="Hyperlink"/>
                <w:rFonts w:asciiTheme="minorHAnsi" w:hAnsiTheme="minorHAnsi" w:cstheme="minorHAnsi"/>
                <w:noProof/>
              </w:rPr>
              <w:t>Priority 2 - Optimise supply including product innovation and supply chain efficiencies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_Toc109030580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5</w:t>
            </w:r>
            <w:r w:rsidRPr="00310256">
              <w:rPr>
                <w:rFonts w:asciiTheme="minorHAnsi" w:hAnsiTheme="minorHAnsi" w:cstheme="minorHAnsi"/>
                <w:noProof/>
                <w:webHidden/>
              </w:rPr>
              <w:fldChar w:fldCharType="end"/>
            </w:r>
          </w:hyperlink>
        </w:p>
        <w:p w14:paraId="02C9EE7C" w14:textId="6B2E146C" w:rsidR="00310256" w:rsidRPr="00310256" w:rsidRDefault="00310256">
          <w:pPr>
            <w:pStyle w:val="TOC3"/>
            <w:rPr>
              <w:rFonts w:asciiTheme="minorHAnsi" w:eastAsiaTheme="minorEastAsia" w:hAnsiTheme="minorHAnsi" w:cstheme="minorHAnsi"/>
              <w:noProof/>
            </w:rPr>
          </w:pPr>
          <w:hyperlink w:anchor="_Toc109030581" w:history="1">
            <w:r w:rsidRPr="00310256">
              <w:rPr>
                <w:rStyle w:val="Hyperlink"/>
                <w:rFonts w:asciiTheme="minorHAnsi" w:hAnsiTheme="minorHAnsi" w:cstheme="minorHAnsi"/>
                <w:noProof/>
              </w:rPr>
              <w:t>What we are trying to achieve through further research</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_Toc109030581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5</w:t>
            </w:r>
            <w:r w:rsidRPr="00310256">
              <w:rPr>
                <w:rFonts w:asciiTheme="minorHAnsi" w:hAnsiTheme="minorHAnsi" w:cstheme="minorHAnsi"/>
                <w:noProof/>
                <w:webHidden/>
              </w:rPr>
              <w:fldChar w:fldCharType="end"/>
            </w:r>
          </w:hyperlink>
        </w:p>
        <w:p w14:paraId="17CEC618" w14:textId="48966447" w:rsidR="00310256" w:rsidRPr="00310256" w:rsidRDefault="00310256">
          <w:pPr>
            <w:pStyle w:val="TOC3"/>
            <w:rPr>
              <w:rFonts w:asciiTheme="minorHAnsi" w:eastAsiaTheme="minorEastAsia" w:hAnsiTheme="minorHAnsi" w:cstheme="minorHAnsi"/>
              <w:noProof/>
            </w:rPr>
          </w:pPr>
          <w:hyperlink w:anchor="_Toc109030582" w:history="1">
            <w:r w:rsidRPr="00310256">
              <w:rPr>
                <w:rStyle w:val="Hyperlink"/>
                <w:rFonts w:asciiTheme="minorHAnsi" w:hAnsiTheme="minorHAnsi" w:cstheme="minorHAnsi"/>
                <w:noProof/>
              </w:rPr>
              <w:t>Work progressed under the previous 2013-16 Priorities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_Toc109030582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5</w:t>
            </w:r>
            <w:r w:rsidRPr="00310256">
              <w:rPr>
                <w:rFonts w:asciiTheme="minorHAnsi" w:hAnsiTheme="minorHAnsi" w:cstheme="minorHAnsi"/>
                <w:noProof/>
                <w:webHidden/>
              </w:rPr>
              <w:fldChar w:fldCharType="end"/>
            </w:r>
          </w:hyperlink>
        </w:p>
        <w:p w14:paraId="72923F4A" w14:textId="751951B8" w:rsidR="00310256" w:rsidRPr="00310256" w:rsidRDefault="00310256">
          <w:pPr>
            <w:pStyle w:val="TOC3"/>
            <w:rPr>
              <w:rFonts w:asciiTheme="minorHAnsi" w:eastAsiaTheme="minorEastAsia" w:hAnsiTheme="minorHAnsi" w:cstheme="minorHAnsi"/>
              <w:noProof/>
            </w:rPr>
          </w:pPr>
          <w:hyperlink w:anchor="_Toc109030583" w:history="1">
            <w:r w:rsidRPr="00310256">
              <w:rPr>
                <w:rStyle w:val="Hyperlink"/>
                <w:rFonts w:asciiTheme="minorHAnsi" w:hAnsiTheme="minorHAnsi" w:cstheme="minorHAnsi"/>
                <w:noProof/>
              </w:rPr>
              <w:t>What we want from the research community</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_Toc109030583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6</w:t>
            </w:r>
            <w:r w:rsidRPr="00310256">
              <w:rPr>
                <w:rFonts w:asciiTheme="minorHAnsi" w:hAnsiTheme="minorHAnsi" w:cstheme="minorHAnsi"/>
                <w:noProof/>
                <w:webHidden/>
              </w:rPr>
              <w:fldChar w:fldCharType="end"/>
            </w:r>
          </w:hyperlink>
        </w:p>
        <w:p w14:paraId="6F92F00B" w14:textId="0EE8BA43" w:rsidR="00310256" w:rsidRPr="00310256" w:rsidRDefault="00310256">
          <w:pPr>
            <w:pStyle w:val="TOC2"/>
            <w:rPr>
              <w:rFonts w:asciiTheme="minorHAnsi" w:eastAsiaTheme="minorEastAsia" w:hAnsiTheme="minorHAnsi" w:cstheme="minorHAnsi"/>
              <w:noProof/>
            </w:rPr>
          </w:pPr>
          <w:hyperlink w:anchor="_Toc109030584" w:history="1">
            <w:r w:rsidRPr="00310256">
              <w:rPr>
                <w:rStyle w:val="Hyperlink"/>
                <w:rFonts w:asciiTheme="minorHAnsi" w:hAnsiTheme="minorHAnsi" w:cstheme="minorHAnsi"/>
                <w:noProof/>
              </w:rPr>
              <w:t>Priority 3 – Reduce donor and patient adverse events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_Toc109030584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6</w:t>
            </w:r>
            <w:r w:rsidRPr="00310256">
              <w:rPr>
                <w:rFonts w:asciiTheme="minorHAnsi" w:hAnsiTheme="minorHAnsi" w:cstheme="minorHAnsi"/>
                <w:noProof/>
                <w:webHidden/>
              </w:rPr>
              <w:fldChar w:fldCharType="end"/>
            </w:r>
          </w:hyperlink>
        </w:p>
        <w:p w14:paraId="730FC111" w14:textId="6A93B122" w:rsidR="00310256" w:rsidRPr="00310256" w:rsidRDefault="00310256">
          <w:pPr>
            <w:pStyle w:val="TOC3"/>
            <w:rPr>
              <w:rFonts w:asciiTheme="minorHAnsi" w:eastAsiaTheme="minorEastAsia" w:hAnsiTheme="minorHAnsi" w:cstheme="minorHAnsi"/>
              <w:noProof/>
            </w:rPr>
          </w:pPr>
          <w:hyperlink w:anchor="_Toc109030585" w:history="1">
            <w:r w:rsidRPr="00310256">
              <w:rPr>
                <w:rStyle w:val="Hyperlink"/>
                <w:rFonts w:asciiTheme="minorHAnsi" w:hAnsiTheme="minorHAnsi" w:cstheme="minorHAnsi"/>
                <w:noProof/>
              </w:rPr>
              <w:t>What we are trying to achieve through further research</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_Toc109030585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6</w:t>
            </w:r>
            <w:r w:rsidRPr="00310256">
              <w:rPr>
                <w:rFonts w:asciiTheme="minorHAnsi" w:hAnsiTheme="minorHAnsi" w:cstheme="minorHAnsi"/>
                <w:noProof/>
                <w:webHidden/>
              </w:rPr>
              <w:fldChar w:fldCharType="end"/>
            </w:r>
          </w:hyperlink>
        </w:p>
        <w:p w14:paraId="3E6E98BF" w14:textId="0ECC4F1A" w:rsidR="00310256" w:rsidRPr="00310256" w:rsidRDefault="00310256">
          <w:pPr>
            <w:pStyle w:val="TOC3"/>
            <w:rPr>
              <w:rFonts w:asciiTheme="minorHAnsi" w:eastAsiaTheme="minorEastAsia" w:hAnsiTheme="minorHAnsi" w:cstheme="minorHAnsi"/>
              <w:noProof/>
            </w:rPr>
          </w:pPr>
          <w:hyperlink w:anchor="_Toc109030586" w:history="1">
            <w:r w:rsidRPr="00310256">
              <w:rPr>
                <w:rStyle w:val="Hyperlink"/>
                <w:rFonts w:asciiTheme="minorHAnsi" w:hAnsiTheme="minorHAnsi" w:cstheme="minorHAnsi"/>
                <w:noProof/>
              </w:rPr>
              <w:t>Work progressed under the previous 2013-16 Priorities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_Toc109030586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6</w:t>
            </w:r>
            <w:r w:rsidRPr="00310256">
              <w:rPr>
                <w:rFonts w:asciiTheme="minorHAnsi" w:hAnsiTheme="minorHAnsi" w:cstheme="minorHAnsi"/>
                <w:noProof/>
                <w:webHidden/>
              </w:rPr>
              <w:fldChar w:fldCharType="end"/>
            </w:r>
          </w:hyperlink>
        </w:p>
        <w:p w14:paraId="33E69CB2" w14:textId="2757FECB" w:rsidR="00310256" w:rsidRPr="00310256" w:rsidRDefault="00310256">
          <w:pPr>
            <w:pStyle w:val="TOC3"/>
            <w:rPr>
              <w:rFonts w:asciiTheme="minorHAnsi" w:eastAsiaTheme="minorEastAsia" w:hAnsiTheme="minorHAnsi" w:cstheme="minorHAnsi"/>
              <w:noProof/>
            </w:rPr>
          </w:pPr>
          <w:hyperlink w:anchor="_Toc109030587" w:history="1">
            <w:r w:rsidRPr="00310256">
              <w:rPr>
                <w:rStyle w:val="Hyperlink"/>
                <w:rFonts w:asciiTheme="minorHAnsi" w:hAnsiTheme="minorHAnsi" w:cstheme="minorHAnsi"/>
                <w:noProof/>
              </w:rPr>
              <w:t>What we want from the research community</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_Toc109030587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7</w:t>
            </w:r>
            <w:r w:rsidRPr="00310256">
              <w:rPr>
                <w:rFonts w:asciiTheme="minorHAnsi" w:hAnsiTheme="minorHAnsi" w:cstheme="minorHAnsi"/>
                <w:noProof/>
                <w:webHidden/>
              </w:rPr>
              <w:fldChar w:fldCharType="end"/>
            </w:r>
          </w:hyperlink>
        </w:p>
        <w:p w14:paraId="3116332E" w14:textId="126B8ECD" w:rsidR="00310256" w:rsidRPr="00310256" w:rsidRDefault="00310256">
          <w:pPr>
            <w:pStyle w:val="TOC2"/>
            <w:rPr>
              <w:rFonts w:asciiTheme="minorHAnsi" w:eastAsiaTheme="minorEastAsia" w:hAnsiTheme="minorHAnsi" w:cstheme="minorHAnsi"/>
              <w:noProof/>
            </w:rPr>
          </w:pPr>
          <w:hyperlink w:anchor="_Toc109030588" w:history="1">
            <w:r w:rsidRPr="00310256">
              <w:rPr>
                <w:rStyle w:val="Hyperlink"/>
                <w:rFonts w:asciiTheme="minorHAnsi" w:hAnsiTheme="minorHAnsi" w:cstheme="minorHAnsi"/>
                <w:noProof/>
              </w:rPr>
              <w:t>Enabler 1 – Improve data collection, accuracy and sharing</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_Toc109030588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7</w:t>
            </w:r>
            <w:r w:rsidRPr="00310256">
              <w:rPr>
                <w:rFonts w:asciiTheme="minorHAnsi" w:hAnsiTheme="minorHAnsi" w:cstheme="minorHAnsi"/>
                <w:noProof/>
                <w:webHidden/>
              </w:rPr>
              <w:fldChar w:fldCharType="end"/>
            </w:r>
          </w:hyperlink>
        </w:p>
        <w:p w14:paraId="3BB62F5F" w14:textId="0395F5D8" w:rsidR="00310256" w:rsidRPr="00310256" w:rsidRDefault="00310256">
          <w:pPr>
            <w:pStyle w:val="TOC3"/>
            <w:rPr>
              <w:rFonts w:asciiTheme="minorHAnsi" w:eastAsiaTheme="minorEastAsia" w:hAnsiTheme="minorHAnsi" w:cstheme="minorHAnsi"/>
              <w:noProof/>
            </w:rPr>
          </w:pPr>
          <w:hyperlink w:anchor="_Toc109030589" w:history="1">
            <w:r w:rsidRPr="00310256">
              <w:rPr>
                <w:rStyle w:val="Hyperlink"/>
                <w:rFonts w:asciiTheme="minorHAnsi" w:hAnsiTheme="minorHAnsi" w:cstheme="minorHAnsi"/>
                <w:noProof/>
              </w:rPr>
              <w:t>What we are trying to achieve through further research</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_Toc109030589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7</w:t>
            </w:r>
            <w:r w:rsidRPr="00310256">
              <w:rPr>
                <w:rFonts w:asciiTheme="minorHAnsi" w:hAnsiTheme="minorHAnsi" w:cstheme="minorHAnsi"/>
                <w:noProof/>
                <w:webHidden/>
              </w:rPr>
              <w:fldChar w:fldCharType="end"/>
            </w:r>
          </w:hyperlink>
        </w:p>
        <w:p w14:paraId="57442A2D" w14:textId="55DB5CB2" w:rsidR="00310256" w:rsidRPr="00310256" w:rsidRDefault="00310256">
          <w:pPr>
            <w:pStyle w:val="TOC3"/>
            <w:rPr>
              <w:rFonts w:asciiTheme="minorHAnsi" w:eastAsiaTheme="minorEastAsia" w:hAnsiTheme="minorHAnsi" w:cstheme="minorHAnsi"/>
              <w:noProof/>
            </w:rPr>
          </w:pPr>
          <w:hyperlink w:anchor="_Toc109030590" w:history="1">
            <w:r w:rsidRPr="00310256">
              <w:rPr>
                <w:rStyle w:val="Hyperlink"/>
                <w:rFonts w:asciiTheme="minorHAnsi" w:hAnsiTheme="minorHAnsi" w:cstheme="minorHAnsi"/>
                <w:noProof/>
              </w:rPr>
              <w:t>Work progressed under the previous 2013-16 Priorities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_Toc109030590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7</w:t>
            </w:r>
            <w:r w:rsidRPr="00310256">
              <w:rPr>
                <w:rFonts w:asciiTheme="minorHAnsi" w:hAnsiTheme="minorHAnsi" w:cstheme="minorHAnsi"/>
                <w:noProof/>
                <w:webHidden/>
              </w:rPr>
              <w:fldChar w:fldCharType="end"/>
            </w:r>
          </w:hyperlink>
        </w:p>
        <w:p w14:paraId="6D12D1F1" w14:textId="53B7DB10" w:rsidR="00310256" w:rsidRPr="00310256" w:rsidRDefault="00310256">
          <w:pPr>
            <w:pStyle w:val="TOC3"/>
            <w:rPr>
              <w:rFonts w:asciiTheme="minorHAnsi" w:eastAsiaTheme="minorEastAsia" w:hAnsiTheme="minorHAnsi" w:cstheme="minorHAnsi"/>
              <w:noProof/>
            </w:rPr>
          </w:pPr>
          <w:hyperlink w:anchor="_Toc109030591" w:history="1">
            <w:r w:rsidRPr="00310256">
              <w:rPr>
                <w:rStyle w:val="Hyperlink"/>
                <w:rFonts w:asciiTheme="minorHAnsi" w:hAnsiTheme="minorHAnsi" w:cstheme="minorHAnsi"/>
                <w:noProof/>
              </w:rPr>
              <w:t>What we want from the research community</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_Toc109030591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8</w:t>
            </w:r>
            <w:r w:rsidRPr="00310256">
              <w:rPr>
                <w:rFonts w:asciiTheme="minorHAnsi" w:hAnsiTheme="minorHAnsi" w:cstheme="minorHAnsi"/>
                <w:noProof/>
                <w:webHidden/>
              </w:rPr>
              <w:fldChar w:fldCharType="end"/>
            </w:r>
          </w:hyperlink>
        </w:p>
        <w:p w14:paraId="060D0357" w14:textId="5802157B" w:rsidR="00310256" w:rsidRPr="00310256" w:rsidRDefault="00310256">
          <w:pPr>
            <w:pStyle w:val="TOC2"/>
            <w:rPr>
              <w:rFonts w:asciiTheme="minorHAnsi" w:eastAsiaTheme="minorEastAsia" w:hAnsiTheme="minorHAnsi" w:cstheme="minorHAnsi"/>
              <w:noProof/>
            </w:rPr>
          </w:pPr>
          <w:hyperlink w:anchor="_Toc109030592" w:history="1">
            <w:r w:rsidRPr="00310256">
              <w:rPr>
                <w:rStyle w:val="Hyperlink"/>
                <w:rFonts w:asciiTheme="minorHAnsi" w:hAnsiTheme="minorHAnsi" w:cstheme="minorHAnsi"/>
                <w:noProof/>
              </w:rPr>
              <w:t>Enabler 2 – Optimise health and patient service delivery to best meet patient and donor needs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_Toc109030592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8</w:t>
            </w:r>
            <w:r w:rsidRPr="00310256">
              <w:rPr>
                <w:rFonts w:asciiTheme="minorHAnsi" w:hAnsiTheme="minorHAnsi" w:cstheme="minorHAnsi"/>
                <w:noProof/>
                <w:webHidden/>
              </w:rPr>
              <w:fldChar w:fldCharType="end"/>
            </w:r>
          </w:hyperlink>
        </w:p>
        <w:p w14:paraId="3C45CC97" w14:textId="385FA679" w:rsidR="00310256" w:rsidRPr="00310256" w:rsidRDefault="00310256">
          <w:pPr>
            <w:pStyle w:val="TOC3"/>
            <w:rPr>
              <w:rFonts w:asciiTheme="minorHAnsi" w:eastAsiaTheme="minorEastAsia" w:hAnsiTheme="minorHAnsi" w:cstheme="minorHAnsi"/>
              <w:noProof/>
            </w:rPr>
          </w:pPr>
          <w:hyperlink w:anchor="_Toc109030593" w:history="1">
            <w:r w:rsidRPr="00310256">
              <w:rPr>
                <w:rStyle w:val="Hyperlink"/>
                <w:rFonts w:asciiTheme="minorHAnsi" w:hAnsiTheme="minorHAnsi" w:cstheme="minorHAnsi"/>
                <w:noProof/>
              </w:rPr>
              <w:t>What we are trying to achieve through further research</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_Toc109030593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8</w:t>
            </w:r>
            <w:r w:rsidRPr="00310256">
              <w:rPr>
                <w:rFonts w:asciiTheme="minorHAnsi" w:hAnsiTheme="minorHAnsi" w:cstheme="minorHAnsi"/>
                <w:noProof/>
                <w:webHidden/>
              </w:rPr>
              <w:fldChar w:fldCharType="end"/>
            </w:r>
          </w:hyperlink>
        </w:p>
        <w:p w14:paraId="5CC6883B" w14:textId="140C25C2" w:rsidR="00310256" w:rsidRPr="00310256" w:rsidRDefault="00310256">
          <w:pPr>
            <w:pStyle w:val="TOC3"/>
            <w:rPr>
              <w:rFonts w:asciiTheme="minorHAnsi" w:eastAsiaTheme="minorEastAsia" w:hAnsiTheme="minorHAnsi" w:cstheme="minorHAnsi"/>
              <w:noProof/>
            </w:rPr>
          </w:pPr>
          <w:hyperlink w:anchor="_Toc109030594" w:history="1">
            <w:r w:rsidRPr="00310256">
              <w:rPr>
                <w:rStyle w:val="Hyperlink"/>
                <w:rFonts w:asciiTheme="minorHAnsi" w:hAnsiTheme="minorHAnsi" w:cstheme="minorHAnsi"/>
                <w:noProof/>
              </w:rPr>
              <w:t>Work progressed under the previous 2013-16 Priorities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_Toc109030594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8</w:t>
            </w:r>
            <w:r w:rsidRPr="00310256">
              <w:rPr>
                <w:rFonts w:asciiTheme="minorHAnsi" w:hAnsiTheme="minorHAnsi" w:cstheme="minorHAnsi"/>
                <w:noProof/>
                <w:webHidden/>
              </w:rPr>
              <w:fldChar w:fldCharType="end"/>
            </w:r>
          </w:hyperlink>
        </w:p>
        <w:p w14:paraId="4765354C" w14:textId="1CFC4C00" w:rsidR="00310256" w:rsidRPr="00310256" w:rsidRDefault="00310256">
          <w:pPr>
            <w:pStyle w:val="TOC3"/>
            <w:rPr>
              <w:rFonts w:asciiTheme="minorHAnsi" w:eastAsiaTheme="minorEastAsia" w:hAnsiTheme="minorHAnsi" w:cstheme="minorHAnsi"/>
              <w:noProof/>
            </w:rPr>
          </w:pPr>
          <w:hyperlink w:anchor="_Toc109030595" w:history="1">
            <w:r w:rsidRPr="00310256">
              <w:rPr>
                <w:rStyle w:val="Hyperlink"/>
                <w:rFonts w:asciiTheme="minorHAnsi" w:hAnsiTheme="minorHAnsi" w:cstheme="minorHAnsi"/>
                <w:noProof/>
              </w:rPr>
              <w:t>What we want from the research community</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_Toc109030595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8</w:t>
            </w:r>
            <w:r w:rsidRPr="00310256">
              <w:rPr>
                <w:rFonts w:asciiTheme="minorHAnsi" w:hAnsiTheme="minorHAnsi" w:cstheme="minorHAnsi"/>
                <w:noProof/>
                <w:webHidden/>
              </w:rPr>
              <w:fldChar w:fldCharType="end"/>
            </w:r>
          </w:hyperlink>
        </w:p>
        <w:p w14:paraId="10BA73BD" w14:textId="38EEFC5A" w:rsidR="00310256" w:rsidRPr="00310256" w:rsidRDefault="00310256">
          <w:pPr>
            <w:pStyle w:val="TOC2"/>
            <w:rPr>
              <w:rFonts w:asciiTheme="minorHAnsi" w:eastAsiaTheme="minorEastAsia" w:hAnsiTheme="minorHAnsi" w:cstheme="minorHAnsi"/>
              <w:noProof/>
            </w:rPr>
          </w:pPr>
          <w:hyperlink w:anchor="_Toc109030596" w:history="1">
            <w:r w:rsidRPr="00310256">
              <w:rPr>
                <w:rStyle w:val="Hyperlink"/>
                <w:rFonts w:asciiTheme="minorHAnsi" w:hAnsiTheme="minorHAnsi" w:cstheme="minorHAnsi"/>
                <w:noProof/>
              </w:rPr>
              <w:t>Enabler 3 – Strengthen workforce capability</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_Toc109030596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8</w:t>
            </w:r>
            <w:r w:rsidRPr="00310256">
              <w:rPr>
                <w:rFonts w:asciiTheme="minorHAnsi" w:hAnsiTheme="minorHAnsi" w:cstheme="minorHAnsi"/>
                <w:noProof/>
                <w:webHidden/>
              </w:rPr>
              <w:fldChar w:fldCharType="end"/>
            </w:r>
          </w:hyperlink>
        </w:p>
        <w:p w14:paraId="5BF6C5F1" w14:textId="660643D3" w:rsidR="00310256" w:rsidRPr="00310256" w:rsidRDefault="00310256">
          <w:pPr>
            <w:pStyle w:val="TOC3"/>
            <w:rPr>
              <w:rFonts w:asciiTheme="minorHAnsi" w:eastAsiaTheme="minorEastAsia" w:hAnsiTheme="minorHAnsi" w:cstheme="minorHAnsi"/>
              <w:noProof/>
            </w:rPr>
          </w:pPr>
          <w:hyperlink w:anchor="_Toc109030597" w:history="1">
            <w:r w:rsidRPr="00310256">
              <w:rPr>
                <w:rStyle w:val="Hyperlink"/>
                <w:rFonts w:asciiTheme="minorHAnsi" w:hAnsiTheme="minorHAnsi" w:cstheme="minorHAnsi"/>
                <w:noProof/>
              </w:rPr>
              <w:t>What we are trying to achieve through further research</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_Toc109030597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8</w:t>
            </w:r>
            <w:r w:rsidRPr="00310256">
              <w:rPr>
                <w:rFonts w:asciiTheme="minorHAnsi" w:hAnsiTheme="minorHAnsi" w:cstheme="minorHAnsi"/>
                <w:noProof/>
                <w:webHidden/>
              </w:rPr>
              <w:fldChar w:fldCharType="end"/>
            </w:r>
          </w:hyperlink>
        </w:p>
        <w:p w14:paraId="251495CE" w14:textId="33FEEE06" w:rsidR="00310256" w:rsidRPr="00310256" w:rsidRDefault="00310256">
          <w:pPr>
            <w:pStyle w:val="TOC3"/>
            <w:rPr>
              <w:rFonts w:asciiTheme="minorHAnsi" w:eastAsiaTheme="minorEastAsia" w:hAnsiTheme="minorHAnsi" w:cstheme="minorHAnsi"/>
              <w:noProof/>
            </w:rPr>
          </w:pPr>
          <w:hyperlink w:anchor="_Toc109030598" w:history="1">
            <w:r w:rsidRPr="00310256">
              <w:rPr>
                <w:rStyle w:val="Hyperlink"/>
                <w:rFonts w:asciiTheme="minorHAnsi" w:hAnsiTheme="minorHAnsi" w:cstheme="minorHAnsi"/>
                <w:noProof/>
              </w:rPr>
              <w:t>What we want from the research community</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_Toc109030598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9</w:t>
            </w:r>
            <w:r w:rsidRPr="00310256">
              <w:rPr>
                <w:rFonts w:asciiTheme="minorHAnsi" w:hAnsiTheme="minorHAnsi" w:cstheme="minorHAnsi"/>
                <w:noProof/>
                <w:webHidden/>
              </w:rPr>
              <w:fldChar w:fldCharType="end"/>
            </w:r>
          </w:hyperlink>
        </w:p>
        <w:p w14:paraId="21C3BEDA" w14:textId="4DF9D412" w:rsidR="00310256" w:rsidRPr="00310256" w:rsidRDefault="00310256">
          <w:pPr>
            <w:pStyle w:val="TOC2"/>
            <w:rPr>
              <w:rFonts w:asciiTheme="minorHAnsi" w:eastAsiaTheme="minorEastAsia" w:hAnsiTheme="minorHAnsi" w:cstheme="minorHAnsi"/>
              <w:noProof/>
            </w:rPr>
          </w:pPr>
          <w:hyperlink w:anchor="_Toc109030599" w:history="1">
            <w:r w:rsidRPr="00310256">
              <w:rPr>
                <w:rStyle w:val="Hyperlink"/>
                <w:rFonts w:asciiTheme="minorHAnsi" w:hAnsiTheme="minorHAnsi" w:cstheme="minorHAnsi"/>
                <w:noProof/>
              </w:rPr>
              <w:t>Monitoring Plan for 2022-27 Priorities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_Toc109030599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9</w:t>
            </w:r>
            <w:r w:rsidRPr="00310256">
              <w:rPr>
                <w:rFonts w:asciiTheme="minorHAnsi" w:hAnsiTheme="minorHAnsi" w:cstheme="minorHAnsi"/>
                <w:noProof/>
                <w:webHidden/>
              </w:rPr>
              <w:fldChar w:fldCharType="end"/>
            </w:r>
          </w:hyperlink>
        </w:p>
        <w:p w14:paraId="6D7D81D1" w14:textId="5D179E67" w:rsidR="00310256" w:rsidRPr="00310256" w:rsidRDefault="00310256">
          <w:pPr>
            <w:pStyle w:val="TOC3"/>
            <w:rPr>
              <w:rFonts w:asciiTheme="minorHAnsi" w:eastAsiaTheme="minorEastAsia" w:hAnsiTheme="minorHAnsi" w:cstheme="minorHAnsi"/>
              <w:noProof/>
            </w:rPr>
          </w:pPr>
          <w:hyperlink w:anchor="_Toc109030600" w:history="1">
            <w:r w:rsidRPr="00310256">
              <w:rPr>
                <w:rStyle w:val="Hyperlink"/>
                <w:rFonts w:asciiTheme="minorHAnsi" w:hAnsiTheme="minorHAnsi" w:cstheme="minorHAnsi"/>
                <w:noProof/>
              </w:rPr>
              <w:t>How we will monitor progress</w:t>
            </w:r>
            <w:r w:rsidRPr="00310256">
              <w:rPr>
                <w:rFonts w:asciiTheme="minorHAnsi" w:hAnsiTheme="minorHAnsi" w:cstheme="minorHAnsi"/>
                <w:noProof/>
                <w:webHidden/>
              </w:rPr>
              <w:tab/>
            </w:r>
            <w:r w:rsidRPr="00310256">
              <w:rPr>
                <w:rFonts w:asciiTheme="minorHAnsi" w:hAnsiTheme="minorHAnsi" w:cstheme="minorHAnsi"/>
                <w:noProof/>
                <w:webHidden/>
              </w:rPr>
              <w:fldChar w:fldCharType="begin"/>
            </w:r>
            <w:r w:rsidRPr="00310256">
              <w:rPr>
                <w:rFonts w:asciiTheme="minorHAnsi" w:hAnsiTheme="minorHAnsi" w:cstheme="minorHAnsi"/>
                <w:noProof/>
                <w:webHidden/>
              </w:rPr>
              <w:instrText xml:space="preserve"> PAGEREF _Toc109030600 \h </w:instrText>
            </w:r>
            <w:r w:rsidRPr="00310256">
              <w:rPr>
                <w:rFonts w:asciiTheme="minorHAnsi" w:hAnsiTheme="minorHAnsi" w:cstheme="minorHAnsi"/>
                <w:noProof/>
                <w:webHidden/>
              </w:rPr>
            </w:r>
            <w:r w:rsidRPr="00310256">
              <w:rPr>
                <w:rFonts w:asciiTheme="minorHAnsi" w:hAnsiTheme="minorHAnsi" w:cstheme="minorHAnsi"/>
                <w:noProof/>
                <w:webHidden/>
              </w:rPr>
              <w:fldChar w:fldCharType="separate"/>
            </w:r>
            <w:r w:rsidR="002D198A">
              <w:rPr>
                <w:rFonts w:asciiTheme="minorHAnsi" w:hAnsiTheme="minorHAnsi" w:cstheme="minorHAnsi"/>
                <w:noProof/>
                <w:webHidden/>
              </w:rPr>
              <w:t>9</w:t>
            </w:r>
            <w:r w:rsidRPr="00310256">
              <w:rPr>
                <w:rFonts w:asciiTheme="minorHAnsi" w:hAnsiTheme="minorHAnsi" w:cstheme="minorHAnsi"/>
                <w:noProof/>
                <w:webHidden/>
              </w:rPr>
              <w:fldChar w:fldCharType="end"/>
            </w:r>
          </w:hyperlink>
        </w:p>
        <w:p w14:paraId="2AB9517F" w14:textId="616C54C4" w:rsidR="007863A7" w:rsidRPr="007147F7" w:rsidRDefault="004C1F87" w:rsidP="007147F7">
          <w:r w:rsidRPr="00310256">
            <w:rPr>
              <w:rFonts w:asciiTheme="minorHAnsi" w:hAnsiTheme="minorHAnsi" w:cstheme="minorHAnsi"/>
              <w:noProof/>
            </w:rPr>
            <w:fldChar w:fldCharType="end"/>
          </w:r>
        </w:p>
      </w:sdtContent>
    </w:sdt>
    <w:p w14:paraId="0CBE877A" w14:textId="77777777" w:rsidR="00D63846" w:rsidRDefault="00D63846">
      <w:pPr>
        <w:spacing w:after="160" w:line="259" w:lineRule="auto"/>
        <w:rPr>
          <w:rFonts w:asciiTheme="minorHAnsi" w:eastAsiaTheme="majorEastAsia" w:hAnsiTheme="minorHAnsi" w:cstheme="minorHAnsi"/>
          <w:b/>
          <w:bCs/>
          <w:color w:val="2F5496" w:themeColor="accent1" w:themeShade="BF"/>
          <w:sz w:val="32"/>
          <w:szCs w:val="32"/>
        </w:rPr>
      </w:pPr>
      <w:r>
        <w:rPr>
          <w:rFonts w:asciiTheme="minorHAnsi" w:hAnsiTheme="minorHAnsi" w:cstheme="minorHAnsi"/>
          <w:b/>
          <w:bCs/>
        </w:rPr>
        <w:br w:type="page"/>
      </w:r>
    </w:p>
    <w:p w14:paraId="3C8E2682" w14:textId="386F830A" w:rsidR="00411611" w:rsidRPr="00603C1C" w:rsidRDefault="00686B86" w:rsidP="00603C1C">
      <w:pPr>
        <w:pStyle w:val="Heading2"/>
      </w:pPr>
      <w:bookmarkStart w:id="4" w:name="_Toc109030573"/>
      <w:r w:rsidRPr="00603C1C">
        <w:lastRenderedPageBreak/>
        <w:t>Context</w:t>
      </w:r>
      <w:bookmarkEnd w:id="4"/>
    </w:p>
    <w:p w14:paraId="450A674A" w14:textId="44F0FA30" w:rsidR="00C426D3" w:rsidRDefault="00C426D3" w:rsidP="00411611">
      <w:pPr>
        <w:rPr>
          <w:rFonts w:asciiTheme="minorHAnsi" w:hAnsiTheme="minorHAnsi" w:cstheme="minorHAnsi"/>
        </w:rPr>
      </w:pPr>
      <w:r w:rsidRPr="00C426D3">
        <w:rPr>
          <w:rFonts w:asciiTheme="minorHAnsi" w:hAnsiTheme="minorHAnsi" w:cstheme="minorHAnsi"/>
        </w:rPr>
        <w:t xml:space="preserve">The </w:t>
      </w:r>
      <w:r w:rsidR="005D0814">
        <w:rPr>
          <w:rFonts w:asciiTheme="minorHAnsi" w:hAnsiTheme="minorHAnsi" w:cstheme="minorHAnsi"/>
        </w:rPr>
        <w:t xml:space="preserve">National Blood </w:t>
      </w:r>
      <w:r w:rsidRPr="00C426D3">
        <w:rPr>
          <w:rFonts w:asciiTheme="minorHAnsi" w:hAnsiTheme="minorHAnsi" w:cstheme="minorHAnsi"/>
        </w:rPr>
        <w:t xml:space="preserve">Research and Development Strategic Priorities </w:t>
      </w:r>
      <w:r w:rsidR="005D0814">
        <w:rPr>
          <w:rFonts w:asciiTheme="minorHAnsi" w:hAnsiTheme="minorHAnsi" w:cstheme="minorHAnsi"/>
        </w:rPr>
        <w:t>2022-27 (</w:t>
      </w:r>
      <w:bookmarkStart w:id="5" w:name="_Hlk191622230"/>
      <w:r w:rsidR="009E7AE1" w:rsidRPr="00EB7902">
        <w:rPr>
          <w:rFonts w:asciiTheme="minorHAnsi" w:hAnsiTheme="minorHAnsi" w:cstheme="minorHAnsi"/>
        </w:rPr>
        <w:t>2022-27 Priorities</w:t>
      </w:r>
      <w:bookmarkEnd w:id="5"/>
      <w:r w:rsidR="005D0814">
        <w:rPr>
          <w:rFonts w:asciiTheme="minorHAnsi" w:hAnsiTheme="minorHAnsi" w:cstheme="minorHAnsi"/>
        </w:rPr>
        <w:t xml:space="preserve">) </w:t>
      </w:r>
      <w:r w:rsidRPr="00C426D3">
        <w:rPr>
          <w:rFonts w:asciiTheme="minorHAnsi" w:hAnsiTheme="minorHAnsi" w:cstheme="minorHAnsi"/>
        </w:rPr>
        <w:t xml:space="preserve">are a resource to help the </w:t>
      </w:r>
      <w:r w:rsidR="005F660D">
        <w:rPr>
          <w:rFonts w:asciiTheme="minorHAnsi" w:hAnsiTheme="minorHAnsi" w:cstheme="minorHAnsi"/>
        </w:rPr>
        <w:t xml:space="preserve">blood </w:t>
      </w:r>
      <w:r w:rsidRPr="00C426D3">
        <w:rPr>
          <w:rFonts w:asciiTheme="minorHAnsi" w:hAnsiTheme="minorHAnsi" w:cstheme="minorHAnsi"/>
        </w:rPr>
        <w:t>sector deliver better patient and donor outcomes while ensuring value for money for the Australian community.</w:t>
      </w:r>
      <w:r w:rsidR="00082134">
        <w:rPr>
          <w:rFonts w:asciiTheme="minorHAnsi" w:hAnsiTheme="minorHAnsi" w:cstheme="minorHAnsi"/>
        </w:rPr>
        <w:t xml:space="preserve"> </w:t>
      </w:r>
      <w:r w:rsidRPr="00C426D3">
        <w:rPr>
          <w:rFonts w:asciiTheme="minorHAnsi" w:hAnsiTheme="minorHAnsi" w:cstheme="minorHAnsi"/>
        </w:rPr>
        <w:t>The</w:t>
      </w:r>
      <w:r>
        <w:rPr>
          <w:rFonts w:asciiTheme="minorHAnsi" w:hAnsiTheme="minorHAnsi" w:cstheme="minorHAnsi"/>
        </w:rPr>
        <w:t>y also are u</w:t>
      </w:r>
      <w:r w:rsidRPr="00C426D3">
        <w:rPr>
          <w:rFonts w:asciiTheme="minorHAnsi" w:hAnsiTheme="minorHAnsi" w:cstheme="minorHAnsi"/>
        </w:rPr>
        <w:t>sed to provide focus and scope for the National Blood Sector Research and Development Program (Program). The criteria used to assess applications for the Program include</w:t>
      </w:r>
      <w:r w:rsidR="00082134">
        <w:rPr>
          <w:rFonts w:asciiTheme="minorHAnsi" w:hAnsiTheme="minorHAnsi" w:cstheme="minorHAnsi"/>
        </w:rPr>
        <w:t>s</w:t>
      </w:r>
      <w:r w:rsidRPr="00C426D3">
        <w:rPr>
          <w:rFonts w:asciiTheme="minorHAnsi" w:hAnsiTheme="minorHAnsi" w:cstheme="minorHAnsi"/>
        </w:rPr>
        <w:t xml:space="preserve"> how well the proposed project addresses topics included in the Strategic Priorities.</w:t>
      </w:r>
      <w:r w:rsidR="0005123E">
        <w:rPr>
          <w:rFonts w:asciiTheme="minorHAnsi" w:hAnsiTheme="minorHAnsi" w:cstheme="minorHAnsi"/>
        </w:rPr>
        <w:t xml:space="preserve"> </w:t>
      </w:r>
    </w:p>
    <w:p w14:paraId="38498DD3" w14:textId="44C76936" w:rsidR="00C426D3" w:rsidRPr="00EB7902" w:rsidRDefault="00C426D3" w:rsidP="00411611">
      <w:pPr>
        <w:rPr>
          <w:rFonts w:asciiTheme="minorHAnsi" w:hAnsiTheme="minorHAnsi" w:cstheme="minorHAnsi"/>
        </w:rPr>
      </w:pPr>
      <w:bookmarkStart w:id="6" w:name="_Hlk106723123"/>
      <w:r w:rsidRPr="00EB7902">
        <w:rPr>
          <w:rFonts w:asciiTheme="minorHAnsi" w:hAnsiTheme="minorHAnsi" w:cstheme="minorHAnsi"/>
        </w:rPr>
        <w:t xml:space="preserve">This Applicant Guide has been developed to assist future applicants of the Program in tailoring their application to address the </w:t>
      </w:r>
      <w:r w:rsidR="009E7AE1" w:rsidRPr="00EB7902">
        <w:rPr>
          <w:rFonts w:asciiTheme="minorHAnsi" w:hAnsiTheme="minorHAnsi" w:cstheme="minorHAnsi"/>
        </w:rPr>
        <w:t>2022-27 Priorities</w:t>
      </w:r>
      <w:r w:rsidRPr="00EB7902">
        <w:rPr>
          <w:rFonts w:asciiTheme="minorHAnsi" w:hAnsiTheme="minorHAnsi" w:cstheme="minorHAnsi"/>
        </w:rPr>
        <w:t xml:space="preserve">. </w:t>
      </w:r>
      <w:r w:rsidR="00603C1C" w:rsidRPr="00EB7902">
        <w:rPr>
          <w:rFonts w:asciiTheme="minorHAnsi" w:hAnsiTheme="minorHAnsi" w:cstheme="minorHAnsi"/>
        </w:rPr>
        <w:t>A set of research and development activities within each priority, along with descriptors and context for the enablers, aims to assist Applicants to identify how their proposed research intends to enhance the ongoing wellbeing of patients</w:t>
      </w:r>
      <w:r w:rsidR="0073476A" w:rsidRPr="00EB7902">
        <w:rPr>
          <w:rFonts w:asciiTheme="minorHAnsi" w:hAnsiTheme="minorHAnsi" w:cstheme="minorHAnsi"/>
        </w:rPr>
        <w:t>, carers</w:t>
      </w:r>
      <w:r w:rsidR="00603C1C" w:rsidRPr="00EB7902">
        <w:rPr>
          <w:rFonts w:asciiTheme="minorHAnsi" w:hAnsiTheme="minorHAnsi" w:cstheme="minorHAnsi"/>
        </w:rPr>
        <w:t xml:space="preserve"> and </w:t>
      </w:r>
      <w:r w:rsidR="006B1BB5" w:rsidRPr="00EB7902">
        <w:rPr>
          <w:rFonts w:asciiTheme="minorHAnsi" w:hAnsiTheme="minorHAnsi" w:cstheme="minorHAnsi"/>
        </w:rPr>
        <w:t xml:space="preserve">blood </w:t>
      </w:r>
      <w:r w:rsidR="00603C1C" w:rsidRPr="00EB7902">
        <w:rPr>
          <w:rFonts w:asciiTheme="minorHAnsi" w:hAnsiTheme="minorHAnsi" w:cstheme="minorHAnsi"/>
        </w:rPr>
        <w:t>donors in Australia.</w:t>
      </w:r>
    </w:p>
    <w:p w14:paraId="4E48EB1A" w14:textId="0C007040" w:rsidR="00C426D3" w:rsidRPr="00EB7902" w:rsidRDefault="00C426D3" w:rsidP="00DD0499">
      <w:pPr>
        <w:pStyle w:val="Heading2"/>
        <w:spacing w:before="240"/>
      </w:pPr>
      <w:bookmarkStart w:id="7" w:name="_Toc109030574"/>
      <w:bookmarkEnd w:id="6"/>
      <w:r w:rsidRPr="00EB7902">
        <w:t>Background</w:t>
      </w:r>
      <w:bookmarkEnd w:id="7"/>
    </w:p>
    <w:p w14:paraId="00CCF9F6" w14:textId="413E2CEC" w:rsidR="00B23E1B" w:rsidRPr="00B74D13" w:rsidRDefault="00B23E1B" w:rsidP="00B23E1B">
      <w:pPr>
        <w:rPr>
          <w:rFonts w:asciiTheme="minorHAnsi" w:hAnsiTheme="minorHAnsi" w:cstheme="minorHAnsi"/>
        </w:rPr>
      </w:pPr>
      <w:r w:rsidRPr="00EB7902">
        <w:rPr>
          <w:rFonts w:asciiTheme="minorHAnsi" w:hAnsiTheme="minorHAnsi" w:cstheme="minorHAnsi"/>
        </w:rPr>
        <w:t xml:space="preserve">The National Blood Authority (NBA) was established by the </w:t>
      </w:r>
      <w:r w:rsidRPr="00EB7902">
        <w:rPr>
          <w:rFonts w:asciiTheme="minorHAnsi" w:hAnsiTheme="minorHAnsi" w:cstheme="minorHAnsi"/>
          <w:i/>
          <w:iCs/>
        </w:rPr>
        <w:t xml:space="preserve">National Blood Authority Act 2003 </w:t>
      </w:r>
      <w:r w:rsidRPr="00EB7902">
        <w:rPr>
          <w:rFonts w:asciiTheme="minorHAnsi" w:hAnsiTheme="minorHAnsi" w:cstheme="minorHAnsi"/>
        </w:rPr>
        <w:t xml:space="preserve">(the Act) following the signing of the original National Blood Agreement by state and </w:t>
      </w:r>
      <w:r w:rsidR="00A769B2" w:rsidRPr="00EB7902">
        <w:rPr>
          <w:rFonts w:asciiTheme="minorHAnsi" w:hAnsiTheme="minorHAnsi" w:cstheme="minorHAnsi"/>
        </w:rPr>
        <w:t>territory</w:t>
      </w:r>
      <w:r w:rsidRPr="00EB7902">
        <w:rPr>
          <w:rFonts w:asciiTheme="minorHAnsi" w:hAnsiTheme="minorHAnsi" w:cstheme="minorHAnsi"/>
        </w:rPr>
        <w:t xml:space="preserve"> health ministers.</w:t>
      </w:r>
      <w:r w:rsidR="00A21E76" w:rsidRPr="00EB7902">
        <w:rPr>
          <w:rFonts w:asciiTheme="minorHAnsi" w:hAnsiTheme="minorHAnsi" w:cstheme="minorHAnsi"/>
        </w:rPr>
        <w:t xml:space="preserve"> </w:t>
      </w:r>
      <w:r w:rsidRPr="00EB7902">
        <w:rPr>
          <w:rFonts w:asciiTheme="minorHAnsi" w:hAnsiTheme="minorHAnsi" w:cstheme="minorHAnsi"/>
        </w:rPr>
        <w:t>Under section 8(I)(h) of the Act and clause 25(n) of the National Blood Agreement, the NBA is charged ‘</w:t>
      </w:r>
      <w:r w:rsidRPr="00EB7902">
        <w:rPr>
          <w:rFonts w:asciiTheme="minorHAnsi" w:hAnsiTheme="minorHAnsi" w:cstheme="minorHAnsi"/>
          <w:i/>
        </w:rPr>
        <w:t>to facilitate and fund appropriate research, policy development or other action in relation to new developments by relevant government</w:t>
      </w:r>
      <w:r w:rsidRPr="00B74D13">
        <w:rPr>
          <w:rFonts w:asciiTheme="minorHAnsi" w:hAnsiTheme="minorHAnsi" w:cstheme="minorHAnsi"/>
          <w:i/>
        </w:rPr>
        <w:t xml:space="preserve"> or non-government persons or bodies’ </w:t>
      </w:r>
      <w:r w:rsidRPr="00B74D13">
        <w:rPr>
          <w:rFonts w:asciiTheme="minorHAnsi" w:hAnsiTheme="minorHAnsi" w:cstheme="minorHAnsi"/>
        </w:rPr>
        <w:t xml:space="preserve">on behalf of </w:t>
      </w:r>
      <w:r w:rsidR="0073476A">
        <w:rPr>
          <w:rFonts w:asciiTheme="minorHAnsi" w:hAnsiTheme="minorHAnsi" w:cstheme="minorHAnsi"/>
        </w:rPr>
        <w:t>all Australian governments</w:t>
      </w:r>
      <w:r w:rsidR="00771B21">
        <w:rPr>
          <w:rFonts w:asciiTheme="minorHAnsi" w:hAnsiTheme="minorHAnsi" w:cstheme="minorHAnsi"/>
        </w:rPr>
        <w:t>.</w:t>
      </w:r>
    </w:p>
    <w:p w14:paraId="529E114E" w14:textId="50FDBA4D" w:rsidR="00B23E1B" w:rsidRPr="00B74D13" w:rsidRDefault="00B23E1B" w:rsidP="00B23E1B">
      <w:pPr>
        <w:rPr>
          <w:rFonts w:asciiTheme="minorHAnsi" w:hAnsiTheme="minorHAnsi" w:cstheme="minorHAnsi"/>
        </w:rPr>
      </w:pPr>
      <w:r w:rsidRPr="00B74D13">
        <w:rPr>
          <w:rFonts w:asciiTheme="minorHAnsi" w:hAnsiTheme="minorHAnsi" w:cstheme="minorHAnsi"/>
        </w:rPr>
        <w:t xml:space="preserve">In December 2011, the Jurisdictional Blood Committee (JBC) agreed to the development of a strategy to promote blood sector specific research. In 2013, the </w:t>
      </w:r>
      <w:r w:rsidRPr="005D0814">
        <w:rPr>
          <w:rFonts w:asciiTheme="minorHAnsi" w:hAnsiTheme="minorHAnsi" w:cstheme="minorHAnsi"/>
          <w:iCs/>
        </w:rPr>
        <w:t>National Blood Research and Development Strategic Priorities 2013-2016</w:t>
      </w:r>
      <w:r w:rsidRPr="00B74D13">
        <w:rPr>
          <w:rFonts w:asciiTheme="minorHAnsi" w:hAnsiTheme="minorHAnsi" w:cstheme="minorHAnsi"/>
        </w:rPr>
        <w:t xml:space="preserve"> were published on the NBA website. These were reviewed in 2021 after extensive consul</w:t>
      </w:r>
      <w:r w:rsidR="00841D42">
        <w:rPr>
          <w:rFonts w:asciiTheme="minorHAnsi" w:hAnsiTheme="minorHAnsi" w:cstheme="minorHAnsi"/>
        </w:rPr>
        <w:t>t</w:t>
      </w:r>
      <w:r w:rsidRPr="00B74D13">
        <w:rPr>
          <w:rFonts w:asciiTheme="minorHAnsi" w:hAnsiTheme="minorHAnsi" w:cstheme="minorHAnsi"/>
        </w:rPr>
        <w:t xml:space="preserve">ation across the blood sector and replaced with </w:t>
      </w:r>
      <w:r w:rsidR="00737A8F">
        <w:rPr>
          <w:rFonts w:asciiTheme="minorHAnsi" w:hAnsiTheme="minorHAnsi" w:cstheme="minorHAnsi"/>
        </w:rPr>
        <w:t>t</w:t>
      </w:r>
      <w:r w:rsidR="00D35239" w:rsidRPr="00E94127">
        <w:rPr>
          <w:rFonts w:asciiTheme="minorHAnsi" w:hAnsiTheme="minorHAnsi" w:cstheme="minorHAnsi"/>
        </w:rPr>
        <w:t xml:space="preserve">he </w:t>
      </w:r>
      <w:r w:rsidR="009E7AE1" w:rsidRPr="00EB7902">
        <w:rPr>
          <w:rFonts w:asciiTheme="minorHAnsi" w:hAnsiTheme="minorHAnsi" w:cstheme="minorHAnsi"/>
        </w:rPr>
        <w:t>2022-27 Priorities</w:t>
      </w:r>
      <w:r w:rsidR="009E7AE1">
        <w:rPr>
          <w:rFonts w:asciiTheme="minorHAnsi" w:hAnsiTheme="minorHAnsi" w:cstheme="minorHAnsi"/>
        </w:rPr>
        <w:t xml:space="preserve"> </w:t>
      </w:r>
      <w:r w:rsidR="0005123E">
        <w:rPr>
          <w:rFonts w:asciiTheme="minorHAnsi" w:hAnsiTheme="minorHAnsi" w:cstheme="minorHAnsi"/>
        </w:rPr>
        <w:t>Report</w:t>
      </w:r>
      <w:r w:rsidR="002635A9">
        <w:rPr>
          <w:rFonts w:asciiTheme="minorHAnsi" w:hAnsiTheme="minorHAnsi" w:cstheme="minorHAnsi"/>
        </w:rPr>
        <w:t xml:space="preserve"> </w:t>
      </w:r>
      <w:r w:rsidR="0005123E">
        <w:rPr>
          <w:rFonts w:asciiTheme="minorHAnsi" w:hAnsiTheme="minorHAnsi" w:cstheme="minorHAnsi"/>
        </w:rPr>
        <w:t xml:space="preserve">and available at </w:t>
      </w:r>
      <w:hyperlink r:id="rId9" w:history="1">
        <w:r w:rsidR="00D330CD" w:rsidRPr="000D3F1B">
          <w:rPr>
            <w:rFonts w:asciiTheme="minorHAnsi" w:hAnsiTheme="minorHAnsi" w:cstheme="minorHAnsi"/>
            <w:color w:val="0000FF"/>
            <w:u w:val="single"/>
          </w:rPr>
          <w:t>National Blood Research and Development Strategic Priorities</w:t>
        </w:r>
      </w:hyperlink>
      <w:r w:rsidR="0005123E" w:rsidRPr="000D3F1B">
        <w:rPr>
          <w:rFonts w:asciiTheme="minorHAnsi" w:hAnsiTheme="minorHAnsi" w:cstheme="minorHAnsi"/>
        </w:rPr>
        <w:t>.</w:t>
      </w:r>
      <w:r w:rsidRPr="00B74D13">
        <w:rPr>
          <w:rFonts w:asciiTheme="minorHAnsi" w:hAnsiTheme="minorHAnsi" w:cstheme="minorHAnsi"/>
        </w:rPr>
        <w:t xml:space="preserve"> </w:t>
      </w:r>
    </w:p>
    <w:p w14:paraId="7B4C6D07" w14:textId="484AA7BC" w:rsidR="00CD68F9" w:rsidRDefault="001A535A" w:rsidP="00904016">
      <w:pPr>
        <w:rPr>
          <w:rFonts w:asciiTheme="minorHAnsi" w:hAnsiTheme="minorHAnsi" w:cstheme="minorHAnsi"/>
        </w:rPr>
      </w:pPr>
      <w:r>
        <w:rPr>
          <w:rFonts w:asciiTheme="minorHAnsi" w:hAnsiTheme="minorHAnsi" w:cstheme="minorHAnsi"/>
        </w:rPr>
        <w:t>There are now</w:t>
      </w:r>
      <w:r w:rsidR="005C6F92">
        <w:rPr>
          <w:rFonts w:asciiTheme="minorHAnsi" w:hAnsiTheme="minorHAnsi" w:cstheme="minorHAnsi"/>
        </w:rPr>
        <w:t xml:space="preserve"> </w:t>
      </w:r>
      <w:r w:rsidR="00904016" w:rsidRPr="00904016">
        <w:rPr>
          <w:rFonts w:asciiTheme="minorHAnsi" w:hAnsiTheme="minorHAnsi" w:cstheme="minorHAnsi"/>
        </w:rPr>
        <w:t xml:space="preserve">three </w:t>
      </w:r>
      <w:r w:rsidR="00C72DE7">
        <w:rPr>
          <w:rFonts w:asciiTheme="minorHAnsi" w:hAnsiTheme="minorHAnsi" w:cstheme="minorHAnsi"/>
        </w:rPr>
        <w:t>p</w:t>
      </w:r>
      <w:r w:rsidR="00904016" w:rsidRPr="00904016">
        <w:rPr>
          <w:rFonts w:asciiTheme="minorHAnsi" w:hAnsiTheme="minorHAnsi" w:cstheme="minorHAnsi"/>
        </w:rPr>
        <w:t xml:space="preserve">riorities and three </w:t>
      </w:r>
      <w:r w:rsidR="00C72DE7">
        <w:rPr>
          <w:rFonts w:asciiTheme="minorHAnsi" w:hAnsiTheme="minorHAnsi" w:cstheme="minorHAnsi"/>
        </w:rPr>
        <w:t>enablers</w:t>
      </w:r>
      <w:r w:rsidR="00904016" w:rsidRPr="00904016">
        <w:rPr>
          <w:rFonts w:asciiTheme="minorHAnsi" w:hAnsiTheme="minorHAnsi" w:cstheme="minorHAnsi"/>
        </w:rPr>
        <w:t xml:space="preserve"> for research and development in the Australian blood sector</w:t>
      </w:r>
      <w:r w:rsidR="009E7AE1">
        <w:rPr>
          <w:rFonts w:asciiTheme="minorHAnsi" w:hAnsiTheme="minorHAnsi" w:cstheme="minorHAnsi"/>
        </w:rPr>
        <w:t xml:space="preserve">. </w:t>
      </w:r>
      <w:r w:rsidR="00904016" w:rsidRPr="00904016">
        <w:rPr>
          <w:rFonts w:asciiTheme="minorHAnsi" w:hAnsiTheme="minorHAnsi" w:cstheme="minorHAnsi"/>
        </w:rPr>
        <w:t xml:space="preserve">This change is intended to make clearer the distinction between the research and </w:t>
      </w:r>
      <w:r w:rsidR="00904016" w:rsidRPr="00EB7902">
        <w:rPr>
          <w:rFonts w:asciiTheme="minorHAnsi" w:hAnsiTheme="minorHAnsi" w:cstheme="minorHAnsi"/>
        </w:rPr>
        <w:t xml:space="preserve">development </w:t>
      </w:r>
      <w:r w:rsidR="008610D8" w:rsidRPr="00EB7902">
        <w:rPr>
          <w:rFonts w:asciiTheme="minorHAnsi" w:hAnsiTheme="minorHAnsi" w:cstheme="minorHAnsi"/>
        </w:rPr>
        <w:t xml:space="preserve">that has been identified as a </w:t>
      </w:r>
      <w:r w:rsidR="00904016" w:rsidRPr="00EB7902">
        <w:rPr>
          <w:rFonts w:asciiTheme="minorHAnsi" w:hAnsiTheme="minorHAnsi" w:cstheme="minorHAnsi"/>
        </w:rPr>
        <w:t>priorit</w:t>
      </w:r>
      <w:r w:rsidR="008610D8" w:rsidRPr="00EB7902">
        <w:rPr>
          <w:rFonts w:asciiTheme="minorHAnsi" w:hAnsiTheme="minorHAnsi" w:cstheme="minorHAnsi"/>
        </w:rPr>
        <w:t xml:space="preserve">y to improve patient outcomes </w:t>
      </w:r>
      <w:r w:rsidR="00904016" w:rsidRPr="00EB7902">
        <w:rPr>
          <w:rFonts w:asciiTheme="minorHAnsi" w:hAnsiTheme="minorHAnsi" w:cstheme="minorHAnsi"/>
        </w:rPr>
        <w:t xml:space="preserve">and </w:t>
      </w:r>
      <w:r w:rsidR="008610D8" w:rsidRPr="00EB7902">
        <w:rPr>
          <w:rFonts w:asciiTheme="minorHAnsi" w:hAnsiTheme="minorHAnsi" w:cstheme="minorHAnsi"/>
        </w:rPr>
        <w:t xml:space="preserve">the </w:t>
      </w:r>
      <w:r w:rsidR="009F6416" w:rsidRPr="00EB7902">
        <w:rPr>
          <w:rFonts w:asciiTheme="minorHAnsi" w:hAnsiTheme="minorHAnsi" w:cstheme="minorHAnsi"/>
        </w:rPr>
        <w:t>enabling systems and infrastructures</w:t>
      </w:r>
      <w:r w:rsidR="008610D8" w:rsidRPr="00EB7902">
        <w:rPr>
          <w:rFonts w:asciiTheme="minorHAnsi" w:hAnsiTheme="minorHAnsi" w:cstheme="minorHAnsi"/>
        </w:rPr>
        <w:t xml:space="preserve"> needed to improve the blood sector more broadly</w:t>
      </w:r>
      <w:r w:rsidR="00904016" w:rsidRPr="00EB7902">
        <w:rPr>
          <w:rFonts w:asciiTheme="minorHAnsi" w:hAnsiTheme="minorHAnsi" w:cstheme="minorHAnsi"/>
        </w:rPr>
        <w:t>. The 2022-27 Priorities aim to enhance the wellbeing of patients</w:t>
      </w:r>
      <w:r w:rsidR="008C1A03" w:rsidRPr="00EB7902">
        <w:rPr>
          <w:rFonts w:asciiTheme="minorHAnsi" w:hAnsiTheme="minorHAnsi" w:cstheme="minorHAnsi"/>
        </w:rPr>
        <w:t>, carers</w:t>
      </w:r>
      <w:r w:rsidR="00904016" w:rsidRPr="00EB7902">
        <w:rPr>
          <w:rFonts w:asciiTheme="minorHAnsi" w:hAnsiTheme="minorHAnsi" w:cstheme="minorHAnsi"/>
        </w:rPr>
        <w:t xml:space="preserve"> and </w:t>
      </w:r>
      <w:r w:rsidR="008C1A03" w:rsidRPr="00EB7902">
        <w:rPr>
          <w:rFonts w:asciiTheme="minorHAnsi" w:hAnsiTheme="minorHAnsi" w:cstheme="minorHAnsi"/>
        </w:rPr>
        <w:t xml:space="preserve">blood </w:t>
      </w:r>
      <w:r w:rsidR="00904016" w:rsidRPr="00EB7902">
        <w:rPr>
          <w:rFonts w:asciiTheme="minorHAnsi" w:hAnsiTheme="minorHAnsi" w:cstheme="minorHAnsi"/>
        </w:rPr>
        <w:t>donors by directing research and development efforts in the blood sector toward improving the sustainability, provision, and safety of Australia’s blood supply.</w:t>
      </w:r>
      <w:r w:rsidR="00904016" w:rsidRPr="00904016">
        <w:rPr>
          <w:rFonts w:asciiTheme="minorHAnsi" w:hAnsiTheme="minorHAnsi" w:cstheme="minorHAnsi"/>
        </w:rPr>
        <w:t xml:space="preserve"> </w:t>
      </w:r>
    </w:p>
    <w:p w14:paraId="1F9FA8C0" w14:textId="698C7DB0" w:rsidR="00CD68F9" w:rsidRPr="006F3490" w:rsidRDefault="00CD68F9" w:rsidP="00686B86">
      <w:pPr>
        <w:pStyle w:val="Heading3"/>
      </w:pPr>
      <w:bookmarkStart w:id="8" w:name="_Toc109030575"/>
      <w:r w:rsidRPr="006F3490">
        <w:t>2022-27 Priorities</w:t>
      </w:r>
      <w:bookmarkEnd w:id="8"/>
    </w:p>
    <w:p w14:paraId="5F163806" w14:textId="37BC8A9E" w:rsidR="00CD68F9" w:rsidRPr="00DD7978" w:rsidRDefault="00EB7902" w:rsidP="00686B86">
      <w:pPr>
        <w:pStyle w:val="Heading4"/>
      </w:pPr>
      <w:r>
        <w:t xml:space="preserve">Research </w:t>
      </w:r>
      <w:r w:rsidR="00CD68F9" w:rsidRPr="00DD7978">
        <w:t>Priorities</w:t>
      </w:r>
    </w:p>
    <w:p w14:paraId="56133C86" w14:textId="68DB44FF" w:rsidR="00CD68F9" w:rsidRPr="00CD68F9" w:rsidRDefault="00CD68F9" w:rsidP="00DD7978">
      <w:pPr>
        <w:pStyle w:val="ListParagraph"/>
        <w:numPr>
          <w:ilvl w:val="0"/>
          <w:numId w:val="11"/>
        </w:numPr>
        <w:rPr>
          <w:rFonts w:asciiTheme="minorHAnsi" w:hAnsiTheme="minorHAnsi" w:cstheme="minorHAnsi"/>
        </w:rPr>
      </w:pPr>
      <w:r w:rsidRPr="00CD68F9">
        <w:rPr>
          <w:rFonts w:asciiTheme="minorHAnsi" w:hAnsiTheme="minorHAnsi" w:cstheme="minorHAnsi"/>
        </w:rPr>
        <w:t>Optimise the use of blood and blood products</w:t>
      </w:r>
      <w:r w:rsidR="00F74E89">
        <w:rPr>
          <w:rFonts w:asciiTheme="minorHAnsi" w:hAnsiTheme="minorHAnsi" w:cstheme="minorHAnsi"/>
        </w:rPr>
        <w:t>.</w:t>
      </w:r>
    </w:p>
    <w:p w14:paraId="62EBA7CA" w14:textId="444FA3C8" w:rsidR="00CD68F9" w:rsidRPr="00CD68F9" w:rsidRDefault="00CD68F9" w:rsidP="00DD7978">
      <w:pPr>
        <w:pStyle w:val="ListParagraph"/>
        <w:numPr>
          <w:ilvl w:val="0"/>
          <w:numId w:val="11"/>
        </w:numPr>
        <w:rPr>
          <w:rFonts w:asciiTheme="minorHAnsi" w:hAnsiTheme="minorHAnsi" w:cstheme="minorHAnsi"/>
        </w:rPr>
      </w:pPr>
      <w:r w:rsidRPr="00CD68F9">
        <w:rPr>
          <w:rFonts w:asciiTheme="minorHAnsi" w:hAnsiTheme="minorHAnsi" w:cstheme="minorHAnsi"/>
        </w:rPr>
        <w:t>Optimise supply including product innovation and supply chain efficiencies</w:t>
      </w:r>
      <w:r w:rsidR="00217769">
        <w:rPr>
          <w:rFonts w:asciiTheme="minorHAnsi" w:hAnsiTheme="minorHAnsi" w:cstheme="minorHAnsi"/>
        </w:rPr>
        <w:t>.</w:t>
      </w:r>
    </w:p>
    <w:p w14:paraId="57DC816F" w14:textId="07A9092E" w:rsidR="00CD68F9" w:rsidRPr="00D35239" w:rsidRDefault="00D35239" w:rsidP="00DD7978">
      <w:pPr>
        <w:pStyle w:val="ListParagraph"/>
        <w:numPr>
          <w:ilvl w:val="0"/>
          <w:numId w:val="11"/>
        </w:numPr>
        <w:rPr>
          <w:rFonts w:asciiTheme="minorHAnsi" w:hAnsiTheme="minorHAnsi" w:cstheme="minorHAnsi"/>
        </w:rPr>
      </w:pPr>
      <w:r w:rsidRPr="00D35239">
        <w:rPr>
          <w:rFonts w:asciiTheme="minorHAnsi" w:hAnsiTheme="minorHAnsi" w:cstheme="minorHAnsi"/>
        </w:rPr>
        <w:t>Reduce donor and patient adverse events</w:t>
      </w:r>
      <w:r w:rsidR="00217769">
        <w:rPr>
          <w:rFonts w:asciiTheme="minorHAnsi" w:hAnsiTheme="minorHAnsi" w:cstheme="minorHAnsi"/>
        </w:rPr>
        <w:t>.</w:t>
      </w:r>
    </w:p>
    <w:p w14:paraId="5A459769" w14:textId="48899E48" w:rsidR="00CD68F9" w:rsidRPr="00686B86" w:rsidRDefault="00CD68F9" w:rsidP="00686B86">
      <w:pPr>
        <w:pStyle w:val="Heading4"/>
      </w:pPr>
      <w:r w:rsidRPr="00686B86">
        <w:t>Enablers</w:t>
      </w:r>
    </w:p>
    <w:p w14:paraId="7A31058D" w14:textId="7681B862" w:rsidR="00D35239" w:rsidRPr="00CD68F9" w:rsidRDefault="00D35239" w:rsidP="00DD7978">
      <w:pPr>
        <w:pStyle w:val="ListParagraph"/>
        <w:numPr>
          <w:ilvl w:val="0"/>
          <w:numId w:val="12"/>
        </w:numPr>
        <w:rPr>
          <w:rFonts w:asciiTheme="minorHAnsi" w:hAnsiTheme="minorHAnsi" w:cstheme="minorHAnsi"/>
        </w:rPr>
      </w:pPr>
      <w:r>
        <w:rPr>
          <w:rFonts w:asciiTheme="minorHAnsi" w:hAnsiTheme="minorHAnsi" w:cstheme="minorHAnsi"/>
        </w:rPr>
        <w:t>Improved data collection, accuracy and sharing</w:t>
      </w:r>
      <w:r w:rsidR="00217769">
        <w:rPr>
          <w:rFonts w:asciiTheme="minorHAnsi" w:hAnsiTheme="minorHAnsi" w:cstheme="minorHAnsi"/>
        </w:rPr>
        <w:t>.</w:t>
      </w:r>
    </w:p>
    <w:p w14:paraId="45AEE5C3" w14:textId="121EDC1D" w:rsidR="00D35239" w:rsidRPr="00CD68F9" w:rsidRDefault="00D35239" w:rsidP="00DD7978">
      <w:pPr>
        <w:pStyle w:val="ListParagraph"/>
        <w:numPr>
          <w:ilvl w:val="0"/>
          <w:numId w:val="12"/>
        </w:numPr>
        <w:rPr>
          <w:rFonts w:asciiTheme="minorHAnsi" w:hAnsiTheme="minorHAnsi" w:cstheme="minorHAnsi"/>
        </w:rPr>
      </w:pPr>
      <w:r w:rsidRPr="00CD68F9">
        <w:rPr>
          <w:rFonts w:asciiTheme="minorHAnsi" w:hAnsiTheme="minorHAnsi" w:cstheme="minorHAnsi"/>
        </w:rPr>
        <w:t>Optimise</w:t>
      </w:r>
      <w:r>
        <w:rPr>
          <w:rFonts w:asciiTheme="minorHAnsi" w:hAnsiTheme="minorHAnsi" w:cstheme="minorHAnsi"/>
        </w:rPr>
        <w:t>d health service delivery to best meet patient needs</w:t>
      </w:r>
      <w:r w:rsidR="00217769">
        <w:rPr>
          <w:rFonts w:asciiTheme="minorHAnsi" w:hAnsiTheme="minorHAnsi" w:cstheme="minorHAnsi"/>
        </w:rPr>
        <w:t>.</w:t>
      </w:r>
    </w:p>
    <w:p w14:paraId="4F5FABE5" w14:textId="21C6AB81" w:rsidR="00411611" w:rsidRPr="00603C1C" w:rsidRDefault="00D35239" w:rsidP="00603C1C">
      <w:pPr>
        <w:pStyle w:val="ListParagraph"/>
        <w:numPr>
          <w:ilvl w:val="0"/>
          <w:numId w:val="12"/>
        </w:numPr>
        <w:rPr>
          <w:rFonts w:asciiTheme="minorHAnsi" w:hAnsiTheme="minorHAnsi" w:cstheme="minorHAnsi"/>
        </w:rPr>
      </w:pPr>
      <w:r>
        <w:rPr>
          <w:rFonts w:asciiTheme="minorHAnsi" w:hAnsiTheme="minorHAnsi" w:cstheme="minorHAnsi"/>
        </w:rPr>
        <w:t>Strengthening workforce capacity</w:t>
      </w:r>
      <w:r w:rsidR="00217769">
        <w:rPr>
          <w:rFonts w:asciiTheme="minorHAnsi" w:hAnsiTheme="minorHAnsi" w:cstheme="minorHAnsi"/>
        </w:rPr>
        <w:t>.</w:t>
      </w:r>
      <w:r w:rsidR="00411611" w:rsidRPr="00603C1C">
        <w:rPr>
          <w:rFonts w:eastAsia="Calibri"/>
          <w:lang w:eastAsia="en-US"/>
        </w:rPr>
        <w:br w:type="page"/>
      </w:r>
    </w:p>
    <w:p w14:paraId="3601692E" w14:textId="649465A1" w:rsidR="00411611" w:rsidRPr="00603C1C" w:rsidRDefault="00411611" w:rsidP="00603C1C">
      <w:pPr>
        <w:pStyle w:val="Heading2"/>
      </w:pPr>
      <w:bookmarkStart w:id="9" w:name="_Toc109030576"/>
      <w:r w:rsidRPr="00603C1C">
        <w:lastRenderedPageBreak/>
        <w:t>Priority 1 - Optimise the use of blood and blood products</w:t>
      </w:r>
      <w:bookmarkEnd w:id="9"/>
    </w:p>
    <w:p w14:paraId="1C25D8EF" w14:textId="0B6341BB" w:rsidR="00411611" w:rsidRPr="00411611" w:rsidRDefault="00411611" w:rsidP="00411611">
      <w:pPr>
        <w:rPr>
          <w:rFonts w:asciiTheme="minorHAnsi" w:hAnsiTheme="minorHAnsi" w:cstheme="minorHAnsi"/>
        </w:rPr>
      </w:pPr>
      <w:r w:rsidRPr="00411611">
        <w:rPr>
          <w:rFonts w:asciiTheme="minorHAnsi" w:hAnsiTheme="minorHAnsi" w:cstheme="minorHAnsi"/>
        </w:rPr>
        <w:t>The appropriate clinical use of blood and blood products is critical to optimise patient outcomes and to manage the use of a limited resource. Evidence indicates that a proportion of transfusions are inappropriate, and that the evidence base for treatment and dosing with blood and blood products is not strong</w:t>
      </w:r>
      <w:r w:rsidR="00DD0499">
        <w:rPr>
          <w:rStyle w:val="FootnoteReference"/>
          <w:rFonts w:asciiTheme="minorHAnsi" w:hAnsiTheme="minorHAnsi" w:cstheme="minorHAnsi"/>
        </w:rPr>
        <w:footnoteReference w:id="1"/>
      </w:r>
      <w:r w:rsidRPr="00411611">
        <w:rPr>
          <w:rFonts w:asciiTheme="minorHAnsi" w:hAnsiTheme="minorHAnsi" w:cstheme="minorHAnsi"/>
        </w:rPr>
        <w:t>. There has been a paradigm shift toward a focus on patient blood management (PBM), but uptake of PBM principles into the clinical community is variable. Understanding when and how blood and blood products are used will be critical to achieving improvement. Improvements will also require the development of strategies to educate patients about the risks and benefits of blood transfusion, as well as to educate the clinical community about blood conservation techniques. The conduct of high-quality research is crucial to provide a strong evidence base to drive uptake of PBM principles.</w:t>
      </w:r>
    </w:p>
    <w:p w14:paraId="01C1A3A8" w14:textId="3262E91C" w:rsidR="00411611" w:rsidRDefault="00411611" w:rsidP="00411611">
      <w:pPr>
        <w:rPr>
          <w:rFonts w:asciiTheme="minorHAnsi" w:hAnsiTheme="minorHAnsi" w:cstheme="minorHAnsi"/>
        </w:rPr>
      </w:pPr>
      <w:r w:rsidRPr="00411611">
        <w:rPr>
          <w:rFonts w:asciiTheme="minorHAnsi" w:hAnsiTheme="minorHAnsi" w:cstheme="minorHAnsi"/>
        </w:rPr>
        <w:t>At present the use of blood and blood products for many conditions is generic, with the product used to treat a broad range of clinical symptoms. It is important to both prepare for, and take advantage of, emerging opportunities that may reduce reliance on donated blood products. Such opportunities may include the development of blood and blood product substitutes and alternative treatments. In addition, developments in product technologies, such as long half-life products, genetic and cellular therapies, and subcutaneous infusion products, provide opportunities for reducing the burden on the health system, and improving patient outcomes and quality of life.</w:t>
      </w:r>
    </w:p>
    <w:p w14:paraId="02D23C6C" w14:textId="334D486D" w:rsidR="00411611" w:rsidRPr="00632D81" w:rsidRDefault="00411611" w:rsidP="009634C5">
      <w:pPr>
        <w:pStyle w:val="Heading3"/>
      </w:pPr>
      <w:bookmarkStart w:id="10" w:name="_Toc109030577"/>
      <w:r w:rsidRPr="00632D81">
        <w:t>What we are trying to achieve</w:t>
      </w:r>
      <w:r w:rsidR="00C36AFE">
        <w:t xml:space="preserve"> through further research</w:t>
      </w:r>
      <w:bookmarkEnd w:id="10"/>
    </w:p>
    <w:p w14:paraId="5C527D7D" w14:textId="5684ACA6" w:rsidR="00411611" w:rsidRPr="00411611" w:rsidRDefault="00411611" w:rsidP="00411611">
      <w:pPr>
        <w:rPr>
          <w:rFonts w:asciiTheme="minorHAnsi" w:hAnsiTheme="minorHAnsi" w:cstheme="minorHAnsi"/>
        </w:rPr>
      </w:pPr>
      <w:r w:rsidRPr="00411611">
        <w:rPr>
          <w:rFonts w:asciiTheme="minorHAnsi" w:hAnsiTheme="minorHAnsi" w:cstheme="minorHAnsi"/>
        </w:rPr>
        <w:t xml:space="preserve">Improvement of clinical practice and patient outcomes by improving knowledge to </w:t>
      </w:r>
      <w:r w:rsidR="005A0584">
        <w:rPr>
          <w:rFonts w:asciiTheme="minorHAnsi" w:hAnsiTheme="minorHAnsi" w:cstheme="minorHAnsi"/>
        </w:rPr>
        <w:t xml:space="preserve">optimise </w:t>
      </w:r>
      <w:r w:rsidRPr="00411611">
        <w:rPr>
          <w:rFonts w:asciiTheme="minorHAnsi" w:hAnsiTheme="minorHAnsi" w:cstheme="minorHAnsi"/>
        </w:rPr>
        <w:t xml:space="preserve">the use of blood and blood products, as well as strategies to avoid use of blood and blood products where appropriate. </w:t>
      </w:r>
    </w:p>
    <w:p w14:paraId="6E1CF7D4" w14:textId="73EA66F6" w:rsidR="00411611" w:rsidRPr="00632D81" w:rsidRDefault="00D20052" w:rsidP="009634C5">
      <w:pPr>
        <w:pStyle w:val="Heading3"/>
      </w:pPr>
      <w:bookmarkStart w:id="11" w:name="_Toc109030578"/>
      <w:r w:rsidRPr="00632D81">
        <w:t>Work progressed under the previous 2013</w:t>
      </w:r>
      <w:r w:rsidR="00BC0147" w:rsidRPr="00632D81">
        <w:t>-</w:t>
      </w:r>
      <w:r w:rsidRPr="00632D81">
        <w:t>16 Priorities</w:t>
      </w:r>
      <w:bookmarkEnd w:id="11"/>
    </w:p>
    <w:p w14:paraId="5A032E2F" w14:textId="4A356BF5" w:rsidR="00FB11B8" w:rsidRPr="00D20052" w:rsidRDefault="00D20052" w:rsidP="00FB11B8">
      <w:pPr>
        <w:rPr>
          <w:rFonts w:asciiTheme="minorHAnsi" w:hAnsiTheme="minorHAnsi" w:cstheme="minorHAnsi"/>
        </w:rPr>
      </w:pPr>
      <w:r w:rsidRPr="00D20052">
        <w:rPr>
          <w:rFonts w:asciiTheme="minorHAnsi" w:hAnsiTheme="minorHAnsi" w:cstheme="minorHAnsi"/>
        </w:rPr>
        <w:t xml:space="preserve">Since 2013, research and development activities have been funded or undertaken to ensure the use of blood and blood products is appropriate including the development of </w:t>
      </w:r>
      <w:r w:rsidR="00407813">
        <w:rPr>
          <w:rFonts w:asciiTheme="minorHAnsi" w:hAnsiTheme="minorHAnsi" w:cstheme="minorHAnsi"/>
        </w:rPr>
        <w:t>PBM</w:t>
      </w:r>
      <w:r w:rsidR="00C36AFE">
        <w:rPr>
          <w:rFonts w:asciiTheme="minorHAnsi" w:hAnsiTheme="minorHAnsi" w:cstheme="minorHAnsi"/>
        </w:rPr>
        <w:t xml:space="preserve"> </w:t>
      </w:r>
      <w:r w:rsidR="00DD0499">
        <w:rPr>
          <w:rFonts w:asciiTheme="minorHAnsi" w:hAnsiTheme="minorHAnsi" w:cstheme="minorHAnsi"/>
        </w:rPr>
        <w:t xml:space="preserve">guidelines </w:t>
      </w:r>
      <w:r w:rsidRPr="00D20052">
        <w:rPr>
          <w:rFonts w:asciiTheme="minorHAnsi" w:hAnsiTheme="minorHAnsi" w:cstheme="minorHAnsi"/>
        </w:rPr>
        <w:t xml:space="preserve">and immunoglobulin </w:t>
      </w:r>
      <w:r w:rsidR="00407813">
        <w:rPr>
          <w:rFonts w:asciiTheme="minorHAnsi" w:hAnsiTheme="minorHAnsi" w:cstheme="minorHAnsi"/>
        </w:rPr>
        <w:t xml:space="preserve">(Ig) </w:t>
      </w:r>
      <w:r w:rsidR="00C36AFE">
        <w:rPr>
          <w:rFonts w:asciiTheme="minorHAnsi" w:hAnsiTheme="minorHAnsi" w:cstheme="minorHAnsi"/>
        </w:rPr>
        <w:t xml:space="preserve">governance </w:t>
      </w:r>
      <w:r w:rsidRPr="00D20052">
        <w:rPr>
          <w:rFonts w:asciiTheme="minorHAnsi" w:hAnsiTheme="minorHAnsi" w:cstheme="minorHAnsi"/>
        </w:rPr>
        <w:t xml:space="preserve">frameworks. However, there remain research and development opportunities to strengthen the effectiveness of </w:t>
      </w:r>
      <w:r w:rsidR="00407813">
        <w:rPr>
          <w:rFonts w:asciiTheme="minorHAnsi" w:hAnsiTheme="minorHAnsi" w:cstheme="minorHAnsi"/>
        </w:rPr>
        <w:t>PBM</w:t>
      </w:r>
      <w:r w:rsidRPr="00D20052">
        <w:rPr>
          <w:rFonts w:asciiTheme="minorHAnsi" w:hAnsiTheme="minorHAnsi" w:cstheme="minorHAnsi"/>
        </w:rPr>
        <w:t xml:space="preserve"> and to better target the </w:t>
      </w:r>
      <w:r w:rsidR="00C36AFE">
        <w:rPr>
          <w:rFonts w:asciiTheme="minorHAnsi" w:hAnsiTheme="minorHAnsi" w:cstheme="minorHAnsi"/>
        </w:rPr>
        <w:t>use</w:t>
      </w:r>
      <w:r w:rsidR="00C36AFE" w:rsidRPr="00D20052">
        <w:rPr>
          <w:rFonts w:asciiTheme="minorHAnsi" w:hAnsiTheme="minorHAnsi" w:cstheme="minorHAnsi"/>
        </w:rPr>
        <w:t xml:space="preserve"> </w:t>
      </w:r>
      <w:r w:rsidRPr="00D20052">
        <w:rPr>
          <w:rFonts w:asciiTheme="minorHAnsi" w:hAnsiTheme="minorHAnsi" w:cstheme="minorHAnsi"/>
        </w:rPr>
        <w:t xml:space="preserve">of </w:t>
      </w:r>
      <w:r w:rsidR="00407813">
        <w:rPr>
          <w:rFonts w:asciiTheme="minorHAnsi" w:hAnsiTheme="minorHAnsi" w:cstheme="minorHAnsi"/>
        </w:rPr>
        <w:t>Ig</w:t>
      </w:r>
      <w:r w:rsidRPr="00D20052">
        <w:rPr>
          <w:rFonts w:asciiTheme="minorHAnsi" w:hAnsiTheme="minorHAnsi" w:cstheme="minorHAnsi"/>
        </w:rPr>
        <w:t>.</w:t>
      </w:r>
    </w:p>
    <w:p w14:paraId="234B6FDF" w14:textId="2B634F06" w:rsidR="00411611" w:rsidRPr="00632D81" w:rsidRDefault="00411611" w:rsidP="009634C5">
      <w:pPr>
        <w:pStyle w:val="Heading3"/>
      </w:pPr>
      <w:bookmarkStart w:id="12" w:name="_Toc109030579"/>
      <w:r w:rsidRPr="00632D81">
        <w:t>What we want from the research community</w:t>
      </w:r>
      <w:bookmarkEnd w:id="12"/>
    </w:p>
    <w:p w14:paraId="35018CEE" w14:textId="23DB4057" w:rsidR="00411611" w:rsidRPr="00632D81" w:rsidRDefault="00411611" w:rsidP="009634C5">
      <w:pPr>
        <w:pStyle w:val="Heading4"/>
        <w:rPr>
          <w:rFonts w:cstheme="minorHAnsi"/>
          <w:bCs/>
        </w:rPr>
      </w:pPr>
      <w:bookmarkStart w:id="13" w:name="_Toc106097045"/>
      <w:bookmarkStart w:id="14" w:name="_Toc106100586"/>
      <w:r w:rsidRPr="009634C5">
        <w:t xml:space="preserve">Research activities </w:t>
      </w:r>
      <w:r w:rsidRPr="00603C1C">
        <w:t>that</w:t>
      </w:r>
      <w:r w:rsidRPr="00603C1C">
        <w:rPr>
          <w:rFonts w:cstheme="minorHAnsi"/>
          <w:bCs/>
        </w:rPr>
        <w:t>:</w:t>
      </w:r>
      <w:bookmarkEnd w:id="13"/>
      <w:bookmarkEnd w:id="14"/>
      <w:r w:rsidRPr="00632D81">
        <w:rPr>
          <w:rFonts w:cstheme="minorHAnsi"/>
          <w:bCs/>
        </w:rPr>
        <w:t xml:space="preserve"> </w:t>
      </w:r>
    </w:p>
    <w:p w14:paraId="35E04D1F" w14:textId="239AE658" w:rsidR="001215D4" w:rsidRPr="001215D4" w:rsidRDefault="001215D4" w:rsidP="001215D4">
      <w:pPr>
        <w:pStyle w:val="ListParagraph"/>
        <w:numPr>
          <w:ilvl w:val="0"/>
          <w:numId w:val="4"/>
        </w:numPr>
        <w:rPr>
          <w:rFonts w:asciiTheme="minorHAnsi" w:hAnsiTheme="minorHAnsi" w:cstheme="minorHAnsi"/>
        </w:rPr>
      </w:pPr>
      <w:r w:rsidRPr="001215D4">
        <w:rPr>
          <w:rFonts w:asciiTheme="minorHAnsi" w:hAnsiTheme="minorHAnsi" w:cstheme="minorHAnsi"/>
        </w:rPr>
        <w:t>Identify strategies to optimise the use of immunoglobulin, including aligning immunoglobulin provision with individual patient needs, cost-effectiveness, and the minimum effective dose to achieve the desired clinical outcomes</w:t>
      </w:r>
      <w:r w:rsidR="00407813">
        <w:rPr>
          <w:rFonts w:asciiTheme="minorHAnsi" w:hAnsiTheme="minorHAnsi" w:cstheme="minorHAnsi"/>
        </w:rPr>
        <w:t>.</w:t>
      </w:r>
    </w:p>
    <w:p w14:paraId="78FB649E" w14:textId="5DAE2A42" w:rsidR="001215D4" w:rsidRPr="00603C1C" w:rsidRDefault="001215D4" w:rsidP="001215D4">
      <w:pPr>
        <w:pStyle w:val="ListParagraph"/>
        <w:numPr>
          <w:ilvl w:val="0"/>
          <w:numId w:val="4"/>
        </w:numPr>
        <w:rPr>
          <w:rFonts w:asciiTheme="minorHAnsi" w:hAnsiTheme="minorHAnsi" w:cstheme="minorHAnsi"/>
        </w:rPr>
      </w:pPr>
      <w:r w:rsidRPr="00603C1C">
        <w:rPr>
          <w:rFonts w:asciiTheme="minorHAnsi" w:hAnsiTheme="minorHAnsi" w:cstheme="minorHAnsi"/>
        </w:rPr>
        <w:t>Develop strategies that reduce reliance on donated blood products, including identification and analysis of alternative treatment pathways.</w:t>
      </w:r>
    </w:p>
    <w:p w14:paraId="103150A2" w14:textId="7D98213B" w:rsidR="00982E5F" w:rsidRPr="00603C1C" w:rsidRDefault="001215D4" w:rsidP="00603C1C">
      <w:pPr>
        <w:pStyle w:val="ListParagraph"/>
        <w:numPr>
          <w:ilvl w:val="0"/>
          <w:numId w:val="4"/>
        </w:numPr>
        <w:spacing w:after="120"/>
        <w:ind w:left="714" w:hanging="357"/>
        <w:rPr>
          <w:rFonts w:asciiTheme="minorHAnsi" w:hAnsiTheme="minorHAnsi" w:cstheme="minorHAnsi"/>
        </w:rPr>
      </w:pPr>
      <w:r w:rsidRPr="00603C1C">
        <w:rPr>
          <w:rFonts w:asciiTheme="minorHAnsi" w:hAnsiTheme="minorHAnsi" w:cstheme="minorHAnsi"/>
        </w:rPr>
        <w:t>Undertake effective</w:t>
      </w:r>
      <w:r w:rsidRPr="001215D4">
        <w:rPr>
          <w:rFonts w:asciiTheme="minorHAnsi" w:hAnsiTheme="minorHAnsi" w:cstheme="minorHAnsi"/>
        </w:rPr>
        <w:t xml:space="preserve"> and efficient horizon scanning and surveillance of international best practice trends in blood and blood product use.</w:t>
      </w:r>
    </w:p>
    <w:p w14:paraId="508ADABB" w14:textId="122A39CB" w:rsidR="00411611" w:rsidRPr="009634C5" w:rsidRDefault="00411611" w:rsidP="009634C5">
      <w:pPr>
        <w:pStyle w:val="Heading4"/>
      </w:pPr>
      <w:bookmarkStart w:id="15" w:name="_Toc106097046"/>
      <w:bookmarkStart w:id="16" w:name="_Toc106100587"/>
      <w:r w:rsidRPr="009634C5">
        <w:t>Research translation activities that:</w:t>
      </w:r>
      <w:bookmarkEnd w:id="15"/>
      <w:bookmarkEnd w:id="16"/>
      <w:r w:rsidRPr="009634C5">
        <w:t xml:space="preserve"> </w:t>
      </w:r>
    </w:p>
    <w:p w14:paraId="5E3581AF" w14:textId="77777777" w:rsidR="001215D4" w:rsidRPr="001215D4" w:rsidRDefault="001215D4" w:rsidP="001215D4">
      <w:pPr>
        <w:pStyle w:val="ListParagraph"/>
        <w:numPr>
          <w:ilvl w:val="0"/>
          <w:numId w:val="4"/>
        </w:numPr>
        <w:rPr>
          <w:rFonts w:asciiTheme="minorHAnsi" w:hAnsiTheme="minorHAnsi" w:cstheme="minorHAnsi"/>
        </w:rPr>
      </w:pPr>
      <w:r w:rsidRPr="001215D4">
        <w:rPr>
          <w:rFonts w:asciiTheme="minorHAnsi" w:hAnsiTheme="minorHAnsi" w:cstheme="minorHAnsi"/>
        </w:rPr>
        <w:t>Evaluate models empowering patients to understand when the use of blood and blood products is appropriate, and the risks and benefits.</w:t>
      </w:r>
    </w:p>
    <w:p w14:paraId="45BCFD3A" w14:textId="77777777" w:rsidR="001215D4" w:rsidRPr="001215D4" w:rsidRDefault="001215D4" w:rsidP="001215D4">
      <w:pPr>
        <w:pStyle w:val="ListParagraph"/>
        <w:numPr>
          <w:ilvl w:val="0"/>
          <w:numId w:val="4"/>
        </w:numPr>
        <w:rPr>
          <w:rFonts w:asciiTheme="minorHAnsi" w:hAnsiTheme="minorHAnsi" w:cstheme="minorHAnsi"/>
        </w:rPr>
      </w:pPr>
      <w:r w:rsidRPr="001215D4">
        <w:rPr>
          <w:rFonts w:asciiTheme="minorHAnsi" w:hAnsiTheme="minorHAnsi" w:cstheme="minorHAnsi"/>
        </w:rPr>
        <w:lastRenderedPageBreak/>
        <w:t>Identify and evaluate strategies aimed at improving collection and the appropriate use of plasma and plasma derived products.</w:t>
      </w:r>
    </w:p>
    <w:p w14:paraId="7E4B6E10" w14:textId="77777777" w:rsidR="001215D4" w:rsidRPr="001215D4" w:rsidRDefault="001215D4" w:rsidP="001215D4">
      <w:pPr>
        <w:pStyle w:val="ListParagraph"/>
        <w:numPr>
          <w:ilvl w:val="0"/>
          <w:numId w:val="4"/>
        </w:numPr>
        <w:rPr>
          <w:rFonts w:asciiTheme="minorHAnsi" w:hAnsiTheme="minorHAnsi" w:cstheme="minorHAnsi"/>
        </w:rPr>
      </w:pPr>
      <w:r w:rsidRPr="001215D4">
        <w:rPr>
          <w:rFonts w:asciiTheme="minorHAnsi" w:hAnsiTheme="minorHAnsi" w:cstheme="minorHAnsi"/>
        </w:rPr>
        <w:t xml:space="preserve">Identify and evaluate approaches to promoting </w:t>
      </w:r>
      <w:r w:rsidRPr="008925B7">
        <w:rPr>
          <w:rFonts w:asciiTheme="minorHAnsi" w:hAnsiTheme="minorHAnsi" w:cstheme="minorHAnsi"/>
        </w:rPr>
        <w:t>patient blood management</w:t>
      </w:r>
      <w:r w:rsidRPr="001215D4">
        <w:rPr>
          <w:rFonts w:asciiTheme="minorHAnsi" w:hAnsiTheme="minorHAnsi" w:cstheme="minorHAnsi"/>
        </w:rPr>
        <w:t xml:space="preserve"> including increasing the uptake of PBM clinical guidelines, and analysis of barriers to implementation.</w:t>
      </w:r>
    </w:p>
    <w:p w14:paraId="22EA0DDB" w14:textId="677AE61B" w:rsidR="00603C1C" w:rsidRPr="006967A2" w:rsidRDefault="001215D4" w:rsidP="006967A2">
      <w:pPr>
        <w:pStyle w:val="ListParagraph"/>
        <w:numPr>
          <w:ilvl w:val="0"/>
          <w:numId w:val="4"/>
        </w:numPr>
        <w:rPr>
          <w:rFonts w:asciiTheme="minorHAnsi" w:hAnsiTheme="minorHAnsi" w:cstheme="minorHAnsi"/>
        </w:rPr>
      </w:pPr>
      <w:r w:rsidRPr="001215D4">
        <w:rPr>
          <w:rFonts w:asciiTheme="minorHAnsi" w:hAnsiTheme="minorHAnsi" w:cstheme="minorHAnsi"/>
        </w:rPr>
        <w:t>Identify characteristics of the different needs of different patient demographics in relation to blood and blood products, particularly for Aboriginal and Torres Strait Islander, migrant and refugee and ageing people and communities.</w:t>
      </w:r>
    </w:p>
    <w:p w14:paraId="2281522F" w14:textId="7D4EC0BB" w:rsidR="001215D4" w:rsidRPr="00603C1C" w:rsidRDefault="001215D4" w:rsidP="009634C5">
      <w:pPr>
        <w:pStyle w:val="Heading2"/>
      </w:pPr>
      <w:bookmarkStart w:id="17" w:name="_Toc109030580"/>
      <w:r w:rsidRPr="00603C1C">
        <w:t>Priority 2 - Optimise supply including product innovation and supply chain efficiencies</w:t>
      </w:r>
      <w:bookmarkEnd w:id="17"/>
      <w:r w:rsidRPr="00603C1C">
        <w:t xml:space="preserve"> </w:t>
      </w:r>
    </w:p>
    <w:p w14:paraId="3232EC50" w14:textId="10F3BB2D" w:rsidR="001215D4" w:rsidRPr="001215D4" w:rsidRDefault="001215D4" w:rsidP="001215D4">
      <w:pPr>
        <w:rPr>
          <w:rFonts w:asciiTheme="minorHAnsi" w:hAnsiTheme="minorHAnsi" w:cstheme="minorHAnsi"/>
        </w:rPr>
      </w:pPr>
      <w:r w:rsidRPr="001215D4">
        <w:rPr>
          <w:rFonts w:asciiTheme="minorHAnsi" w:hAnsiTheme="minorHAnsi" w:cstheme="minorHAnsi"/>
        </w:rPr>
        <w:t>The availability of blood and blood products in the right quantities, at the right time and in the right place is dependent on a complex supply chain. The supply chain involves the collection of blood from donors, processing of the donations through manufacturing facilities and subsequent distribution across Australia. Some products are manufactured by recombinant technology, and some products are imported to meet shortfalls in domestic supply. The supply of some blood and blood products also requires careful management of inventory to ensure the correct matching of product to patient, maintenance of cold storage, management of shelf life and implementation of contingency arrangements in supply shortage situations.</w:t>
      </w:r>
    </w:p>
    <w:p w14:paraId="0048BFEE" w14:textId="5E2B7DE9" w:rsidR="00411611" w:rsidRDefault="001215D4" w:rsidP="001215D4">
      <w:pPr>
        <w:rPr>
          <w:rFonts w:asciiTheme="minorHAnsi" w:hAnsiTheme="minorHAnsi" w:cstheme="minorHAnsi"/>
        </w:rPr>
      </w:pPr>
      <w:r w:rsidRPr="001215D4">
        <w:rPr>
          <w:rFonts w:asciiTheme="minorHAnsi" w:hAnsiTheme="minorHAnsi" w:cstheme="minorHAnsi"/>
        </w:rPr>
        <w:t xml:space="preserve">Given the cost and critical nature of blood and blood products, it is essential </w:t>
      </w:r>
      <w:r w:rsidR="00F26DA2">
        <w:rPr>
          <w:rFonts w:asciiTheme="minorHAnsi" w:hAnsiTheme="minorHAnsi" w:cstheme="minorHAnsi"/>
        </w:rPr>
        <w:t>to optimise the</w:t>
      </w:r>
      <w:r w:rsidRPr="001215D4">
        <w:rPr>
          <w:rFonts w:asciiTheme="minorHAnsi" w:hAnsiTheme="minorHAnsi" w:cstheme="minorHAnsi"/>
        </w:rPr>
        <w:t xml:space="preserve"> supply </w:t>
      </w:r>
      <w:proofErr w:type="gramStart"/>
      <w:r w:rsidRPr="001215D4">
        <w:rPr>
          <w:rFonts w:asciiTheme="minorHAnsi" w:hAnsiTheme="minorHAnsi" w:cstheme="minorHAnsi"/>
        </w:rPr>
        <w:t>chain</w:t>
      </w:r>
      <w:proofErr w:type="gramEnd"/>
      <w:r w:rsidRPr="001215D4">
        <w:rPr>
          <w:rFonts w:asciiTheme="minorHAnsi" w:hAnsiTheme="minorHAnsi" w:cstheme="minorHAnsi"/>
        </w:rPr>
        <w:t xml:space="preserve"> </w:t>
      </w:r>
      <w:r w:rsidR="00F26DA2">
        <w:rPr>
          <w:rFonts w:asciiTheme="minorHAnsi" w:hAnsiTheme="minorHAnsi" w:cstheme="minorHAnsi"/>
        </w:rPr>
        <w:t xml:space="preserve">so it </w:t>
      </w:r>
      <w:r w:rsidRPr="001215D4">
        <w:rPr>
          <w:rFonts w:asciiTheme="minorHAnsi" w:hAnsiTheme="minorHAnsi" w:cstheme="minorHAnsi"/>
        </w:rPr>
        <w:t>is responsive, effective and efficient.</w:t>
      </w:r>
    </w:p>
    <w:p w14:paraId="50E162DC" w14:textId="51E3223A" w:rsidR="001215D4" w:rsidRPr="00632D81" w:rsidRDefault="001215D4" w:rsidP="009634C5">
      <w:pPr>
        <w:pStyle w:val="Heading3"/>
      </w:pPr>
      <w:bookmarkStart w:id="18" w:name="_Toc109030581"/>
      <w:r w:rsidRPr="00632D81">
        <w:t>What we are trying to achieve</w:t>
      </w:r>
      <w:r w:rsidR="00DD0499">
        <w:t xml:space="preserve"> through further research</w:t>
      </w:r>
      <w:bookmarkEnd w:id="18"/>
      <w:r w:rsidR="00D13D91">
        <w:t xml:space="preserve"> </w:t>
      </w:r>
    </w:p>
    <w:p w14:paraId="26E5EA90" w14:textId="3FF93A7F" w:rsidR="001215D4" w:rsidRDefault="001215D4" w:rsidP="001215D4">
      <w:pPr>
        <w:rPr>
          <w:rFonts w:asciiTheme="minorHAnsi" w:hAnsiTheme="minorHAnsi" w:cstheme="minorHAnsi"/>
        </w:rPr>
      </w:pPr>
      <w:r w:rsidRPr="001215D4">
        <w:rPr>
          <w:rFonts w:asciiTheme="minorHAnsi" w:hAnsiTheme="minorHAnsi" w:cstheme="minorHAnsi"/>
        </w:rPr>
        <w:t>Optimisation of the blood supply chain to ensure that blood and blood products are managed in a way that ensures product is available to meet clinical demand while minimising</w:t>
      </w:r>
      <w:r w:rsidR="00D80BAE">
        <w:rPr>
          <w:rFonts w:asciiTheme="minorHAnsi" w:hAnsiTheme="minorHAnsi" w:cstheme="minorHAnsi"/>
        </w:rPr>
        <w:t xml:space="preserve"> cost and</w:t>
      </w:r>
      <w:r w:rsidRPr="001215D4">
        <w:rPr>
          <w:rFonts w:asciiTheme="minorHAnsi" w:hAnsiTheme="minorHAnsi" w:cstheme="minorHAnsi"/>
        </w:rPr>
        <w:t xml:space="preserve"> wastage. </w:t>
      </w:r>
    </w:p>
    <w:p w14:paraId="69C8BCD8" w14:textId="01754A47" w:rsidR="00D20052" w:rsidRPr="00632D81" w:rsidRDefault="00D20052" w:rsidP="009634C5">
      <w:pPr>
        <w:pStyle w:val="Heading3"/>
      </w:pPr>
      <w:bookmarkStart w:id="19" w:name="_Toc109030582"/>
      <w:r w:rsidRPr="00632D81">
        <w:t>Work progressed under the previous 2013-16 Priorities</w:t>
      </w:r>
      <w:bookmarkEnd w:id="19"/>
    </w:p>
    <w:p w14:paraId="2973B310" w14:textId="77777777" w:rsidR="005B25A2" w:rsidRDefault="00D20052" w:rsidP="00D20052">
      <w:pPr>
        <w:rPr>
          <w:rFonts w:asciiTheme="minorHAnsi" w:hAnsiTheme="minorHAnsi" w:cstheme="minorHAnsi"/>
        </w:rPr>
      </w:pPr>
      <w:r w:rsidRPr="00D20052">
        <w:rPr>
          <w:rFonts w:asciiTheme="minorHAnsi" w:hAnsiTheme="minorHAnsi" w:cstheme="minorHAnsi"/>
        </w:rPr>
        <w:t xml:space="preserve">Research and development activities (including those led by the NBA and Monash University through the Blood Synergy program) have been funded or undertaken to ensure adequacy and sustainability of supply, realise supply chain efficiencies and improve performance. </w:t>
      </w:r>
    </w:p>
    <w:p w14:paraId="0486F9E7" w14:textId="77777777" w:rsidR="006B7A3B" w:rsidRPr="006361A7" w:rsidRDefault="003C5AB0" w:rsidP="006B7A3B">
      <w:pPr>
        <w:pStyle w:val="1Dot-point"/>
        <w:numPr>
          <w:ilvl w:val="0"/>
          <w:numId w:val="0"/>
        </w:numPr>
        <w:spacing w:line="280" w:lineRule="exact"/>
        <w:jc w:val="both"/>
      </w:pPr>
      <w:r w:rsidRPr="003C5AB0">
        <w:rPr>
          <w:rFonts w:asciiTheme="minorHAnsi" w:hAnsiTheme="minorHAnsi" w:cstheme="minorHAnsi"/>
        </w:rPr>
        <w:t xml:space="preserve">Ensuring sufficient donor levels is a critical input towards achieving an adequate blood supply, noting the research and development of artificial blood </w:t>
      </w:r>
      <w:r w:rsidRPr="006B7A3B">
        <w:rPr>
          <w:rFonts w:asciiTheme="minorHAnsi" w:hAnsiTheme="minorHAnsi" w:cstheme="minorHAnsi"/>
        </w:rPr>
        <w:t>products.</w:t>
      </w:r>
      <w:r w:rsidR="006B7A3B" w:rsidRPr="006B7A3B">
        <w:rPr>
          <w:rFonts w:asciiTheme="minorHAnsi" w:hAnsiTheme="minorHAnsi" w:cstheme="minorHAnsi"/>
        </w:rPr>
        <w:t xml:space="preserve"> For example, research is being undertaken to strengthen donor engagement. Lifeblood’s research program includes a focus on donor behaviour and donor health and wellbeing.</w:t>
      </w:r>
      <w:r w:rsidR="006B7A3B" w:rsidRPr="006B7A3B">
        <w:rPr>
          <w:rFonts w:asciiTheme="minorHAnsi" w:hAnsiTheme="minorHAnsi" w:cstheme="minorHAnsi"/>
          <w:vertAlign w:val="superscript"/>
        </w:rPr>
        <w:footnoteReference w:id="2"/>
      </w:r>
      <w:r w:rsidR="006B7A3B" w:rsidRPr="006B7A3B">
        <w:rPr>
          <w:rFonts w:asciiTheme="minorHAnsi" w:hAnsiTheme="minorHAnsi" w:cstheme="minorHAnsi"/>
        </w:rPr>
        <w:t xml:space="preserve"> However, research into donor behaviour since the onset of COVID-19 is limited and it is unclear to what extent the pandemic will impact the adequacy of supply.</w:t>
      </w:r>
    </w:p>
    <w:p w14:paraId="4D932BFA" w14:textId="3E83838D" w:rsidR="001215D4" w:rsidRPr="00632D81" w:rsidRDefault="001215D4" w:rsidP="009634C5">
      <w:pPr>
        <w:pStyle w:val="Heading3"/>
      </w:pPr>
      <w:bookmarkStart w:id="20" w:name="_Toc109030583"/>
      <w:r w:rsidRPr="00632D81">
        <w:t>What we want from the research community</w:t>
      </w:r>
      <w:bookmarkEnd w:id="20"/>
    </w:p>
    <w:p w14:paraId="220AEA1E" w14:textId="77777777" w:rsidR="001215D4" w:rsidRPr="009634C5" w:rsidRDefault="001215D4" w:rsidP="009634C5">
      <w:pPr>
        <w:pStyle w:val="Heading4"/>
      </w:pPr>
      <w:bookmarkStart w:id="21" w:name="_Toc106097051"/>
      <w:bookmarkStart w:id="22" w:name="_Toc106100592"/>
      <w:r w:rsidRPr="009634C5">
        <w:rPr>
          <w:rStyle w:val="Heading4Char"/>
          <w:b/>
          <w:iCs/>
        </w:rPr>
        <w:t>Research activities that</w:t>
      </w:r>
      <w:r w:rsidRPr="009634C5">
        <w:t>:</w:t>
      </w:r>
      <w:bookmarkEnd w:id="21"/>
      <w:bookmarkEnd w:id="22"/>
      <w:r w:rsidRPr="009634C5">
        <w:t xml:space="preserve"> </w:t>
      </w:r>
    </w:p>
    <w:p w14:paraId="364E12F7" w14:textId="77777777" w:rsidR="001215D4" w:rsidRPr="001215D4" w:rsidRDefault="001215D4" w:rsidP="008C1A03">
      <w:pPr>
        <w:pStyle w:val="ListParagraph"/>
        <w:keepNext/>
        <w:numPr>
          <w:ilvl w:val="0"/>
          <w:numId w:val="5"/>
        </w:numPr>
        <w:ind w:left="714" w:hanging="357"/>
        <w:rPr>
          <w:rFonts w:asciiTheme="minorHAnsi" w:hAnsiTheme="minorHAnsi" w:cstheme="minorHAnsi"/>
        </w:rPr>
      </w:pPr>
      <w:r w:rsidRPr="001215D4">
        <w:rPr>
          <w:rFonts w:asciiTheme="minorHAnsi" w:hAnsiTheme="minorHAnsi" w:cstheme="minorHAnsi"/>
        </w:rPr>
        <w:t>Develop and report evidence related to activities aimed at promoting sustainable donor rates by improving understanding of donor behaviour and motivation.</w:t>
      </w:r>
    </w:p>
    <w:p w14:paraId="6C3A53C9" w14:textId="458A362D" w:rsidR="001215D4" w:rsidRP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t xml:space="preserve">Identify opportunities and modelling to </w:t>
      </w:r>
      <w:r w:rsidR="008C15C4" w:rsidRPr="001215D4">
        <w:rPr>
          <w:rFonts w:asciiTheme="minorHAnsi" w:hAnsiTheme="minorHAnsi" w:cstheme="minorHAnsi"/>
        </w:rPr>
        <w:t>improv</w:t>
      </w:r>
      <w:r w:rsidR="008C15C4">
        <w:rPr>
          <w:rFonts w:asciiTheme="minorHAnsi" w:hAnsiTheme="minorHAnsi" w:cstheme="minorHAnsi"/>
        </w:rPr>
        <w:t>e</w:t>
      </w:r>
      <w:r w:rsidR="008C15C4" w:rsidRPr="001215D4">
        <w:rPr>
          <w:rFonts w:asciiTheme="minorHAnsi" w:hAnsiTheme="minorHAnsi" w:cstheme="minorHAnsi"/>
        </w:rPr>
        <w:t xml:space="preserve"> </w:t>
      </w:r>
      <w:r w:rsidRPr="001215D4">
        <w:rPr>
          <w:rFonts w:asciiTheme="minorHAnsi" w:hAnsiTheme="minorHAnsi" w:cstheme="minorHAnsi"/>
        </w:rPr>
        <w:t>blood demand and supply forecasting.</w:t>
      </w:r>
    </w:p>
    <w:p w14:paraId="77141476" w14:textId="38335ED1" w:rsid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lastRenderedPageBreak/>
        <w:t>Undertake systematic examinations of global innovations in therapies and products to reduce demand on blood products, including a focus on new treatments and emerging conditions, haemophilia, subcutaneous products and gene therapies</w:t>
      </w:r>
      <w:r w:rsidR="00BC0147">
        <w:rPr>
          <w:rFonts w:asciiTheme="minorHAnsi" w:hAnsiTheme="minorHAnsi" w:cstheme="minorHAnsi"/>
        </w:rPr>
        <w:t>.</w:t>
      </w:r>
    </w:p>
    <w:p w14:paraId="08D0B55E" w14:textId="1414A53F" w:rsidR="001215D4" w:rsidRPr="00632D81" w:rsidRDefault="001215D4" w:rsidP="009634C5">
      <w:pPr>
        <w:pStyle w:val="Heading4"/>
      </w:pPr>
      <w:bookmarkStart w:id="23" w:name="_Toc106097052"/>
      <w:bookmarkStart w:id="24" w:name="_Toc106100593"/>
      <w:r w:rsidRPr="00632D81">
        <w:t>Research translation activities that:</w:t>
      </w:r>
      <w:bookmarkEnd w:id="23"/>
      <w:bookmarkEnd w:id="24"/>
      <w:r w:rsidRPr="00632D81">
        <w:t xml:space="preserve"> </w:t>
      </w:r>
    </w:p>
    <w:p w14:paraId="1FE98E6C" w14:textId="77777777" w:rsidR="001215D4" w:rsidRP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t xml:space="preserve">Identify and evaluate characteristics of strategies to improve the quality of blood and blood products during storage, such as packaging, storage and handling processes. </w:t>
      </w:r>
    </w:p>
    <w:p w14:paraId="451B23EC" w14:textId="156506E0" w:rsidR="00603C1C" w:rsidRPr="006967A2" w:rsidRDefault="001215D4" w:rsidP="006F0B87">
      <w:pPr>
        <w:pStyle w:val="ListParagraph"/>
        <w:numPr>
          <w:ilvl w:val="0"/>
          <w:numId w:val="5"/>
        </w:numPr>
        <w:rPr>
          <w:rFonts w:asciiTheme="minorHAnsi" w:hAnsiTheme="minorHAnsi" w:cstheme="minorHAnsi"/>
        </w:rPr>
      </w:pPr>
      <w:r w:rsidRPr="006967A2">
        <w:rPr>
          <w:rFonts w:asciiTheme="minorHAnsi" w:hAnsiTheme="minorHAnsi" w:cstheme="minorHAnsi"/>
        </w:rPr>
        <w:t>Assess the potential application of novel technology related to new and emerging blood technologies/ components/ substitutes.</w:t>
      </w:r>
    </w:p>
    <w:p w14:paraId="6C6E9CA6" w14:textId="12D30264" w:rsidR="001215D4" w:rsidRPr="00603C1C" w:rsidRDefault="001215D4" w:rsidP="00603C1C">
      <w:pPr>
        <w:pStyle w:val="Heading2"/>
        <w:rPr>
          <w:rFonts w:ascii="Arial" w:eastAsia="Dotum" w:hAnsi="Arial" w:cs="Arial"/>
          <w:szCs w:val="28"/>
          <w:lang w:eastAsia="en-US"/>
        </w:rPr>
      </w:pPr>
      <w:bookmarkStart w:id="25" w:name="_Toc109030584"/>
      <w:r w:rsidRPr="00603C1C">
        <w:t>Priority 3 – Reduce donor and patient adverse events</w:t>
      </w:r>
      <w:bookmarkEnd w:id="25"/>
      <w:r w:rsidRPr="00603C1C">
        <w:rPr>
          <w:rFonts w:ascii="Arial" w:eastAsia="Dotum" w:hAnsi="Arial" w:cs="Arial"/>
          <w:szCs w:val="28"/>
          <w:lang w:eastAsia="en-US"/>
        </w:rPr>
        <w:t xml:space="preserve"> </w:t>
      </w:r>
    </w:p>
    <w:p w14:paraId="1731893A" w14:textId="70CB8821" w:rsidR="004C33AA" w:rsidRPr="004C33AA" w:rsidRDefault="004C33AA" w:rsidP="004C33AA">
      <w:pPr>
        <w:rPr>
          <w:rFonts w:asciiTheme="minorHAnsi" w:hAnsiTheme="minorHAnsi" w:cstheme="minorHAnsi"/>
        </w:rPr>
      </w:pPr>
      <w:r w:rsidRPr="004C33AA">
        <w:rPr>
          <w:rFonts w:asciiTheme="minorHAnsi" w:hAnsiTheme="minorHAnsi" w:cstheme="minorHAnsi"/>
        </w:rPr>
        <w:t>Monitoring and reporting on unsafe outcomes, or adverse events, in patients and donors is a key mechanism which is used by researchers, clinicians and policy makers to design strategies to minimise adverse events</w:t>
      </w:r>
      <w:r w:rsidR="008C1A03">
        <w:rPr>
          <w:rFonts w:asciiTheme="minorHAnsi" w:hAnsiTheme="minorHAnsi" w:cstheme="minorHAnsi"/>
        </w:rPr>
        <w:t xml:space="preserve"> and improve outcomes</w:t>
      </w:r>
      <w:r w:rsidRPr="004C33AA">
        <w:rPr>
          <w:rFonts w:asciiTheme="minorHAnsi" w:hAnsiTheme="minorHAnsi" w:cstheme="minorHAnsi"/>
        </w:rPr>
        <w:t xml:space="preserve">. </w:t>
      </w:r>
    </w:p>
    <w:p w14:paraId="70140BDC" w14:textId="77777777" w:rsidR="001215D4" w:rsidRPr="001215D4" w:rsidRDefault="001215D4" w:rsidP="001215D4">
      <w:pPr>
        <w:rPr>
          <w:rFonts w:asciiTheme="minorHAnsi" w:hAnsiTheme="minorHAnsi" w:cstheme="minorHAnsi"/>
        </w:rPr>
      </w:pPr>
      <w:r w:rsidRPr="001215D4">
        <w:rPr>
          <w:rFonts w:asciiTheme="minorHAnsi" w:hAnsiTheme="minorHAnsi" w:cstheme="minorHAnsi"/>
        </w:rPr>
        <w:t>Some adverse events can be brought about by human factors, such as wrong blood in tube events which is a persistent problem and has the potential to lead to a potentially fatal transfusion of the incorrect blood type. Other adverse events are brought about by characteristics of the product transfused, such as febrile non-haemolytic transfusion reactions. These types of adverse events can be caused by the patient response to the donors’ cells or by biological accumulations during storage of blood products. The way products are stored and handled can affect patient outcome.</w:t>
      </w:r>
    </w:p>
    <w:p w14:paraId="4C17E8F7" w14:textId="153C1C04" w:rsidR="001215D4" w:rsidRPr="001215D4" w:rsidRDefault="001215D4" w:rsidP="001215D4">
      <w:pPr>
        <w:rPr>
          <w:rFonts w:asciiTheme="minorHAnsi" w:hAnsiTheme="minorHAnsi" w:cstheme="minorHAnsi"/>
        </w:rPr>
      </w:pPr>
      <w:r w:rsidRPr="001215D4">
        <w:rPr>
          <w:rFonts w:asciiTheme="minorHAnsi" w:hAnsiTheme="minorHAnsi" w:cstheme="minorHAnsi"/>
        </w:rPr>
        <w:t xml:space="preserve">Also, despite a strong safety profile relating to transfusion in Australia, there remains a risk of transfusion-transmitted infections. Changing climate, travel and other demographic factors are resulting in changes to pathogens, and continuous horizon scanning is required to identify changing risk profiles. </w:t>
      </w:r>
    </w:p>
    <w:p w14:paraId="488C038D" w14:textId="77777777" w:rsidR="00C42D42" w:rsidRDefault="001215D4" w:rsidP="00C42D42">
      <w:pPr>
        <w:rPr>
          <w:rFonts w:asciiTheme="minorHAnsi" w:hAnsiTheme="minorHAnsi" w:cstheme="minorHAnsi"/>
        </w:rPr>
      </w:pPr>
      <w:r w:rsidRPr="001215D4">
        <w:rPr>
          <w:rFonts w:asciiTheme="minorHAnsi" w:hAnsiTheme="minorHAnsi" w:cstheme="minorHAnsi"/>
        </w:rPr>
        <w:t>At the other end of the supply chain, the effects on the donor of multiple blood, platelet and plasma donations are not well understood. Ensuring donor welfare is important both for the health of the donors and for the future sustainability of the blood supply chain.</w:t>
      </w:r>
    </w:p>
    <w:p w14:paraId="2D0C939F" w14:textId="319D5D8A" w:rsidR="001215D4" w:rsidRPr="00632D81" w:rsidRDefault="001215D4" w:rsidP="009634C5">
      <w:pPr>
        <w:pStyle w:val="Heading3"/>
      </w:pPr>
      <w:bookmarkStart w:id="26" w:name="_Toc109030585"/>
      <w:r w:rsidRPr="00632D81">
        <w:t>What we are trying to achieve</w:t>
      </w:r>
      <w:r w:rsidR="00D13D91">
        <w:t xml:space="preserve"> </w:t>
      </w:r>
      <w:r w:rsidR="00DD0499">
        <w:t>through further research</w:t>
      </w:r>
      <w:bookmarkEnd w:id="26"/>
    </w:p>
    <w:p w14:paraId="1454791E" w14:textId="30E3D889" w:rsidR="001215D4" w:rsidRDefault="001215D4" w:rsidP="001215D4">
      <w:pPr>
        <w:rPr>
          <w:rFonts w:asciiTheme="minorHAnsi" w:hAnsiTheme="minorHAnsi" w:cstheme="minorHAnsi"/>
        </w:rPr>
      </w:pPr>
      <w:r w:rsidRPr="001215D4">
        <w:rPr>
          <w:rFonts w:asciiTheme="minorHAnsi" w:hAnsiTheme="minorHAnsi" w:cstheme="minorHAnsi"/>
        </w:rPr>
        <w:t>Maintenance of a safe supply of blood and blood products in Australia, and as well as implementation of collection and transfusion strategies that reduce the incidence of adverse events</w:t>
      </w:r>
      <w:r w:rsidR="008C1A03">
        <w:rPr>
          <w:rFonts w:asciiTheme="minorHAnsi" w:hAnsiTheme="minorHAnsi" w:cstheme="minorHAnsi"/>
        </w:rPr>
        <w:t>, improve patient outcomes</w:t>
      </w:r>
      <w:r w:rsidRPr="001215D4">
        <w:rPr>
          <w:rFonts w:asciiTheme="minorHAnsi" w:hAnsiTheme="minorHAnsi" w:cstheme="minorHAnsi"/>
        </w:rPr>
        <w:t xml:space="preserve"> and maintain donor health and safety. </w:t>
      </w:r>
    </w:p>
    <w:p w14:paraId="5B3087D2" w14:textId="2D7BD913" w:rsidR="00BC0147" w:rsidRPr="00632D81" w:rsidRDefault="00BC0147" w:rsidP="009634C5">
      <w:pPr>
        <w:pStyle w:val="Heading3"/>
      </w:pPr>
      <w:bookmarkStart w:id="27" w:name="_Toc109030586"/>
      <w:r w:rsidRPr="00632D81">
        <w:t>Work progressed under the previous 2013-16 Priorities</w:t>
      </w:r>
      <w:bookmarkEnd w:id="27"/>
    </w:p>
    <w:p w14:paraId="2D9527AA" w14:textId="3B32B60E" w:rsidR="00F94762" w:rsidRPr="00BC0147" w:rsidRDefault="00BC0147" w:rsidP="00BC0147">
      <w:pPr>
        <w:rPr>
          <w:rFonts w:asciiTheme="minorHAnsi" w:hAnsiTheme="minorHAnsi" w:cstheme="minorHAnsi"/>
        </w:rPr>
      </w:pPr>
      <w:r w:rsidRPr="00BC0147">
        <w:rPr>
          <w:rFonts w:asciiTheme="minorHAnsi" w:hAnsiTheme="minorHAnsi" w:cstheme="minorHAnsi"/>
        </w:rPr>
        <w:t xml:space="preserve">Since 2013, research and development activities funded or undertaken to reduce donor and patient adverse events include national </w:t>
      </w:r>
      <w:proofErr w:type="spellStart"/>
      <w:r w:rsidRPr="00BC0147">
        <w:rPr>
          <w:rFonts w:asciiTheme="minorHAnsi" w:hAnsiTheme="minorHAnsi" w:cstheme="minorHAnsi"/>
        </w:rPr>
        <w:t>haemovigilance</w:t>
      </w:r>
      <w:proofErr w:type="spellEnd"/>
      <w:r w:rsidRPr="00BC0147">
        <w:rPr>
          <w:rFonts w:asciiTheme="minorHAnsi" w:hAnsiTheme="minorHAnsi" w:cstheme="minorHAnsi"/>
        </w:rPr>
        <w:t xml:space="preserve"> reporting and research by the Australian Red Cross Lifeblood</w:t>
      </w:r>
      <w:r w:rsidR="008C1A03">
        <w:rPr>
          <w:rFonts w:asciiTheme="minorHAnsi" w:hAnsiTheme="minorHAnsi" w:cstheme="minorHAnsi"/>
        </w:rPr>
        <w:t xml:space="preserve">, and </w:t>
      </w:r>
      <w:r w:rsidR="0025108C">
        <w:rPr>
          <w:rFonts w:asciiTheme="minorHAnsi" w:hAnsiTheme="minorHAnsi" w:cstheme="minorHAnsi"/>
        </w:rPr>
        <w:t>mandatory reporting under</w:t>
      </w:r>
      <w:r w:rsidR="008C1A03">
        <w:rPr>
          <w:rFonts w:asciiTheme="minorHAnsi" w:hAnsiTheme="minorHAnsi" w:cstheme="minorHAnsi"/>
        </w:rPr>
        <w:t xml:space="preserve"> </w:t>
      </w:r>
      <w:r w:rsidR="0025108C">
        <w:rPr>
          <w:rFonts w:asciiTheme="minorHAnsi" w:hAnsiTheme="minorHAnsi" w:cstheme="minorHAnsi"/>
        </w:rPr>
        <w:t xml:space="preserve">the </w:t>
      </w:r>
      <w:r w:rsidR="006C1CDE">
        <w:rPr>
          <w:rFonts w:asciiTheme="minorHAnsi" w:hAnsiTheme="minorHAnsi" w:cstheme="minorHAnsi"/>
        </w:rPr>
        <w:t xml:space="preserve">Standard 7 – Blood Management of the </w:t>
      </w:r>
      <w:r w:rsidR="0025108C">
        <w:rPr>
          <w:rFonts w:asciiTheme="minorHAnsi" w:hAnsiTheme="minorHAnsi" w:cstheme="minorHAnsi"/>
        </w:rPr>
        <w:t>National Safety and Quality Health Service (NSQHS) Standards</w:t>
      </w:r>
      <w:r w:rsidR="0025108C" w:rsidRPr="00C67C4A">
        <w:rPr>
          <w:rStyle w:val="FootnoteReference"/>
          <w:rFonts w:asciiTheme="minorHAnsi" w:hAnsiTheme="minorHAnsi" w:cstheme="minorHAnsi"/>
        </w:rPr>
        <w:footnoteReference w:id="3"/>
      </w:r>
      <w:r w:rsidRPr="00BC0147">
        <w:rPr>
          <w:rFonts w:asciiTheme="minorHAnsi" w:hAnsiTheme="minorHAnsi" w:cstheme="minorHAnsi"/>
        </w:rPr>
        <w:t xml:space="preserve">. </w:t>
      </w:r>
      <w:r w:rsidR="00E73D02">
        <w:rPr>
          <w:rFonts w:asciiTheme="minorHAnsi" w:hAnsiTheme="minorHAnsi" w:cstheme="minorHAnsi"/>
        </w:rPr>
        <w:t xml:space="preserve">Through the Strategic Priorities </w:t>
      </w:r>
      <w:r w:rsidR="007147F7">
        <w:rPr>
          <w:rFonts w:asciiTheme="minorHAnsi" w:hAnsiTheme="minorHAnsi" w:cstheme="minorHAnsi"/>
        </w:rPr>
        <w:t>R</w:t>
      </w:r>
      <w:r w:rsidR="00E73D02">
        <w:rPr>
          <w:rFonts w:asciiTheme="minorHAnsi" w:hAnsiTheme="minorHAnsi" w:cstheme="minorHAnsi"/>
        </w:rPr>
        <w:t xml:space="preserve">eview, it was noted that there could </w:t>
      </w:r>
      <w:r w:rsidRPr="00BC0147">
        <w:rPr>
          <w:rFonts w:asciiTheme="minorHAnsi" w:hAnsiTheme="minorHAnsi" w:cstheme="minorHAnsi"/>
        </w:rPr>
        <w:t xml:space="preserve">be a greater focus on </w:t>
      </w:r>
      <w:proofErr w:type="spellStart"/>
      <w:r w:rsidRPr="00BC0147">
        <w:rPr>
          <w:rFonts w:asciiTheme="minorHAnsi" w:hAnsiTheme="minorHAnsi" w:cstheme="minorHAnsi"/>
        </w:rPr>
        <w:t>haemovigilance</w:t>
      </w:r>
      <w:proofErr w:type="spellEnd"/>
      <w:r w:rsidRPr="00BC0147">
        <w:rPr>
          <w:rFonts w:asciiTheme="minorHAnsi" w:hAnsiTheme="minorHAnsi" w:cstheme="minorHAnsi"/>
        </w:rPr>
        <w:t xml:space="preserve"> data collection to enhance monitoring of adverse events.</w:t>
      </w:r>
    </w:p>
    <w:p w14:paraId="12F0CEAD" w14:textId="21E1ECCE" w:rsidR="001215D4" w:rsidRPr="00632D81" w:rsidRDefault="001215D4" w:rsidP="009634C5">
      <w:pPr>
        <w:pStyle w:val="Heading3"/>
      </w:pPr>
      <w:bookmarkStart w:id="28" w:name="_Toc109030587"/>
      <w:r w:rsidRPr="00632D81">
        <w:lastRenderedPageBreak/>
        <w:t>What we want from the research community</w:t>
      </w:r>
      <w:bookmarkEnd w:id="28"/>
    </w:p>
    <w:p w14:paraId="3B357ABF" w14:textId="4E7326BE" w:rsidR="001215D4" w:rsidRPr="00632D81" w:rsidRDefault="001215D4" w:rsidP="009634C5">
      <w:pPr>
        <w:pStyle w:val="Heading4"/>
      </w:pPr>
      <w:bookmarkStart w:id="29" w:name="_Toc106097057"/>
      <w:bookmarkStart w:id="30" w:name="_Toc106100598"/>
      <w:r w:rsidRPr="00632D81">
        <w:t>Research activities that:</w:t>
      </w:r>
      <w:bookmarkEnd w:id="29"/>
      <w:bookmarkEnd w:id="30"/>
      <w:r w:rsidRPr="00632D81">
        <w:t xml:space="preserve"> </w:t>
      </w:r>
    </w:p>
    <w:p w14:paraId="1D24F968" w14:textId="77777777" w:rsidR="001215D4" w:rsidRP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t>Develop evidence and strategies related to systematic and timely monitoring of adverse events following transfusion.</w:t>
      </w:r>
    </w:p>
    <w:p w14:paraId="2E80BAD0" w14:textId="301A7BA7" w:rsidR="001215D4" w:rsidRP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t>Identify and analyse characteristics of human factors, technology changes, physiological and product characteristics which contribute to adverse events, and identification of</w:t>
      </w:r>
      <w:r>
        <w:rPr>
          <w:rFonts w:asciiTheme="minorHAnsi" w:hAnsiTheme="minorHAnsi" w:cstheme="minorHAnsi"/>
        </w:rPr>
        <w:t xml:space="preserve"> </w:t>
      </w:r>
      <w:r w:rsidRPr="001215D4">
        <w:rPr>
          <w:rFonts w:asciiTheme="minorHAnsi" w:hAnsiTheme="minorHAnsi" w:cstheme="minorHAnsi"/>
        </w:rPr>
        <w:t>opportunities for improvement.</w:t>
      </w:r>
    </w:p>
    <w:p w14:paraId="7BC9F615" w14:textId="77777777" w:rsid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t>Undertake systematic examination and review of blood sector strategies related to reducing, recognising and responding to adverse events.</w:t>
      </w:r>
    </w:p>
    <w:p w14:paraId="3C86F03B" w14:textId="3B886CFD" w:rsidR="001215D4" w:rsidRPr="00632D81" w:rsidRDefault="001215D4" w:rsidP="009634C5">
      <w:pPr>
        <w:pStyle w:val="Heading4"/>
      </w:pPr>
      <w:bookmarkStart w:id="31" w:name="_Toc106097058"/>
      <w:bookmarkStart w:id="32" w:name="_Toc106100599"/>
      <w:r w:rsidRPr="00632D81">
        <w:t>Research translation activities that:</w:t>
      </w:r>
      <w:bookmarkEnd w:id="31"/>
      <w:bookmarkEnd w:id="32"/>
      <w:r w:rsidRPr="00632D81">
        <w:t xml:space="preserve"> </w:t>
      </w:r>
    </w:p>
    <w:p w14:paraId="03390ADC" w14:textId="77777777" w:rsidR="001215D4" w:rsidRP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t>Develop and evaluate models aimed at empowering patients and donors to understand and respond to an adverse event.</w:t>
      </w:r>
    </w:p>
    <w:p w14:paraId="3E625EA2" w14:textId="4652CA8D" w:rsidR="001215D4" w:rsidRPr="001215D4" w:rsidRDefault="001215D4" w:rsidP="001215D4">
      <w:pPr>
        <w:pStyle w:val="ListParagraph"/>
        <w:numPr>
          <w:ilvl w:val="0"/>
          <w:numId w:val="5"/>
        </w:numPr>
        <w:rPr>
          <w:rFonts w:asciiTheme="minorHAnsi" w:hAnsiTheme="minorHAnsi" w:cstheme="minorHAnsi"/>
        </w:rPr>
      </w:pPr>
      <w:r w:rsidRPr="001215D4">
        <w:rPr>
          <w:rFonts w:asciiTheme="minorHAnsi" w:hAnsiTheme="minorHAnsi" w:cstheme="minorHAnsi"/>
        </w:rPr>
        <w:t>Identif</w:t>
      </w:r>
      <w:r w:rsidR="00CC5E67">
        <w:rPr>
          <w:rFonts w:asciiTheme="minorHAnsi" w:hAnsiTheme="minorHAnsi" w:cstheme="minorHAnsi"/>
        </w:rPr>
        <w:t>y</w:t>
      </w:r>
      <w:r w:rsidRPr="001215D4">
        <w:rPr>
          <w:rFonts w:asciiTheme="minorHAnsi" w:hAnsiTheme="minorHAnsi" w:cstheme="minorHAnsi"/>
        </w:rPr>
        <w:t xml:space="preserve"> and analyses changes in blood characteristics following multiple blood donations related to the development of iron deficiency in donors, and strategies to reduce its occurrence. </w:t>
      </w:r>
    </w:p>
    <w:p w14:paraId="072B8E11" w14:textId="0CD1EBBD" w:rsidR="00603C1C" w:rsidRPr="006967A2" w:rsidRDefault="001215D4" w:rsidP="006967A2">
      <w:pPr>
        <w:pStyle w:val="ListParagraph"/>
        <w:numPr>
          <w:ilvl w:val="0"/>
          <w:numId w:val="5"/>
        </w:numPr>
        <w:rPr>
          <w:rFonts w:asciiTheme="minorHAnsi" w:hAnsiTheme="minorHAnsi" w:cstheme="minorHAnsi"/>
        </w:rPr>
      </w:pPr>
      <w:r w:rsidRPr="001215D4">
        <w:rPr>
          <w:rFonts w:asciiTheme="minorHAnsi" w:hAnsiTheme="minorHAnsi" w:cstheme="minorHAnsi"/>
        </w:rPr>
        <w:t>Identif</w:t>
      </w:r>
      <w:r w:rsidR="00CC5E67">
        <w:rPr>
          <w:rFonts w:asciiTheme="minorHAnsi" w:hAnsiTheme="minorHAnsi" w:cstheme="minorHAnsi"/>
        </w:rPr>
        <w:t>y</w:t>
      </w:r>
      <w:r w:rsidRPr="001215D4">
        <w:rPr>
          <w:rFonts w:asciiTheme="minorHAnsi" w:hAnsiTheme="minorHAnsi" w:cstheme="minorHAnsi"/>
        </w:rPr>
        <w:t xml:space="preserve"> and evaluates treatment protocols for bleeding disorders that most effectively reduce the risk of, and manage the development of, inhibitory antibody responses.</w:t>
      </w:r>
    </w:p>
    <w:p w14:paraId="58038A9D" w14:textId="4BCC3DD2" w:rsidR="001215D4" w:rsidRPr="00603C1C" w:rsidRDefault="001215D4" w:rsidP="00603C1C">
      <w:pPr>
        <w:pStyle w:val="Heading2"/>
      </w:pPr>
      <w:bookmarkStart w:id="33" w:name="_Toc109030588"/>
      <w:r w:rsidRPr="00603C1C">
        <w:t>Enabler 1 – Improve</w:t>
      </w:r>
      <w:r w:rsidR="00310256">
        <w:t xml:space="preserve"> </w:t>
      </w:r>
      <w:r w:rsidRPr="00603C1C">
        <w:t>data collection, accuracy and sharing</w:t>
      </w:r>
      <w:bookmarkEnd w:id="33"/>
    </w:p>
    <w:p w14:paraId="33E02F61" w14:textId="1B621318" w:rsidR="00BC0147" w:rsidRPr="00BC0147" w:rsidRDefault="002640D9" w:rsidP="00BC0147">
      <w:pPr>
        <w:rPr>
          <w:rFonts w:asciiTheme="minorHAnsi" w:hAnsiTheme="minorHAnsi" w:cstheme="minorHAnsi"/>
        </w:rPr>
      </w:pPr>
      <w:r w:rsidRPr="002640D9">
        <w:rPr>
          <w:rFonts w:asciiTheme="minorHAnsi" w:hAnsiTheme="minorHAnsi" w:cstheme="minorHAnsi"/>
        </w:rPr>
        <w:t xml:space="preserve">This </w:t>
      </w:r>
      <w:r>
        <w:rPr>
          <w:rFonts w:asciiTheme="minorHAnsi" w:hAnsiTheme="minorHAnsi" w:cstheme="minorHAnsi"/>
        </w:rPr>
        <w:t xml:space="preserve">Enabler </w:t>
      </w:r>
      <w:r w:rsidRPr="002640D9">
        <w:rPr>
          <w:rFonts w:asciiTheme="minorHAnsi" w:hAnsiTheme="minorHAnsi" w:cstheme="minorHAnsi"/>
        </w:rPr>
        <w:t>represents a change from how data collection was addressed in the 2013-16 Priorities. The change primarily reflects NBA’s desire to be outcomes focused through their priorities and enablers.</w:t>
      </w:r>
    </w:p>
    <w:p w14:paraId="7FF48862" w14:textId="09D26F5A" w:rsidR="001215D4" w:rsidRPr="00632D81" w:rsidRDefault="001215D4" w:rsidP="009634C5">
      <w:pPr>
        <w:pStyle w:val="Heading3"/>
      </w:pPr>
      <w:bookmarkStart w:id="34" w:name="_Toc109030589"/>
      <w:r w:rsidRPr="00632D81">
        <w:t>What we are trying to achieve</w:t>
      </w:r>
      <w:r w:rsidR="00DD0499" w:rsidRPr="00DD0499">
        <w:t xml:space="preserve"> </w:t>
      </w:r>
      <w:r w:rsidR="00DD0499">
        <w:t>through further research</w:t>
      </w:r>
      <w:bookmarkEnd w:id="34"/>
    </w:p>
    <w:p w14:paraId="0C972BBC" w14:textId="5FEE2252" w:rsidR="00BC0147" w:rsidRPr="00BC0147" w:rsidRDefault="00CC46C6" w:rsidP="00BC0147">
      <w:pPr>
        <w:rPr>
          <w:rFonts w:asciiTheme="minorHAnsi" w:hAnsiTheme="minorHAnsi" w:cstheme="minorHAnsi"/>
        </w:rPr>
      </w:pPr>
      <w:r>
        <w:rPr>
          <w:rFonts w:asciiTheme="minorHAnsi" w:hAnsiTheme="minorHAnsi" w:cstheme="minorHAnsi"/>
        </w:rPr>
        <w:t>T</w:t>
      </w:r>
      <w:r w:rsidR="00BC0147" w:rsidRPr="00BC0147">
        <w:rPr>
          <w:rFonts w:asciiTheme="minorHAnsi" w:hAnsiTheme="minorHAnsi" w:cstheme="minorHAnsi"/>
        </w:rPr>
        <w:t>o promote strengthened data linkages with relevant health systems to improve the management and use of blood and blood products promoting timely and efficient data access and consistent data collection practices across Australia. This includes the development and promotion of platforms and forums to share data insights and trends, ensuring that this will be accessible and engaging for the intended audience.</w:t>
      </w:r>
    </w:p>
    <w:p w14:paraId="1E564F0B" w14:textId="001D9416" w:rsidR="00BC0147" w:rsidRPr="00632D81" w:rsidRDefault="00BC0147" w:rsidP="009634C5">
      <w:pPr>
        <w:pStyle w:val="Heading3"/>
      </w:pPr>
      <w:bookmarkStart w:id="35" w:name="_Toc109030590"/>
      <w:r w:rsidRPr="00632D81">
        <w:t>Work progressed under the previous 2013-16 Priorities</w:t>
      </w:r>
      <w:bookmarkEnd w:id="35"/>
    </w:p>
    <w:p w14:paraId="4156284E" w14:textId="16E672CA" w:rsidR="00BC0147" w:rsidRPr="00BC0147" w:rsidRDefault="00BC0147" w:rsidP="00BC0147">
      <w:pPr>
        <w:rPr>
          <w:rFonts w:asciiTheme="minorHAnsi" w:hAnsiTheme="minorHAnsi" w:cstheme="minorHAnsi"/>
        </w:rPr>
      </w:pPr>
      <w:r w:rsidRPr="00BC0147">
        <w:rPr>
          <w:rFonts w:asciiTheme="minorHAnsi" w:hAnsiTheme="minorHAnsi" w:cstheme="minorHAnsi"/>
        </w:rPr>
        <w:t xml:space="preserve">Information and communication technology (ICT) platforms and data frameworks have been established or enhanced to promote appropriate blood use and data access. </w:t>
      </w:r>
      <w:r w:rsidR="00BF3E49">
        <w:rPr>
          <w:rFonts w:asciiTheme="minorHAnsi" w:hAnsiTheme="minorHAnsi" w:cstheme="minorHAnsi"/>
        </w:rPr>
        <w:t>However, t</w:t>
      </w:r>
      <w:r w:rsidR="00414EA6">
        <w:rPr>
          <w:rFonts w:asciiTheme="minorHAnsi" w:hAnsiTheme="minorHAnsi" w:cstheme="minorHAnsi"/>
        </w:rPr>
        <w:t xml:space="preserve">hrough the Strategic Priorities </w:t>
      </w:r>
      <w:r w:rsidR="009634C5">
        <w:rPr>
          <w:rFonts w:asciiTheme="minorHAnsi" w:hAnsiTheme="minorHAnsi" w:cstheme="minorHAnsi"/>
        </w:rPr>
        <w:t>Review it</w:t>
      </w:r>
      <w:r w:rsidR="00414EA6">
        <w:rPr>
          <w:rFonts w:asciiTheme="minorHAnsi" w:hAnsiTheme="minorHAnsi" w:cstheme="minorHAnsi"/>
        </w:rPr>
        <w:t xml:space="preserve"> was noted that there were barriers</w:t>
      </w:r>
      <w:r w:rsidRPr="00BC0147">
        <w:rPr>
          <w:rFonts w:asciiTheme="minorHAnsi" w:hAnsiTheme="minorHAnsi" w:cstheme="minorHAnsi"/>
        </w:rPr>
        <w:t xml:space="preserve"> to efficiently access data.</w:t>
      </w:r>
    </w:p>
    <w:p w14:paraId="413C7178" w14:textId="6A4A7790" w:rsidR="001215D4" w:rsidRPr="00632D81" w:rsidRDefault="001215D4" w:rsidP="009634C5">
      <w:pPr>
        <w:pStyle w:val="Heading3"/>
      </w:pPr>
      <w:bookmarkStart w:id="36" w:name="_Toc109030591"/>
      <w:r w:rsidRPr="00632D81">
        <w:t>What we want from the research community</w:t>
      </w:r>
      <w:bookmarkEnd w:id="36"/>
    </w:p>
    <w:p w14:paraId="30F2F62C" w14:textId="77777777" w:rsidR="00D27149" w:rsidRPr="00D27149" w:rsidRDefault="00D27149" w:rsidP="00D27149">
      <w:pPr>
        <w:rPr>
          <w:rFonts w:asciiTheme="minorHAnsi" w:hAnsiTheme="minorHAnsi" w:cstheme="minorHAnsi"/>
        </w:rPr>
      </w:pPr>
      <w:r w:rsidRPr="00D27149">
        <w:rPr>
          <w:rFonts w:asciiTheme="minorHAnsi" w:hAnsiTheme="minorHAnsi" w:cstheme="minorHAnsi"/>
        </w:rPr>
        <w:t>Look for strengthened data linkages with relevant health systems to improve the management and use of blood and blood products promoting timely and efficient data access and consistent data collection practices across Australia.</w:t>
      </w:r>
    </w:p>
    <w:p w14:paraId="0B3EE8EC" w14:textId="73DAC4BB" w:rsidR="001215D4" w:rsidRPr="00D27149" w:rsidRDefault="00D27149" w:rsidP="00D27149">
      <w:pPr>
        <w:pStyle w:val="ListParagraph"/>
        <w:numPr>
          <w:ilvl w:val="0"/>
          <w:numId w:val="7"/>
        </w:numPr>
        <w:rPr>
          <w:rFonts w:asciiTheme="minorHAnsi" w:hAnsiTheme="minorHAnsi" w:cstheme="minorHAnsi"/>
        </w:rPr>
      </w:pPr>
      <w:r w:rsidRPr="00D27149">
        <w:rPr>
          <w:rFonts w:asciiTheme="minorHAnsi" w:hAnsiTheme="minorHAnsi" w:cstheme="minorHAnsi"/>
        </w:rPr>
        <w:t>Develop and promote platforms and forums to share data insights and trends, ensuring that this will be accessible and engaging for the intended audience.</w:t>
      </w:r>
    </w:p>
    <w:p w14:paraId="0955B5E7" w14:textId="756C82D8" w:rsidR="001215D4" w:rsidRPr="00603C1C" w:rsidRDefault="001215D4" w:rsidP="00603C1C">
      <w:pPr>
        <w:pStyle w:val="Heading2"/>
      </w:pPr>
      <w:bookmarkStart w:id="37" w:name="_Toc109030592"/>
      <w:r w:rsidRPr="00603C1C">
        <w:lastRenderedPageBreak/>
        <w:t>Enabler 2 – Optimise health and patient service delivery to best meet patient</w:t>
      </w:r>
      <w:r w:rsidR="004E30FB">
        <w:t xml:space="preserve"> and donor</w:t>
      </w:r>
      <w:r w:rsidRPr="00603C1C">
        <w:t xml:space="preserve"> needs</w:t>
      </w:r>
      <w:bookmarkEnd w:id="37"/>
      <w:r w:rsidRPr="00603C1C">
        <w:t xml:space="preserve"> </w:t>
      </w:r>
    </w:p>
    <w:p w14:paraId="079AF867" w14:textId="2B0876BE" w:rsidR="004C31FA" w:rsidRPr="001215D4" w:rsidRDefault="004C31FA" w:rsidP="001215D4">
      <w:pPr>
        <w:rPr>
          <w:rFonts w:asciiTheme="minorHAnsi" w:hAnsiTheme="minorHAnsi" w:cstheme="minorHAnsi"/>
        </w:rPr>
      </w:pPr>
      <w:r w:rsidRPr="004C31FA">
        <w:rPr>
          <w:rFonts w:asciiTheme="minorHAnsi" w:hAnsiTheme="minorHAnsi" w:cstheme="minorHAnsi"/>
        </w:rPr>
        <w:t>This represents a slight change from how service delivery was addressed in the 2013-16 Priorities. The change primarily reflects NBA’s desire to be outcomes focused through their priorities and enablers.</w:t>
      </w:r>
    </w:p>
    <w:p w14:paraId="1353FAA4" w14:textId="770A42FD" w:rsidR="001215D4" w:rsidRPr="00632D81" w:rsidRDefault="001215D4" w:rsidP="009634C5">
      <w:pPr>
        <w:pStyle w:val="Heading3"/>
      </w:pPr>
      <w:bookmarkStart w:id="38" w:name="_Toc109030593"/>
      <w:r w:rsidRPr="00632D81">
        <w:t>What we are trying to achieve</w:t>
      </w:r>
      <w:r w:rsidR="00DD0499" w:rsidRPr="00DD0499">
        <w:t xml:space="preserve"> </w:t>
      </w:r>
      <w:r w:rsidR="00DD0499">
        <w:t>through further research</w:t>
      </w:r>
      <w:bookmarkEnd w:id="38"/>
    </w:p>
    <w:p w14:paraId="5FAE1B8B" w14:textId="501F800D" w:rsidR="004C31FA" w:rsidRPr="004C31FA" w:rsidRDefault="008438E5" w:rsidP="001215D4">
      <w:pPr>
        <w:rPr>
          <w:rFonts w:asciiTheme="minorHAnsi" w:hAnsiTheme="minorHAnsi" w:cstheme="minorHAnsi"/>
        </w:rPr>
      </w:pPr>
      <w:r>
        <w:rPr>
          <w:rFonts w:asciiTheme="minorHAnsi" w:hAnsiTheme="minorHAnsi" w:cstheme="minorHAnsi"/>
        </w:rPr>
        <w:t>Promote</w:t>
      </w:r>
      <w:r w:rsidR="004C31FA" w:rsidRPr="004C31FA">
        <w:rPr>
          <w:rFonts w:asciiTheme="minorHAnsi" w:hAnsiTheme="minorHAnsi" w:cstheme="minorHAnsi"/>
        </w:rPr>
        <w:t xml:space="preserve"> the design and application of frameworks to promote patient and donor engagement in research with a focus on improving patient and donor experience and outcomes.</w:t>
      </w:r>
    </w:p>
    <w:p w14:paraId="5D9383CF" w14:textId="2F3EAEFC" w:rsidR="000C0C3F" w:rsidRDefault="000C0C3F" w:rsidP="009634C5">
      <w:pPr>
        <w:pStyle w:val="Heading3"/>
      </w:pPr>
      <w:bookmarkStart w:id="39" w:name="_Toc109030594"/>
      <w:r>
        <w:t>Work progressed under the previous 2013-16 Priorities</w:t>
      </w:r>
      <w:bookmarkEnd w:id="39"/>
    </w:p>
    <w:p w14:paraId="30DB0A3E" w14:textId="3DB133A0" w:rsidR="004C31FA" w:rsidRPr="004C31FA" w:rsidRDefault="004C31FA" w:rsidP="004C31FA">
      <w:pPr>
        <w:rPr>
          <w:rFonts w:asciiTheme="minorHAnsi" w:hAnsiTheme="minorHAnsi" w:cstheme="minorHAnsi"/>
        </w:rPr>
      </w:pPr>
      <w:bookmarkStart w:id="40" w:name="_Toc79056719"/>
      <w:r w:rsidRPr="004C31FA">
        <w:rPr>
          <w:rFonts w:asciiTheme="minorHAnsi" w:hAnsiTheme="minorHAnsi" w:cstheme="minorHAnsi"/>
        </w:rPr>
        <w:t>Since 2013, research and development activities funded or undertaken to optimise health service delivery to best meet patient needs include research and development funded by the NBA and by the NHMRC through Blood Synergy</w:t>
      </w:r>
      <w:bookmarkEnd w:id="40"/>
      <w:r w:rsidR="004D4201">
        <w:rPr>
          <w:rFonts w:asciiTheme="minorHAnsi" w:hAnsiTheme="minorHAnsi" w:cstheme="minorHAnsi"/>
        </w:rPr>
        <w:t>.</w:t>
      </w:r>
    </w:p>
    <w:p w14:paraId="339C34A3" w14:textId="2B02D5BE" w:rsidR="001215D4" w:rsidRPr="00632D81" w:rsidRDefault="001215D4" w:rsidP="009634C5">
      <w:pPr>
        <w:pStyle w:val="Heading3"/>
      </w:pPr>
      <w:bookmarkStart w:id="41" w:name="_Toc109030595"/>
      <w:r w:rsidRPr="00632D81">
        <w:t>What we want from the research community</w:t>
      </w:r>
      <w:bookmarkEnd w:id="41"/>
    </w:p>
    <w:p w14:paraId="2C5D685A" w14:textId="77777777" w:rsidR="00D27149" w:rsidRPr="00D27149" w:rsidRDefault="00D27149" w:rsidP="00D27149">
      <w:pPr>
        <w:rPr>
          <w:rFonts w:asciiTheme="minorHAnsi" w:hAnsiTheme="minorHAnsi" w:cstheme="minorHAnsi"/>
        </w:rPr>
      </w:pPr>
      <w:r w:rsidRPr="00D27149">
        <w:rPr>
          <w:rFonts w:asciiTheme="minorHAnsi" w:hAnsiTheme="minorHAnsi" w:cstheme="minorHAnsi"/>
        </w:rPr>
        <w:t xml:space="preserve">Design and application of frameworks to promote patient and donor engagement in research with a focus on improving patient and donor experience and outcomes. </w:t>
      </w:r>
    </w:p>
    <w:p w14:paraId="16791878" w14:textId="77777777" w:rsidR="00D27149" w:rsidRPr="00D27149" w:rsidRDefault="00D27149" w:rsidP="00D27149">
      <w:pPr>
        <w:pStyle w:val="ListParagraph"/>
        <w:numPr>
          <w:ilvl w:val="0"/>
          <w:numId w:val="7"/>
        </w:numPr>
        <w:rPr>
          <w:rFonts w:asciiTheme="minorHAnsi" w:hAnsiTheme="minorHAnsi" w:cstheme="minorHAnsi"/>
        </w:rPr>
      </w:pPr>
      <w:r w:rsidRPr="00D27149">
        <w:rPr>
          <w:rFonts w:asciiTheme="minorHAnsi" w:hAnsiTheme="minorHAnsi" w:cstheme="minorHAnsi"/>
        </w:rPr>
        <w:t>Improved understanding of how to align blood-related services with community expectations, particularly for Aboriginal and Torres Strait Islander, diverse cultural and older people and communities.</w:t>
      </w:r>
    </w:p>
    <w:p w14:paraId="3EAC69EB" w14:textId="5C95367F" w:rsidR="00D27149" w:rsidRPr="00D27149" w:rsidRDefault="00D27149" w:rsidP="00D27149">
      <w:pPr>
        <w:pStyle w:val="ListParagraph"/>
        <w:numPr>
          <w:ilvl w:val="0"/>
          <w:numId w:val="7"/>
        </w:numPr>
        <w:rPr>
          <w:rFonts w:asciiTheme="minorHAnsi" w:hAnsiTheme="minorHAnsi" w:cstheme="minorHAnsi"/>
        </w:rPr>
      </w:pPr>
      <w:r w:rsidRPr="00D27149">
        <w:rPr>
          <w:rFonts w:asciiTheme="minorHAnsi" w:hAnsiTheme="minorHAnsi" w:cstheme="minorHAnsi"/>
        </w:rPr>
        <w:t>Analysis of different ways of providing blood and blood products to patients, such as home administration of treatments, impact</w:t>
      </w:r>
      <w:r w:rsidR="006D6694">
        <w:rPr>
          <w:rFonts w:asciiTheme="minorHAnsi" w:hAnsiTheme="minorHAnsi" w:cstheme="minorHAnsi"/>
        </w:rPr>
        <w:t xml:space="preserve"> of</w:t>
      </w:r>
      <w:r w:rsidRPr="00D27149">
        <w:rPr>
          <w:rFonts w:asciiTheme="minorHAnsi" w:hAnsiTheme="minorHAnsi" w:cstheme="minorHAnsi"/>
        </w:rPr>
        <w:t xml:space="preserve"> the effectiveness and efficiency of the health system and on patient treatment, outcomes and quality of life.</w:t>
      </w:r>
    </w:p>
    <w:p w14:paraId="0388F4BD" w14:textId="797BDFDE" w:rsidR="00603C1C" w:rsidRPr="006967A2" w:rsidRDefault="00D27149" w:rsidP="006967A2">
      <w:pPr>
        <w:pStyle w:val="ListParagraph"/>
        <w:numPr>
          <w:ilvl w:val="0"/>
          <w:numId w:val="7"/>
        </w:numPr>
        <w:rPr>
          <w:rFonts w:asciiTheme="minorHAnsi" w:hAnsiTheme="minorHAnsi" w:cstheme="minorHAnsi"/>
        </w:rPr>
      </w:pPr>
      <w:r w:rsidRPr="00D27149">
        <w:rPr>
          <w:rFonts w:asciiTheme="minorHAnsi" w:hAnsiTheme="minorHAnsi" w:cstheme="minorHAnsi"/>
        </w:rPr>
        <w:t>Engage with donors to identify and evaluate current models to inform strategies for increasing supply and improving donor experience.</w:t>
      </w:r>
    </w:p>
    <w:p w14:paraId="57225406" w14:textId="5EE48557" w:rsidR="00D27149" w:rsidRPr="009634C5" w:rsidRDefault="00D27149" w:rsidP="00603C1C">
      <w:pPr>
        <w:pStyle w:val="Heading2"/>
      </w:pPr>
      <w:bookmarkStart w:id="42" w:name="_Toc109030596"/>
      <w:r w:rsidRPr="009634C5">
        <w:t>Enabler 3 – Strengthen workforce capability</w:t>
      </w:r>
      <w:bookmarkEnd w:id="42"/>
    </w:p>
    <w:p w14:paraId="35BBBD2C" w14:textId="465C82CD" w:rsidR="000C0C3F" w:rsidRPr="000C0C3F" w:rsidRDefault="000C0C3F" w:rsidP="000C0C3F">
      <w:pPr>
        <w:rPr>
          <w:rFonts w:asciiTheme="minorHAnsi" w:hAnsiTheme="minorHAnsi" w:cstheme="minorHAnsi"/>
        </w:rPr>
      </w:pPr>
      <w:r w:rsidRPr="000C0C3F">
        <w:rPr>
          <w:rFonts w:asciiTheme="minorHAnsi" w:hAnsiTheme="minorHAnsi" w:cstheme="minorHAnsi"/>
        </w:rPr>
        <w:t xml:space="preserve">This represents a new focus for the NBA’s research priorities </w:t>
      </w:r>
      <w:r>
        <w:rPr>
          <w:rFonts w:asciiTheme="minorHAnsi" w:hAnsiTheme="minorHAnsi" w:cstheme="minorHAnsi"/>
        </w:rPr>
        <w:t>after</w:t>
      </w:r>
      <w:r w:rsidRPr="000C0C3F">
        <w:rPr>
          <w:rFonts w:asciiTheme="minorHAnsi" w:hAnsiTheme="minorHAnsi" w:cstheme="minorHAnsi"/>
        </w:rPr>
        <w:t xml:space="preserve"> stakeholders expressed support for strengthening workforce capability to enable the delivery of research priorities.</w:t>
      </w:r>
    </w:p>
    <w:p w14:paraId="5AFE5942" w14:textId="00154AF2" w:rsidR="00D27149" w:rsidRPr="00632D81" w:rsidRDefault="00D27149" w:rsidP="009634C5">
      <w:pPr>
        <w:pStyle w:val="Heading3"/>
      </w:pPr>
      <w:bookmarkStart w:id="43" w:name="_Toc109030597"/>
      <w:r w:rsidRPr="00632D81">
        <w:t>What we are trying to achieve</w:t>
      </w:r>
      <w:r w:rsidR="00DD0499" w:rsidRPr="00DD0499">
        <w:t xml:space="preserve"> </w:t>
      </w:r>
      <w:r w:rsidR="00DD0499">
        <w:t>through further research</w:t>
      </w:r>
      <w:bookmarkEnd w:id="43"/>
    </w:p>
    <w:p w14:paraId="270B47FB" w14:textId="2092A850" w:rsidR="004C31FA" w:rsidRPr="004C31FA" w:rsidRDefault="008438E5" w:rsidP="00D27149">
      <w:pPr>
        <w:rPr>
          <w:rFonts w:asciiTheme="minorHAnsi" w:hAnsiTheme="minorHAnsi" w:cstheme="minorHAnsi"/>
        </w:rPr>
      </w:pPr>
      <w:r>
        <w:rPr>
          <w:rFonts w:asciiTheme="minorHAnsi" w:hAnsiTheme="minorHAnsi" w:cstheme="minorHAnsi"/>
        </w:rPr>
        <w:t>P</w:t>
      </w:r>
      <w:r w:rsidR="004C31FA" w:rsidRPr="004C31FA">
        <w:rPr>
          <w:rFonts w:asciiTheme="minorHAnsi" w:hAnsiTheme="minorHAnsi" w:cstheme="minorHAnsi"/>
        </w:rPr>
        <w:t>romote the development and regular review of clinical education in undergraduate and postgraduate curricula and liaison between accrediting bodies including universities, colleges, societies, workplace, and prevocational trainers to determine and provide core skills required by the workforce.</w:t>
      </w:r>
    </w:p>
    <w:p w14:paraId="776659BC" w14:textId="1F5FDD79" w:rsidR="00D27149" w:rsidRPr="00632D81" w:rsidRDefault="00D27149" w:rsidP="009634C5">
      <w:pPr>
        <w:pStyle w:val="Heading3"/>
      </w:pPr>
      <w:bookmarkStart w:id="44" w:name="_Toc109030598"/>
      <w:r w:rsidRPr="00632D81">
        <w:t>What we want from the research community</w:t>
      </w:r>
      <w:bookmarkEnd w:id="44"/>
    </w:p>
    <w:p w14:paraId="7CA0B73D" w14:textId="7E62F6F8" w:rsidR="00D27149" w:rsidRPr="00D27149" w:rsidRDefault="00C02934" w:rsidP="00D27149">
      <w:pPr>
        <w:rPr>
          <w:rFonts w:asciiTheme="minorHAnsi" w:hAnsiTheme="minorHAnsi" w:cstheme="minorHAnsi"/>
        </w:rPr>
      </w:pPr>
      <w:r>
        <w:rPr>
          <w:rFonts w:asciiTheme="minorHAnsi" w:hAnsiTheme="minorHAnsi" w:cstheme="minorHAnsi"/>
        </w:rPr>
        <w:t xml:space="preserve">As part of the </w:t>
      </w:r>
      <w:proofErr w:type="gramStart"/>
      <w:r>
        <w:rPr>
          <w:rFonts w:asciiTheme="minorHAnsi" w:hAnsiTheme="minorHAnsi" w:cstheme="minorHAnsi"/>
        </w:rPr>
        <w:t>Program</w:t>
      </w:r>
      <w:proofErr w:type="gramEnd"/>
      <w:r>
        <w:rPr>
          <w:rFonts w:asciiTheme="minorHAnsi" w:hAnsiTheme="minorHAnsi" w:cstheme="minorHAnsi"/>
        </w:rPr>
        <w:t xml:space="preserve"> we track how the results of research programs are shared. Under this enabler, we would like to explore how research can d</w:t>
      </w:r>
      <w:r w:rsidR="00D27149" w:rsidRPr="00D27149">
        <w:rPr>
          <w:rFonts w:asciiTheme="minorHAnsi" w:hAnsiTheme="minorHAnsi" w:cstheme="minorHAnsi"/>
        </w:rPr>
        <w:t>evelop and regularly review clinical education and provide core skills required by the workforce.</w:t>
      </w:r>
    </w:p>
    <w:p w14:paraId="3CA28703" w14:textId="77777777" w:rsidR="00D27149" w:rsidRPr="00D27149" w:rsidRDefault="00D27149" w:rsidP="00D27149">
      <w:pPr>
        <w:pStyle w:val="ListParagraph"/>
        <w:numPr>
          <w:ilvl w:val="0"/>
          <w:numId w:val="7"/>
        </w:numPr>
        <w:rPr>
          <w:rFonts w:asciiTheme="minorHAnsi" w:hAnsiTheme="minorHAnsi" w:cstheme="minorHAnsi"/>
        </w:rPr>
      </w:pPr>
      <w:r w:rsidRPr="00D27149">
        <w:rPr>
          <w:rFonts w:asciiTheme="minorHAnsi" w:hAnsiTheme="minorHAnsi" w:cstheme="minorHAnsi"/>
        </w:rPr>
        <w:t>Develop and maintain clinical guidelines to support treatment decisions relating to blood and blood products and alternatives.</w:t>
      </w:r>
    </w:p>
    <w:p w14:paraId="18107CF3" w14:textId="3C82F45A" w:rsidR="00603C1C" w:rsidRPr="006967A2" w:rsidRDefault="00D27149" w:rsidP="006967A2">
      <w:pPr>
        <w:pStyle w:val="ListParagraph"/>
        <w:numPr>
          <w:ilvl w:val="0"/>
          <w:numId w:val="7"/>
        </w:numPr>
        <w:rPr>
          <w:rFonts w:asciiTheme="minorHAnsi" w:hAnsiTheme="minorHAnsi" w:cstheme="minorHAnsi"/>
        </w:rPr>
      </w:pPr>
      <w:r w:rsidRPr="00D27149">
        <w:rPr>
          <w:rFonts w:asciiTheme="minorHAnsi" w:hAnsiTheme="minorHAnsi" w:cstheme="minorHAnsi"/>
        </w:rPr>
        <w:lastRenderedPageBreak/>
        <w:t>Support for the development of training courses, conferences, and education materials for the continuing professional development of the workforce.</w:t>
      </w:r>
    </w:p>
    <w:p w14:paraId="77C77309" w14:textId="3A81B287" w:rsidR="007147F7" w:rsidRPr="00603C1C" w:rsidRDefault="007147F7" w:rsidP="00603C1C">
      <w:pPr>
        <w:pStyle w:val="Heading2"/>
      </w:pPr>
      <w:bookmarkStart w:id="45" w:name="_Toc109030599"/>
      <w:r w:rsidRPr="00603C1C">
        <w:t>Monitoring Plan for 2022-27 Priorities</w:t>
      </w:r>
      <w:bookmarkEnd w:id="45"/>
    </w:p>
    <w:p w14:paraId="227755FD" w14:textId="568E6B41" w:rsidR="00851EB7" w:rsidRDefault="00BB1286" w:rsidP="00BB1286">
      <w:pPr>
        <w:rPr>
          <w:rFonts w:asciiTheme="minorHAnsi" w:hAnsiTheme="minorHAnsi" w:cstheme="minorHAnsi"/>
        </w:rPr>
      </w:pPr>
      <w:r>
        <w:rPr>
          <w:rFonts w:asciiTheme="minorHAnsi" w:hAnsiTheme="minorHAnsi" w:cstheme="minorHAnsi"/>
        </w:rPr>
        <w:t>T</w:t>
      </w:r>
      <w:r w:rsidRPr="00BB1286">
        <w:rPr>
          <w:rFonts w:asciiTheme="minorHAnsi" w:hAnsiTheme="minorHAnsi" w:cstheme="minorHAnsi"/>
        </w:rPr>
        <w:t xml:space="preserve">he NBA </w:t>
      </w:r>
      <w:r>
        <w:rPr>
          <w:rFonts w:asciiTheme="minorHAnsi" w:hAnsiTheme="minorHAnsi" w:cstheme="minorHAnsi"/>
        </w:rPr>
        <w:t>will continue to</w:t>
      </w:r>
      <w:r w:rsidRPr="00BB1286">
        <w:rPr>
          <w:rFonts w:asciiTheme="minorHAnsi" w:hAnsiTheme="minorHAnsi" w:cstheme="minorHAnsi"/>
        </w:rPr>
        <w:t xml:space="preserve"> collect information to </w:t>
      </w:r>
      <w:r>
        <w:rPr>
          <w:rFonts w:asciiTheme="minorHAnsi" w:hAnsiTheme="minorHAnsi" w:cstheme="minorHAnsi"/>
        </w:rPr>
        <w:t>monitor its</w:t>
      </w:r>
      <w:r w:rsidRPr="00BB1286">
        <w:rPr>
          <w:rFonts w:asciiTheme="minorHAnsi" w:hAnsiTheme="minorHAnsi" w:cstheme="minorHAnsi"/>
        </w:rPr>
        <w:t xml:space="preserve"> progress against the 2022-27 Priorities</w:t>
      </w:r>
      <w:r w:rsidR="00851EB7">
        <w:rPr>
          <w:rFonts w:asciiTheme="minorHAnsi" w:hAnsiTheme="minorHAnsi" w:cstheme="minorHAnsi"/>
        </w:rPr>
        <w:t xml:space="preserve"> </w:t>
      </w:r>
      <w:r w:rsidR="00A67B7D">
        <w:rPr>
          <w:rFonts w:asciiTheme="minorHAnsi" w:hAnsiTheme="minorHAnsi" w:cstheme="minorHAnsi"/>
        </w:rPr>
        <w:t xml:space="preserve">through </w:t>
      </w:r>
      <w:r w:rsidR="00851EB7">
        <w:rPr>
          <w:rFonts w:asciiTheme="minorHAnsi" w:hAnsiTheme="minorHAnsi" w:cstheme="minorHAnsi"/>
        </w:rPr>
        <w:t>the management of its National Blood Sector Research and Development Program</w:t>
      </w:r>
      <w:r w:rsidR="00EF3C76">
        <w:rPr>
          <w:rFonts w:asciiTheme="minorHAnsi" w:hAnsiTheme="minorHAnsi" w:cstheme="minorHAnsi"/>
        </w:rPr>
        <w:t>.</w:t>
      </w:r>
    </w:p>
    <w:p w14:paraId="4140A8D3" w14:textId="34A3E805" w:rsidR="00851EB7" w:rsidRPr="00A6023D" w:rsidRDefault="00EF3C76" w:rsidP="00EF3C76">
      <w:pPr>
        <w:rPr>
          <w:rFonts w:asciiTheme="minorHAnsi" w:hAnsiTheme="minorHAnsi" w:cstheme="minorHAnsi"/>
        </w:rPr>
      </w:pPr>
      <w:r w:rsidRPr="00EF3C76">
        <w:rPr>
          <w:rFonts w:asciiTheme="minorHAnsi" w:hAnsiTheme="minorHAnsi" w:cstheme="minorHAnsi"/>
        </w:rPr>
        <w:t xml:space="preserve">In September 2015 the NBA received approval from funding governments to offer two grant rounds under a blood sector research and development pilot. Following success of the pilot, the grant scheme has continued under the </w:t>
      </w:r>
      <w:r w:rsidR="004D4201">
        <w:rPr>
          <w:rFonts w:asciiTheme="minorHAnsi" w:hAnsiTheme="minorHAnsi" w:cstheme="minorHAnsi"/>
        </w:rPr>
        <w:t>Program</w:t>
      </w:r>
      <w:r w:rsidRPr="00EF3C76">
        <w:rPr>
          <w:rFonts w:asciiTheme="minorHAnsi" w:hAnsiTheme="minorHAnsi" w:cstheme="minorHAnsi"/>
        </w:rPr>
        <w:t>.</w:t>
      </w:r>
      <w:r>
        <w:rPr>
          <w:rFonts w:asciiTheme="minorHAnsi" w:hAnsiTheme="minorHAnsi" w:cstheme="minorHAnsi"/>
        </w:rPr>
        <w:t xml:space="preserve"> This</w:t>
      </w:r>
      <w:r w:rsidR="00851EB7" w:rsidRPr="00A6023D">
        <w:rPr>
          <w:rFonts w:asciiTheme="minorHAnsi" w:hAnsiTheme="minorHAnsi" w:cstheme="minorHAnsi"/>
        </w:rPr>
        <w:t xml:space="preserve"> is a small niche </w:t>
      </w:r>
      <w:r>
        <w:rPr>
          <w:rFonts w:asciiTheme="minorHAnsi" w:hAnsiTheme="minorHAnsi" w:cstheme="minorHAnsi"/>
        </w:rPr>
        <w:t>P</w:t>
      </w:r>
      <w:r w:rsidR="00851EB7" w:rsidRPr="00A6023D">
        <w:rPr>
          <w:rFonts w:asciiTheme="minorHAnsi" w:hAnsiTheme="minorHAnsi" w:cstheme="minorHAnsi"/>
        </w:rPr>
        <w:t>rogram, focused on research priorities relating to PB</w:t>
      </w:r>
      <w:r w:rsidR="004D4201">
        <w:rPr>
          <w:rFonts w:asciiTheme="minorHAnsi" w:hAnsiTheme="minorHAnsi" w:cstheme="minorHAnsi"/>
        </w:rPr>
        <w:t>M a</w:t>
      </w:r>
      <w:r w:rsidR="00851EB7" w:rsidRPr="00A6023D">
        <w:rPr>
          <w:rFonts w:asciiTheme="minorHAnsi" w:hAnsiTheme="minorHAnsi" w:cstheme="minorHAnsi"/>
        </w:rPr>
        <w:t>nd the appropriate use of immunoglobulin (Ig). To support the development of best-practice models of management and use of blood and blood-related products and services, the NBA supports research to:</w:t>
      </w:r>
    </w:p>
    <w:p w14:paraId="68997267" w14:textId="77777777" w:rsidR="00851EB7" w:rsidRPr="00A6023D" w:rsidRDefault="00851EB7" w:rsidP="00851EB7">
      <w:pPr>
        <w:pStyle w:val="ListParagraph"/>
        <w:numPr>
          <w:ilvl w:val="0"/>
          <w:numId w:val="15"/>
        </w:numPr>
        <w:rPr>
          <w:rFonts w:asciiTheme="minorHAnsi" w:hAnsiTheme="minorHAnsi" w:cstheme="minorHAnsi"/>
        </w:rPr>
      </w:pPr>
      <w:r w:rsidRPr="00A6023D">
        <w:rPr>
          <w:rFonts w:asciiTheme="minorHAnsi" w:hAnsiTheme="minorHAnsi" w:cstheme="minorHAnsi"/>
        </w:rPr>
        <w:t>enhance the sustainability and affordability of the national supply of blood products, including through increased efficiency and reduced blood product usage and wastage</w:t>
      </w:r>
    </w:p>
    <w:p w14:paraId="61C6CBC2" w14:textId="77777777" w:rsidR="00851EB7" w:rsidRPr="00A6023D" w:rsidRDefault="00851EB7" w:rsidP="00851EB7">
      <w:pPr>
        <w:pStyle w:val="ListParagraph"/>
        <w:numPr>
          <w:ilvl w:val="0"/>
          <w:numId w:val="15"/>
        </w:numPr>
        <w:rPr>
          <w:rFonts w:asciiTheme="minorHAnsi" w:hAnsiTheme="minorHAnsi" w:cstheme="minorHAnsi"/>
        </w:rPr>
      </w:pPr>
      <w:r w:rsidRPr="00A6023D">
        <w:rPr>
          <w:rFonts w:asciiTheme="minorHAnsi" w:hAnsiTheme="minorHAnsi" w:cstheme="minorHAnsi"/>
        </w:rPr>
        <w:t>identify appropriate use and reduce inappropriate use of blood products</w:t>
      </w:r>
    </w:p>
    <w:p w14:paraId="2283B25C" w14:textId="77777777" w:rsidR="00851EB7" w:rsidRPr="00A6023D" w:rsidRDefault="00851EB7" w:rsidP="00851EB7">
      <w:pPr>
        <w:pStyle w:val="ListParagraph"/>
        <w:numPr>
          <w:ilvl w:val="0"/>
          <w:numId w:val="15"/>
        </w:numPr>
        <w:rPr>
          <w:rFonts w:asciiTheme="minorHAnsi" w:hAnsiTheme="minorHAnsi" w:cstheme="minorHAnsi"/>
        </w:rPr>
      </w:pPr>
      <w:r w:rsidRPr="00A6023D">
        <w:rPr>
          <w:rFonts w:asciiTheme="minorHAnsi" w:hAnsiTheme="minorHAnsi" w:cstheme="minorHAnsi"/>
        </w:rPr>
        <w:t>maintain or enhance clinical outcomes for patients.</w:t>
      </w:r>
    </w:p>
    <w:p w14:paraId="7233E0EC" w14:textId="3628ADAC" w:rsidR="0070705C" w:rsidRPr="0070705C" w:rsidRDefault="0070705C" w:rsidP="009634C5">
      <w:pPr>
        <w:pStyle w:val="Heading3"/>
      </w:pPr>
      <w:bookmarkStart w:id="46" w:name="_Toc109030600"/>
      <w:r w:rsidRPr="0070705C">
        <w:t>How we will monitor progress</w:t>
      </w:r>
      <w:bookmarkEnd w:id="46"/>
    </w:p>
    <w:p w14:paraId="40AE1F88" w14:textId="5F4C47E4" w:rsidR="0023581C" w:rsidRDefault="0023581C" w:rsidP="007147F7">
      <w:pPr>
        <w:rPr>
          <w:rFonts w:asciiTheme="minorHAnsi" w:hAnsiTheme="minorHAnsi" w:cstheme="minorHAnsi"/>
        </w:rPr>
      </w:pPr>
      <w:r>
        <w:rPr>
          <w:rFonts w:asciiTheme="minorHAnsi" w:hAnsiTheme="minorHAnsi" w:cstheme="minorHAnsi"/>
        </w:rPr>
        <w:t xml:space="preserve">When applying for a grant under the Program, applicants are required to identify which </w:t>
      </w:r>
      <w:r w:rsidRPr="0023581C">
        <w:rPr>
          <w:rFonts w:asciiTheme="minorHAnsi" w:hAnsiTheme="minorHAnsi" w:cstheme="minorHAnsi"/>
        </w:rPr>
        <w:t xml:space="preserve">Priorities </w:t>
      </w:r>
      <w:r>
        <w:rPr>
          <w:rFonts w:asciiTheme="minorHAnsi" w:hAnsiTheme="minorHAnsi" w:cstheme="minorHAnsi"/>
        </w:rPr>
        <w:t>their</w:t>
      </w:r>
      <w:r w:rsidRPr="0023581C">
        <w:rPr>
          <w:rFonts w:asciiTheme="minorHAnsi" w:hAnsiTheme="minorHAnsi" w:cstheme="minorHAnsi"/>
        </w:rPr>
        <w:t xml:space="preserve"> research best relates to and how this will be tracked throughout </w:t>
      </w:r>
      <w:r>
        <w:rPr>
          <w:rFonts w:asciiTheme="minorHAnsi" w:hAnsiTheme="minorHAnsi" w:cstheme="minorHAnsi"/>
        </w:rPr>
        <w:t>the life of their</w:t>
      </w:r>
      <w:r w:rsidRPr="0023581C">
        <w:rPr>
          <w:rFonts w:asciiTheme="minorHAnsi" w:hAnsiTheme="minorHAnsi" w:cstheme="minorHAnsi"/>
        </w:rPr>
        <w:t xml:space="preserve"> project</w:t>
      </w:r>
      <w:r>
        <w:rPr>
          <w:rFonts w:asciiTheme="minorHAnsi" w:hAnsiTheme="minorHAnsi" w:cstheme="minorHAnsi"/>
        </w:rPr>
        <w:t>.</w:t>
      </w:r>
    </w:p>
    <w:p w14:paraId="1CAAB153" w14:textId="1F8C6388" w:rsidR="007147F7" w:rsidRDefault="00A67B7D" w:rsidP="007147F7">
      <w:pPr>
        <w:rPr>
          <w:rFonts w:asciiTheme="minorHAnsi" w:hAnsiTheme="minorHAnsi" w:cstheme="minorHAnsi"/>
        </w:rPr>
      </w:pPr>
      <w:r>
        <w:rPr>
          <w:rFonts w:asciiTheme="minorHAnsi" w:hAnsiTheme="minorHAnsi" w:cstheme="minorHAnsi"/>
        </w:rPr>
        <w:t>The</w:t>
      </w:r>
      <w:r w:rsidR="00F415AF">
        <w:rPr>
          <w:rFonts w:asciiTheme="minorHAnsi" w:hAnsiTheme="minorHAnsi" w:cstheme="minorHAnsi"/>
        </w:rPr>
        <w:t xml:space="preserve"> NBA</w:t>
      </w:r>
      <w:r w:rsidR="00F415AF" w:rsidRPr="00F415AF">
        <w:rPr>
          <w:rFonts w:asciiTheme="minorHAnsi" w:hAnsiTheme="minorHAnsi" w:cstheme="minorHAnsi"/>
        </w:rPr>
        <w:t xml:space="preserve"> </w:t>
      </w:r>
      <w:r w:rsidR="0023581C">
        <w:rPr>
          <w:rFonts w:asciiTheme="minorHAnsi" w:hAnsiTheme="minorHAnsi" w:cstheme="minorHAnsi"/>
        </w:rPr>
        <w:t xml:space="preserve">then </w:t>
      </w:r>
      <w:r w:rsidR="00F415AF" w:rsidRPr="00F415AF">
        <w:rPr>
          <w:rFonts w:asciiTheme="minorHAnsi" w:hAnsiTheme="minorHAnsi" w:cstheme="minorHAnsi"/>
        </w:rPr>
        <w:t>require</w:t>
      </w:r>
      <w:r w:rsidR="00F415AF">
        <w:rPr>
          <w:rFonts w:asciiTheme="minorHAnsi" w:hAnsiTheme="minorHAnsi" w:cstheme="minorHAnsi"/>
        </w:rPr>
        <w:t>s</w:t>
      </w:r>
      <w:r w:rsidR="00F415AF" w:rsidRPr="00F415AF">
        <w:rPr>
          <w:rFonts w:asciiTheme="minorHAnsi" w:hAnsiTheme="minorHAnsi" w:cstheme="minorHAnsi"/>
        </w:rPr>
        <w:t xml:space="preserve"> grant recipients to </w:t>
      </w:r>
      <w:r w:rsidR="0023581C">
        <w:rPr>
          <w:rFonts w:asciiTheme="minorHAnsi" w:hAnsiTheme="minorHAnsi" w:cstheme="minorHAnsi"/>
        </w:rPr>
        <w:t xml:space="preserve">provide regular </w:t>
      </w:r>
      <w:r w:rsidR="00F415AF" w:rsidRPr="00F415AF">
        <w:rPr>
          <w:rFonts w:asciiTheme="minorHAnsi" w:hAnsiTheme="minorHAnsi" w:cstheme="minorHAnsi"/>
        </w:rPr>
        <w:t>report</w:t>
      </w:r>
      <w:r w:rsidR="0023581C">
        <w:rPr>
          <w:rFonts w:asciiTheme="minorHAnsi" w:hAnsiTheme="minorHAnsi" w:cstheme="minorHAnsi"/>
        </w:rPr>
        <w:t>s on</w:t>
      </w:r>
      <w:r w:rsidR="00F415AF" w:rsidRPr="00F415AF">
        <w:rPr>
          <w:rFonts w:asciiTheme="minorHAnsi" w:hAnsiTheme="minorHAnsi" w:cstheme="minorHAnsi"/>
        </w:rPr>
        <w:t xml:space="preserve"> the progress </w:t>
      </w:r>
      <w:r w:rsidR="0023581C">
        <w:rPr>
          <w:rFonts w:asciiTheme="minorHAnsi" w:hAnsiTheme="minorHAnsi" w:cstheme="minorHAnsi"/>
        </w:rPr>
        <w:t>they</w:t>
      </w:r>
      <w:r w:rsidR="00F415AF" w:rsidRPr="00F415AF">
        <w:rPr>
          <w:rFonts w:asciiTheme="minorHAnsi" w:hAnsiTheme="minorHAnsi" w:cstheme="minorHAnsi"/>
        </w:rPr>
        <w:t xml:space="preserve"> ha</w:t>
      </w:r>
      <w:r w:rsidR="0023581C">
        <w:rPr>
          <w:rFonts w:asciiTheme="minorHAnsi" w:hAnsiTheme="minorHAnsi" w:cstheme="minorHAnsi"/>
        </w:rPr>
        <w:t>ve</w:t>
      </w:r>
      <w:r w:rsidR="00F415AF" w:rsidRPr="00F415AF">
        <w:rPr>
          <w:rFonts w:asciiTheme="minorHAnsi" w:hAnsiTheme="minorHAnsi" w:cstheme="minorHAnsi"/>
        </w:rPr>
        <w:t xml:space="preserve"> made in delivering the</w:t>
      </w:r>
      <w:r w:rsidR="0023581C">
        <w:rPr>
          <w:rFonts w:asciiTheme="minorHAnsi" w:hAnsiTheme="minorHAnsi" w:cstheme="minorHAnsi"/>
        </w:rPr>
        <w:t>ir</w:t>
      </w:r>
      <w:r w:rsidR="00F415AF" w:rsidRPr="00F415AF">
        <w:rPr>
          <w:rFonts w:asciiTheme="minorHAnsi" w:hAnsiTheme="minorHAnsi" w:cstheme="minorHAnsi"/>
        </w:rPr>
        <w:t xml:space="preserve"> research or development project. Th</w:t>
      </w:r>
      <w:r w:rsidR="00F415AF">
        <w:rPr>
          <w:rFonts w:asciiTheme="minorHAnsi" w:hAnsiTheme="minorHAnsi" w:cstheme="minorHAnsi"/>
        </w:rPr>
        <w:t xml:space="preserve">is </w:t>
      </w:r>
      <w:r w:rsidR="00F415AF" w:rsidRPr="00F415AF">
        <w:rPr>
          <w:rFonts w:asciiTheme="minorHAnsi" w:hAnsiTheme="minorHAnsi" w:cstheme="minorHAnsi"/>
        </w:rPr>
        <w:t xml:space="preserve">information </w:t>
      </w:r>
      <w:r w:rsidR="00F415AF">
        <w:rPr>
          <w:rFonts w:asciiTheme="minorHAnsi" w:hAnsiTheme="minorHAnsi" w:cstheme="minorHAnsi"/>
        </w:rPr>
        <w:t>is</w:t>
      </w:r>
      <w:r w:rsidR="00F415AF" w:rsidRPr="00F415AF">
        <w:rPr>
          <w:rFonts w:asciiTheme="minorHAnsi" w:hAnsiTheme="minorHAnsi" w:cstheme="minorHAnsi"/>
        </w:rPr>
        <w:t xml:space="preserve"> collected from grant recipients using a template status report form to promote consistency in the way information is delivered, and to ensure there is clarity in what is expected from the person or organisation filling out the form. </w:t>
      </w:r>
    </w:p>
    <w:p w14:paraId="768C3DAA" w14:textId="2EEC1165" w:rsidR="00B40794" w:rsidRDefault="00B40794" w:rsidP="007147F7">
      <w:pPr>
        <w:rPr>
          <w:rFonts w:asciiTheme="minorHAnsi" w:hAnsiTheme="minorHAnsi" w:cstheme="minorHAnsi"/>
        </w:rPr>
      </w:pPr>
      <w:r>
        <w:rPr>
          <w:rFonts w:asciiTheme="minorHAnsi" w:hAnsiTheme="minorHAnsi" w:cstheme="minorHAnsi"/>
        </w:rPr>
        <w:t xml:space="preserve">This reporting requirement is outlined in the relevant Grant Opportunity </w:t>
      </w:r>
      <w:r w:rsidR="005939D6">
        <w:rPr>
          <w:rFonts w:asciiTheme="minorHAnsi" w:hAnsiTheme="minorHAnsi" w:cstheme="minorHAnsi"/>
        </w:rPr>
        <w:t>G</w:t>
      </w:r>
      <w:r>
        <w:rPr>
          <w:rFonts w:asciiTheme="minorHAnsi" w:hAnsiTheme="minorHAnsi" w:cstheme="minorHAnsi"/>
        </w:rPr>
        <w:t>uidelines for the National Blood Sector Research and Development Program</w:t>
      </w:r>
      <w:r w:rsidR="00ED7EEB">
        <w:rPr>
          <w:rFonts w:asciiTheme="minorHAnsi" w:hAnsiTheme="minorHAnsi" w:cstheme="minorHAnsi"/>
        </w:rPr>
        <w:t xml:space="preserve"> </w:t>
      </w:r>
      <w:r w:rsidR="004A6EFB">
        <w:rPr>
          <w:rFonts w:asciiTheme="minorHAnsi" w:hAnsiTheme="minorHAnsi" w:cstheme="minorHAnsi"/>
        </w:rPr>
        <w:t xml:space="preserve">(Program) </w:t>
      </w:r>
      <w:r w:rsidR="00ED7EEB">
        <w:rPr>
          <w:rFonts w:asciiTheme="minorHAnsi" w:hAnsiTheme="minorHAnsi" w:cstheme="minorHAnsi"/>
        </w:rPr>
        <w:t>which are accessible on the NBA website at</w:t>
      </w:r>
      <w:r w:rsidR="00573AAD">
        <w:rPr>
          <w:rFonts w:asciiTheme="minorHAnsi" w:hAnsiTheme="minorHAnsi" w:cstheme="minorHAnsi"/>
        </w:rPr>
        <w:t xml:space="preserve"> </w:t>
      </w:r>
      <w:hyperlink r:id="rId10" w:history="1">
        <w:r w:rsidR="00D330CD" w:rsidRPr="00DE4D7E">
          <w:rPr>
            <w:rFonts w:asciiTheme="minorHAnsi" w:hAnsiTheme="minorHAnsi" w:cstheme="minorHAnsi"/>
            <w:color w:val="0000FF"/>
            <w:u w:val="single"/>
          </w:rPr>
          <w:t>Research funding program</w:t>
        </w:r>
      </w:hyperlink>
      <w:r w:rsidR="00ED7EEB">
        <w:rPr>
          <w:rFonts w:asciiTheme="minorHAnsi" w:hAnsiTheme="minorHAnsi" w:cstheme="minorHAnsi"/>
        </w:rPr>
        <w:t xml:space="preserve"> when a funding Round is open.</w:t>
      </w:r>
    </w:p>
    <w:p w14:paraId="1FC1CE34" w14:textId="5F4A957B" w:rsidR="00150FFA" w:rsidRDefault="00D62B77" w:rsidP="007147F7">
      <w:pPr>
        <w:rPr>
          <w:rFonts w:asciiTheme="minorHAnsi" w:hAnsiTheme="minorHAnsi" w:cstheme="minorHAnsi"/>
        </w:rPr>
      </w:pPr>
      <w:r>
        <w:rPr>
          <w:rFonts w:asciiTheme="minorHAnsi" w:hAnsiTheme="minorHAnsi" w:cstheme="minorHAnsi"/>
        </w:rPr>
        <w:t xml:space="preserve">The NBA may also utilise this information to </w:t>
      </w:r>
      <w:r w:rsidR="00C05258">
        <w:rPr>
          <w:rFonts w:asciiTheme="minorHAnsi" w:hAnsiTheme="minorHAnsi" w:cstheme="minorHAnsi"/>
        </w:rPr>
        <w:t>provide input into relevant reports and publications as appropriate. For example, this information could be used to inform:</w:t>
      </w:r>
    </w:p>
    <w:p w14:paraId="0F10BABE" w14:textId="301043E5" w:rsidR="001215D4" w:rsidRDefault="00A31EB7" w:rsidP="005609CE">
      <w:pPr>
        <w:pStyle w:val="ListParagraph"/>
        <w:numPr>
          <w:ilvl w:val="0"/>
          <w:numId w:val="13"/>
        </w:numPr>
        <w:rPr>
          <w:rFonts w:asciiTheme="minorHAnsi" w:hAnsiTheme="minorHAnsi" w:cstheme="minorHAnsi"/>
        </w:rPr>
      </w:pPr>
      <w:r>
        <w:rPr>
          <w:rFonts w:asciiTheme="minorHAnsi" w:hAnsiTheme="minorHAnsi" w:cstheme="minorHAnsi"/>
        </w:rPr>
        <w:t>updates and input for NBA corporate documents such as the Annual Report</w:t>
      </w:r>
    </w:p>
    <w:p w14:paraId="3DBC10E3" w14:textId="7357F523" w:rsidR="00AB199D" w:rsidRDefault="0022203A" w:rsidP="00AB199D">
      <w:pPr>
        <w:pStyle w:val="ListParagraph"/>
        <w:numPr>
          <w:ilvl w:val="0"/>
          <w:numId w:val="13"/>
        </w:numPr>
        <w:rPr>
          <w:rFonts w:asciiTheme="minorHAnsi" w:hAnsiTheme="minorHAnsi" w:cstheme="minorHAnsi"/>
        </w:rPr>
      </w:pPr>
      <w:r>
        <w:rPr>
          <w:rFonts w:asciiTheme="minorHAnsi" w:hAnsiTheme="minorHAnsi" w:cstheme="minorHAnsi"/>
        </w:rPr>
        <w:t xml:space="preserve">reporting for internal and external stakeholders on the </w:t>
      </w:r>
      <w:r w:rsidR="00AB199D">
        <w:rPr>
          <w:rFonts w:asciiTheme="minorHAnsi" w:hAnsiTheme="minorHAnsi" w:cstheme="minorHAnsi"/>
        </w:rPr>
        <w:t xml:space="preserve">success of the Program. </w:t>
      </w:r>
    </w:p>
    <w:p w14:paraId="106440E5" w14:textId="1601582E" w:rsidR="004D4201" w:rsidRPr="003A2303" w:rsidRDefault="002657C2" w:rsidP="003A2303">
      <w:pPr>
        <w:rPr>
          <w:rFonts w:asciiTheme="minorHAnsi" w:hAnsiTheme="minorHAnsi" w:cstheme="minorHAnsi"/>
        </w:rPr>
      </w:pPr>
      <w:r>
        <w:rPr>
          <w:rFonts w:asciiTheme="minorHAnsi" w:hAnsiTheme="minorHAnsi" w:cstheme="minorHAnsi"/>
        </w:rPr>
        <w:t>The NBA will</w:t>
      </w:r>
      <w:r w:rsidR="00D171D1">
        <w:rPr>
          <w:rFonts w:asciiTheme="minorHAnsi" w:hAnsiTheme="minorHAnsi" w:cstheme="minorHAnsi"/>
        </w:rPr>
        <w:t xml:space="preserve"> seek and</w:t>
      </w:r>
      <w:r>
        <w:rPr>
          <w:rFonts w:asciiTheme="minorHAnsi" w:hAnsiTheme="minorHAnsi" w:cstheme="minorHAnsi"/>
        </w:rPr>
        <w:t xml:space="preserve"> share</w:t>
      </w:r>
      <w:r w:rsidR="00C02934">
        <w:rPr>
          <w:rFonts w:asciiTheme="minorHAnsi" w:hAnsiTheme="minorHAnsi" w:cstheme="minorHAnsi"/>
        </w:rPr>
        <w:t xml:space="preserve"> </w:t>
      </w:r>
      <w:r w:rsidRPr="003A2303">
        <w:rPr>
          <w:rFonts w:asciiTheme="minorHAnsi" w:hAnsiTheme="minorHAnsi" w:cstheme="minorHAnsi"/>
        </w:rPr>
        <w:t>Program</w:t>
      </w:r>
      <w:r>
        <w:rPr>
          <w:rFonts w:asciiTheme="minorHAnsi" w:hAnsiTheme="minorHAnsi" w:cstheme="minorHAnsi"/>
        </w:rPr>
        <w:t xml:space="preserve"> updates and outcomes with</w:t>
      </w:r>
      <w:r w:rsidRPr="003A2303">
        <w:rPr>
          <w:rFonts w:asciiTheme="minorHAnsi" w:hAnsiTheme="minorHAnsi" w:cstheme="minorHAnsi"/>
        </w:rPr>
        <w:t xml:space="preserve"> </w:t>
      </w:r>
      <w:r>
        <w:rPr>
          <w:rFonts w:asciiTheme="minorHAnsi" w:hAnsiTheme="minorHAnsi" w:cstheme="minorHAnsi"/>
        </w:rPr>
        <w:t>managers of complementary</w:t>
      </w:r>
      <w:r w:rsidRPr="003A2303">
        <w:rPr>
          <w:rFonts w:asciiTheme="minorHAnsi" w:hAnsiTheme="minorHAnsi" w:cstheme="minorHAnsi"/>
        </w:rPr>
        <w:t xml:space="preserve"> research funding </w:t>
      </w:r>
      <w:r>
        <w:rPr>
          <w:rFonts w:asciiTheme="minorHAnsi" w:hAnsiTheme="minorHAnsi" w:cstheme="minorHAnsi"/>
        </w:rPr>
        <w:t xml:space="preserve">streams such as Australian Red Cross Lifeblood Research and Development team and the National </w:t>
      </w:r>
      <w:r w:rsidRPr="003A2303">
        <w:rPr>
          <w:rFonts w:asciiTheme="minorHAnsi" w:hAnsiTheme="minorHAnsi" w:cstheme="minorHAnsi"/>
        </w:rPr>
        <w:t>Health and Medical Research Council (NHMRC)</w:t>
      </w:r>
      <w:r w:rsidR="008C54C8">
        <w:rPr>
          <w:rFonts w:asciiTheme="minorHAnsi" w:hAnsiTheme="minorHAnsi" w:cstheme="minorHAnsi"/>
        </w:rPr>
        <w:t xml:space="preserve"> </w:t>
      </w:r>
      <w:r w:rsidRPr="003A2303">
        <w:rPr>
          <w:rFonts w:asciiTheme="minorHAnsi" w:hAnsiTheme="minorHAnsi" w:cstheme="minorHAnsi"/>
        </w:rPr>
        <w:t>funded Blood Synergy Group based in Monash University</w:t>
      </w:r>
      <w:r w:rsidR="005B4744">
        <w:rPr>
          <w:rFonts w:asciiTheme="minorHAnsi" w:hAnsiTheme="minorHAnsi" w:cstheme="minorHAnsi"/>
        </w:rPr>
        <w:t xml:space="preserve"> to encourage discussion on impacts across the blood sector.</w:t>
      </w:r>
      <w:r w:rsidR="00D171D1">
        <w:rPr>
          <w:rFonts w:asciiTheme="minorHAnsi" w:hAnsiTheme="minorHAnsi" w:cstheme="minorHAnsi"/>
        </w:rPr>
        <w:t xml:space="preserve">  </w:t>
      </w:r>
    </w:p>
    <w:sectPr w:rsidR="004D4201" w:rsidRPr="003A2303" w:rsidSect="00DD0499">
      <w:headerReference w:type="even" r:id="rId11"/>
      <w:headerReference w:type="default" r:id="rId12"/>
      <w:footerReference w:type="default" r:id="rId13"/>
      <w:headerReference w:type="first" r:id="rId14"/>
      <w:pgSz w:w="11906" w:h="16838"/>
      <w:pgMar w:top="1276" w:right="1440" w:bottom="851"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98A6F" w14:textId="77777777" w:rsidR="00BA291D" w:rsidRDefault="00BA291D" w:rsidP="001215D4">
      <w:pPr>
        <w:spacing w:after="0" w:line="240" w:lineRule="auto"/>
      </w:pPr>
      <w:r>
        <w:separator/>
      </w:r>
    </w:p>
  </w:endnote>
  <w:endnote w:type="continuationSeparator" w:id="0">
    <w:p w14:paraId="3B20532B" w14:textId="77777777" w:rsidR="00BA291D" w:rsidRDefault="00BA291D" w:rsidP="0012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546915139"/>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64C69908" w14:textId="09E96942" w:rsidR="001215D4" w:rsidRPr="001215D4" w:rsidRDefault="0005123E">
            <w:pPr>
              <w:pStyle w:val="Footer"/>
              <w:jc w:val="right"/>
              <w:rPr>
                <w:rFonts w:asciiTheme="minorHAnsi" w:hAnsiTheme="minorHAnsi" w:cstheme="minorHAnsi"/>
                <w:sz w:val="20"/>
                <w:szCs w:val="20"/>
              </w:rPr>
            </w:pPr>
            <w:r>
              <w:rPr>
                <w:rFonts w:asciiTheme="minorHAnsi" w:hAnsiTheme="minorHAnsi" w:cstheme="minorHAnsi"/>
                <w:sz w:val="20"/>
                <w:szCs w:val="20"/>
              </w:rPr>
              <w:br/>
            </w:r>
            <w:r w:rsidR="001215D4" w:rsidRPr="001215D4">
              <w:rPr>
                <w:rFonts w:asciiTheme="minorHAnsi" w:hAnsiTheme="minorHAnsi" w:cstheme="minorHAnsi"/>
                <w:sz w:val="20"/>
                <w:szCs w:val="20"/>
              </w:rPr>
              <w:t xml:space="preserve">Page </w:t>
            </w:r>
            <w:r w:rsidR="001215D4" w:rsidRPr="001215D4">
              <w:rPr>
                <w:rFonts w:asciiTheme="minorHAnsi" w:hAnsiTheme="minorHAnsi" w:cstheme="minorHAnsi"/>
                <w:sz w:val="20"/>
                <w:szCs w:val="20"/>
              </w:rPr>
              <w:fldChar w:fldCharType="begin"/>
            </w:r>
            <w:r w:rsidR="001215D4" w:rsidRPr="001215D4">
              <w:rPr>
                <w:rFonts w:asciiTheme="minorHAnsi" w:hAnsiTheme="minorHAnsi" w:cstheme="minorHAnsi"/>
                <w:sz w:val="20"/>
                <w:szCs w:val="20"/>
              </w:rPr>
              <w:instrText xml:space="preserve"> PAGE </w:instrText>
            </w:r>
            <w:r w:rsidR="001215D4" w:rsidRPr="001215D4">
              <w:rPr>
                <w:rFonts w:asciiTheme="minorHAnsi" w:hAnsiTheme="minorHAnsi" w:cstheme="minorHAnsi"/>
                <w:sz w:val="20"/>
                <w:szCs w:val="20"/>
              </w:rPr>
              <w:fldChar w:fldCharType="separate"/>
            </w:r>
            <w:r w:rsidR="001215D4" w:rsidRPr="001215D4">
              <w:rPr>
                <w:rFonts w:asciiTheme="minorHAnsi" w:hAnsiTheme="minorHAnsi" w:cstheme="minorHAnsi"/>
                <w:noProof/>
                <w:sz w:val="20"/>
                <w:szCs w:val="20"/>
              </w:rPr>
              <w:t>2</w:t>
            </w:r>
            <w:r w:rsidR="001215D4" w:rsidRPr="001215D4">
              <w:rPr>
                <w:rFonts w:asciiTheme="minorHAnsi" w:hAnsiTheme="minorHAnsi" w:cstheme="minorHAnsi"/>
                <w:sz w:val="20"/>
                <w:szCs w:val="20"/>
              </w:rPr>
              <w:fldChar w:fldCharType="end"/>
            </w:r>
            <w:r w:rsidR="001215D4" w:rsidRPr="001215D4">
              <w:rPr>
                <w:rFonts w:asciiTheme="minorHAnsi" w:hAnsiTheme="minorHAnsi" w:cstheme="minorHAnsi"/>
                <w:sz w:val="20"/>
                <w:szCs w:val="20"/>
              </w:rPr>
              <w:t xml:space="preserve"> of </w:t>
            </w:r>
            <w:r w:rsidR="001215D4" w:rsidRPr="001215D4">
              <w:rPr>
                <w:rFonts w:asciiTheme="minorHAnsi" w:hAnsiTheme="minorHAnsi" w:cstheme="minorHAnsi"/>
                <w:sz w:val="20"/>
                <w:szCs w:val="20"/>
              </w:rPr>
              <w:fldChar w:fldCharType="begin"/>
            </w:r>
            <w:r w:rsidR="001215D4" w:rsidRPr="001215D4">
              <w:rPr>
                <w:rFonts w:asciiTheme="minorHAnsi" w:hAnsiTheme="minorHAnsi" w:cstheme="minorHAnsi"/>
                <w:sz w:val="20"/>
                <w:szCs w:val="20"/>
              </w:rPr>
              <w:instrText xml:space="preserve"> NUMPAGES  </w:instrText>
            </w:r>
            <w:r w:rsidR="001215D4" w:rsidRPr="001215D4">
              <w:rPr>
                <w:rFonts w:asciiTheme="minorHAnsi" w:hAnsiTheme="minorHAnsi" w:cstheme="minorHAnsi"/>
                <w:sz w:val="20"/>
                <w:szCs w:val="20"/>
              </w:rPr>
              <w:fldChar w:fldCharType="separate"/>
            </w:r>
            <w:r w:rsidR="001215D4" w:rsidRPr="001215D4">
              <w:rPr>
                <w:rFonts w:asciiTheme="minorHAnsi" w:hAnsiTheme="minorHAnsi" w:cstheme="minorHAnsi"/>
                <w:noProof/>
                <w:sz w:val="20"/>
                <w:szCs w:val="20"/>
              </w:rPr>
              <w:t>2</w:t>
            </w:r>
            <w:r w:rsidR="001215D4" w:rsidRPr="001215D4">
              <w:rPr>
                <w:rFonts w:asciiTheme="minorHAnsi" w:hAnsiTheme="minorHAnsi" w:cstheme="minorHAnsi"/>
                <w:sz w:val="20"/>
                <w:szCs w:val="20"/>
              </w:rPr>
              <w:fldChar w:fldCharType="end"/>
            </w:r>
          </w:p>
        </w:sdtContent>
      </w:sdt>
    </w:sdtContent>
  </w:sdt>
  <w:p w14:paraId="19552B8C" w14:textId="77777777" w:rsidR="001215D4" w:rsidRPr="001215D4" w:rsidRDefault="001215D4">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C23C" w14:textId="77777777" w:rsidR="00BA291D" w:rsidRDefault="00BA291D" w:rsidP="001215D4">
      <w:pPr>
        <w:spacing w:after="0" w:line="240" w:lineRule="auto"/>
      </w:pPr>
      <w:r>
        <w:separator/>
      </w:r>
    </w:p>
  </w:footnote>
  <w:footnote w:type="continuationSeparator" w:id="0">
    <w:p w14:paraId="674B35E7" w14:textId="77777777" w:rsidR="00BA291D" w:rsidRDefault="00BA291D" w:rsidP="001215D4">
      <w:pPr>
        <w:spacing w:after="0" w:line="240" w:lineRule="auto"/>
      </w:pPr>
      <w:r>
        <w:continuationSeparator/>
      </w:r>
    </w:p>
  </w:footnote>
  <w:footnote w:id="1">
    <w:p w14:paraId="79DD55E2" w14:textId="4AEB3DE9" w:rsidR="00DD0499" w:rsidRDefault="00DD0499">
      <w:pPr>
        <w:pStyle w:val="FootnoteText"/>
      </w:pPr>
      <w:r w:rsidRPr="00DD0499">
        <w:rPr>
          <w:rStyle w:val="FootnoteReference"/>
          <w:rFonts w:asciiTheme="minorHAnsi" w:hAnsiTheme="minorHAnsi" w:cstheme="minorHAnsi"/>
        </w:rPr>
        <w:footnoteRef/>
      </w:r>
      <w:r w:rsidRPr="00DD0499">
        <w:rPr>
          <w:rFonts w:asciiTheme="minorHAnsi" w:hAnsiTheme="minorHAnsi" w:cstheme="minorHAnsi"/>
        </w:rPr>
        <w:t xml:space="preserve"> National Blood Authority (NBA) (2010). Technical report on patient blood management in critical bleeding/massive transfusion: Volume 1 – Review of the evidence and evidence-based recommendations for clinical practice. NBA, Canberra, Australia.</w:t>
      </w:r>
    </w:p>
  </w:footnote>
  <w:footnote w:id="2">
    <w:p w14:paraId="7A8B9498" w14:textId="77777777" w:rsidR="006B7A3B" w:rsidRPr="00D050A7" w:rsidRDefault="006B7A3B" w:rsidP="006B7A3B">
      <w:pPr>
        <w:pStyle w:val="FootnoteText"/>
        <w:rPr>
          <w:rFonts w:asciiTheme="minorHAnsi" w:hAnsiTheme="minorHAnsi" w:cstheme="minorHAnsi"/>
        </w:rPr>
      </w:pPr>
      <w:r w:rsidRPr="006967A2">
        <w:rPr>
          <w:rStyle w:val="FootnoteReference"/>
          <w:rFonts w:asciiTheme="minorHAnsi" w:hAnsiTheme="minorHAnsi" w:cstheme="minorHAnsi"/>
        </w:rPr>
        <w:footnoteRef/>
      </w:r>
      <w:r w:rsidRPr="006967A2">
        <w:rPr>
          <w:rFonts w:asciiTheme="minorHAnsi" w:hAnsiTheme="minorHAnsi" w:cstheme="minorHAnsi"/>
        </w:rPr>
        <w:t xml:space="preserve"> Australian Red Cross Lifeblood. (2021). Our research program. Retrieved from: </w:t>
      </w:r>
      <w:hyperlink r:id="rId1" w:history="1">
        <w:r w:rsidRPr="006967A2">
          <w:rPr>
            <w:rStyle w:val="Hyperlink"/>
            <w:rFonts w:asciiTheme="minorHAnsi" w:hAnsiTheme="minorHAnsi" w:cstheme="minorHAnsi"/>
          </w:rPr>
          <w:t>donateblood.com.au/research/our-research-program</w:t>
        </w:r>
      </w:hyperlink>
    </w:p>
  </w:footnote>
  <w:footnote w:id="3">
    <w:p w14:paraId="17767CCF" w14:textId="59E1EDC1" w:rsidR="0025108C" w:rsidRPr="00C67C4A" w:rsidRDefault="0025108C">
      <w:pPr>
        <w:pStyle w:val="FootnoteText"/>
        <w:rPr>
          <w:rFonts w:asciiTheme="minorHAnsi" w:hAnsiTheme="minorHAnsi" w:cstheme="minorHAnsi"/>
        </w:rPr>
      </w:pPr>
      <w:r w:rsidRPr="00C67C4A">
        <w:rPr>
          <w:rStyle w:val="FootnoteReference"/>
          <w:rFonts w:asciiTheme="minorHAnsi" w:hAnsiTheme="minorHAnsi" w:cstheme="minorHAnsi"/>
        </w:rPr>
        <w:footnoteRef/>
      </w:r>
      <w:r w:rsidRPr="00C67C4A">
        <w:rPr>
          <w:rFonts w:asciiTheme="minorHAnsi" w:hAnsiTheme="minorHAnsi" w:cstheme="minorHAnsi"/>
        </w:rPr>
        <w:t xml:space="preserve"> </w:t>
      </w:r>
      <w:r w:rsidR="006C1CDE">
        <w:rPr>
          <w:rFonts w:asciiTheme="minorHAnsi" w:hAnsiTheme="minorHAnsi" w:cstheme="minorHAnsi"/>
        </w:rPr>
        <w:t xml:space="preserve">Actions 7.07 and 7.08 of Standard 7 – Blood Management, </w:t>
      </w:r>
      <w:r>
        <w:rPr>
          <w:rFonts w:asciiTheme="minorHAnsi" w:hAnsiTheme="minorHAnsi" w:cstheme="minorHAnsi"/>
        </w:rPr>
        <w:t>National Safety and Quality Health Service (NSQHS) Standards</w:t>
      </w:r>
      <w:r w:rsidR="006C1CDE">
        <w:rPr>
          <w:rFonts w:asciiTheme="minorHAnsi" w:hAnsiTheme="minorHAnsi" w:cstheme="minorHAnsi"/>
        </w:rPr>
        <w:t>, Second Edition – 2021</w:t>
      </w:r>
      <w:r w:rsidR="006C1CDE" w:rsidRPr="006C1CDE">
        <w:rPr>
          <w:rFonts w:asciiTheme="minorHAnsi" w:hAnsiTheme="minorHAnsi" w:cstheme="minorHAnsi"/>
        </w:rPr>
        <w:t xml:space="preserve">. </w:t>
      </w:r>
      <w:hyperlink r:id="rId2" w:history="1">
        <w:r w:rsidR="006C1CDE">
          <w:rPr>
            <w:rStyle w:val="Hyperlink"/>
            <w:rFonts w:asciiTheme="minorHAnsi" w:hAnsiTheme="minorHAnsi" w:cstheme="minorHAnsi"/>
          </w:rPr>
          <w:t>https://www.safetyandquality.gov.au/standards/nsqhs-standards/blood-management-standard</w:t>
        </w:r>
      </w:hyperlink>
      <w:r w:rsidR="006C1C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59D6" w14:textId="76458660" w:rsidR="00AC0FDB" w:rsidRDefault="00AC0FDB">
    <w:pPr>
      <w:pStyle w:val="Header"/>
    </w:pPr>
    <w:r>
      <w:rPr>
        <w:noProof/>
      </w:rPr>
      <mc:AlternateContent>
        <mc:Choice Requires="wps">
          <w:drawing>
            <wp:anchor distT="0" distB="0" distL="0" distR="0" simplePos="0" relativeHeight="251659264" behindDoc="0" locked="0" layoutInCell="1" allowOverlap="1" wp14:anchorId="64410AEE" wp14:editId="3218FBE7">
              <wp:simplePos x="635" y="635"/>
              <wp:positionH relativeFrom="column">
                <wp:align>center</wp:align>
              </wp:positionH>
              <wp:positionV relativeFrom="paragraph">
                <wp:posOffset>635</wp:posOffset>
              </wp:positionV>
              <wp:extent cx="443865" cy="443865"/>
              <wp:effectExtent l="0" t="0" r="635" b="190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AEA42" w14:textId="17999FF9" w:rsidR="00AC0FDB" w:rsidRPr="00AC0FDB" w:rsidRDefault="00AC0FDB">
                          <w:pPr>
                            <w:rPr>
                              <w:rFonts w:ascii="Calibri" w:eastAsia="Calibri" w:hAnsi="Calibri" w:cs="Calibri"/>
                              <w:color w:val="FF0000"/>
                              <w:sz w:val="24"/>
                              <w:szCs w:val="24"/>
                            </w:rPr>
                          </w:pPr>
                          <w:r w:rsidRPr="00AC0FDB">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10AEE"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1AEA42" w14:textId="17999FF9" w:rsidR="00AC0FDB" w:rsidRPr="00AC0FDB" w:rsidRDefault="00AC0FDB">
                    <w:pPr>
                      <w:rPr>
                        <w:rFonts w:ascii="Calibri" w:eastAsia="Calibri" w:hAnsi="Calibri" w:cs="Calibri"/>
                        <w:color w:val="FF0000"/>
                        <w:sz w:val="24"/>
                        <w:szCs w:val="24"/>
                      </w:rPr>
                    </w:pPr>
                    <w:r w:rsidRPr="00AC0FDB">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9793" w14:textId="12A51629" w:rsidR="00AC0FDB" w:rsidRDefault="00AC0FDB">
    <w:pPr>
      <w:pStyle w:val="Header"/>
    </w:pPr>
    <w:r>
      <w:rPr>
        <w:noProof/>
      </w:rPr>
      <mc:AlternateContent>
        <mc:Choice Requires="wps">
          <w:drawing>
            <wp:anchor distT="0" distB="0" distL="0" distR="0" simplePos="0" relativeHeight="251660288" behindDoc="0" locked="0" layoutInCell="1" allowOverlap="1" wp14:anchorId="624FE295" wp14:editId="1D59212A">
              <wp:simplePos x="914400" y="449580"/>
              <wp:positionH relativeFrom="column">
                <wp:align>center</wp:align>
              </wp:positionH>
              <wp:positionV relativeFrom="paragraph">
                <wp:posOffset>635</wp:posOffset>
              </wp:positionV>
              <wp:extent cx="443865" cy="443865"/>
              <wp:effectExtent l="0" t="0" r="635" b="190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AB481" w14:textId="1E8BAC7B" w:rsidR="00AC0FDB" w:rsidRPr="00AC0FDB" w:rsidRDefault="00AC0FDB">
                          <w:pPr>
                            <w:rPr>
                              <w:rFonts w:ascii="Calibri" w:eastAsia="Calibri" w:hAnsi="Calibri" w:cs="Calibri"/>
                              <w:color w:val="FF0000"/>
                              <w:sz w:val="24"/>
                              <w:szCs w:val="24"/>
                            </w:rPr>
                          </w:pPr>
                          <w:r w:rsidRPr="00AC0FDB">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4FE295"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F1AB481" w14:textId="1E8BAC7B" w:rsidR="00AC0FDB" w:rsidRPr="00AC0FDB" w:rsidRDefault="00AC0FDB">
                    <w:pPr>
                      <w:rPr>
                        <w:rFonts w:ascii="Calibri" w:eastAsia="Calibri" w:hAnsi="Calibri" w:cs="Calibri"/>
                        <w:color w:val="FF0000"/>
                        <w:sz w:val="24"/>
                        <w:szCs w:val="24"/>
                      </w:rPr>
                    </w:pPr>
                    <w:r w:rsidRPr="00AC0FDB">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EAA7" w14:textId="16CFC5D5" w:rsidR="00AC0FDB" w:rsidRDefault="00AC0FDB">
    <w:pPr>
      <w:pStyle w:val="Header"/>
    </w:pPr>
    <w:r>
      <w:rPr>
        <w:noProof/>
      </w:rPr>
      <mc:AlternateContent>
        <mc:Choice Requires="wps">
          <w:drawing>
            <wp:anchor distT="0" distB="0" distL="0" distR="0" simplePos="0" relativeHeight="251658240" behindDoc="0" locked="0" layoutInCell="1" allowOverlap="1" wp14:anchorId="3BE53028" wp14:editId="0DE630B1">
              <wp:simplePos x="635" y="635"/>
              <wp:positionH relativeFrom="column">
                <wp:align>center</wp:align>
              </wp:positionH>
              <wp:positionV relativeFrom="paragraph">
                <wp:posOffset>635</wp:posOffset>
              </wp:positionV>
              <wp:extent cx="443865" cy="443865"/>
              <wp:effectExtent l="0" t="0" r="635" b="190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C83B0" w14:textId="4814DAF7" w:rsidR="00AC0FDB" w:rsidRPr="00AC0FDB" w:rsidRDefault="00AC0FDB">
                          <w:pPr>
                            <w:rPr>
                              <w:rFonts w:ascii="Calibri" w:eastAsia="Calibri" w:hAnsi="Calibri" w:cs="Calibri"/>
                              <w:color w:val="FF0000"/>
                              <w:sz w:val="24"/>
                              <w:szCs w:val="24"/>
                            </w:rPr>
                          </w:pPr>
                          <w:r w:rsidRPr="00AC0FDB">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E53028"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1BC83B0" w14:textId="4814DAF7" w:rsidR="00AC0FDB" w:rsidRPr="00AC0FDB" w:rsidRDefault="00AC0FDB">
                    <w:pPr>
                      <w:rPr>
                        <w:rFonts w:ascii="Calibri" w:eastAsia="Calibri" w:hAnsi="Calibri" w:cs="Calibri"/>
                        <w:color w:val="FF0000"/>
                        <w:sz w:val="24"/>
                        <w:szCs w:val="24"/>
                      </w:rPr>
                    </w:pPr>
                    <w:r w:rsidRPr="00AC0FDB">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691"/>
    <w:multiLevelType w:val="hybridMultilevel"/>
    <w:tmpl w:val="1BDAFF74"/>
    <w:lvl w:ilvl="0" w:tplc="284E9C46">
      <w:start w:val="1"/>
      <w:numFmt w:val="bullet"/>
      <w:lvlText w:val=""/>
      <w:lvlJc w:val="left"/>
      <w:pPr>
        <w:ind w:left="720" w:hanging="360"/>
      </w:pPr>
      <w:rPr>
        <w:rFonts w:ascii="Wingdings" w:hAnsi="Wingdings" w:hint="default"/>
        <w:color w:val="31849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C5AE1"/>
    <w:multiLevelType w:val="hybridMultilevel"/>
    <w:tmpl w:val="7FECE2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B42E9"/>
    <w:multiLevelType w:val="hybridMultilevel"/>
    <w:tmpl w:val="6E8EA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560DD"/>
    <w:multiLevelType w:val="hybridMultilevel"/>
    <w:tmpl w:val="8D14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4601E"/>
    <w:multiLevelType w:val="hybridMultilevel"/>
    <w:tmpl w:val="2F507D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508E2"/>
    <w:multiLevelType w:val="hybridMultilevel"/>
    <w:tmpl w:val="CF3A8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84C27"/>
    <w:multiLevelType w:val="hybridMultilevel"/>
    <w:tmpl w:val="4E00A9D2"/>
    <w:lvl w:ilvl="0" w:tplc="0C090001">
      <w:start w:val="1"/>
      <w:numFmt w:val="bullet"/>
      <w:lvlText w:val=""/>
      <w:lvlJc w:val="left"/>
      <w:pPr>
        <w:ind w:left="995" w:hanging="360"/>
      </w:pPr>
      <w:rPr>
        <w:rFonts w:ascii="Symbol" w:hAnsi="Symbol" w:hint="default"/>
      </w:rPr>
    </w:lvl>
    <w:lvl w:ilvl="1" w:tplc="0C090003">
      <w:start w:val="1"/>
      <w:numFmt w:val="bullet"/>
      <w:lvlText w:val="o"/>
      <w:lvlJc w:val="left"/>
      <w:pPr>
        <w:ind w:left="1715" w:hanging="360"/>
      </w:pPr>
      <w:rPr>
        <w:rFonts w:ascii="Courier New" w:hAnsi="Courier New" w:cs="Courier New" w:hint="default"/>
      </w:rPr>
    </w:lvl>
    <w:lvl w:ilvl="2" w:tplc="0C090005" w:tentative="1">
      <w:start w:val="1"/>
      <w:numFmt w:val="bullet"/>
      <w:lvlText w:val=""/>
      <w:lvlJc w:val="left"/>
      <w:pPr>
        <w:ind w:left="2435" w:hanging="360"/>
      </w:pPr>
      <w:rPr>
        <w:rFonts w:ascii="Wingdings" w:hAnsi="Wingdings" w:hint="default"/>
      </w:rPr>
    </w:lvl>
    <w:lvl w:ilvl="3" w:tplc="0C090001" w:tentative="1">
      <w:start w:val="1"/>
      <w:numFmt w:val="bullet"/>
      <w:lvlText w:val=""/>
      <w:lvlJc w:val="left"/>
      <w:pPr>
        <w:ind w:left="3155" w:hanging="360"/>
      </w:pPr>
      <w:rPr>
        <w:rFonts w:ascii="Symbol" w:hAnsi="Symbol" w:hint="default"/>
      </w:rPr>
    </w:lvl>
    <w:lvl w:ilvl="4" w:tplc="0C090003" w:tentative="1">
      <w:start w:val="1"/>
      <w:numFmt w:val="bullet"/>
      <w:lvlText w:val="o"/>
      <w:lvlJc w:val="left"/>
      <w:pPr>
        <w:ind w:left="3875" w:hanging="360"/>
      </w:pPr>
      <w:rPr>
        <w:rFonts w:ascii="Courier New" w:hAnsi="Courier New" w:cs="Courier New" w:hint="default"/>
      </w:rPr>
    </w:lvl>
    <w:lvl w:ilvl="5" w:tplc="0C090005" w:tentative="1">
      <w:start w:val="1"/>
      <w:numFmt w:val="bullet"/>
      <w:lvlText w:val=""/>
      <w:lvlJc w:val="left"/>
      <w:pPr>
        <w:ind w:left="4595" w:hanging="360"/>
      </w:pPr>
      <w:rPr>
        <w:rFonts w:ascii="Wingdings" w:hAnsi="Wingdings" w:hint="default"/>
      </w:rPr>
    </w:lvl>
    <w:lvl w:ilvl="6" w:tplc="0C090001" w:tentative="1">
      <w:start w:val="1"/>
      <w:numFmt w:val="bullet"/>
      <w:lvlText w:val=""/>
      <w:lvlJc w:val="left"/>
      <w:pPr>
        <w:ind w:left="5315" w:hanging="360"/>
      </w:pPr>
      <w:rPr>
        <w:rFonts w:ascii="Symbol" w:hAnsi="Symbol" w:hint="default"/>
      </w:rPr>
    </w:lvl>
    <w:lvl w:ilvl="7" w:tplc="0C090003" w:tentative="1">
      <w:start w:val="1"/>
      <w:numFmt w:val="bullet"/>
      <w:lvlText w:val="o"/>
      <w:lvlJc w:val="left"/>
      <w:pPr>
        <w:ind w:left="6035" w:hanging="360"/>
      </w:pPr>
      <w:rPr>
        <w:rFonts w:ascii="Courier New" w:hAnsi="Courier New" w:cs="Courier New" w:hint="default"/>
      </w:rPr>
    </w:lvl>
    <w:lvl w:ilvl="8" w:tplc="0C090005" w:tentative="1">
      <w:start w:val="1"/>
      <w:numFmt w:val="bullet"/>
      <w:lvlText w:val=""/>
      <w:lvlJc w:val="left"/>
      <w:pPr>
        <w:ind w:left="6755" w:hanging="360"/>
      </w:pPr>
      <w:rPr>
        <w:rFonts w:ascii="Wingdings" w:hAnsi="Wingdings" w:hint="default"/>
      </w:rPr>
    </w:lvl>
  </w:abstractNum>
  <w:abstractNum w:abstractNumId="7" w15:restartNumberingAfterBreak="0">
    <w:nsid w:val="34EE584E"/>
    <w:multiLevelType w:val="multilevel"/>
    <w:tmpl w:val="1C2C0EA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68"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6843445"/>
    <w:multiLevelType w:val="multilevel"/>
    <w:tmpl w:val="F0E060C8"/>
    <w:lvl w:ilvl="0">
      <w:start w:val="1"/>
      <w:numFmt w:val="bullet"/>
      <w:pStyle w:val="1Dot-point"/>
      <w:lvlText w:val=""/>
      <w:lvlJc w:val="left"/>
      <w:pPr>
        <w:ind w:left="928" w:hanging="360"/>
      </w:pPr>
      <w:rPr>
        <w:rFonts w:ascii="Symbol" w:hAnsi="Symbol" w:hint="default"/>
        <w:b/>
        <w:i w:val="0"/>
        <w:color w:val="auto"/>
        <w:sz w:val="20"/>
      </w:rPr>
    </w:lvl>
    <w:lvl w:ilvl="1">
      <w:start w:val="1"/>
      <w:numFmt w:val="bullet"/>
      <w:lvlText w:val="o"/>
      <w:lvlJc w:val="left"/>
      <w:pPr>
        <w:ind w:left="1191" w:hanging="56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5444AE"/>
    <w:multiLevelType w:val="hybridMultilevel"/>
    <w:tmpl w:val="2654B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156E1A"/>
    <w:multiLevelType w:val="hybridMultilevel"/>
    <w:tmpl w:val="368E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050BC8"/>
    <w:multiLevelType w:val="multilevel"/>
    <w:tmpl w:val="4368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C0F58"/>
    <w:multiLevelType w:val="hybridMultilevel"/>
    <w:tmpl w:val="CC38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658A5"/>
    <w:multiLevelType w:val="hybridMultilevel"/>
    <w:tmpl w:val="85F69F64"/>
    <w:lvl w:ilvl="0" w:tplc="32706C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283144">
    <w:abstractNumId w:val="7"/>
  </w:num>
  <w:num w:numId="2" w16cid:durableId="786238068">
    <w:abstractNumId w:val="13"/>
  </w:num>
  <w:num w:numId="3" w16cid:durableId="383259734">
    <w:abstractNumId w:val="0"/>
  </w:num>
  <w:num w:numId="4" w16cid:durableId="503323743">
    <w:abstractNumId w:val="3"/>
  </w:num>
  <w:num w:numId="5" w16cid:durableId="620844072">
    <w:abstractNumId w:val="2"/>
  </w:num>
  <w:num w:numId="6" w16cid:durableId="187257456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890763">
    <w:abstractNumId w:val="12"/>
  </w:num>
  <w:num w:numId="8" w16cid:durableId="1266310280">
    <w:abstractNumId w:val="6"/>
  </w:num>
  <w:num w:numId="9" w16cid:durableId="1900091145">
    <w:abstractNumId w:val="8"/>
  </w:num>
  <w:num w:numId="10" w16cid:durableId="1173032797">
    <w:abstractNumId w:val="5"/>
  </w:num>
  <w:num w:numId="11" w16cid:durableId="1247154202">
    <w:abstractNumId w:val="1"/>
  </w:num>
  <w:num w:numId="12" w16cid:durableId="1175457971">
    <w:abstractNumId w:val="4"/>
  </w:num>
  <w:num w:numId="13" w16cid:durableId="772089596">
    <w:abstractNumId w:val="9"/>
  </w:num>
  <w:num w:numId="14" w16cid:durableId="1119643699">
    <w:abstractNumId w:val="11"/>
  </w:num>
  <w:num w:numId="15" w16cid:durableId="592015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11"/>
    <w:rsid w:val="000008EA"/>
    <w:rsid w:val="00003F82"/>
    <w:rsid w:val="00012242"/>
    <w:rsid w:val="00013FE9"/>
    <w:rsid w:val="00020E72"/>
    <w:rsid w:val="00030B4A"/>
    <w:rsid w:val="000332DA"/>
    <w:rsid w:val="00050FE9"/>
    <w:rsid w:val="0005123E"/>
    <w:rsid w:val="00082134"/>
    <w:rsid w:val="000B4531"/>
    <w:rsid w:val="000C0C3F"/>
    <w:rsid w:val="000D3F1B"/>
    <w:rsid w:val="000E45D5"/>
    <w:rsid w:val="00110478"/>
    <w:rsid w:val="00113833"/>
    <w:rsid w:val="001215D4"/>
    <w:rsid w:val="00150FFA"/>
    <w:rsid w:val="00175932"/>
    <w:rsid w:val="00177A40"/>
    <w:rsid w:val="00183641"/>
    <w:rsid w:val="001A104F"/>
    <w:rsid w:val="001A1219"/>
    <w:rsid w:val="001A535A"/>
    <w:rsid w:val="001C27D6"/>
    <w:rsid w:val="001C77BA"/>
    <w:rsid w:val="00203034"/>
    <w:rsid w:val="002111C2"/>
    <w:rsid w:val="00216707"/>
    <w:rsid w:val="00217769"/>
    <w:rsid w:val="0022003C"/>
    <w:rsid w:val="0022203A"/>
    <w:rsid w:val="00226211"/>
    <w:rsid w:val="00232968"/>
    <w:rsid w:val="0023581C"/>
    <w:rsid w:val="0025108C"/>
    <w:rsid w:val="002527AE"/>
    <w:rsid w:val="00257E85"/>
    <w:rsid w:val="002635A9"/>
    <w:rsid w:val="002640D9"/>
    <w:rsid w:val="002657C2"/>
    <w:rsid w:val="0027070D"/>
    <w:rsid w:val="00296B60"/>
    <w:rsid w:val="002974D2"/>
    <w:rsid w:val="002A3244"/>
    <w:rsid w:val="002A73C8"/>
    <w:rsid w:val="002B2A6C"/>
    <w:rsid w:val="002B4456"/>
    <w:rsid w:val="002C64DF"/>
    <w:rsid w:val="002D198A"/>
    <w:rsid w:val="00306215"/>
    <w:rsid w:val="00310256"/>
    <w:rsid w:val="00317540"/>
    <w:rsid w:val="0034191A"/>
    <w:rsid w:val="0039204E"/>
    <w:rsid w:val="003959C5"/>
    <w:rsid w:val="0039628C"/>
    <w:rsid w:val="00396301"/>
    <w:rsid w:val="003A2303"/>
    <w:rsid w:val="003B3389"/>
    <w:rsid w:val="003C5AB0"/>
    <w:rsid w:val="003D08AF"/>
    <w:rsid w:val="003D711D"/>
    <w:rsid w:val="00407813"/>
    <w:rsid w:val="00411611"/>
    <w:rsid w:val="004136C9"/>
    <w:rsid w:val="00414EA6"/>
    <w:rsid w:val="00463496"/>
    <w:rsid w:val="004779BC"/>
    <w:rsid w:val="00481B6B"/>
    <w:rsid w:val="004A6EFB"/>
    <w:rsid w:val="004C1F87"/>
    <w:rsid w:val="004C31FA"/>
    <w:rsid w:val="004C32CB"/>
    <w:rsid w:val="004C33AA"/>
    <w:rsid w:val="004C619A"/>
    <w:rsid w:val="004D30E1"/>
    <w:rsid w:val="004D4201"/>
    <w:rsid w:val="004E30FB"/>
    <w:rsid w:val="005047F6"/>
    <w:rsid w:val="00520542"/>
    <w:rsid w:val="00540037"/>
    <w:rsid w:val="005515C9"/>
    <w:rsid w:val="005609CE"/>
    <w:rsid w:val="00561117"/>
    <w:rsid w:val="00573AAD"/>
    <w:rsid w:val="00583A6D"/>
    <w:rsid w:val="005939D6"/>
    <w:rsid w:val="005A0584"/>
    <w:rsid w:val="005B25A2"/>
    <w:rsid w:val="005B4744"/>
    <w:rsid w:val="005B6E13"/>
    <w:rsid w:val="005C6F92"/>
    <w:rsid w:val="005D0814"/>
    <w:rsid w:val="005D7A53"/>
    <w:rsid w:val="005F660D"/>
    <w:rsid w:val="00600DCB"/>
    <w:rsid w:val="00603C1C"/>
    <w:rsid w:val="00607B24"/>
    <w:rsid w:val="00632D81"/>
    <w:rsid w:val="00636251"/>
    <w:rsid w:val="00647934"/>
    <w:rsid w:val="00671733"/>
    <w:rsid w:val="00686B86"/>
    <w:rsid w:val="006967A2"/>
    <w:rsid w:val="006A3DC5"/>
    <w:rsid w:val="006B1BB5"/>
    <w:rsid w:val="006B7A3B"/>
    <w:rsid w:val="006C1CDE"/>
    <w:rsid w:val="006D4822"/>
    <w:rsid w:val="006D6694"/>
    <w:rsid w:val="006F3490"/>
    <w:rsid w:val="00704F30"/>
    <w:rsid w:val="0070705C"/>
    <w:rsid w:val="007147F7"/>
    <w:rsid w:val="007270BA"/>
    <w:rsid w:val="0073476A"/>
    <w:rsid w:val="0073578C"/>
    <w:rsid w:val="00737A8F"/>
    <w:rsid w:val="00754B33"/>
    <w:rsid w:val="00762E63"/>
    <w:rsid w:val="00771B21"/>
    <w:rsid w:val="007863A7"/>
    <w:rsid w:val="0079411D"/>
    <w:rsid w:val="007B06F7"/>
    <w:rsid w:val="007B78EA"/>
    <w:rsid w:val="007C471B"/>
    <w:rsid w:val="007D1714"/>
    <w:rsid w:val="007D472A"/>
    <w:rsid w:val="007D4A13"/>
    <w:rsid w:val="00806FD4"/>
    <w:rsid w:val="00841D42"/>
    <w:rsid w:val="008438E5"/>
    <w:rsid w:val="00851EB7"/>
    <w:rsid w:val="008540E8"/>
    <w:rsid w:val="00855B43"/>
    <w:rsid w:val="008610D8"/>
    <w:rsid w:val="00862123"/>
    <w:rsid w:val="00865E80"/>
    <w:rsid w:val="008754BE"/>
    <w:rsid w:val="00883BBC"/>
    <w:rsid w:val="00887EB7"/>
    <w:rsid w:val="008925B7"/>
    <w:rsid w:val="008C15C4"/>
    <w:rsid w:val="008C1A03"/>
    <w:rsid w:val="008C54C8"/>
    <w:rsid w:val="008E313D"/>
    <w:rsid w:val="008E4925"/>
    <w:rsid w:val="00904016"/>
    <w:rsid w:val="0091767F"/>
    <w:rsid w:val="00962192"/>
    <w:rsid w:val="009634C5"/>
    <w:rsid w:val="00963C0E"/>
    <w:rsid w:val="00981A87"/>
    <w:rsid w:val="00982E5F"/>
    <w:rsid w:val="00987025"/>
    <w:rsid w:val="00991D4B"/>
    <w:rsid w:val="009C0F01"/>
    <w:rsid w:val="009C238B"/>
    <w:rsid w:val="009D196C"/>
    <w:rsid w:val="009D22F8"/>
    <w:rsid w:val="009D6DF9"/>
    <w:rsid w:val="009D7688"/>
    <w:rsid w:val="009E7AE1"/>
    <w:rsid w:val="009F6416"/>
    <w:rsid w:val="009F7389"/>
    <w:rsid w:val="00A21E76"/>
    <w:rsid w:val="00A31EAB"/>
    <w:rsid w:val="00A31EB7"/>
    <w:rsid w:val="00A328ED"/>
    <w:rsid w:val="00A3506D"/>
    <w:rsid w:val="00A6023D"/>
    <w:rsid w:val="00A63504"/>
    <w:rsid w:val="00A674F2"/>
    <w:rsid w:val="00A67B7D"/>
    <w:rsid w:val="00A769B2"/>
    <w:rsid w:val="00AA327B"/>
    <w:rsid w:val="00AA6115"/>
    <w:rsid w:val="00AB199D"/>
    <w:rsid w:val="00AB349F"/>
    <w:rsid w:val="00AB4E34"/>
    <w:rsid w:val="00AC0FDB"/>
    <w:rsid w:val="00AD257E"/>
    <w:rsid w:val="00B23E1B"/>
    <w:rsid w:val="00B30537"/>
    <w:rsid w:val="00B40794"/>
    <w:rsid w:val="00B431A5"/>
    <w:rsid w:val="00B4328C"/>
    <w:rsid w:val="00B45D16"/>
    <w:rsid w:val="00B60288"/>
    <w:rsid w:val="00B73269"/>
    <w:rsid w:val="00B81D5C"/>
    <w:rsid w:val="00B82EA7"/>
    <w:rsid w:val="00B83D0B"/>
    <w:rsid w:val="00B97895"/>
    <w:rsid w:val="00BA291D"/>
    <w:rsid w:val="00BB1286"/>
    <w:rsid w:val="00BB502E"/>
    <w:rsid w:val="00BB5207"/>
    <w:rsid w:val="00BC0147"/>
    <w:rsid w:val="00BC61B0"/>
    <w:rsid w:val="00BD7E28"/>
    <w:rsid w:val="00BF124F"/>
    <w:rsid w:val="00BF3E49"/>
    <w:rsid w:val="00C02934"/>
    <w:rsid w:val="00C05258"/>
    <w:rsid w:val="00C36AFE"/>
    <w:rsid w:val="00C426D3"/>
    <w:rsid w:val="00C42D42"/>
    <w:rsid w:val="00C4323C"/>
    <w:rsid w:val="00C67C4A"/>
    <w:rsid w:val="00C70BBA"/>
    <w:rsid w:val="00C72DE7"/>
    <w:rsid w:val="00C747DF"/>
    <w:rsid w:val="00CB6B7C"/>
    <w:rsid w:val="00CC059F"/>
    <w:rsid w:val="00CC46C6"/>
    <w:rsid w:val="00CC5E67"/>
    <w:rsid w:val="00CD68F9"/>
    <w:rsid w:val="00D02AD9"/>
    <w:rsid w:val="00D050A7"/>
    <w:rsid w:val="00D1146B"/>
    <w:rsid w:val="00D13D91"/>
    <w:rsid w:val="00D171D1"/>
    <w:rsid w:val="00D20052"/>
    <w:rsid w:val="00D27149"/>
    <w:rsid w:val="00D304F6"/>
    <w:rsid w:val="00D330CD"/>
    <w:rsid w:val="00D35239"/>
    <w:rsid w:val="00D62B77"/>
    <w:rsid w:val="00D63846"/>
    <w:rsid w:val="00D674A8"/>
    <w:rsid w:val="00D76F0C"/>
    <w:rsid w:val="00D80BAE"/>
    <w:rsid w:val="00D905A4"/>
    <w:rsid w:val="00D932D9"/>
    <w:rsid w:val="00DA5E1B"/>
    <w:rsid w:val="00DD0499"/>
    <w:rsid w:val="00DD7978"/>
    <w:rsid w:val="00DE2455"/>
    <w:rsid w:val="00DE4D7E"/>
    <w:rsid w:val="00E1141F"/>
    <w:rsid w:val="00E2274F"/>
    <w:rsid w:val="00E449A0"/>
    <w:rsid w:val="00E64B9F"/>
    <w:rsid w:val="00E65880"/>
    <w:rsid w:val="00E73D02"/>
    <w:rsid w:val="00E74FD6"/>
    <w:rsid w:val="00E86B77"/>
    <w:rsid w:val="00E94127"/>
    <w:rsid w:val="00EB7902"/>
    <w:rsid w:val="00ED1E8D"/>
    <w:rsid w:val="00ED7EEB"/>
    <w:rsid w:val="00EF0DEB"/>
    <w:rsid w:val="00EF3C76"/>
    <w:rsid w:val="00F07438"/>
    <w:rsid w:val="00F10EDD"/>
    <w:rsid w:val="00F11685"/>
    <w:rsid w:val="00F26DA2"/>
    <w:rsid w:val="00F31987"/>
    <w:rsid w:val="00F415AF"/>
    <w:rsid w:val="00F74E89"/>
    <w:rsid w:val="00F94762"/>
    <w:rsid w:val="00FA3126"/>
    <w:rsid w:val="00FB11B8"/>
    <w:rsid w:val="00FC1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E15E"/>
  <w15:chartTrackingRefBased/>
  <w15:docId w15:val="{E9BDE391-7ACE-4684-8EDB-CE840303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11"/>
    <w:pPr>
      <w:spacing w:after="200" w:line="276" w:lineRule="auto"/>
    </w:pPr>
    <w:rPr>
      <w:rFonts w:ascii="Franklin Gothic Book" w:eastAsia="Times New Roman" w:hAnsi="Franklin Gothic Book" w:cs="Times New Roman"/>
      <w:lang w:eastAsia="en-AU"/>
    </w:rPr>
  </w:style>
  <w:style w:type="paragraph" w:styleId="Heading1">
    <w:name w:val="heading 1"/>
    <w:basedOn w:val="Normal"/>
    <w:next w:val="Normal"/>
    <w:link w:val="Heading1Char"/>
    <w:uiPriority w:val="9"/>
    <w:qFormat/>
    <w:rsid w:val="009634C5"/>
    <w:pPr>
      <w:keepNext/>
      <w:keepLines/>
      <w:spacing w:before="240" w:after="0"/>
      <w:outlineLvl w:val="0"/>
    </w:pPr>
    <w:rPr>
      <w:rFonts w:ascii="Calibri" w:eastAsiaTheme="majorEastAsia" w:hAnsi="Calibri" w:cstheme="majorBidi"/>
      <w:sz w:val="72"/>
      <w:szCs w:val="32"/>
    </w:rPr>
  </w:style>
  <w:style w:type="paragraph" w:styleId="Heading2">
    <w:name w:val="heading 2"/>
    <w:basedOn w:val="Normal"/>
    <w:next w:val="Normal"/>
    <w:link w:val="Heading2Char"/>
    <w:uiPriority w:val="9"/>
    <w:unhideWhenUsed/>
    <w:qFormat/>
    <w:rsid w:val="006967A2"/>
    <w:pPr>
      <w:keepNext/>
      <w:keepLines/>
      <w:spacing w:before="360" w:after="120"/>
      <w:outlineLvl w:val="1"/>
    </w:pPr>
    <w:rPr>
      <w:rFonts w:ascii="Calibri" w:eastAsiaTheme="majorEastAsia" w:hAnsi="Calibri" w:cstheme="majorBidi"/>
      <w:sz w:val="28"/>
      <w:szCs w:val="26"/>
    </w:rPr>
  </w:style>
  <w:style w:type="paragraph" w:styleId="Heading3">
    <w:name w:val="heading 3"/>
    <w:basedOn w:val="Normal"/>
    <w:next w:val="Normal"/>
    <w:link w:val="Heading3Char"/>
    <w:uiPriority w:val="9"/>
    <w:unhideWhenUsed/>
    <w:qFormat/>
    <w:rsid w:val="006967A2"/>
    <w:pPr>
      <w:keepNext/>
      <w:keepLines/>
      <w:spacing w:after="0"/>
      <w:outlineLvl w:val="2"/>
    </w:pPr>
    <w:rPr>
      <w:rFonts w:asciiTheme="majorHAnsi" w:eastAsiaTheme="majorEastAsia" w:hAnsiTheme="majorHAnsi" w:cstheme="majorBidi"/>
      <w:color w:val="C00000"/>
      <w:sz w:val="28"/>
      <w:szCs w:val="24"/>
    </w:rPr>
  </w:style>
  <w:style w:type="paragraph" w:styleId="Heading4">
    <w:name w:val="heading 4"/>
    <w:basedOn w:val="Normal"/>
    <w:next w:val="Normal"/>
    <w:link w:val="Heading4Char"/>
    <w:uiPriority w:val="9"/>
    <w:unhideWhenUsed/>
    <w:qFormat/>
    <w:rsid w:val="006967A2"/>
    <w:pPr>
      <w:keepNext/>
      <w:keepLines/>
      <w:spacing w:after="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11611"/>
    <w:rPr>
      <w:sz w:val="16"/>
      <w:szCs w:val="16"/>
    </w:rPr>
  </w:style>
  <w:style w:type="paragraph" w:styleId="CommentText">
    <w:name w:val="annotation text"/>
    <w:basedOn w:val="Normal"/>
    <w:link w:val="CommentTextChar"/>
    <w:uiPriority w:val="99"/>
    <w:unhideWhenUsed/>
    <w:rsid w:val="00411611"/>
    <w:pPr>
      <w:spacing w:line="240" w:lineRule="auto"/>
    </w:pPr>
    <w:rPr>
      <w:sz w:val="20"/>
      <w:szCs w:val="20"/>
    </w:rPr>
  </w:style>
  <w:style w:type="character" w:customStyle="1" w:styleId="CommentTextChar">
    <w:name w:val="Comment Text Char"/>
    <w:basedOn w:val="DefaultParagraphFont"/>
    <w:link w:val="CommentText"/>
    <w:uiPriority w:val="99"/>
    <w:rsid w:val="00411611"/>
    <w:rPr>
      <w:rFonts w:ascii="Franklin Gothic Book" w:eastAsia="Times New Roman" w:hAnsi="Franklin Gothic Book" w:cs="Times New Roman"/>
      <w:sz w:val="20"/>
      <w:szCs w:val="20"/>
      <w:lang w:eastAsia="en-AU"/>
    </w:rPr>
  </w:style>
  <w:style w:type="character" w:customStyle="1" w:styleId="Heading1Char">
    <w:name w:val="Heading 1 Char"/>
    <w:basedOn w:val="DefaultParagraphFont"/>
    <w:link w:val="Heading1"/>
    <w:uiPriority w:val="9"/>
    <w:rsid w:val="009634C5"/>
    <w:rPr>
      <w:rFonts w:ascii="Calibri" w:eastAsiaTheme="majorEastAsia" w:hAnsi="Calibri" w:cstheme="majorBidi"/>
      <w:sz w:val="72"/>
      <w:szCs w:val="32"/>
      <w:lang w:eastAsia="en-AU"/>
    </w:rPr>
  </w:style>
  <w:style w:type="character" w:styleId="IntenseEmphasis">
    <w:name w:val="Intense Emphasis"/>
    <w:uiPriority w:val="21"/>
    <w:qFormat/>
    <w:rsid w:val="00411611"/>
    <w:rPr>
      <w:b w:val="0"/>
      <w:i w:val="0"/>
      <w:color w:val="D1282E"/>
      <w:sz w:val="32"/>
    </w:rPr>
  </w:style>
  <w:style w:type="character" w:customStyle="1" w:styleId="Heading2Char">
    <w:name w:val="Heading 2 Char"/>
    <w:basedOn w:val="DefaultParagraphFont"/>
    <w:link w:val="Heading2"/>
    <w:uiPriority w:val="9"/>
    <w:rsid w:val="006967A2"/>
    <w:rPr>
      <w:rFonts w:ascii="Calibri" w:eastAsiaTheme="majorEastAsia" w:hAnsi="Calibri" w:cstheme="majorBidi"/>
      <w:sz w:val="28"/>
      <w:szCs w:val="26"/>
      <w:lang w:eastAsia="en-AU"/>
    </w:rPr>
  </w:style>
  <w:style w:type="character" w:customStyle="1" w:styleId="Heading3Char">
    <w:name w:val="Heading 3 Char"/>
    <w:basedOn w:val="DefaultParagraphFont"/>
    <w:link w:val="Heading3"/>
    <w:uiPriority w:val="9"/>
    <w:rsid w:val="006967A2"/>
    <w:rPr>
      <w:rFonts w:asciiTheme="majorHAnsi" w:eastAsiaTheme="majorEastAsia" w:hAnsiTheme="majorHAnsi" w:cstheme="majorBidi"/>
      <w:color w:val="C00000"/>
      <w:sz w:val="28"/>
      <w:szCs w:val="24"/>
      <w:lang w:eastAsia="en-AU"/>
    </w:rPr>
  </w:style>
  <w:style w:type="paragraph" w:styleId="ListParagraph">
    <w:name w:val="List Paragraph"/>
    <w:basedOn w:val="Normal"/>
    <w:qFormat/>
    <w:rsid w:val="00411611"/>
    <w:pPr>
      <w:ind w:left="720"/>
      <w:contextualSpacing/>
    </w:pPr>
  </w:style>
  <w:style w:type="paragraph" w:styleId="Header">
    <w:name w:val="header"/>
    <w:basedOn w:val="Normal"/>
    <w:link w:val="HeaderChar"/>
    <w:uiPriority w:val="99"/>
    <w:unhideWhenUsed/>
    <w:rsid w:val="00121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D4"/>
    <w:rPr>
      <w:rFonts w:ascii="Franklin Gothic Book" w:eastAsia="Times New Roman" w:hAnsi="Franklin Gothic Book" w:cs="Times New Roman"/>
      <w:lang w:eastAsia="en-AU"/>
    </w:rPr>
  </w:style>
  <w:style w:type="paragraph" w:styleId="Footer">
    <w:name w:val="footer"/>
    <w:basedOn w:val="Normal"/>
    <w:link w:val="FooterChar"/>
    <w:uiPriority w:val="99"/>
    <w:unhideWhenUsed/>
    <w:rsid w:val="00121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D4"/>
    <w:rPr>
      <w:rFonts w:ascii="Franklin Gothic Book" w:eastAsia="Times New Roman" w:hAnsi="Franklin Gothic Book" w:cs="Times New Roman"/>
      <w:lang w:eastAsia="en-AU"/>
    </w:rPr>
  </w:style>
  <w:style w:type="paragraph" w:styleId="BodyText">
    <w:name w:val="Body Text"/>
    <w:aliases w:val="Body Text MFAT"/>
    <w:link w:val="BodyTextChar"/>
    <w:qFormat/>
    <w:rsid w:val="00D20052"/>
    <w:pPr>
      <w:spacing w:before="120" w:after="120" w:line="280" w:lineRule="exact"/>
    </w:pPr>
    <w:rPr>
      <w:lang w:val="en-NZ"/>
    </w:rPr>
  </w:style>
  <w:style w:type="character" w:customStyle="1" w:styleId="BodyTextChar">
    <w:name w:val="Body Text Char"/>
    <w:aliases w:val="Body Text MFAT Char"/>
    <w:basedOn w:val="DefaultParagraphFont"/>
    <w:link w:val="BodyText"/>
    <w:rsid w:val="00D20052"/>
    <w:rPr>
      <w:lang w:val="en-NZ"/>
    </w:rPr>
  </w:style>
  <w:style w:type="paragraph" w:styleId="CommentSubject">
    <w:name w:val="annotation subject"/>
    <w:basedOn w:val="CommentText"/>
    <w:next w:val="CommentText"/>
    <w:link w:val="CommentSubjectChar"/>
    <w:uiPriority w:val="99"/>
    <w:semiHidden/>
    <w:unhideWhenUsed/>
    <w:rsid w:val="00D20052"/>
    <w:rPr>
      <w:b/>
      <w:bCs/>
    </w:rPr>
  </w:style>
  <w:style w:type="character" w:customStyle="1" w:styleId="CommentSubjectChar">
    <w:name w:val="Comment Subject Char"/>
    <w:basedOn w:val="CommentTextChar"/>
    <w:link w:val="CommentSubject"/>
    <w:uiPriority w:val="99"/>
    <w:semiHidden/>
    <w:rsid w:val="00D20052"/>
    <w:rPr>
      <w:rFonts w:ascii="Franklin Gothic Book" w:eastAsia="Times New Roman" w:hAnsi="Franklin Gothic Book" w:cs="Times New Roman"/>
      <w:b/>
      <w:bCs/>
      <w:sz w:val="20"/>
      <w:szCs w:val="20"/>
      <w:lang w:eastAsia="en-AU"/>
    </w:rPr>
  </w:style>
  <w:style w:type="paragraph" w:customStyle="1" w:styleId="1Dot-point">
    <w:name w:val="1 Dot-point"/>
    <w:basedOn w:val="BodyText"/>
    <w:qFormat/>
    <w:rsid w:val="00BC0147"/>
    <w:pPr>
      <w:numPr>
        <w:numId w:val="6"/>
      </w:numPr>
      <w:spacing w:line="259" w:lineRule="auto"/>
    </w:pPr>
    <w:rPr>
      <w:rFonts w:ascii="Arial" w:hAnsi="Arial"/>
      <w:color w:val="000000"/>
      <w:lang w:val="en-AU"/>
    </w:rPr>
  </w:style>
  <w:style w:type="paragraph" w:styleId="FootnoteText">
    <w:name w:val="footnote text"/>
    <w:basedOn w:val="Normal"/>
    <w:link w:val="FootnoteTextChar"/>
    <w:uiPriority w:val="99"/>
    <w:unhideWhenUsed/>
    <w:qFormat/>
    <w:rsid w:val="00BB502E"/>
    <w:pPr>
      <w:spacing w:after="0" w:line="240" w:lineRule="auto"/>
    </w:pPr>
    <w:rPr>
      <w:sz w:val="20"/>
      <w:szCs w:val="20"/>
    </w:rPr>
  </w:style>
  <w:style w:type="character" w:customStyle="1" w:styleId="FootnoteTextChar">
    <w:name w:val="Footnote Text Char"/>
    <w:basedOn w:val="DefaultParagraphFont"/>
    <w:link w:val="FootnoteText"/>
    <w:uiPriority w:val="99"/>
    <w:rsid w:val="00BB502E"/>
    <w:rPr>
      <w:rFonts w:ascii="Franklin Gothic Book" w:eastAsia="Times New Roman" w:hAnsi="Franklin Gothic Book" w:cs="Times New Roman"/>
      <w:sz w:val="20"/>
      <w:szCs w:val="20"/>
      <w:lang w:eastAsia="en-AU"/>
    </w:rPr>
  </w:style>
  <w:style w:type="character" w:styleId="FootnoteReference">
    <w:name w:val="footnote reference"/>
    <w:basedOn w:val="DefaultParagraphFont"/>
    <w:uiPriority w:val="99"/>
    <w:semiHidden/>
    <w:unhideWhenUsed/>
    <w:rsid w:val="00BB502E"/>
    <w:rPr>
      <w:vertAlign w:val="superscript"/>
    </w:rPr>
  </w:style>
  <w:style w:type="character" w:styleId="Hyperlink">
    <w:name w:val="Hyperlink"/>
    <w:uiPriority w:val="99"/>
    <w:unhideWhenUsed/>
    <w:rsid w:val="00B23E1B"/>
    <w:rPr>
      <w:color w:val="0000FF"/>
      <w:u w:val="single"/>
    </w:rPr>
  </w:style>
  <w:style w:type="character" w:styleId="UnresolvedMention">
    <w:name w:val="Unresolved Mention"/>
    <w:basedOn w:val="DefaultParagraphFont"/>
    <w:uiPriority w:val="99"/>
    <w:semiHidden/>
    <w:unhideWhenUsed/>
    <w:rsid w:val="00E65880"/>
    <w:rPr>
      <w:color w:val="605E5C"/>
      <w:shd w:val="clear" w:color="auto" w:fill="E1DFDD"/>
    </w:rPr>
  </w:style>
  <w:style w:type="paragraph" w:styleId="TOCHeading">
    <w:name w:val="TOC Heading"/>
    <w:basedOn w:val="Heading1"/>
    <w:next w:val="Normal"/>
    <w:uiPriority w:val="39"/>
    <w:unhideWhenUsed/>
    <w:qFormat/>
    <w:rsid w:val="004C1F87"/>
    <w:pPr>
      <w:spacing w:line="259" w:lineRule="auto"/>
      <w:outlineLvl w:val="9"/>
    </w:pPr>
    <w:rPr>
      <w:lang w:val="en-US" w:eastAsia="en-US"/>
    </w:rPr>
  </w:style>
  <w:style w:type="paragraph" w:styleId="TOC3">
    <w:name w:val="toc 3"/>
    <w:basedOn w:val="Normal"/>
    <w:next w:val="Normal"/>
    <w:autoRedefine/>
    <w:uiPriority w:val="39"/>
    <w:unhideWhenUsed/>
    <w:rsid w:val="00632D81"/>
    <w:pPr>
      <w:tabs>
        <w:tab w:val="right" w:leader="dot" w:pos="9016"/>
      </w:tabs>
      <w:spacing w:after="100"/>
      <w:ind w:left="440"/>
    </w:pPr>
  </w:style>
  <w:style w:type="paragraph" w:styleId="TOC1">
    <w:name w:val="toc 1"/>
    <w:basedOn w:val="Normal"/>
    <w:next w:val="Normal"/>
    <w:autoRedefine/>
    <w:uiPriority w:val="39"/>
    <w:unhideWhenUsed/>
    <w:rsid w:val="00B83D0B"/>
    <w:pPr>
      <w:tabs>
        <w:tab w:val="right" w:leader="dot" w:pos="9016"/>
      </w:tabs>
      <w:spacing w:after="100"/>
    </w:pPr>
    <w:rPr>
      <w:rFonts w:asciiTheme="minorHAnsi" w:hAnsiTheme="minorHAnsi" w:cstheme="minorHAnsi"/>
      <w:b/>
      <w:bCs/>
      <w:noProof/>
    </w:rPr>
  </w:style>
  <w:style w:type="paragraph" w:styleId="TOC2">
    <w:name w:val="toc 2"/>
    <w:basedOn w:val="Normal"/>
    <w:next w:val="Normal"/>
    <w:autoRedefine/>
    <w:uiPriority w:val="39"/>
    <w:unhideWhenUsed/>
    <w:rsid w:val="00D76F0C"/>
    <w:pPr>
      <w:tabs>
        <w:tab w:val="right" w:leader="dot" w:pos="9016"/>
      </w:tabs>
      <w:spacing w:after="100"/>
      <w:ind w:left="220"/>
    </w:pPr>
  </w:style>
  <w:style w:type="paragraph" w:styleId="Revision">
    <w:name w:val="Revision"/>
    <w:hidden/>
    <w:uiPriority w:val="99"/>
    <w:semiHidden/>
    <w:rsid w:val="006F3490"/>
    <w:pPr>
      <w:spacing w:after="0" w:line="240" w:lineRule="auto"/>
    </w:pPr>
    <w:rPr>
      <w:rFonts w:ascii="Franklin Gothic Book" w:eastAsia="Times New Roman" w:hAnsi="Franklin Gothic Book" w:cs="Times New Roman"/>
      <w:lang w:eastAsia="en-AU"/>
    </w:rPr>
  </w:style>
  <w:style w:type="paragraph" w:styleId="NormalWeb">
    <w:name w:val="Normal (Web)"/>
    <w:basedOn w:val="Normal"/>
    <w:uiPriority w:val="99"/>
    <w:semiHidden/>
    <w:unhideWhenUsed/>
    <w:rsid w:val="00A6023D"/>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9"/>
    <w:rsid w:val="006967A2"/>
    <w:rPr>
      <w:rFonts w:eastAsiaTheme="majorEastAsia" w:cstheme="majorBidi"/>
      <w:b/>
      <w:iCs/>
      <w:lang w:eastAsia="en-AU"/>
    </w:rPr>
  </w:style>
  <w:style w:type="paragraph" w:styleId="EndnoteText">
    <w:name w:val="endnote text"/>
    <w:basedOn w:val="Normal"/>
    <w:link w:val="EndnoteTextChar"/>
    <w:uiPriority w:val="99"/>
    <w:semiHidden/>
    <w:unhideWhenUsed/>
    <w:rsid w:val="00D905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05A4"/>
    <w:rPr>
      <w:rFonts w:ascii="Franklin Gothic Book" w:eastAsia="Times New Roman" w:hAnsi="Franklin Gothic Book" w:cs="Times New Roman"/>
      <w:sz w:val="20"/>
      <w:szCs w:val="20"/>
      <w:lang w:eastAsia="en-AU"/>
    </w:rPr>
  </w:style>
  <w:style w:type="character" w:styleId="EndnoteReference">
    <w:name w:val="endnote reference"/>
    <w:basedOn w:val="DefaultParagraphFont"/>
    <w:uiPriority w:val="99"/>
    <w:semiHidden/>
    <w:unhideWhenUsed/>
    <w:rsid w:val="00D905A4"/>
    <w:rPr>
      <w:vertAlign w:val="superscript"/>
    </w:rPr>
  </w:style>
  <w:style w:type="character" w:styleId="FollowedHyperlink">
    <w:name w:val="FollowedHyperlink"/>
    <w:basedOn w:val="DefaultParagraphFont"/>
    <w:uiPriority w:val="99"/>
    <w:semiHidden/>
    <w:unhideWhenUsed/>
    <w:rsid w:val="00D33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ood.gov.au/data-and-research/research-funding-program" TargetMode="External"/><Relationship Id="rId4" Type="http://schemas.openxmlformats.org/officeDocument/2006/relationships/settings" Target="settings.xml"/><Relationship Id="rId9" Type="http://schemas.openxmlformats.org/officeDocument/2006/relationships/hyperlink" Target="https://www.blood.gov.au/national-blood-research-and-development-strategic-prioriti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safetyandquality.gov.au/standards/nsqhs-standards/blood-management-standard" TargetMode="External"/><Relationship Id="rId1" Type="http://schemas.openxmlformats.org/officeDocument/2006/relationships/hyperlink" Target="https://allenandclarke.sharepoint.com/australia/Work%20Restored/CTH_NBA%20Review%20of%20strategic%20priorities/04%20Deliverables/Reports/donateblood.com.au/research/our-research-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5DE1-B0AC-4ABF-A1D3-B2D66398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Rumble, Aimee</dc:creator>
  <cp:keywords/>
  <dc:description/>
  <cp:lastModifiedBy>Doolan, Shauna</cp:lastModifiedBy>
  <cp:revision>2</cp:revision>
  <dcterms:created xsi:type="dcterms:W3CDTF">2025-03-06T22:24:00Z</dcterms:created>
  <dcterms:modified xsi:type="dcterms:W3CDTF">2025-03-06T22:24:00Z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2022-06-10T06:41:25Z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2d8869ee-06ec-4bd9-9905-fa7ebffa434b</vt:lpwstr>
  </property>
  <property fmtid="{D5CDD505-2E9C-101B-9397-08002B2CF9AE}" pid="11" name="MSIP_Label_11d3a1ea-a727-4720-a216-7dae13a61c56_ContentBits">
    <vt:lpwstr>1</vt:lpwstr>
  </property>
</Properties>
</file>