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CDA85" w14:textId="1CE826F2" w:rsidR="00F526D9" w:rsidRPr="0092706A" w:rsidRDefault="0092706A" w:rsidP="00F526D9">
      <w:pPr>
        <w:rPr>
          <w:rFonts w:cstheme="minorHAnsi"/>
          <w:b/>
          <w:bCs/>
          <w:sz w:val="36"/>
          <w:szCs w:val="36"/>
        </w:rPr>
      </w:pPr>
      <w:r w:rsidRPr="0092706A">
        <w:rPr>
          <w:rFonts w:cstheme="minorHAnsi"/>
          <w:b/>
          <w:bCs/>
          <w:sz w:val="36"/>
          <w:szCs w:val="36"/>
        </w:rPr>
        <w:t xml:space="preserve">Round 2 Project Summary, Publications, aims and objectives </w:t>
      </w:r>
    </w:p>
    <w:tbl>
      <w:tblPr>
        <w:tblW w:w="23106" w:type="dxa"/>
        <w:tblInd w:w="-1144" w:type="dxa"/>
        <w:tblCellMar>
          <w:left w:w="0" w:type="dxa"/>
          <w:right w:w="0" w:type="dxa"/>
        </w:tblCellMar>
        <w:tblLook w:val="0420" w:firstRow="1" w:lastRow="0" w:firstColumn="0" w:lastColumn="0" w:noHBand="0" w:noVBand="1"/>
      </w:tblPr>
      <w:tblGrid>
        <w:gridCol w:w="1843"/>
        <w:gridCol w:w="2126"/>
        <w:gridCol w:w="1701"/>
        <w:gridCol w:w="1418"/>
        <w:gridCol w:w="1417"/>
        <w:gridCol w:w="3828"/>
        <w:gridCol w:w="6662"/>
        <w:gridCol w:w="4111"/>
      </w:tblGrid>
      <w:tr w:rsidR="00F526D9" w:rsidRPr="007B5F19" w14:paraId="7EDED017" w14:textId="77777777" w:rsidTr="00A264CD">
        <w:trPr>
          <w:trHeight w:val="962"/>
        </w:trPr>
        <w:tc>
          <w:tcPr>
            <w:tcW w:w="1843"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59380B03" w14:textId="77777777" w:rsidR="00F526D9" w:rsidRPr="007B5F19" w:rsidRDefault="00F526D9" w:rsidP="00A264CD">
            <w:pPr>
              <w:rPr>
                <w:rFonts w:cstheme="minorHAnsi"/>
                <w:color w:val="FFFFFF" w:themeColor="background1"/>
              </w:rPr>
            </w:pPr>
            <w:r w:rsidRPr="007B5F19">
              <w:rPr>
                <w:rFonts w:cstheme="minorHAnsi"/>
                <w:b/>
                <w:bCs/>
                <w:color w:val="FFFFFF" w:themeColor="background1"/>
              </w:rPr>
              <w:t xml:space="preserve">Grant </w:t>
            </w:r>
            <w:r>
              <w:rPr>
                <w:rFonts w:cstheme="minorHAnsi"/>
                <w:b/>
                <w:bCs/>
                <w:color w:val="FFFFFF" w:themeColor="background1"/>
              </w:rPr>
              <w:t>T</w:t>
            </w:r>
            <w:r w:rsidRPr="007B5F19">
              <w:rPr>
                <w:rFonts w:cstheme="minorHAnsi"/>
                <w:b/>
                <w:bCs/>
                <w:color w:val="FFFFFF" w:themeColor="background1"/>
              </w:rPr>
              <w:t>ype</w:t>
            </w:r>
          </w:p>
        </w:tc>
        <w:tc>
          <w:tcPr>
            <w:tcW w:w="2126"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560B651B" w14:textId="77777777" w:rsidR="00F526D9" w:rsidRPr="007B5F19" w:rsidRDefault="00F526D9" w:rsidP="00A264CD">
            <w:pPr>
              <w:rPr>
                <w:rFonts w:cstheme="minorHAnsi"/>
                <w:color w:val="FFFFFF" w:themeColor="background1"/>
              </w:rPr>
            </w:pPr>
            <w:r w:rsidRPr="007B5F19">
              <w:rPr>
                <w:rFonts w:cstheme="minorHAnsi"/>
                <w:b/>
                <w:bCs/>
                <w:color w:val="FFFFFF" w:themeColor="background1"/>
              </w:rPr>
              <w:t>Project Title</w:t>
            </w:r>
          </w:p>
        </w:tc>
        <w:tc>
          <w:tcPr>
            <w:tcW w:w="1701"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0E328FAF" w14:textId="77777777" w:rsidR="00F526D9" w:rsidRPr="007B5F19" w:rsidRDefault="00F526D9" w:rsidP="00A264CD">
            <w:pPr>
              <w:rPr>
                <w:rFonts w:cstheme="minorHAnsi"/>
                <w:color w:val="FFFFFF" w:themeColor="background1"/>
              </w:rPr>
            </w:pPr>
            <w:r w:rsidRPr="007B5F19">
              <w:rPr>
                <w:rFonts w:cstheme="minorHAnsi"/>
                <w:b/>
                <w:bCs/>
                <w:color w:val="FFFFFF" w:themeColor="background1"/>
              </w:rPr>
              <w:t xml:space="preserve">Administering </w:t>
            </w:r>
            <w:r>
              <w:rPr>
                <w:rFonts w:cstheme="minorHAnsi"/>
                <w:b/>
                <w:bCs/>
                <w:color w:val="FFFFFF" w:themeColor="background1"/>
              </w:rPr>
              <w:t>I</w:t>
            </w:r>
            <w:r w:rsidRPr="007B5F19">
              <w:rPr>
                <w:rFonts w:cstheme="minorHAnsi"/>
                <w:b/>
                <w:bCs/>
                <w:color w:val="FFFFFF" w:themeColor="background1"/>
              </w:rPr>
              <w:t>nstitute</w:t>
            </w:r>
          </w:p>
        </w:tc>
        <w:tc>
          <w:tcPr>
            <w:tcW w:w="1418"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44BEDC01" w14:textId="77777777" w:rsidR="00F526D9" w:rsidRPr="007B5F19" w:rsidRDefault="00F526D9" w:rsidP="00A264CD">
            <w:pPr>
              <w:rPr>
                <w:rFonts w:cstheme="minorHAnsi"/>
                <w:color w:val="FFFFFF" w:themeColor="background1"/>
              </w:rPr>
            </w:pPr>
            <w:r w:rsidRPr="007B5F19">
              <w:rPr>
                <w:rFonts w:cstheme="minorHAnsi"/>
                <w:b/>
                <w:bCs/>
                <w:color w:val="FFFFFF" w:themeColor="background1"/>
              </w:rPr>
              <w:t>Amount (inc. GST)</w:t>
            </w:r>
          </w:p>
        </w:tc>
        <w:tc>
          <w:tcPr>
            <w:tcW w:w="1417"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690AEB60" w14:textId="77777777" w:rsidR="00F526D9" w:rsidRPr="007B5F19" w:rsidRDefault="00F526D9" w:rsidP="00A264CD">
            <w:pPr>
              <w:rPr>
                <w:rFonts w:cstheme="minorHAnsi"/>
                <w:color w:val="FFFFFF" w:themeColor="background1"/>
              </w:rPr>
            </w:pPr>
            <w:r w:rsidRPr="007B5F19">
              <w:rPr>
                <w:rFonts w:cstheme="minorHAnsi"/>
                <w:b/>
                <w:bCs/>
                <w:color w:val="FFFFFF" w:themeColor="background1"/>
              </w:rPr>
              <w:t xml:space="preserve">Principal </w:t>
            </w:r>
            <w:r>
              <w:rPr>
                <w:rFonts w:cstheme="minorHAnsi"/>
                <w:b/>
                <w:bCs/>
                <w:color w:val="FFFFFF" w:themeColor="background1"/>
              </w:rPr>
              <w:t>C</w:t>
            </w:r>
            <w:r w:rsidRPr="007B5F19">
              <w:rPr>
                <w:rFonts w:cstheme="minorHAnsi"/>
                <w:b/>
                <w:bCs/>
                <w:color w:val="FFFFFF" w:themeColor="background1"/>
              </w:rPr>
              <w:t xml:space="preserve">hief </w:t>
            </w:r>
            <w:r>
              <w:rPr>
                <w:rFonts w:cstheme="minorHAnsi"/>
                <w:b/>
                <w:bCs/>
                <w:color w:val="FFFFFF" w:themeColor="background1"/>
              </w:rPr>
              <w:t>I</w:t>
            </w:r>
            <w:r w:rsidRPr="007B5F19">
              <w:rPr>
                <w:rFonts w:cstheme="minorHAnsi"/>
                <w:b/>
                <w:bCs/>
                <w:color w:val="FFFFFF" w:themeColor="background1"/>
              </w:rPr>
              <w:t>nvestigator</w:t>
            </w:r>
          </w:p>
        </w:tc>
        <w:tc>
          <w:tcPr>
            <w:tcW w:w="3828" w:type="dxa"/>
            <w:tcBorders>
              <w:top w:val="single" w:sz="8" w:space="0" w:color="FFFFFF"/>
              <w:left w:val="single" w:sz="8" w:space="0" w:color="FFFFFF"/>
              <w:bottom w:val="single" w:sz="24" w:space="0" w:color="FFFFFF"/>
              <w:right w:val="single" w:sz="8" w:space="0" w:color="FFFFFF"/>
            </w:tcBorders>
            <w:shd w:val="clear" w:color="auto" w:fill="767171"/>
          </w:tcPr>
          <w:p w14:paraId="62F4B9FC" w14:textId="77777777" w:rsidR="00F526D9" w:rsidRPr="007B5F19" w:rsidRDefault="00F526D9" w:rsidP="00A264CD">
            <w:pPr>
              <w:ind w:left="143"/>
              <w:rPr>
                <w:rFonts w:cstheme="minorHAnsi"/>
                <w:b/>
                <w:bCs/>
                <w:color w:val="FFFFFF" w:themeColor="background1"/>
              </w:rPr>
            </w:pPr>
            <w:r w:rsidRPr="007B5F19">
              <w:rPr>
                <w:rFonts w:cstheme="minorHAnsi"/>
                <w:b/>
                <w:bCs/>
                <w:color w:val="FFFFFF" w:themeColor="background1"/>
              </w:rPr>
              <w:t xml:space="preserve">Project </w:t>
            </w:r>
            <w:r>
              <w:rPr>
                <w:rFonts w:cstheme="minorHAnsi"/>
                <w:b/>
                <w:bCs/>
                <w:color w:val="FFFFFF" w:themeColor="background1"/>
              </w:rPr>
              <w:t>A</w:t>
            </w:r>
            <w:r w:rsidRPr="007B5F19">
              <w:rPr>
                <w:rFonts w:cstheme="minorHAnsi"/>
                <w:b/>
                <w:bCs/>
                <w:color w:val="FFFFFF" w:themeColor="background1"/>
              </w:rPr>
              <w:t>ims/</w:t>
            </w:r>
            <w:r>
              <w:rPr>
                <w:rFonts w:cstheme="minorHAnsi"/>
                <w:b/>
                <w:bCs/>
                <w:color w:val="FFFFFF" w:themeColor="background1"/>
              </w:rPr>
              <w:t>O</w:t>
            </w:r>
            <w:r w:rsidRPr="007B5F19">
              <w:rPr>
                <w:rFonts w:cstheme="minorHAnsi"/>
                <w:b/>
                <w:bCs/>
                <w:color w:val="FFFFFF" w:themeColor="background1"/>
              </w:rPr>
              <w:t>bjectives</w:t>
            </w:r>
          </w:p>
        </w:tc>
        <w:tc>
          <w:tcPr>
            <w:tcW w:w="6662" w:type="dxa"/>
            <w:tcBorders>
              <w:top w:val="single" w:sz="8" w:space="0" w:color="FFFFFF"/>
              <w:left w:val="single" w:sz="8" w:space="0" w:color="FFFFFF"/>
              <w:bottom w:val="single" w:sz="24" w:space="0" w:color="FFFFFF"/>
              <w:right w:val="single" w:sz="8" w:space="0" w:color="FFFFFF"/>
            </w:tcBorders>
            <w:shd w:val="clear" w:color="auto" w:fill="767171"/>
            <w:tcMar>
              <w:top w:w="72" w:type="dxa"/>
              <w:left w:w="144" w:type="dxa"/>
              <w:bottom w:w="72" w:type="dxa"/>
              <w:right w:w="144" w:type="dxa"/>
            </w:tcMar>
            <w:hideMark/>
          </w:tcPr>
          <w:p w14:paraId="618FD8E7" w14:textId="77777777" w:rsidR="00F526D9" w:rsidRPr="007B5F19" w:rsidRDefault="00F526D9" w:rsidP="00A264CD">
            <w:pPr>
              <w:rPr>
                <w:rFonts w:cstheme="minorHAnsi"/>
                <w:color w:val="FFFFFF" w:themeColor="background1"/>
              </w:rPr>
            </w:pPr>
            <w:r w:rsidRPr="007B5F19">
              <w:rPr>
                <w:rFonts w:cstheme="minorHAnsi"/>
                <w:b/>
                <w:bCs/>
                <w:color w:val="FFFFFF" w:themeColor="background1"/>
              </w:rPr>
              <w:t>Project Summary</w:t>
            </w:r>
          </w:p>
        </w:tc>
        <w:tc>
          <w:tcPr>
            <w:tcW w:w="4111" w:type="dxa"/>
            <w:tcBorders>
              <w:top w:val="single" w:sz="8" w:space="0" w:color="FFFFFF"/>
              <w:left w:val="single" w:sz="8" w:space="0" w:color="FFFFFF"/>
              <w:bottom w:val="single" w:sz="24" w:space="0" w:color="FFFFFF"/>
              <w:right w:val="single" w:sz="8" w:space="0" w:color="FFFFFF"/>
            </w:tcBorders>
            <w:shd w:val="clear" w:color="auto" w:fill="767171"/>
          </w:tcPr>
          <w:p w14:paraId="66810662" w14:textId="77777777" w:rsidR="00F526D9" w:rsidRPr="007B5F19" w:rsidRDefault="00F526D9" w:rsidP="00A264CD">
            <w:pPr>
              <w:tabs>
                <w:tab w:val="left" w:pos="1396"/>
              </w:tabs>
              <w:ind w:firstLine="125"/>
              <w:rPr>
                <w:rFonts w:cstheme="minorHAnsi"/>
                <w:b/>
                <w:bCs/>
                <w:color w:val="FFFFFF" w:themeColor="background1"/>
              </w:rPr>
            </w:pPr>
            <w:r w:rsidRPr="007B5F19">
              <w:rPr>
                <w:rFonts w:cstheme="minorHAnsi"/>
                <w:b/>
                <w:bCs/>
                <w:color w:val="FFFFFF" w:themeColor="background1"/>
              </w:rPr>
              <w:t>Publications</w:t>
            </w:r>
          </w:p>
        </w:tc>
      </w:tr>
      <w:tr w:rsidR="00F526D9" w:rsidRPr="007B5F19" w14:paraId="1783EC0B" w14:textId="77777777" w:rsidTr="00AF0B03">
        <w:trPr>
          <w:trHeight w:val="3033"/>
        </w:trPr>
        <w:tc>
          <w:tcPr>
            <w:tcW w:w="1843"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44E1F12D" w14:textId="77777777" w:rsidR="00F526D9" w:rsidRPr="007B5F19" w:rsidRDefault="00F526D9" w:rsidP="00A264CD">
            <w:pPr>
              <w:rPr>
                <w:rFonts w:cstheme="minorHAnsi"/>
                <w:b/>
                <w:bCs/>
              </w:rPr>
            </w:pPr>
            <w:r w:rsidRPr="007B5F19">
              <w:rPr>
                <w:rFonts w:cstheme="minorHAnsi"/>
                <w:b/>
                <w:bCs/>
              </w:rPr>
              <w:t>Patient Blood management Project Grant</w:t>
            </w:r>
          </w:p>
        </w:tc>
        <w:tc>
          <w:tcPr>
            <w:tcW w:w="2126"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AEE17B4" w14:textId="77777777" w:rsidR="00F526D9" w:rsidRPr="007B5F19" w:rsidRDefault="00F526D9" w:rsidP="00A264CD">
            <w:pPr>
              <w:pStyle w:val="NormalWeb"/>
              <w:spacing w:line="360" w:lineRule="atLeast"/>
              <w:rPr>
                <w:rFonts w:asciiTheme="minorHAnsi" w:eastAsiaTheme="minorEastAsia" w:hAnsiTheme="minorHAnsi" w:cstheme="minorHAnsi"/>
                <w:color w:val="161616"/>
                <w:spacing w:val="4"/>
                <w:sz w:val="22"/>
                <w:szCs w:val="22"/>
              </w:rPr>
            </w:pPr>
            <w:r w:rsidRPr="007B5F19">
              <w:rPr>
                <w:rFonts w:asciiTheme="minorHAnsi" w:eastAsiaTheme="minorEastAsia" w:hAnsiTheme="minorHAnsi" w:cstheme="minorHAnsi"/>
                <w:color w:val="161616"/>
                <w:spacing w:val="4"/>
                <w:sz w:val="22"/>
                <w:szCs w:val="22"/>
              </w:rPr>
              <w:t>Implementing evidence-based bleeding management in cardiac surgery</w:t>
            </w:r>
          </w:p>
          <w:p w14:paraId="0B100B64" w14:textId="77777777" w:rsidR="00F526D9" w:rsidRPr="007B5F19" w:rsidRDefault="00F526D9" w:rsidP="00A264CD">
            <w:pPr>
              <w:rPr>
                <w:rFonts w:cstheme="minorHAnsi"/>
              </w:rPr>
            </w:pPr>
          </w:p>
        </w:tc>
        <w:tc>
          <w:tcPr>
            <w:tcW w:w="1701"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191BB3F" w14:textId="77777777" w:rsidR="00F526D9" w:rsidRPr="007B5F19" w:rsidRDefault="00F526D9" w:rsidP="00A264CD">
            <w:pPr>
              <w:rPr>
                <w:rFonts w:cstheme="minorHAnsi"/>
              </w:rPr>
            </w:pPr>
            <w:r w:rsidRPr="007B5F19">
              <w:rPr>
                <w:rFonts w:cstheme="minorHAnsi"/>
              </w:rPr>
              <w:t>University of the Sunshine Coast</w:t>
            </w:r>
          </w:p>
        </w:tc>
        <w:tc>
          <w:tcPr>
            <w:tcW w:w="141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4EC9110A" w14:textId="77777777" w:rsidR="00F526D9" w:rsidRPr="007B5F19" w:rsidRDefault="00F526D9" w:rsidP="00A264CD">
            <w:pPr>
              <w:rPr>
                <w:rFonts w:cstheme="minorHAnsi"/>
              </w:rPr>
            </w:pPr>
            <w:r w:rsidRPr="007B5F19">
              <w:rPr>
                <w:rFonts w:cstheme="minorHAnsi"/>
              </w:rPr>
              <w:t>$78,199.00</w:t>
            </w:r>
          </w:p>
        </w:tc>
        <w:tc>
          <w:tcPr>
            <w:tcW w:w="1417"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29F8C78" w14:textId="77777777" w:rsidR="00F526D9" w:rsidRPr="007B5F19" w:rsidRDefault="00F526D9" w:rsidP="00A264CD">
            <w:pPr>
              <w:rPr>
                <w:rFonts w:cstheme="minorHAnsi"/>
              </w:rPr>
            </w:pPr>
            <w:r w:rsidRPr="007B5F19">
              <w:rPr>
                <w:rFonts w:cstheme="minorHAnsi"/>
              </w:rPr>
              <w:t>Ms Bronwyn Pearse</w:t>
            </w:r>
          </w:p>
        </w:tc>
        <w:tc>
          <w:tcPr>
            <w:tcW w:w="382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0DDCA2C0" w14:textId="77777777" w:rsidR="00F526D9" w:rsidRPr="007B5F19" w:rsidRDefault="00F526D9" w:rsidP="00A264CD">
            <w:pPr>
              <w:ind w:left="143"/>
              <w:rPr>
                <w:rFonts w:cstheme="minorHAnsi"/>
              </w:rPr>
            </w:pPr>
            <w:r w:rsidRPr="007B5F19">
              <w:rPr>
                <w:rFonts w:cstheme="minorHAnsi"/>
              </w:rPr>
              <w:t xml:space="preserve">1. To determine the use of BM strategies, stratified by hospital setting, size and complexity of cardiac surgery programs in Australia. </w:t>
            </w:r>
          </w:p>
          <w:p w14:paraId="645C5A58" w14:textId="77777777" w:rsidR="00F526D9" w:rsidRPr="007B5F19" w:rsidRDefault="00F526D9" w:rsidP="00A264CD">
            <w:pPr>
              <w:ind w:left="143"/>
              <w:rPr>
                <w:rFonts w:cstheme="minorHAnsi"/>
              </w:rPr>
            </w:pPr>
            <w:r w:rsidRPr="007B5F19">
              <w:rPr>
                <w:rFonts w:cstheme="minorHAnsi"/>
              </w:rPr>
              <w:t xml:space="preserve">2. To understand the barriers and facilitators to implementation of evidence-based BM in Australian adult cardiac surgery units. </w:t>
            </w:r>
          </w:p>
          <w:p w14:paraId="4602BD75" w14:textId="77777777" w:rsidR="00F526D9" w:rsidRDefault="00F526D9" w:rsidP="00A264CD">
            <w:pPr>
              <w:spacing w:before="100" w:beforeAutospacing="1" w:after="100" w:afterAutospacing="1" w:line="240" w:lineRule="auto"/>
              <w:ind w:left="143"/>
            </w:pPr>
            <w:r w:rsidRPr="007B5F19">
              <w:rPr>
                <w:rFonts w:cstheme="minorHAnsi"/>
              </w:rPr>
              <w:t>3. To use the data to support the development of a conceptual model of BM implementation that is transferrable across cardiac surgery units in Australia</w:t>
            </w:r>
          </w:p>
        </w:tc>
        <w:tc>
          <w:tcPr>
            <w:tcW w:w="666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22B0306" w14:textId="77777777" w:rsidR="00F526D9" w:rsidRPr="007B5F19" w:rsidRDefault="00F526D9" w:rsidP="00A264CD">
            <w:pPr>
              <w:rPr>
                <w:rFonts w:cstheme="minorHAnsi"/>
              </w:rPr>
            </w:pPr>
            <w:r w:rsidRPr="007B5F19">
              <w:rPr>
                <w:rFonts w:cstheme="minorHAnsi"/>
              </w:rPr>
              <w:t xml:space="preserve">Over 25000 cardiac surgery operations are performed in 59 cardiac surgery units across Australia annually. An aging Australian population, evermore complex procedures, increased co-morbidities, anaemia and use of antiplatelet agents, dominates cardiac surgery. Risk of </w:t>
            </w:r>
            <w:proofErr w:type="gramStart"/>
            <w:r w:rsidRPr="007B5F19">
              <w:rPr>
                <w:rFonts w:cstheme="minorHAnsi"/>
              </w:rPr>
              <w:t>bleeding</w:t>
            </w:r>
            <w:proofErr w:type="gramEnd"/>
            <w:r w:rsidRPr="007B5F19">
              <w:rPr>
                <w:rFonts w:cstheme="minorHAnsi"/>
              </w:rPr>
              <w:t xml:space="preserve"> therefore, is high. Blood transfusion (BT) is a commonly used treatment option to manage bleeding and cardiac surgery units are known high users of blood products.</w:t>
            </w:r>
          </w:p>
          <w:p w14:paraId="771FEEFE" w14:textId="77777777" w:rsidR="00F526D9" w:rsidRPr="007B5F19" w:rsidRDefault="00F526D9" w:rsidP="00A264CD">
            <w:pPr>
              <w:autoSpaceDE w:val="0"/>
              <w:autoSpaceDN w:val="0"/>
              <w:adjustRightInd w:val="0"/>
              <w:spacing w:after="0" w:line="240" w:lineRule="auto"/>
              <w:rPr>
                <w:rFonts w:cstheme="minorHAnsi"/>
              </w:rPr>
            </w:pPr>
            <w:r w:rsidRPr="007B5F19">
              <w:rPr>
                <w:rFonts w:cstheme="minorHAnsi"/>
              </w:rPr>
              <w:t>There is currently no literature from Australian cardiac</w:t>
            </w:r>
          </w:p>
          <w:p w14:paraId="1F20832E" w14:textId="77777777" w:rsidR="00F526D9" w:rsidRDefault="00F526D9" w:rsidP="00A264CD">
            <w:pPr>
              <w:autoSpaceDE w:val="0"/>
              <w:autoSpaceDN w:val="0"/>
              <w:adjustRightInd w:val="0"/>
              <w:spacing w:after="0" w:line="240" w:lineRule="auto"/>
              <w:rPr>
                <w:rFonts w:cstheme="minorHAnsi"/>
              </w:rPr>
            </w:pPr>
            <w:r w:rsidRPr="007B5F19">
              <w:rPr>
                <w:rFonts w:cstheme="minorHAnsi"/>
              </w:rPr>
              <w:t xml:space="preserve">surgery units identifying </w:t>
            </w:r>
          </w:p>
          <w:p w14:paraId="3D554DC2" w14:textId="77777777" w:rsidR="00F526D9" w:rsidRPr="007B5F19" w:rsidRDefault="00F526D9" w:rsidP="00A264CD">
            <w:pPr>
              <w:autoSpaceDE w:val="0"/>
              <w:autoSpaceDN w:val="0"/>
              <w:adjustRightInd w:val="0"/>
              <w:spacing w:after="0" w:line="240" w:lineRule="auto"/>
              <w:rPr>
                <w:rFonts w:cstheme="minorHAnsi"/>
              </w:rPr>
            </w:pPr>
            <w:r w:rsidRPr="007B5F19">
              <w:rPr>
                <w:rFonts w:cstheme="minorHAnsi"/>
              </w:rPr>
              <w:t>(</w:t>
            </w:r>
            <w:proofErr w:type="spellStart"/>
            <w:r w:rsidRPr="007B5F19">
              <w:rPr>
                <w:rFonts w:cstheme="minorHAnsi"/>
              </w:rPr>
              <w:t>i</w:t>
            </w:r>
            <w:proofErr w:type="spellEnd"/>
            <w:r w:rsidRPr="007B5F19">
              <w:rPr>
                <w:rFonts w:cstheme="minorHAnsi"/>
              </w:rPr>
              <w:t>) the degree to which evidence</w:t>
            </w:r>
          </w:p>
          <w:p w14:paraId="0C94E159" w14:textId="77777777" w:rsidR="00F526D9" w:rsidRDefault="00F526D9" w:rsidP="00A264CD">
            <w:pPr>
              <w:autoSpaceDE w:val="0"/>
              <w:autoSpaceDN w:val="0"/>
              <w:adjustRightInd w:val="0"/>
              <w:spacing w:after="0" w:line="240" w:lineRule="auto"/>
              <w:rPr>
                <w:rFonts w:cstheme="minorHAnsi"/>
              </w:rPr>
            </w:pPr>
            <w:r w:rsidRPr="007B5F19">
              <w:rPr>
                <w:rFonts w:cstheme="minorHAnsi"/>
              </w:rPr>
              <w:t xml:space="preserve">based bleeding management (BM) strategies are used, or </w:t>
            </w:r>
          </w:p>
          <w:p w14:paraId="4695CCF4" w14:textId="77777777" w:rsidR="00F526D9" w:rsidRPr="007B5F19" w:rsidRDefault="00F526D9" w:rsidP="00A264CD">
            <w:pPr>
              <w:autoSpaceDE w:val="0"/>
              <w:autoSpaceDN w:val="0"/>
              <w:adjustRightInd w:val="0"/>
              <w:spacing w:after="0" w:line="240" w:lineRule="auto"/>
              <w:rPr>
                <w:rFonts w:cstheme="minorHAnsi"/>
              </w:rPr>
            </w:pPr>
            <w:r w:rsidRPr="007B5F19">
              <w:rPr>
                <w:rFonts w:cstheme="minorHAnsi"/>
              </w:rPr>
              <w:t>(ii) barriers or enablers that influence effective BM</w:t>
            </w:r>
          </w:p>
          <w:p w14:paraId="7BE47A43" w14:textId="77777777" w:rsidR="00F526D9" w:rsidRPr="007B5F19" w:rsidRDefault="00F526D9" w:rsidP="00A264CD">
            <w:pPr>
              <w:autoSpaceDE w:val="0"/>
              <w:autoSpaceDN w:val="0"/>
              <w:adjustRightInd w:val="0"/>
              <w:spacing w:after="0" w:line="240" w:lineRule="auto"/>
              <w:rPr>
                <w:rFonts w:cstheme="minorHAnsi"/>
              </w:rPr>
            </w:pPr>
            <w:r w:rsidRPr="007B5F19">
              <w:rPr>
                <w:rFonts w:cstheme="minorHAnsi"/>
              </w:rPr>
              <w:t>implementation.</w:t>
            </w:r>
          </w:p>
          <w:p w14:paraId="07336370" w14:textId="77777777" w:rsidR="00F526D9" w:rsidRPr="007B5F19" w:rsidRDefault="00F526D9" w:rsidP="00A264CD">
            <w:pPr>
              <w:autoSpaceDE w:val="0"/>
              <w:autoSpaceDN w:val="0"/>
              <w:adjustRightInd w:val="0"/>
              <w:spacing w:after="0" w:line="240" w:lineRule="auto"/>
              <w:rPr>
                <w:rFonts w:cstheme="minorHAnsi"/>
              </w:rPr>
            </w:pPr>
          </w:p>
          <w:p w14:paraId="597A8658" w14:textId="112AC29F" w:rsidR="00F526D9" w:rsidRPr="007B5F19" w:rsidRDefault="00F526D9" w:rsidP="00A264CD">
            <w:pPr>
              <w:autoSpaceDE w:val="0"/>
              <w:autoSpaceDN w:val="0"/>
              <w:adjustRightInd w:val="0"/>
              <w:spacing w:after="0" w:line="240" w:lineRule="auto"/>
              <w:rPr>
                <w:rFonts w:cstheme="minorHAnsi"/>
              </w:rPr>
            </w:pPr>
            <w:proofErr w:type="gramStart"/>
            <w:r>
              <w:rPr>
                <w:rFonts w:cstheme="minorHAnsi"/>
              </w:rPr>
              <w:t>The</w:t>
            </w:r>
            <w:r w:rsidRPr="007B5F19">
              <w:rPr>
                <w:rFonts w:cstheme="minorHAnsi"/>
              </w:rPr>
              <w:t xml:space="preserve"> 2017/18 </w:t>
            </w:r>
            <w:r>
              <w:rPr>
                <w:rFonts w:cstheme="minorHAnsi"/>
              </w:rPr>
              <w:t>part</w:t>
            </w:r>
            <w:proofErr w:type="gramEnd"/>
            <w:r>
              <w:rPr>
                <w:rFonts w:cstheme="minorHAnsi"/>
              </w:rPr>
              <w:t xml:space="preserve"> of the </w:t>
            </w:r>
            <w:r w:rsidRPr="007B5F19">
              <w:rPr>
                <w:rFonts w:cstheme="minorHAnsi"/>
              </w:rPr>
              <w:t>study will</w:t>
            </w:r>
            <w:r>
              <w:rPr>
                <w:rFonts w:cstheme="minorHAnsi"/>
              </w:rPr>
              <w:t xml:space="preserve"> </w:t>
            </w:r>
            <w:r w:rsidRPr="007B5F19">
              <w:rPr>
                <w:rFonts w:cstheme="minorHAnsi"/>
              </w:rPr>
              <w:t>comprise a cross-sectional national questionnaire survey to</w:t>
            </w:r>
            <w:r>
              <w:rPr>
                <w:rFonts w:cstheme="minorHAnsi"/>
              </w:rPr>
              <w:t xml:space="preserve"> </w:t>
            </w:r>
            <w:r w:rsidRPr="007B5F19">
              <w:rPr>
                <w:rFonts w:cstheme="minorHAnsi"/>
              </w:rPr>
              <w:t>quantify the extent to which Australian cardiac surgery units</w:t>
            </w:r>
            <w:r>
              <w:rPr>
                <w:rFonts w:cstheme="minorHAnsi"/>
              </w:rPr>
              <w:t xml:space="preserve"> </w:t>
            </w:r>
            <w:r w:rsidRPr="007B5F19">
              <w:rPr>
                <w:rFonts w:cstheme="minorHAnsi"/>
              </w:rPr>
              <w:t>are employing BM strategies that are identified and</w:t>
            </w:r>
            <w:r>
              <w:rPr>
                <w:rFonts w:cstheme="minorHAnsi"/>
              </w:rPr>
              <w:t xml:space="preserve"> </w:t>
            </w:r>
            <w:r w:rsidRPr="007B5F19">
              <w:rPr>
                <w:rFonts w:cstheme="minorHAnsi"/>
              </w:rPr>
              <w:t>recommended in Clinical Practice Guidelines (CPGs). Th</w:t>
            </w:r>
            <w:r>
              <w:rPr>
                <w:rFonts w:cstheme="minorHAnsi"/>
              </w:rPr>
              <w:t>e</w:t>
            </w:r>
          </w:p>
          <w:p w14:paraId="4C80C2D2" w14:textId="77777777" w:rsidR="00F526D9" w:rsidRPr="007B5F19" w:rsidRDefault="00F526D9" w:rsidP="00A264CD">
            <w:pPr>
              <w:autoSpaceDE w:val="0"/>
              <w:autoSpaceDN w:val="0"/>
              <w:adjustRightInd w:val="0"/>
              <w:spacing w:after="0" w:line="240" w:lineRule="auto"/>
              <w:rPr>
                <w:rFonts w:cstheme="minorHAnsi"/>
              </w:rPr>
            </w:pPr>
            <w:r w:rsidRPr="007B5F19">
              <w:rPr>
                <w:rFonts w:cstheme="minorHAnsi"/>
              </w:rPr>
              <w:t>survey will identify gaps between ‘what is known’ and ‘what</w:t>
            </w:r>
          </w:p>
          <w:p w14:paraId="02BEDEDD" w14:textId="77777777" w:rsidR="00F526D9" w:rsidRPr="007B5F19" w:rsidRDefault="00F526D9" w:rsidP="00A264CD">
            <w:pPr>
              <w:autoSpaceDE w:val="0"/>
              <w:autoSpaceDN w:val="0"/>
              <w:adjustRightInd w:val="0"/>
              <w:spacing w:after="0" w:line="240" w:lineRule="auto"/>
              <w:rPr>
                <w:rFonts w:cstheme="minorHAnsi"/>
              </w:rPr>
            </w:pPr>
            <w:r w:rsidRPr="007B5F19">
              <w:rPr>
                <w:rFonts w:cstheme="minorHAnsi"/>
              </w:rPr>
              <w:t>care is applied’ and also highlight potential barriers to</w:t>
            </w:r>
          </w:p>
          <w:p w14:paraId="6F787F53" w14:textId="77777777" w:rsidR="00F526D9" w:rsidRPr="007B5F19" w:rsidRDefault="00F526D9" w:rsidP="00A264CD">
            <w:pPr>
              <w:autoSpaceDE w:val="0"/>
              <w:autoSpaceDN w:val="0"/>
              <w:adjustRightInd w:val="0"/>
              <w:spacing w:after="0" w:line="240" w:lineRule="auto"/>
              <w:rPr>
                <w:rFonts w:cstheme="minorHAnsi"/>
              </w:rPr>
            </w:pPr>
            <w:r w:rsidRPr="007B5F19">
              <w:rPr>
                <w:rFonts w:cstheme="minorHAnsi"/>
              </w:rPr>
              <w:t>implementing best practice.</w:t>
            </w:r>
          </w:p>
          <w:p w14:paraId="7CB99873" w14:textId="77777777" w:rsidR="00F526D9" w:rsidRPr="007B5F19" w:rsidRDefault="00F526D9" w:rsidP="00A264CD">
            <w:pPr>
              <w:autoSpaceDE w:val="0"/>
              <w:autoSpaceDN w:val="0"/>
              <w:adjustRightInd w:val="0"/>
              <w:spacing w:after="0" w:line="240" w:lineRule="auto"/>
              <w:rPr>
                <w:rFonts w:cstheme="minorHAnsi"/>
              </w:rPr>
            </w:pPr>
          </w:p>
          <w:p w14:paraId="771A69F0" w14:textId="77777777" w:rsidR="00F526D9" w:rsidRPr="007B5F19" w:rsidRDefault="00F526D9" w:rsidP="00A264CD">
            <w:pPr>
              <w:autoSpaceDE w:val="0"/>
              <w:autoSpaceDN w:val="0"/>
              <w:adjustRightInd w:val="0"/>
              <w:spacing w:after="0" w:line="240" w:lineRule="auto"/>
              <w:rPr>
                <w:rFonts w:cstheme="minorHAnsi"/>
              </w:rPr>
            </w:pPr>
            <w:r w:rsidRPr="007B5F19">
              <w:rPr>
                <w:rFonts w:cstheme="minorHAnsi"/>
              </w:rPr>
              <w:t xml:space="preserve">In 2018/19 The study will use semi structured interviews and thematic analysis to facilitate the exploration of clinician’s experiences, as well as </w:t>
            </w:r>
            <w:proofErr w:type="spellStart"/>
            <w:r w:rsidRPr="007B5F19">
              <w:rPr>
                <w:rFonts w:cstheme="minorHAnsi"/>
              </w:rPr>
              <w:t>thegeneration</w:t>
            </w:r>
            <w:proofErr w:type="spellEnd"/>
            <w:r w:rsidRPr="007B5F19">
              <w:rPr>
                <w:rFonts w:cstheme="minorHAnsi"/>
              </w:rPr>
              <w:t xml:space="preserve"> of ideas in relation to barriers and facilitators to</w:t>
            </w:r>
          </w:p>
          <w:p w14:paraId="4B5F0742" w14:textId="77777777" w:rsidR="00F526D9" w:rsidRPr="007B5F19" w:rsidRDefault="00F526D9" w:rsidP="00A264CD">
            <w:pPr>
              <w:autoSpaceDE w:val="0"/>
              <w:autoSpaceDN w:val="0"/>
              <w:adjustRightInd w:val="0"/>
              <w:spacing w:after="0" w:line="240" w:lineRule="auto"/>
              <w:rPr>
                <w:rFonts w:cstheme="minorHAnsi"/>
              </w:rPr>
            </w:pPr>
            <w:r w:rsidRPr="007B5F19">
              <w:rPr>
                <w:rFonts w:cstheme="minorHAnsi"/>
              </w:rPr>
              <w:t>effective implementation of BM. Real life problems and</w:t>
            </w:r>
          </w:p>
          <w:p w14:paraId="17A65E8C" w14:textId="77777777" w:rsidR="00F526D9" w:rsidRDefault="00F526D9" w:rsidP="00A264CD">
            <w:pPr>
              <w:autoSpaceDE w:val="0"/>
              <w:autoSpaceDN w:val="0"/>
              <w:adjustRightInd w:val="0"/>
              <w:spacing w:after="0" w:line="240" w:lineRule="auto"/>
              <w:rPr>
                <w:rFonts w:cstheme="minorHAnsi"/>
              </w:rPr>
            </w:pPr>
            <w:r w:rsidRPr="007B5F19">
              <w:rPr>
                <w:rFonts w:cstheme="minorHAnsi"/>
              </w:rPr>
              <w:t xml:space="preserve">solutions will be discussed and an inclusive list of </w:t>
            </w:r>
          </w:p>
          <w:p w14:paraId="6485E617" w14:textId="77777777" w:rsidR="00F526D9" w:rsidRDefault="00F526D9" w:rsidP="00A264CD">
            <w:pPr>
              <w:autoSpaceDE w:val="0"/>
              <w:autoSpaceDN w:val="0"/>
              <w:adjustRightInd w:val="0"/>
              <w:spacing w:after="0" w:line="240" w:lineRule="auto"/>
              <w:rPr>
                <w:rFonts w:cstheme="minorHAnsi"/>
              </w:rPr>
            </w:pPr>
            <w:r w:rsidRPr="007B5F19">
              <w:rPr>
                <w:rFonts w:cstheme="minorHAnsi"/>
              </w:rPr>
              <w:t>(</w:t>
            </w:r>
            <w:proofErr w:type="spellStart"/>
            <w:r w:rsidRPr="007B5F19">
              <w:rPr>
                <w:rFonts w:cstheme="minorHAnsi"/>
              </w:rPr>
              <w:t>i</w:t>
            </w:r>
            <w:proofErr w:type="spellEnd"/>
            <w:r w:rsidRPr="007B5F19">
              <w:rPr>
                <w:rFonts w:cstheme="minorHAnsi"/>
              </w:rPr>
              <w:t>) barriers</w:t>
            </w:r>
            <w:r>
              <w:rPr>
                <w:rFonts w:cstheme="minorHAnsi"/>
              </w:rPr>
              <w:t xml:space="preserve"> </w:t>
            </w:r>
            <w:r w:rsidRPr="007B5F19">
              <w:rPr>
                <w:rFonts w:cstheme="minorHAnsi"/>
              </w:rPr>
              <w:t xml:space="preserve">and </w:t>
            </w:r>
          </w:p>
          <w:p w14:paraId="7FD8FA43" w14:textId="77777777" w:rsidR="00F526D9" w:rsidRPr="007B5F19" w:rsidRDefault="00F526D9" w:rsidP="00A264CD">
            <w:pPr>
              <w:autoSpaceDE w:val="0"/>
              <w:autoSpaceDN w:val="0"/>
              <w:adjustRightInd w:val="0"/>
              <w:spacing w:after="0" w:line="240" w:lineRule="auto"/>
              <w:rPr>
                <w:rFonts w:cstheme="minorHAnsi"/>
              </w:rPr>
            </w:pPr>
            <w:r w:rsidRPr="007B5F19">
              <w:rPr>
                <w:rFonts w:cstheme="minorHAnsi"/>
              </w:rPr>
              <w:t>(ii) facilitators, will be developed and prioritised.</w:t>
            </w:r>
          </w:p>
          <w:p w14:paraId="4205CA7C" w14:textId="77777777" w:rsidR="00F526D9" w:rsidRPr="007B5F19" w:rsidRDefault="00F526D9" w:rsidP="00A264CD">
            <w:pPr>
              <w:autoSpaceDE w:val="0"/>
              <w:autoSpaceDN w:val="0"/>
              <w:adjustRightInd w:val="0"/>
              <w:spacing w:after="0" w:line="240" w:lineRule="auto"/>
              <w:rPr>
                <w:rFonts w:cstheme="minorHAnsi"/>
              </w:rPr>
            </w:pPr>
            <w:r w:rsidRPr="007B5F19">
              <w:rPr>
                <w:rFonts w:cstheme="minorHAnsi"/>
              </w:rPr>
              <w:t>Prioritised issues may demonstrate distinct perspectives of</w:t>
            </w:r>
          </w:p>
          <w:p w14:paraId="7335D17C" w14:textId="77777777" w:rsidR="00F526D9" w:rsidRPr="007B5F19" w:rsidRDefault="00F526D9" w:rsidP="00A264CD">
            <w:pPr>
              <w:autoSpaceDE w:val="0"/>
              <w:autoSpaceDN w:val="0"/>
              <w:adjustRightInd w:val="0"/>
              <w:spacing w:after="0" w:line="240" w:lineRule="auto"/>
              <w:rPr>
                <w:rFonts w:cstheme="minorHAnsi"/>
              </w:rPr>
            </w:pPr>
            <w:r w:rsidRPr="007B5F19">
              <w:rPr>
                <w:rFonts w:cstheme="minorHAnsi"/>
              </w:rPr>
              <w:t>individual centres highlighting department, demographic and</w:t>
            </w:r>
          </w:p>
          <w:p w14:paraId="72B26519" w14:textId="77777777" w:rsidR="00F526D9" w:rsidRPr="007B5F19" w:rsidRDefault="00F526D9" w:rsidP="00A264CD">
            <w:pPr>
              <w:autoSpaceDE w:val="0"/>
              <w:autoSpaceDN w:val="0"/>
              <w:adjustRightInd w:val="0"/>
              <w:spacing w:after="0" w:line="240" w:lineRule="auto"/>
              <w:rPr>
                <w:rFonts w:cstheme="minorHAnsi"/>
              </w:rPr>
            </w:pPr>
            <w:r w:rsidRPr="007B5F19">
              <w:rPr>
                <w:rFonts w:cstheme="minorHAnsi"/>
              </w:rPr>
              <w:t>geographical characteristics that need consideration when</w:t>
            </w:r>
          </w:p>
          <w:p w14:paraId="40DD7561" w14:textId="77777777" w:rsidR="00F526D9" w:rsidRPr="007B5F19" w:rsidRDefault="00F526D9" w:rsidP="00A264CD">
            <w:pPr>
              <w:autoSpaceDE w:val="0"/>
              <w:autoSpaceDN w:val="0"/>
              <w:adjustRightInd w:val="0"/>
              <w:spacing w:after="0" w:line="240" w:lineRule="auto"/>
              <w:rPr>
                <w:rFonts w:cstheme="minorHAnsi"/>
              </w:rPr>
            </w:pPr>
            <w:r w:rsidRPr="007B5F19">
              <w:rPr>
                <w:rFonts w:cstheme="minorHAnsi"/>
              </w:rPr>
              <w:t>developing a conceptual model of BM implementation.</w:t>
            </w:r>
          </w:p>
          <w:p w14:paraId="0AECE97A" w14:textId="77777777" w:rsidR="00F526D9" w:rsidRPr="007B5F19" w:rsidRDefault="00F526D9" w:rsidP="00A264CD">
            <w:pPr>
              <w:autoSpaceDE w:val="0"/>
              <w:autoSpaceDN w:val="0"/>
              <w:adjustRightInd w:val="0"/>
              <w:spacing w:after="0" w:line="240" w:lineRule="auto"/>
              <w:rPr>
                <w:rFonts w:cstheme="minorHAnsi"/>
              </w:rPr>
            </w:pPr>
          </w:p>
          <w:p w14:paraId="3DC59BA0" w14:textId="77777777" w:rsidR="00F526D9" w:rsidRPr="007B5F19" w:rsidRDefault="00F526D9" w:rsidP="00A264CD">
            <w:pPr>
              <w:autoSpaceDE w:val="0"/>
              <w:autoSpaceDN w:val="0"/>
              <w:adjustRightInd w:val="0"/>
              <w:spacing w:after="0" w:line="240" w:lineRule="auto"/>
              <w:rPr>
                <w:rFonts w:cstheme="minorHAnsi"/>
              </w:rPr>
            </w:pPr>
            <w:r w:rsidRPr="007B5F19">
              <w:rPr>
                <w:rFonts w:cstheme="minorHAnsi"/>
              </w:rPr>
              <w:t>Data from these studies will support the development of a</w:t>
            </w:r>
          </w:p>
          <w:p w14:paraId="60F02CB4" w14:textId="77777777" w:rsidR="00F526D9" w:rsidRPr="007B5F19" w:rsidRDefault="00F526D9" w:rsidP="00A264CD">
            <w:pPr>
              <w:autoSpaceDE w:val="0"/>
              <w:autoSpaceDN w:val="0"/>
              <w:adjustRightInd w:val="0"/>
              <w:spacing w:after="0" w:line="240" w:lineRule="auto"/>
              <w:rPr>
                <w:rFonts w:cstheme="minorHAnsi"/>
              </w:rPr>
            </w:pPr>
            <w:r w:rsidRPr="007B5F19">
              <w:rPr>
                <w:rFonts w:cstheme="minorHAnsi"/>
              </w:rPr>
              <w:t>conceptual model of BM implementation that could be used</w:t>
            </w:r>
          </w:p>
          <w:p w14:paraId="78EFDE96" w14:textId="77777777" w:rsidR="00F526D9" w:rsidRPr="007B5F19" w:rsidRDefault="00F526D9" w:rsidP="00A264CD">
            <w:pPr>
              <w:autoSpaceDE w:val="0"/>
              <w:autoSpaceDN w:val="0"/>
              <w:adjustRightInd w:val="0"/>
              <w:spacing w:after="0" w:line="240" w:lineRule="auto"/>
              <w:rPr>
                <w:rFonts w:cstheme="minorHAnsi"/>
              </w:rPr>
            </w:pPr>
            <w:r w:rsidRPr="007B5F19">
              <w:rPr>
                <w:rFonts w:cstheme="minorHAnsi"/>
              </w:rPr>
              <w:t>by cardiac surgery units around Australia.</w:t>
            </w:r>
          </w:p>
          <w:p w14:paraId="253B2198" w14:textId="77777777" w:rsidR="00F526D9" w:rsidRPr="007B5F19" w:rsidRDefault="00F526D9" w:rsidP="00A264CD">
            <w:pPr>
              <w:rPr>
                <w:rFonts w:cstheme="minorHAnsi"/>
              </w:rPr>
            </w:pPr>
          </w:p>
        </w:tc>
        <w:tc>
          <w:tcPr>
            <w:tcW w:w="4111"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42827931" w14:textId="42E9C44C" w:rsidR="00F526D9" w:rsidRPr="007B5F19" w:rsidRDefault="00D66E33" w:rsidP="00AF0B03">
            <w:pPr>
              <w:tabs>
                <w:tab w:val="left" w:pos="1396"/>
              </w:tabs>
              <w:spacing w:before="100" w:beforeAutospacing="1" w:after="100" w:afterAutospacing="1" w:line="240" w:lineRule="auto"/>
              <w:ind w:left="119"/>
              <w:rPr>
                <w:rFonts w:eastAsiaTheme="minorEastAsia" w:cstheme="minorHAnsi"/>
                <w:color w:val="161616"/>
                <w:spacing w:val="3"/>
                <w:lang w:eastAsia="en-AU"/>
              </w:rPr>
            </w:pPr>
            <w:hyperlink r:id="rId10" w:tgtFrame="_blank" w:history="1">
              <w:r w:rsidR="00F526D9" w:rsidRPr="007B5F19">
                <w:rPr>
                  <w:rFonts w:eastAsiaTheme="minorEastAsia" w:cstheme="minorHAnsi"/>
                  <w:color w:val="0000FF"/>
                  <w:spacing w:val="4"/>
                  <w:u w:val="single"/>
                  <w:lang w:eastAsia="en-AU"/>
                </w:rPr>
                <w:t xml:space="preserve">Bleeding Management Practices of Australian Cardiac Surgeons, </w:t>
              </w:r>
              <w:proofErr w:type="spellStart"/>
              <w:r w:rsidR="00F526D9" w:rsidRPr="007B5F19">
                <w:rPr>
                  <w:rFonts w:eastAsiaTheme="minorEastAsia" w:cstheme="minorHAnsi"/>
                  <w:color w:val="0000FF"/>
                  <w:spacing w:val="4"/>
                  <w:u w:val="single"/>
                  <w:lang w:eastAsia="en-AU"/>
                </w:rPr>
                <w:t>Anesthesiologists</w:t>
              </w:r>
              <w:proofErr w:type="spellEnd"/>
              <w:r w:rsidR="00F526D9" w:rsidRPr="007B5F19">
                <w:rPr>
                  <w:rFonts w:eastAsiaTheme="minorEastAsia" w:cstheme="minorHAnsi"/>
                  <w:color w:val="0000FF"/>
                  <w:spacing w:val="4"/>
                  <w:u w:val="single"/>
                  <w:lang w:eastAsia="en-AU"/>
                </w:rPr>
                <w:t xml:space="preserve"> and Perfusionists: A Cross-Sectional National Survey Incorporating the Theoretical Domains Framework (TDF) and COM-B Model</w:t>
              </w:r>
            </w:hyperlink>
          </w:p>
          <w:p w14:paraId="22701B67" w14:textId="47845F9D" w:rsidR="00F526D9" w:rsidRPr="002B7C95" w:rsidRDefault="00D66E33" w:rsidP="00A264CD">
            <w:pPr>
              <w:tabs>
                <w:tab w:val="left" w:pos="1396"/>
              </w:tabs>
              <w:spacing w:before="100" w:beforeAutospacing="1" w:after="100" w:afterAutospacing="1" w:line="240" w:lineRule="auto"/>
              <w:ind w:left="119"/>
              <w:rPr>
                <w:rFonts w:eastAsiaTheme="minorEastAsia" w:cstheme="minorHAnsi"/>
                <w:color w:val="0000FF"/>
                <w:spacing w:val="4"/>
                <w:u w:val="single"/>
                <w:lang w:eastAsia="en-AU"/>
              </w:rPr>
            </w:pPr>
            <w:hyperlink r:id="rId11" w:history="1">
              <w:r w:rsidR="00F526D9" w:rsidRPr="002B7C95">
                <w:rPr>
                  <w:color w:val="0000FF"/>
                  <w:u w:val="single"/>
                </w:rPr>
                <w:t xml:space="preserve">Barriers and facilitators to implementing </w:t>
              </w:r>
              <w:proofErr w:type="gramStart"/>
              <w:r w:rsidR="00F526D9" w:rsidRPr="002B7C95">
                <w:rPr>
                  <w:color w:val="0000FF"/>
                  <w:u w:val="single"/>
                </w:rPr>
                <w:t>evidence based</w:t>
              </w:r>
              <w:proofErr w:type="gramEnd"/>
              <w:r w:rsidR="00F526D9" w:rsidRPr="002B7C95">
                <w:rPr>
                  <w:color w:val="0000FF"/>
                  <w:u w:val="single"/>
                </w:rPr>
                <w:t xml:space="preserve"> bleeding management in Australian Cardiac Surgery Units: a qualitative interview study analysed with the theoretical domains framework and COM-B model</w:t>
              </w:r>
            </w:hyperlink>
          </w:p>
          <w:p w14:paraId="41D806A6" w14:textId="77777777" w:rsidR="00F526D9" w:rsidRPr="007B5F19" w:rsidRDefault="00F526D9" w:rsidP="00A264CD">
            <w:pPr>
              <w:tabs>
                <w:tab w:val="left" w:pos="1396"/>
              </w:tabs>
              <w:ind w:left="119"/>
              <w:rPr>
                <w:rFonts w:cstheme="minorHAnsi"/>
              </w:rPr>
            </w:pPr>
          </w:p>
        </w:tc>
      </w:tr>
      <w:tr w:rsidR="00F526D9" w:rsidRPr="007B5F19" w14:paraId="69B2E564" w14:textId="77777777" w:rsidTr="00AF0B03">
        <w:trPr>
          <w:trHeight w:val="3086"/>
        </w:trPr>
        <w:tc>
          <w:tcPr>
            <w:tcW w:w="1843"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B031E64" w14:textId="77777777" w:rsidR="00F526D9" w:rsidRPr="007B5F19" w:rsidRDefault="00F526D9" w:rsidP="00A264CD">
            <w:pPr>
              <w:rPr>
                <w:rFonts w:cstheme="minorHAnsi"/>
              </w:rPr>
            </w:pPr>
            <w:r w:rsidRPr="007B5F19">
              <w:rPr>
                <w:rFonts w:cstheme="minorHAnsi"/>
                <w:b/>
                <w:bCs/>
              </w:rPr>
              <w:lastRenderedPageBreak/>
              <w:t>Patient Blood management Project Grant</w:t>
            </w:r>
          </w:p>
        </w:tc>
        <w:tc>
          <w:tcPr>
            <w:tcW w:w="2126"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1B1A53E" w14:textId="77777777" w:rsidR="00F526D9" w:rsidRPr="007B5F19" w:rsidRDefault="00F526D9" w:rsidP="00A264CD">
            <w:pPr>
              <w:rPr>
                <w:rFonts w:cstheme="minorHAnsi"/>
              </w:rPr>
            </w:pPr>
            <w:r w:rsidRPr="007B5F19">
              <w:rPr>
                <w:rFonts w:cstheme="minorHAnsi"/>
              </w:rPr>
              <w:t>The effect of intravenous iron and blood transfusion on patients’ outcomes in women with low haemoglobin after birth</w:t>
            </w:r>
          </w:p>
        </w:tc>
        <w:tc>
          <w:tcPr>
            <w:tcW w:w="1701"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71CF6DF" w14:textId="77777777" w:rsidR="00F526D9" w:rsidRPr="007B5F19" w:rsidRDefault="00F526D9" w:rsidP="00A264CD">
            <w:pPr>
              <w:rPr>
                <w:rFonts w:cstheme="minorHAnsi"/>
              </w:rPr>
            </w:pPr>
            <w:r w:rsidRPr="007B5F19">
              <w:rPr>
                <w:rFonts w:cstheme="minorHAnsi"/>
              </w:rPr>
              <w:t>Western Sydney Local Health District</w:t>
            </w:r>
          </w:p>
        </w:tc>
        <w:tc>
          <w:tcPr>
            <w:tcW w:w="141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4D377718" w14:textId="77777777" w:rsidR="00F526D9" w:rsidRPr="007B5F19" w:rsidRDefault="00F526D9" w:rsidP="00A264CD">
            <w:pPr>
              <w:rPr>
                <w:rFonts w:cstheme="minorHAnsi"/>
              </w:rPr>
            </w:pPr>
            <w:r w:rsidRPr="007B5F19">
              <w:rPr>
                <w:rFonts w:cstheme="minorHAnsi"/>
              </w:rPr>
              <w:t>$90,264.38</w:t>
            </w:r>
          </w:p>
        </w:tc>
        <w:tc>
          <w:tcPr>
            <w:tcW w:w="1417"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3E0B965" w14:textId="77777777" w:rsidR="00F526D9" w:rsidRPr="007B5F19" w:rsidRDefault="00F526D9" w:rsidP="00A264CD">
            <w:pPr>
              <w:rPr>
                <w:rFonts w:cstheme="minorHAnsi"/>
              </w:rPr>
            </w:pPr>
            <w:r w:rsidRPr="007B5F19">
              <w:rPr>
                <w:rFonts w:cstheme="minorHAnsi"/>
              </w:rPr>
              <w:t>Dr Seng Chai Chua</w:t>
            </w:r>
          </w:p>
        </w:tc>
        <w:tc>
          <w:tcPr>
            <w:tcW w:w="3828"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3F354430" w14:textId="77777777" w:rsidR="00F526D9" w:rsidRPr="007B5F19" w:rsidRDefault="00F526D9" w:rsidP="00A264CD">
            <w:pPr>
              <w:spacing w:before="120" w:after="120" w:line="276" w:lineRule="auto"/>
              <w:ind w:left="143"/>
              <w:rPr>
                <w:rFonts w:cstheme="minorHAnsi"/>
              </w:rPr>
            </w:pPr>
            <w:r w:rsidRPr="007B5F19">
              <w:rPr>
                <w:rFonts w:cstheme="minorHAnsi"/>
              </w:rPr>
              <w:t xml:space="preserve">To compare the effect of oral iron </w:t>
            </w:r>
            <w:proofErr w:type="spellStart"/>
            <w:r w:rsidRPr="007B5F19">
              <w:rPr>
                <w:rFonts w:cstheme="minorHAnsi"/>
              </w:rPr>
              <w:t>sulfate</w:t>
            </w:r>
            <w:proofErr w:type="spellEnd"/>
            <w:r w:rsidRPr="007B5F19">
              <w:rPr>
                <w:rFonts w:cstheme="minorHAnsi"/>
              </w:rPr>
              <w:t xml:space="preserve">, iron infusion and blood transfusion plus oral iron </w:t>
            </w:r>
            <w:proofErr w:type="spellStart"/>
            <w:r w:rsidRPr="007B5F19">
              <w:rPr>
                <w:rFonts w:cstheme="minorHAnsi"/>
              </w:rPr>
              <w:t>sulfate</w:t>
            </w:r>
            <w:proofErr w:type="spellEnd"/>
            <w:r w:rsidRPr="007B5F19">
              <w:rPr>
                <w:rFonts w:cstheme="minorHAnsi"/>
              </w:rPr>
              <w:t xml:space="preserve"> on haematological parameters and the physical and psychological wellbeing of postpartum women who develop anaemia after PPH</w:t>
            </w:r>
          </w:p>
          <w:p w14:paraId="7985BFDF" w14:textId="77777777" w:rsidR="00F526D9" w:rsidRDefault="00F526D9" w:rsidP="00A264CD">
            <w:pPr>
              <w:ind w:left="143"/>
            </w:pPr>
          </w:p>
        </w:tc>
        <w:tc>
          <w:tcPr>
            <w:tcW w:w="6662"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B1ED76F" w14:textId="77777777" w:rsidR="00F526D9" w:rsidRPr="007B5F19" w:rsidRDefault="00F526D9" w:rsidP="00A264CD">
            <w:pPr>
              <w:rPr>
                <w:rFonts w:cstheme="minorHAnsi"/>
              </w:rPr>
            </w:pPr>
            <w:r w:rsidRPr="007B5F19">
              <w:rPr>
                <w:rFonts w:cstheme="minorHAnsi"/>
              </w:rPr>
              <w:t xml:space="preserve">This project will investigate the effect of oral iron </w:t>
            </w:r>
            <w:proofErr w:type="spellStart"/>
            <w:r w:rsidRPr="007B5F19">
              <w:rPr>
                <w:rFonts w:cstheme="minorHAnsi"/>
              </w:rPr>
              <w:t>sulfate</w:t>
            </w:r>
            <w:proofErr w:type="spellEnd"/>
            <w:r w:rsidRPr="007B5F19">
              <w:rPr>
                <w:rFonts w:cstheme="minorHAnsi"/>
              </w:rPr>
              <w:t xml:space="preserve">, iron infusion and blood transfusion plus oral iron </w:t>
            </w:r>
            <w:proofErr w:type="spellStart"/>
            <w:r w:rsidRPr="007B5F19">
              <w:rPr>
                <w:rFonts w:cstheme="minorHAnsi"/>
              </w:rPr>
              <w:t>sulfate</w:t>
            </w:r>
            <w:proofErr w:type="spellEnd"/>
            <w:r w:rsidRPr="007B5F19">
              <w:rPr>
                <w:rFonts w:cstheme="minorHAnsi"/>
              </w:rPr>
              <w:t xml:space="preserve"> on multiple haematological parameters including Hb, HCT, reticulocyte, </w:t>
            </w:r>
            <w:proofErr w:type="gramStart"/>
            <w:r w:rsidRPr="007B5F19">
              <w:rPr>
                <w:rFonts w:cstheme="minorHAnsi"/>
              </w:rPr>
              <w:t>ferritin</w:t>
            </w:r>
            <w:proofErr w:type="gramEnd"/>
            <w:r w:rsidRPr="007B5F19">
              <w:rPr>
                <w:rFonts w:cstheme="minorHAnsi"/>
              </w:rPr>
              <w:t xml:space="preserve"> and C-reactive protein (CRP) levels in postpartum women who develop anaemia after postpartum haemorrhage. The project will also explore the clinical efficacy and side effects of oral iron </w:t>
            </w:r>
            <w:proofErr w:type="spellStart"/>
            <w:r w:rsidRPr="007B5F19">
              <w:rPr>
                <w:rFonts w:cstheme="minorHAnsi"/>
              </w:rPr>
              <w:t>sulfate</w:t>
            </w:r>
            <w:proofErr w:type="spellEnd"/>
            <w:r w:rsidRPr="007B5F19">
              <w:rPr>
                <w:rFonts w:cstheme="minorHAnsi"/>
              </w:rPr>
              <w:t xml:space="preserve">, iron infusion and blood transfusion plus oral iron </w:t>
            </w:r>
            <w:proofErr w:type="spellStart"/>
            <w:r w:rsidRPr="007B5F19">
              <w:rPr>
                <w:rFonts w:cstheme="minorHAnsi"/>
              </w:rPr>
              <w:t>sulfate</w:t>
            </w:r>
            <w:proofErr w:type="spellEnd"/>
            <w:r w:rsidRPr="007B5F19">
              <w:rPr>
                <w:rFonts w:cstheme="minorHAnsi"/>
              </w:rPr>
              <w:t>, the cost-effectiveness of the treatments, and the impact of the treatments on maternal physical and psychological wellbeing as well as on infant feeding.</w:t>
            </w:r>
          </w:p>
          <w:p w14:paraId="093B75E6" w14:textId="77777777" w:rsidR="00F526D9" w:rsidRPr="007B5F19" w:rsidRDefault="00F526D9" w:rsidP="00A264CD">
            <w:pPr>
              <w:rPr>
                <w:rFonts w:cstheme="minorHAnsi"/>
              </w:rPr>
            </w:pPr>
            <w:r w:rsidRPr="007B5F19">
              <w:rPr>
                <w:rFonts w:cstheme="minorHAnsi"/>
              </w:rPr>
              <w:t xml:space="preserve"> </w:t>
            </w:r>
          </w:p>
        </w:tc>
        <w:tc>
          <w:tcPr>
            <w:tcW w:w="4111" w:type="dxa"/>
            <w:tcBorders>
              <w:top w:val="single" w:sz="24" w:space="0" w:color="FFFFFF"/>
              <w:left w:val="single" w:sz="8" w:space="0" w:color="FFFFFF"/>
              <w:bottom w:val="single" w:sz="8" w:space="0" w:color="FFFFFF"/>
              <w:right w:val="single" w:sz="8" w:space="0" w:color="FFFFFF"/>
            </w:tcBorders>
            <w:shd w:val="clear" w:color="auto" w:fill="F2F2F2" w:themeFill="background1" w:themeFillShade="F2"/>
          </w:tcPr>
          <w:p w14:paraId="4926B15A" w14:textId="77777777" w:rsidR="00F526D9" w:rsidRPr="00C03A24" w:rsidRDefault="00D66E33" w:rsidP="0092706A">
            <w:pPr>
              <w:tabs>
                <w:tab w:val="left" w:pos="1396"/>
              </w:tabs>
              <w:spacing w:before="100" w:beforeAutospacing="1" w:after="100" w:afterAutospacing="1" w:line="240" w:lineRule="auto"/>
              <w:ind w:left="119"/>
              <w:rPr>
                <w:rFonts w:eastAsiaTheme="minorEastAsia" w:cstheme="minorHAnsi"/>
                <w:color w:val="0000FF"/>
                <w:spacing w:val="4"/>
                <w:u w:val="single"/>
                <w:lang w:eastAsia="en-AU"/>
              </w:rPr>
            </w:pPr>
            <w:hyperlink r:id="rId12" w:anchor="ack1" w:history="1">
              <w:r w:rsidR="00F526D9" w:rsidRPr="00C03A24">
                <w:rPr>
                  <w:rFonts w:eastAsiaTheme="minorEastAsia" w:cstheme="minorHAnsi"/>
                  <w:color w:val="0000FF"/>
                  <w:spacing w:val="4"/>
                  <w:u w:val="single"/>
                  <w:lang w:eastAsia="en-AU"/>
                </w:rPr>
                <w:t>Intravenous iron vs blood for acute post-partum anaemia (IIBAPPA): a prospective randomised trial - PMC</w:t>
              </w:r>
            </w:hyperlink>
            <w:r w:rsidR="00F526D9" w:rsidRPr="00C03A24">
              <w:rPr>
                <w:rFonts w:eastAsiaTheme="minorEastAsia" w:cstheme="minorHAnsi"/>
                <w:color w:val="0000FF"/>
                <w:spacing w:val="4"/>
                <w:u w:val="single"/>
                <w:lang w:eastAsia="en-AU"/>
              </w:rPr>
              <w:t xml:space="preserve"> </w:t>
            </w:r>
          </w:p>
          <w:p w14:paraId="6C6E9765" w14:textId="77777777" w:rsidR="00F526D9" w:rsidRPr="0092706A" w:rsidRDefault="00F526D9" w:rsidP="0092706A">
            <w:pPr>
              <w:tabs>
                <w:tab w:val="left" w:pos="1396"/>
              </w:tabs>
              <w:spacing w:before="100" w:beforeAutospacing="1" w:after="100" w:afterAutospacing="1" w:line="240" w:lineRule="auto"/>
              <w:ind w:left="119"/>
              <w:rPr>
                <w:rFonts w:eastAsiaTheme="minorEastAsia" w:cstheme="minorHAnsi"/>
                <w:color w:val="0000FF"/>
                <w:spacing w:val="4"/>
                <w:u w:val="single"/>
                <w:lang w:eastAsia="en-AU"/>
              </w:rPr>
            </w:pPr>
          </w:p>
        </w:tc>
      </w:tr>
      <w:tr w:rsidR="00F526D9" w:rsidRPr="007B5F19" w14:paraId="358FDA84" w14:textId="77777777" w:rsidTr="00AF0B03">
        <w:trPr>
          <w:trHeight w:val="1036"/>
        </w:trPr>
        <w:tc>
          <w:tcPr>
            <w:tcW w:w="184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F171628" w14:textId="77777777" w:rsidR="00F526D9" w:rsidRPr="007B5F19" w:rsidRDefault="00F526D9" w:rsidP="00A264CD">
            <w:pPr>
              <w:rPr>
                <w:rFonts w:cstheme="minorHAnsi"/>
                <w:b/>
                <w:bCs/>
              </w:rPr>
            </w:pPr>
            <w:r w:rsidRPr="007B5F19">
              <w:rPr>
                <w:rFonts w:eastAsiaTheme="minorEastAsia" w:cstheme="minorHAnsi"/>
                <w:b/>
                <w:bCs/>
              </w:rPr>
              <w:t>Immunoglobulin Project Grants</w:t>
            </w:r>
          </w:p>
        </w:tc>
        <w:tc>
          <w:tcPr>
            <w:tcW w:w="212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3B9B46F" w14:textId="77777777" w:rsidR="00F526D9" w:rsidRPr="007B5F19" w:rsidRDefault="00F526D9" w:rsidP="00A264CD">
            <w:pPr>
              <w:rPr>
                <w:rFonts w:cstheme="minorHAnsi"/>
              </w:rPr>
            </w:pPr>
            <w:r w:rsidRPr="007B5F19">
              <w:rPr>
                <w:rFonts w:cstheme="minorHAnsi"/>
              </w:rPr>
              <w:t>Improving national immunoglobulin stewardship and clinical outcomes for patients with myeloma</w:t>
            </w:r>
          </w:p>
        </w:tc>
        <w:tc>
          <w:tcPr>
            <w:tcW w:w="170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64BA6C6" w14:textId="77777777" w:rsidR="00F526D9" w:rsidRPr="007B5F19" w:rsidRDefault="00F526D9" w:rsidP="00A264CD">
            <w:pPr>
              <w:rPr>
                <w:rFonts w:cstheme="minorHAnsi"/>
              </w:rPr>
            </w:pPr>
            <w:r w:rsidRPr="007B5F19">
              <w:rPr>
                <w:rFonts w:cstheme="minorHAnsi"/>
              </w:rPr>
              <w:t>Monash University</w:t>
            </w:r>
          </w:p>
        </w:tc>
        <w:tc>
          <w:tcPr>
            <w:tcW w:w="141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F499FFF" w14:textId="77777777" w:rsidR="00F526D9" w:rsidRPr="007B5F19" w:rsidRDefault="00F526D9" w:rsidP="00A264CD">
            <w:pPr>
              <w:rPr>
                <w:rFonts w:cstheme="minorHAnsi"/>
              </w:rPr>
            </w:pPr>
            <w:r w:rsidRPr="007B5F19">
              <w:rPr>
                <w:rFonts w:cstheme="minorHAnsi"/>
              </w:rPr>
              <w:t>$492,323.70</w:t>
            </w:r>
          </w:p>
        </w:tc>
        <w:tc>
          <w:tcPr>
            <w:tcW w:w="141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68BB79A" w14:textId="77777777" w:rsidR="00F526D9" w:rsidRPr="007B5F19" w:rsidRDefault="00F526D9" w:rsidP="00A264CD">
            <w:pPr>
              <w:rPr>
                <w:rFonts w:cstheme="minorHAnsi"/>
              </w:rPr>
            </w:pPr>
            <w:r w:rsidRPr="007B5F19">
              <w:rPr>
                <w:rFonts w:cstheme="minorHAnsi"/>
              </w:rPr>
              <w:t>A/Prof Erica Wood</w:t>
            </w:r>
          </w:p>
        </w:tc>
        <w:tc>
          <w:tcPr>
            <w:tcW w:w="38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190F711B" w14:textId="77777777" w:rsidR="00F526D9" w:rsidRDefault="00F526D9" w:rsidP="00A264CD">
            <w:pPr>
              <w:tabs>
                <w:tab w:val="left" w:pos="0"/>
                <w:tab w:val="left" w:pos="720"/>
              </w:tabs>
              <w:spacing w:after="0" w:line="240" w:lineRule="auto"/>
              <w:ind w:left="143"/>
            </w:pPr>
            <w:r w:rsidRPr="007B5F19">
              <w:rPr>
                <w:rFonts w:cstheme="minorHAnsi"/>
              </w:rPr>
              <w:t>To conduct a national cohort study of Ig use in patients with MM, using the MRDR, to provide data to improve national Ig stewardship and improve patient outcomes.</w:t>
            </w:r>
          </w:p>
        </w:tc>
        <w:tc>
          <w:tcPr>
            <w:tcW w:w="66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072CA57" w14:textId="77777777" w:rsidR="00F526D9" w:rsidRPr="007B5F19" w:rsidRDefault="00F526D9" w:rsidP="00A264CD">
            <w:pPr>
              <w:rPr>
                <w:rFonts w:cstheme="minorHAnsi"/>
                <w:lang w:val="en-US"/>
              </w:rPr>
            </w:pPr>
            <w:r w:rsidRPr="007B5F19">
              <w:rPr>
                <w:rFonts w:cstheme="minorHAnsi"/>
                <w:lang w:val="en-US"/>
              </w:rPr>
              <w:t>Patients with the blood cancer myeloma are at risk of serious infection because of low levels of protective antibodies due to their condition and its treatment. Risks may be changing as new myeloma treatments are introduced.</w:t>
            </w:r>
          </w:p>
          <w:p w14:paraId="4EC9218E" w14:textId="77777777" w:rsidR="00F526D9" w:rsidRPr="007B5F19" w:rsidRDefault="00F526D9" w:rsidP="00A264CD">
            <w:pPr>
              <w:rPr>
                <w:rFonts w:cstheme="minorHAnsi"/>
                <w:lang w:val="en-US"/>
              </w:rPr>
            </w:pPr>
            <w:r w:rsidRPr="007B5F19">
              <w:rPr>
                <w:rFonts w:cstheme="minorHAnsi"/>
                <w:lang w:val="en-US"/>
              </w:rPr>
              <w:t>Immunoglobulin therapy (made from plasma) is used to replace missing antibodies to prevent or treat infections in patients with blood cancers. This patient group represents the most common indication for immunoglobulin therapy in Australia, and demand continues to grow.</w:t>
            </w:r>
          </w:p>
          <w:p w14:paraId="15191609" w14:textId="77777777" w:rsidR="00F526D9" w:rsidRPr="007B5F19" w:rsidRDefault="00F526D9" w:rsidP="00A264CD">
            <w:pPr>
              <w:rPr>
                <w:rFonts w:cstheme="minorHAnsi"/>
                <w:lang w:val="en-US"/>
              </w:rPr>
            </w:pPr>
            <w:r w:rsidRPr="007B5F19">
              <w:rPr>
                <w:rFonts w:cstheme="minorHAnsi"/>
                <w:lang w:val="en-US"/>
              </w:rPr>
              <w:t xml:space="preserve">However, there is substantial variation in immunoglobulin use for this indication across Australia. Whether this is due to patient, disease, </w:t>
            </w:r>
            <w:proofErr w:type="gramStart"/>
            <w:r w:rsidRPr="007B5F19">
              <w:rPr>
                <w:rFonts w:cstheme="minorHAnsi"/>
                <w:lang w:val="en-US"/>
              </w:rPr>
              <w:t>hospital</w:t>
            </w:r>
            <w:proofErr w:type="gramEnd"/>
            <w:r w:rsidRPr="007B5F19">
              <w:rPr>
                <w:rFonts w:cstheme="minorHAnsi"/>
                <w:lang w:val="en-US"/>
              </w:rPr>
              <w:t xml:space="preserve"> or clinician practice, is not known. It is essential to establish whether therapy is being targeted to the patients most at risk because side-effects of immunoglobulin treatment can occur, plasma is a precious national resource, and immunoglobulin therapy is very expensive (more than $60 million dollars annually for this patient group alone).</w:t>
            </w:r>
          </w:p>
          <w:p w14:paraId="7E6F2737" w14:textId="77777777" w:rsidR="00F526D9" w:rsidRPr="007B5F19" w:rsidRDefault="00F526D9" w:rsidP="00A264CD">
            <w:pPr>
              <w:rPr>
                <w:rFonts w:cstheme="minorHAnsi"/>
                <w:lang w:val="en-US"/>
              </w:rPr>
            </w:pPr>
            <w:r w:rsidRPr="007B5F19">
              <w:rPr>
                <w:rFonts w:cstheme="minorHAnsi"/>
                <w:lang w:val="en-US"/>
              </w:rPr>
              <w:t>Using the Australian and New Zealand Myeloma and Related Diseases Registry, this project will collect ‘real world’, up-to- date Australian clinical and laboratory information on immunoglobulin use to guide policy and clinical practice; to plan and deliver care; and to monitor practice, costs, and outcomes. We will also collect samples to store and test in future studies.</w:t>
            </w:r>
          </w:p>
          <w:p w14:paraId="094061EB" w14:textId="77777777" w:rsidR="00F526D9" w:rsidRPr="007B5F19" w:rsidRDefault="00F526D9" w:rsidP="00A264CD">
            <w:pPr>
              <w:rPr>
                <w:rFonts w:cstheme="minorHAnsi"/>
                <w:lang w:val="en-US"/>
              </w:rPr>
            </w:pPr>
            <w:r w:rsidRPr="007B5F19">
              <w:rPr>
                <w:rFonts w:cstheme="minorHAnsi"/>
                <w:lang w:val="en-US"/>
              </w:rPr>
              <w:t>The results of this study will be important to provide better care for patients with myeloma and other blood cancers and to improve stewardship of the national blood supply.</w:t>
            </w:r>
          </w:p>
          <w:p w14:paraId="05F92E72" w14:textId="77777777" w:rsidR="00F526D9" w:rsidRPr="007B5F19" w:rsidRDefault="00F526D9" w:rsidP="00A264CD">
            <w:pPr>
              <w:rPr>
                <w:rFonts w:cstheme="minorHAnsi"/>
                <w:lang w:val="en-US"/>
              </w:rPr>
            </w:pPr>
            <w:r w:rsidRPr="007B5F19">
              <w:rPr>
                <w:rFonts w:cstheme="minorHAnsi"/>
                <w:lang w:val="en-US"/>
              </w:rPr>
              <w:t>The study will also provide a new and lower cost framework for conducting future large clinical trials of immunoglobulin therapy in Australia in myeloma and in other similar conditions.</w:t>
            </w:r>
          </w:p>
          <w:p w14:paraId="43777620" w14:textId="77777777" w:rsidR="00F526D9" w:rsidRPr="007B5F19" w:rsidRDefault="00F526D9" w:rsidP="00A264CD">
            <w:pPr>
              <w:rPr>
                <w:rFonts w:cstheme="minorHAnsi"/>
              </w:rPr>
            </w:pPr>
          </w:p>
        </w:tc>
        <w:tc>
          <w:tcPr>
            <w:tcW w:w="411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46B02E54" w14:textId="3C54DF9B" w:rsidR="00F526D9" w:rsidRPr="0092706A" w:rsidRDefault="00D66E33" w:rsidP="00AF0B03">
            <w:pPr>
              <w:tabs>
                <w:tab w:val="left" w:pos="1396"/>
              </w:tabs>
              <w:spacing w:before="100" w:beforeAutospacing="1" w:after="100" w:afterAutospacing="1" w:line="240" w:lineRule="auto"/>
              <w:ind w:left="119"/>
              <w:rPr>
                <w:rFonts w:eastAsiaTheme="minorEastAsia" w:cstheme="minorHAnsi"/>
                <w:color w:val="0000FF"/>
                <w:spacing w:val="4"/>
                <w:u w:val="single"/>
                <w:lang w:eastAsia="en-AU"/>
              </w:rPr>
            </w:pPr>
            <w:hyperlink r:id="rId13">
              <w:r w:rsidR="00F526D9" w:rsidRPr="00C03A24">
                <w:rPr>
                  <w:rFonts w:eastAsiaTheme="minorEastAsia" w:cstheme="minorHAnsi"/>
                  <w:color w:val="0000FF"/>
                  <w:spacing w:val="4"/>
                  <w:u w:val="single"/>
                  <w:lang w:eastAsia="en-AU"/>
                </w:rPr>
                <w:t>Managing hypogammaglobulinaemia secondary to haematological malignancies in Australia and New Zealand: a clinician survey - PubMed (nih.gov)</w:t>
              </w:r>
            </w:hyperlink>
          </w:p>
          <w:p w14:paraId="6FEE34AA" w14:textId="77777777" w:rsidR="00F526D9" w:rsidRPr="00C03A24" w:rsidRDefault="00D66E33" w:rsidP="0092706A">
            <w:pPr>
              <w:tabs>
                <w:tab w:val="left" w:pos="1396"/>
              </w:tabs>
              <w:spacing w:before="100" w:beforeAutospacing="1" w:after="100" w:afterAutospacing="1" w:line="240" w:lineRule="auto"/>
              <w:ind w:left="119"/>
              <w:rPr>
                <w:rFonts w:eastAsiaTheme="minorEastAsia" w:cstheme="minorHAnsi"/>
                <w:color w:val="0000FF"/>
                <w:spacing w:val="4"/>
                <w:u w:val="single"/>
                <w:lang w:eastAsia="en-AU"/>
              </w:rPr>
            </w:pPr>
            <w:hyperlink r:id="rId14">
              <w:r w:rsidR="00F526D9" w:rsidRPr="00C03A24">
                <w:rPr>
                  <w:rFonts w:eastAsiaTheme="minorEastAsia" w:cstheme="minorHAnsi"/>
                  <w:color w:val="0000FF"/>
                  <w:spacing w:val="4"/>
                  <w:u w:val="single"/>
                  <w:lang w:eastAsia="en-AU"/>
                </w:rPr>
                <w:t xml:space="preserve">Interventions to reduce infections in patients with </w:t>
              </w:r>
              <w:proofErr w:type="spellStart"/>
              <w:r w:rsidR="00F526D9" w:rsidRPr="00C03A24">
                <w:rPr>
                  <w:rFonts w:eastAsiaTheme="minorEastAsia" w:cstheme="minorHAnsi"/>
                  <w:color w:val="0000FF"/>
                  <w:spacing w:val="4"/>
                  <w:u w:val="single"/>
                  <w:lang w:eastAsia="en-AU"/>
                </w:rPr>
                <w:t>hematological</w:t>
              </w:r>
              <w:proofErr w:type="spellEnd"/>
              <w:r w:rsidR="00F526D9" w:rsidRPr="00C03A24">
                <w:rPr>
                  <w:rFonts w:eastAsiaTheme="minorEastAsia" w:cstheme="minorHAnsi"/>
                  <w:color w:val="0000FF"/>
                  <w:spacing w:val="4"/>
                  <w:u w:val="single"/>
                  <w:lang w:eastAsia="en-AU"/>
                </w:rPr>
                <w:t xml:space="preserve"> malignancies: a systematic review and meta-analysis</w:t>
              </w:r>
            </w:hyperlink>
          </w:p>
          <w:p w14:paraId="20674A08" w14:textId="77777777" w:rsidR="00F526D9" w:rsidRPr="0092706A" w:rsidRDefault="00F526D9" w:rsidP="0092706A">
            <w:pPr>
              <w:tabs>
                <w:tab w:val="left" w:pos="1396"/>
              </w:tabs>
              <w:spacing w:before="100" w:beforeAutospacing="1" w:after="100" w:afterAutospacing="1"/>
              <w:ind w:left="119"/>
              <w:rPr>
                <w:rFonts w:eastAsiaTheme="minorEastAsia" w:cstheme="minorHAnsi"/>
                <w:color w:val="0000FF"/>
                <w:spacing w:val="4"/>
                <w:u w:val="single"/>
                <w:lang w:eastAsia="en-AU"/>
              </w:rPr>
            </w:pPr>
          </w:p>
        </w:tc>
      </w:tr>
      <w:tr w:rsidR="00F526D9" w:rsidRPr="007B5F19" w14:paraId="43ED3E4C" w14:textId="77777777" w:rsidTr="00AF0B03">
        <w:trPr>
          <w:trHeight w:val="1036"/>
        </w:trPr>
        <w:tc>
          <w:tcPr>
            <w:tcW w:w="184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ABEC9F9" w14:textId="77777777" w:rsidR="00F526D9" w:rsidRPr="007B5F19" w:rsidRDefault="00F526D9" w:rsidP="00A264CD">
            <w:pPr>
              <w:rPr>
                <w:rFonts w:cstheme="minorHAnsi"/>
              </w:rPr>
            </w:pPr>
            <w:r w:rsidRPr="007B5F19">
              <w:rPr>
                <w:rFonts w:eastAsiaTheme="minorEastAsia" w:cstheme="minorHAnsi"/>
                <w:b/>
                <w:bCs/>
              </w:rPr>
              <w:lastRenderedPageBreak/>
              <w:t>Immunoglobulin Project Grants</w:t>
            </w:r>
          </w:p>
        </w:tc>
        <w:tc>
          <w:tcPr>
            <w:tcW w:w="212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457555C" w14:textId="77777777" w:rsidR="00F526D9" w:rsidRPr="007B5F19" w:rsidRDefault="00F526D9" w:rsidP="00A264CD">
            <w:pPr>
              <w:rPr>
                <w:rFonts w:cstheme="minorHAnsi"/>
              </w:rPr>
            </w:pPr>
            <w:r w:rsidRPr="007B5F19">
              <w:rPr>
                <w:rFonts w:cstheme="minorHAnsi"/>
              </w:rPr>
              <w:t>Does intravenous immunoglobulin improve outcomes in chronic rejection of renal transplants?</w:t>
            </w:r>
          </w:p>
        </w:tc>
        <w:tc>
          <w:tcPr>
            <w:tcW w:w="170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5728696" w14:textId="77777777" w:rsidR="00F526D9" w:rsidRPr="007B5F19" w:rsidRDefault="00F526D9" w:rsidP="00A264CD">
            <w:pPr>
              <w:rPr>
                <w:rFonts w:cstheme="minorHAnsi"/>
              </w:rPr>
            </w:pPr>
            <w:r w:rsidRPr="007B5F19">
              <w:rPr>
                <w:rFonts w:cstheme="minorHAnsi"/>
              </w:rPr>
              <w:t>Monash University</w:t>
            </w:r>
          </w:p>
        </w:tc>
        <w:tc>
          <w:tcPr>
            <w:tcW w:w="141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5A1EC00" w14:textId="77777777" w:rsidR="00F526D9" w:rsidRPr="007B5F19" w:rsidRDefault="00F526D9" w:rsidP="00A264CD">
            <w:pPr>
              <w:rPr>
                <w:rFonts w:cstheme="minorHAnsi"/>
              </w:rPr>
            </w:pPr>
            <w:r w:rsidRPr="007B5F19">
              <w:rPr>
                <w:rFonts w:cstheme="minorHAnsi"/>
              </w:rPr>
              <w:t>$495,000.00</w:t>
            </w:r>
          </w:p>
        </w:tc>
        <w:tc>
          <w:tcPr>
            <w:tcW w:w="141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FE7AF18" w14:textId="77777777" w:rsidR="00F526D9" w:rsidRPr="007B5F19" w:rsidRDefault="00F526D9" w:rsidP="00A264CD">
            <w:pPr>
              <w:rPr>
                <w:rFonts w:cstheme="minorHAnsi"/>
              </w:rPr>
            </w:pPr>
            <w:r w:rsidRPr="007B5F19">
              <w:rPr>
                <w:rFonts w:cstheme="minorHAnsi"/>
              </w:rPr>
              <w:t>Dr William Mulley</w:t>
            </w:r>
          </w:p>
        </w:tc>
        <w:tc>
          <w:tcPr>
            <w:tcW w:w="38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4634DF32" w14:textId="77777777" w:rsidR="00F526D9" w:rsidRPr="007D27BD" w:rsidRDefault="00F526D9" w:rsidP="00A264CD">
            <w:pPr>
              <w:autoSpaceDE w:val="0"/>
              <w:autoSpaceDN w:val="0"/>
              <w:adjustRightInd w:val="0"/>
              <w:spacing w:after="0" w:line="240" w:lineRule="auto"/>
              <w:ind w:left="143"/>
              <w:rPr>
                <w:rFonts w:cstheme="minorHAnsi"/>
              </w:rPr>
            </w:pPr>
            <w:r w:rsidRPr="007D27BD">
              <w:rPr>
                <w:rFonts w:cstheme="minorHAnsi"/>
              </w:rPr>
              <w:t>To test the theory that IVIg</w:t>
            </w:r>
          </w:p>
          <w:p w14:paraId="756352D5" w14:textId="77777777" w:rsidR="00F526D9" w:rsidRPr="007D27BD" w:rsidRDefault="00F526D9" w:rsidP="00A264CD">
            <w:pPr>
              <w:autoSpaceDE w:val="0"/>
              <w:autoSpaceDN w:val="0"/>
              <w:adjustRightInd w:val="0"/>
              <w:spacing w:after="0" w:line="240" w:lineRule="auto"/>
              <w:ind w:left="143"/>
              <w:rPr>
                <w:rFonts w:cstheme="minorHAnsi"/>
              </w:rPr>
            </w:pPr>
            <w:r w:rsidRPr="007D27BD">
              <w:rPr>
                <w:rFonts w:cstheme="minorHAnsi"/>
              </w:rPr>
              <w:t>treatment is beneficial in late antibody</w:t>
            </w:r>
            <w:r>
              <w:rPr>
                <w:rFonts w:cstheme="minorHAnsi"/>
              </w:rPr>
              <w:t xml:space="preserve"> </w:t>
            </w:r>
            <w:r w:rsidRPr="007D27BD">
              <w:rPr>
                <w:rFonts w:cstheme="minorHAnsi"/>
              </w:rPr>
              <w:t>rejection of kidney transplants by</w:t>
            </w:r>
            <w:r>
              <w:rPr>
                <w:rFonts w:cstheme="minorHAnsi"/>
              </w:rPr>
              <w:t xml:space="preserve"> </w:t>
            </w:r>
            <w:r w:rsidRPr="007D27BD">
              <w:rPr>
                <w:rFonts w:cstheme="minorHAnsi"/>
              </w:rPr>
              <w:t>randomly assigning patients with this condition to receive IVIg or not.</w:t>
            </w:r>
          </w:p>
          <w:p w14:paraId="7E6DB521" w14:textId="77777777" w:rsidR="00F526D9" w:rsidRDefault="00F526D9" w:rsidP="00A264CD">
            <w:pPr>
              <w:autoSpaceDE w:val="0"/>
              <w:autoSpaceDN w:val="0"/>
              <w:adjustRightInd w:val="0"/>
              <w:spacing w:after="0" w:line="240" w:lineRule="auto"/>
              <w:ind w:left="143"/>
              <w:rPr>
                <w:rFonts w:ascii="Arial" w:hAnsi="Arial" w:cs="Arial"/>
              </w:rPr>
            </w:pPr>
          </w:p>
          <w:p w14:paraId="51CAA7A7" w14:textId="77777777" w:rsidR="00F526D9" w:rsidRDefault="00F526D9" w:rsidP="00A264CD">
            <w:pPr>
              <w:spacing w:before="100" w:beforeAutospacing="1" w:after="100" w:afterAutospacing="1" w:line="240" w:lineRule="auto"/>
              <w:ind w:left="143"/>
              <w:rPr>
                <w:rFonts w:cstheme="minorHAnsi"/>
              </w:rPr>
            </w:pPr>
          </w:p>
        </w:tc>
        <w:tc>
          <w:tcPr>
            <w:tcW w:w="66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68E8476" w14:textId="77777777" w:rsidR="00F526D9" w:rsidRPr="007B5F19" w:rsidRDefault="00F526D9" w:rsidP="00A264CD">
            <w:pPr>
              <w:rPr>
                <w:rFonts w:cstheme="minorHAnsi"/>
              </w:rPr>
            </w:pPr>
            <w:r w:rsidRPr="007B5F19">
              <w:rPr>
                <w:rFonts w:cstheme="minorHAnsi"/>
              </w:rPr>
              <w:t xml:space="preserve">Rejection of kidney transplants by antibodies is the leading cause of transplant failure. Failure of a kidney transplant is associated with an increased likelihood of death and loss of quality of life, therefore preserving kidney function for as long as possible is vital. Currently there are no clearly effective treatment for antibody rejection occurring more than 6 months after the transplant. Intravenous immunoglobulin (IVIg) is used for this type of rejection there have been no randomised studies conducted to test it against no treatment. If it is </w:t>
            </w:r>
            <w:proofErr w:type="gramStart"/>
            <w:r w:rsidRPr="007B5F19">
              <w:rPr>
                <w:rFonts w:cstheme="minorHAnsi"/>
              </w:rPr>
              <w:t>beneficial</w:t>
            </w:r>
            <w:proofErr w:type="gramEnd"/>
            <w:r w:rsidRPr="007B5F19">
              <w:rPr>
                <w:rFonts w:cstheme="minorHAnsi"/>
              </w:rPr>
              <w:t xml:space="preserve"> it would be great to continue using it however if it is ineffective then it should be reserved for conditions in which it is beneficial. </w:t>
            </w:r>
          </w:p>
          <w:p w14:paraId="047C980F" w14:textId="307903C9" w:rsidR="00F526D9" w:rsidRPr="007B5F19" w:rsidRDefault="00F526D9" w:rsidP="00A264CD">
            <w:pPr>
              <w:rPr>
                <w:rFonts w:cstheme="minorHAnsi"/>
              </w:rPr>
            </w:pPr>
            <w:r w:rsidRPr="007B5F19">
              <w:rPr>
                <w:rFonts w:cstheme="minorHAnsi"/>
              </w:rPr>
              <w:t xml:space="preserve">This project will test the theory that IVIg treatment is beneficial in late antibody rejection of kidney transplants by randomly assigning patients with this condition to receive IVIg or not. </w:t>
            </w:r>
          </w:p>
          <w:p w14:paraId="3AE22E39" w14:textId="77777777" w:rsidR="00F526D9" w:rsidRPr="007B5F19" w:rsidRDefault="00F526D9" w:rsidP="00A264CD">
            <w:pPr>
              <w:rPr>
                <w:rFonts w:cstheme="minorHAnsi"/>
              </w:rPr>
            </w:pPr>
            <w:r w:rsidRPr="007B5F19">
              <w:rPr>
                <w:rFonts w:cstheme="minorHAnsi"/>
              </w:rPr>
              <w:t xml:space="preserve">The </w:t>
            </w:r>
            <w:r>
              <w:rPr>
                <w:rFonts w:cstheme="minorHAnsi"/>
              </w:rPr>
              <w:t>research</w:t>
            </w:r>
            <w:r w:rsidRPr="007B5F19">
              <w:rPr>
                <w:rFonts w:cstheme="minorHAnsi"/>
              </w:rPr>
              <w:t xml:space="preserve"> team will determine the effects of IVIg by comparing transplant survival and microscopy findings from biopsy samples of the kidney transplant taken periodically. The study will require active patient participation for 12 months with 4 kidney biopsies taken during that time. They will be followed indefinitely however to determine their long-term clinical outcomes. </w:t>
            </w:r>
          </w:p>
          <w:p w14:paraId="12141215" w14:textId="77777777" w:rsidR="00F526D9" w:rsidRPr="007B5F19" w:rsidRDefault="00F526D9" w:rsidP="00A264CD">
            <w:pPr>
              <w:rPr>
                <w:rFonts w:cstheme="minorHAnsi"/>
              </w:rPr>
            </w:pPr>
            <w:r w:rsidRPr="007B5F19">
              <w:rPr>
                <w:rFonts w:cstheme="minorHAnsi"/>
              </w:rPr>
              <w:t xml:space="preserve">Patients who have a biopsy which shows late antibody rejection will be invited to participate. All included patients will receive standard treatment for their rejection which comprises oral medications to control rejection, infusions of anti-inflammatory steroid medications and regular clinic visits. Half the patients will be randomised to receive IVIg at one dose per month for 3 months with a follow-up biopsy and a further round of 3 doses of IVIg if there is ongoing rejection at that stage. The final biopsy will be taken at 12 months to compare change from their initial biopsy and then compare this degree of change between the 2 groups. </w:t>
            </w:r>
          </w:p>
          <w:p w14:paraId="27066D26" w14:textId="77777777" w:rsidR="00F526D9" w:rsidRPr="007B5F19" w:rsidRDefault="00F526D9" w:rsidP="00A264CD">
            <w:pPr>
              <w:rPr>
                <w:rFonts w:cstheme="minorHAnsi"/>
              </w:rPr>
            </w:pPr>
            <w:r w:rsidRPr="007B5F19">
              <w:rPr>
                <w:rFonts w:cstheme="minorHAnsi"/>
              </w:rPr>
              <w:t xml:space="preserve">Samples of blood, urine and the kidney biopsy material will be examined in detail at each time point for markers of effect of the IVIg such as changes in the numbers and composition of the cell types and the chemicals they release. This will address currently lacking information on the nature of effect of IVIg in antibody rejection. Additionally, if IVIg is effective in reducing damage related to antibody rejection its ongoing use can be justified to provide benefit to patients. </w:t>
            </w:r>
            <w:proofErr w:type="gramStart"/>
            <w:r w:rsidRPr="007B5F19">
              <w:rPr>
                <w:rFonts w:cstheme="minorHAnsi"/>
              </w:rPr>
              <w:t>Alternatively</w:t>
            </w:r>
            <w:proofErr w:type="gramEnd"/>
            <w:r w:rsidRPr="007B5F19">
              <w:rPr>
                <w:rFonts w:cstheme="minorHAnsi"/>
              </w:rPr>
              <w:t xml:space="preserve"> if it makes no difference to patient outcomes then its use for this indication could be ceased which would reduce the demand for this limited resource. </w:t>
            </w:r>
          </w:p>
          <w:p w14:paraId="3C960327" w14:textId="77777777" w:rsidR="00F526D9" w:rsidRPr="007B5F19" w:rsidRDefault="00F526D9" w:rsidP="00A264CD">
            <w:pPr>
              <w:rPr>
                <w:rFonts w:cstheme="minorHAnsi"/>
              </w:rPr>
            </w:pPr>
          </w:p>
        </w:tc>
        <w:tc>
          <w:tcPr>
            <w:tcW w:w="411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6203B96C" w14:textId="77777777" w:rsidR="00F526D9" w:rsidRPr="007B5F19" w:rsidRDefault="00F526D9" w:rsidP="00A264CD">
            <w:pPr>
              <w:tabs>
                <w:tab w:val="left" w:pos="1396"/>
              </w:tabs>
              <w:ind w:left="119"/>
              <w:rPr>
                <w:rFonts w:cstheme="minorHAnsi"/>
              </w:rPr>
            </w:pPr>
            <w:r>
              <w:rPr>
                <w:rFonts w:cstheme="minorHAnsi"/>
              </w:rPr>
              <w:t>No publications received yet</w:t>
            </w:r>
          </w:p>
        </w:tc>
      </w:tr>
      <w:tr w:rsidR="00F526D9" w:rsidRPr="007B5F19" w14:paraId="1866187F" w14:textId="77777777" w:rsidTr="00AF0B03">
        <w:trPr>
          <w:trHeight w:val="592"/>
        </w:trPr>
        <w:tc>
          <w:tcPr>
            <w:tcW w:w="184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F7BD02F" w14:textId="77777777" w:rsidR="00F526D9" w:rsidRPr="007B5F19" w:rsidRDefault="00F526D9" w:rsidP="00A264CD">
            <w:pPr>
              <w:rPr>
                <w:rFonts w:cstheme="minorHAnsi"/>
                <w:b/>
                <w:bCs/>
              </w:rPr>
            </w:pPr>
            <w:r w:rsidRPr="007B5F19">
              <w:rPr>
                <w:rFonts w:cstheme="minorHAnsi"/>
                <w:b/>
                <w:bCs/>
              </w:rPr>
              <w:lastRenderedPageBreak/>
              <w:t>Immunoglobulin Seed Grants</w:t>
            </w:r>
          </w:p>
        </w:tc>
        <w:tc>
          <w:tcPr>
            <w:tcW w:w="212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4BEE8E77" w14:textId="77777777" w:rsidR="00F526D9" w:rsidRPr="007B5F19" w:rsidRDefault="00F526D9" w:rsidP="00A264CD">
            <w:pPr>
              <w:rPr>
                <w:rFonts w:cstheme="minorHAnsi"/>
              </w:rPr>
            </w:pPr>
            <w:r w:rsidRPr="007B5F19">
              <w:rPr>
                <w:rFonts w:cstheme="minorHAnsi"/>
              </w:rPr>
              <w:t>Improved strategies in management of immune thrombocytopenia</w:t>
            </w:r>
          </w:p>
        </w:tc>
        <w:tc>
          <w:tcPr>
            <w:tcW w:w="170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9DC3A95" w14:textId="77777777" w:rsidR="00F526D9" w:rsidRPr="007B5F19" w:rsidRDefault="00F526D9" w:rsidP="00A264CD">
            <w:pPr>
              <w:pStyle w:val="NormalWeb"/>
              <w:spacing w:line="360" w:lineRule="atLeast"/>
              <w:rPr>
                <w:rFonts w:asciiTheme="minorHAnsi" w:eastAsiaTheme="minorHAnsi" w:hAnsiTheme="minorHAnsi" w:cstheme="minorHAnsi"/>
                <w:sz w:val="22"/>
                <w:szCs w:val="22"/>
                <w:lang w:eastAsia="en-US"/>
              </w:rPr>
            </w:pPr>
            <w:r w:rsidRPr="007B5F19">
              <w:rPr>
                <w:rFonts w:asciiTheme="minorHAnsi" w:eastAsiaTheme="minorHAnsi" w:hAnsiTheme="minorHAnsi" w:cstheme="minorHAnsi"/>
                <w:sz w:val="22"/>
                <w:szCs w:val="22"/>
                <w:lang w:eastAsia="en-US"/>
              </w:rPr>
              <w:t>Australian National University</w:t>
            </w:r>
          </w:p>
        </w:tc>
        <w:tc>
          <w:tcPr>
            <w:tcW w:w="141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0C02751" w14:textId="77777777" w:rsidR="00F526D9" w:rsidRPr="007B5F19" w:rsidRDefault="00F526D9" w:rsidP="00A264CD">
            <w:pPr>
              <w:pStyle w:val="NormalWeb"/>
              <w:spacing w:line="360" w:lineRule="atLeast"/>
              <w:rPr>
                <w:rFonts w:asciiTheme="minorHAnsi" w:eastAsiaTheme="minorHAnsi" w:hAnsiTheme="minorHAnsi" w:cstheme="minorHAnsi"/>
                <w:sz w:val="22"/>
                <w:szCs w:val="22"/>
                <w:lang w:eastAsia="en-US"/>
              </w:rPr>
            </w:pPr>
            <w:r w:rsidRPr="007B5F19">
              <w:rPr>
                <w:rFonts w:asciiTheme="minorHAnsi" w:eastAsiaTheme="minorHAnsi" w:hAnsiTheme="minorHAnsi" w:cstheme="minorHAnsi"/>
                <w:sz w:val="22"/>
                <w:szCs w:val="22"/>
                <w:lang w:eastAsia="en-US"/>
              </w:rPr>
              <w:t>$115,953.20</w:t>
            </w:r>
          </w:p>
        </w:tc>
        <w:tc>
          <w:tcPr>
            <w:tcW w:w="141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6B12950" w14:textId="77777777" w:rsidR="00F526D9" w:rsidRPr="007B5F19" w:rsidRDefault="00F526D9" w:rsidP="00A264CD">
            <w:pPr>
              <w:pStyle w:val="NormalWeb"/>
              <w:spacing w:line="360" w:lineRule="atLeast"/>
              <w:rPr>
                <w:rFonts w:asciiTheme="minorHAnsi" w:eastAsiaTheme="minorHAnsi" w:hAnsiTheme="minorHAnsi" w:cstheme="minorHAnsi"/>
                <w:sz w:val="22"/>
                <w:szCs w:val="22"/>
                <w:lang w:eastAsia="en-US"/>
              </w:rPr>
            </w:pPr>
            <w:r w:rsidRPr="007B5F19">
              <w:rPr>
                <w:rFonts w:asciiTheme="minorHAnsi" w:eastAsiaTheme="minorHAnsi" w:hAnsiTheme="minorHAnsi" w:cstheme="minorHAnsi"/>
                <w:sz w:val="22"/>
                <w:szCs w:val="22"/>
                <w:lang w:eastAsia="en-US"/>
              </w:rPr>
              <w:t>A/Prof Elizabeth Gardiner</w:t>
            </w:r>
          </w:p>
        </w:tc>
        <w:tc>
          <w:tcPr>
            <w:tcW w:w="38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658AC890" w14:textId="77777777" w:rsidR="00F526D9" w:rsidRPr="007B5F19" w:rsidRDefault="00F526D9" w:rsidP="00A264CD">
            <w:pPr>
              <w:ind w:left="143"/>
              <w:rPr>
                <w:rFonts w:cstheme="minorHAnsi"/>
              </w:rPr>
            </w:pPr>
            <w:r w:rsidRPr="007B5F19">
              <w:rPr>
                <w:rFonts w:cstheme="minorHAnsi"/>
              </w:rPr>
              <w:t>1</w:t>
            </w:r>
            <w:r>
              <w:rPr>
                <w:rFonts w:cstheme="minorHAnsi"/>
              </w:rPr>
              <w:t>.</w:t>
            </w:r>
            <w:r w:rsidRPr="007B5F19">
              <w:rPr>
                <w:rFonts w:cstheme="minorHAnsi"/>
              </w:rPr>
              <w:t xml:space="preserve"> To redefine clinical descriptors of immune thrombocytopenia based on disease biology. </w:t>
            </w:r>
          </w:p>
          <w:p w14:paraId="183D28BD" w14:textId="77777777" w:rsidR="00F526D9" w:rsidRPr="007B5F19" w:rsidRDefault="00F526D9" w:rsidP="00A264CD">
            <w:pPr>
              <w:spacing w:before="100" w:beforeAutospacing="1" w:after="100" w:afterAutospacing="1" w:line="240" w:lineRule="auto"/>
              <w:ind w:left="143"/>
              <w:rPr>
                <w:rFonts w:eastAsiaTheme="minorEastAsia" w:cstheme="minorHAnsi"/>
                <w:color w:val="0000FF"/>
                <w:spacing w:val="4"/>
                <w:u w:val="single"/>
                <w:lang w:eastAsia="en-AU"/>
              </w:rPr>
            </w:pPr>
            <w:r w:rsidRPr="007B5F19">
              <w:rPr>
                <w:rFonts w:cstheme="minorHAnsi"/>
              </w:rPr>
              <w:t>2</w:t>
            </w:r>
            <w:r>
              <w:rPr>
                <w:rFonts w:cstheme="minorHAnsi"/>
              </w:rPr>
              <w:t>.</w:t>
            </w:r>
            <w:r w:rsidRPr="007B5F19">
              <w:rPr>
                <w:rFonts w:cstheme="minorHAnsi"/>
              </w:rPr>
              <w:t xml:space="preserve"> To investigate disease biomarkers, such as autoantibody antigen characteristics, for patient stratification and as tools in predicting responses to treatment</w:t>
            </w:r>
          </w:p>
        </w:tc>
        <w:tc>
          <w:tcPr>
            <w:tcW w:w="66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D5087C3" w14:textId="77777777" w:rsidR="00F526D9" w:rsidRPr="007B5F19" w:rsidRDefault="00F526D9" w:rsidP="00A264CD">
            <w:pPr>
              <w:rPr>
                <w:rFonts w:cstheme="minorHAnsi"/>
                <w:lang w:val="en-US"/>
              </w:rPr>
            </w:pPr>
            <w:r w:rsidRPr="007B5F19">
              <w:rPr>
                <w:rFonts w:cstheme="minorHAnsi"/>
                <w:lang w:val="en-US"/>
              </w:rPr>
              <w:t xml:space="preserve">The appropriate clinical use of blood and blood products is critical to </w:t>
            </w:r>
            <w:proofErr w:type="spellStart"/>
            <w:r w:rsidRPr="007B5F19">
              <w:rPr>
                <w:rFonts w:cstheme="minorHAnsi"/>
                <w:lang w:val="en-US"/>
              </w:rPr>
              <w:t>optimise</w:t>
            </w:r>
            <w:proofErr w:type="spellEnd"/>
            <w:r w:rsidRPr="007B5F19">
              <w:rPr>
                <w:rFonts w:cstheme="minorHAnsi"/>
                <w:lang w:val="en-US"/>
              </w:rPr>
              <w:t xml:space="preserve"> patient outcomes and to manage the use of a limited resource. Immunoglobulin usage occurs across a spectrum of diseases and while the benefits and utility of IVIg in managed clinical care is clear, guidelines around the usage of IVIg in ITP are vague and often rely on personal local experience. This project aims to provide scientific approaches to define subpopulations of people with ITP who do better with IVIg and others who do not receive any benefit of IVIg. </w:t>
            </w:r>
          </w:p>
          <w:p w14:paraId="15755162" w14:textId="77777777" w:rsidR="00F526D9" w:rsidRPr="007B5F19" w:rsidRDefault="00F526D9" w:rsidP="00A264CD">
            <w:pPr>
              <w:rPr>
                <w:rFonts w:cstheme="minorHAnsi"/>
                <w:lang w:val="en-US"/>
              </w:rPr>
            </w:pPr>
            <w:r w:rsidRPr="007B5F19">
              <w:rPr>
                <w:rFonts w:cstheme="minorHAnsi"/>
                <w:lang w:val="en-US"/>
              </w:rPr>
              <w:t>Th</w:t>
            </w:r>
            <w:r>
              <w:rPr>
                <w:rFonts w:cstheme="minorHAnsi"/>
                <w:lang w:val="en-US"/>
              </w:rPr>
              <w:t>is</w:t>
            </w:r>
            <w:r w:rsidRPr="007B5F19">
              <w:rPr>
                <w:rFonts w:cstheme="minorHAnsi"/>
                <w:lang w:val="en-US"/>
              </w:rPr>
              <w:t xml:space="preserve"> study will define a new set of parameters that allow stratification of ITP patients at disease onset, and refinement of IVIg usage, thus paving the way for a large study prospectively evaluating a stratified usage of IVIg based on disease etiology at onset of ITP.</w:t>
            </w:r>
          </w:p>
          <w:p w14:paraId="50BFD4B9" w14:textId="77777777" w:rsidR="00F526D9" w:rsidRPr="007B5F19" w:rsidRDefault="00F526D9" w:rsidP="00A264CD">
            <w:pPr>
              <w:rPr>
                <w:rFonts w:cstheme="minorHAnsi"/>
              </w:rPr>
            </w:pPr>
          </w:p>
        </w:tc>
        <w:tc>
          <w:tcPr>
            <w:tcW w:w="411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310755CD" w14:textId="38403980" w:rsidR="00F526D9" w:rsidRPr="002B7C95" w:rsidRDefault="00D66E33" w:rsidP="002B7C95">
            <w:pPr>
              <w:tabs>
                <w:tab w:val="left" w:pos="1396"/>
              </w:tabs>
              <w:spacing w:beforeAutospacing="1" w:after="0" w:afterAutospacing="1" w:line="240" w:lineRule="auto"/>
              <w:ind w:left="119"/>
              <w:rPr>
                <w:color w:val="0000FF"/>
                <w:u w:val="single"/>
                <w:lang w:eastAsia="en-AU"/>
              </w:rPr>
            </w:pPr>
            <w:hyperlink r:id="rId15" w:history="1">
              <w:r w:rsidR="00F526D9" w:rsidRPr="002B7C95">
                <w:rPr>
                  <w:color w:val="0000FF"/>
                  <w:u w:val="single"/>
                </w:rPr>
                <w:t>Novel scientific approaches and future research directions in understanding ITP</w:t>
              </w:r>
            </w:hyperlink>
          </w:p>
          <w:p w14:paraId="411963E7" w14:textId="372A43FB" w:rsidR="00F526D9" w:rsidRPr="0092706A" w:rsidRDefault="00D66E33" w:rsidP="00AF0B03">
            <w:pPr>
              <w:tabs>
                <w:tab w:val="left" w:pos="1396"/>
              </w:tabs>
              <w:spacing w:beforeAutospacing="1" w:after="0" w:afterAutospacing="1" w:line="240" w:lineRule="auto"/>
              <w:ind w:left="119"/>
              <w:rPr>
                <w:rFonts w:eastAsiaTheme="minorEastAsia" w:cstheme="minorHAnsi"/>
                <w:color w:val="0000FF"/>
                <w:u w:val="single"/>
                <w:lang w:eastAsia="en-AU"/>
              </w:rPr>
            </w:pPr>
            <w:hyperlink r:id="rId16">
              <w:r w:rsidR="00F526D9" w:rsidRPr="00C03A24">
                <w:rPr>
                  <w:color w:val="0000FF"/>
                  <w:u w:val="single"/>
                  <w:lang w:eastAsia="en-AU"/>
                </w:rPr>
                <w:t xml:space="preserve">Bleeding Propensity in </w:t>
              </w:r>
              <w:proofErr w:type="spellStart"/>
              <w:r w:rsidR="00F526D9" w:rsidRPr="00C03A24">
                <w:rPr>
                  <w:color w:val="0000FF"/>
                  <w:u w:val="single"/>
                  <w:lang w:eastAsia="en-AU"/>
                </w:rPr>
                <w:t>Waldenstorm</w:t>
              </w:r>
              <w:proofErr w:type="spellEnd"/>
              <w:r w:rsidR="00F526D9" w:rsidRPr="00C03A24">
                <w:rPr>
                  <w:color w:val="0000FF"/>
                  <w:u w:val="single"/>
                  <w:lang w:eastAsia="en-AU"/>
                </w:rPr>
                <w:t xml:space="preserve"> </w:t>
              </w:r>
              <w:proofErr w:type="spellStart"/>
              <w:r w:rsidR="00F526D9" w:rsidRPr="00C03A24">
                <w:rPr>
                  <w:color w:val="0000FF"/>
                  <w:u w:val="single"/>
                  <w:lang w:eastAsia="en-AU"/>
                </w:rPr>
                <w:t>Macroglobulinemaia</w:t>
              </w:r>
              <w:proofErr w:type="spellEnd"/>
              <w:r w:rsidR="00F526D9" w:rsidRPr="00C03A24">
                <w:rPr>
                  <w:color w:val="0000FF"/>
                  <w:u w:val="single"/>
                  <w:lang w:eastAsia="en-AU"/>
                </w:rPr>
                <w:t>: Potential Causes and Evaluation</w:t>
              </w:r>
            </w:hyperlink>
          </w:p>
          <w:p w14:paraId="061A7BBA" w14:textId="77777777" w:rsidR="00F526D9" w:rsidRPr="00C03A24" w:rsidRDefault="00D66E33" w:rsidP="00A264CD">
            <w:pPr>
              <w:tabs>
                <w:tab w:val="left" w:pos="1396"/>
              </w:tabs>
              <w:spacing w:beforeAutospacing="1" w:after="0" w:afterAutospacing="1" w:line="240" w:lineRule="auto"/>
              <w:ind w:left="119"/>
              <w:rPr>
                <w:rFonts w:eastAsiaTheme="minorEastAsia" w:cstheme="minorHAnsi"/>
                <w:color w:val="0000FF"/>
                <w:u w:val="single"/>
                <w:lang w:eastAsia="en-AU"/>
              </w:rPr>
            </w:pPr>
            <w:hyperlink r:id="rId17">
              <w:r w:rsidR="00F526D9" w:rsidRPr="00C03A24">
                <w:rPr>
                  <w:color w:val="0000FF"/>
                  <w:u w:val="single"/>
                  <w:lang w:eastAsia="en-AU"/>
                </w:rPr>
                <w:t>The molecular basis of immune-based platelet disorders</w:t>
              </w:r>
            </w:hyperlink>
          </w:p>
          <w:p w14:paraId="41092F3D" w14:textId="77777777" w:rsidR="00F526D9" w:rsidRPr="0092706A" w:rsidRDefault="00F526D9" w:rsidP="00A264CD">
            <w:pPr>
              <w:tabs>
                <w:tab w:val="left" w:pos="1396"/>
              </w:tabs>
              <w:ind w:left="119"/>
              <w:rPr>
                <w:rFonts w:eastAsiaTheme="minorEastAsia" w:cstheme="minorHAnsi"/>
                <w:color w:val="0000FF"/>
                <w:u w:val="single"/>
                <w:lang w:eastAsia="en-AU"/>
              </w:rPr>
            </w:pPr>
          </w:p>
        </w:tc>
      </w:tr>
      <w:tr w:rsidR="00F526D9" w:rsidRPr="007B5F19" w14:paraId="59ECCACC" w14:textId="77777777" w:rsidTr="00AF0B03">
        <w:trPr>
          <w:trHeight w:val="592"/>
        </w:trPr>
        <w:tc>
          <w:tcPr>
            <w:tcW w:w="184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FC671BE" w14:textId="77777777" w:rsidR="00F526D9" w:rsidRPr="007B5F19" w:rsidRDefault="00F526D9" w:rsidP="00A264CD">
            <w:pPr>
              <w:rPr>
                <w:rFonts w:cstheme="minorHAnsi"/>
                <w:b/>
                <w:bCs/>
              </w:rPr>
            </w:pPr>
            <w:r w:rsidRPr="007B5F19">
              <w:rPr>
                <w:rFonts w:cstheme="minorHAnsi"/>
                <w:b/>
                <w:bCs/>
              </w:rPr>
              <w:t>Patient Blood management Early Career Research Grant (Scholarship)</w:t>
            </w:r>
          </w:p>
        </w:tc>
        <w:tc>
          <w:tcPr>
            <w:tcW w:w="212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1B0642F1" w14:textId="77777777" w:rsidR="00F526D9" w:rsidRPr="007B5F19" w:rsidRDefault="00F526D9" w:rsidP="00A264CD">
            <w:pPr>
              <w:rPr>
                <w:rFonts w:cstheme="minorHAnsi"/>
              </w:rPr>
            </w:pPr>
            <w:r w:rsidRPr="007B5F19">
              <w:rPr>
                <w:rFonts w:cstheme="minorHAnsi"/>
              </w:rPr>
              <w:t xml:space="preserve">Intraoperative </w:t>
            </w:r>
            <w:proofErr w:type="gramStart"/>
            <w:r w:rsidRPr="007B5F19">
              <w:rPr>
                <w:rFonts w:cstheme="minorHAnsi"/>
              </w:rPr>
              <w:t>cell</w:t>
            </w:r>
            <w:proofErr w:type="gramEnd"/>
            <w:r w:rsidRPr="007B5F19">
              <w:rPr>
                <w:rFonts w:cstheme="minorHAnsi"/>
              </w:rPr>
              <w:t xml:space="preserve"> salvage a safer and cost-effective alternative to allogeneic blood transfusion</w:t>
            </w:r>
          </w:p>
        </w:tc>
        <w:tc>
          <w:tcPr>
            <w:tcW w:w="170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A42E4E0" w14:textId="77777777" w:rsidR="00F526D9" w:rsidRPr="007B5F19" w:rsidRDefault="00F526D9" w:rsidP="00A264CD">
            <w:pPr>
              <w:pStyle w:val="NormalWeb"/>
              <w:spacing w:line="360" w:lineRule="atLeast"/>
              <w:rPr>
                <w:rFonts w:asciiTheme="minorHAnsi" w:eastAsiaTheme="minorHAnsi" w:hAnsiTheme="minorHAnsi" w:cstheme="minorHAnsi"/>
                <w:sz w:val="22"/>
                <w:szCs w:val="22"/>
                <w:lang w:eastAsia="en-US"/>
              </w:rPr>
            </w:pPr>
            <w:r w:rsidRPr="007B5F19">
              <w:rPr>
                <w:rFonts w:asciiTheme="minorHAnsi" w:hAnsiTheme="minorHAnsi" w:cstheme="minorHAnsi"/>
                <w:sz w:val="22"/>
                <w:szCs w:val="22"/>
              </w:rPr>
              <w:t>University of Queensland</w:t>
            </w:r>
          </w:p>
        </w:tc>
        <w:tc>
          <w:tcPr>
            <w:tcW w:w="141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53535099" w14:textId="77777777" w:rsidR="00F526D9" w:rsidRPr="007B5F19" w:rsidRDefault="00F526D9" w:rsidP="00A264CD">
            <w:pPr>
              <w:pStyle w:val="NormalWeb"/>
              <w:spacing w:line="360" w:lineRule="atLeast"/>
              <w:rPr>
                <w:rFonts w:asciiTheme="minorHAnsi" w:eastAsiaTheme="minorHAnsi" w:hAnsiTheme="minorHAnsi" w:cstheme="minorHAnsi"/>
                <w:sz w:val="22"/>
                <w:szCs w:val="22"/>
                <w:lang w:eastAsia="en-US"/>
              </w:rPr>
            </w:pPr>
            <w:r w:rsidRPr="007B5F19">
              <w:rPr>
                <w:rFonts w:asciiTheme="minorHAnsi" w:hAnsiTheme="minorHAnsi" w:cstheme="minorHAnsi"/>
                <w:sz w:val="22"/>
                <w:szCs w:val="22"/>
              </w:rPr>
              <w:t>$33,000</w:t>
            </w:r>
          </w:p>
        </w:tc>
        <w:tc>
          <w:tcPr>
            <w:tcW w:w="141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3E47D4A6" w14:textId="77777777" w:rsidR="00F526D9" w:rsidRPr="007B5F19" w:rsidRDefault="00F526D9" w:rsidP="00A264CD">
            <w:pPr>
              <w:pStyle w:val="NormalWeb"/>
              <w:spacing w:line="360" w:lineRule="atLeast"/>
              <w:rPr>
                <w:rFonts w:asciiTheme="minorHAnsi" w:eastAsiaTheme="minorHAnsi" w:hAnsiTheme="minorHAnsi" w:cstheme="minorHAnsi"/>
                <w:sz w:val="22"/>
                <w:szCs w:val="22"/>
                <w:lang w:eastAsia="en-US"/>
              </w:rPr>
            </w:pPr>
            <w:r w:rsidRPr="007B5F19">
              <w:rPr>
                <w:rFonts w:asciiTheme="minorHAnsi" w:hAnsiTheme="minorHAnsi" w:cstheme="minorHAnsi"/>
                <w:sz w:val="22"/>
                <w:szCs w:val="22"/>
              </w:rPr>
              <w:t>Dr Michelle Roets</w:t>
            </w:r>
          </w:p>
        </w:tc>
        <w:tc>
          <w:tcPr>
            <w:tcW w:w="38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64B5C0B0" w14:textId="77777777" w:rsidR="00F526D9" w:rsidRPr="007B5F19" w:rsidRDefault="00F526D9" w:rsidP="00A264CD">
            <w:pPr>
              <w:spacing w:after="0"/>
              <w:ind w:left="143"/>
              <w:rPr>
                <w:rFonts w:cstheme="minorHAnsi"/>
              </w:rPr>
            </w:pPr>
            <w:r w:rsidRPr="007B5F19">
              <w:rPr>
                <w:rFonts w:cstheme="minorHAnsi"/>
              </w:rPr>
              <w:t>To confirm that by receiving intraoperative cell salvage instead of allogeneic blood transfusion a patient would have a lower plasma level of inflammatory markers and associated lower risk of transfusion related immunomodulation than when receiving allogeneic blood transfusion.</w:t>
            </w:r>
          </w:p>
          <w:p w14:paraId="2BAE1EB8" w14:textId="77777777" w:rsidR="00F526D9" w:rsidRPr="007B5F19" w:rsidRDefault="00F526D9" w:rsidP="00A264CD">
            <w:pPr>
              <w:keepNext/>
              <w:ind w:left="143"/>
              <w:jc w:val="both"/>
              <w:rPr>
                <w:rFonts w:cstheme="minorHAnsi"/>
              </w:rPr>
            </w:pPr>
          </w:p>
          <w:p w14:paraId="51DD3935" w14:textId="77777777" w:rsidR="00F526D9" w:rsidRDefault="00F526D9" w:rsidP="00A264CD">
            <w:pPr>
              <w:spacing w:before="100" w:beforeAutospacing="1" w:after="100" w:afterAutospacing="1" w:line="240" w:lineRule="auto"/>
              <w:ind w:left="143"/>
            </w:pPr>
          </w:p>
        </w:tc>
        <w:tc>
          <w:tcPr>
            <w:tcW w:w="66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28B20874" w14:textId="77777777" w:rsidR="00F526D9" w:rsidRPr="007B5F19" w:rsidRDefault="00F526D9" w:rsidP="00A264CD">
            <w:pPr>
              <w:spacing w:line="276" w:lineRule="auto"/>
              <w:rPr>
                <w:rFonts w:cstheme="minorHAnsi"/>
              </w:rPr>
            </w:pPr>
            <w:r w:rsidRPr="007B5F19">
              <w:rPr>
                <w:rFonts w:cstheme="minorHAnsi"/>
              </w:rPr>
              <w:t xml:space="preserve">As a result of surgery ~800 patients experience significant blood loss and require allogeneic blood transfusion at the Royal Brisbane and Women’s Hospital (RBWH) each year. Allogeneic blood is donated, </w:t>
            </w:r>
            <w:proofErr w:type="gramStart"/>
            <w:r w:rsidRPr="007B5F19">
              <w:rPr>
                <w:rFonts w:cstheme="minorHAnsi"/>
              </w:rPr>
              <w:t>processed</w:t>
            </w:r>
            <w:proofErr w:type="gramEnd"/>
            <w:r w:rsidRPr="007B5F19">
              <w:rPr>
                <w:rFonts w:cstheme="minorHAnsi"/>
              </w:rPr>
              <w:t xml:space="preserve"> and made available within the blood bank at the hospital to be used when required urgently for transfusion during surgery.</w:t>
            </w:r>
          </w:p>
          <w:p w14:paraId="50FB0C14" w14:textId="77777777" w:rsidR="00F526D9" w:rsidRPr="007B5F19" w:rsidRDefault="00F526D9" w:rsidP="00A264CD">
            <w:pPr>
              <w:spacing w:line="276" w:lineRule="auto"/>
              <w:contextualSpacing/>
              <w:rPr>
                <w:rFonts w:cstheme="minorHAnsi"/>
              </w:rPr>
            </w:pPr>
            <w:r w:rsidRPr="007B5F19">
              <w:rPr>
                <w:rFonts w:cstheme="minorHAnsi"/>
              </w:rPr>
              <w:t xml:space="preserve">The safety of blood transfusion has improved over decades however a significant risk remains. These risks include wrong blood to wrong patient, transfusion-related lung injury, infection, allergic </w:t>
            </w:r>
            <w:proofErr w:type="gramStart"/>
            <w:r w:rsidRPr="007B5F19">
              <w:rPr>
                <w:rFonts w:cstheme="minorHAnsi"/>
              </w:rPr>
              <w:t>reaction</w:t>
            </w:r>
            <w:proofErr w:type="gramEnd"/>
            <w:r w:rsidRPr="007B5F19">
              <w:rPr>
                <w:rFonts w:cstheme="minorHAnsi"/>
              </w:rPr>
              <w:t xml:space="preserve"> and many others. </w:t>
            </w:r>
          </w:p>
          <w:p w14:paraId="4A0B2F1C" w14:textId="77777777" w:rsidR="00F526D9" w:rsidRPr="007B5F19" w:rsidRDefault="00F526D9" w:rsidP="00A264CD">
            <w:pPr>
              <w:spacing w:after="0" w:line="276" w:lineRule="auto"/>
              <w:rPr>
                <w:rFonts w:cstheme="minorHAnsi"/>
              </w:rPr>
            </w:pPr>
          </w:p>
          <w:p w14:paraId="2A1B28D4" w14:textId="77777777" w:rsidR="00F526D9" w:rsidRPr="007B5F19" w:rsidRDefault="00F526D9" w:rsidP="00A264CD">
            <w:pPr>
              <w:spacing w:after="0" w:line="276" w:lineRule="auto"/>
              <w:rPr>
                <w:rFonts w:cstheme="minorHAnsi"/>
                <w:vertAlign w:val="superscript"/>
              </w:rPr>
            </w:pPr>
            <w:r w:rsidRPr="007B5F19">
              <w:rPr>
                <w:rFonts w:cstheme="minorHAnsi"/>
              </w:rPr>
              <w:t xml:space="preserve">According to Australian blood transfusion safety data 617 transfusion-related adverse events were reported in 2013-2014, an increase from 429 reported in </w:t>
            </w:r>
            <w:r w:rsidRPr="007B5F19">
              <w:rPr>
                <w:rFonts w:cstheme="minorHAnsi"/>
                <w:lang w:val="en-US"/>
              </w:rPr>
              <w:t xml:space="preserve">2012-2013. </w:t>
            </w:r>
            <w:r w:rsidRPr="007B5F19">
              <w:rPr>
                <w:rFonts w:cstheme="minorHAnsi"/>
              </w:rPr>
              <w:t>Adverse event reporting in Australia is not mandatory therefore these numbers are likely underestimated.  Adverse event reporting in the UK is mandatory. The SHOT (Serious hazards of transfusion) database in the UK reported 26 deaths related to blood transfusion in 2015.</w:t>
            </w:r>
          </w:p>
          <w:p w14:paraId="6EFA16D1" w14:textId="77777777" w:rsidR="00F526D9" w:rsidRPr="007B5F19" w:rsidRDefault="00F526D9" w:rsidP="00A264CD">
            <w:pPr>
              <w:spacing w:line="276" w:lineRule="auto"/>
              <w:contextualSpacing/>
              <w:rPr>
                <w:rFonts w:cstheme="minorHAnsi"/>
              </w:rPr>
            </w:pPr>
          </w:p>
          <w:p w14:paraId="0B4A4CE9" w14:textId="77777777" w:rsidR="00F526D9" w:rsidRPr="007B5F19" w:rsidRDefault="00F526D9" w:rsidP="00A264CD">
            <w:pPr>
              <w:spacing w:line="276" w:lineRule="auto"/>
              <w:contextualSpacing/>
              <w:rPr>
                <w:rFonts w:cstheme="minorHAnsi"/>
              </w:rPr>
            </w:pPr>
            <w:r w:rsidRPr="007B5F19">
              <w:rPr>
                <w:rFonts w:cstheme="minorHAnsi"/>
              </w:rPr>
              <w:t>Emerging evidence has also found a link between allogenic blood transfusion and higher risk of infection (potentially avoidable by intraoperative cell salvage),</w:t>
            </w:r>
            <w:r w:rsidRPr="007B5F19">
              <w:rPr>
                <w:rFonts w:cstheme="minorHAnsi"/>
                <w:vertAlign w:val="superscript"/>
              </w:rPr>
              <w:t xml:space="preserve"> </w:t>
            </w:r>
            <w:r w:rsidRPr="007B5F19">
              <w:rPr>
                <w:rFonts w:cstheme="minorHAnsi"/>
              </w:rPr>
              <w:t xml:space="preserve">cancer recurrence, organ failure and death (transfusion related immunomodulation /TRIM effects). </w:t>
            </w:r>
          </w:p>
          <w:p w14:paraId="3C753939" w14:textId="77777777" w:rsidR="00F526D9" w:rsidRPr="007B5F19" w:rsidRDefault="00F526D9" w:rsidP="00A264CD">
            <w:pPr>
              <w:spacing w:after="0" w:line="276" w:lineRule="auto"/>
              <w:rPr>
                <w:rFonts w:cstheme="minorHAnsi"/>
                <w:vertAlign w:val="superscript"/>
              </w:rPr>
            </w:pPr>
          </w:p>
          <w:p w14:paraId="78210A7B" w14:textId="77777777" w:rsidR="00F526D9" w:rsidRPr="007B5F19" w:rsidRDefault="00F526D9" w:rsidP="00A264CD">
            <w:pPr>
              <w:spacing w:line="276" w:lineRule="auto"/>
              <w:contextualSpacing/>
              <w:rPr>
                <w:rFonts w:cstheme="minorHAnsi"/>
              </w:rPr>
            </w:pPr>
            <w:r w:rsidRPr="007B5F19">
              <w:rPr>
                <w:rFonts w:cstheme="minorHAnsi"/>
              </w:rPr>
              <w:t>Transfusion related immunomodulation or TRIM is a delayed (&gt;24 hours), immunological transfusion reaction associated with an increased rate of tumour recurrence in cancer surgery patients and an increased rate of bacterial infection after surgery, organ failure and death.</w:t>
            </w:r>
            <w:r w:rsidRPr="007B5F19">
              <w:rPr>
                <w:rFonts w:eastAsia="+mn-ea" w:cstheme="minorHAnsi"/>
                <w:i/>
                <w:iCs/>
                <w:kern w:val="24"/>
              </w:rPr>
              <w:t xml:space="preserve"> </w:t>
            </w:r>
          </w:p>
          <w:p w14:paraId="269C1B87" w14:textId="77777777" w:rsidR="00F526D9" w:rsidRPr="007B5F19" w:rsidRDefault="00F526D9" w:rsidP="00A264CD">
            <w:pPr>
              <w:spacing w:line="276" w:lineRule="auto"/>
              <w:contextualSpacing/>
              <w:rPr>
                <w:rFonts w:cstheme="minorHAnsi"/>
              </w:rPr>
            </w:pPr>
          </w:p>
          <w:p w14:paraId="4DD8D3D9" w14:textId="77777777" w:rsidR="00F526D9" w:rsidRPr="007B5F19" w:rsidRDefault="00F526D9" w:rsidP="00A264CD">
            <w:pPr>
              <w:spacing w:line="276" w:lineRule="auto"/>
              <w:contextualSpacing/>
              <w:rPr>
                <w:rFonts w:cstheme="minorHAnsi"/>
              </w:rPr>
            </w:pPr>
            <w:r w:rsidRPr="007B5F19">
              <w:rPr>
                <w:rFonts w:cstheme="minorHAnsi"/>
              </w:rPr>
              <w:lastRenderedPageBreak/>
              <w:t>This collaborative research project will compare the cost effectiveness and clinical safety profiles of intraoperative cell salvage and allogeneic blood transfusion. The objective of this project is to identify a novel diagnostic method to predict and to evaluate the incidence of infection and cancer recurrence that results from allogeneic blood transfusion (Transfusion Related Immunomodulation / TRIM).</w:t>
            </w:r>
          </w:p>
          <w:p w14:paraId="12440274" w14:textId="77777777" w:rsidR="00F526D9" w:rsidRPr="007B5F19" w:rsidRDefault="00F526D9" w:rsidP="00A264CD">
            <w:pPr>
              <w:spacing w:after="0" w:line="276" w:lineRule="auto"/>
              <w:rPr>
                <w:rFonts w:eastAsia="Times New Roman" w:cstheme="minorHAnsi"/>
                <w:lang w:eastAsia="en-AU"/>
              </w:rPr>
            </w:pPr>
          </w:p>
          <w:p w14:paraId="561ECEB7" w14:textId="77777777" w:rsidR="00F526D9" w:rsidRPr="007B5F19" w:rsidRDefault="00F526D9" w:rsidP="00A264CD">
            <w:pPr>
              <w:spacing w:line="276" w:lineRule="auto"/>
              <w:contextualSpacing/>
              <w:rPr>
                <w:rFonts w:eastAsia="Dotum" w:cstheme="minorHAnsi"/>
              </w:rPr>
            </w:pPr>
            <w:r w:rsidRPr="007B5F19">
              <w:rPr>
                <w:rFonts w:cstheme="minorHAnsi"/>
              </w:rPr>
              <w:t xml:space="preserve">In addition to the risks involved, allogeneic blood is also expensive. According to the National Blood Authority, the estimated cost associated with blood transfusion is over $1 billion per year in Australia. </w:t>
            </w:r>
            <w:r w:rsidRPr="007B5F19">
              <w:rPr>
                <w:rFonts w:cstheme="minorHAnsi"/>
                <w:vertAlign w:val="superscript"/>
              </w:rPr>
              <w:t xml:space="preserve">9 </w:t>
            </w:r>
            <w:r w:rsidRPr="007B5F19">
              <w:rPr>
                <w:rFonts w:cstheme="minorHAnsi"/>
              </w:rPr>
              <w:t xml:space="preserve">This figure still does not include the full cost of blood transfusion associated with overhead </w:t>
            </w:r>
            <w:proofErr w:type="gramStart"/>
            <w:r w:rsidRPr="007B5F19">
              <w:rPr>
                <w:rFonts w:cstheme="minorHAnsi"/>
              </w:rPr>
              <w:t>costs,</w:t>
            </w:r>
            <w:proofErr w:type="gramEnd"/>
            <w:r w:rsidRPr="007B5F19">
              <w:rPr>
                <w:rFonts w:cstheme="minorHAnsi"/>
              </w:rPr>
              <w:t xml:space="preserve"> adverse outcomes associated with transfusion related immunomodulation. </w:t>
            </w:r>
          </w:p>
          <w:p w14:paraId="76ED339F" w14:textId="77777777" w:rsidR="00F526D9" w:rsidRPr="007B5F19" w:rsidRDefault="00F526D9" w:rsidP="00A264CD">
            <w:pPr>
              <w:spacing w:line="276" w:lineRule="auto"/>
              <w:contextualSpacing/>
              <w:rPr>
                <w:rFonts w:cstheme="minorHAnsi"/>
              </w:rPr>
            </w:pPr>
          </w:p>
          <w:p w14:paraId="04E23F3F" w14:textId="77777777" w:rsidR="00F526D9" w:rsidRPr="007B5F19" w:rsidRDefault="00F526D9" w:rsidP="00A264CD">
            <w:pPr>
              <w:spacing w:line="276" w:lineRule="auto"/>
              <w:contextualSpacing/>
              <w:rPr>
                <w:rFonts w:cstheme="minorHAnsi"/>
              </w:rPr>
            </w:pPr>
            <w:r w:rsidRPr="007B5F19">
              <w:rPr>
                <w:rFonts w:cstheme="minorHAnsi"/>
              </w:rPr>
              <w:t xml:space="preserve">Intraoperative cell salvage is a cost-effective and safe alternative to allogeneic blood transfusion. During intraoperative cell salvage the patient’s own blood, lost during surgical procedures, can be collected, </w:t>
            </w:r>
            <w:proofErr w:type="gramStart"/>
            <w:r w:rsidRPr="007B5F19">
              <w:rPr>
                <w:rFonts w:cstheme="minorHAnsi"/>
              </w:rPr>
              <w:t>processed</w:t>
            </w:r>
            <w:proofErr w:type="gramEnd"/>
            <w:r w:rsidRPr="007B5F19">
              <w:rPr>
                <w:rFonts w:cstheme="minorHAnsi"/>
              </w:rPr>
              <w:t xml:space="preserve"> and reinfused. </w:t>
            </w:r>
          </w:p>
          <w:p w14:paraId="76A0F753" w14:textId="77777777" w:rsidR="00F526D9" w:rsidRPr="007B5F19" w:rsidRDefault="00F526D9" w:rsidP="00A264CD">
            <w:pPr>
              <w:spacing w:line="276" w:lineRule="auto"/>
              <w:contextualSpacing/>
              <w:rPr>
                <w:rFonts w:cstheme="minorHAnsi"/>
              </w:rPr>
            </w:pPr>
          </w:p>
          <w:p w14:paraId="183D2823" w14:textId="77777777" w:rsidR="00F526D9" w:rsidRPr="007B5F19" w:rsidRDefault="00F526D9" w:rsidP="00A264CD">
            <w:pPr>
              <w:spacing w:line="276" w:lineRule="auto"/>
              <w:contextualSpacing/>
              <w:rPr>
                <w:rFonts w:cstheme="minorHAnsi"/>
              </w:rPr>
            </w:pPr>
            <w:r w:rsidRPr="007B5F19">
              <w:rPr>
                <w:rFonts w:cstheme="minorHAnsi"/>
              </w:rPr>
              <w:t xml:space="preserve">By using intraoperative cell salvage blood instead of allogeneic blood transfusion adverse events associated with transfusion related immunomodulation can be avoided. By using existing laboratory facilities within the Australian Red </w:t>
            </w:r>
            <w:proofErr w:type="gramStart"/>
            <w:r w:rsidRPr="007B5F19">
              <w:rPr>
                <w:rFonts w:cstheme="minorHAnsi"/>
              </w:rPr>
              <w:t>Cross</w:t>
            </w:r>
            <w:proofErr w:type="gramEnd"/>
            <w:r w:rsidRPr="007B5F19">
              <w:rPr>
                <w:rFonts w:cstheme="minorHAnsi"/>
              </w:rPr>
              <w:t xml:space="preserve"> the </w:t>
            </w:r>
            <w:r>
              <w:rPr>
                <w:rFonts w:cstheme="minorHAnsi"/>
              </w:rPr>
              <w:t xml:space="preserve">research </w:t>
            </w:r>
            <w:r w:rsidRPr="007B5F19">
              <w:rPr>
                <w:rFonts w:cstheme="minorHAnsi"/>
              </w:rPr>
              <w:t>team will identify markers within allogeneic blood and absent in intraoperative cell salvage blood associated with transfusion related immunomodulation.</w:t>
            </w:r>
          </w:p>
          <w:p w14:paraId="7D39794A" w14:textId="77777777" w:rsidR="00F526D9" w:rsidRPr="007B5F19" w:rsidRDefault="00F526D9" w:rsidP="00A264CD">
            <w:pPr>
              <w:spacing w:line="276" w:lineRule="auto"/>
              <w:contextualSpacing/>
              <w:rPr>
                <w:rFonts w:cstheme="minorHAnsi"/>
              </w:rPr>
            </w:pPr>
          </w:p>
          <w:p w14:paraId="20EEFD07" w14:textId="77777777" w:rsidR="00F526D9" w:rsidRPr="007B5F19" w:rsidRDefault="00F526D9" w:rsidP="00A264CD">
            <w:pPr>
              <w:spacing w:line="276" w:lineRule="auto"/>
              <w:rPr>
                <w:rFonts w:cstheme="minorHAnsi"/>
              </w:rPr>
            </w:pPr>
            <w:r w:rsidRPr="007B5F19">
              <w:rPr>
                <w:rFonts w:cstheme="minorHAnsi"/>
              </w:rPr>
              <w:t xml:space="preserve">This project will be highly significant to the hospital system as </w:t>
            </w:r>
            <w:r>
              <w:rPr>
                <w:rFonts w:cstheme="minorHAnsi"/>
              </w:rPr>
              <w:t>the research team</w:t>
            </w:r>
            <w:r w:rsidRPr="007B5F19">
              <w:rPr>
                <w:rFonts w:cstheme="minorHAnsi"/>
              </w:rPr>
              <w:t xml:space="preserve"> anticipate better patient care, less harm to patients and a more acceptable alternative to allogeneic blood transfusion. </w:t>
            </w:r>
          </w:p>
          <w:p w14:paraId="0B6DB3D0" w14:textId="77777777" w:rsidR="00F526D9" w:rsidRPr="007B5F19" w:rsidRDefault="00F526D9" w:rsidP="00A264CD">
            <w:pPr>
              <w:spacing w:line="276" w:lineRule="auto"/>
              <w:contextualSpacing/>
              <w:rPr>
                <w:rFonts w:cstheme="minorHAnsi"/>
                <w:lang w:val="en-US"/>
              </w:rPr>
            </w:pPr>
          </w:p>
        </w:tc>
        <w:tc>
          <w:tcPr>
            <w:tcW w:w="411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000D830F" w14:textId="321C10F8" w:rsidR="00F526D9" w:rsidRPr="00AF0B03" w:rsidRDefault="00D66E33" w:rsidP="00AF0B03">
            <w:pPr>
              <w:tabs>
                <w:tab w:val="left" w:pos="1396"/>
              </w:tabs>
              <w:spacing w:before="100" w:beforeAutospacing="1" w:after="100" w:afterAutospacing="1" w:line="240" w:lineRule="auto"/>
              <w:ind w:left="119"/>
              <w:rPr>
                <w:rFonts w:eastAsiaTheme="minorEastAsia" w:cstheme="minorHAnsi"/>
                <w:color w:val="0000FF"/>
                <w:u w:val="single"/>
                <w:lang w:eastAsia="en-AU"/>
              </w:rPr>
            </w:pPr>
            <w:hyperlink r:id="rId18">
              <w:r w:rsidR="00F526D9" w:rsidRPr="00300E65">
                <w:rPr>
                  <w:rFonts w:eastAsiaTheme="minorEastAsia" w:cstheme="minorHAnsi"/>
                  <w:color w:val="0000FF"/>
                  <w:u w:val="single"/>
                  <w:lang w:eastAsia="en-AU"/>
                </w:rPr>
                <w:t>Intraoperative Cell Salvage as an Alternative to Allogeneic (Donated) Blood Transfusion: A Prospective Observational Evaluation of the Immune Response Profile</w:t>
              </w:r>
            </w:hyperlink>
          </w:p>
          <w:p w14:paraId="21698DE6" w14:textId="77777777" w:rsidR="00F526D9" w:rsidRPr="00C03A24" w:rsidRDefault="00D66E33" w:rsidP="00A264CD">
            <w:pPr>
              <w:tabs>
                <w:tab w:val="left" w:pos="1396"/>
              </w:tabs>
              <w:spacing w:before="100" w:beforeAutospacing="1" w:after="100" w:afterAutospacing="1" w:line="240" w:lineRule="auto"/>
              <w:ind w:left="119"/>
              <w:rPr>
                <w:rFonts w:eastAsiaTheme="minorEastAsia" w:cstheme="minorHAnsi"/>
                <w:color w:val="0000FF"/>
                <w:u w:val="single"/>
                <w:lang w:eastAsia="en-AU"/>
              </w:rPr>
            </w:pPr>
            <w:hyperlink r:id="rId19">
              <w:r w:rsidR="00F526D9" w:rsidRPr="00C03A24">
                <w:rPr>
                  <w:color w:val="0000FF"/>
                  <w:u w:val="single"/>
                  <w:lang w:eastAsia="en-AU"/>
                </w:rPr>
                <w:t>Incorporative cell salvage: The impact on immune cell numbers</w:t>
              </w:r>
            </w:hyperlink>
          </w:p>
          <w:p w14:paraId="697573EA" w14:textId="77777777" w:rsidR="00F526D9" w:rsidRPr="0092706A" w:rsidRDefault="00F526D9" w:rsidP="00A264CD">
            <w:pPr>
              <w:tabs>
                <w:tab w:val="left" w:pos="1396"/>
              </w:tabs>
              <w:spacing w:line="276" w:lineRule="auto"/>
              <w:ind w:left="119"/>
              <w:rPr>
                <w:rFonts w:eastAsiaTheme="minorEastAsia" w:cstheme="minorHAnsi"/>
                <w:color w:val="0000FF"/>
                <w:u w:val="single"/>
                <w:lang w:eastAsia="en-AU"/>
              </w:rPr>
            </w:pPr>
          </w:p>
        </w:tc>
      </w:tr>
      <w:tr w:rsidR="00F526D9" w:rsidRPr="007B5F19" w14:paraId="0C566B1B" w14:textId="77777777" w:rsidTr="00AF0B03">
        <w:trPr>
          <w:trHeight w:val="592"/>
        </w:trPr>
        <w:tc>
          <w:tcPr>
            <w:tcW w:w="1843"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C2CD870" w14:textId="77777777" w:rsidR="00F526D9" w:rsidRPr="007B5F19" w:rsidRDefault="00F526D9" w:rsidP="00A264CD">
            <w:pPr>
              <w:rPr>
                <w:rFonts w:cstheme="minorHAnsi"/>
                <w:b/>
                <w:bCs/>
              </w:rPr>
            </w:pPr>
            <w:r w:rsidRPr="007B5F19">
              <w:rPr>
                <w:rFonts w:eastAsiaTheme="minorEastAsia" w:cstheme="minorHAnsi"/>
                <w:b/>
                <w:bCs/>
              </w:rPr>
              <w:t>Patient Blood Management Early Career Research Grant (Scholarship)</w:t>
            </w:r>
          </w:p>
        </w:tc>
        <w:tc>
          <w:tcPr>
            <w:tcW w:w="2126"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F7822D9" w14:textId="77777777" w:rsidR="00F526D9" w:rsidRPr="007B5F19" w:rsidRDefault="00F526D9" w:rsidP="00A264CD">
            <w:pPr>
              <w:rPr>
                <w:rFonts w:cstheme="minorHAnsi"/>
              </w:rPr>
            </w:pPr>
            <w:r w:rsidRPr="007B5F19">
              <w:rPr>
                <w:rFonts w:cstheme="minorHAnsi"/>
              </w:rPr>
              <w:t>Understanding risks and clinical outcomes of anaemia in the elderly to inform transfusion policy</w:t>
            </w:r>
          </w:p>
        </w:tc>
        <w:tc>
          <w:tcPr>
            <w:tcW w:w="170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0EDD9083" w14:textId="77777777" w:rsidR="00F526D9" w:rsidRPr="007B5F19" w:rsidRDefault="00F526D9" w:rsidP="00A264CD">
            <w:pPr>
              <w:pStyle w:val="NormalWeb"/>
              <w:spacing w:line="360" w:lineRule="atLeast"/>
              <w:rPr>
                <w:rFonts w:asciiTheme="minorHAnsi" w:hAnsiTheme="minorHAnsi" w:cstheme="minorHAnsi"/>
                <w:sz w:val="22"/>
                <w:szCs w:val="22"/>
              </w:rPr>
            </w:pPr>
            <w:r w:rsidRPr="007B5F19">
              <w:rPr>
                <w:rFonts w:asciiTheme="minorHAnsi" w:hAnsiTheme="minorHAnsi" w:cstheme="minorHAnsi"/>
                <w:sz w:val="22"/>
                <w:szCs w:val="22"/>
              </w:rPr>
              <w:t>Monash University</w:t>
            </w:r>
          </w:p>
        </w:tc>
        <w:tc>
          <w:tcPr>
            <w:tcW w:w="141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4FDB579" w14:textId="77777777" w:rsidR="00F526D9" w:rsidRPr="007B5F19" w:rsidRDefault="00F526D9" w:rsidP="00A264CD">
            <w:pPr>
              <w:pStyle w:val="NormalWeb"/>
              <w:spacing w:line="360" w:lineRule="atLeast"/>
              <w:rPr>
                <w:rFonts w:asciiTheme="minorHAnsi" w:hAnsiTheme="minorHAnsi" w:cstheme="minorHAnsi"/>
                <w:sz w:val="22"/>
                <w:szCs w:val="22"/>
              </w:rPr>
            </w:pPr>
            <w:r w:rsidRPr="007B5F19">
              <w:rPr>
                <w:rFonts w:asciiTheme="minorHAnsi" w:hAnsiTheme="minorHAnsi" w:cstheme="minorHAnsi"/>
                <w:sz w:val="22"/>
                <w:szCs w:val="22"/>
              </w:rPr>
              <w:t>$33,000</w:t>
            </w:r>
          </w:p>
        </w:tc>
        <w:tc>
          <w:tcPr>
            <w:tcW w:w="1417"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7427D286" w14:textId="77777777" w:rsidR="00F526D9" w:rsidRPr="007B5F19" w:rsidRDefault="00F526D9" w:rsidP="00A264CD">
            <w:pPr>
              <w:pStyle w:val="NormalWeb"/>
              <w:spacing w:line="360" w:lineRule="atLeast"/>
              <w:rPr>
                <w:rFonts w:asciiTheme="minorHAnsi" w:hAnsiTheme="minorHAnsi" w:cstheme="minorHAnsi"/>
                <w:sz w:val="22"/>
                <w:szCs w:val="22"/>
              </w:rPr>
            </w:pPr>
            <w:r w:rsidRPr="007B5F19">
              <w:rPr>
                <w:rFonts w:asciiTheme="minorHAnsi" w:hAnsiTheme="minorHAnsi" w:cstheme="minorHAnsi"/>
                <w:sz w:val="22"/>
                <w:szCs w:val="22"/>
              </w:rPr>
              <w:t>Dr Alison Mo</w:t>
            </w:r>
          </w:p>
        </w:tc>
        <w:tc>
          <w:tcPr>
            <w:tcW w:w="3828"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36C44A47" w14:textId="77777777" w:rsidR="00F526D9" w:rsidRPr="007B5F19" w:rsidRDefault="00F526D9" w:rsidP="00A264CD">
            <w:pPr>
              <w:ind w:left="143"/>
              <w:rPr>
                <w:rFonts w:cstheme="minorHAnsi"/>
              </w:rPr>
            </w:pPr>
            <w:r w:rsidRPr="007B5F19">
              <w:rPr>
                <w:rFonts w:cstheme="minorHAnsi"/>
              </w:rPr>
              <w:t>1</w:t>
            </w:r>
            <w:r>
              <w:rPr>
                <w:rFonts w:cstheme="minorHAnsi"/>
              </w:rPr>
              <w:t>.</w:t>
            </w:r>
            <w:r w:rsidRPr="007B5F19">
              <w:rPr>
                <w:rFonts w:cstheme="minorHAnsi"/>
              </w:rPr>
              <w:t xml:space="preserve"> To evaluate the current evidence base correlating anaemia and Hb levels with health outcomes (QoL, exercise capacity, cognitive function) in elderly individuals, and transfusion thresholds in the elderly.</w:t>
            </w:r>
          </w:p>
          <w:p w14:paraId="23625957" w14:textId="77777777" w:rsidR="00F526D9" w:rsidRPr="007B5F19" w:rsidRDefault="00F526D9" w:rsidP="00A264CD">
            <w:pPr>
              <w:ind w:left="143"/>
              <w:rPr>
                <w:rFonts w:cstheme="minorHAnsi"/>
              </w:rPr>
            </w:pPr>
          </w:p>
          <w:p w14:paraId="0F0A2664" w14:textId="77777777" w:rsidR="00F526D9" w:rsidRPr="007B5F19" w:rsidRDefault="00F526D9" w:rsidP="00A264CD">
            <w:pPr>
              <w:ind w:left="143"/>
              <w:rPr>
                <w:rFonts w:cstheme="minorHAnsi"/>
              </w:rPr>
            </w:pPr>
            <w:r w:rsidRPr="007B5F19">
              <w:rPr>
                <w:rFonts w:cstheme="minorHAnsi"/>
              </w:rPr>
              <w:t>2</w:t>
            </w:r>
            <w:r>
              <w:rPr>
                <w:rFonts w:cstheme="minorHAnsi"/>
              </w:rPr>
              <w:t>.</w:t>
            </w:r>
            <w:r w:rsidRPr="007B5F19">
              <w:rPr>
                <w:rFonts w:cstheme="minorHAnsi"/>
              </w:rPr>
              <w:t xml:space="preserve"> To describe the incidence, </w:t>
            </w:r>
            <w:proofErr w:type="gramStart"/>
            <w:r w:rsidRPr="007B5F19">
              <w:rPr>
                <w:rFonts w:cstheme="minorHAnsi"/>
              </w:rPr>
              <w:t>epidemiology</w:t>
            </w:r>
            <w:proofErr w:type="gramEnd"/>
            <w:r w:rsidRPr="007B5F19">
              <w:rPr>
                <w:rFonts w:cstheme="minorHAnsi"/>
              </w:rPr>
              <w:t xml:space="preserve"> and risk factors for AE in the Australian community in well individuals ≥70yo.</w:t>
            </w:r>
          </w:p>
          <w:p w14:paraId="136F7E42" w14:textId="77777777" w:rsidR="00F526D9" w:rsidRPr="007B5F19" w:rsidRDefault="00F526D9" w:rsidP="00A264CD">
            <w:pPr>
              <w:ind w:left="143"/>
              <w:rPr>
                <w:rFonts w:cstheme="minorHAnsi"/>
              </w:rPr>
            </w:pPr>
          </w:p>
          <w:p w14:paraId="374B58BC" w14:textId="77777777" w:rsidR="00F526D9" w:rsidRPr="007B5F19" w:rsidRDefault="00F526D9" w:rsidP="00A264CD">
            <w:pPr>
              <w:spacing w:before="100" w:beforeAutospacing="1" w:after="100" w:afterAutospacing="1" w:line="240" w:lineRule="auto"/>
              <w:ind w:left="143"/>
              <w:rPr>
                <w:rFonts w:eastAsiaTheme="minorEastAsia" w:cstheme="minorHAnsi"/>
                <w:color w:val="0000FF"/>
                <w:u w:val="single"/>
                <w:lang w:eastAsia="en-AU"/>
              </w:rPr>
            </w:pPr>
            <w:r w:rsidRPr="007B5F19">
              <w:rPr>
                <w:rFonts w:cstheme="minorHAnsi"/>
              </w:rPr>
              <w:lastRenderedPageBreak/>
              <w:t xml:space="preserve">3: To determine the significance of AE overall and to assess if the current WHO </w:t>
            </w:r>
            <w:proofErr w:type="spellStart"/>
            <w:r w:rsidRPr="007B5F19">
              <w:rPr>
                <w:rFonts w:cstheme="minorHAnsi"/>
              </w:rPr>
              <w:t>cutoff</w:t>
            </w:r>
            <w:proofErr w:type="spellEnd"/>
            <w:r w:rsidRPr="007B5F19">
              <w:rPr>
                <w:rFonts w:cstheme="minorHAnsi"/>
              </w:rPr>
              <w:t xml:space="preserve"> for anaemia is appropriate for elderly patients, by correlating haemoglobin with clinical factors such as age, quality of life measures, comorbidities, functional </w:t>
            </w:r>
            <w:proofErr w:type="gramStart"/>
            <w:r w:rsidRPr="007B5F19">
              <w:rPr>
                <w:rFonts w:cstheme="minorHAnsi"/>
              </w:rPr>
              <w:t>outcomes</w:t>
            </w:r>
            <w:proofErr w:type="gramEnd"/>
            <w:r w:rsidRPr="007B5F19">
              <w:rPr>
                <w:rFonts w:cstheme="minorHAnsi"/>
              </w:rPr>
              <w:t xml:space="preserve"> and survival.</w:t>
            </w:r>
          </w:p>
        </w:tc>
        <w:tc>
          <w:tcPr>
            <w:tcW w:w="6662"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tcPr>
          <w:p w14:paraId="6097E4F5" w14:textId="77777777" w:rsidR="00F526D9" w:rsidRPr="007B5F19" w:rsidRDefault="00F526D9" w:rsidP="00A264CD">
            <w:pPr>
              <w:spacing w:line="276" w:lineRule="auto"/>
              <w:rPr>
                <w:rFonts w:cstheme="minorHAnsi"/>
              </w:rPr>
            </w:pPr>
            <w:r w:rsidRPr="007B5F19">
              <w:rPr>
                <w:rFonts w:cstheme="minorHAnsi"/>
              </w:rPr>
              <w:lastRenderedPageBreak/>
              <w:t xml:space="preserve">Almost 1 in 6 Australians older than 75 years is anaemic. This number will rise in coming decades with an ageing population, with significant implications for individual patient care and the impact on Australia’s national health system and blood supply. </w:t>
            </w:r>
          </w:p>
          <w:p w14:paraId="3E3781D7" w14:textId="77777777" w:rsidR="00F526D9" w:rsidRPr="007B5F19" w:rsidRDefault="00F526D9" w:rsidP="00A264CD">
            <w:pPr>
              <w:spacing w:line="276" w:lineRule="auto"/>
              <w:rPr>
                <w:rFonts w:cstheme="minorHAnsi"/>
              </w:rPr>
            </w:pPr>
            <w:r w:rsidRPr="007B5F19">
              <w:rPr>
                <w:rFonts w:cstheme="minorHAnsi"/>
              </w:rPr>
              <w:t xml:space="preserve">Older patients receive more blood transfusions for treatment of anaemia than younger patients, and the </w:t>
            </w:r>
            <w:proofErr w:type="gramStart"/>
            <w:r w:rsidRPr="007B5F19">
              <w:rPr>
                <w:rFonts w:cstheme="minorHAnsi"/>
              </w:rPr>
              <w:t>75-85 year old</w:t>
            </w:r>
            <w:proofErr w:type="gramEnd"/>
            <w:r w:rsidRPr="007B5F19">
              <w:rPr>
                <w:rFonts w:cstheme="minorHAnsi"/>
              </w:rPr>
              <w:t xml:space="preserve"> age group receives the most transfusions of any age bracket. Anaemia management is an important patient blood management (PBM) issue to be addressed to ensure the ongoing sustainability of the national blood supply. Important evidence gaps include:</w:t>
            </w:r>
          </w:p>
          <w:p w14:paraId="727CF217" w14:textId="77777777" w:rsidR="00F526D9" w:rsidRPr="007B5F19" w:rsidRDefault="00F526D9" w:rsidP="00A264CD">
            <w:pPr>
              <w:spacing w:line="276" w:lineRule="auto"/>
              <w:rPr>
                <w:rFonts w:cstheme="minorHAnsi"/>
              </w:rPr>
            </w:pPr>
            <w:r w:rsidRPr="007B5F19">
              <w:rPr>
                <w:rFonts w:cstheme="minorHAnsi"/>
              </w:rPr>
              <w:t xml:space="preserve"> Knowledge of characteristics of the elderly who develop anaemia, and identifiable risk factors. Data are required to formulate strategies for </w:t>
            </w:r>
            <w:r w:rsidRPr="007B5F19">
              <w:rPr>
                <w:rFonts w:cstheme="minorHAnsi"/>
              </w:rPr>
              <w:lastRenderedPageBreak/>
              <w:t xml:space="preserve">prevention and early intervention strategies to treat </w:t>
            </w:r>
            <w:proofErr w:type="gramStart"/>
            <w:r w:rsidRPr="007B5F19">
              <w:rPr>
                <w:rFonts w:cstheme="minorHAnsi"/>
              </w:rPr>
              <w:t>anaemia, and</w:t>
            </w:r>
            <w:proofErr w:type="gramEnd"/>
            <w:r w:rsidRPr="007B5F19">
              <w:rPr>
                <w:rFonts w:cstheme="minorHAnsi"/>
              </w:rPr>
              <w:t xml:space="preserve"> reduce the need for transfusions. </w:t>
            </w:r>
          </w:p>
          <w:p w14:paraId="3E604628" w14:textId="77777777" w:rsidR="00F526D9" w:rsidRPr="007B5F19" w:rsidRDefault="00F526D9" w:rsidP="00A264CD">
            <w:pPr>
              <w:spacing w:line="276" w:lineRule="auto"/>
              <w:rPr>
                <w:rFonts w:cstheme="minorHAnsi"/>
              </w:rPr>
            </w:pPr>
            <w:r w:rsidRPr="007B5F19">
              <w:rPr>
                <w:rFonts w:cstheme="minorHAnsi"/>
              </w:rPr>
              <w:t xml:space="preserve">Consequences of anaemia on health outcomes in the elderly. Some studies have shown that mild anaemia is common with ageing and associated with functional impairment, such as physical disability, cognitive impairment or affects psychosocial wellbeing. </w:t>
            </w:r>
          </w:p>
          <w:p w14:paraId="0E70324B" w14:textId="77777777" w:rsidR="00F526D9" w:rsidRPr="007B5F19" w:rsidRDefault="00F526D9" w:rsidP="00A264CD">
            <w:pPr>
              <w:spacing w:line="276" w:lineRule="auto"/>
              <w:rPr>
                <w:rFonts w:cstheme="minorHAnsi"/>
              </w:rPr>
            </w:pPr>
            <w:r w:rsidRPr="007B5F19">
              <w:rPr>
                <w:rFonts w:cstheme="minorHAnsi"/>
              </w:rPr>
              <w:t xml:space="preserve">Lack of data to guide treatment of anaemia and provide guidance on appropriate use of red cell transfusions in the elderly. </w:t>
            </w:r>
          </w:p>
          <w:p w14:paraId="01461ED9" w14:textId="77777777" w:rsidR="00F526D9" w:rsidRPr="007B5F19" w:rsidRDefault="00F526D9" w:rsidP="00A264CD">
            <w:pPr>
              <w:spacing w:line="276" w:lineRule="auto"/>
              <w:rPr>
                <w:rFonts w:cstheme="minorHAnsi"/>
              </w:rPr>
            </w:pPr>
            <w:r w:rsidRPr="007B5F19">
              <w:rPr>
                <w:rFonts w:cstheme="minorHAnsi"/>
              </w:rPr>
              <w:t>This project will address these questions through:</w:t>
            </w:r>
          </w:p>
          <w:p w14:paraId="7A1A15C3" w14:textId="77777777" w:rsidR="00F526D9" w:rsidRPr="007B5F19" w:rsidRDefault="00F526D9" w:rsidP="00A264CD">
            <w:pPr>
              <w:spacing w:line="276" w:lineRule="auto"/>
              <w:rPr>
                <w:rFonts w:cstheme="minorHAnsi"/>
              </w:rPr>
            </w:pPr>
            <w:r w:rsidRPr="007B5F19">
              <w:rPr>
                <w:rFonts w:cstheme="minorHAnsi"/>
              </w:rPr>
              <w:t xml:space="preserve"> 1. A review of studies investigating effect s of anaemia on physical, </w:t>
            </w:r>
            <w:proofErr w:type="gramStart"/>
            <w:r w:rsidRPr="007B5F19">
              <w:rPr>
                <w:rFonts w:cstheme="minorHAnsi"/>
              </w:rPr>
              <w:t>mental</w:t>
            </w:r>
            <w:proofErr w:type="gramEnd"/>
            <w:r w:rsidRPr="007B5F19">
              <w:rPr>
                <w:rFonts w:cstheme="minorHAnsi"/>
              </w:rPr>
              <w:t xml:space="preserve"> and psychosocial health outcomes in the elderly, and the use of specific transfusion triggers in the elderly. </w:t>
            </w:r>
          </w:p>
          <w:p w14:paraId="55C1DD1D" w14:textId="77777777" w:rsidR="00F526D9" w:rsidRPr="007B5F19" w:rsidRDefault="00F526D9" w:rsidP="00A264CD">
            <w:pPr>
              <w:spacing w:line="276" w:lineRule="auto"/>
              <w:rPr>
                <w:rFonts w:cstheme="minorHAnsi"/>
              </w:rPr>
            </w:pPr>
            <w:r w:rsidRPr="007B5F19">
              <w:rPr>
                <w:rFonts w:cstheme="minorHAnsi"/>
              </w:rPr>
              <w:t>2. Re -analysis of data acquired from the “</w:t>
            </w:r>
            <w:proofErr w:type="spellStart"/>
            <w:r w:rsidRPr="007B5F19">
              <w:rPr>
                <w:rFonts w:cstheme="minorHAnsi"/>
              </w:rPr>
              <w:t>ASPirin</w:t>
            </w:r>
            <w:proofErr w:type="spellEnd"/>
            <w:r w:rsidRPr="007B5F19">
              <w:rPr>
                <w:rFonts w:cstheme="minorHAnsi"/>
              </w:rPr>
              <w:t xml:space="preserve"> in Reducing Events in the Elderly” (ASPREE) clinical trial, as a </w:t>
            </w:r>
            <w:proofErr w:type="spellStart"/>
            <w:r w:rsidRPr="007B5F19">
              <w:rPr>
                <w:rFonts w:cstheme="minorHAnsi"/>
              </w:rPr>
              <w:t>substudy</w:t>
            </w:r>
            <w:proofErr w:type="spellEnd"/>
            <w:r w:rsidRPr="007B5F19">
              <w:rPr>
                <w:rFonts w:cstheme="minorHAnsi"/>
              </w:rPr>
              <w:t xml:space="preserve"> on anaemia in the elderly. </w:t>
            </w:r>
          </w:p>
          <w:p w14:paraId="094C8FE8" w14:textId="77777777" w:rsidR="00F526D9" w:rsidRPr="007B5F19" w:rsidRDefault="00F526D9" w:rsidP="00A264CD">
            <w:pPr>
              <w:spacing w:line="276" w:lineRule="auto"/>
              <w:rPr>
                <w:rFonts w:cstheme="minorHAnsi"/>
              </w:rPr>
            </w:pPr>
            <w:r w:rsidRPr="007B5F19">
              <w:rPr>
                <w:rFonts w:cstheme="minorHAnsi"/>
              </w:rPr>
              <w:t xml:space="preserve">ASPREE is a large Australian/US randomised trial investigating the effects of low -dose aspirin on long -term health outcomes. Participants are assigned to receive either aspirin 100mg daily, or placebo. </w:t>
            </w:r>
          </w:p>
          <w:p w14:paraId="5939801C" w14:textId="77777777" w:rsidR="00F526D9" w:rsidRPr="007B5F19" w:rsidRDefault="00F526D9" w:rsidP="00A264CD">
            <w:pPr>
              <w:spacing w:line="276" w:lineRule="auto"/>
              <w:rPr>
                <w:rFonts w:cstheme="minorHAnsi"/>
              </w:rPr>
            </w:pPr>
            <w:r w:rsidRPr="007B5F19">
              <w:rPr>
                <w:rFonts w:cstheme="minorHAnsi"/>
              </w:rPr>
              <w:t xml:space="preserve">The trial is being conducted in Australian general practice clinics, involving patients over 70 years who are otherwise well. The trial has completed recruitment (16,703 </w:t>
            </w:r>
            <w:proofErr w:type="gramStart"/>
            <w:r w:rsidRPr="007B5F19">
              <w:rPr>
                <w:rFonts w:cstheme="minorHAnsi"/>
              </w:rPr>
              <w:t>patients )</w:t>
            </w:r>
            <w:proofErr w:type="gramEnd"/>
            <w:r w:rsidRPr="007B5F19">
              <w:rPr>
                <w:rFonts w:cstheme="minorHAnsi"/>
              </w:rPr>
              <w:t xml:space="preserve"> and will close in late 2017. </w:t>
            </w:r>
          </w:p>
          <w:p w14:paraId="0DF4A14B" w14:textId="77777777" w:rsidR="00F526D9" w:rsidRPr="007B5F19" w:rsidRDefault="00F526D9" w:rsidP="00A264CD">
            <w:pPr>
              <w:spacing w:line="276" w:lineRule="auto"/>
              <w:rPr>
                <w:rFonts w:cstheme="minorHAnsi"/>
              </w:rPr>
            </w:pPr>
            <w:r w:rsidRPr="007B5F19">
              <w:rPr>
                <w:rFonts w:cstheme="minorHAnsi"/>
              </w:rPr>
              <w:t xml:space="preserve">Blood samples are taken annually, and a range of functional outcomes (quality of life [QoL], physical function and cognitive performance) are measured, and data collected about their medical conditions, with an average follow up of 5 </w:t>
            </w:r>
            <w:proofErr w:type="gramStart"/>
            <w:r w:rsidRPr="007B5F19">
              <w:rPr>
                <w:rFonts w:cstheme="minorHAnsi"/>
              </w:rPr>
              <w:t>years .</w:t>
            </w:r>
            <w:proofErr w:type="gramEnd"/>
            <w:r w:rsidRPr="007B5F19">
              <w:rPr>
                <w:rFonts w:cstheme="minorHAnsi"/>
              </w:rPr>
              <w:t xml:space="preserve"> </w:t>
            </w:r>
          </w:p>
          <w:p w14:paraId="7CDC7C08" w14:textId="77777777" w:rsidR="00F526D9" w:rsidRPr="007B5F19" w:rsidRDefault="00F526D9" w:rsidP="00A264CD">
            <w:pPr>
              <w:spacing w:line="276" w:lineRule="auto"/>
              <w:rPr>
                <w:rFonts w:cstheme="minorHAnsi"/>
              </w:rPr>
            </w:pPr>
            <w:r w:rsidRPr="007B5F19">
              <w:rPr>
                <w:rFonts w:cstheme="minorHAnsi"/>
              </w:rPr>
              <w:t xml:space="preserve">This trial design offers a unique opportunity to follow a large group of elderly patients over several years. Participants are not anaemic at study entry, so team can study incidence and causes of anaemia in this group, as well as the effects of aspirin. The research will compare participants who do and do not develop anaemia to investigate risk factors for anaemia and the overall impact of anaemia on a range of health outcomes and survival. </w:t>
            </w:r>
          </w:p>
          <w:p w14:paraId="318F2B2E" w14:textId="77777777" w:rsidR="00F526D9" w:rsidRPr="007B5F19" w:rsidRDefault="00F526D9" w:rsidP="00A264CD">
            <w:pPr>
              <w:spacing w:line="276" w:lineRule="auto"/>
              <w:rPr>
                <w:rFonts w:cstheme="minorHAnsi"/>
              </w:rPr>
            </w:pPr>
            <w:r w:rsidRPr="007B5F19">
              <w:rPr>
                <w:rFonts w:cstheme="minorHAnsi"/>
              </w:rPr>
              <w:t xml:space="preserve">The findings will provide important information on the burden of anaemia in the Australian community, including red cell transfusions given for anaemia, and identify areas for prevention and treatment strategies to better manage anaemia and minimise blood transfusions in the elderly. </w:t>
            </w:r>
          </w:p>
        </w:tc>
        <w:tc>
          <w:tcPr>
            <w:tcW w:w="4111" w:type="dxa"/>
            <w:tcBorders>
              <w:top w:val="single" w:sz="8" w:space="0" w:color="FFFFFF"/>
              <w:left w:val="single" w:sz="8" w:space="0" w:color="FFFFFF"/>
              <w:bottom w:val="single" w:sz="8" w:space="0" w:color="FFFFFF"/>
              <w:right w:val="single" w:sz="8" w:space="0" w:color="FFFFFF"/>
            </w:tcBorders>
            <w:shd w:val="clear" w:color="auto" w:fill="F2F2F2" w:themeFill="background1" w:themeFillShade="F2"/>
          </w:tcPr>
          <w:p w14:paraId="5C784951" w14:textId="75630E89" w:rsidR="00F526D9" w:rsidRPr="00C916DD" w:rsidRDefault="00D66E33" w:rsidP="00A264CD">
            <w:pPr>
              <w:tabs>
                <w:tab w:val="left" w:pos="1396"/>
              </w:tabs>
              <w:spacing w:before="100" w:beforeAutospacing="1" w:after="100" w:afterAutospacing="1" w:line="240" w:lineRule="auto"/>
              <w:ind w:left="119"/>
              <w:rPr>
                <w:color w:val="0000FF"/>
                <w:u w:val="single"/>
                <w:lang w:eastAsia="en-AU"/>
              </w:rPr>
            </w:pPr>
            <w:hyperlink r:id="rId20" w:history="1">
              <w:r w:rsidR="00F526D9" w:rsidRPr="00C916DD">
                <w:rPr>
                  <w:color w:val="0000FF"/>
                  <w:u w:val="single"/>
                </w:rPr>
                <w:t>Red cell transfusions: Is less always best?</w:t>
              </w:r>
            </w:hyperlink>
          </w:p>
          <w:p w14:paraId="0DA19ED1" w14:textId="77777777" w:rsidR="00F526D9" w:rsidRPr="007B5F19" w:rsidRDefault="00F526D9" w:rsidP="00A264CD">
            <w:pPr>
              <w:tabs>
                <w:tab w:val="left" w:pos="1396"/>
              </w:tabs>
              <w:spacing w:line="276" w:lineRule="auto"/>
              <w:ind w:left="119"/>
              <w:rPr>
                <w:rFonts w:cstheme="minorHAnsi"/>
              </w:rPr>
            </w:pPr>
          </w:p>
        </w:tc>
      </w:tr>
    </w:tbl>
    <w:p w14:paraId="6A57A09B" w14:textId="77777777" w:rsidR="00F526D9" w:rsidRPr="00DB6280" w:rsidRDefault="00F526D9" w:rsidP="00F526D9">
      <w:pPr>
        <w:rPr>
          <w:rFonts w:cstheme="minorHAnsi"/>
        </w:rPr>
      </w:pPr>
    </w:p>
    <w:p w14:paraId="3EB9442F" w14:textId="77777777" w:rsidR="00F526D9" w:rsidRDefault="00F526D9" w:rsidP="00F526D9">
      <w:pPr>
        <w:spacing w:after="0"/>
        <w:ind w:left="340"/>
      </w:pPr>
    </w:p>
    <w:p w14:paraId="64798BCD" w14:textId="77777777" w:rsidR="00F526D9" w:rsidRDefault="00F526D9" w:rsidP="00F526D9">
      <w:pPr>
        <w:spacing w:after="0"/>
        <w:ind w:left="340"/>
      </w:pPr>
    </w:p>
    <w:p w14:paraId="25F51150" w14:textId="77777777" w:rsidR="00F526D9" w:rsidRDefault="00F526D9" w:rsidP="00F526D9">
      <w:pPr>
        <w:spacing w:after="0"/>
        <w:ind w:left="340"/>
      </w:pPr>
    </w:p>
    <w:p w14:paraId="45A5FBBC" w14:textId="77777777" w:rsidR="00F526D9" w:rsidRDefault="00F526D9" w:rsidP="00F526D9">
      <w:pPr>
        <w:spacing w:after="0"/>
        <w:ind w:left="340"/>
      </w:pPr>
    </w:p>
    <w:p w14:paraId="0BB734B1" w14:textId="77777777" w:rsidR="00F526D9" w:rsidRDefault="00F526D9" w:rsidP="00F526D9">
      <w:pPr>
        <w:spacing w:after="0"/>
        <w:ind w:left="340"/>
      </w:pPr>
    </w:p>
    <w:p w14:paraId="0E6D122A" w14:textId="77777777" w:rsidR="00F526D9" w:rsidRDefault="00F526D9" w:rsidP="00F526D9">
      <w:pPr>
        <w:spacing w:after="0"/>
        <w:ind w:left="340"/>
      </w:pPr>
    </w:p>
    <w:p w14:paraId="095EA104" w14:textId="77777777" w:rsidR="00F526D9" w:rsidRDefault="00F526D9" w:rsidP="00F526D9">
      <w:pPr>
        <w:rPr>
          <w:rFonts w:cstheme="minorHAnsi"/>
          <w:b/>
          <w:bCs/>
          <w:sz w:val="28"/>
          <w:szCs w:val="28"/>
        </w:rPr>
      </w:pPr>
    </w:p>
    <w:p w14:paraId="0E53BC12" w14:textId="77777777" w:rsidR="00F526D9" w:rsidRDefault="00F526D9" w:rsidP="00F526D9">
      <w:pPr>
        <w:rPr>
          <w:rFonts w:cstheme="minorHAnsi"/>
          <w:b/>
          <w:bCs/>
          <w:sz w:val="28"/>
          <w:szCs w:val="28"/>
        </w:rPr>
      </w:pPr>
    </w:p>
    <w:p w14:paraId="3D62B90F" w14:textId="77777777" w:rsidR="00F526D9" w:rsidRDefault="00F526D9" w:rsidP="00F526D9">
      <w:pPr>
        <w:rPr>
          <w:rFonts w:cstheme="minorHAnsi"/>
          <w:b/>
          <w:bCs/>
          <w:sz w:val="28"/>
          <w:szCs w:val="28"/>
        </w:rPr>
      </w:pPr>
    </w:p>
    <w:p w14:paraId="0F6248F9" w14:textId="77777777" w:rsidR="00F526D9" w:rsidRDefault="00F526D9" w:rsidP="00F526D9">
      <w:pPr>
        <w:rPr>
          <w:rFonts w:cstheme="minorHAnsi"/>
          <w:b/>
          <w:bCs/>
          <w:sz w:val="28"/>
          <w:szCs w:val="28"/>
        </w:rPr>
      </w:pPr>
    </w:p>
    <w:p w14:paraId="542BFA24" w14:textId="77777777" w:rsidR="00216E19" w:rsidRPr="00F526D9" w:rsidRDefault="00216E19" w:rsidP="00F526D9"/>
    <w:sectPr w:rsidR="00216E19" w:rsidRPr="00F526D9" w:rsidSect="00216E19">
      <w:headerReference w:type="even" r:id="rId21"/>
      <w:headerReference w:type="default" r:id="rId22"/>
      <w:footerReference w:type="even" r:id="rId23"/>
      <w:footerReference w:type="default" r:id="rId24"/>
      <w:headerReference w:type="first" r:id="rId25"/>
      <w:footerReference w:type="first" r:id="rId26"/>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3D3E7" w14:textId="77777777" w:rsidR="00922E50" w:rsidRDefault="00922E50" w:rsidP="00EA65B4">
      <w:pPr>
        <w:spacing w:after="0" w:line="240" w:lineRule="auto"/>
      </w:pPr>
      <w:r>
        <w:separator/>
      </w:r>
    </w:p>
  </w:endnote>
  <w:endnote w:type="continuationSeparator" w:id="0">
    <w:p w14:paraId="5AC2869D" w14:textId="77777777" w:rsidR="00922E50" w:rsidRDefault="00922E50" w:rsidP="00EA6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EEA0" w14:textId="213D896A" w:rsidR="00EA65B4" w:rsidRDefault="00EA65B4">
    <w:pPr>
      <w:pStyle w:val="Footer"/>
    </w:pPr>
    <w:r>
      <w:rPr>
        <w:noProof/>
      </w:rPr>
      <mc:AlternateContent>
        <mc:Choice Requires="wps">
          <w:drawing>
            <wp:anchor distT="0" distB="0" distL="0" distR="0" simplePos="0" relativeHeight="251662336" behindDoc="0" locked="0" layoutInCell="1" allowOverlap="1" wp14:anchorId="50CD5C2F" wp14:editId="56200D4B">
              <wp:simplePos x="635" y="635"/>
              <wp:positionH relativeFrom="column">
                <wp:align>center</wp:align>
              </wp:positionH>
              <wp:positionV relativeFrom="paragraph">
                <wp:posOffset>635</wp:posOffset>
              </wp:positionV>
              <wp:extent cx="443865" cy="443865"/>
              <wp:effectExtent l="0" t="0" r="635" b="254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BDE5D7" w14:textId="1F275036"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0CD5C2F"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Le1pmojAgAATQQAAA4AAAAAAAAAAAAAAAAALgIAAGRycy9lMm9Eb2MueG1sUEsBAi0A&#10;FAAGAAgAAAAhAISw0yjWAAAAAwEAAA8AAAAAAAAAAAAAAAAAfQQAAGRycy9kb3ducmV2LnhtbFBL&#10;BQYAAAAABAAEAPMAAACABQAAAAA=&#10;" filled="f" stroked="f">
              <v:textbox style="mso-fit-shape-to-text:t" inset="0,0,0,0">
                <w:txbxContent>
                  <w:p w14:paraId="5BBDE5D7" w14:textId="1F275036"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98A5" w14:textId="00DB5ABB" w:rsidR="00EA65B4" w:rsidRDefault="00EA65B4">
    <w:pPr>
      <w:pStyle w:val="Footer"/>
    </w:pPr>
    <w:r>
      <w:rPr>
        <w:noProof/>
      </w:rPr>
      <mc:AlternateContent>
        <mc:Choice Requires="wps">
          <w:drawing>
            <wp:anchor distT="0" distB="0" distL="0" distR="0" simplePos="0" relativeHeight="251663360" behindDoc="0" locked="0" layoutInCell="1" allowOverlap="1" wp14:anchorId="7A346530" wp14:editId="1E094B0F">
              <wp:simplePos x="635" y="635"/>
              <wp:positionH relativeFrom="column">
                <wp:align>center</wp:align>
              </wp:positionH>
              <wp:positionV relativeFrom="paragraph">
                <wp:posOffset>635</wp:posOffset>
              </wp:positionV>
              <wp:extent cx="443865" cy="443865"/>
              <wp:effectExtent l="0" t="0" r="635" b="254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7E7C7" w14:textId="147387D9"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A346530"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uOk+eJAIAAE0EAAAOAAAAAAAAAAAAAAAAAC4CAABkcnMvZTJvRG9jLnhtbFBLAQIt&#10;ABQABgAIAAAAIQCEsNMo1gAAAAMBAAAPAAAAAAAAAAAAAAAAAH4EAABkcnMvZG93bnJldi54bWxQ&#10;SwUGAAAAAAQABADzAAAAgQUAAAAA&#10;" filled="f" stroked="f">
              <v:textbox style="mso-fit-shape-to-text:t" inset="0,0,0,0">
                <w:txbxContent>
                  <w:p w14:paraId="10A7E7C7" w14:textId="147387D9"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C359" w14:textId="713D2813" w:rsidR="00EA65B4" w:rsidRDefault="00EA65B4">
    <w:pPr>
      <w:pStyle w:val="Footer"/>
    </w:pPr>
    <w:r>
      <w:rPr>
        <w:noProof/>
      </w:rPr>
      <mc:AlternateContent>
        <mc:Choice Requires="wps">
          <w:drawing>
            <wp:anchor distT="0" distB="0" distL="0" distR="0" simplePos="0" relativeHeight="251661312" behindDoc="0" locked="0" layoutInCell="1" allowOverlap="1" wp14:anchorId="52375F88" wp14:editId="2C100BCF">
              <wp:simplePos x="635" y="635"/>
              <wp:positionH relativeFrom="column">
                <wp:align>center</wp:align>
              </wp:positionH>
              <wp:positionV relativeFrom="paragraph">
                <wp:posOffset>635</wp:posOffset>
              </wp:positionV>
              <wp:extent cx="443865" cy="443865"/>
              <wp:effectExtent l="0" t="0" r="635" b="254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A78A7" w14:textId="3BE36866"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375F88" id="_x0000_t202" coordsize="21600,21600" o:spt="202" path="m,l,21600r21600,l21600,xe">
              <v:stroke joinstyle="miter"/>
              <v:path gradientshapeok="t" o:connecttype="rect"/>
            </v:shapetype>
            <v:shape id="Text Box 4" o:spid="_x0000_s1031"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ZUeqYJAIAAE0EAAAOAAAAAAAAAAAAAAAAAC4CAABkcnMvZTJvRG9jLnhtbFBLAQIt&#10;ABQABgAIAAAAIQCEsNMo1gAAAAMBAAAPAAAAAAAAAAAAAAAAAH4EAABkcnMvZG93bnJldi54bWxQ&#10;SwUGAAAAAAQABADzAAAAgQUAAAAA&#10;" filled="f" stroked="f">
              <v:textbox style="mso-fit-shape-to-text:t" inset="0,0,0,0">
                <w:txbxContent>
                  <w:p w14:paraId="19AA78A7" w14:textId="3BE36866"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A209" w14:textId="77777777" w:rsidR="00922E50" w:rsidRDefault="00922E50" w:rsidP="00EA65B4">
      <w:pPr>
        <w:spacing w:after="0" w:line="240" w:lineRule="auto"/>
      </w:pPr>
      <w:r>
        <w:separator/>
      </w:r>
    </w:p>
  </w:footnote>
  <w:footnote w:type="continuationSeparator" w:id="0">
    <w:p w14:paraId="09B393AB" w14:textId="77777777" w:rsidR="00922E50" w:rsidRDefault="00922E50" w:rsidP="00EA6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7D17" w14:textId="6995600E" w:rsidR="00EA65B4" w:rsidRDefault="00EA65B4">
    <w:pPr>
      <w:pStyle w:val="Header"/>
    </w:pPr>
    <w:r>
      <w:rPr>
        <w:noProof/>
      </w:rPr>
      <mc:AlternateContent>
        <mc:Choice Requires="wps">
          <w:drawing>
            <wp:anchor distT="0" distB="0" distL="0" distR="0" simplePos="0" relativeHeight="251659264" behindDoc="0" locked="0" layoutInCell="1" allowOverlap="1" wp14:anchorId="2292DFBD" wp14:editId="2E5DA2FC">
              <wp:simplePos x="635" y="635"/>
              <wp:positionH relativeFrom="column">
                <wp:align>center</wp:align>
              </wp:positionH>
              <wp:positionV relativeFrom="paragraph">
                <wp:posOffset>635</wp:posOffset>
              </wp:positionV>
              <wp:extent cx="443865" cy="443865"/>
              <wp:effectExtent l="0" t="0" r="635" b="2540"/>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514E7" w14:textId="669FB948"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292DFBD"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" filled="f" stroked="f">
              <v:textbox style="mso-fit-shape-to-text:t" inset="0,0,0,0">
                <w:txbxContent>
                  <w:p w14:paraId="612514E7" w14:textId="669FB948"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13E2" w14:textId="6604C179" w:rsidR="00EA65B4" w:rsidRDefault="00EA65B4">
    <w:pPr>
      <w:pStyle w:val="Header"/>
    </w:pPr>
    <w:r>
      <w:rPr>
        <w:noProof/>
      </w:rPr>
      <mc:AlternateContent>
        <mc:Choice Requires="wps">
          <w:drawing>
            <wp:anchor distT="0" distB="0" distL="0" distR="0" simplePos="0" relativeHeight="251660288" behindDoc="0" locked="0" layoutInCell="1" allowOverlap="1" wp14:anchorId="5F7F199E" wp14:editId="56E95777">
              <wp:simplePos x="635" y="635"/>
              <wp:positionH relativeFrom="column">
                <wp:align>center</wp:align>
              </wp:positionH>
              <wp:positionV relativeFrom="paragraph">
                <wp:posOffset>635</wp:posOffset>
              </wp:positionV>
              <wp:extent cx="443865" cy="443865"/>
              <wp:effectExtent l="0" t="0" r="635" b="254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389D1" w14:textId="227AE24E"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F7F199E"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textbox style="mso-fit-shape-to-text:t" inset="0,0,0,0">
                <w:txbxContent>
                  <w:p w14:paraId="237389D1" w14:textId="227AE24E"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4A4C" w14:textId="76FEFD0E" w:rsidR="00EA65B4" w:rsidRDefault="00EA65B4">
    <w:pPr>
      <w:pStyle w:val="Header"/>
    </w:pPr>
    <w:r>
      <w:rPr>
        <w:noProof/>
      </w:rPr>
      <mc:AlternateContent>
        <mc:Choice Requires="wps">
          <w:drawing>
            <wp:anchor distT="0" distB="0" distL="0" distR="0" simplePos="0" relativeHeight="251658240" behindDoc="0" locked="0" layoutInCell="1" allowOverlap="1" wp14:anchorId="2F3EFF71" wp14:editId="5C445D4E">
              <wp:simplePos x="635" y="635"/>
              <wp:positionH relativeFrom="column">
                <wp:align>center</wp:align>
              </wp:positionH>
              <wp:positionV relativeFrom="paragraph">
                <wp:posOffset>635</wp:posOffset>
              </wp:positionV>
              <wp:extent cx="443865" cy="443865"/>
              <wp:effectExtent l="0" t="0" r="635" b="2540"/>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22993B" w14:textId="725D4B4A"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3EFF71" id="_x0000_t202" coordsize="21600,21600" o:spt="202" path="m,l,21600r21600,l21600,xe">
              <v:stroke joinstyle="miter"/>
              <v:path gradientshapeok="t" o:connecttype="rect"/>
            </v:shapetype>
            <v:shape id="Text Box 1" o:spid="_x0000_s1030"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OS1KvSUCAABNBAAADgAAAAAAAAAAAAAAAAAuAgAAZHJzL2Uyb0RvYy54bWxQSwEC&#10;LQAUAAYACAAAACEAhLDTKNYAAAADAQAADwAAAAAAAAAAAAAAAAB/BAAAZHJzL2Rvd25yZXYueG1s&#10;UEsFBgAAAAAEAAQA8wAAAIIFAAAAAA==&#10;" filled="f" stroked="f">
              <v:textbox style="mso-fit-shape-to-text:t" inset="0,0,0,0">
                <w:txbxContent>
                  <w:p w14:paraId="4822993B" w14:textId="725D4B4A" w:rsidR="00EA65B4" w:rsidRPr="00EA65B4" w:rsidRDefault="00EA65B4">
                    <w:pPr>
                      <w:rPr>
                        <w:rFonts w:ascii="Calibri" w:eastAsia="Calibri" w:hAnsi="Calibri" w:cs="Calibri"/>
                        <w:color w:val="FF0000"/>
                        <w:sz w:val="24"/>
                        <w:szCs w:val="24"/>
                      </w:rPr>
                    </w:pPr>
                    <w:r w:rsidRPr="00EA65B4">
                      <w:rPr>
                        <w:rFonts w:ascii="Calibri" w:eastAsia="Calibri" w:hAnsi="Calibri" w:cs="Calibri"/>
                        <w:color w:val="FF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192"/>
    <w:multiLevelType w:val="hybridMultilevel"/>
    <w:tmpl w:val="30E89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A53CA2"/>
    <w:multiLevelType w:val="hybridMultilevel"/>
    <w:tmpl w:val="B9A47B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9B6343"/>
    <w:multiLevelType w:val="multilevel"/>
    <w:tmpl w:val="B02E87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B8204FD"/>
    <w:multiLevelType w:val="multilevel"/>
    <w:tmpl w:val="FC3899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25A1155"/>
    <w:multiLevelType w:val="multilevel"/>
    <w:tmpl w:val="4B6E5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81250"/>
    <w:multiLevelType w:val="hybridMultilevel"/>
    <w:tmpl w:val="F79CB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CB283B"/>
    <w:multiLevelType w:val="multilevel"/>
    <w:tmpl w:val="29D8BA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C184A6D"/>
    <w:multiLevelType w:val="multilevel"/>
    <w:tmpl w:val="0352A4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CAD7149"/>
    <w:multiLevelType w:val="hybridMultilevel"/>
    <w:tmpl w:val="3DD43E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0215C2"/>
    <w:multiLevelType w:val="multilevel"/>
    <w:tmpl w:val="DBEC9A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5D6D6B4B"/>
    <w:multiLevelType w:val="multilevel"/>
    <w:tmpl w:val="B7FE24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5F8E1BB0"/>
    <w:multiLevelType w:val="hybridMultilevel"/>
    <w:tmpl w:val="B0424D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6502417D"/>
    <w:multiLevelType w:val="hybridMultilevel"/>
    <w:tmpl w:val="E250C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6DB7FE94"/>
    <w:multiLevelType w:val="hybridMultilevel"/>
    <w:tmpl w:val="FFFFFFFF"/>
    <w:lvl w:ilvl="0" w:tplc="A8544190">
      <w:start w:val="1"/>
      <w:numFmt w:val="bullet"/>
      <w:lvlText w:val=""/>
      <w:lvlJc w:val="left"/>
      <w:pPr>
        <w:ind w:left="360" w:hanging="360"/>
      </w:pPr>
      <w:rPr>
        <w:rFonts w:ascii="Symbol" w:hAnsi="Symbol" w:hint="default"/>
      </w:rPr>
    </w:lvl>
    <w:lvl w:ilvl="1" w:tplc="9A0A1874">
      <w:start w:val="1"/>
      <w:numFmt w:val="bullet"/>
      <w:lvlText w:val="o"/>
      <w:lvlJc w:val="left"/>
      <w:pPr>
        <w:ind w:left="1080" w:hanging="360"/>
      </w:pPr>
      <w:rPr>
        <w:rFonts w:ascii="Courier New" w:hAnsi="Courier New" w:hint="default"/>
      </w:rPr>
    </w:lvl>
    <w:lvl w:ilvl="2" w:tplc="639CEEF2">
      <w:start w:val="1"/>
      <w:numFmt w:val="bullet"/>
      <w:lvlText w:val=""/>
      <w:lvlJc w:val="left"/>
      <w:pPr>
        <w:ind w:left="1800" w:hanging="360"/>
      </w:pPr>
      <w:rPr>
        <w:rFonts w:ascii="Wingdings" w:hAnsi="Wingdings" w:hint="default"/>
      </w:rPr>
    </w:lvl>
    <w:lvl w:ilvl="3" w:tplc="414C51EA">
      <w:start w:val="1"/>
      <w:numFmt w:val="bullet"/>
      <w:lvlText w:val=""/>
      <w:lvlJc w:val="left"/>
      <w:pPr>
        <w:ind w:left="2520" w:hanging="360"/>
      </w:pPr>
      <w:rPr>
        <w:rFonts w:ascii="Symbol" w:hAnsi="Symbol" w:hint="default"/>
      </w:rPr>
    </w:lvl>
    <w:lvl w:ilvl="4" w:tplc="F6F0E6DE">
      <w:start w:val="1"/>
      <w:numFmt w:val="bullet"/>
      <w:lvlText w:val="o"/>
      <w:lvlJc w:val="left"/>
      <w:pPr>
        <w:ind w:left="3240" w:hanging="360"/>
      </w:pPr>
      <w:rPr>
        <w:rFonts w:ascii="Courier New" w:hAnsi="Courier New" w:hint="default"/>
      </w:rPr>
    </w:lvl>
    <w:lvl w:ilvl="5" w:tplc="5686AEDE">
      <w:start w:val="1"/>
      <w:numFmt w:val="bullet"/>
      <w:lvlText w:val=""/>
      <w:lvlJc w:val="left"/>
      <w:pPr>
        <w:ind w:left="3960" w:hanging="360"/>
      </w:pPr>
      <w:rPr>
        <w:rFonts w:ascii="Wingdings" w:hAnsi="Wingdings" w:hint="default"/>
      </w:rPr>
    </w:lvl>
    <w:lvl w:ilvl="6" w:tplc="E834D9D6">
      <w:start w:val="1"/>
      <w:numFmt w:val="bullet"/>
      <w:lvlText w:val=""/>
      <w:lvlJc w:val="left"/>
      <w:pPr>
        <w:ind w:left="4680" w:hanging="360"/>
      </w:pPr>
      <w:rPr>
        <w:rFonts w:ascii="Symbol" w:hAnsi="Symbol" w:hint="default"/>
      </w:rPr>
    </w:lvl>
    <w:lvl w:ilvl="7" w:tplc="98B61D96">
      <w:start w:val="1"/>
      <w:numFmt w:val="bullet"/>
      <w:lvlText w:val="o"/>
      <w:lvlJc w:val="left"/>
      <w:pPr>
        <w:ind w:left="5400" w:hanging="360"/>
      </w:pPr>
      <w:rPr>
        <w:rFonts w:ascii="Courier New" w:hAnsi="Courier New" w:hint="default"/>
      </w:rPr>
    </w:lvl>
    <w:lvl w:ilvl="8" w:tplc="66A2B90A">
      <w:start w:val="1"/>
      <w:numFmt w:val="bullet"/>
      <w:lvlText w:val=""/>
      <w:lvlJc w:val="left"/>
      <w:pPr>
        <w:ind w:left="6120" w:hanging="360"/>
      </w:pPr>
      <w:rPr>
        <w:rFonts w:ascii="Wingdings" w:hAnsi="Wingdings" w:hint="default"/>
      </w:rPr>
    </w:lvl>
  </w:abstractNum>
  <w:abstractNum w:abstractNumId="14" w15:restartNumberingAfterBreak="0">
    <w:nsid w:val="77A00D5F"/>
    <w:multiLevelType w:val="multilevel"/>
    <w:tmpl w:val="5BB463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F9A0D91"/>
    <w:multiLevelType w:val="hybridMultilevel"/>
    <w:tmpl w:val="5D0AB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9"/>
  </w:num>
  <w:num w:numId="4">
    <w:abstractNumId w:val="1"/>
  </w:num>
  <w:num w:numId="5">
    <w:abstractNumId w:val="4"/>
  </w:num>
  <w:num w:numId="6">
    <w:abstractNumId w:val="2"/>
  </w:num>
  <w:num w:numId="7">
    <w:abstractNumId w:val="10"/>
  </w:num>
  <w:num w:numId="8">
    <w:abstractNumId w:val="14"/>
  </w:num>
  <w:num w:numId="9">
    <w:abstractNumId w:val="7"/>
  </w:num>
  <w:num w:numId="10">
    <w:abstractNumId w:val="3"/>
  </w:num>
  <w:num w:numId="11">
    <w:abstractNumId w:val="12"/>
  </w:num>
  <w:num w:numId="12">
    <w:abstractNumId w:val="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E19"/>
    <w:rsid w:val="00006468"/>
    <w:rsid w:val="00013B26"/>
    <w:rsid w:val="00053F38"/>
    <w:rsid w:val="00082241"/>
    <w:rsid w:val="00090D01"/>
    <w:rsid w:val="000A2753"/>
    <w:rsid w:val="000C0B33"/>
    <w:rsid w:val="0010355D"/>
    <w:rsid w:val="001221DC"/>
    <w:rsid w:val="00126799"/>
    <w:rsid w:val="00126ADF"/>
    <w:rsid w:val="00140620"/>
    <w:rsid w:val="00141D9D"/>
    <w:rsid w:val="0014334B"/>
    <w:rsid w:val="0016634A"/>
    <w:rsid w:val="001720EB"/>
    <w:rsid w:val="00175DF9"/>
    <w:rsid w:val="00177A3F"/>
    <w:rsid w:val="001822AB"/>
    <w:rsid w:val="0019652C"/>
    <w:rsid w:val="001C2599"/>
    <w:rsid w:val="001C5658"/>
    <w:rsid w:val="001D2A61"/>
    <w:rsid w:val="001E5022"/>
    <w:rsid w:val="001E600A"/>
    <w:rsid w:val="001E6658"/>
    <w:rsid w:val="001F03AC"/>
    <w:rsid w:val="00210A4A"/>
    <w:rsid w:val="00216E19"/>
    <w:rsid w:val="00222BFB"/>
    <w:rsid w:val="00230C42"/>
    <w:rsid w:val="00236CA6"/>
    <w:rsid w:val="002400ED"/>
    <w:rsid w:val="002722DE"/>
    <w:rsid w:val="002739B3"/>
    <w:rsid w:val="00280FBF"/>
    <w:rsid w:val="002B7C95"/>
    <w:rsid w:val="002C12B5"/>
    <w:rsid w:val="002C38A0"/>
    <w:rsid w:val="002F509B"/>
    <w:rsid w:val="00300690"/>
    <w:rsid w:val="00300E65"/>
    <w:rsid w:val="0030120B"/>
    <w:rsid w:val="00303747"/>
    <w:rsid w:val="0032165D"/>
    <w:rsid w:val="003344AF"/>
    <w:rsid w:val="00336B66"/>
    <w:rsid w:val="003401D8"/>
    <w:rsid w:val="00342D8E"/>
    <w:rsid w:val="0035171B"/>
    <w:rsid w:val="00353321"/>
    <w:rsid w:val="00373A87"/>
    <w:rsid w:val="003842F0"/>
    <w:rsid w:val="003A1486"/>
    <w:rsid w:val="003C004A"/>
    <w:rsid w:val="003C1575"/>
    <w:rsid w:val="003E17E6"/>
    <w:rsid w:val="003F08D6"/>
    <w:rsid w:val="00404F86"/>
    <w:rsid w:val="00412D00"/>
    <w:rsid w:val="00415CC3"/>
    <w:rsid w:val="0043375B"/>
    <w:rsid w:val="00443BB4"/>
    <w:rsid w:val="00456544"/>
    <w:rsid w:val="00490A02"/>
    <w:rsid w:val="0049714B"/>
    <w:rsid w:val="00497251"/>
    <w:rsid w:val="004A7B05"/>
    <w:rsid w:val="004B1D2D"/>
    <w:rsid w:val="004C4809"/>
    <w:rsid w:val="004D48B6"/>
    <w:rsid w:val="004F1832"/>
    <w:rsid w:val="00500E7D"/>
    <w:rsid w:val="00502917"/>
    <w:rsid w:val="00515025"/>
    <w:rsid w:val="0052246D"/>
    <w:rsid w:val="005401FD"/>
    <w:rsid w:val="00541C20"/>
    <w:rsid w:val="00543CE6"/>
    <w:rsid w:val="005523B7"/>
    <w:rsid w:val="00566815"/>
    <w:rsid w:val="0058466A"/>
    <w:rsid w:val="005B2EA4"/>
    <w:rsid w:val="005B37F9"/>
    <w:rsid w:val="005B6F31"/>
    <w:rsid w:val="005C28B5"/>
    <w:rsid w:val="005C3A65"/>
    <w:rsid w:val="005D358A"/>
    <w:rsid w:val="005F30B2"/>
    <w:rsid w:val="00600E50"/>
    <w:rsid w:val="00600F45"/>
    <w:rsid w:val="00620FC7"/>
    <w:rsid w:val="00637CF8"/>
    <w:rsid w:val="006751C4"/>
    <w:rsid w:val="006770CF"/>
    <w:rsid w:val="00685F15"/>
    <w:rsid w:val="006871B8"/>
    <w:rsid w:val="006A6267"/>
    <w:rsid w:val="006B03F4"/>
    <w:rsid w:val="006C5749"/>
    <w:rsid w:val="006D1DCD"/>
    <w:rsid w:val="006D73A6"/>
    <w:rsid w:val="006E0F95"/>
    <w:rsid w:val="006E23ED"/>
    <w:rsid w:val="006E465E"/>
    <w:rsid w:val="006E4EA0"/>
    <w:rsid w:val="006F72FD"/>
    <w:rsid w:val="0070754E"/>
    <w:rsid w:val="007077E2"/>
    <w:rsid w:val="007109B2"/>
    <w:rsid w:val="00710B16"/>
    <w:rsid w:val="00714826"/>
    <w:rsid w:val="00717579"/>
    <w:rsid w:val="00731C13"/>
    <w:rsid w:val="007358D2"/>
    <w:rsid w:val="0077707D"/>
    <w:rsid w:val="00791C52"/>
    <w:rsid w:val="0079575C"/>
    <w:rsid w:val="007B384A"/>
    <w:rsid w:val="007B5F19"/>
    <w:rsid w:val="007C18D0"/>
    <w:rsid w:val="007F63DD"/>
    <w:rsid w:val="00817EF0"/>
    <w:rsid w:val="008253B7"/>
    <w:rsid w:val="0082543A"/>
    <w:rsid w:val="0083286E"/>
    <w:rsid w:val="008700F2"/>
    <w:rsid w:val="0087334E"/>
    <w:rsid w:val="008776EE"/>
    <w:rsid w:val="008B4B41"/>
    <w:rsid w:val="008B5FD7"/>
    <w:rsid w:val="008D7E2C"/>
    <w:rsid w:val="00904383"/>
    <w:rsid w:val="00905291"/>
    <w:rsid w:val="00922E50"/>
    <w:rsid w:val="0092706A"/>
    <w:rsid w:val="00927E7C"/>
    <w:rsid w:val="00930E4E"/>
    <w:rsid w:val="009477C9"/>
    <w:rsid w:val="0096180D"/>
    <w:rsid w:val="00962CD9"/>
    <w:rsid w:val="009744D8"/>
    <w:rsid w:val="009A37A4"/>
    <w:rsid w:val="009A4DB0"/>
    <w:rsid w:val="009B136B"/>
    <w:rsid w:val="009B18F5"/>
    <w:rsid w:val="009C61A0"/>
    <w:rsid w:val="009C7338"/>
    <w:rsid w:val="009D42AD"/>
    <w:rsid w:val="009E5B46"/>
    <w:rsid w:val="00A03B50"/>
    <w:rsid w:val="00A14DDE"/>
    <w:rsid w:val="00A522CD"/>
    <w:rsid w:val="00A6239B"/>
    <w:rsid w:val="00A8069A"/>
    <w:rsid w:val="00A85383"/>
    <w:rsid w:val="00A87AEE"/>
    <w:rsid w:val="00A90F9D"/>
    <w:rsid w:val="00A953B4"/>
    <w:rsid w:val="00A97861"/>
    <w:rsid w:val="00AA5645"/>
    <w:rsid w:val="00AB27EF"/>
    <w:rsid w:val="00AC35D9"/>
    <w:rsid w:val="00AD3B5D"/>
    <w:rsid w:val="00AF0B03"/>
    <w:rsid w:val="00AF60BA"/>
    <w:rsid w:val="00B12782"/>
    <w:rsid w:val="00B204CF"/>
    <w:rsid w:val="00B324EA"/>
    <w:rsid w:val="00B353FC"/>
    <w:rsid w:val="00B35951"/>
    <w:rsid w:val="00B556AA"/>
    <w:rsid w:val="00B72234"/>
    <w:rsid w:val="00B83B97"/>
    <w:rsid w:val="00B9280E"/>
    <w:rsid w:val="00B95803"/>
    <w:rsid w:val="00BB1DCC"/>
    <w:rsid w:val="00BC042E"/>
    <w:rsid w:val="00BE2834"/>
    <w:rsid w:val="00C03A24"/>
    <w:rsid w:val="00C048E9"/>
    <w:rsid w:val="00C07AF4"/>
    <w:rsid w:val="00C2018A"/>
    <w:rsid w:val="00C34D63"/>
    <w:rsid w:val="00C46C78"/>
    <w:rsid w:val="00C5471B"/>
    <w:rsid w:val="00C8042E"/>
    <w:rsid w:val="00C80E9C"/>
    <w:rsid w:val="00C916DD"/>
    <w:rsid w:val="00C917DA"/>
    <w:rsid w:val="00CB4584"/>
    <w:rsid w:val="00CB5E2C"/>
    <w:rsid w:val="00CC220C"/>
    <w:rsid w:val="00CC7D9E"/>
    <w:rsid w:val="00CF1089"/>
    <w:rsid w:val="00D17913"/>
    <w:rsid w:val="00D17F77"/>
    <w:rsid w:val="00D35544"/>
    <w:rsid w:val="00D422C5"/>
    <w:rsid w:val="00D428AC"/>
    <w:rsid w:val="00D47650"/>
    <w:rsid w:val="00D47B46"/>
    <w:rsid w:val="00D66E33"/>
    <w:rsid w:val="00DB6280"/>
    <w:rsid w:val="00DC1317"/>
    <w:rsid w:val="00DD06A1"/>
    <w:rsid w:val="00DF46EB"/>
    <w:rsid w:val="00E15C8E"/>
    <w:rsid w:val="00E34167"/>
    <w:rsid w:val="00E54795"/>
    <w:rsid w:val="00E70B7C"/>
    <w:rsid w:val="00EA4FFD"/>
    <w:rsid w:val="00EA65B4"/>
    <w:rsid w:val="00EB4FBC"/>
    <w:rsid w:val="00F26B66"/>
    <w:rsid w:val="00F3006E"/>
    <w:rsid w:val="00F31FAA"/>
    <w:rsid w:val="00F35F10"/>
    <w:rsid w:val="00F42336"/>
    <w:rsid w:val="00F5112A"/>
    <w:rsid w:val="00F526D9"/>
    <w:rsid w:val="00F563FC"/>
    <w:rsid w:val="00F800D8"/>
    <w:rsid w:val="00FA5F81"/>
    <w:rsid w:val="00FC2756"/>
    <w:rsid w:val="00FC62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1112"/>
  <w15:chartTrackingRefBased/>
  <w15:docId w15:val="{FEF619DC-2E76-443A-B69A-36D1441B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6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E19"/>
    <w:rPr>
      <w:color w:val="0563C1" w:themeColor="hyperlink"/>
      <w:u w:val="single"/>
    </w:rPr>
  </w:style>
  <w:style w:type="character" w:styleId="UnresolvedMention">
    <w:name w:val="Unresolved Mention"/>
    <w:basedOn w:val="DefaultParagraphFont"/>
    <w:uiPriority w:val="99"/>
    <w:semiHidden/>
    <w:unhideWhenUsed/>
    <w:rsid w:val="00216E19"/>
    <w:rPr>
      <w:color w:val="605E5C"/>
      <w:shd w:val="clear" w:color="auto" w:fill="E1DFDD"/>
    </w:rPr>
  </w:style>
  <w:style w:type="character" w:customStyle="1" w:styleId="normaltextrun">
    <w:name w:val="normaltextrun"/>
    <w:basedOn w:val="DefaultParagraphFont"/>
    <w:rsid w:val="00EA65B4"/>
  </w:style>
  <w:style w:type="paragraph" w:styleId="ListParagraph">
    <w:name w:val="List Paragraph"/>
    <w:basedOn w:val="Normal"/>
    <w:link w:val="ListParagraphChar"/>
    <w:uiPriority w:val="34"/>
    <w:qFormat/>
    <w:rsid w:val="00EA65B4"/>
    <w:pPr>
      <w:ind w:left="720"/>
      <w:contextualSpacing/>
    </w:pPr>
  </w:style>
  <w:style w:type="paragraph" w:customStyle="1" w:styleId="paragraph">
    <w:name w:val="paragraph"/>
    <w:basedOn w:val="Normal"/>
    <w:rsid w:val="00EA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EA65B4"/>
  </w:style>
  <w:style w:type="paragraph" w:styleId="Header">
    <w:name w:val="header"/>
    <w:basedOn w:val="Normal"/>
    <w:link w:val="HeaderChar"/>
    <w:uiPriority w:val="99"/>
    <w:unhideWhenUsed/>
    <w:rsid w:val="00EA6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5B4"/>
  </w:style>
  <w:style w:type="paragraph" w:styleId="Footer">
    <w:name w:val="footer"/>
    <w:basedOn w:val="Normal"/>
    <w:link w:val="FooterChar"/>
    <w:uiPriority w:val="99"/>
    <w:unhideWhenUsed/>
    <w:rsid w:val="00EA6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5B4"/>
  </w:style>
  <w:style w:type="paragraph" w:styleId="NormalWeb">
    <w:name w:val="Normal (Web)"/>
    <w:basedOn w:val="Normal"/>
    <w:uiPriority w:val="99"/>
    <w:semiHidden/>
    <w:unhideWhenUsed/>
    <w:rsid w:val="0032165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link w:val="ListParagraph"/>
    <w:uiPriority w:val="34"/>
    <w:locked/>
    <w:rsid w:val="0058466A"/>
  </w:style>
  <w:style w:type="character" w:styleId="CommentReference">
    <w:name w:val="annotation reference"/>
    <w:basedOn w:val="DefaultParagraphFont"/>
    <w:uiPriority w:val="99"/>
    <w:semiHidden/>
    <w:unhideWhenUsed/>
    <w:rsid w:val="008D7E2C"/>
    <w:rPr>
      <w:sz w:val="16"/>
      <w:szCs w:val="16"/>
    </w:rPr>
  </w:style>
  <w:style w:type="paragraph" w:styleId="CommentText">
    <w:name w:val="annotation text"/>
    <w:basedOn w:val="Normal"/>
    <w:link w:val="CommentTextChar"/>
    <w:uiPriority w:val="99"/>
    <w:unhideWhenUsed/>
    <w:rsid w:val="008D7E2C"/>
    <w:pPr>
      <w:spacing w:line="240" w:lineRule="auto"/>
    </w:pPr>
    <w:rPr>
      <w:sz w:val="20"/>
      <w:szCs w:val="20"/>
    </w:rPr>
  </w:style>
  <w:style w:type="character" w:customStyle="1" w:styleId="CommentTextChar">
    <w:name w:val="Comment Text Char"/>
    <w:basedOn w:val="DefaultParagraphFont"/>
    <w:link w:val="CommentText"/>
    <w:uiPriority w:val="99"/>
    <w:rsid w:val="008D7E2C"/>
    <w:rPr>
      <w:sz w:val="20"/>
      <w:szCs w:val="20"/>
    </w:rPr>
  </w:style>
  <w:style w:type="paragraph" w:styleId="CommentSubject">
    <w:name w:val="annotation subject"/>
    <w:basedOn w:val="CommentText"/>
    <w:next w:val="CommentText"/>
    <w:link w:val="CommentSubjectChar"/>
    <w:uiPriority w:val="99"/>
    <w:semiHidden/>
    <w:unhideWhenUsed/>
    <w:rsid w:val="008D7E2C"/>
    <w:rPr>
      <w:b/>
      <w:bCs/>
    </w:rPr>
  </w:style>
  <w:style w:type="character" w:customStyle="1" w:styleId="CommentSubjectChar">
    <w:name w:val="Comment Subject Char"/>
    <w:basedOn w:val="CommentTextChar"/>
    <w:link w:val="CommentSubject"/>
    <w:uiPriority w:val="99"/>
    <w:semiHidden/>
    <w:rsid w:val="008D7E2C"/>
    <w:rPr>
      <w:b/>
      <w:bCs/>
      <w:sz w:val="20"/>
      <w:szCs w:val="20"/>
    </w:rPr>
  </w:style>
  <w:style w:type="character" w:styleId="FollowedHyperlink">
    <w:name w:val="FollowedHyperlink"/>
    <w:basedOn w:val="DefaultParagraphFont"/>
    <w:uiPriority w:val="99"/>
    <w:semiHidden/>
    <w:unhideWhenUsed/>
    <w:rsid w:val="00F563FC"/>
    <w:rPr>
      <w:color w:val="954F72" w:themeColor="followedHyperlink"/>
      <w:u w:val="single"/>
    </w:rPr>
  </w:style>
  <w:style w:type="paragraph" w:styleId="Revision">
    <w:name w:val="Revision"/>
    <w:hidden/>
    <w:uiPriority w:val="99"/>
    <w:semiHidden/>
    <w:rsid w:val="001221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9189">
      <w:bodyDiv w:val="1"/>
      <w:marLeft w:val="0"/>
      <w:marRight w:val="0"/>
      <w:marTop w:val="0"/>
      <w:marBottom w:val="0"/>
      <w:divBdr>
        <w:top w:val="none" w:sz="0" w:space="0" w:color="auto"/>
        <w:left w:val="none" w:sz="0" w:space="0" w:color="auto"/>
        <w:bottom w:val="none" w:sz="0" w:space="0" w:color="auto"/>
        <w:right w:val="none" w:sz="0" w:space="0" w:color="auto"/>
      </w:divBdr>
    </w:div>
    <w:div w:id="87848653">
      <w:bodyDiv w:val="1"/>
      <w:marLeft w:val="0"/>
      <w:marRight w:val="0"/>
      <w:marTop w:val="0"/>
      <w:marBottom w:val="0"/>
      <w:divBdr>
        <w:top w:val="none" w:sz="0" w:space="0" w:color="auto"/>
        <w:left w:val="none" w:sz="0" w:space="0" w:color="auto"/>
        <w:bottom w:val="none" w:sz="0" w:space="0" w:color="auto"/>
        <w:right w:val="none" w:sz="0" w:space="0" w:color="auto"/>
      </w:divBdr>
    </w:div>
    <w:div w:id="106629018">
      <w:bodyDiv w:val="1"/>
      <w:marLeft w:val="0"/>
      <w:marRight w:val="0"/>
      <w:marTop w:val="0"/>
      <w:marBottom w:val="0"/>
      <w:divBdr>
        <w:top w:val="none" w:sz="0" w:space="0" w:color="auto"/>
        <w:left w:val="none" w:sz="0" w:space="0" w:color="auto"/>
        <w:bottom w:val="none" w:sz="0" w:space="0" w:color="auto"/>
        <w:right w:val="none" w:sz="0" w:space="0" w:color="auto"/>
      </w:divBdr>
    </w:div>
    <w:div w:id="237129350">
      <w:bodyDiv w:val="1"/>
      <w:marLeft w:val="0"/>
      <w:marRight w:val="0"/>
      <w:marTop w:val="0"/>
      <w:marBottom w:val="0"/>
      <w:divBdr>
        <w:top w:val="none" w:sz="0" w:space="0" w:color="auto"/>
        <w:left w:val="none" w:sz="0" w:space="0" w:color="auto"/>
        <w:bottom w:val="none" w:sz="0" w:space="0" w:color="auto"/>
        <w:right w:val="none" w:sz="0" w:space="0" w:color="auto"/>
      </w:divBdr>
    </w:div>
    <w:div w:id="240919781">
      <w:bodyDiv w:val="1"/>
      <w:marLeft w:val="0"/>
      <w:marRight w:val="0"/>
      <w:marTop w:val="0"/>
      <w:marBottom w:val="0"/>
      <w:divBdr>
        <w:top w:val="none" w:sz="0" w:space="0" w:color="auto"/>
        <w:left w:val="none" w:sz="0" w:space="0" w:color="auto"/>
        <w:bottom w:val="none" w:sz="0" w:space="0" w:color="auto"/>
        <w:right w:val="none" w:sz="0" w:space="0" w:color="auto"/>
      </w:divBdr>
    </w:div>
    <w:div w:id="743337517">
      <w:bodyDiv w:val="1"/>
      <w:marLeft w:val="0"/>
      <w:marRight w:val="0"/>
      <w:marTop w:val="0"/>
      <w:marBottom w:val="0"/>
      <w:divBdr>
        <w:top w:val="none" w:sz="0" w:space="0" w:color="auto"/>
        <w:left w:val="none" w:sz="0" w:space="0" w:color="auto"/>
        <w:bottom w:val="none" w:sz="0" w:space="0" w:color="auto"/>
        <w:right w:val="none" w:sz="0" w:space="0" w:color="auto"/>
      </w:divBdr>
    </w:div>
    <w:div w:id="1492409282">
      <w:bodyDiv w:val="1"/>
      <w:marLeft w:val="0"/>
      <w:marRight w:val="0"/>
      <w:marTop w:val="0"/>
      <w:marBottom w:val="0"/>
      <w:divBdr>
        <w:top w:val="none" w:sz="0" w:space="0" w:color="auto"/>
        <w:left w:val="none" w:sz="0" w:space="0" w:color="auto"/>
        <w:bottom w:val="none" w:sz="0" w:space="0" w:color="auto"/>
        <w:right w:val="none" w:sz="0" w:space="0" w:color="auto"/>
      </w:divBdr>
    </w:div>
    <w:div w:id="1776750744">
      <w:bodyDiv w:val="1"/>
      <w:marLeft w:val="0"/>
      <w:marRight w:val="0"/>
      <w:marTop w:val="0"/>
      <w:marBottom w:val="0"/>
      <w:divBdr>
        <w:top w:val="none" w:sz="0" w:space="0" w:color="auto"/>
        <w:left w:val="none" w:sz="0" w:space="0" w:color="auto"/>
        <w:bottom w:val="none" w:sz="0" w:space="0" w:color="auto"/>
        <w:right w:val="none" w:sz="0" w:space="0" w:color="auto"/>
      </w:divBdr>
    </w:div>
    <w:div w:id="18138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s01.safelinks.protection.outlook.com/?url=https%3A%2F%2Fpubmed.ncbi.nlm.nih.gov%2F30129248%2F&amp;data=05%7C01%7Cresearch%40blood.gov.au%7Cdf5cec060b444560839108daa72147b9%7C9c23305707384b4091b23798ceb38ebf%7C0%7C0%7C638006058647494539%7CUnknown%7CTWFpbGZsb3d8eyJWIjoiMC4wLjAwMDAiLCJQIjoiV2luMzIiLCJBTiI6Ik1haWwiLCJXVCI6Mn0%3D%7C3000%7C%7C%7C&amp;sdata=GUshCOYw3DRWt0%2B0UTGTceobmQIyXdMwuvLs2zpjjGU%3D&amp;reserved=0" TargetMode="External"/><Relationship Id="rId18" Type="http://schemas.openxmlformats.org/officeDocument/2006/relationships/hyperlink" Target="https://pubmed.ncbi.nlm.nih.gov/3307668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pmc.ncbi.nlm.nih.gov/articles/PMC5735511/" TargetMode="External"/><Relationship Id="rId17" Type="http://schemas.openxmlformats.org/officeDocument/2006/relationships/hyperlink" Target="https://openresearch-repository.anu.edu.au/server/api/core/bitstreams/1491fb30-73c8-4337-8232-24efc814594a/conten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pmc.ncbi.nlm.nih.gov/articles/PMC9626029/pdf/10-1055-a-1896-7092.pdf" TargetMode="External"/><Relationship Id="rId20" Type="http://schemas.openxmlformats.org/officeDocument/2006/relationships/hyperlink" Target="https://onlinelibrary.wiley.com/doi/10.1111/trf.1642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ubmed.ncbi.nlm.nih.gov/34090421/"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openresearch-repository.anu.edu.au/bitstream/1885/211562/1/01_Hicks_Novel_scientific_approaches_2020.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ubmed.ncbi.nlm.nih.gov/32021232/" TargetMode="External"/><Relationship Id="rId19" Type="http://schemas.openxmlformats.org/officeDocument/2006/relationships/hyperlink" Target="https://pmc.ncbi.nlm.nih.gov/articles/PMC1039316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ubmed.ncbi.nlm.nih.gov/35882473/"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E3E055AA798B45886A5C0D9858BE92" ma:contentTypeVersion="21" ma:contentTypeDescription="Create a new document." ma:contentTypeScope="" ma:versionID="b315859c6bdba3dd09f06008623bf14a">
  <xsd:schema xmlns:xsd="http://www.w3.org/2001/XMLSchema" xmlns:xs="http://www.w3.org/2001/XMLSchema" xmlns:p="http://schemas.microsoft.com/office/2006/metadata/properties" xmlns:ns2="b60b4441-8c8a-413c-9864-b5894c257675" xmlns:ns3="9740f0ee-9305-4c47-91c9-f75b4f2b01e7" targetNamespace="http://schemas.microsoft.com/office/2006/metadata/properties" ma:root="true" ma:fieldsID="33999109fece1a983aef8c3b94c99254" ns2:_="" ns3:_="">
    <xsd:import namespace="b60b4441-8c8a-413c-9864-b5894c257675"/>
    <xsd:import namespace="9740f0ee-9305-4c47-91c9-f75b4f2b01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b4441-8c8a-413c-9864-b5894c257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7bad9a-45d8-4af9-8c19-56a070591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740f0ee-9305-4c47-91c9-f75b4f2b01e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f657d9a-bf84-4ea9-a0de-ad531108c057}" ma:internalName="TaxCatchAll" ma:showField="CatchAllData" ma:web="9740f0ee-9305-4c47-91c9-f75b4f2b01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740f0ee-9305-4c47-91c9-f75b4f2b01e7" xsi:nil="true"/>
    <Date xmlns="b60b4441-8c8a-413c-9864-b5894c257675" xsi:nil="true"/>
    <lcf76f155ced4ddcb4097134ff3c332f xmlns="b60b4441-8c8a-413c-9864-b5894c2576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F43F74-7781-4E3D-8F1E-EDC2F6DDD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b4441-8c8a-413c-9864-b5894c257675"/>
    <ds:schemaRef ds:uri="9740f0ee-9305-4c47-91c9-f75b4f2b0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A7445-260F-4B76-9B1D-F36C8A932C60}">
  <ds:schemaRefs>
    <ds:schemaRef ds:uri="http://schemas.microsoft.com/sharepoint/v3/contenttype/forms"/>
  </ds:schemaRefs>
</ds:datastoreItem>
</file>

<file path=customXml/itemProps3.xml><?xml version="1.0" encoding="utf-8"?>
<ds:datastoreItem xmlns:ds="http://schemas.openxmlformats.org/officeDocument/2006/customXml" ds:itemID="{64B755D4-20B4-4F7E-B81E-5F8EF8745DC5}">
  <ds:schemaRefs>
    <ds:schemaRef ds:uri="http://schemas.microsoft.com/office/2006/metadata/properties"/>
    <ds:schemaRef ds:uri="http://schemas.microsoft.com/office/infopath/2007/PartnerControls"/>
    <ds:schemaRef ds:uri="9740f0ee-9305-4c47-91c9-f75b4f2b01e7"/>
    <ds:schemaRef ds:uri="b60b4441-8c8a-413c-9864-b5894c25767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2614</Words>
  <Characters>17440</Characters>
  <Application>Microsoft Office Word</Application>
  <DocSecurity>4</DocSecurity>
  <Lines>1245</Lines>
  <Paragraphs>716</Paragraphs>
  <ScaleCrop>false</ScaleCrop>
  <HeadingPairs>
    <vt:vector size="2" baseType="variant">
      <vt:variant>
        <vt:lpstr>Title</vt:lpstr>
      </vt:variant>
      <vt:variant>
        <vt:i4>1</vt:i4>
      </vt:variant>
    </vt:vector>
  </HeadingPairs>
  <TitlesOfParts>
    <vt:vector size="1" baseType="lpstr">
      <vt:lpstr/>
    </vt:vector>
  </TitlesOfParts>
  <Company>National Blood Authority</Company>
  <LinksUpToDate>false</LinksUpToDate>
  <CharactersWithSpaces>19338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Rahnuma, Maliha</dc:creator>
  <cp:keywords/>
  <dc:description/>
  <cp:lastModifiedBy>Tran, Alice</cp:lastModifiedBy>
  <cp:revision>2</cp:revision>
  <dcterms:created xsi:type="dcterms:W3CDTF">2025-03-07T03:17:00Z</dcterms:created>
  <dcterms:modified xsi:type="dcterms:W3CDTF">2025-03-07T03:17:00Z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11d3a1ea-a727-4720-a216-7dae13a61c56_Enabled">
    <vt:lpwstr>true</vt:lpwstr>
  </property>
  <property fmtid="{D5CDD505-2E9C-101B-9397-08002B2CF9AE}" pid="9" name="MSIP_Label_11d3a1ea-a727-4720-a216-7dae13a61c56_SetDate">
    <vt:lpwstr>2025-02-05T23:45:51Z</vt:lpwstr>
  </property>
  <property fmtid="{D5CDD505-2E9C-101B-9397-08002B2CF9AE}" pid="10" name="MSIP_Label_11d3a1ea-a727-4720-a216-7dae13a61c56_Method">
    <vt:lpwstr>Privileged</vt:lpwstr>
  </property>
  <property fmtid="{D5CDD505-2E9C-101B-9397-08002B2CF9AE}" pid="11" name="MSIP_Label_11d3a1ea-a727-4720-a216-7dae13a61c56_Name">
    <vt:lpwstr>OFFICIAL</vt:lpwstr>
  </property>
  <property fmtid="{D5CDD505-2E9C-101B-9397-08002B2CF9AE}" pid="12" name="MSIP_Label_11d3a1ea-a727-4720-a216-7dae13a61c56_SiteId">
    <vt:lpwstr>9c233057-0738-4b40-91b2-3798ceb38ebf</vt:lpwstr>
  </property>
  <property fmtid="{D5CDD505-2E9C-101B-9397-08002B2CF9AE}" pid="13" name="MSIP_Label_11d3a1ea-a727-4720-a216-7dae13a61c56_ActionId">
    <vt:lpwstr>3e239707-58f2-4848-90d2-2e1c3077145c</vt:lpwstr>
  </property>
  <property fmtid="{D5CDD505-2E9C-101B-9397-08002B2CF9AE}" pid="14" name="MSIP_Label_11d3a1ea-a727-4720-a216-7dae13a61c56_ContentBits">
    <vt:lpwstr>3</vt:lpwstr>
  </property>
  <property fmtid="{D5CDD505-2E9C-101B-9397-08002B2CF9AE}" pid="15" name="ContentTypeId">
    <vt:lpwstr>0x01010007E3E055AA798B45886A5C0D9858BE92</vt:lpwstr>
  </property>
  <property fmtid="{D5CDD505-2E9C-101B-9397-08002B2CF9AE}" pid="16" name="MediaServiceImageTags">
    <vt:lpwstr/>
  </property>
</Properties>
</file>