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A479" w14:textId="740A9055" w:rsidR="004570C0" w:rsidRPr="000B49BD" w:rsidRDefault="004570C0" w:rsidP="00E94B0F">
      <w:pPr>
        <w:pStyle w:val="Heading1"/>
        <w:rPr>
          <w:rFonts w:ascii="Aptos" w:hAnsi="Aptos"/>
          <w:sz w:val="22"/>
          <w:szCs w:val="22"/>
        </w:rPr>
      </w:pPr>
      <w:r w:rsidRPr="000B49BD">
        <w:rPr>
          <w:rFonts w:ascii="Aptos" w:hAnsi="Aptos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FEFEF" wp14:editId="67CFB28A">
                <wp:simplePos x="0" y="0"/>
                <wp:positionH relativeFrom="column">
                  <wp:posOffset>-751576</wp:posOffset>
                </wp:positionH>
                <wp:positionV relativeFrom="paragraph">
                  <wp:posOffset>-704215</wp:posOffset>
                </wp:positionV>
                <wp:extent cx="10382250" cy="2038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3CDB5" w14:textId="67083AA8" w:rsidR="004570C0" w:rsidRDefault="00D23DEA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C9E4755" wp14:editId="4EE7F1E2">
                                  <wp:extent cx="10193020" cy="171831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3020" cy="171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FEF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9.2pt;margin-top:-55.45pt;width:817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" fillcolor="white [3201]" stroked="f" strokeweight=".5pt">
                <v:textbox>
                  <w:txbxContent>
                    <w:p w14:paraId="4443CDB5" w14:textId="67083AA8" w:rsidR="004570C0" w:rsidRDefault="00D23DEA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C9E4755" wp14:editId="4EE7F1E2">
                            <wp:extent cx="10193020" cy="171831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3020" cy="171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819E49" w14:textId="1C7AEB1A" w:rsidR="004570C0" w:rsidRPr="000B49BD" w:rsidRDefault="00004552" w:rsidP="00E94B0F">
      <w:pPr>
        <w:pStyle w:val="Heading1"/>
        <w:rPr>
          <w:rFonts w:ascii="Aptos" w:hAnsi="Aptos"/>
          <w:sz w:val="22"/>
          <w:szCs w:val="22"/>
        </w:rPr>
      </w:pPr>
      <w:r w:rsidRPr="000B49BD">
        <w:rPr>
          <w:rFonts w:ascii="Aptos" w:hAnsi="Aptos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FC9C3" wp14:editId="3A3A5B48">
                <wp:simplePos x="0" y="0"/>
                <wp:positionH relativeFrom="column">
                  <wp:posOffset>-655955</wp:posOffset>
                </wp:positionH>
                <wp:positionV relativeFrom="paragraph">
                  <wp:posOffset>540014</wp:posOffset>
                </wp:positionV>
                <wp:extent cx="7372350" cy="66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A21BD" w14:textId="77777777" w:rsidR="004570C0" w:rsidRPr="00CD603E" w:rsidRDefault="004570C0" w:rsidP="004570C0">
                            <w:pPr>
                              <w:spacing w:before="200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CD603E">
                              <w:rPr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  <w:t>Criteria for clinical use of immunoglobulin in Australia</w:t>
                            </w:r>
                            <w:r w:rsidRPr="00CD60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the </w:t>
                            </w:r>
                            <w:r w:rsidRPr="00CD60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Criteria)</w:t>
                            </w:r>
                          </w:p>
                          <w:p w14:paraId="62ABEE4C" w14:textId="77777777" w:rsidR="004570C0" w:rsidRDefault="004570C0" w:rsidP="004570C0">
                            <w:pPr>
                              <w:spacing w:before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C9C3" id="Text Box 3" o:spid="_x0000_s1027" type="#_x0000_t202" style="position:absolute;margin-left:-51.65pt;margin-top:42.5pt;width:580.5pt;height:5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" fillcolor="#bfbfbf [2412]" stroked="f" strokeweight=".5pt">
                <v:textbox>
                  <w:txbxContent>
                    <w:p w14:paraId="181A21BD" w14:textId="77777777" w:rsidR="004570C0" w:rsidRPr="00CD603E" w:rsidRDefault="004570C0" w:rsidP="004570C0">
                      <w:pPr>
                        <w:spacing w:before="200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CD603E">
                        <w:rPr>
                          <w:b/>
                          <w:i/>
                          <w:color w:val="FFFFFF" w:themeColor="background1"/>
                          <w:sz w:val="40"/>
                        </w:rPr>
                        <w:t>Criteria for clinical use of immunoglobulin in Australia</w:t>
                      </w:r>
                      <w:r w:rsidRPr="00CD603E">
                        <w:rPr>
                          <w:b/>
                          <w:color w:val="FFFFFF" w:themeColor="background1"/>
                          <w:sz w:val="40"/>
                        </w:rPr>
                        <w:t xml:space="preserve"> (</w:t>
                      </w: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 xml:space="preserve">the </w:t>
                      </w:r>
                      <w:r w:rsidRPr="00CD603E">
                        <w:rPr>
                          <w:b/>
                          <w:color w:val="FFFFFF" w:themeColor="background1"/>
                          <w:sz w:val="40"/>
                        </w:rPr>
                        <w:t>Criteria)</w:t>
                      </w:r>
                    </w:p>
                    <w:p w14:paraId="62ABEE4C" w14:textId="77777777" w:rsidR="004570C0" w:rsidRDefault="004570C0" w:rsidP="004570C0">
                      <w:pPr>
                        <w:spacing w:before="200"/>
                      </w:pPr>
                    </w:p>
                  </w:txbxContent>
                </v:textbox>
              </v:shape>
            </w:pict>
          </mc:Fallback>
        </mc:AlternateContent>
      </w:r>
    </w:p>
    <w:p w14:paraId="59AC57B6" w14:textId="1E00B70B" w:rsidR="004570C0" w:rsidRPr="000B49BD" w:rsidRDefault="004570C0" w:rsidP="00E94B0F">
      <w:pPr>
        <w:pStyle w:val="Heading1"/>
        <w:rPr>
          <w:rFonts w:ascii="Aptos" w:hAnsi="Aptos"/>
          <w:sz w:val="22"/>
          <w:szCs w:val="22"/>
        </w:rPr>
      </w:pPr>
    </w:p>
    <w:p w14:paraId="57831A61" w14:textId="3457285B" w:rsidR="004570C0" w:rsidRPr="000B49BD" w:rsidRDefault="004570C0" w:rsidP="00E45E04">
      <w:pPr>
        <w:pStyle w:val="Heading1"/>
        <w:spacing w:after="0" w:line="240" w:lineRule="auto"/>
        <w:rPr>
          <w:rFonts w:ascii="Aptos" w:hAnsi="Aptos"/>
          <w:sz w:val="22"/>
          <w:szCs w:val="22"/>
        </w:rPr>
      </w:pPr>
    </w:p>
    <w:p w14:paraId="4E1451BB" w14:textId="39E1C27B" w:rsidR="00B3726E" w:rsidRPr="00B87985" w:rsidRDefault="004570C0" w:rsidP="00E45E04">
      <w:pPr>
        <w:pStyle w:val="Heading1"/>
        <w:spacing w:before="120" w:after="120" w:line="240" w:lineRule="auto"/>
        <w:ind w:left="-737" w:right="0"/>
        <w:rPr>
          <w:rFonts w:ascii="Aptos" w:hAnsi="Aptos"/>
          <w:sz w:val="52"/>
          <w:szCs w:val="52"/>
        </w:rPr>
      </w:pPr>
      <w:r w:rsidRPr="00B87985">
        <w:rPr>
          <w:rFonts w:ascii="Aptos" w:hAnsi="Aptos"/>
          <w:sz w:val="52"/>
          <w:szCs w:val="52"/>
        </w:rPr>
        <w:t xml:space="preserve">Neurology Conditions - </w:t>
      </w:r>
      <w:r w:rsidR="00D96C83" w:rsidRPr="00B87985">
        <w:rPr>
          <w:rFonts w:ascii="Aptos" w:hAnsi="Aptos"/>
          <w:sz w:val="52"/>
          <w:szCs w:val="52"/>
        </w:rPr>
        <w:t>Summary of Criteria Changes</w:t>
      </w:r>
    </w:p>
    <w:p w14:paraId="7C905F5A" w14:textId="13C7F9AE" w:rsidR="00063B1F" w:rsidRPr="00B87985" w:rsidRDefault="00D96C83" w:rsidP="004570C0">
      <w:pPr>
        <w:ind w:left="-737"/>
        <w:rPr>
          <w:rFonts w:ascii="Aptos" w:hAnsi="Aptos"/>
          <w:sz w:val="20"/>
          <w:szCs w:val="20"/>
        </w:rPr>
      </w:pPr>
      <w:r w:rsidRPr="00B87985">
        <w:rPr>
          <w:rFonts w:ascii="Aptos" w:hAnsi="Aptos"/>
          <w:sz w:val="20"/>
          <w:szCs w:val="20"/>
        </w:rPr>
        <w:t xml:space="preserve">The </w:t>
      </w:r>
      <w:r w:rsidRPr="00B87985">
        <w:rPr>
          <w:rFonts w:ascii="Aptos" w:hAnsi="Aptos"/>
          <w:i/>
          <w:sz w:val="20"/>
          <w:szCs w:val="20"/>
        </w:rPr>
        <w:t>Criteria for clinical use of immunoglobulin in Australia</w:t>
      </w:r>
      <w:r w:rsidRPr="00B87985">
        <w:rPr>
          <w:rFonts w:ascii="Aptos" w:hAnsi="Aptos"/>
          <w:sz w:val="20"/>
          <w:szCs w:val="20"/>
        </w:rPr>
        <w:t xml:space="preserve"> (Criteria) is under a continuous review cycle</w:t>
      </w:r>
      <w:r w:rsidR="00156490" w:rsidRPr="00B87985">
        <w:rPr>
          <w:rFonts w:ascii="Aptos" w:hAnsi="Aptos"/>
          <w:sz w:val="20"/>
          <w:szCs w:val="20"/>
        </w:rPr>
        <w:t xml:space="preserve"> </w:t>
      </w:r>
      <w:r w:rsidR="00AA33D4" w:rsidRPr="00B87985">
        <w:rPr>
          <w:rFonts w:ascii="Aptos" w:hAnsi="Aptos"/>
          <w:sz w:val="20"/>
          <w:szCs w:val="20"/>
        </w:rPr>
        <w:t>f</w:t>
      </w:r>
      <w:r w:rsidR="00156490" w:rsidRPr="00B87985">
        <w:rPr>
          <w:rFonts w:ascii="Aptos" w:hAnsi="Aptos"/>
          <w:sz w:val="20"/>
          <w:szCs w:val="20"/>
        </w:rPr>
        <w:t>ollowing release of</w:t>
      </w:r>
      <w:r w:rsidRPr="00B87985">
        <w:rPr>
          <w:rFonts w:ascii="Aptos" w:hAnsi="Aptos"/>
          <w:sz w:val="20"/>
          <w:szCs w:val="20"/>
        </w:rPr>
        <w:t xml:space="preserve"> </w:t>
      </w:r>
      <w:r w:rsidR="00E1259E" w:rsidRPr="00B87985">
        <w:rPr>
          <w:rFonts w:ascii="Aptos" w:hAnsi="Aptos"/>
          <w:sz w:val="20"/>
          <w:szCs w:val="20"/>
        </w:rPr>
        <w:t xml:space="preserve">Version 3 on 22 October 2018. </w:t>
      </w:r>
      <w:r w:rsidRPr="00B87985">
        <w:rPr>
          <w:rFonts w:ascii="Aptos" w:hAnsi="Aptos"/>
          <w:sz w:val="20"/>
          <w:szCs w:val="20"/>
        </w:rPr>
        <w:t>The table below summarises</w:t>
      </w:r>
      <w:r w:rsidR="00156490" w:rsidRPr="00B87985">
        <w:rPr>
          <w:rFonts w:ascii="Aptos" w:hAnsi="Aptos"/>
          <w:sz w:val="20"/>
          <w:szCs w:val="20"/>
        </w:rPr>
        <w:t xml:space="preserve"> subsequent</w:t>
      </w:r>
      <w:r w:rsidRPr="00B87985">
        <w:rPr>
          <w:rFonts w:ascii="Aptos" w:hAnsi="Aptos"/>
          <w:sz w:val="20"/>
          <w:szCs w:val="20"/>
        </w:rPr>
        <w:t xml:space="preserve"> changes made by medical condition and indication</w:t>
      </w:r>
      <w:r w:rsidR="00E1259E" w:rsidRPr="00B87985">
        <w:rPr>
          <w:rFonts w:ascii="Aptos" w:hAnsi="Aptos"/>
          <w:sz w:val="20"/>
          <w:szCs w:val="20"/>
        </w:rPr>
        <w:t xml:space="preserve"> to the Criteria following the publication o</w:t>
      </w:r>
      <w:r w:rsidR="00C30D28" w:rsidRPr="00B87985">
        <w:rPr>
          <w:rFonts w:ascii="Aptos" w:hAnsi="Aptos"/>
          <w:sz w:val="20"/>
          <w:szCs w:val="20"/>
        </w:rPr>
        <w:t>f</w:t>
      </w:r>
      <w:r w:rsidR="00E1259E" w:rsidRPr="00B87985">
        <w:rPr>
          <w:rFonts w:ascii="Aptos" w:hAnsi="Aptos"/>
          <w:sz w:val="20"/>
          <w:szCs w:val="20"/>
        </w:rPr>
        <w:t xml:space="preserve"> Version 3</w:t>
      </w:r>
      <w:r w:rsidRPr="00B87985">
        <w:rPr>
          <w:rFonts w:ascii="Aptos" w:hAnsi="Aptos"/>
          <w:sz w:val="20"/>
          <w:szCs w:val="20"/>
        </w:rPr>
        <w:t xml:space="preserve">. </w:t>
      </w:r>
      <w:r w:rsidR="00AC4CA3" w:rsidRPr="00B87985">
        <w:rPr>
          <w:rFonts w:ascii="Aptos" w:hAnsi="Aptos"/>
          <w:sz w:val="20"/>
          <w:szCs w:val="20"/>
        </w:rPr>
        <w:t xml:space="preserve">Changes will be applied </w:t>
      </w:r>
      <w:r w:rsidR="00E1259E" w:rsidRPr="00B87985">
        <w:rPr>
          <w:rFonts w:ascii="Aptos" w:hAnsi="Aptos"/>
          <w:sz w:val="20"/>
          <w:szCs w:val="20"/>
        </w:rPr>
        <w:t xml:space="preserve">immediately to new authorisations and </w:t>
      </w:r>
      <w:r w:rsidR="00AC4CA3" w:rsidRPr="00B87985">
        <w:rPr>
          <w:rFonts w:ascii="Aptos" w:hAnsi="Aptos"/>
          <w:sz w:val="20"/>
          <w:szCs w:val="20"/>
        </w:rPr>
        <w:t xml:space="preserve">to </w:t>
      </w:r>
      <w:r w:rsidR="00E1259E" w:rsidRPr="00B87985">
        <w:rPr>
          <w:rFonts w:ascii="Aptos" w:hAnsi="Aptos"/>
          <w:sz w:val="20"/>
          <w:szCs w:val="20"/>
        </w:rPr>
        <w:t xml:space="preserve">existing </w:t>
      </w:r>
      <w:r w:rsidR="00AC4CA3" w:rsidRPr="00B87985">
        <w:rPr>
          <w:rFonts w:ascii="Aptos" w:hAnsi="Aptos"/>
          <w:sz w:val="20"/>
          <w:szCs w:val="20"/>
        </w:rPr>
        <w:t>authorisation</w:t>
      </w:r>
      <w:r w:rsidR="00E1259E" w:rsidRPr="00B87985">
        <w:rPr>
          <w:rFonts w:ascii="Aptos" w:hAnsi="Aptos"/>
          <w:sz w:val="20"/>
          <w:szCs w:val="20"/>
        </w:rPr>
        <w:t>s</w:t>
      </w:r>
      <w:r w:rsidR="00AC4CA3" w:rsidRPr="00B87985">
        <w:rPr>
          <w:rFonts w:ascii="Aptos" w:hAnsi="Aptos"/>
          <w:sz w:val="20"/>
          <w:szCs w:val="20"/>
        </w:rPr>
        <w:t xml:space="preserve"> at the next continuing treatment request</w:t>
      </w:r>
      <w:r w:rsidR="00C30D28" w:rsidRPr="00B87985">
        <w:rPr>
          <w:rFonts w:ascii="Aptos" w:hAnsi="Aptos"/>
          <w:sz w:val="20"/>
          <w:szCs w:val="20"/>
        </w:rPr>
        <w:t>,</w:t>
      </w:r>
      <w:r w:rsidR="00E1259E" w:rsidRPr="00B87985">
        <w:rPr>
          <w:rFonts w:ascii="Aptos" w:hAnsi="Aptos"/>
          <w:sz w:val="20"/>
          <w:szCs w:val="20"/>
        </w:rPr>
        <w:t xml:space="preserve"> unless otherwise stated</w:t>
      </w:r>
      <w:r w:rsidR="00AC4CA3" w:rsidRPr="00B87985">
        <w:rPr>
          <w:rFonts w:ascii="Aptos" w:hAnsi="Aptos"/>
          <w:sz w:val="20"/>
          <w:szCs w:val="20"/>
        </w:rPr>
        <w:t xml:space="preserve">. </w:t>
      </w:r>
      <w:r w:rsidRPr="00B87985">
        <w:rPr>
          <w:rFonts w:ascii="Aptos" w:hAnsi="Aptos"/>
          <w:sz w:val="20"/>
          <w:szCs w:val="20"/>
        </w:rPr>
        <w:t>This table will be updated when any change is made.</w:t>
      </w:r>
    </w:p>
    <w:tbl>
      <w:tblPr>
        <w:tblStyle w:val="TableGrid"/>
        <w:tblW w:w="16160" w:type="dxa"/>
        <w:tblInd w:w="-1134" w:type="dxa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3"/>
        <w:gridCol w:w="4593"/>
        <w:gridCol w:w="6366"/>
        <w:gridCol w:w="1408"/>
        <w:gridCol w:w="1250"/>
      </w:tblGrid>
      <w:tr w:rsidR="00B87985" w:rsidRPr="00B87985" w14:paraId="6A584236" w14:textId="77777777" w:rsidTr="00B87985">
        <w:trPr>
          <w:cantSplit/>
          <w:trHeight w:val="554"/>
          <w:tblHeader/>
        </w:trPr>
        <w:tc>
          <w:tcPr>
            <w:tcW w:w="2543" w:type="dxa"/>
            <w:shd w:val="clear" w:color="auto" w:fill="F79646" w:themeFill="accent6"/>
          </w:tcPr>
          <w:p w14:paraId="7DDAA673" w14:textId="77777777" w:rsidR="00B87985" w:rsidRPr="00B87985" w:rsidRDefault="00B87985" w:rsidP="00D70B32">
            <w:pPr>
              <w:tabs>
                <w:tab w:val="left" w:pos="902"/>
              </w:tabs>
              <w:spacing w:before="240" w:after="120"/>
              <w:ind w:left="27"/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</w:pPr>
            <w:r w:rsidRPr="00B87985"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  <w:t xml:space="preserve">Medical condition </w:t>
            </w:r>
          </w:p>
        </w:tc>
        <w:tc>
          <w:tcPr>
            <w:tcW w:w="4593" w:type="dxa"/>
            <w:shd w:val="clear" w:color="auto" w:fill="F79646" w:themeFill="accent6"/>
          </w:tcPr>
          <w:p w14:paraId="48307BAB" w14:textId="77777777" w:rsidR="00B87985" w:rsidRPr="00B87985" w:rsidRDefault="00B87985" w:rsidP="00D70B32">
            <w:pPr>
              <w:tabs>
                <w:tab w:val="left" w:pos="902"/>
              </w:tabs>
              <w:spacing w:before="240" w:after="120"/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</w:pPr>
            <w:r w:rsidRPr="00B87985"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  <w:t>Indication/s</w:t>
            </w:r>
          </w:p>
        </w:tc>
        <w:tc>
          <w:tcPr>
            <w:tcW w:w="6366" w:type="dxa"/>
            <w:shd w:val="clear" w:color="auto" w:fill="F79646" w:themeFill="accent6"/>
          </w:tcPr>
          <w:p w14:paraId="07052C8F" w14:textId="77777777" w:rsidR="00B87985" w:rsidRPr="00B87985" w:rsidRDefault="00B87985" w:rsidP="00D70B32">
            <w:pPr>
              <w:tabs>
                <w:tab w:val="left" w:pos="902"/>
              </w:tabs>
              <w:spacing w:before="240" w:after="120"/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</w:pPr>
            <w:r w:rsidRPr="00B87985"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  <w:t xml:space="preserve">Summary of changes </w:t>
            </w:r>
          </w:p>
        </w:tc>
        <w:tc>
          <w:tcPr>
            <w:tcW w:w="1408" w:type="dxa"/>
            <w:shd w:val="clear" w:color="auto" w:fill="F79646" w:themeFill="accent6"/>
          </w:tcPr>
          <w:p w14:paraId="6C8B30D4" w14:textId="77777777" w:rsidR="00B87985" w:rsidRPr="00B87985" w:rsidRDefault="00B87985" w:rsidP="00D70B32">
            <w:pPr>
              <w:tabs>
                <w:tab w:val="left" w:pos="902"/>
              </w:tabs>
              <w:spacing w:before="240" w:after="120"/>
              <w:ind w:left="-57" w:right="-57"/>
              <w:jc w:val="center"/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</w:pPr>
            <w:r w:rsidRPr="00B87985"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  <w:t>Date changed</w:t>
            </w:r>
          </w:p>
        </w:tc>
        <w:tc>
          <w:tcPr>
            <w:tcW w:w="1250" w:type="dxa"/>
            <w:shd w:val="clear" w:color="auto" w:fill="F79646" w:themeFill="accent6"/>
          </w:tcPr>
          <w:p w14:paraId="32DD2EC6" w14:textId="77777777" w:rsidR="00B87985" w:rsidRPr="00B87985" w:rsidRDefault="00B87985" w:rsidP="00D70B32">
            <w:pPr>
              <w:tabs>
                <w:tab w:val="left" w:pos="902"/>
              </w:tabs>
              <w:spacing w:before="120" w:after="120"/>
              <w:jc w:val="center"/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</w:pPr>
            <w:r w:rsidRPr="00B87985"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  <w:t>Version number</w:t>
            </w:r>
          </w:p>
        </w:tc>
      </w:tr>
      <w:tr w:rsidR="00B87985" w:rsidRPr="00B87985" w14:paraId="58852288" w14:textId="77777777" w:rsidTr="00B87985">
        <w:trPr>
          <w:cantSplit/>
        </w:trPr>
        <w:tc>
          <w:tcPr>
            <w:tcW w:w="2543" w:type="dxa"/>
            <w:vAlign w:val="center"/>
          </w:tcPr>
          <w:p w14:paraId="56F0FB1D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Acute disseminated encephalomyelitis (ADEM)</w:t>
            </w:r>
          </w:p>
        </w:tc>
        <w:tc>
          <w:tcPr>
            <w:tcW w:w="4593" w:type="dxa"/>
            <w:vAlign w:val="center"/>
          </w:tcPr>
          <w:p w14:paraId="75DE7E25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Monophasic ADEM unresponsive to corticosteroid therapy or where corticosteroids are contraindicated</w:t>
            </w:r>
          </w:p>
          <w:p w14:paraId="739A3FE2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Recurrent or multiphasic ADEM unresponsive to steroid therapy or where corticosteroid therapy has become intolerable or is contraindicated</w:t>
            </w:r>
          </w:p>
          <w:p w14:paraId="7F91B769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Relapse of patients with recurrent or multiphasic ADEM within six months of commencement of trial off immunoglobulin therapy</w:t>
            </w:r>
          </w:p>
        </w:tc>
        <w:tc>
          <w:tcPr>
            <w:tcW w:w="6366" w:type="dxa"/>
          </w:tcPr>
          <w:p w14:paraId="14363028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Up to two one off doses, in addition to the induction dose, are now permitted over the course of the authorisation in severely affected patients who are not responding to maintenance therapy.</w:t>
            </w:r>
          </w:p>
          <w:p w14:paraId="7DE22F7E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maintenance dose can now be requested as a divided dose in all indications.</w:t>
            </w:r>
          </w:p>
        </w:tc>
        <w:tc>
          <w:tcPr>
            <w:tcW w:w="1408" w:type="dxa"/>
          </w:tcPr>
          <w:p w14:paraId="6944E11E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March</w:t>
            </w:r>
          </w:p>
          <w:p w14:paraId="127D2EEB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2020</w:t>
            </w:r>
          </w:p>
        </w:tc>
        <w:tc>
          <w:tcPr>
            <w:tcW w:w="1250" w:type="dxa"/>
          </w:tcPr>
          <w:p w14:paraId="677D99E0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24306E6C" w14:textId="77777777" w:rsidTr="00B87985">
        <w:trPr>
          <w:cantSplit/>
        </w:trPr>
        <w:tc>
          <w:tcPr>
            <w:tcW w:w="2543" w:type="dxa"/>
            <w:vMerge w:val="restart"/>
            <w:vAlign w:val="center"/>
          </w:tcPr>
          <w:p w14:paraId="068A946D" w14:textId="77777777" w:rsidR="00B87985" w:rsidRPr="00B87985" w:rsidRDefault="00B87985" w:rsidP="00D70B32">
            <w:p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lastRenderedPageBreak/>
              <w:t>Autoimmune encephalitis mediated by antibodies targeting cell-surface antigens (AMAE)</w:t>
            </w:r>
          </w:p>
        </w:tc>
        <w:tc>
          <w:tcPr>
            <w:tcW w:w="4593" w:type="dxa"/>
            <w:vAlign w:val="center"/>
          </w:tcPr>
          <w:p w14:paraId="0D6CC4FC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Confirmed antibody mediated autoimmune encephalitis (AMAE) or limbic encephalitis –cell surface antibody positive</w:t>
            </w:r>
          </w:p>
          <w:p w14:paraId="0E20EB9B" w14:textId="1DDDE9AD" w:rsidR="00B87985" w:rsidRPr="000C5D18" w:rsidRDefault="00B87985" w:rsidP="000C5D18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Suspected antibody mediated autoimmune encephalitis (AMAE) – antibody results not available or sero-negative AMAE or seronegative limbic encephalitis</w:t>
            </w:r>
          </w:p>
        </w:tc>
        <w:tc>
          <w:tcPr>
            <w:tcW w:w="6366" w:type="dxa"/>
            <w:vAlign w:val="center"/>
          </w:tcPr>
          <w:p w14:paraId="1FFB3F13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/>
                <w:bCs/>
                <w:iCs/>
                <w:color w:val="000000" w:themeColor="text1"/>
                <w:sz w:val="20"/>
                <w:szCs w:val="20"/>
              </w:rPr>
              <w:t>The MRS evidence item options did not match the assessment instructions. The change a</w:t>
            </w:r>
            <w:r w:rsidRPr="00B87985">
              <w:rPr>
                <w:rFonts w:ascii="Aptos" w:hAnsi="Aptos" w:cstheme="minorHAnsi"/>
                <w:bCs/>
                <w:color w:val="000000" w:themeColor="text1"/>
                <w:sz w:val="20"/>
                <w:szCs w:val="20"/>
              </w:rPr>
              <w:t>djusted the MRS evidence item options.</w:t>
            </w:r>
          </w:p>
        </w:tc>
        <w:tc>
          <w:tcPr>
            <w:tcW w:w="1408" w:type="dxa"/>
            <w:vAlign w:val="center"/>
          </w:tcPr>
          <w:p w14:paraId="04AF845D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February 2024</w:t>
            </w:r>
          </w:p>
        </w:tc>
        <w:tc>
          <w:tcPr>
            <w:tcW w:w="1250" w:type="dxa"/>
            <w:vAlign w:val="center"/>
          </w:tcPr>
          <w:p w14:paraId="5C7589B3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3.3</w:t>
            </w:r>
          </w:p>
        </w:tc>
      </w:tr>
      <w:tr w:rsidR="00B87985" w:rsidRPr="00B87985" w14:paraId="4F2EDB77" w14:textId="77777777" w:rsidTr="00B87985">
        <w:trPr>
          <w:cantSplit/>
        </w:trPr>
        <w:tc>
          <w:tcPr>
            <w:tcW w:w="2543" w:type="dxa"/>
            <w:vMerge/>
            <w:vAlign w:val="center"/>
          </w:tcPr>
          <w:p w14:paraId="7108E944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744E0D08" w14:textId="77777777" w:rsidR="000C5D18" w:rsidRPr="00B87985" w:rsidRDefault="000C5D18" w:rsidP="000C5D18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Confirmed antibody mediated autoimmune encephalitis (AMAE) or limbic encephalitis –cell surface antibody positive</w:t>
            </w:r>
          </w:p>
          <w:p w14:paraId="7156E390" w14:textId="77777777" w:rsidR="000C5D18" w:rsidRPr="00B87985" w:rsidRDefault="000C5D18" w:rsidP="000C5D18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Suspected antibody mediated autoimmune encephalitis (AMAE) – antibody results not available or sero-negative AMAE or seronegative limbic encephalitis</w:t>
            </w:r>
          </w:p>
          <w:p w14:paraId="7DE9D334" w14:textId="2D650EAA" w:rsidR="00B87985" w:rsidRPr="00B87985" w:rsidRDefault="000C5D18" w:rsidP="000C5D18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Bibliography</w:t>
            </w:r>
          </w:p>
        </w:tc>
        <w:tc>
          <w:tcPr>
            <w:tcW w:w="6366" w:type="dxa"/>
            <w:vAlign w:val="center"/>
          </w:tcPr>
          <w:p w14:paraId="0E587BB0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Dosing frequency has been updated to allow greater flexibility.</w:t>
            </w:r>
          </w:p>
          <w:p w14:paraId="738DC3E9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link for 'the modified Rankin scale' has been updated from Stroke Society of Australia to Stroke Engine of Canada</w:t>
            </w:r>
          </w:p>
        </w:tc>
        <w:tc>
          <w:tcPr>
            <w:tcW w:w="1408" w:type="dxa"/>
            <w:vAlign w:val="center"/>
          </w:tcPr>
          <w:p w14:paraId="20A1AB98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November 2023</w:t>
            </w:r>
          </w:p>
        </w:tc>
        <w:tc>
          <w:tcPr>
            <w:tcW w:w="1250" w:type="dxa"/>
            <w:vAlign w:val="center"/>
          </w:tcPr>
          <w:p w14:paraId="7540BA10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3.2</w:t>
            </w:r>
          </w:p>
        </w:tc>
      </w:tr>
      <w:tr w:rsidR="00B87985" w:rsidRPr="00B87985" w14:paraId="651977E3" w14:textId="77777777" w:rsidTr="00B87985">
        <w:trPr>
          <w:cantSplit/>
        </w:trPr>
        <w:tc>
          <w:tcPr>
            <w:tcW w:w="2543" w:type="dxa"/>
            <w:vMerge/>
            <w:vAlign w:val="center"/>
          </w:tcPr>
          <w:p w14:paraId="53A6548C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18F05345" w14:textId="77777777" w:rsidR="000C5D18" w:rsidRPr="00B87985" w:rsidRDefault="000C5D18" w:rsidP="000C5D18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Confirmed antibody mediated autoimmune encephalitis (AMAE) or limbic encephalitis –cell surface antibody positive</w:t>
            </w:r>
          </w:p>
          <w:p w14:paraId="2F06636A" w14:textId="6DA9CD3A" w:rsidR="00B87985" w:rsidRPr="000C5D18" w:rsidRDefault="000C5D18" w:rsidP="000C5D18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Suspected antibody mediated autoimmune encephalitis (AMAE) – antibody results not available or sero-negative AMAE or seronegative limbic encephalitis</w:t>
            </w:r>
          </w:p>
        </w:tc>
        <w:tc>
          <w:tcPr>
            <w:tcW w:w="6366" w:type="dxa"/>
            <w:vAlign w:val="center"/>
          </w:tcPr>
          <w:p w14:paraId="2320AA35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adapted Modified Rankin Scale (MRS) replaces the MRS; allowing prescribers to accurately provide a score where their patient’s primary symptom is seizures.</w:t>
            </w:r>
          </w:p>
          <w:p w14:paraId="372E7EC8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Qualifying Criteria post-script has been updated in suspected AMAE to clarify the appropriate indication for patients with anti-GAD, thyroid and the classical intracellular antineuronal antibodies.</w:t>
            </w:r>
          </w:p>
        </w:tc>
        <w:tc>
          <w:tcPr>
            <w:tcW w:w="1408" w:type="dxa"/>
            <w:vAlign w:val="center"/>
          </w:tcPr>
          <w:p w14:paraId="0DC29C18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March</w:t>
            </w:r>
          </w:p>
          <w:p w14:paraId="7DEB0B99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2020</w:t>
            </w:r>
          </w:p>
        </w:tc>
        <w:tc>
          <w:tcPr>
            <w:tcW w:w="1250" w:type="dxa"/>
            <w:vAlign w:val="center"/>
          </w:tcPr>
          <w:p w14:paraId="3D28E657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682F601C" w14:textId="77777777" w:rsidTr="00B87985">
        <w:trPr>
          <w:cantSplit/>
        </w:trPr>
        <w:tc>
          <w:tcPr>
            <w:tcW w:w="2543" w:type="dxa"/>
            <w:vAlign w:val="center"/>
          </w:tcPr>
          <w:p w14:paraId="1D1928F7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Childhood epileptic encephalopathy</w:t>
            </w:r>
          </w:p>
        </w:tc>
        <w:tc>
          <w:tcPr>
            <w:tcW w:w="4593" w:type="dxa"/>
            <w:vAlign w:val="center"/>
          </w:tcPr>
          <w:p w14:paraId="69455BFA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 xml:space="preserve">Children with epileptic encephalopathy resistant to anti-epileptic medications and steroid therapy or steroid responsive but dependent </w:t>
            </w:r>
          </w:p>
          <w:p w14:paraId="24E67444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Relapse of epileptic encephalopathy following a trial of weaning from Ig therapy in a patient previously demonstrating response</w:t>
            </w:r>
          </w:p>
        </w:tc>
        <w:tc>
          <w:tcPr>
            <w:tcW w:w="6366" w:type="dxa"/>
          </w:tcPr>
          <w:p w14:paraId="38072481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age limitation has been removed in BloodSTAR to allow adult patients approved as children to access ongoing Ig at review where clinically appropriate</w:t>
            </w:r>
          </w:p>
          <w:p w14:paraId="05102D80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Exclusion Criteria links have been updated</w:t>
            </w:r>
          </w:p>
          <w:p w14:paraId="58AE49A9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Correction of typographical errors in the qualifying postscript and review preamble</w:t>
            </w:r>
          </w:p>
          <w:p w14:paraId="314CC125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Qualifying Preamble has been updated to extend the time limitation to access Ig following trial off therapy to six months</w:t>
            </w:r>
          </w:p>
        </w:tc>
        <w:tc>
          <w:tcPr>
            <w:tcW w:w="1408" w:type="dxa"/>
          </w:tcPr>
          <w:p w14:paraId="689A7FBB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March</w:t>
            </w:r>
          </w:p>
          <w:p w14:paraId="0A231A3B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2020</w:t>
            </w:r>
          </w:p>
        </w:tc>
        <w:tc>
          <w:tcPr>
            <w:tcW w:w="1250" w:type="dxa"/>
          </w:tcPr>
          <w:p w14:paraId="7FB1EF1E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3.2</w:t>
            </w:r>
          </w:p>
        </w:tc>
      </w:tr>
      <w:tr w:rsidR="00B87985" w:rsidRPr="00B87985" w14:paraId="2A3C6FA1" w14:textId="77777777" w:rsidTr="00B87985">
        <w:trPr>
          <w:cantSplit/>
        </w:trPr>
        <w:tc>
          <w:tcPr>
            <w:tcW w:w="2543" w:type="dxa"/>
            <w:vMerge w:val="restart"/>
            <w:vAlign w:val="center"/>
          </w:tcPr>
          <w:p w14:paraId="7C870914" w14:textId="77777777" w:rsidR="00B87985" w:rsidRPr="00B87985" w:rsidRDefault="00B87985" w:rsidP="00D70B32">
            <w:p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lastRenderedPageBreak/>
              <w:t>Chronic inflammatory demyelinating polyneuropathy (CIDP), (including IgG and IgA paraproteinaemic demyelinating neuropathies)</w:t>
            </w:r>
          </w:p>
        </w:tc>
        <w:tc>
          <w:tcPr>
            <w:tcW w:w="4593" w:type="dxa"/>
            <w:vAlign w:val="center"/>
          </w:tcPr>
          <w:p w14:paraId="63744E95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Bibliography</w:t>
            </w:r>
          </w:p>
        </w:tc>
        <w:tc>
          <w:tcPr>
            <w:tcW w:w="6366" w:type="dxa"/>
          </w:tcPr>
          <w:p w14:paraId="7FF78FF4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link for 'the modified Rankin scale' has been updated from Stroke Society of Australia to Stroke Engine of Canada</w:t>
            </w:r>
          </w:p>
        </w:tc>
        <w:tc>
          <w:tcPr>
            <w:tcW w:w="1408" w:type="dxa"/>
          </w:tcPr>
          <w:p w14:paraId="575A7E13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November 2023</w:t>
            </w:r>
          </w:p>
        </w:tc>
        <w:tc>
          <w:tcPr>
            <w:tcW w:w="1250" w:type="dxa"/>
          </w:tcPr>
          <w:p w14:paraId="45A37140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3.3</w:t>
            </w:r>
          </w:p>
        </w:tc>
      </w:tr>
      <w:tr w:rsidR="00B87985" w:rsidRPr="00B87985" w14:paraId="5007DA63" w14:textId="77777777" w:rsidTr="00B87985">
        <w:trPr>
          <w:cantSplit/>
        </w:trPr>
        <w:tc>
          <w:tcPr>
            <w:tcW w:w="2543" w:type="dxa"/>
            <w:vMerge/>
            <w:vAlign w:val="center"/>
          </w:tcPr>
          <w:p w14:paraId="6B9342FC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593" w:type="dxa"/>
            <w:vMerge w:val="restart"/>
            <w:vAlign w:val="center"/>
          </w:tcPr>
          <w:p w14:paraId="0B7DB30A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Treatment of chronic inflammatory demyelinating polyneuropathy (CIDP) for patients in whom walking is compromised or there is significant disability</w:t>
            </w:r>
          </w:p>
          <w:p w14:paraId="704A32EA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Relapse of chronic inflammatory demyelinating polyneuropathy (CIDP) patients within six months of commencement of trial off Ig therapy</w:t>
            </w:r>
          </w:p>
        </w:tc>
        <w:tc>
          <w:tcPr>
            <w:tcW w:w="6366" w:type="dxa"/>
          </w:tcPr>
          <w:p w14:paraId="69902242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 xml:space="preserve">An additional one-off dose is now available during the course of the authorisation in the form of intravenous immunoglobulin or subcutaneous immunoglobulin </w:t>
            </w:r>
          </w:p>
          <w:p w14:paraId="597F2381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Separate doses are now available for intravenous and subcutaneous immunoglobulin administration.</w:t>
            </w:r>
          </w:p>
        </w:tc>
        <w:tc>
          <w:tcPr>
            <w:tcW w:w="1408" w:type="dxa"/>
          </w:tcPr>
          <w:p w14:paraId="7D81EA6B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October 2019</w:t>
            </w:r>
          </w:p>
        </w:tc>
        <w:tc>
          <w:tcPr>
            <w:tcW w:w="1250" w:type="dxa"/>
          </w:tcPr>
          <w:p w14:paraId="7C0B13E9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3.2</w:t>
            </w:r>
          </w:p>
        </w:tc>
      </w:tr>
      <w:tr w:rsidR="00B87985" w:rsidRPr="00B87985" w14:paraId="2ED997A1" w14:textId="77777777" w:rsidTr="00B87985">
        <w:trPr>
          <w:cantSplit/>
        </w:trPr>
        <w:tc>
          <w:tcPr>
            <w:tcW w:w="2543" w:type="dxa"/>
            <w:vMerge/>
            <w:vAlign w:val="center"/>
          </w:tcPr>
          <w:p w14:paraId="5851F4D6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593" w:type="dxa"/>
            <w:vMerge/>
            <w:vAlign w:val="center"/>
          </w:tcPr>
          <w:p w14:paraId="5B2A8CA8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6366" w:type="dxa"/>
          </w:tcPr>
          <w:p w14:paraId="0A62FDD9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Bibliography links have been corrected.</w:t>
            </w:r>
          </w:p>
          <w:p w14:paraId="12B12821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Data entry error has been corrected in the Qualifying Criteria for indication Relapse of chronic inflammatory demyelinating polyneuropathy (CIDP) patients within six months of commencement of trial off immunoglobulin therapy.</w:t>
            </w:r>
          </w:p>
          <w:p w14:paraId="315D399B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Subcutaneous administration of Ig can be considered as an alternative to intravenous Ig (IVIg) following stabilisation with IVIg.</w:t>
            </w:r>
          </w:p>
        </w:tc>
        <w:tc>
          <w:tcPr>
            <w:tcW w:w="1408" w:type="dxa"/>
          </w:tcPr>
          <w:p w14:paraId="6077AAF3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August</w:t>
            </w:r>
          </w:p>
          <w:p w14:paraId="69E61C98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2019</w:t>
            </w:r>
          </w:p>
        </w:tc>
        <w:tc>
          <w:tcPr>
            <w:tcW w:w="1250" w:type="dxa"/>
          </w:tcPr>
          <w:p w14:paraId="3BE3D7C6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770ADBED" w14:textId="77777777" w:rsidTr="00B87985">
        <w:trPr>
          <w:cantSplit/>
          <w:trHeight w:val="3174"/>
        </w:trPr>
        <w:tc>
          <w:tcPr>
            <w:tcW w:w="2543" w:type="dxa"/>
            <w:vMerge w:val="restart"/>
            <w:vAlign w:val="center"/>
          </w:tcPr>
          <w:p w14:paraId="6C9AC703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Guillain–Barré Syndrome (GBS)</w:t>
            </w:r>
          </w:p>
        </w:tc>
        <w:tc>
          <w:tcPr>
            <w:tcW w:w="4593" w:type="dxa"/>
            <w:vAlign w:val="center"/>
          </w:tcPr>
          <w:p w14:paraId="08D1C1E4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Initial therapy for GBS with significant disability and progression (Qualifying Criteria, Dose)</w:t>
            </w:r>
          </w:p>
          <w:p w14:paraId="72080EC8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Relapse in GBS treatment-related fluctuation with initial improvement and subsequent deterioration post IVIg treatment (Qualifying Criteria, Review Criteria)</w:t>
            </w:r>
          </w:p>
          <w:p w14:paraId="3A2C0F62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Description and Diagnostic Criteria, Justification for Evidence Category, Exclusion Criteria, Bibliography</w:t>
            </w:r>
          </w:p>
        </w:tc>
        <w:tc>
          <w:tcPr>
            <w:tcW w:w="6366" w:type="dxa"/>
          </w:tcPr>
          <w:p w14:paraId="4756FED7" w14:textId="77777777" w:rsidR="00B87985" w:rsidRPr="00B87985" w:rsidRDefault="00B87985" w:rsidP="00D70B32">
            <w:pPr>
              <w:pStyle w:val="pb-2"/>
              <w:numPr>
                <w:ilvl w:val="0"/>
                <w:numId w:val="15"/>
              </w:numPr>
              <w:spacing w:before="0" w:beforeAutospacing="0" w:after="0" w:afterAutospacing="0"/>
              <w:ind w:left="466" w:hanging="438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 xml:space="preserve">New text has been included which reflects the outcomes of a clinical trial demonstrating a second dose of Ig is not beneficial, except where treatment related fluctuations can be demonstrated. </w:t>
            </w:r>
          </w:p>
          <w:p w14:paraId="6F7B4895" w14:textId="77777777" w:rsidR="00B87985" w:rsidRPr="00B87985" w:rsidRDefault="00B87985" w:rsidP="00D70B32">
            <w:pPr>
              <w:pStyle w:val="pb-2"/>
              <w:numPr>
                <w:ilvl w:val="0"/>
                <w:numId w:val="15"/>
              </w:numPr>
              <w:spacing w:before="0" w:beforeAutospacing="0" w:after="0" w:afterAutospacing="0"/>
              <w:ind w:left="466" w:hanging="438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New exclusion criteria have been added to exclude chronic inflammatory demyelinating polyneuropathy from access to Ig treatment under this condition.</w:t>
            </w:r>
          </w:p>
          <w:p w14:paraId="679C6B18" w14:textId="77777777" w:rsidR="00B87985" w:rsidRPr="00B87985" w:rsidRDefault="00B87985" w:rsidP="00D70B32">
            <w:pPr>
              <w:pStyle w:val="pb-2"/>
              <w:numPr>
                <w:ilvl w:val="0"/>
                <w:numId w:val="15"/>
              </w:numPr>
              <w:spacing w:before="0" w:beforeAutospacing="0" w:after="0" w:afterAutospacing="0"/>
              <w:ind w:left="466" w:hanging="438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New qualifying criteria in Indication 2 require assessment of disability on three occasions, consistent with the definition of treatment related fluctuations.</w:t>
            </w:r>
          </w:p>
          <w:p w14:paraId="76C5785E" w14:textId="77777777" w:rsidR="00B87985" w:rsidRPr="00B87985" w:rsidRDefault="00B87985" w:rsidP="00D70B32">
            <w:pPr>
              <w:pStyle w:val="pb-2"/>
              <w:numPr>
                <w:ilvl w:val="0"/>
                <w:numId w:val="15"/>
              </w:numPr>
              <w:spacing w:before="0" w:beforeAutospacing="0" w:after="0" w:afterAutospacing="0"/>
              <w:ind w:left="466" w:hanging="438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 xml:space="preserve">Access to Ig in Indication 2 for the specific condition ‘GBS variants’ has been removed. </w:t>
            </w:r>
          </w:p>
          <w:p w14:paraId="10A7A9A2" w14:textId="77777777" w:rsidR="00B87985" w:rsidRPr="00B87985" w:rsidRDefault="00B87985" w:rsidP="00D70B32">
            <w:pPr>
              <w:pStyle w:val="pb-2"/>
              <w:numPr>
                <w:ilvl w:val="0"/>
                <w:numId w:val="15"/>
              </w:numPr>
              <w:spacing w:before="0" w:beforeAutospacing="0" w:after="0" w:afterAutospacing="0"/>
              <w:ind w:left="466" w:hanging="438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review criteria for indication 2 have been revised.</w:t>
            </w:r>
          </w:p>
          <w:p w14:paraId="0B236C85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ind w:left="454" w:hanging="438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New references have been included.</w:t>
            </w:r>
          </w:p>
        </w:tc>
        <w:tc>
          <w:tcPr>
            <w:tcW w:w="1408" w:type="dxa"/>
          </w:tcPr>
          <w:p w14:paraId="6906D46D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/>
                <w:sz w:val="20"/>
                <w:szCs w:val="20"/>
              </w:rPr>
              <w:t>February 2024</w:t>
            </w:r>
          </w:p>
        </w:tc>
        <w:tc>
          <w:tcPr>
            <w:tcW w:w="1250" w:type="dxa"/>
          </w:tcPr>
          <w:p w14:paraId="46103695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/>
                <w:sz w:val="20"/>
                <w:szCs w:val="20"/>
              </w:rPr>
              <w:t>3.2</w:t>
            </w:r>
          </w:p>
        </w:tc>
      </w:tr>
      <w:tr w:rsidR="00B87985" w:rsidRPr="00B87985" w14:paraId="61EC8164" w14:textId="77777777" w:rsidTr="00B87985">
        <w:trPr>
          <w:cantSplit/>
        </w:trPr>
        <w:tc>
          <w:tcPr>
            <w:tcW w:w="2543" w:type="dxa"/>
            <w:vMerge/>
            <w:vAlign w:val="center"/>
          </w:tcPr>
          <w:p w14:paraId="76A3FF37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0C82E562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Initial therapy for GBS with significant disability and progression</w:t>
            </w:r>
          </w:p>
          <w:p w14:paraId="14A69295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Relapse in GBS treatment-related fluctuation with initial improvement and subsequent deterioration post IVIg treatment</w:t>
            </w:r>
          </w:p>
        </w:tc>
        <w:tc>
          <w:tcPr>
            <w:tcW w:w="6366" w:type="dxa"/>
          </w:tcPr>
          <w:p w14:paraId="55521786" w14:textId="77777777" w:rsidR="00B87985" w:rsidRPr="00B87985" w:rsidRDefault="00B87985" w:rsidP="00D70B32">
            <w:pPr>
              <w:pStyle w:val="pb-2"/>
              <w:numPr>
                <w:ilvl w:val="0"/>
                <w:numId w:val="15"/>
              </w:numPr>
              <w:spacing w:before="0" w:beforeAutospacing="0" w:after="0" w:afterAutospacing="0"/>
              <w:ind w:left="466" w:hanging="438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Intensivist added to list of specialists that can diagnose GBS, in addition to a Neurologist, Paediatrician or a General Medicine Physician. A second dose must still be on the advice of, and after assessment by, a neurologist.</w:t>
            </w:r>
          </w:p>
        </w:tc>
        <w:tc>
          <w:tcPr>
            <w:tcW w:w="1408" w:type="dxa"/>
          </w:tcPr>
          <w:p w14:paraId="495D4EC3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March</w:t>
            </w:r>
          </w:p>
          <w:p w14:paraId="1BA37BF0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2020</w:t>
            </w:r>
          </w:p>
        </w:tc>
        <w:tc>
          <w:tcPr>
            <w:tcW w:w="1250" w:type="dxa"/>
          </w:tcPr>
          <w:p w14:paraId="69D66BA5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4F3EDB99" w14:textId="77777777" w:rsidTr="00B87985">
        <w:trPr>
          <w:cantSplit/>
        </w:trPr>
        <w:tc>
          <w:tcPr>
            <w:tcW w:w="2543" w:type="dxa"/>
            <w:vAlign w:val="center"/>
          </w:tcPr>
          <w:p w14:paraId="492CBB1C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Inflammatory Myopathies: Inclusion Body Myositis (IBM)</w:t>
            </w:r>
          </w:p>
        </w:tc>
        <w:tc>
          <w:tcPr>
            <w:tcW w:w="4593" w:type="dxa"/>
            <w:vAlign w:val="center"/>
          </w:tcPr>
          <w:p w14:paraId="5412FC95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Patients with inclusion body myositis (IBM) who have dysphagia limiting dietary intake</w:t>
            </w:r>
          </w:p>
        </w:tc>
        <w:tc>
          <w:tcPr>
            <w:tcW w:w="6366" w:type="dxa"/>
          </w:tcPr>
          <w:p w14:paraId="7770D10B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Maintenance dose text has been clarified</w:t>
            </w:r>
          </w:p>
        </w:tc>
        <w:tc>
          <w:tcPr>
            <w:tcW w:w="1408" w:type="dxa"/>
          </w:tcPr>
          <w:p w14:paraId="3E1088EF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March</w:t>
            </w:r>
          </w:p>
          <w:p w14:paraId="1B620F12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2020</w:t>
            </w:r>
          </w:p>
        </w:tc>
        <w:tc>
          <w:tcPr>
            <w:tcW w:w="1250" w:type="dxa"/>
          </w:tcPr>
          <w:p w14:paraId="1BE8DBA4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3.2</w:t>
            </w:r>
          </w:p>
        </w:tc>
      </w:tr>
      <w:tr w:rsidR="00B87985" w:rsidRPr="00B87985" w14:paraId="2F549CB4" w14:textId="77777777" w:rsidTr="00B87985">
        <w:trPr>
          <w:cantSplit/>
        </w:trPr>
        <w:tc>
          <w:tcPr>
            <w:tcW w:w="2543" w:type="dxa"/>
            <w:vAlign w:val="center"/>
          </w:tcPr>
          <w:p w14:paraId="397B5F30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Inflammatory myopathies: polymyositis (PM), dermatomyositis (DM) and necrotising autoimmune myopathy (NAM)</w:t>
            </w:r>
          </w:p>
        </w:tc>
        <w:tc>
          <w:tcPr>
            <w:tcW w:w="4593" w:type="dxa"/>
            <w:vAlign w:val="center"/>
          </w:tcPr>
          <w:p w14:paraId="4CFF8FC6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 xml:space="preserve">Treatment of significant muscle weakness or dysphagia unresponsive to corticosteroids and other immunosuppressant agents in adults with biopsy-proven PM or DM or NAM or children with clinical, </w:t>
            </w:r>
            <w:proofErr w:type="gramStart"/>
            <w:r w:rsidRPr="00B87985">
              <w:rPr>
                <w:rFonts w:ascii="Aptos" w:hAnsi="Aptos" w:cstheme="minorHAnsi"/>
                <w:sz w:val="20"/>
                <w:szCs w:val="20"/>
              </w:rPr>
              <w:t>biochemical</w:t>
            </w:r>
            <w:proofErr w:type="gramEnd"/>
            <w:r w:rsidRPr="00B87985">
              <w:rPr>
                <w:rFonts w:ascii="Aptos" w:hAnsi="Aptos" w:cstheme="minorHAnsi"/>
                <w:sz w:val="20"/>
                <w:szCs w:val="20"/>
              </w:rPr>
              <w:t xml:space="preserve"> and imaging abnormalities consistent with definite PM or DM or NAM</w:t>
            </w:r>
          </w:p>
        </w:tc>
        <w:tc>
          <w:tcPr>
            <w:tcW w:w="6366" w:type="dxa"/>
          </w:tcPr>
          <w:p w14:paraId="033B88E2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Corticosteroids are now listed as one of the two immunosuppressant medications that can be trialled prior to Ig.</w:t>
            </w:r>
          </w:p>
          <w:p w14:paraId="1DFEF370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List order changed to most common order of trial.</w:t>
            </w:r>
          </w:p>
        </w:tc>
        <w:tc>
          <w:tcPr>
            <w:tcW w:w="1408" w:type="dxa"/>
          </w:tcPr>
          <w:p w14:paraId="58CDBF0B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March</w:t>
            </w:r>
          </w:p>
          <w:p w14:paraId="6826F20B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2020</w:t>
            </w:r>
          </w:p>
        </w:tc>
        <w:tc>
          <w:tcPr>
            <w:tcW w:w="1250" w:type="dxa"/>
          </w:tcPr>
          <w:p w14:paraId="39208329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3.2</w:t>
            </w:r>
          </w:p>
        </w:tc>
      </w:tr>
      <w:tr w:rsidR="00B87985" w:rsidRPr="00B87985" w14:paraId="14C74BAE" w14:textId="77777777" w:rsidTr="00B87985">
        <w:trPr>
          <w:cantSplit/>
        </w:trPr>
        <w:tc>
          <w:tcPr>
            <w:tcW w:w="2543" w:type="dxa"/>
            <w:vAlign w:val="center"/>
          </w:tcPr>
          <w:p w14:paraId="5C0C72F1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Multifocal motor neuropathy (MMN)</w:t>
            </w:r>
          </w:p>
        </w:tc>
        <w:tc>
          <w:tcPr>
            <w:tcW w:w="4593" w:type="dxa"/>
            <w:vAlign w:val="center"/>
          </w:tcPr>
          <w:p w14:paraId="64A26150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Relapse of MMN patients within six months of commencement of trial off immunoglobulin therapy</w:t>
            </w:r>
          </w:p>
        </w:tc>
        <w:tc>
          <w:tcPr>
            <w:tcW w:w="6366" w:type="dxa"/>
          </w:tcPr>
          <w:p w14:paraId="447C2B21" w14:textId="77777777" w:rsidR="00B87985" w:rsidRPr="00B87985" w:rsidRDefault="00B87985" w:rsidP="00D70B32">
            <w:pPr>
              <w:pStyle w:val="pb-2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Assessor instructions have been updated for leeway following a relapse.</w:t>
            </w:r>
          </w:p>
          <w:p w14:paraId="6A8F6E7F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References that are no longer available or not cited have been removed.</w:t>
            </w:r>
          </w:p>
        </w:tc>
        <w:tc>
          <w:tcPr>
            <w:tcW w:w="1408" w:type="dxa"/>
          </w:tcPr>
          <w:p w14:paraId="1B8EF25A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November 2023</w:t>
            </w:r>
          </w:p>
        </w:tc>
        <w:tc>
          <w:tcPr>
            <w:tcW w:w="1250" w:type="dxa"/>
          </w:tcPr>
          <w:p w14:paraId="55F435F8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24C1817D" w14:textId="77777777" w:rsidTr="00B87985">
        <w:trPr>
          <w:cantSplit/>
        </w:trPr>
        <w:tc>
          <w:tcPr>
            <w:tcW w:w="2543" w:type="dxa"/>
            <w:vAlign w:val="center"/>
          </w:tcPr>
          <w:p w14:paraId="3CAF0ADB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Myasthenia gravis (MG)</w:t>
            </w:r>
          </w:p>
        </w:tc>
        <w:tc>
          <w:tcPr>
            <w:tcW w:w="4593" w:type="dxa"/>
            <w:vAlign w:val="center"/>
          </w:tcPr>
          <w:p w14:paraId="224059B0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As maintenance therapy for moderate to severe MG when other treatments have been ineffective or caused intolerable side effects.</w:t>
            </w:r>
          </w:p>
        </w:tc>
        <w:tc>
          <w:tcPr>
            <w:tcW w:w="6366" w:type="dxa"/>
          </w:tcPr>
          <w:p w14:paraId="19BD7E85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spelling of 'Mycoplenolate mofetil' has been corrected to 'Mycophenolate mofetil'</w:t>
            </w:r>
          </w:p>
        </w:tc>
        <w:tc>
          <w:tcPr>
            <w:tcW w:w="1408" w:type="dxa"/>
          </w:tcPr>
          <w:p w14:paraId="15AB7608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November 2023</w:t>
            </w:r>
          </w:p>
        </w:tc>
        <w:tc>
          <w:tcPr>
            <w:tcW w:w="1250" w:type="dxa"/>
          </w:tcPr>
          <w:p w14:paraId="6DDBCFD8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36562396" w14:textId="77777777" w:rsidTr="00B87985">
        <w:trPr>
          <w:cantSplit/>
        </w:trPr>
        <w:tc>
          <w:tcPr>
            <w:tcW w:w="2543" w:type="dxa"/>
            <w:vAlign w:val="center"/>
          </w:tcPr>
          <w:p w14:paraId="2E91612B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eastAsia="Times New Roman" w:hAnsi="Aptos" w:cstheme="minorHAnsi"/>
                <w:sz w:val="20"/>
                <w:szCs w:val="20"/>
                <w:lang w:eastAsia="en-AU"/>
              </w:rPr>
              <w:t>Neuromyelitis optical spectrum disorders (NMOSD)</w:t>
            </w:r>
          </w:p>
        </w:tc>
        <w:tc>
          <w:tcPr>
            <w:tcW w:w="4593" w:type="dxa"/>
            <w:vAlign w:val="center"/>
          </w:tcPr>
          <w:p w14:paraId="1A497069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Further significant relapse of NMOSD post Ig therapy with significant disability and resistant to corticosteroids and other immunosuppressant agents</w:t>
            </w:r>
          </w:p>
        </w:tc>
        <w:tc>
          <w:tcPr>
            <w:tcW w:w="6366" w:type="dxa"/>
          </w:tcPr>
          <w:p w14:paraId="0E6A320E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assessor instructions have been updated in accordance with the condition update.</w:t>
            </w:r>
          </w:p>
        </w:tc>
        <w:tc>
          <w:tcPr>
            <w:tcW w:w="1408" w:type="dxa"/>
          </w:tcPr>
          <w:p w14:paraId="1B0F089F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November 2023</w:t>
            </w:r>
          </w:p>
        </w:tc>
        <w:tc>
          <w:tcPr>
            <w:tcW w:w="1250" w:type="dxa"/>
          </w:tcPr>
          <w:p w14:paraId="2ACA84D2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1CEDB791" w14:textId="77777777" w:rsidTr="00B87985">
        <w:trPr>
          <w:cantSplit/>
        </w:trPr>
        <w:tc>
          <w:tcPr>
            <w:tcW w:w="2543" w:type="dxa"/>
            <w:vAlign w:val="center"/>
          </w:tcPr>
          <w:p w14:paraId="21A00D48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Opsoclonus-myoclonus ataxia (OMA)</w:t>
            </w:r>
          </w:p>
        </w:tc>
        <w:tc>
          <w:tcPr>
            <w:tcW w:w="4593" w:type="dxa"/>
            <w:vAlign w:val="center"/>
          </w:tcPr>
          <w:p w14:paraId="142A4A31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Treatment of OMA initially diagnosed in a child</w:t>
            </w:r>
          </w:p>
        </w:tc>
        <w:tc>
          <w:tcPr>
            <w:tcW w:w="6366" w:type="dxa"/>
          </w:tcPr>
          <w:p w14:paraId="356CF4C5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Data entry error corrected to remove age limitation in BloodSTAR.</w:t>
            </w:r>
          </w:p>
        </w:tc>
        <w:tc>
          <w:tcPr>
            <w:tcW w:w="1408" w:type="dxa"/>
          </w:tcPr>
          <w:p w14:paraId="2FF70189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May</w:t>
            </w:r>
          </w:p>
          <w:p w14:paraId="3202A1B0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2019</w:t>
            </w:r>
          </w:p>
        </w:tc>
        <w:tc>
          <w:tcPr>
            <w:tcW w:w="1250" w:type="dxa"/>
          </w:tcPr>
          <w:p w14:paraId="2A01AA44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62B2C720" w14:textId="77777777" w:rsidTr="00B87985">
        <w:trPr>
          <w:cantSplit/>
          <w:trHeight w:val="557"/>
        </w:trPr>
        <w:tc>
          <w:tcPr>
            <w:tcW w:w="2543" w:type="dxa"/>
            <w:vMerge w:val="restart"/>
            <w:vAlign w:val="center"/>
          </w:tcPr>
          <w:p w14:paraId="66A7E661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Paediatric autoimmune neuropsychiatric disorder associated with streptococcal infections (PANDAS) or paediatric acute neuropsychiatric disorders (PANS)</w:t>
            </w:r>
          </w:p>
        </w:tc>
        <w:tc>
          <w:tcPr>
            <w:tcW w:w="4593" w:type="dxa"/>
            <w:vAlign w:val="center"/>
          </w:tcPr>
          <w:p w14:paraId="2DB8198B" w14:textId="6C82DB69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Bibliography</w:t>
            </w:r>
          </w:p>
        </w:tc>
        <w:tc>
          <w:tcPr>
            <w:tcW w:w="6366" w:type="dxa"/>
          </w:tcPr>
          <w:p w14:paraId="1EC1C693" w14:textId="1707DC8E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link for 'the modified Rankin scale' has been updated from Stroke Society of Australia to Stroke Engine of Canada</w:t>
            </w:r>
          </w:p>
        </w:tc>
        <w:tc>
          <w:tcPr>
            <w:tcW w:w="1408" w:type="dxa"/>
          </w:tcPr>
          <w:p w14:paraId="0FE55874" w14:textId="4418D60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  <w:highlight w:val="yellow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November 2023</w:t>
            </w:r>
          </w:p>
        </w:tc>
        <w:tc>
          <w:tcPr>
            <w:tcW w:w="1250" w:type="dxa"/>
          </w:tcPr>
          <w:p w14:paraId="6C7F176E" w14:textId="2D6E0C61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3.2</w:t>
            </w:r>
          </w:p>
        </w:tc>
      </w:tr>
      <w:tr w:rsidR="00B87985" w:rsidRPr="00B87985" w14:paraId="26A6E6D6" w14:textId="77777777" w:rsidTr="00B87985">
        <w:trPr>
          <w:cantSplit/>
        </w:trPr>
        <w:tc>
          <w:tcPr>
            <w:tcW w:w="2543" w:type="dxa"/>
            <w:vMerge/>
            <w:vAlign w:val="center"/>
          </w:tcPr>
          <w:p w14:paraId="0A88D065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3DAF7A2C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Relapse of paediatric autoimmune neuropsychiatric disorder associated with streptococcal infections (PANDAS) or paediatric acute neuropsychiatric disorders (PANS) symptoms within three months of commencement of trial off Ig therapy</w:t>
            </w:r>
          </w:p>
        </w:tc>
        <w:tc>
          <w:tcPr>
            <w:tcW w:w="6366" w:type="dxa"/>
          </w:tcPr>
          <w:p w14:paraId="0FEECEC4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Qualifying Preamble has been updated to extend the time limitation to access Ig following trial off therapy to six months.</w:t>
            </w:r>
          </w:p>
        </w:tc>
        <w:tc>
          <w:tcPr>
            <w:tcW w:w="1408" w:type="dxa"/>
          </w:tcPr>
          <w:p w14:paraId="577EF471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March</w:t>
            </w:r>
          </w:p>
          <w:p w14:paraId="3C747894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2020</w:t>
            </w:r>
          </w:p>
        </w:tc>
        <w:tc>
          <w:tcPr>
            <w:tcW w:w="1250" w:type="dxa"/>
          </w:tcPr>
          <w:p w14:paraId="5B42A453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3D82F129" w14:textId="77777777" w:rsidTr="00B87985">
        <w:trPr>
          <w:cantSplit/>
        </w:trPr>
        <w:tc>
          <w:tcPr>
            <w:tcW w:w="2543" w:type="dxa"/>
            <w:vAlign w:val="center"/>
          </w:tcPr>
          <w:p w14:paraId="6BF25BAF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eastAsia="Times New Roman" w:hAnsi="Aptos" w:cstheme="minorHAnsi"/>
                <w:sz w:val="20"/>
                <w:szCs w:val="20"/>
                <w:lang w:val="fr-FR" w:eastAsia="en-AU"/>
              </w:rPr>
              <w:t>Sjögren’s syndrome associated neuropathy</w:t>
            </w:r>
          </w:p>
        </w:tc>
        <w:tc>
          <w:tcPr>
            <w:tcW w:w="4593" w:type="dxa"/>
            <w:vAlign w:val="center"/>
          </w:tcPr>
          <w:p w14:paraId="5A64F990" w14:textId="69E19762" w:rsidR="00B87985" w:rsidRPr="002731E2" w:rsidRDefault="00B87985" w:rsidP="00D70B32">
            <w:pPr>
              <w:pStyle w:val="ListParagraph"/>
              <w:numPr>
                <w:ilvl w:val="0"/>
                <w:numId w:val="13"/>
              </w:numPr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Relapse of Sjögren’s syndrome associated neuropathy within six months of trial off Ig therapy</w:t>
            </w:r>
          </w:p>
          <w:p w14:paraId="6EC6E27A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Bibliography</w:t>
            </w:r>
          </w:p>
        </w:tc>
        <w:tc>
          <w:tcPr>
            <w:tcW w:w="6366" w:type="dxa"/>
          </w:tcPr>
          <w:p w14:paraId="5EEB4201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 xml:space="preserve">Assessor instructions have been updated for leeway following a relapse. </w:t>
            </w:r>
          </w:p>
          <w:p w14:paraId="024FF88F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link for 'the modified Rankin scale' has been updated from Stroke Society of Australia to Stroke Engine of Canada</w:t>
            </w:r>
          </w:p>
        </w:tc>
        <w:tc>
          <w:tcPr>
            <w:tcW w:w="1408" w:type="dxa"/>
          </w:tcPr>
          <w:p w14:paraId="50FF3168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November 2023</w:t>
            </w:r>
          </w:p>
        </w:tc>
        <w:tc>
          <w:tcPr>
            <w:tcW w:w="1250" w:type="dxa"/>
          </w:tcPr>
          <w:p w14:paraId="69174A1C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4BF53D06" w14:textId="77777777" w:rsidTr="00B87985">
        <w:trPr>
          <w:cantSplit/>
        </w:trPr>
        <w:tc>
          <w:tcPr>
            <w:tcW w:w="2543" w:type="dxa"/>
            <w:vAlign w:val="center"/>
          </w:tcPr>
          <w:p w14:paraId="636A7554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eastAsia="Times New Roman" w:hAnsi="Aptos" w:cstheme="minorHAnsi"/>
                <w:sz w:val="20"/>
                <w:szCs w:val="20"/>
                <w:lang w:eastAsia="en-AU"/>
              </w:rPr>
            </w:pPr>
            <w:r w:rsidRPr="00B87985">
              <w:rPr>
                <w:rFonts w:ascii="Aptos" w:eastAsia="Times New Roman" w:hAnsi="Aptos" w:cstheme="minorHAnsi"/>
                <w:sz w:val="20"/>
                <w:szCs w:val="20"/>
                <w:lang w:eastAsia="en-AU"/>
              </w:rPr>
              <w:t>Rasmussen encephalitis</w:t>
            </w:r>
          </w:p>
        </w:tc>
        <w:tc>
          <w:tcPr>
            <w:tcW w:w="4593" w:type="dxa"/>
            <w:vAlign w:val="center"/>
          </w:tcPr>
          <w:p w14:paraId="062403A4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Bibliography</w:t>
            </w:r>
          </w:p>
        </w:tc>
        <w:tc>
          <w:tcPr>
            <w:tcW w:w="6366" w:type="dxa"/>
          </w:tcPr>
          <w:p w14:paraId="2EAC622D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link for 'the modified Rankin scale' has been updated from Stroke Society of Australia to Stroke Engine of Canada</w:t>
            </w:r>
          </w:p>
        </w:tc>
        <w:tc>
          <w:tcPr>
            <w:tcW w:w="1408" w:type="dxa"/>
          </w:tcPr>
          <w:p w14:paraId="263F29A6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November 2023</w:t>
            </w:r>
          </w:p>
        </w:tc>
        <w:tc>
          <w:tcPr>
            <w:tcW w:w="1250" w:type="dxa"/>
          </w:tcPr>
          <w:p w14:paraId="602D7BDA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37737FA9" w14:textId="77777777" w:rsidTr="00B87985">
        <w:trPr>
          <w:cantSplit/>
        </w:trPr>
        <w:tc>
          <w:tcPr>
            <w:tcW w:w="2543" w:type="dxa"/>
            <w:vAlign w:val="center"/>
          </w:tcPr>
          <w:p w14:paraId="1A32FF6D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eastAsia="Times New Roman" w:hAnsi="Aptos" w:cstheme="minorHAnsi"/>
                <w:sz w:val="20"/>
                <w:szCs w:val="20"/>
                <w:lang w:eastAsia="en-AU"/>
              </w:rPr>
              <w:t>Stiff person syndrome</w:t>
            </w:r>
          </w:p>
        </w:tc>
        <w:tc>
          <w:tcPr>
            <w:tcW w:w="4593" w:type="dxa"/>
            <w:vAlign w:val="center"/>
          </w:tcPr>
          <w:p w14:paraId="317DAFD2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Bibliography</w:t>
            </w:r>
          </w:p>
        </w:tc>
        <w:tc>
          <w:tcPr>
            <w:tcW w:w="6366" w:type="dxa"/>
          </w:tcPr>
          <w:p w14:paraId="3DCEE01C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link for 'the modified Rankin scale' has been updated from Stroke Society of Australia to Stroke Engine of Canada</w:t>
            </w:r>
          </w:p>
        </w:tc>
        <w:tc>
          <w:tcPr>
            <w:tcW w:w="1408" w:type="dxa"/>
          </w:tcPr>
          <w:p w14:paraId="44785D53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November 2023</w:t>
            </w:r>
          </w:p>
        </w:tc>
        <w:tc>
          <w:tcPr>
            <w:tcW w:w="1250" w:type="dxa"/>
          </w:tcPr>
          <w:p w14:paraId="58A11A1C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  <w:tr w:rsidR="00B87985" w:rsidRPr="00B87985" w14:paraId="5BD729E1" w14:textId="77777777" w:rsidTr="00B87985">
        <w:trPr>
          <w:cantSplit/>
        </w:trPr>
        <w:tc>
          <w:tcPr>
            <w:tcW w:w="2543" w:type="dxa"/>
            <w:vMerge w:val="restart"/>
            <w:vAlign w:val="center"/>
          </w:tcPr>
          <w:p w14:paraId="64F547EA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Susac syndrome</w:t>
            </w:r>
          </w:p>
        </w:tc>
        <w:tc>
          <w:tcPr>
            <w:tcW w:w="4593" w:type="dxa"/>
            <w:vAlign w:val="center"/>
          </w:tcPr>
          <w:p w14:paraId="30D4CDD3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Bibliography</w:t>
            </w:r>
          </w:p>
        </w:tc>
        <w:tc>
          <w:tcPr>
            <w:tcW w:w="6366" w:type="dxa"/>
          </w:tcPr>
          <w:p w14:paraId="6EE8EE1E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The link for 'the modified Rankin scale' has been updated from Stroke Society of Australia to Stroke Engine of Canada</w:t>
            </w:r>
          </w:p>
        </w:tc>
        <w:tc>
          <w:tcPr>
            <w:tcW w:w="1408" w:type="dxa"/>
          </w:tcPr>
          <w:p w14:paraId="7903E643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November 2023</w:t>
            </w:r>
          </w:p>
        </w:tc>
        <w:tc>
          <w:tcPr>
            <w:tcW w:w="1250" w:type="dxa"/>
          </w:tcPr>
          <w:p w14:paraId="25A591CD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3.2</w:t>
            </w:r>
          </w:p>
        </w:tc>
      </w:tr>
      <w:tr w:rsidR="00B87985" w:rsidRPr="00B87985" w14:paraId="72377F70" w14:textId="77777777" w:rsidTr="00B87985">
        <w:trPr>
          <w:cantSplit/>
        </w:trPr>
        <w:tc>
          <w:tcPr>
            <w:tcW w:w="2543" w:type="dxa"/>
            <w:vMerge/>
            <w:vAlign w:val="center"/>
          </w:tcPr>
          <w:p w14:paraId="686E96B8" w14:textId="77777777" w:rsidR="00B87985" w:rsidRPr="00B87985" w:rsidRDefault="00B87985" w:rsidP="00D70B32">
            <w:pPr>
              <w:tabs>
                <w:tab w:val="left" w:pos="902"/>
              </w:tabs>
              <w:ind w:left="27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759905F4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Probable or definite Susac syndrome in concurrence with high dose corticosteroids</w:t>
            </w:r>
          </w:p>
        </w:tc>
        <w:tc>
          <w:tcPr>
            <w:tcW w:w="6366" w:type="dxa"/>
          </w:tcPr>
          <w:p w14:paraId="0A865E2D" w14:textId="77777777" w:rsidR="00B87985" w:rsidRPr="00B87985" w:rsidRDefault="00B87985" w:rsidP="00D70B32">
            <w:pPr>
              <w:pStyle w:val="ListParagraph"/>
              <w:numPr>
                <w:ilvl w:val="0"/>
                <w:numId w:val="6"/>
              </w:numPr>
              <w:tabs>
                <w:tab w:val="left" w:pos="902"/>
              </w:tabs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Data entry error corrected in the Modified Rankin Scale controls for Review Criteria.</w:t>
            </w:r>
          </w:p>
        </w:tc>
        <w:tc>
          <w:tcPr>
            <w:tcW w:w="1408" w:type="dxa"/>
          </w:tcPr>
          <w:p w14:paraId="5FD793A0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March</w:t>
            </w:r>
          </w:p>
          <w:p w14:paraId="6C475290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2020</w:t>
            </w:r>
          </w:p>
        </w:tc>
        <w:tc>
          <w:tcPr>
            <w:tcW w:w="1250" w:type="dxa"/>
          </w:tcPr>
          <w:p w14:paraId="07375EAB" w14:textId="77777777" w:rsidR="00B87985" w:rsidRPr="00B87985" w:rsidRDefault="00B87985" w:rsidP="00D70B32">
            <w:pPr>
              <w:tabs>
                <w:tab w:val="left" w:pos="902"/>
              </w:tabs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87985">
              <w:rPr>
                <w:rFonts w:ascii="Aptos" w:hAnsi="Aptos" w:cstheme="minorHAnsi"/>
                <w:sz w:val="20"/>
                <w:szCs w:val="20"/>
              </w:rPr>
              <w:t>3.1</w:t>
            </w:r>
          </w:p>
        </w:tc>
      </w:tr>
    </w:tbl>
    <w:p w14:paraId="7897F384" w14:textId="77777777" w:rsidR="00AE562B" w:rsidRPr="00B87985" w:rsidRDefault="00AE562B" w:rsidP="00AE562B">
      <w:pPr>
        <w:rPr>
          <w:rFonts w:ascii="Aptos" w:hAnsi="Aptos" w:cstheme="minorHAnsi"/>
          <w:sz w:val="20"/>
          <w:szCs w:val="20"/>
        </w:rPr>
      </w:pPr>
    </w:p>
    <w:sectPr w:rsidR="00AE562B" w:rsidRPr="00B87985" w:rsidSect="000B49BD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 w:code="9"/>
      <w:pgMar w:top="1440" w:right="1440" w:bottom="1133" w:left="1440" w:header="708" w:footer="708" w:gutter="0"/>
      <w:pgBorders w:offsetFrom="page">
        <w:top w:val="single" w:sz="48" w:space="15" w:color="F79646" w:themeColor="accent6"/>
        <w:left w:val="single" w:sz="48" w:space="15" w:color="F79646" w:themeColor="accent6"/>
        <w:bottom w:val="single" w:sz="48" w:space="15" w:color="F79646" w:themeColor="accent6"/>
        <w:right w:val="single" w:sz="48" w:space="15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C923" w14:textId="77777777" w:rsidR="0010725E" w:rsidRDefault="0010725E" w:rsidP="00856708">
      <w:pPr>
        <w:spacing w:after="0"/>
      </w:pPr>
      <w:r>
        <w:separator/>
      </w:r>
    </w:p>
  </w:endnote>
  <w:endnote w:type="continuationSeparator" w:id="0">
    <w:p w14:paraId="2627A34B" w14:textId="77777777" w:rsidR="0010725E" w:rsidRDefault="0010725E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A758" w14:textId="7E95DAED" w:rsidR="00E66B16" w:rsidRDefault="00C16D7B" w:rsidP="00C16D7B">
    <w:pPr>
      <w:pStyle w:val="Footer"/>
      <w:tabs>
        <w:tab w:val="clear" w:pos="9026"/>
        <w:tab w:val="right" w:pos="9356"/>
      </w:tabs>
      <w:ind w:right="-284"/>
      <w:rPr>
        <w:sz w:val="20"/>
        <w:szCs w:val="20"/>
      </w:rPr>
    </w:pPr>
    <w:r>
      <w:rPr>
        <w:rStyle w:val="Heading3Char"/>
      </w:rPr>
      <w:tab/>
    </w:r>
    <w:r w:rsidR="00856708" w:rsidRPr="00856708">
      <w:rPr>
        <w:sz w:val="20"/>
        <w:szCs w:val="20"/>
      </w:rPr>
      <w:tab/>
    </w:r>
    <w:r>
      <w:rPr>
        <w:sz w:val="20"/>
        <w:szCs w:val="20"/>
      </w:rPr>
      <w:t xml:space="preserve"> </w:t>
    </w:r>
    <w:r w:rsidR="00E66B16">
      <w:rPr>
        <w:sz w:val="20"/>
        <w:szCs w:val="20"/>
      </w:rPr>
      <w:t xml:space="preserve">      </w:t>
    </w:r>
    <w:r w:rsidR="00601625">
      <w:rPr>
        <w:sz w:val="20"/>
        <w:szCs w:val="20"/>
      </w:rPr>
      <w:tab/>
    </w:r>
    <w:r>
      <w:rPr>
        <w:sz w:val="20"/>
        <w:szCs w:val="20"/>
      </w:rPr>
      <w:t xml:space="preserve"> </w:t>
    </w:r>
  </w:p>
  <w:tbl>
    <w:tblPr>
      <w:tblStyle w:val="TableGrid"/>
      <w:tblW w:w="1502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5"/>
      <w:gridCol w:w="3005"/>
      <w:gridCol w:w="3006"/>
    </w:tblGrid>
    <w:tr w:rsidR="00E66B16" w14:paraId="2A0DDD41" w14:textId="77777777" w:rsidTr="00E66B16">
      <w:tc>
        <w:tcPr>
          <w:tcW w:w="3005" w:type="dxa"/>
        </w:tcPr>
        <w:p w14:paraId="2A20D80F" w14:textId="679BFF7A" w:rsidR="00E66B16" w:rsidRDefault="00E66B16" w:rsidP="00E66B16">
          <w:pPr>
            <w:pStyle w:val="Footer"/>
            <w:tabs>
              <w:tab w:val="clear" w:pos="9026"/>
              <w:tab w:val="right" w:pos="9356"/>
            </w:tabs>
            <w:ind w:right="-284"/>
            <w:rPr>
              <w:sz w:val="20"/>
              <w:szCs w:val="20"/>
            </w:rPr>
          </w:pPr>
          <w:r w:rsidRPr="00C16D7B">
            <w:rPr>
              <w:noProof/>
              <w:sz w:val="20"/>
              <w:szCs w:val="20"/>
              <w:lang w:eastAsia="en-AU"/>
            </w:rPr>
            <w:drawing>
              <wp:inline distT="0" distB="0" distL="0" distR="0" wp14:anchorId="66A4CD06" wp14:editId="359D7DA3">
                <wp:extent cx="1339851" cy="371475"/>
                <wp:effectExtent l="0" t="0" r="0" b="0"/>
                <wp:docPr id="1182484137" name="Picture 1182484137" descr="\\nba.local\data\Users\83449654\My Documents\My Picture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nba.local\data\Users\83449654\My Documents\My Picture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629" cy="386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90D7377" w14:textId="3DA97088" w:rsidR="00E66B16" w:rsidRDefault="008C4F8D" w:rsidP="00E66B16">
          <w:pPr>
            <w:pStyle w:val="Footer"/>
            <w:tabs>
              <w:tab w:val="clear" w:pos="9026"/>
              <w:tab w:val="right" w:pos="9356"/>
            </w:tabs>
            <w:spacing w:before="120" w:after="120"/>
            <w:ind w:right="-284"/>
            <w:rPr>
              <w:sz w:val="20"/>
              <w:szCs w:val="20"/>
            </w:rPr>
          </w:pPr>
          <w:hyperlink r:id="rId2" w:history="1">
            <w:r w:rsidR="00E66B16" w:rsidRPr="00961955">
              <w:rPr>
                <w:rStyle w:val="Hyperlink"/>
                <w:rFonts w:ascii="Arial" w:hAnsi="Arial" w:cs="Arial"/>
                <w:sz w:val="28"/>
                <w:szCs w:val="28"/>
              </w:rPr>
              <w:t>www.blood.gov.au</w:t>
            </w:r>
          </w:hyperlink>
        </w:p>
      </w:tc>
      <w:tc>
        <w:tcPr>
          <w:tcW w:w="3005" w:type="dxa"/>
        </w:tcPr>
        <w:p w14:paraId="6C9CF9BA" w14:textId="11B47089" w:rsidR="00E66B16" w:rsidRPr="00601625" w:rsidRDefault="00E66B16" w:rsidP="00E66B16">
          <w:pPr>
            <w:spacing w:before="60"/>
            <w:jc w:val="center"/>
            <w:rPr>
              <w:sz w:val="14"/>
            </w:rPr>
          </w:pPr>
          <w:r w:rsidRPr="00601625">
            <w:rPr>
              <w:sz w:val="14"/>
            </w:rPr>
            <w:t xml:space="preserve">Visit </w:t>
          </w:r>
          <w:hyperlink r:id="rId3" w:history="1">
            <w:r w:rsidR="000B49BD">
              <w:rPr>
                <w:rStyle w:val="Hyperlink"/>
                <w:sz w:val="14"/>
              </w:rPr>
              <w:t>www.blood.gov.au</w:t>
            </w:r>
          </w:hyperlink>
        </w:p>
        <w:p w14:paraId="5D254C3B" w14:textId="77777777" w:rsidR="00E66B16" w:rsidRPr="00601625" w:rsidRDefault="00E66B16" w:rsidP="00E66B16">
          <w:pPr>
            <w:jc w:val="center"/>
            <w:rPr>
              <w:sz w:val="14"/>
            </w:rPr>
          </w:pPr>
          <w:r w:rsidRPr="00601625">
            <w:rPr>
              <w:sz w:val="14"/>
            </w:rPr>
            <w:t>for more information about</w:t>
          </w:r>
        </w:p>
        <w:p w14:paraId="24138907" w14:textId="4FED4CF9" w:rsidR="00E66B16" w:rsidRPr="00E66B16" w:rsidRDefault="00E66B16" w:rsidP="00E66B16">
          <w:pPr>
            <w:jc w:val="center"/>
            <w:rPr>
              <w:sz w:val="18"/>
            </w:rPr>
          </w:pPr>
          <w:r w:rsidRPr="00601625">
            <w:rPr>
              <w:sz w:val="14"/>
            </w:rPr>
            <w:t>Ig Governance and the Criteria</w:t>
          </w:r>
        </w:p>
      </w:tc>
      <w:tc>
        <w:tcPr>
          <w:tcW w:w="3005" w:type="dxa"/>
        </w:tcPr>
        <w:p w14:paraId="1C7CA17E" w14:textId="2BE81C50" w:rsidR="00E66B16" w:rsidRDefault="00E66B16" w:rsidP="00E66B16">
          <w:pPr>
            <w:pStyle w:val="Footer"/>
            <w:tabs>
              <w:tab w:val="clear" w:pos="9026"/>
              <w:tab w:val="right" w:pos="9356"/>
            </w:tabs>
            <w:ind w:right="-284"/>
            <w:jc w:val="center"/>
            <w:rPr>
              <w:sz w:val="20"/>
              <w:szCs w:val="20"/>
            </w:rPr>
          </w:pPr>
          <w:r w:rsidRPr="00C16D7B">
            <w:rPr>
              <w:noProof/>
              <w:sz w:val="20"/>
              <w:szCs w:val="20"/>
              <w:lang w:eastAsia="en-AU"/>
            </w:rPr>
            <w:drawing>
              <wp:inline distT="0" distB="0" distL="0" distR="0" wp14:anchorId="0293018F" wp14:editId="5CAF6BEB">
                <wp:extent cx="1181100" cy="410493"/>
                <wp:effectExtent l="0" t="0" r="0" b="8890"/>
                <wp:docPr id="1980848200" name="Picture 1980848200" descr="G:\Logos\IgGovernance\Ig Governance(300 dp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Logos\IgGovernance\Ig Governance(300 dp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832" cy="422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744C3157" w14:textId="6FE9FF90" w:rsidR="00E66B16" w:rsidRDefault="00E66B16" w:rsidP="00E66B16">
          <w:pPr>
            <w:pStyle w:val="Footer"/>
            <w:tabs>
              <w:tab w:val="clear" w:pos="9026"/>
              <w:tab w:val="right" w:pos="9356"/>
            </w:tabs>
            <w:spacing w:before="160"/>
            <w:ind w:right="-284"/>
            <w:jc w:val="center"/>
            <w:rPr>
              <w:sz w:val="20"/>
              <w:szCs w:val="20"/>
            </w:rPr>
          </w:pPr>
          <w:r w:rsidRPr="00C16D7B">
            <w:rPr>
              <w:noProof/>
              <w:sz w:val="20"/>
              <w:szCs w:val="20"/>
              <w:lang w:eastAsia="en-AU"/>
            </w:rPr>
            <w:drawing>
              <wp:inline distT="0" distB="0" distL="0" distR="0" wp14:anchorId="7EFE308B" wp14:editId="052D5B08">
                <wp:extent cx="1538696" cy="231699"/>
                <wp:effectExtent l="0" t="0" r="4445" b="0"/>
                <wp:docPr id="436641666" name="Picture 436641666" descr="G:\Logos\NBA\NBA System Logos\BloodStar\BloodStar logo\BLOOD_STAR_GRADIENT_v13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:\Logos\NBA\NBA System Logos\BloodStar\BloodStar logo\BLOOD_STAR_GRADIENT_v13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5877" cy="252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DC5162" w14:textId="0FAF6990" w:rsidR="00856708" w:rsidRPr="00856708" w:rsidRDefault="00601625" w:rsidP="00C16D7B">
    <w:pPr>
      <w:pStyle w:val="Footer"/>
      <w:tabs>
        <w:tab w:val="clear" w:pos="9026"/>
        <w:tab w:val="right" w:pos="9356"/>
      </w:tabs>
      <w:ind w:right="-284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E66B16">
      <w:rPr>
        <w:sz w:val="20"/>
        <w:szCs w:val="20"/>
      </w:rPr>
      <w:tab/>
    </w:r>
    <w:r w:rsidR="00E66B16">
      <w:rPr>
        <w:sz w:val="20"/>
        <w:szCs w:val="20"/>
      </w:rPr>
      <w:tab/>
    </w:r>
    <w:r w:rsidR="00E66B16">
      <w:rPr>
        <w:sz w:val="20"/>
        <w:szCs w:val="20"/>
      </w:rPr>
      <w:tab/>
    </w:r>
    <w:r w:rsidR="00E66B16">
      <w:rPr>
        <w:sz w:val="20"/>
        <w:szCs w:val="20"/>
      </w:rPr>
      <w:tab/>
    </w:r>
    <w:r w:rsidR="00E66B16">
      <w:rPr>
        <w:sz w:val="20"/>
        <w:szCs w:val="20"/>
      </w:rPr>
      <w:tab/>
    </w:r>
    <w:r w:rsidR="00E66B16">
      <w:rPr>
        <w:sz w:val="20"/>
        <w:szCs w:val="20"/>
      </w:rPr>
      <w:tab/>
    </w:r>
    <w:r w:rsidR="00E66B16">
      <w:rPr>
        <w:sz w:val="20"/>
        <w:szCs w:val="20"/>
      </w:rPr>
      <w:tab/>
    </w:r>
    <w:r w:rsidR="00856708" w:rsidRPr="00856708">
      <w:rPr>
        <w:sz w:val="20"/>
        <w:szCs w:val="20"/>
      </w:rPr>
      <w:t xml:space="preserve">pg. </w:t>
    </w:r>
    <w:r w:rsidR="00856708" w:rsidRPr="00856708">
      <w:rPr>
        <w:sz w:val="20"/>
        <w:szCs w:val="20"/>
      </w:rPr>
      <w:fldChar w:fldCharType="begin"/>
    </w:r>
    <w:r w:rsidR="00856708" w:rsidRPr="00856708">
      <w:rPr>
        <w:sz w:val="20"/>
        <w:szCs w:val="20"/>
      </w:rPr>
      <w:instrText xml:space="preserve"> PAGE    \* MERGEFORMAT </w:instrText>
    </w:r>
    <w:r w:rsidR="00856708" w:rsidRPr="00856708">
      <w:rPr>
        <w:sz w:val="20"/>
        <w:szCs w:val="20"/>
      </w:rPr>
      <w:fldChar w:fldCharType="separate"/>
    </w:r>
    <w:r w:rsidR="00A3643C">
      <w:rPr>
        <w:noProof/>
        <w:sz w:val="20"/>
        <w:szCs w:val="20"/>
      </w:rPr>
      <w:t>2</w:t>
    </w:r>
    <w:r w:rsidR="00856708" w:rsidRPr="008567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8501" w14:textId="77777777" w:rsidR="0010725E" w:rsidRDefault="0010725E" w:rsidP="00856708">
      <w:pPr>
        <w:spacing w:after="0"/>
      </w:pPr>
      <w:r>
        <w:separator/>
      </w:r>
    </w:p>
  </w:footnote>
  <w:footnote w:type="continuationSeparator" w:id="0">
    <w:p w14:paraId="6AB57A8F" w14:textId="77777777" w:rsidR="0010725E" w:rsidRDefault="0010725E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187" w14:textId="2FC0B6F3" w:rsidR="003B12DF" w:rsidRDefault="003B12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37498B" wp14:editId="758A13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CD3AD" w14:textId="79B18A28" w:rsidR="003B12DF" w:rsidRPr="003B12DF" w:rsidRDefault="003B12DF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3B12DF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7498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CCTY70IQIAAEYEAAAOAAAAAAAAAAAAAAAAAC4CAABkcnMvZTJvRG9jLnhtbFBLAQItABQA&#10;BgAIAAAAIQCEsNMo1gAAAAMBAAAPAAAAAAAAAAAAAAAAAHsEAABkcnMvZG93bnJldi54bWxQSwUG&#10;AAAAAAQABADzAAAAfgUAAAAA&#10;" filled="f" stroked="f">
              <v:textbox style="mso-fit-shape-to-text:t" inset="0,0,0,0">
                <w:txbxContent>
                  <w:p w14:paraId="73DCD3AD" w14:textId="79B18A28" w:rsidR="003B12DF" w:rsidRPr="003B12DF" w:rsidRDefault="003B12DF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3B12DF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72D2" w14:textId="0D66C884" w:rsidR="003B12DF" w:rsidRDefault="003B12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273ABB" wp14:editId="21CFE3AE">
              <wp:simplePos x="914400" y="45027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9" name="Text Box 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E4BCE" w14:textId="2CAF2143" w:rsidR="003B12DF" w:rsidRPr="003B12DF" w:rsidRDefault="003B12DF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3B12DF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73AB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tKWoE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EFE4BCE" w14:textId="2CAF2143" w:rsidR="003B12DF" w:rsidRPr="003B12DF" w:rsidRDefault="003B12DF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3B12DF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DB08" w14:textId="44710360" w:rsidR="003B12DF" w:rsidRDefault="003B12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9B475A" wp14:editId="42FFCF40">
              <wp:simplePos x="914400" y="45027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224B7" w14:textId="70877837" w:rsidR="003B12DF" w:rsidRPr="003B12DF" w:rsidRDefault="003B12DF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3B12DF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B47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BpvG8c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5C4224B7" w14:textId="70877837" w:rsidR="003B12DF" w:rsidRPr="003B12DF" w:rsidRDefault="003B12DF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3B12DF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B5FC9C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8.15pt;height:12.5pt" o:bullet="t">
        <v:imagedata r:id="rId1" o:title="black drop"/>
      </v:shape>
    </w:pict>
  </w:numPicBullet>
  <w:abstractNum w:abstractNumId="0" w15:restartNumberingAfterBreak="0">
    <w:nsid w:val="02953113"/>
    <w:multiLevelType w:val="hybridMultilevel"/>
    <w:tmpl w:val="8CFC1B80"/>
    <w:lvl w:ilvl="0" w:tplc="D1E01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230C9"/>
    <w:multiLevelType w:val="hybridMultilevel"/>
    <w:tmpl w:val="7E9CBE24"/>
    <w:lvl w:ilvl="0" w:tplc="B72222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32C4F"/>
    <w:multiLevelType w:val="hybridMultilevel"/>
    <w:tmpl w:val="0E0AD6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243D7"/>
    <w:multiLevelType w:val="hybridMultilevel"/>
    <w:tmpl w:val="29BC8ABC"/>
    <w:lvl w:ilvl="0" w:tplc="B2EA4808">
      <w:numFmt w:val="bullet"/>
      <w:lvlText w:val="•"/>
      <w:lvlJc w:val="left"/>
      <w:pPr>
        <w:ind w:left="1080" w:hanging="720"/>
      </w:pPr>
      <w:rPr>
        <w:rFonts w:ascii="Calibri" w:eastAsia="Dotum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431082A"/>
    <w:multiLevelType w:val="hybridMultilevel"/>
    <w:tmpl w:val="A81A976E"/>
    <w:lvl w:ilvl="0" w:tplc="265AB1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15F5"/>
    <w:multiLevelType w:val="hybridMultilevel"/>
    <w:tmpl w:val="E0C439FA"/>
    <w:lvl w:ilvl="0" w:tplc="265AB1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77F94"/>
    <w:multiLevelType w:val="hybridMultilevel"/>
    <w:tmpl w:val="3B5A5942"/>
    <w:lvl w:ilvl="0" w:tplc="D1E01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F911AD"/>
    <w:multiLevelType w:val="hybridMultilevel"/>
    <w:tmpl w:val="1DE07D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75FD8"/>
    <w:multiLevelType w:val="hybridMultilevel"/>
    <w:tmpl w:val="484CF6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E3B20"/>
    <w:multiLevelType w:val="hybridMultilevel"/>
    <w:tmpl w:val="FE884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12183"/>
    <w:multiLevelType w:val="hybridMultilevel"/>
    <w:tmpl w:val="67988CB8"/>
    <w:lvl w:ilvl="0" w:tplc="8976DBC4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F79646" w:themeColor="accent6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F4B7FD4"/>
    <w:multiLevelType w:val="hybridMultilevel"/>
    <w:tmpl w:val="C75E1C4C"/>
    <w:lvl w:ilvl="0" w:tplc="265AB132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F79646" w:themeColor="accent6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1A62B5"/>
    <w:multiLevelType w:val="hybridMultilevel"/>
    <w:tmpl w:val="256042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8"/>
  </w:num>
  <w:num w:numId="4">
    <w:abstractNumId w:val="16"/>
  </w:num>
  <w:num w:numId="5">
    <w:abstractNumId w:val="4"/>
  </w:num>
  <w:num w:numId="6">
    <w:abstractNumId w:val="0"/>
  </w:num>
  <w:num w:numId="7">
    <w:abstractNumId w:val="10"/>
  </w:num>
  <w:num w:numId="8">
    <w:abstractNumId w:val="15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9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83"/>
    <w:rsid w:val="000026DC"/>
    <w:rsid w:val="000040AF"/>
    <w:rsid w:val="00004552"/>
    <w:rsid w:val="00005190"/>
    <w:rsid w:val="00024644"/>
    <w:rsid w:val="00024BFC"/>
    <w:rsid w:val="00025DC3"/>
    <w:rsid w:val="00036EDC"/>
    <w:rsid w:val="0004025F"/>
    <w:rsid w:val="00046E2D"/>
    <w:rsid w:val="00061BDB"/>
    <w:rsid w:val="00063B1F"/>
    <w:rsid w:val="00072A27"/>
    <w:rsid w:val="0009050E"/>
    <w:rsid w:val="000A03B2"/>
    <w:rsid w:val="000A2BBA"/>
    <w:rsid w:val="000B407F"/>
    <w:rsid w:val="000B49BD"/>
    <w:rsid w:val="000B676E"/>
    <w:rsid w:val="000C033E"/>
    <w:rsid w:val="000C5D18"/>
    <w:rsid w:val="000E4E8C"/>
    <w:rsid w:val="000F1000"/>
    <w:rsid w:val="000F1766"/>
    <w:rsid w:val="0010725E"/>
    <w:rsid w:val="00110987"/>
    <w:rsid w:val="001120A9"/>
    <w:rsid w:val="001131E3"/>
    <w:rsid w:val="0011478F"/>
    <w:rsid w:val="001209A2"/>
    <w:rsid w:val="00122186"/>
    <w:rsid w:val="00123568"/>
    <w:rsid w:val="00140FF0"/>
    <w:rsid w:val="00155A2E"/>
    <w:rsid w:val="00156490"/>
    <w:rsid w:val="0016364D"/>
    <w:rsid w:val="00174FB6"/>
    <w:rsid w:val="001776E5"/>
    <w:rsid w:val="00192242"/>
    <w:rsid w:val="001C6473"/>
    <w:rsid w:val="001E79F4"/>
    <w:rsid w:val="001F5F9B"/>
    <w:rsid w:val="002054D8"/>
    <w:rsid w:val="0021024D"/>
    <w:rsid w:val="002139F8"/>
    <w:rsid w:val="00214525"/>
    <w:rsid w:val="00215F8B"/>
    <w:rsid w:val="002174D5"/>
    <w:rsid w:val="002311CA"/>
    <w:rsid w:val="00235029"/>
    <w:rsid w:val="00237652"/>
    <w:rsid w:val="00240B2C"/>
    <w:rsid w:val="0024258E"/>
    <w:rsid w:val="00244B02"/>
    <w:rsid w:val="0025349A"/>
    <w:rsid w:val="002535A9"/>
    <w:rsid w:val="002537F2"/>
    <w:rsid w:val="00253DA3"/>
    <w:rsid w:val="00256293"/>
    <w:rsid w:val="002637A4"/>
    <w:rsid w:val="002731E2"/>
    <w:rsid w:val="0028625B"/>
    <w:rsid w:val="00286E5A"/>
    <w:rsid w:val="00295CD3"/>
    <w:rsid w:val="002B2383"/>
    <w:rsid w:val="002C116E"/>
    <w:rsid w:val="002C7F1F"/>
    <w:rsid w:val="002D1A3D"/>
    <w:rsid w:val="002D4B3C"/>
    <w:rsid w:val="002E1139"/>
    <w:rsid w:val="002F1DB6"/>
    <w:rsid w:val="003002DA"/>
    <w:rsid w:val="00305238"/>
    <w:rsid w:val="003059F2"/>
    <w:rsid w:val="00310745"/>
    <w:rsid w:val="003120F1"/>
    <w:rsid w:val="00326AA1"/>
    <w:rsid w:val="00333157"/>
    <w:rsid w:val="0034698B"/>
    <w:rsid w:val="00360D78"/>
    <w:rsid w:val="00382CB6"/>
    <w:rsid w:val="00393A6B"/>
    <w:rsid w:val="003A21D6"/>
    <w:rsid w:val="003A718B"/>
    <w:rsid w:val="003B12DF"/>
    <w:rsid w:val="003D137F"/>
    <w:rsid w:val="003D27F1"/>
    <w:rsid w:val="003D32D1"/>
    <w:rsid w:val="003F1554"/>
    <w:rsid w:val="00415173"/>
    <w:rsid w:val="00417CC1"/>
    <w:rsid w:val="0042611D"/>
    <w:rsid w:val="00433E52"/>
    <w:rsid w:val="00436123"/>
    <w:rsid w:val="00455B0E"/>
    <w:rsid w:val="004570C0"/>
    <w:rsid w:val="004575C7"/>
    <w:rsid w:val="004634C2"/>
    <w:rsid w:val="00463F12"/>
    <w:rsid w:val="00466337"/>
    <w:rsid w:val="00486DC1"/>
    <w:rsid w:val="00487A31"/>
    <w:rsid w:val="004A28BE"/>
    <w:rsid w:val="004B4A08"/>
    <w:rsid w:val="004B5F59"/>
    <w:rsid w:val="004B6A97"/>
    <w:rsid w:val="004C401A"/>
    <w:rsid w:val="004C6FEB"/>
    <w:rsid w:val="004D0D8A"/>
    <w:rsid w:val="004D4636"/>
    <w:rsid w:val="004E528F"/>
    <w:rsid w:val="004E5B97"/>
    <w:rsid w:val="004F6CBE"/>
    <w:rsid w:val="00504C7B"/>
    <w:rsid w:val="0050673D"/>
    <w:rsid w:val="00531BE2"/>
    <w:rsid w:val="0053367D"/>
    <w:rsid w:val="00540020"/>
    <w:rsid w:val="005407FA"/>
    <w:rsid w:val="00543137"/>
    <w:rsid w:val="005534EE"/>
    <w:rsid w:val="005558DB"/>
    <w:rsid w:val="00560E04"/>
    <w:rsid w:val="005614A6"/>
    <w:rsid w:val="00562C39"/>
    <w:rsid w:val="00563873"/>
    <w:rsid w:val="005716D5"/>
    <w:rsid w:val="00580AC3"/>
    <w:rsid w:val="00582276"/>
    <w:rsid w:val="00582FD3"/>
    <w:rsid w:val="005869C4"/>
    <w:rsid w:val="00587037"/>
    <w:rsid w:val="00587A32"/>
    <w:rsid w:val="005A02EB"/>
    <w:rsid w:val="005A134E"/>
    <w:rsid w:val="005A35C7"/>
    <w:rsid w:val="005B7B8C"/>
    <w:rsid w:val="005F0DA6"/>
    <w:rsid w:val="00601625"/>
    <w:rsid w:val="0061635B"/>
    <w:rsid w:val="006178F7"/>
    <w:rsid w:val="00632999"/>
    <w:rsid w:val="00637749"/>
    <w:rsid w:val="00666957"/>
    <w:rsid w:val="006678D1"/>
    <w:rsid w:val="006A15AD"/>
    <w:rsid w:val="006A2447"/>
    <w:rsid w:val="006A70A5"/>
    <w:rsid w:val="006B05A0"/>
    <w:rsid w:val="006B2391"/>
    <w:rsid w:val="006D1118"/>
    <w:rsid w:val="006D7EAC"/>
    <w:rsid w:val="006E598E"/>
    <w:rsid w:val="006E7A3B"/>
    <w:rsid w:val="00725C72"/>
    <w:rsid w:val="007321E3"/>
    <w:rsid w:val="0073353D"/>
    <w:rsid w:val="00737C05"/>
    <w:rsid w:val="0074694A"/>
    <w:rsid w:val="00753AB8"/>
    <w:rsid w:val="0075585F"/>
    <w:rsid w:val="0075722E"/>
    <w:rsid w:val="00760B0E"/>
    <w:rsid w:val="007714B8"/>
    <w:rsid w:val="00781405"/>
    <w:rsid w:val="00787A76"/>
    <w:rsid w:val="007934E3"/>
    <w:rsid w:val="007A4335"/>
    <w:rsid w:val="007B1EEE"/>
    <w:rsid w:val="007B2C01"/>
    <w:rsid w:val="007B63F4"/>
    <w:rsid w:val="007C4CDD"/>
    <w:rsid w:val="007C5380"/>
    <w:rsid w:val="007C57A5"/>
    <w:rsid w:val="007C6251"/>
    <w:rsid w:val="007E7180"/>
    <w:rsid w:val="0080383D"/>
    <w:rsid w:val="008112AD"/>
    <w:rsid w:val="00812600"/>
    <w:rsid w:val="00816F63"/>
    <w:rsid w:val="00817FCC"/>
    <w:rsid w:val="00825E6F"/>
    <w:rsid w:val="00856708"/>
    <w:rsid w:val="00866A9E"/>
    <w:rsid w:val="008766E2"/>
    <w:rsid w:val="00893E0A"/>
    <w:rsid w:val="008951E1"/>
    <w:rsid w:val="008A67D8"/>
    <w:rsid w:val="008B4DB3"/>
    <w:rsid w:val="008C4F8D"/>
    <w:rsid w:val="008E2693"/>
    <w:rsid w:val="008F0F12"/>
    <w:rsid w:val="008F4ACF"/>
    <w:rsid w:val="00911603"/>
    <w:rsid w:val="00927E4B"/>
    <w:rsid w:val="00951B85"/>
    <w:rsid w:val="00954485"/>
    <w:rsid w:val="00967018"/>
    <w:rsid w:val="009734EA"/>
    <w:rsid w:val="00982148"/>
    <w:rsid w:val="00982C49"/>
    <w:rsid w:val="00985E68"/>
    <w:rsid w:val="00987B70"/>
    <w:rsid w:val="009A4601"/>
    <w:rsid w:val="009B0811"/>
    <w:rsid w:val="009B5876"/>
    <w:rsid w:val="009C08F7"/>
    <w:rsid w:val="009D7A34"/>
    <w:rsid w:val="009E38CC"/>
    <w:rsid w:val="00A01BA4"/>
    <w:rsid w:val="00A14C30"/>
    <w:rsid w:val="00A21958"/>
    <w:rsid w:val="00A330E5"/>
    <w:rsid w:val="00A34744"/>
    <w:rsid w:val="00A3643C"/>
    <w:rsid w:val="00A658B4"/>
    <w:rsid w:val="00A83B03"/>
    <w:rsid w:val="00A90D4F"/>
    <w:rsid w:val="00A955AE"/>
    <w:rsid w:val="00A95C5A"/>
    <w:rsid w:val="00A971A5"/>
    <w:rsid w:val="00AA322D"/>
    <w:rsid w:val="00AA33D4"/>
    <w:rsid w:val="00AA5E64"/>
    <w:rsid w:val="00AA6A38"/>
    <w:rsid w:val="00AC4CA3"/>
    <w:rsid w:val="00AC7FBD"/>
    <w:rsid w:val="00AD7E83"/>
    <w:rsid w:val="00AE5498"/>
    <w:rsid w:val="00AE562B"/>
    <w:rsid w:val="00AF2C07"/>
    <w:rsid w:val="00B27740"/>
    <w:rsid w:val="00B36E70"/>
    <w:rsid w:val="00B3726E"/>
    <w:rsid w:val="00B719F0"/>
    <w:rsid w:val="00B76BA4"/>
    <w:rsid w:val="00B82B7F"/>
    <w:rsid w:val="00B870A9"/>
    <w:rsid w:val="00B87985"/>
    <w:rsid w:val="00B93BFB"/>
    <w:rsid w:val="00BA2ED6"/>
    <w:rsid w:val="00BA2F01"/>
    <w:rsid w:val="00BD6558"/>
    <w:rsid w:val="00BD7E10"/>
    <w:rsid w:val="00BE27BD"/>
    <w:rsid w:val="00BE4722"/>
    <w:rsid w:val="00BE6FB3"/>
    <w:rsid w:val="00C16D7B"/>
    <w:rsid w:val="00C30D28"/>
    <w:rsid w:val="00C71A4F"/>
    <w:rsid w:val="00C80871"/>
    <w:rsid w:val="00CA6EB6"/>
    <w:rsid w:val="00CB13B4"/>
    <w:rsid w:val="00CB2EFB"/>
    <w:rsid w:val="00CB356C"/>
    <w:rsid w:val="00CE7C43"/>
    <w:rsid w:val="00CF1D7F"/>
    <w:rsid w:val="00CF6E0F"/>
    <w:rsid w:val="00D12C94"/>
    <w:rsid w:val="00D140DB"/>
    <w:rsid w:val="00D23DEA"/>
    <w:rsid w:val="00D3312A"/>
    <w:rsid w:val="00D7337B"/>
    <w:rsid w:val="00D96C83"/>
    <w:rsid w:val="00DB5E82"/>
    <w:rsid w:val="00DC0855"/>
    <w:rsid w:val="00DC12DE"/>
    <w:rsid w:val="00DC2153"/>
    <w:rsid w:val="00DC4B27"/>
    <w:rsid w:val="00DC4E05"/>
    <w:rsid w:val="00DF30EC"/>
    <w:rsid w:val="00DF567F"/>
    <w:rsid w:val="00E00119"/>
    <w:rsid w:val="00E00C56"/>
    <w:rsid w:val="00E1259E"/>
    <w:rsid w:val="00E27533"/>
    <w:rsid w:val="00E36460"/>
    <w:rsid w:val="00E45E04"/>
    <w:rsid w:val="00E56666"/>
    <w:rsid w:val="00E6230F"/>
    <w:rsid w:val="00E66B16"/>
    <w:rsid w:val="00E70A78"/>
    <w:rsid w:val="00E72CC2"/>
    <w:rsid w:val="00E861FD"/>
    <w:rsid w:val="00E87226"/>
    <w:rsid w:val="00E87507"/>
    <w:rsid w:val="00E90271"/>
    <w:rsid w:val="00E94B0F"/>
    <w:rsid w:val="00EB5B0D"/>
    <w:rsid w:val="00EB7215"/>
    <w:rsid w:val="00ED57F9"/>
    <w:rsid w:val="00ED7237"/>
    <w:rsid w:val="00EE6D25"/>
    <w:rsid w:val="00EF3F06"/>
    <w:rsid w:val="00F50165"/>
    <w:rsid w:val="00F647A6"/>
    <w:rsid w:val="00F67B20"/>
    <w:rsid w:val="00F75440"/>
    <w:rsid w:val="00F77063"/>
    <w:rsid w:val="00FB46FA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F02DE"/>
  <w15:docId w15:val="{9FE2AF17-AA15-445E-A1B1-0707BBF4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625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C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1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16E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16E"/>
    <w:rPr>
      <w:rFonts w:ascii="Calibri" w:eastAsia="Dotum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6E"/>
    <w:rPr>
      <w:rFonts w:ascii="Tahoma" w:eastAsia="Dotum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7E4B"/>
    <w:pPr>
      <w:spacing w:after="0" w:line="240" w:lineRule="auto"/>
    </w:pPr>
    <w:rPr>
      <w:rFonts w:ascii="Calibri" w:eastAsia="Dotum" w:hAnsi="Calibri" w:cs="Calibri"/>
    </w:rPr>
  </w:style>
  <w:style w:type="character" w:customStyle="1" w:styleId="ListParagraphChar">
    <w:name w:val="List Paragraph Char"/>
    <w:link w:val="ListParagraph"/>
    <w:uiPriority w:val="34"/>
    <w:rsid w:val="004E5B97"/>
    <w:rPr>
      <w:rFonts w:ascii="Calibri" w:eastAsia="Dotum" w:hAnsi="Calibri" w:cs="Calibri"/>
    </w:rPr>
  </w:style>
  <w:style w:type="character" w:styleId="Hyperlink">
    <w:name w:val="Hyperlink"/>
    <w:basedOn w:val="DefaultParagraphFont"/>
    <w:uiPriority w:val="99"/>
    <w:unhideWhenUsed/>
    <w:rsid w:val="00C16D7B"/>
    <w:rPr>
      <w:color w:val="0000FF" w:themeColor="hyperlink"/>
      <w:u w:val="single"/>
    </w:rPr>
  </w:style>
  <w:style w:type="paragraph" w:customStyle="1" w:styleId="pb-2">
    <w:name w:val="pb-2"/>
    <w:basedOn w:val="Normal"/>
    <w:rsid w:val="006D7E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lood.gov.au/supply-system/governance-immunoglobulin-products/criteria-immunoglobulin-products" TargetMode="External"/><Relationship Id="rId2" Type="http://schemas.openxmlformats.org/officeDocument/2006/relationships/hyperlink" Target="http://www.blood.gov.au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1572</Words>
  <Characters>8382</Characters>
  <Application>Microsoft Office Word</Application>
  <DocSecurity>4</DocSecurity>
  <Lines>698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Wall</dc:creator>
  <cp:lastModifiedBy>Tran, Alice</cp:lastModifiedBy>
  <cp:revision>2</cp:revision>
  <cp:lastPrinted>2020-01-13T03:18:00Z</cp:lastPrinted>
  <dcterms:created xsi:type="dcterms:W3CDTF">2025-03-17T04:07:00Z</dcterms:created>
  <dcterms:modified xsi:type="dcterms:W3CDTF">2025-03-17T04:07:00Z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2,7,9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1d3a1ea-a727-4720-a216-7dae13a61c56_Enabled">
    <vt:lpwstr>true</vt:lpwstr>
  </property>
  <property fmtid="{D5CDD505-2E9C-101B-9397-08002B2CF9AE}" pid="6" name="MSIP_Label_11d3a1ea-a727-4720-a216-7dae13a61c56_SetDate">
    <vt:lpwstr>2023-11-15T23:26:15Z</vt:lpwstr>
  </property>
  <property fmtid="{D5CDD505-2E9C-101B-9397-08002B2CF9AE}" pid="7" name="MSIP_Label_11d3a1ea-a727-4720-a216-7dae13a61c56_Method">
    <vt:lpwstr>Privileged</vt:lpwstr>
  </property>
  <property fmtid="{D5CDD505-2E9C-101B-9397-08002B2CF9AE}" pid="8" name="MSIP_Label_11d3a1ea-a727-4720-a216-7dae13a61c56_Name">
    <vt:lpwstr>OFFICIAL</vt:lpwstr>
  </property>
  <property fmtid="{D5CDD505-2E9C-101B-9397-08002B2CF9AE}" pid="9" name="MSIP_Label_11d3a1ea-a727-4720-a216-7dae13a61c56_SiteId">
    <vt:lpwstr>9c233057-0738-4b40-91b2-3798ceb38ebf</vt:lpwstr>
  </property>
  <property fmtid="{D5CDD505-2E9C-101B-9397-08002B2CF9AE}" pid="10" name="MSIP_Label_11d3a1ea-a727-4720-a216-7dae13a61c56_ActionId">
    <vt:lpwstr>b9af91d4-f024-4bf5-921e-ea7c9bddf8a3</vt:lpwstr>
  </property>
  <property fmtid="{D5CDD505-2E9C-101B-9397-08002B2CF9AE}" pid="11" name="MSIP_Label_11d3a1ea-a727-4720-a216-7dae13a61c56_ContentBits">
    <vt:lpwstr>1</vt:lpwstr>
  </property>
</Properties>
</file>