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A70E" w14:textId="61081887" w:rsidR="002E1502" w:rsidRDefault="00FE427C" w:rsidP="00E94B0F">
      <w:pPr>
        <w:pStyle w:val="Heading1"/>
      </w:pPr>
      <w:r>
        <w:rPr>
          <w:noProof/>
          <w:lang w:eastAsia="en-AU"/>
        </w:rPr>
        <mc:AlternateContent>
          <mc:Choice Requires="wps">
            <w:drawing>
              <wp:anchor distT="0" distB="0" distL="114300" distR="114300" simplePos="0" relativeHeight="251658240" behindDoc="0" locked="0" layoutInCell="1" allowOverlap="1" wp14:anchorId="4F82A020" wp14:editId="22A0865B">
                <wp:simplePos x="0" y="0"/>
                <wp:positionH relativeFrom="column">
                  <wp:posOffset>-636905</wp:posOffset>
                </wp:positionH>
                <wp:positionV relativeFrom="paragraph">
                  <wp:posOffset>-589651</wp:posOffset>
                </wp:positionV>
                <wp:extent cx="10239375" cy="1819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39375" cy="1819275"/>
                        </a:xfrm>
                        <a:prstGeom prst="rect">
                          <a:avLst/>
                        </a:prstGeom>
                        <a:noFill/>
                        <a:ln w="6350">
                          <a:noFill/>
                        </a:ln>
                      </wps:spPr>
                      <wps:txbx>
                        <w:txbxContent>
                          <w:p w14:paraId="001A2DB6" w14:textId="41777FF2" w:rsidR="002E1502" w:rsidRDefault="00C676B8">
                            <w:r>
                              <w:rPr>
                                <w:noProof/>
                                <w:lang w:eastAsia="en-AU"/>
                              </w:rPr>
                              <w:drawing>
                                <wp:inline distT="0" distB="0" distL="0" distR="0" wp14:anchorId="207446D2" wp14:editId="25C69BA8">
                                  <wp:extent cx="10050145" cy="16941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50145" cy="1694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2A020" id="_x0000_t202" coordsize="21600,21600" o:spt="202" path="m,l,21600r21600,l21600,xe">
                <v:stroke joinstyle="miter"/>
                <v:path gradientshapeok="t" o:connecttype="rect"/>
              </v:shapetype>
              <v:shape id="Text Box 2" o:spid="_x0000_s1026" type="#_x0000_t202" style="position:absolute;margin-left:-50.15pt;margin-top:-46.45pt;width:806.25pt;height:1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" filled="f" stroked="f" strokeweight=".5pt">
                <v:textbox>
                  <w:txbxContent>
                    <w:p w14:paraId="001A2DB6" w14:textId="41777FF2" w:rsidR="002E1502" w:rsidRDefault="00C676B8">
                      <w:r>
                        <w:rPr>
                          <w:noProof/>
                          <w:lang w:eastAsia="en-AU"/>
                        </w:rPr>
                        <w:drawing>
                          <wp:inline distT="0" distB="0" distL="0" distR="0" wp14:anchorId="207446D2" wp14:editId="25C69BA8">
                            <wp:extent cx="10050145" cy="16941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50145" cy="1694180"/>
                                    </a:xfrm>
                                    <a:prstGeom prst="rect">
                                      <a:avLst/>
                                    </a:prstGeom>
                                  </pic:spPr>
                                </pic:pic>
                              </a:graphicData>
                            </a:graphic>
                          </wp:inline>
                        </w:drawing>
                      </w:r>
                    </w:p>
                  </w:txbxContent>
                </v:textbox>
              </v:shape>
            </w:pict>
          </mc:Fallback>
        </mc:AlternateContent>
      </w:r>
    </w:p>
    <w:p w14:paraId="4ECA8A39" w14:textId="6C3F45AF" w:rsidR="002E1502" w:rsidRDefault="002E1502" w:rsidP="00E94B0F">
      <w:pPr>
        <w:pStyle w:val="Heading1"/>
      </w:pPr>
    </w:p>
    <w:p w14:paraId="72772738" w14:textId="182F620C" w:rsidR="002E1502" w:rsidRDefault="00FE427C" w:rsidP="00E94B0F">
      <w:pPr>
        <w:pStyle w:val="Heading1"/>
      </w:pPr>
      <w:r>
        <w:rPr>
          <w:noProof/>
          <w:lang w:eastAsia="en-AU"/>
        </w:rPr>
        <mc:AlternateContent>
          <mc:Choice Requires="wps">
            <w:drawing>
              <wp:anchor distT="0" distB="0" distL="114300" distR="114300" simplePos="0" relativeHeight="251658241" behindDoc="0" locked="0" layoutInCell="1" allowOverlap="1" wp14:anchorId="585EC113" wp14:editId="4BD97C4B">
                <wp:simplePos x="0" y="0"/>
                <wp:positionH relativeFrom="column">
                  <wp:posOffset>-542290</wp:posOffset>
                </wp:positionH>
                <wp:positionV relativeFrom="paragraph">
                  <wp:posOffset>101600</wp:posOffset>
                </wp:positionV>
                <wp:extent cx="733425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334250" cy="647700"/>
                        </a:xfrm>
                        <a:prstGeom prst="rect">
                          <a:avLst/>
                        </a:prstGeom>
                        <a:solidFill>
                          <a:schemeClr val="bg1">
                            <a:lumMod val="75000"/>
                          </a:schemeClr>
                        </a:solidFill>
                        <a:ln w="6350">
                          <a:noFill/>
                        </a:ln>
                      </wps:spPr>
                      <wps:txbx>
                        <w:txbxContent>
                          <w:p w14:paraId="679F6800" w14:textId="6342AAC1" w:rsidR="002E1502" w:rsidRPr="00CD603E" w:rsidRDefault="00CD603E" w:rsidP="00CD603E">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5EC113" id="Text Box 3" o:spid="_x0000_s1027" type="#_x0000_t202" style="position:absolute;margin-left:-42.7pt;margin-top:8pt;width:577.5pt;height: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" fillcolor="#bfbfbf [2412]" stroked="f" strokeweight=".5pt">
                <v:textbox>
                  <w:txbxContent>
                    <w:p w14:paraId="679F6800" w14:textId="6342AAC1" w:rsidR="002E1502" w:rsidRPr="00CD603E" w:rsidRDefault="00CD603E" w:rsidP="00CD603E">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txbxContent>
                </v:textbox>
              </v:shape>
            </w:pict>
          </mc:Fallback>
        </mc:AlternateContent>
      </w:r>
    </w:p>
    <w:p w14:paraId="0FE99618" w14:textId="7650E35D" w:rsidR="002E1502" w:rsidRPr="00FE427C" w:rsidRDefault="002E1502" w:rsidP="00FE427C">
      <w:pPr>
        <w:pStyle w:val="Heading1"/>
        <w:spacing w:after="0" w:line="240" w:lineRule="auto"/>
        <w:rPr>
          <w:sz w:val="20"/>
        </w:rPr>
      </w:pPr>
    </w:p>
    <w:p w14:paraId="4E1451BB" w14:textId="5201533B" w:rsidR="00B3726E" w:rsidRDefault="009E0135" w:rsidP="00FE427C">
      <w:pPr>
        <w:pStyle w:val="Heading1"/>
        <w:spacing w:before="120" w:after="120" w:line="240" w:lineRule="auto"/>
        <w:ind w:left="-737" w:right="0"/>
      </w:pPr>
      <w:r>
        <w:t>Transplant</w:t>
      </w:r>
      <w:r w:rsidR="00BF626A">
        <w:t xml:space="preserve"> Medicine</w:t>
      </w:r>
      <w:r>
        <w:t xml:space="preserve"> </w:t>
      </w:r>
      <w:r w:rsidR="002E1502">
        <w:t xml:space="preserve">Conditions - </w:t>
      </w:r>
      <w:r w:rsidR="00D96C83">
        <w:t>Summary of Criteria Changes</w:t>
      </w:r>
    </w:p>
    <w:p w14:paraId="1270B6FC" w14:textId="4303EBED" w:rsidR="00B475C9" w:rsidRDefault="00B475C9" w:rsidP="00B475C9">
      <w:pPr>
        <w:ind w:left="-737"/>
      </w:pPr>
      <w:r>
        <w:t xml:space="preserve">The </w:t>
      </w:r>
      <w:r w:rsidRPr="00D96C83">
        <w:rPr>
          <w:i/>
        </w:rPr>
        <w:t>Criteria for clinical use of immunoglobulin in Australia</w:t>
      </w:r>
      <w:r>
        <w:t xml:space="preserve"> (Criteria) is under a continuous review cycle </w:t>
      </w:r>
      <w:r w:rsidR="006B0F84">
        <w:t xml:space="preserve">to enable </w:t>
      </w:r>
      <w:r w:rsidR="00B06223">
        <w:t>appropriate</w:t>
      </w:r>
      <w:r w:rsidR="006B0F84">
        <w:t xml:space="preserve"> access</w:t>
      </w:r>
      <w:r>
        <w:t>. The table below summarises subsequent changes made by medical condition and indication to the Criteria following the publication of Version 3</w:t>
      </w:r>
      <w:r w:rsidR="006B0F84">
        <w:t xml:space="preserve"> of the criteria since October 2018</w:t>
      </w:r>
      <w:r>
        <w:t>. Changes will be applied immediately to new authorisations and to existing authorisations at the next continuing treatment request, unless otherwise stated. This table will be updated when any change is made.</w:t>
      </w:r>
    </w:p>
    <w:tbl>
      <w:tblPr>
        <w:tblStyle w:val="TableGrid"/>
        <w:tblW w:w="15727" w:type="dxa"/>
        <w:tblInd w:w="-851" w:type="dxa"/>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840"/>
        <w:gridCol w:w="4674"/>
        <w:gridCol w:w="5528"/>
        <w:gridCol w:w="1559"/>
        <w:gridCol w:w="1126"/>
      </w:tblGrid>
      <w:tr w:rsidR="00AE5764" w14:paraId="7A739E63" w14:textId="77777777" w:rsidTr="00FE427C">
        <w:trPr>
          <w:cantSplit/>
          <w:tblHeader/>
        </w:trPr>
        <w:tc>
          <w:tcPr>
            <w:tcW w:w="2840" w:type="dxa"/>
            <w:shd w:val="clear" w:color="auto" w:fill="F79646" w:themeFill="accent6"/>
            <w:vAlign w:val="center"/>
          </w:tcPr>
          <w:p w14:paraId="421EDD7F" w14:textId="77777777" w:rsidR="00240B2C" w:rsidRPr="00CD603E" w:rsidRDefault="00240B2C" w:rsidP="00FE427C">
            <w:pPr>
              <w:spacing w:before="120" w:after="120"/>
              <w:rPr>
                <w:b/>
                <w:color w:val="FFFFFF" w:themeColor="background1"/>
              </w:rPr>
            </w:pPr>
            <w:r w:rsidRPr="00CD603E">
              <w:rPr>
                <w:b/>
                <w:color w:val="FFFFFF" w:themeColor="background1"/>
              </w:rPr>
              <w:t xml:space="preserve">Medical condition </w:t>
            </w:r>
          </w:p>
        </w:tc>
        <w:tc>
          <w:tcPr>
            <w:tcW w:w="4674" w:type="dxa"/>
            <w:shd w:val="clear" w:color="auto" w:fill="F79646" w:themeFill="accent6"/>
            <w:vAlign w:val="center"/>
          </w:tcPr>
          <w:p w14:paraId="35241DA4" w14:textId="77777777" w:rsidR="00240B2C" w:rsidRPr="00CD603E" w:rsidRDefault="00240B2C" w:rsidP="00FE427C">
            <w:pPr>
              <w:spacing w:before="120" w:after="120"/>
              <w:rPr>
                <w:b/>
                <w:color w:val="FFFFFF" w:themeColor="background1"/>
              </w:rPr>
            </w:pPr>
            <w:r w:rsidRPr="00CD603E">
              <w:rPr>
                <w:b/>
                <w:color w:val="FFFFFF" w:themeColor="background1"/>
              </w:rPr>
              <w:t>Indication/s</w:t>
            </w:r>
          </w:p>
        </w:tc>
        <w:tc>
          <w:tcPr>
            <w:tcW w:w="5528" w:type="dxa"/>
            <w:shd w:val="clear" w:color="auto" w:fill="F79646" w:themeFill="accent6"/>
            <w:vAlign w:val="center"/>
          </w:tcPr>
          <w:p w14:paraId="4591E183" w14:textId="77777777" w:rsidR="00240B2C" w:rsidRPr="00CD603E" w:rsidRDefault="00240B2C" w:rsidP="00FE427C">
            <w:pPr>
              <w:spacing w:before="120" w:after="120"/>
              <w:rPr>
                <w:b/>
                <w:color w:val="FFFFFF" w:themeColor="background1"/>
              </w:rPr>
            </w:pPr>
            <w:r w:rsidRPr="00CD603E">
              <w:rPr>
                <w:b/>
                <w:color w:val="FFFFFF" w:themeColor="background1"/>
              </w:rPr>
              <w:t xml:space="preserve">Summary of changes </w:t>
            </w:r>
          </w:p>
        </w:tc>
        <w:tc>
          <w:tcPr>
            <w:tcW w:w="1559" w:type="dxa"/>
            <w:shd w:val="clear" w:color="auto" w:fill="F79646" w:themeFill="accent6"/>
            <w:vAlign w:val="center"/>
          </w:tcPr>
          <w:p w14:paraId="52F57221" w14:textId="3002DEB8" w:rsidR="00240B2C" w:rsidRPr="00CD603E" w:rsidRDefault="00240B2C" w:rsidP="00FE427C">
            <w:pPr>
              <w:spacing w:before="120" w:after="120"/>
              <w:rPr>
                <w:b/>
                <w:color w:val="FFFFFF" w:themeColor="background1"/>
              </w:rPr>
            </w:pPr>
            <w:r w:rsidRPr="00CD603E">
              <w:rPr>
                <w:b/>
                <w:color w:val="FFFFFF" w:themeColor="background1"/>
              </w:rPr>
              <w:t>Date changed</w:t>
            </w:r>
          </w:p>
        </w:tc>
        <w:tc>
          <w:tcPr>
            <w:tcW w:w="1126" w:type="dxa"/>
            <w:shd w:val="clear" w:color="auto" w:fill="F79646" w:themeFill="accent6"/>
          </w:tcPr>
          <w:p w14:paraId="08853CA1" w14:textId="26BA44FD" w:rsidR="00240B2C" w:rsidRPr="00CD603E" w:rsidRDefault="00240B2C" w:rsidP="00CD603E">
            <w:pPr>
              <w:spacing w:before="120" w:after="120"/>
              <w:rPr>
                <w:b/>
                <w:color w:val="FFFFFF" w:themeColor="background1"/>
              </w:rPr>
            </w:pPr>
            <w:r w:rsidRPr="00CD603E">
              <w:rPr>
                <w:b/>
                <w:color w:val="FFFFFF" w:themeColor="background1"/>
              </w:rPr>
              <w:t>Version number</w:t>
            </w:r>
          </w:p>
        </w:tc>
      </w:tr>
      <w:tr w:rsidR="00E57B7F" w14:paraId="39E7EEEE" w14:textId="77777777" w:rsidTr="000A4A01">
        <w:trPr>
          <w:cantSplit/>
        </w:trPr>
        <w:tc>
          <w:tcPr>
            <w:tcW w:w="2840" w:type="dxa"/>
            <w:vMerge w:val="restart"/>
            <w:vAlign w:val="center"/>
          </w:tcPr>
          <w:p w14:paraId="42D6794D" w14:textId="30C5584B" w:rsidR="00E57B7F" w:rsidRPr="009734EA" w:rsidRDefault="00E57B7F" w:rsidP="00FE427C">
            <w:r w:rsidRPr="00BD7FED">
              <w:t>Solid organ transplantation</w:t>
            </w:r>
          </w:p>
        </w:tc>
        <w:tc>
          <w:tcPr>
            <w:tcW w:w="4674" w:type="dxa"/>
            <w:vMerge w:val="restart"/>
            <w:vAlign w:val="center"/>
          </w:tcPr>
          <w:p w14:paraId="46BD862B" w14:textId="536B1651" w:rsidR="00E57B7F" w:rsidRDefault="00E57B7F" w:rsidP="0076541F">
            <w:pPr>
              <w:pStyle w:val="ListParagraph"/>
              <w:numPr>
                <w:ilvl w:val="0"/>
                <w:numId w:val="10"/>
              </w:numPr>
            </w:pPr>
            <w:r>
              <w:t>Immediate pre and/or post-transplant where donor specific antibody(s) prevent transplantation or threaten transplantation</w:t>
            </w:r>
          </w:p>
          <w:p w14:paraId="403E072F" w14:textId="06DDBE1C" w:rsidR="00E57B7F" w:rsidRDefault="00E57B7F" w:rsidP="0076541F">
            <w:pPr>
              <w:pStyle w:val="ListParagraph"/>
              <w:numPr>
                <w:ilvl w:val="0"/>
                <w:numId w:val="10"/>
              </w:numPr>
            </w:pPr>
            <w:r>
              <w:t>Initial treatment of acute antibody mediated transplant rejection</w:t>
            </w:r>
          </w:p>
          <w:p w14:paraId="5A81F148" w14:textId="1F67CB38" w:rsidR="00E57B7F" w:rsidRDefault="00E57B7F" w:rsidP="0076541F">
            <w:pPr>
              <w:pStyle w:val="ListParagraph"/>
              <w:numPr>
                <w:ilvl w:val="0"/>
                <w:numId w:val="10"/>
              </w:numPr>
            </w:pPr>
            <w:r>
              <w:t xml:space="preserve">Treatment of ongoing active antibody mediated transplant rejection </w:t>
            </w:r>
          </w:p>
          <w:p w14:paraId="44DCE211" w14:textId="4314B977" w:rsidR="00E57B7F" w:rsidRDefault="00E57B7F" w:rsidP="0076541F">
            <w:pPr>
              <w:pStyle w:val="ListParagraph"/>
              <w:numPr>
                <w:ilvl w:val="0"/>
                <w:numId w:val="10"/>
              </w:numPr>
            </w:pPr>
            <w:r>
              <w:t xml:space="preserve">Ongoing desensitisation of patients to improve the likelihood of transplantation </w:t>
            </w:r>
          </w:p>
          <w:p w14:paraId="38F8664D" w14:textId="68D96D48" w:rsidR="00E57B7F" w:rsidRDefault="00E57B7F" w:rsidP="0076541F">
            <w:pPr>
              <w:pStyle w:val="ListParagraph"/>
              <w:numPr>
                <w:ilvl w:val="0"/>
                <w:numId w:val="10"/>
              </w:numPr>
            </w:pPr>
            <w:r>
              <w:t xml:space="preserve">Treatment or prevention of graft rejection where the use of conventional immunosuppressive therapies is </w:t>
            </w:r>
            <w:r>
              <w:lastRenderedPageBreak/>
              <w:t>contraindicated or poses a threat to the graft or patient</w:t>
            </w:r>
          </w:p>
        </w:tc>
        <w:tc>
          <w:tcPr>
            <w:tcW w:w="5528" w:type="dxa"/>
          </w:tcPr>
          <w:p w14:paraId="102C648B" w14:textId="102A6094" w:rsidR="00E57B7F" w:rsidRDefault="00E57B7F" w:rsidP="00B31F4D">
            <w:r>
              <w:lastRenderedPageBreak/>
              <w:t>Indication 3</w:t>
            </w:r>
          </w:p>
          <w:p w14:paraId="2C795DF5" w14:textId="311596F5" w:rsidR="00E57B7F" w:rsidRDefault="00E57B7F" w:rsidP="002719F4">
            <w:pPr>
              <w:pStyle w:val="ListParagraph"/>
              <w:numPr>
                <w:ilvl w:val="0"/>
                <w:numId w:val="6"/>
              </w:numPr>
            </w:pPr>
            <w:r>
              <w:t xml:space="preserve">The </w:t>
            </w:r>
            <w:r w:rsidRPr="00B31F4D">
              <w:t>criterion in Initial and continuing review criteria</w:t>
            </w:r>
            <w:r>
              <w:t xml:space="preserve"> has been updated to m</w:t>
            </w:r>
            <w:r w:rsidRPr="00B31F4D">
              <w:t>ake</w:t>
            </w:r>
            <w:r>
              <w:t xml:space="preserve"> the</w:t>
            </w:r>
            <w:r w:rsidRPr="00B31F4D">
              <w:t xml:space="preserve"> biopsy evidence item non mandatory.</w:t>
            </w:r>
            <w:r>
              <w:t xml:space="preserve"> </w:t>
            </w:r>
          </w:p>
        </w:tc>
        <w:tc>
          <w:tcPr>
            <w:tcW w:w="1559" w:type="dxa"/>
            <w:vMerge w:val="restart"/>
            <w:vAlign w:val="center"/>
          </w:tcPr>
          <w:p w14:paraId="47164C81" w14:textId="257C3314" w:rsidR="00E57B7F" w:rsidRDefault="00B06223" w:rsidP="000A4A01">
            <w:pPr>
              <w:jc w:val="center"/>
            </w:pPr>
            <w:r>
              <w:t>March 2023</w:t>
            </w:r>
          </w:p>
        </w:tc>
        <w:tc>
          <w:tcPr>
            <w:tcW w:w="1126" w:type="dxa"/>
            <w:vMerge w:val="restart"/>
            <w:vAlign w:val="center"/>
          </w:tcPr>
          <w:p w14:paraId="3D81DC29" w14:textId="70753D05" w:rsidR="00E57B7F" w:rsidRPr="00AD7E83" w:rsidRDefault="00E57B7F" w:rsidP="00AE5764">
            <w:pPr>
              <w:jc w:val="center"/>
            </w:pPr>
            <w:r>
              <w:t>3.1</w:t>
            </w:r>
          </w:p>
        </w:tc>
      </w:tr>
      <w:tr w:rsidR="00E57B7F" w14:paraId="48EEEEFB" w14:textId="77777777" w:rsidTr="00D07B47">
        <w:trPr>
          <w:cantSplit/>
        </w:trPr>
        <w:tc>
          <w:tcPr>
            <w:tcW w:w="2840" w:type="dxa"/>
            <w:vMerge/>
          </w:tcPr>
          <w:p w14:paraId="5CD36B40" w14:textId="317FAE2E" w:rsidR="00E57B7F" w:rsidRPr="009734EA" w:rsidRDefault="00E57B7F" w:rsidP="001105B6"/>
        </w:tc>
        <w:tc>
          <w:tcPr>
            <w:tcW w:w="4674" w:type="dxa"/>
            <w:vMerge/>
          </w:tcPr>
          <w:p w14:paraId="35C65AF4" w14:textId="512E5EC8" w:rsidR="00E57B7F" w:rsidRDefault="00E57B7F" w:rsidP="005E13C9">
            <w:pPr>
              <w:pStyle w:val="ListParagraph"/>
              <w:numPr>
                <w:ilvl w:val="0"/>
                <w:numId w:val="6"/>
              </w:numPr>
            </w:pPr>
          </w:p>
        </w:tc>
        <w:tc>
          <w:tcPr>
            <w:tcW w:w="5528" w:type="dxa"/>
          </w:tcPr>
          <w:p w14:paraId="1165A786" w14:textId="387C25F5" w:rsidR="00E57B7F" w:rsidRDefault="00E57B7F" w:rsidP="00B31F4D">
            <w:r>
              <w:t>All indications</w:t>
            </w:r>
          </w:p>
          <w:p w14:paraId="159C2147" w14:textId="66A45ADB" w:rsidR="00E57B7F" w:rsidRDefault="00E57B7F" w:rsidP="00753EC7">
            <w:pPr>
              <w:pStyle w:val="ListParagraph"/>
              <w:numPr>
                <w:ilvl w:val="0"/>
                <w:numId w:val="6"/>
              </w:numPr>
            </w:pPr>
            <w:r>
              <w:t>The dosing controls have been updated</w:t>
            </w:r>
            <w:r w:rsidRPr="00E20998">
              <w:t xml:space="preserve"> to allow</w:t>
            </w:r>
            <w:r>
              <w:t xml:space="preserve"> dose</w:t>
            </w:r>
            <w:r w:rsidRPr="00E20998">
              <w:t xml:space="preserve"> frequency of</w:t>
            </w:r>
            <w:r>
              <w:t xml:space="preserve"> between </w:t>
            </w:r>
            <w:r w:rsidRPr="00E20998">
              <w:t>1 to 28 days</w:t>
            </w:r>
            <w:r>
              <w:t xml:space="preserve"> to account for variable dosing. </w:t>
            </w:r>
          </w:p>
        </w:tc>
        <w:tc>
          <w:tcPr>
            <w:tcW w:w="1559" w:type="dxa"/>
            <w:vMerge/>
          </w:tcPr>
          <w:p w14:paraId="21B56415" w14:textId="15816838" w:rsidR="00E57B7F" w:rsidRDefault="00E57B7F" w:rsidP="001105B6">
            <w:pPr>
              <w:jc w:val="center"/>
            </w:pPr>
          </w:p>
        </w:tc>
        <w:tc>
          <w:tcPr>
            <w:tcW w:w="1126" w:type="dxa"/>
            <w:vMerge/>
          </w:tcPr>
          <w:p w14:paraId="46CD3173" w14:textId="65A2115F" w:rsidR="00E57B7F" w:rsidRPr="00AD7E83" w:rsidRDefault="00E57B7F" w:rsidP="001105B6">
            <w:pPr>
              <w:jc w:val="center"/>
            </w:pPr>
          </w:p>
        </w:tc>
      </w:tr>
      <w:tr w:rsidR="00E57B7F" w14:paraId="2C456269" w14:textId="77777777" w:rsidTr="00D07B47">
        <w:trPr>
          <w:cantSplit/>
        </w:trPr>
        <w:tc>
          <w:tcPr>
            <w:tcW w:w="2840" w:type="dxa"/>
            <w:vMerge/>
          </w:tcPr>
          <w:p w14:paraId="746BD973" w14:textId="257B2BD4" w:rsidR="00E57B7F" w:rsidRPr="00676719" w:rsidRDefault="00E57B7F" w:rsidP="000C072D"/>
        </w:tc>
        <w:tc>
          <w:tcPr>
            <w:tcW w:w="4674" w:type="dxa"/>
            <w:vMerge/>
          </w:tcPr>
          <w:p w14:paraId="6881FBEC" w14:textId="5E464772" w:rsidR="00E57B7F" w:rsidRPr="001105B6" w:rsidRDefault="00E57B7F" w:rsidP="005E13C9">
            <w:pPr>
              <w:pStyle w:val="ListParagraph"/>
              <w:numPr>
                <w:ilvl w:val="0"/>
                <w:numId w:val="6"/>
              </w:numPr>
            </w:pPr>
          </w:p>
        </w:tc>
        <w:tc>
          <w:tcPr>
            <w:tcW w:w="5528" w:type="dxa"/>
          </w:tcPr>
          <w:p w14:paraId="31BC95C2" w14:textId="6FFA33F0" w:rsidR="00E57B7F" w:rsidRDefault="00E57B7F" w:rsidP="00B31F4D">
            <w:r>
              <w:t>Indication 5</w:t>
            </w:r>
          </w:p>
          <w:p w14:paraId="5DAA8358" w14:textId="4A53B0D7" w:rsidR="00E57B7F" w:rsidRPr="00555EBA" w:rsidRDefault="00E57B7F" w:rsidP="00C43EBC">
            <w:pPr>
              <w:pStyle w:val="ListParagraph"/>
              <w:numPr>
                <w:ilvl w:val="0"/>
                <w:numId w:val="6"/>
              </w:numPr>
            </w:pPr>
            <w:r>
              <w:t>The earliest valid date of transplant has been extended to capture solid organ transplant more than 6 years in the past.</w:t>
            </w:r>
          </w:p>
        </w:tc>
        <w:tc>
          <w:tcPr>
            <w:tcW w:w="1559" w:type="dxa"/>
            <w:vMerge/>
          </w:tcPr>
          <w:p w14:paraId="717DB569" w14:textId="1D3A4501" w:rsidR="00E57B7F" w:rsidRDefault="00E57B7F" w:rsidP="000C072D">
            <w:pPr>
              <w:jc w:val="center"/>
            </w:pPr>
          </w:p>
        </w:tc>
        <w:tc>
          <w:tcPr>
            <w:tcW w:w="1126" w:type="dxa"/>
            <w:vMerge/>
          </w:tcPr>
          <w:p w14:paraId="7EA5734E" w14:textId="5E23C49B" w:rsidR="00E57B7F" w:rsidRDefault="00E57B7F" w:rsidP="000C072D">
            <w:pPr>
              <w:jc w:val="center"/>
            </w:pPr>
          </w:p>
        </w:tc>
      </w:tr>
      <w:tr w:rsidR="00E57B7F" w14:paraId="7ACDA1CD" w14:textId="77777777" w:rsidTr="00FE427C">
        <w:trPr>
          <w:cantSplit/>
        </w:trPr>
        <w:tc>
          <w:tcPr>
            <w:tcW w:w="2840" w:type="dxa"/>
            <w:vMerge/>
            <w:vAlign w:val="center"/>
          </w:tcPr>
          <w:p w14:paraId="5FB2B8FA" w14:textId="15B75CE3" w:rsidR="00E57B7F" w:rsidRDefault="00E57B7F" w:rsidP="000C072D">
            <w:pPr>
              <w:rPr>
                <w:rFonts w:cs="Helvetica"/>
                <w:color w:val="333333"/>
              </w:rPr>
            </w:pPr>
          </w:p>
        </w:tc>
        <w:tc>
          <w:tcPr>
            <w:tcW w:w="4674" w:type="dxa"/>
            <w:vMerge/>
          </w:tcPr>
          <w:p w14:paraId="666F47C1" w14:textId="0B6D519D" w:rsidR="00E57B7F" w:rsidRPr="00F50165" w:rsidRDefault="00E57B7F" w:rsidP="005E13C9">
            <w:pPr>
              <w:pStyle w:val="ListParagraph"/>
              <w:numPr>
                <w:ilvl w:val="0"/>
                <w:numId w:val="6"/>
              </w:numPr>
            </w:pPr>
          </w:p>
        </w:tc>
        <w:tc>
          <w:tcPr>
            <w:tcW w:w="5528" w:type="dxa"/>
          </w:tcPr>
          <w:p w14:paraId="6D6DEB32" w14:textId="153B9FF0" w:rsidR="00E57B7F" w:rsidRDefault="00E57B7F" w:rsidP="00B31F4D">
            <w:r>
              <w:t>Indications 2 and 3</w:t>
            </w:r>
          </w:p>
          <w:p w14:paraId="56209765" w14:textId="6C250810" w:rsidR="00E57B7F" w:rsidRDefault="00E57B7F" w:rsidP="002719F4">
            <w:pPr>
              <w:pStyle w:val="ListParagraph"/>
              <w:numPr>
                <w:ilvl w:val="0"/>
                <w:numId w:val="6"/>
              </w:numPr>
            </w:pPr>
            <w:r>
              <w:t>The qualifying criteria have been updated to allow for inclusion of evidence for transplants other than kidney or heart transplants</w:t>
            </w:r>
            <w:r w:rsidRPr="00947346">
              <w:t>.</w:t>
            </w:r>
            <w:r>
              <w:t xml:space="preserve"> </w:t>
            </w:r>
          </w:p>
        </w:tc>
        <w:tc>
          <w:tcPr>
            <w:tcW w:w="1559" w:type="dxa"/>
            <w:vMerge/>
          </w:tcPr>
          <w:p w14:paraId="3B5CE731" w14:textId="7D03FDA2" w:rsidR="00E57B7F" w:rsidRDefault="00E57B7F" w:rsidP="000C072D">
            <w:pPr>
              <w:jc w:val="center"/>
            </w:pPr>
          </w:p>
        </w:tc>
        <w:tc>
          <w:tcPr>
            <w:tcW w:w="1126" w:type="dxa"/>
            <w:vMerge/>
          </w:tcPr>
          <w:p w14:paraId="761E130C" w14:textId="74D07ACD" w:rsidR="00E57B7F" w:rsidRPr="00DC4B27" w:rsidRDefault="00E57B7F" w:rsidP="000C072D">
            <w:pPr>
              <w:jc w:val="center"/>
            </w:pPr>
          </w:p>
        </w:tc>
      </w:tr>
      <w:tr w:rsidR="00E57B7F" w14:paraId="05D97730" w14:textId="77777777" w:rsidTr="00FE427C">
        <w:trPr>
          <w:cantSplit/>
        </w:trPr>
        <w:tc>
          <w:tcPr>
            <w:tcW w:w="2840" w:type="dxa"/>
            <w:vMerge/>
            <w:vAlign w:val="center"/>
          </w:tcPr>
          <w:p w14:paraId="7DFA694C" w14:textId="77777777" w:rsidR="00E57B7F" w:rsidRDefault="00E57B7F" w:rsidP="000C072D">
            <w:pPr>
              <w:rPr>
                <w:rFonts w:cs="Helvetica"/>
                <w:color w:val="333333"/>
              </w:rPr>
            </w:pPr>
          </w:p>
        </w:tc>
        <w:tc>
          <w:tcPr>
            <w:tcW w:w="4674" w:type="dxa"/>
            <w:vMerge/>
          </w:tcPr>
          <w:p w14:paraId="0AA69375" w14:textId="2D601BCB" w:rsidR="00E57B7F" w:rsidRPr="00F50165" w:rsidRDefault="00E57B7F" w:rsidP="005E13C9">
            <w:pPr>
              <w:pStyle w:val="ListParagraph"/>
              <w:numPr>
                <w:ilvl w:val="0"/>
                <w:numId w:val="6"/>
              </w:numPr>
            </w:pPr>
          </w:p>
        </w:tc>
        <w:tc>
          <w:tcPr>
            <w:tcW w:w="5528" w:type="dxa"/>
          </w:tcPr>
          <w:p w14:paraId="7BDC3B03" w14:textId="5B052371" w:rsidR="00E57B7F" w:rsidRDefault="00E57B7F" w:rsidP="00B31F4D">
            <w:r>
              <w:t>Indication 5</w:t>
            </w:r>
          </w:p>
          <w:p w14:paraId="337392F2" w14:textId="63B33549" w:rsidR="00E57B7F" w:rsidRDefault="00E57B7F" w:rsidP="002719F4">
            <w:pPr>
              <w:pStyle w:val="ListParagraph"/>
              <w:numPr>
                <w:ilvl w:val="0"/>
                <w:numId w:val="6"/>
              </w:numPr>
            </w:pPr>
            <w:r>
              <w:t>The qualifying and review criteria have been updated to clarify that patients who have no history of immunoglobulin treatment can qualify against the Criteria.</w:t>
            </w:r>
          </w:p>
        </w:tc>
        <w:tc>
          <w:tcPr>
            <w:tcW w:w="1559" w:type="dxa"/>
            <w:vMerge/>
          </w:tcPr>
          <w:p w14:paraId="73D92487" w14:textId="1237C76D" w:rsidR="00E57B7F" w:rsidRDefault="00E57B7F" w:rsidP="000C072D">
            <w:pPr>
              <w:jc w:val="center"/>
            </w:pPr>
          </w:p>
        </w:tc>
        <w:tc>
          <w:tcPr>
            <w:tcW w:w="1126" w:type="dxa"/>
            <w:vMerge/>
          </w:tcPr>
          <w:p w14:paraId="6C5B4E58" w14:textId="5031668B" w:rsidR="00E57B7F" w:rsidRPr="00DC4B27" w:rsidRDefault="00E57B7F" w:rsidP="000C072D">
            <w:pPr>
              <w:jc w:val="center"/>
            </w:pPr>
          </w:p>
        </w:tc>
      </w:tr>
      <w:tr w:rsidR="00E57B7F" w14:paraId="5E18ACA1" w14:textId="77777777" w:rsidTr="00FE427C">
        <w:trPr>
          <w:cantSplit/>
        </w:trPr>
        <w:tc>
          <w:tcPr>
            <w:tcW w:w="2840" w:type="dxa"/>
            <w:vMerge/>
            <w:vAlign w:val="center"/>
          </w:tcPr>
          <w:p w14:paraId="7210ABF4" w14:textId="2D0CACC7" w:rsidR="00E57B7F" w:rsidRDefault="00E57B7F" w:rsidP="000C072D">
            <w:pPr>
              <w:rPr>
                <w:rFonts w:cs="Helvetica"/>
                <w:color w:val="333333"/>
              </w:rPr>
            </w:pPr>
          </w:p>
        </w:tc>
        <w:tc>
          <w:tcPr>
            <w:tcW w:w="4674" w:type="dxa"/>
            <w:vMerge/>
          </w:tcPr>
          <w:p w14:paraId="04A1AF19" w14:textId="024ED526" w:rsidR="00E57B7F" w:rsidRPr="00F50165" w:rsidRDefault="00E57B7F" w:rsidP="005E13C9">
            <w:pPr>
              <w:pStyle w:val="ListParagraph"/>
              <w:numPr>
                <w:ilvl w:val="0"/>
                <w:numId w:val="6"/>
              </w:numPr>
            </w:pPr>
          </w:p>
        </w:tc>
        <w:tc>
          <w:tcPr>
            <w:tcW w:w="5528" w:type="dxa"/>
          </w:tcPr>
          <w:p w14:paraId="74BC9B9D" w14:textId="4AEFE4F6" w:rsidR="00E57B7F" w:rsidRDefault="00E57B7F" w:rsidP="00B31F4D">
            <w:r>
              <w:t>Indication 4, indications 1, 2, 4</w:t>
            </w:r>
          </w:p>
          <w:p w14:paraId="49C70482" w14:textId="4C3B7B1F" w:rsidR="00E57B7F" w:rsidRDefault="00E57B7F" w:rsidP="00566B34">
            <w:pPr>
              <w:pStyle w:val="ListParagraph"/>
              <w:numPr>
                <w:ilvl w:val="0"/>
                <w:numId w:val="6"/>
              </w:numPr>
            </w:pPr>
            <w:r>
              <w:t>Correction of typographical errors.</w:t>
            </w:r>
          </w:p>
        </w:tc>
        <w:tc>
          <w:tcPr>
            <w:tcW w:w="1559" w:type="dxa"/>
            <w:vMerge/>
          </w:tcPr>
          <w:p w14:paraId="7304D26E" w14:textId="6767774A" w:rsidR="00E57B7F" w:rsidRDefault="00E57B7F" w:rsidP="000C072D">
            <w:pPr>
              <w:jc w:val="center"/>
            </w:pPr>
          </w:p>
        </w:tc>
        <w:tc>
          <w:tcPr>
            <w:tcW w:w="1126" w:type="dxa"/>
            <w:vMerge/>
          </w:tcPr>
          <w:p w14:paraId="1B09B2AF" w14:textId="3C822237" w:rsidR="00E57B7F" w:rsidRPr="00DC4B27" w:rsidRDefault="00E57B7F" w:rsidP="000C072D">
            <w:pPr>
              <w:jc w:val="center"/>
            </w:pPr>
          </w:p>
        </w:tc>
      </w:tr>
      <w:tr w:rsidR="00E57B7F" w14:paraId="37780EE3" w14:textId="77777777" w:rsidTr="00FE427C">
        <w:trPr>
          <w:cantSplit/>
        </w:trPr>
        <w:tc>
          <w:tcPr>
            <w:tcW w:w="2840" w:type="dxa"/>
            <w:vMerge/>
            <w:vAlign w:val="center"/>
          </w:tcPr>
          <w:p w14:paraId="0D605C34" w14:textId="77777777" w:rsidR="00E57B7F" w:rsidRDefault="00E57B7F" w:rsidP="000C072D">
            <w:pPr>
              <w:rPr>
                <w:rFonts w:cs="Helvetica"/>
                <w:color w:val="333333"/>
              </w:rPr>
            </w:pPr>
          </w:p>
        </w:tc>
        <w:tc>
          <w:tcPr>
            <w:tcW w:w="4674" w:type="dxa"/>
            <w:vMerge/>
          </w:tcPr>
          <w:p w14:paraId="44BDFC80" w14:textId="1E9C88CC" w:rsidR="00E57B7F" w:rsidRDefault="00E57B7F" w:rsidP="005E13C9">
            <w:pPr>
              <w:pStyle w:val="ListParagraph"/>
              <w:numPr>
                <w:ilvl w:val="0"/>
                <w:numId w:val="6"/>
              </w:numPr>
            </w:pPr>
          </w:p>
        </w:tc>
        <w:tc>
          <w:tcPr>
            <w:tcW w:w="5528" w:type="dxa"/>
          </w:tcPr>
          <w:p w14:paraId="2D8424A9" w14:textId="39D521A7" w:rsidR="00E57B7F" w:rsidRDefault="00E57B7F" w:rsidP="00B31F4D">
            <w:r>
              <w:t>Indications 1 and 2</w:t>
            </w:r>
          </w:p>
          <w:p w14:paraId="478C8A86" w14:textId="25CC3FF7" w:rsidR="00E57B7F" w:rsidRDefault="00E57B7F" w:rsidP="009E2C52">
            <w:pPr>
              <w:pStyle w:val="ListParagraph"/>
              <w:numPr>
                <w:ilvl w:val="0"/>
                <w:numId w:val="6"/>
              </w:numPr>
            </w:pPr>
            <w:r>
              <w:t xml:space="preserve">The dose wording has been updated to clarify that the doses can be administered as divided doses. </w:t>
            </w:r>
          </w:p>
        </w:tc>
        <w:tc>
          <w:tcPr>
            <w:tcW w:w="1559" w:type="dxa"/>
            <w:vMerge/>
          </w:tcPr>
          <w:p w14:paraId="75AB1037" w14:textId="77777777" w:rsidR="00E57B7F" w:rsidRDefault="00E57B7F" w:rsidP="000C072D">
            <w:pPr>
              <w:jc w:val="center"/>
            </w:pPr>
          </w:p>
        </w:tc>
        <w:tc>
          <w:tcPr>
            <w:tcW w:w="1126" w:type="dxa"/>
            <w:vMerge/>
          </w:tcPr>
          <w:p w14:paraId="3E9A1082" w14:textId="77777777" w:rsidR="00E57B7F" w:rsidRPr="00DC4B27" w:rsidRDefault="00E57B7F" w:rsidP="000C072D">
            <w:pPr>
              <w:jc w:val="center"/>
            </w:pPr>
          </w:p>
        </w:tc>
      </w:tr>
      <w:tr w:rsidR="00E57B7F" w14:paraId="2FC7FC12" w14:textId="77777777" w:rsidTr="00B4461B">
        <w:trPr>
          <w:cantSplit/>
        </w:trPr>
        <w:tc>
          <w:tcPr>
            <w:tcW w:w="2840" w:type="dxa"/>
            <w:vMerge/>
            <w:vAlign w:val="center"/>
          </w:tcPr>
          <w:p w14:paraId="3091BC0A" w14:textId="5121FBB8" w:rsidR="00E57B7F" w:rsidRDefault="00E57B7F" w:rsidP="005E13C9">
            <w:pPr>
              <w:rPr>
                <w:rFonts w:cs="Helvetica"/>
                <w:color w:val="333333"/>
              </w:rPr>
            </w:pPr>
          </w:p>
        </w:tc>
        <w:tc>
          <w:tcPr>
            <w:tcW w:w="4674" w:type="dxa"/>
            <w:vMerge/>
          </w:tcPr>
          <w:p w14:paraId="61E791B0" w14:textId="1BACD52D" w:rsidR="00E57B7F" w:rsidRPr="00F50165" w:rsidRDefault="00E57B7F" w:rsidP="005E13C9">
            <w:pPr>
              <w:pStyle w:val="ListParagraph"/>
              <w:numPr>
                <w:ilvl w:val="0"/>
                <w:numId w:val="6"/>
              </w:numPr>
            </w:pPr>
          </w:p>
        </w:tc>
        <w:tc>
          <w:tcPr>
            <w:tcW w:w="5528" w:type="dxa"/>
          </w:tcPr>
          <w:p w14:paraId="524F02C9" w14:textId="0170CAD9" w:rsidR="00E57B7F" w:rsidRDefault="00E57B7F" w:rsidP="00B31F4D">
            <w:r>
              <w:t>Indication 3</w:t>
            </w:r>
          </w:p>
          <w:p w14:paraId="0BCD06C6" w14:textId="4C85FEA7" w:rsidR="00E57B7F" w:rsidRDefault="00E57B7F" w:rsidP="00A54427">
            <w:pPr>
              <w:pStyle w:val="ListParagraph"/>
              <w:numPr>
                <w:ilvl w:val="0"/>
                <w:numId w:val="6"/>
              </w:numPr>
            </w:pPr>
            <w:r>
              <w:t>The dose name has been updated to be consistent with other dose names in BloodSTAR.</w:t>
            </w:r>
          </w:p>
        </w:tc>
        <w:tc>
          <w:tcPr>
            <w:tcW w:w="1559" w:type="dxa"/>
            <w:vMerge/>
          </w:tcPr>
          <w:p w14:paraId="53899ABE" w14:textId="299E3108" w:rsidR="00E57B7F" w:rsidRDefault="00E57B7F" w:rsidP="005E13C9">
            <w:pPr>
              <w:jc w:val="center"/>
            </w:pPr>
          </w:p>
        </w:tc>
        <w:tc>
          <w:tcPr>
            <w:tcW w:w="1126" w:type="dxa"/>
            <w:vMerge/>
          </w:tcPr>
          <w:p w14:paraId="6102496E" w14:textId="3663B186" w:rsidR="00E57B7F" w:rsidRPr="00DC4B27" w:rsidRDefault="00E57B7F" w:rsidP="005E13C9">
            <w:pPr>
              <w:jc w:val="center"/>
            </w:pPr>
          </w:p>
        </w:tc>
      </w:tr>
      <w:tr w:rsidR="00E57B7F" w14:paraId="46CA33FE" w14:textId="77777777" w:rsidTr="00B4461B">
        <w:trPr>
          <w:cantSplit/>
        </w:trPr>
        <w:tc>
          <w:tcPr>
            <w:tcW w:w="2840" w:type="dxa"/>
            <w:vMerge/>
            <w:vAlign w:val="center"/>
          </w:tcPr>
          <w:p w14:paraId="529C1B03" w14:textId="77777777" w:rsidR="00E57B7F" w:rsidRDefault="00E57B7F" w:rsidP="005E13C9">
            <w:pPr>
              <w:rPr>
                <w:rFonts w:cs="Helvetica"/>
                <w:color w:val="333333"/>
              </w:rPr>
            </w:pPr>
          </w:p>
        </w:tc>
        <w:tc>
          <w:tcPr>
            <w:tcW w:w="4674" w:type="dxa"/>
            <w:vMerge/>
          </w:tcPr>
          <w:p w14:paraId="49C52884" w14:textId="77777777" w:rsidR="00E57B7F" w:rsidRPr="00F50165" w:rsidRDefault="00E57B7F" w:rsidP="0076541F">
            <w:pPr>
              <w:pStyle w:val="ListParagraph"/>
              <w:ind w:left="360"/>
            </w:pPr>
          </w:p>
        </w:tc>
        <w:tc>
          <w:tcPr>
            <w:tcW w:w="5528" w:type="dxa"/>
          </w:tcPr>
          <w:p w14:paraId="35772147" w14:textId="77777777" w:rsidR="00E57B7F" w:rsidRDefault="00E57B7F" w:rsidP="00B31F4D">
            <w:r>
              <w:t>Indication 2</w:t>
            </w:r>
          </w:p>
          <w:p w14:paraId="2BB03568" w14:textId="4C5BCFAB" w:rsidR="00E57B7F" w:rsidRDefault="00E57B7F" w:rsidP="0076541F">
            <w:pPr>
              <w:pStyle w:val="ListParagraph"/>
              <w:numPr>
                <w:ilvl w:val="0"/>
                <w:numId w:val="11"/>
              </w:numPr>
            </w:pPr>
            <w:r>
              <w:t>Correction of data entry error to allow divided dose in BloodSTAR.</w:t>
            </w:r>
          </w:p>
        </w:tc>
        <w:tc>
          <w:tcPr>
            <w:tcW w:w="1559" w:type="dxa"/>
            <w:vMerge/>
          </w:tcPr>
          <w:p w14:paraId="21FDAE60" w14:textId="77777777" w:rsidR="00E57B7F" w:rsidRDefault="00E57B7F" w:rsidP="005E13C9">
            <w:pPr>
              <w:jc w:val="center"/>
            </w:pPr>
          </w:p>
        </w:tc>
        <w:tc>
          <w:tcPr>
            <w:tcW w:w="1126" w:type="dxa"/>
            <w:vMerge/>
          </w:tcPr>
          <w:p w14:paraId="1C175951" w14:textId="77777777" w:rsidR="00E57B7F" w:rsidRPr="00DC4B27" w:rsidRDefault="00E57B7F" w:rsidP="005E13C9">
            <w:pPr>
              <w:jc w:val="center"/>
            </w:pPr>
          </w:p>
        </w:tc>
      </w:tr>
      <w:tr w:rsidR="00E57B7F" w14:paraId="574E2F00" w14:textId="77777777" w:rsidTr="00B4461B">
        <w:trPr>
          <w:cantSplit/>
        </w:trPr>
        <w:tc>
          <w:tcPr>
            <w:tcW w:w="2840" w:type="dxa"/>
            <w:vMerge/>
            <w:vAlign w:val="center"/>
          </w:tcPr>
          <w:p w14:paraId="2901127D" w14:textId="77777777" w:rsidR="00E57B7F" w:rsidRDefault="00E57B7F" w:rsidP="005E13C9">
            <w:pPr>
              <w:rPr>
                <w:rFonts w:cs="Helvetica"/>
                <w:color w:val="333333"/>
              </w:rPr>
            </w:pPr>
          </w:p>
        </w:tc>
        <w:tc>
          <w:tcPr>
            <w:tcW w:w="4674" w:type="dxa"/>
            <w:vMerge/>
          </w:tcPr>
          <w:p w14:paraId="292F040D" w14:textId="77777777" w:rsidR="00E57B7F" w:rsidRPr="00F50165" w:rsidRDefault="00E57B7F" w:rsidP="0076541F">
            <w:pPr>
              <w:pStyle w:val="ListParagraph"/>
              <w:ind w:left="360"/>
            </w:pPr>
          </w:p>
        </w:tc>
        <w:tc>
          <w:tcPr>
            <w:tcW w:w="5528" w:type="dxa"/>
          </w:tcPr>
          <w:p w14:paraId="4AAF2A4F" w14:textId="77777777" w:rsidR="00E57B7F" w:rsidRDefault="00E57B7F" w:rsidP="00B31F4D">
            <w:r>
              <w:t>Indication 3</w:t>
            </w:r>
          </w:p>
          <w:p w14:paraId="0BBB3ADF" w14:textId="2F89F49C" w:rsidR="00E57B7F" w:rsidRDefault="00E57B7F" w:rsidP="0076541F">
            <w:pPr>
              <w:pStyle w:val="ListParagraph"/>
              <w:numPr>
                <w:ilvl w:val="0"/>
                <w:numId w:val="11"/>
              </w:numPr>
            </w:pPr>
            <w:r>
              <w:t>The dose text has been updated to reflect that IVIg may be given with or without plasma exchange.</w:t>
            </w:r>
          </w:p>
        </w:tc>
        <w:tc>
          <w:tcPr>
            <w:tcW w:w="1559" w:type="dxa"/>
            <w:vMerge/>
          </w:tcPr>
          <w:p w14:paraId="28CE2FD1" w14:textId="77777777" w:rsidR="00E57B7F" w:rsidRDefault="00E57B7F" w:rsidP="005E13C9">
            <w:pPr>
              <w:jc w:val="center"/>
            </w:pPr>
          </w:p>
        </w:tc>
        <w:tc>
          <w:tcPr>
            <w:tcW w:w="1126" w:type="dxa"/>
            <w:vMerge/>
          </w:tcPr>
          <w:p w14:paraId="090D1E40" w14:textId="77777777" w:rsidR="00E57B7F" w:rsidRPr="00DC4B27" w:rsidRDefault="00E57B7F" w:rsidP="005E13C9">
            <w:pPr>
              <w:jc w:val="center"/>
            </w:pPr>
          </w:p>
        </w:tc>
      </w:tr>
      <w:tr w:rsidR="00E57B7F" w14:paraId="2B6A34F1" w14:textId="77777777" w:rsidTr="00B4461B">
        <w:trPr>
          <w:cantSplit/>
        </w:trPr>
        <w:tc>
          <w:tcPr>
            <w:tcW w:w="2840" w:type="dxa"/>
            <w:vMerge/>
            <w:vAlign w:val="center"/>
          </w:tcPr>
          <w:p w14:paraId="5C92C7F3" w14:textId="77777777" w:rsidR="00E57B7F" w:rsidRDefault="00E57B7F" w:rsidP="005E13C9">
            <w:pPr>
              <w:rPr>
                <w:rFonts w:cs="Helvetica"/>
                <w:color w:val="333333"/>
              </w:rPr>
            </w:pPr>
          </w:p>
        </w:tc>
        <w:tc>
          <w:tcPr>
            <w:tcW w:w="4674" w:type="dxa"/>
            <w:vMerge/>
          </w:tcPr>
          <w:p w14:paraId="060D9EB5" w14:textId="77777777" w:rsidR="00E57B7F" w:rsidRPr="00F50165" w:rsidRDefault="00E57B7F" w:rsidP="0076541F">
            <w:pPr>
              <w:pStyle w:val="ListParagraph"/>
              <w:ind w:left="360"/>
            </w:pPr>
          </w:p>
        </w:tc>
        <w:tc>
          <w:tcPr>
            <w:tcW w:w="5528" w:type="dxa"/>
          </w:tcPr>
          <w:p w14:paraId="181A2FF5" w14:textId="77777777" w:rsidR="00E57B7F" w:rsidRDefault="00E57B7F" w:rsidP="00B31F4D">
            <w:r>
              <w:t>Indication 3</w:t>
            </w:r>
          </w:p>
          <w:p w14:paraId="538E28AB" w14:textId="69DF4EE1" w:rsidR="00E57B7F" w:rsidRDefault="00E57B7F" w:rsidP="008459BD">
            <w:pPr>
              <w:pStyle w:val="ListParagraph"/>
              <w:numPr>
                <w:ilvl w:val="0"/>
                <w:numId w:val="11"/>
              </w:numPr>
            </w:pPr>
            <w:r>
              <w:t>The dose text and Max Dose have been increased from 0.5 to 1.0g/kg.</w:t>
            </w:r>
          </w:p>
        </w:tc>
        <w:tc>
          <w:tcPr>
            <w:tcW w:w="1559" w:type="dxa"/>
            <w:vMerge/>
          </w:tcPr>
          <w:p w14:paraId="0FBB1AB1" w14:textId="77777777" w:rsidR="00E57B7F" w:rsidRDefault="00E57B7F" w:rsidP="005E13C9">
            <w:pPr>
              <w:jc w:val="center"/>
            </w:pPr>
          </w:p>
        </w:tc>
        <w:tc>
          <w:tcPr>
            <w:tcW w:w="1126" w:type="dxa"/>
            <w:vMerge/>
          </w:tcPr>
          <w:p w14:paraId="17FBA15D" w14:textId="77777777" w:rsidR="00E57B7F" w:rsidRPr="00DC4B27" w:rsidRDefault="00E57B7F" w:rsidP="005E13C9">
            <w:pPr>
              <w:jc w:val="center"/>
            </w:pPr>
          </w:p>
        </w:tc>
      </w:tr>
    </w:tbl>
    <w:p w14:paraId="1F0DDFA2" w14:textId="77777777" w:rsidR="00E90271" w:rsidRPr="00D96C83" w:rsidRDefault="00E90271" w:rsidP="00D96C83"/>
    <w:sectPr w:rsidR="00E90271" w:rsidRPr="00D96C83" w:rsidSect="00FE427C">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40" w:right="1440" w:bottom="1133" w:left="1440" w:header="708" w:footer="708" w:gutter="0"/>
      <w:pgBorders w:offsetFrom="page">
        <w:top w:val="single" w:sz="48" w:space="24" w:color="F79646" w:themeColor="accent6"/>
        <w:left w:val="single" w:sz="48" w:space="24" w:color="F79646" w:themeColor="accent6"/>
        <w:bottom w:val="single" w:sz="48" w:space="24" w:color="F79646" w:themeColor="accent6"/>
        <w:right w:val="single" w:sz="48" w:space="24" w:color="F79646" w:themeColor="accent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B886" w14:textId="77777777" w:rsidR="00DE4EE7" w:rsidRDefault="00DE4EE7" w:rsidP="00856708">
      <w:pPr>
        <w:spacing w:after="0"/>
      </w:pPr>
      <w:r>
        <w:separator/>
      </w:r>
    </w:p>
  </w:endnote>
  <w:endnote w:type="continuationSeparator" w:id="0">
    <w:p w14:paraId="653B4C82" w14:textId="77777777" w:rsidR="00DE4EE7" w:rsidRDefault="00DE4EE7" w:rsidP="00856708">
      <w:pPr>
        <w:spacing w:after="0"/>
      </w:pPr>
      <w:r>
        <w:continuationSeparator/>
      </w:r>
    </w:p>
  </w:endnote>
  <w:endnote w:type="continuationNotice" w:id="1">
    <w:p w14:paraId="3B0B1458" w14:textId="77777777" w:rsidR="00DE4EE7" w:rsidRDefault="00DE4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15C8" w14:textId="77777777" w:rsidR="0076541F" w:rsidRDefault="00765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02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gridCol w:w="3005"/>
      <w:gridCol w:w="3006"/>
    </w:tblGrid>
    <w:tr w:rsidR="00732595" w14:paraId="268B4809" w14:textId="77777777" w:rsidTr="00246FCC">
      <w:tc>
        <w:tcPr>
          <w:tcW w:w="3005" w:type="dxa"/>
        </w:tcPr>
        <w:p w14:paraId="29272754" w14:textId="77777777" w:rsidR="00732595" w:rsidRDefault="00732595" w:rsidP="00732595">
          <w:pPr>
            <w:pStyle w:val="Footer"/>
            <w:tabs>
              <w:tab w:val="clear" w:pos="9026"/>
              <w:tab w:val="right" w:pos="9356"/>
            </w:tabs>
            <w:ind w:right="-284"/>
            <w:rPr>
              <w:sz w:val="20"/>
              <w:szCs w:val="20"/>
            </w:rPr>
          </w:pPr>
          <w:r w:rsidRPr="00C16D7B">
            <w:rPr>
              <w:noProof/>
              <w:sz w:val="20"/>
              <w:szCs w:val="20"/>
              <w:lang w:eastAsia="en-AU"/>
            </w:rPr>
            <w:drawing>
              <wp:inline distT="0" distB="0" distL="0" distR="0" wp14:anchorId="48573B1D" wp14:editId="5583AA11">
                <wp:extent cx="1339851" cy="371475"/>
                <wp:effectExtent l="0" t="0" r="0" b="0"/>
                <wp:docPr id="4" name="Picture 4" descr="\\nba.local\data\Users\83449654\My Documents\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a.local\data\Users\83449654\My Documents\My 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629" cy="386662"/>
                        </a:xfrm>
                        <a:prstGeom prst="rect">
                          <a:avLst/>
                        </a:prstGeom>
                        <a:noFill/>
                        <a:ln>
                          <a:noFill/>
                        </a:ln>
                      </pic:spPr>
                    </pic:pic>
                  </a:graphicData>
                </a:graphic>
              </wp:inline>
            </w:drawing>
          </w:r>
        </w:p>
      </w:tc>
      <w:tc>
        <w:tcPr>
          <w:tcW w:w="3005" w:type="dxa"/>
        </w:tcPr>
        <w:p w14:paraId="5E1C8420" w14:textId="77777777" w:rsidR="00732595" w:rsidRDefault="0095156E" w:rsidP="00732595">
          <w:pPr>
            <w:pStyle w:val="Footer"/>
            <w:tabs>
              <w:tab w:val="clear" w:pos="9026"/>
              <w:tab w:val="right" w:pos="9356"/>
            </w:tabs>
            <w:spacing w:before="120" w:after="120"/>
            <w:ind w:right="-284"/>
            <w:rPr>
              <w:sz w:val="20"/>
              <w:szCs w:val="20"/>
            </w:rPr>
          </w:pPr>
          <w:hyperlink r:id="rId2" w:history="1">
            <w:r w:rsidR="00732595" w:rsidRPr="00961955">
              <w:rPr>
                <w:rStyle w:val="Hyperlink"/>
                <w:rFonts w:ascii="Arial" w:hAnsi="Arial" w:cs="Arial"/>
                <w:sz w:val="28"/>
                <w:szCs w:val="28"/>
              </w:rPr>
              <w:t>www.blood.gov.au</w:t>
            </w:r>
          </w:hyperlink>
        </w:p>
      </w:tc>
      <w:tc>
        <w:tcPr>
          <w:tcW w:w="3005" w:type="dxa"/>
        </w:tcPr>
        <w:p w14:paraId="0705ABD3" w14:textId="77777777" w:rsidR="00732595" w:rsidRPr="00601625" w:rsidRDefault="00732595" w:rsidP="00732595">
          <w:pPr>
            <w:spacing w:before="60"/>
            <w:jc w:val="center"/>
            <w:rPr>
              <w:sz w:val="14"/>
            </w:rPr>
          </w:pPr>
          <w:r w:rsidRPr="00601625">
            <w:rPr>
              <w:sz w:val="14"/>
            </w:rPr>
            <w:t xml:space="preserve">Visit </w:t>
          </w:r>
          <w:hyperlink r:id="rId3" w:history="1">
            <w:r w:rsidRPr="00601625">
              <w:rPr>
                <w:rStyle w:val="Hyperlink"/>
                <w:sz w:val="14"/>
              </w:rPr>
              <w:t>www.blood.gov.au/Ig-governance</w:t>
            </w:r>
          </w:hyperlink>
        </w:p>
        <w:p w14:paraId="7F9D7C37" w14:textId="77777777" w:rsidR="00732595" w:rsidRPr="00601625" w:rsidRDefault="00732595" w:rsidP="00732595">
          <w:pPr>
            <w:jc w:val="center"/>
            <w:rPr>
              <w:sz w:val="14"/>
            </w:rPr>
          </w:pPr>
          <w:r w:rsidRPr="00601625">
            <w:rPr>
              <w:sz w:val="14"/>
            </w:rPr>
            <w:t>for more information about</w:t>
          </w:r>
        </w:p>
        <w:p w14:paraId="57B33D85" w14:textId="77777777" w:rsidR="00732595" w:rsidRPr="00E66B16" w:rsidRDefault="00732595" w:rsidP="00732595">
          <w:pPr>
            <w:jc w:val="center"/>
            <w:rPr>
              <w:sz w:val="18"/>
            </w:rPr>
          </w:pPr>
          <w:r w:rsidRPr="00601625">
            <w:rPr>
              <w:sz w:val="14"/>
            </w:rPr>
            <w:t>Ig Governance and the Criteria</w:t>
          </w:r>
        </w:p>
      </w:tc>
      <w:tc>
        <w:tcPr>
          <w:tcW w:w="3005" w:type="dxa"/>
        </w:tcPr>
        <w:p w14:paraId="124BF4C1" w14:textId="77777777" w:rsidR="00732595" w:rsidRDefault="00732595" w:rsidP="00732595">
          <w:pPr>
            <w:pStyle w:val="Footer"/>
            <w:tabs>
              <w:tab w:val="clear" w:pos="9026"/>
              <w:tab w:val="right" w:pos="9356"/>
            </w:tabs>
            <w:ind w:right="-284"/>
            <w:jc w:val="center"/>
            <w:rPr>
              <w:sz w:val="20"/>
              <w:szCs w:val="20"/>
            </w:rPr>
          </w:pPr>
          <w:r w:rsidRPr="00C16D7B">
            <w:rPr>
              <w:noProof/>
              <w:sz w:val="20"/>
              <w:szCs w:val="20"/>
              <w:lang w:eastAsia="en-AU"/>
            </w:rPr>
            <w:drawing>
              <wp:inline distT="0" distB="0" distL="0" distR="0" wp14:anchorId="3720228C" wp14:editId="66DA1C90">
                <wp:extent cx="1181100" cy="410493"/>
                <wp:effectExtent l="0" t="0" r="0" b="8890"/>
                <wp:docPr id="7" name="Picture 7" descr="G:\Logos\IgGovernance\Ig Governance(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s\IgGovernance\Ig Governance(300 dp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832" cy="422912"/>
                        </a:xfrm>
                        <a:prstGeom prst="rect">
                          <a:avLst/>
                        </a:prstGeom>
                        <a:noFill/>
                        <a:ln>
                          <a:noFill/>
                        </a:ln>
                      </pic:spPr>
                    </pic:pic>
                  </a:graphicData>
                </a:graphic>
              </wp:inline>
            </w:drawing>
          </w:r>
        </w:p>
      </w:tc>
      <w:tc>
        <w:tcPr>
          <w:tcW w:w="3006" w:type="dxa"/>
        </w:tcPr>
        <w:p w14:paraId="06F95700" w14:textId="77777777" w:rsidR="00732595" w:rsidRDefault="00732595" w:rsidP="00732595">
          <w:pPr>
            <w:pStyle w:val="Footer"/>
            <w:tabs>
              <w:tab w:val="clear" w:pos="9026"/>
              <w:tab w:val="right" w:pos="9356"/>
            </w:tabs>
            <w:spacing w:before="160"/>
            <w:ind w:right="-284"/>
            <w:jc w:val="center"/>
            <w:rPr>
              <w:sz w:val="20"/>
              <w:szCs w:val="20"/>
            </w:rPr>
          </w:pPr>
          <w:r w:rsidRPr="00C16D7B">
            <w:rPr>
              <w:noProof/>
              <w:sz w:val="20"/>
              <w:szCs w:val="20"/>
              <w:lang w:eastAsia="en-AU"/>
            </w:rPr>
            <w:drawing>
              <wp:inline distT="0" distB="0" distL="0" distR="0" wp14:anchorId="5886B9FF" wp14:editId="439A44E0">
                <wp:extent cx="1538696" cy="231699"/>
                <wp:effectExtent l="0" t="0" r="4445" b="0"/>
                <wp:docPr id="6" name="Picture 6" descr="G:\Logos\NBA\NBA System Logos\BloodStar\BloodStar logo\BLOOD_STAR_GRADIENT_v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gos\NBA\NBA System Logos\BloodStar\BloodStar logo\BLOOD_STAR_GRADIENT_v13-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5877" cy="252356"/>
                        </a:xfrm>
                        <a:prstGeom prst="rect">
                          <a:avLst/>
                        </a:prstGeom>
                        <a:noFill/>
                        <a:ln>
                          <a:noFill/>
                        </a:ln>
                      </pic:spPr>
                    </pic:pic>
                  </a:graphicData>
                </a:graphic>
              </wp:inline>
            </w:drawing>
          </w:r>
        </w:p>
      </w:tc>
    </w:tr>
  </w:tbl>
  <w:p w14:paraId="6DDC5162" w14:textId="33DE3E57" w:rsidR="00856708" w:rsidRPr="00856708" w:rsidRDefault="00732595" w:rsidP="00856708">
    <w:pPr>
      <w:pStyle w:val="Footer"/>
      <w:tabs>
        <w:tab w:val="clear" w:pos="9026"/>
        <w:tab w:val="right" w:pos="9356"/>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56708" w:rsidRPr="00856708">
      <w:rPr>
        <w:sz w:val="20"/>
        <w:szCs w:val="20"/>
      </w:rPr>
      <w:tab/>
    </w:r>
    <w:r w:rsidR="00856708" w:rsidRPr="00856708">
      <w:rPr>
        <w:sz w:val="20"/>
        <w:szCs w:val="20"/>
      </w:rPr>
      <w:tab/>
    </w:r>
    <w:r>
      <w:rPr>
        <w:sz w:val="20"/>
        <w:szCs w:val="20"/>
      </w:rPr>
      <w:t xml:space="preserve">             </w:t>
    </w:r>
    <w:r w:rsidR="00856708" w:rsidRPr="00856708">
      <w:rPr>
        <w:sz w:val="20"/>
        <w:szCs w:val="20"/>
      </w:rPr>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2719F4">
      <w:rPr>
        <w:noProof/>
        <w:sz w:val="20"/>
        <w:szCs w:val="20"/>
      </w:rPr>
      <w:t>2</w:t>
    </w:r>
    <w:r w:rsidR="00856708" w:rsidRPr="0085670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BA92" w14:textId="316CF529" w:rsidR="00AE5764" w:rsidRDefault="00AE576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481C" w14:textId="77777777" w:rsidR="00DE4EE7" w:rsidRDefault="00DE4EE7" w:rsidP="00856708">
      <w:pPr>
        <w:spacing w:after="0"/>
      </w:pPr>
      <w:r>
        <w:separator/>
      </w:r>
    </w:p>
  </w:footnote>
  <w:footnote w:type="continuationSeparator" w:id="0">
    <w:p w14:paraId="4D637255" w14:textId="77777777" w:rsidR="00DE4EE7" w:rsidRDefault="00DE4EE7" w:rsidP="00856708">
      <w:pPr>
        <w:spacing w:after="0"/>
      </w:pPr>
      <w:r>
        <w:continuationSeparator/>
      </w:r>
    </w:p>
  </w:footnote>
  <w:footnote w:type="continuationNotice" w:id="1">
    <w:p w14:paraId="7B9A68A7" w14:textId="77777777" w:rsidR="00DE4EE7" w:rsidRDefault="00DE4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3A77" w14:textId="79C17DC6" w:rsidR="0076541F" w:rsidRDefault="0076541F">
    <w:pPr>
      <w:pStyle w:val="Header"/>
    </w:pPr>
    <w:r>
      <w:rPr>
        <w:noProof/>
      </w:rPr>
      <mc:AlternateContent>
        <mc:Choice Requires="wps">
          <w:drawing>
            <wp:anchor distT="0" distB="0" distL="0" distR="0" simplePos="0" relativeHeight="251658241" behindDoc="0" locked="0" layoutInCell="1" allowOverlap="1" wp14:anchorId="0F030C98" wp14:editId="762F8525">
              <wp:simplePos x="635" y="635"/>
              <wp:positionH relativeFrom="column">
                <wp:align>center</wp:align>
              </wp:positionH>
              <wp:positionV relativeFrom="paragraph">
                <wp:posOffset>635</wp:posOffset>
              </wp:positionV>
              <wp:extent cx="443865" cy="443865"/>
              <wp:effectExtent l="0" t="0" r="635" b="1079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FE80C" w14:textId="1445BC99" w:rsidR="0076541F" w:rsidRPr="0076541F" w:rsidRDefault="0076541F">
                          <w:pPr>
                            <w:rPr>
                              <w:rFonts w:eastAsia="Calibri"/>
                              <w:color w:val="FF0000"/>
                              <w:sz w:val="24"/>
                              <w:szCs w:val="24"/>
                            </w:rPr>
                          </w:pPr>
                          <w:r w:rsidRPr="007654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030C98"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&#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DgFpm8gAgAARgQAAA4AAAAAAAAAAAAAAAAALgIAAGRycy9lMm9Eb2MueG1sUEsBAi0AFAAG&#10;AAgAAAAhAISw0yjWAAAAAwEAAA8AAAAAAAAAAAAAAAAAegQAAGRycy9kb3ducmV2LnhtbFBLBQYA&#10;AAAABAAEAPMAAAB9BQAAAAA=&#10;" filled="f" stroked="f">
              <v:textbox style="mso-fit-shape-to-text:t" inset="0,0,0,0">
                <w:txbxContent>
                  <w:p w14:paraId="030FE80C" w14:textId="1445BC99" w:rsidR="0076541F" w:rsidRPr="0076541F" w:rsidRDefault="0076541F">
                    <w:pPr>
                      <w:rPr>
                        <w:rFonts w:eastAsia="Calibri"/>
                        <w:color w:val="FF0000"/>
                        <w:sz w:val="24"/>
                        <w:szCs w:val="24"/>
                      </w:rPr>
                    </w:pPr>
                    <w:r w:rsidRPr="0076541F">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1B68" w14:textId="4C04A346" w:rsidR="0076541F" w:rsidRDefault="0076541F">
    <w:pPr>
      <w:pStyle w:val="Header"/>
    </w:pPr>
    <w:r>
      <w:rPr>
        <w:noProof/>
      </w:rPr>
      <mc:AlternateContent>
        <mc:Choice Requires="wps">
          <w:drawing>
            <wp:anchor distT="0" distB="0" distL="0" distR="0" simplePos="0" relativeHeight="251658242" behindDoc="0" locked="0" layoutInCell="1" allowOverlap="1" wp14:anchorId="68F88AE5" wp14:editId="525F04AC">
              <wp:simplePos x="914400" y="447675"/>
              <wp:positionH relativeFrom="column">
                <wp:align>center</wp:align>
              </wp:positionH>
              <wp:positionV relativeFrom="paragraph">
                <wp:posOffset>635</wp:posOffset>
              </wp:positionV>
              <wp:extent cx="443865" cy="443865"/>
              <wp:effectExtent l="0" t="0" r="635" b="10795"/>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2D1D2" w14:textId="0D585C6E" w:rsidR="0076541F" w:rsidRPr="0076541F" w:rsidRDefault="0076541F">
                          <w:pPr>
                            <w:rPr>
                              <w:rFonts w:eastAsia="Calibri"/>
                              <w:color w:val="FF0000"/>
                              <w:sz w:val="24"/>
                              <w:szCs w:val="24"/>
                            </w:rPr>
                          </w:pPr>
                          <w:r w:rsidRPr="007654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F88AE5"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tKWoEjAgAATQQAAA4AAAAAAAAAAAAAAAAALgIAAGRycy9lMm9Eb2MueG1sUEsBAi0A&#10;FAAGAAgAAAAhAISw0yjWAAAAAwEAAA8AAAAAAAAAAAAAAAAAfQQAAGRycy9kb3ducmV2LnhtbFBL&#10;BQYAAAAABAAEAPMAAACABQAAAAA=&#10;" filled="f" stroked="f">
              <v:textbox style="mso-fit-shape-to-text:t" inset="0,0,0,0">
                <w:txbxContent>
                  <w:p w14:paraId="7CA2D1D2" w14:textId="0D585C6E" w:rsidR="0076541F" w:rsidRPr="0076541F" w:rsidRDefault="0076541F">
                    <w:pPr>
                      <w:rPr>
                        <w:rFonts w:eastAsia="Calibri"/>
                        <w:color w:val="FF0000"/>
                        <w:sz w:val="24"/>
                        <w:szCs w:val="24"/>
                      </w:rPr>
                    </w:pPr>
                    <w:r w:rsidRPr="0076541F">
                      <w:rPr>
                        <w:rFonts w:eastAsia="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B8AA" w14:textId="523AB2A1" w:rsidR="0076541F" w:rsidRDefault="0076541F">
    <w:pPr>
      <w:pStyle w:val="Header"/>
    </w:pPr>
    <w:r>
      <w:rPr>
        <w:noProof/>
      </w:rPr>
      <mc:AlternateContent>
        <mc:Choice Requires="wps">
          <w:drawing>
            <wp:anchor distT="0" distB="0" distL="0" distR="0" simplePos="0" relativeHeight="251658240" behindDoc="0" locked="0" layoutInCell="1" allowOverlap="1" wp14:anchorId="30E39CB0" wp14:editId="01B446DF">
              <wp:simplePos x="914400" y="447675"/>
              <wp:positionH relativeFrom="column">
                <wp:align>center</wp:align>
              </wp:positionH>
              <wp:positionV relativeFrom="paragraph">
                <wp:posOffset>635</wp:posOffset>
              </wp:positionV>
              <wp:extent cx="443865" cy="443865"/>
              <wp:effectExtent l="0" t="0" r="635" b="1079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51C8F" w14:textId="11B573A4" w:rsidR="0076541F" w:rsidRPr="0076541F" w:rsidRDefault="0076541F">
                          <w:pPr>
                            <w:rPr>
                              <w:rFonts w:eastAsia="Calibri"/>
                              <w:color w:val="FF0000"/>
                              <w:sz w:val="24"/>
                              <w:szCs w:val="24"/>
                            </w:rPr>
                          </w:pPr>
                          <w:r w:rsidRPr="007654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E39CB0"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textbox style="mso-fit-shape-to-text:t" inset="0,0,0,0">
                <w:txbxContent>
                  <w:p w14:paraId="33D51C8F" w14:textId="11B573A4" w:rsidR="0076541F" w:rsidRPr="0076541F" w:rsidRDefault="0076541F">
                    <w:pPr>
                      <w:rPr>
                        <w:rFonts w:eastAsia="Calibri"/>
                        <w:color w:val="FF0000"/>
                        <w:sz w:val="24"/>
                        <w:szCs w:val="24"/>
                      </w:rPr>
                    </w:pPr>
                    <w:r w:rsidRPr="0076541F">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8.25pt;height:12.75pt" o:bullet="t">
        <v:imagedata r:id="rId1" o:title="black drop"/>
      </v:shape>
    </w:pict>
  </w:numPicBullet>
  <w:abstractNum w:abstractNumId="0" w15:restartNumberingAfterBreak="0">
    <w:nsid w:val="02953113"/>
    <w:multiLevelType w:val="hybridMultilevel"/>
    <w:tmpl w:val="0D560C88"/>
    <w:lvl w:ilvl="0" w:tplc="265AB132">
      <w:start w:val="1"/>
      <w:numFmt w:val="bullet"/>
      <w:lvlText w:val=""/>
      <w:lvlPicBulletId w:val="0"/>
      <w:lvlJc w:val="left"/>
      <w:pPr>
        <w:ind w:left="360" w:hanging="360"/>
      </w:pPr>
      <w:rPr>
        <w:rFonts w:ascii="Symbol" w:hAnsi="Symbol" w:hint="default"/>
        <w:color w:val="F79646"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31277A"/>
    <w:multiLevelType w:val="hybridMultilevel"/>
    <w:tmpl w:val="4AC030B8"/>
    <w:lvl w:ilvl="0" w:tplc="0C09000F">
      <w:start w:val="1"/>
      <w:numFmt w:val="decimal"/>
      <w:lvlText w:val="%1."/>
      <w:lvlJc w:val="left"/>
      <w:pPr>
        <w:ind w:left="360" w:hanging="360"/>
      </w:pPr>
      <w:rPr>
        <w:rFonts w:hint="default"/>
        <w:color w:val="F79646"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432C4F"/>
    <w:multiLevelType w:val="hybridMultilevel"/>
    <w:tmpl w:val="0E0AD6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6437866"/>
    <w:multiLevelType w:val="hybridMultilevel"/>
    <w:tmpl w:val="061E0C36"/>
    <w:lvl w:ilvl="0" w:tplc="265AB132">
      <w:start w:val="1"/>
      <w:numFmt w:val="bullet"/>
      <w:lvlText w:val=""/>
      <w:lvlPicBulletId w:val="0"/>
      <w:lvlJc w:val="left"/>
      <w:pPr>
        <w:ind w:left="360" w:hanging="360"/>
      </w:pPr>
      <w:rPr>
        <w:rFonts w:ascii="Symbol" w:hAnsi="Symbol" w:hint="default"/>
        <w:color w:val="F79646"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F911AD"/>
    <w:multiLevelType w:val="hybridMultilevel"/>
    <w:tmpl w:val="1DE07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1A62B5"/>
    <w:multiLevelType w:val="hybridMultilevel"/>
    <w:tmpl w:val="256042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6"/>
  </w:num>
  <w:num w:numId="4">
    <w:abstractNumId w:val="9"/>
  </w:num>
  <w:num w:numId="5">
    <w:abstractNumId w:val="3"/>
  </w:num>
  <w:num w:numId="6">
    <w:abstractNumId w:val="0"/>
  </w:num>
  <w:num w:numId="7">
    <w:abstractNumId w:val="7"/>
  </w:num>
  <w:num w:numId="8">
    <w:abstractNumId w:val="8"/>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83"/>
    <w:rsid w:val="0002220D"/>
    <w:rsid w:val="00036EDC"/>
    <w:rsid w:val="00040780"/>
    <w:rsid w:val="000561E5"/>
    <w:rsid w:val="00061BDB"/>
    <w:rsid w:val="00063B1F"/>
    <w:rsid w:val="000A4A01"/>
    <w:rsid w:val="000A57F7"/>
    <w:rsid w:val="000C033E"/>
    <w:rsid w:val="000C072D"/>
    <w:rsid w:val="000D4414"/>
    <w:rsid w:val="000E2B14"/>
    <w:rsid w:val="000F1000"/>
    <w:rsid w:val="001105B6"/>
    <w:rsid w:val="001120A9"/>
    <w:rsid w:val="001209A2"/>
    <w:rsid w:val="00122186"/>
    <w:rsid w:val="00123568"/>
    <w:rsid w:val="00155A2E"/>
    <w:rsid w:val="0016364D"/>
    <w:rsid w:val="00174FB6"/>
    <w:rsid w:val="00186CC4"/>
    <w:rsid w:val="001E0405"/>
    <w:rsid w:val="001E79F4"/>
    <w:rsid w:val="0021024D"/>
    <w:rsid w:val="00214525"/>
    <w:rsid w:val="002174D5"/>
    <w:rsid w:val="00217EF5"/>
    <w:rsid w:val="00237652"/>
    <w:rsid w:val="00240B2C"/>
    <w:rsid w:val="0024258E"/>
    <w:rsid w:val="002537F2"/>
    <w:rsid w:val="00253DA3"/>
    <w:rsid w:val="00255582"/>
    <w:rsid w:val="002637A4"/>
    <w:rsid w:val="002640F9"/>
    <w:rsid w:val="00271978"/>
    <w:rsid w:val="002719F4"/>
    <w:rsid w:val="00295CD3"/>
    <w:rsid w:val="002B2383"/>
    <w:rsid w:val="002C0611"/>
    <w:rsid w:val="002C116E"/>
    <w:rsid w:val="002C1693"/>
    <w:rsid w:val="002D4B3C"/>
    <w:rsid w:val="002E1502"/>
    <w:rsid w:val="003002DA"/>
    <w:rsid w:val="00333157"/>
    <w:rsid w:val="00337BDA"/>
    <w:rsid w:val="0036030F"/>
    <w:rsid w:val="00374913"/>
    <w:rsid w:val="00392821"/>
    <w:rsid w:val="003C324C"/>
    <w:rsid w:val="003D27F1"/>
    <w:rsid w:val="0040421D"/>
    <w:rsid w:val="00433E52"/>
    <w:rsid w:val="00455B0E"/>
    <w:rsid w:val="004634C2"/>
    <w:rsid w:val="00463F12"/>
    <w:rsid w:val="00467250"/>
    <w:rsid w:val="00487A31"/>
    <w:rsid w:val="0049373B"/>
    <w:rsid w:val="00495147"/>
    <w:rsid w:val="004A34A8"/>
    <w:rsid w:val="004B4A08"/>
    <w:rsid w:val="004B5F59"/>
    <w:rsid w:val="004B7481"/>
    <w:rsid w:val="004C6FEB"/>
    <w:rsid w:val="004D4636"/>
    <w:rsid w:val="004E528F"/>
    <w:rsid w:val="004F6CBE"/>
    <w:rsid w:val="00504C7B"/>
    <w:rsid w:val="0050673D"/>
    <w:rsid w:val="00531BE2"/>
    <w:rsid w:val="00540020"/>
    <w:rsid w:val="005407FA"/>
    <w:rsid w:val="00543137"/>
    <w:rsid w:val="005534EE"/>
    <w:rsid w:val="00555EBA"/>
    <w:rsid w:val="00566B34"/>
    <w:rsid w:val="00574EF7"/>
    <w:rsid w:val="00582FD3"/>
    <w:rsid w:val="005869C4"/>
    <w:rsid w:val="00587037"/>
    <w:rsid w:val="005A6E4D"/>
    <w:rsid w:val="005B7B8C"/>
    <w:rsid w:val="005D0783"/>
    <w:rsid w:val="005E13C9"/>
    <w:rsid w:val="006214CD"/>
    <w:rsid w:val="0062213B"/>
    <w:rsid w:val="00637749"/>
    <w:rsid w:val="0065459A"/>
    <w:rsid w:val="00673E2E"/>
    <w:rsid w:val="00675FB0"/>
    <w:rsid w:val="00690F32"/>
    <w:rsid w:val="006A15AD"/>
    <w:rsid w:val="006A6493"/>
    <w:rsid w:val="006B0F84"/>
    <w:rsid w:val="006D1118"/>
    <w:rsid w:val="00725C72"/>
    <w:rsid w:val="0073108A"/>
    <w:rsid w:val="00732595"/>
    <w:rsid w:val="00753EC7"/>
    <w:rsid w:val="0075585F"/>
    <w:rsid w:val="0075722E"/>
    <w:rsid w:val="00760B0E"/>
    <w:rsid w:val="0076541F"/>
    <w:rsid w:val="00777BB1"/>
    <w:rsid w:val="00781405"/>
    <w:rsid w:val="00787A76"/>
    <w:rsid w:val="007B1EEE"/>
    <w:rsid w:val="007B35AB"/>
    <w:rsid w:val="007B35EA"/>
    <w:rsid w:val="007B63F4"/>
    <w:rsid w:val="007C3095"/>
    <w:rsid w:val="007F5DB2"/>
    <w:rsid w:val="0080383D"/>
    <w:rsid w:val="00816F63"/>
    <w:rsid w:val="00834983"/>
    <w:rsid w:val="008459BD"/>
    <w:rsid w:val="00856708"/>
    <w:rsid w:val="0087336C"/>
    <w:rsid w:val="00893E0A"/>
    <w:rsid w:val="008A67D8"/>
    <w:rsid w:val="008E4BC2"/>
    <w:rsid w:val="008F0E8D"/>
    <w:rsid w:val="008F0F12"/>
    <w:rsid w:val="008F2FA6"/>
    <w:rsid w:val="008F4ACF"/>
    <w:rsid w:val="008F54C9"/>
    <w:rsid w:val="00920273"/>
    <w:rsid w:val="009257E0"/>
    <w:rsid w:val="00927E4B"/>
    <w:rsid w:val="0095156E"/>
    <w:rsid w:val="00951B85"/>
    <w:rsid w:val="00953A80"/>
    <w:rsid w:val="009615C1"/>
    <w:rsid w:val="009734EA"/>
    <w:rsid w:val="00973669"/>
    <w:rsid w:val="00983FE6"/>
    <w:rsid w:val="009B5876"/>
    <w:rsid w:val="009D7A34"/>
    <w:rsid w:val="009E0135"/>
    <w:rsid w:val="009E0392"/>
    <w:rsid w:val="009E2C52"/>
    <w:rsid w:val="009E38CC"/>
    <w:rsid w:val="00A01BA4"/>
    <w:rsid w:val="00A272C3"/>
    <w:rsid w:val="00A54427"/>
    <w:rsid w:val="00A658B4"/>
    <w:rsid w:val="00A72CD1"/>
    <w:rsid w:val="00A90D4F"/>
    <w:rsid w:val="00AA075B"/>
    <w:rsid w:val="00AC7FBD"/>
    <w:rsid w:val="00AD7E83"/>
    <w:rsid w:val="00AE5764"/>
    <w:rsid w:val="00AF2C07"/>
    <w:rsid w:val="00AF5DC0"/>
    <w:rsid w:val="00B02356"/>
    <w:rsid w:val="00B06223"/>
    <w:rsid w:val="00B07BFF"/>
    <w:rsid w:val="00B11C6E"/>
    <w:rsid w:val="00B245D4"/>
    <w:rsid w:val="00B24BD5"/>
    <w:rsid w:val="00B31F4D"/>
    <w:rsid w:val="00B3726E"/>
    <w:rsid w:val="00B42411"/>
    <w:rsid w:val="00B475C9"/>
    <w:rsid w:val="00B60072"/>
    <w:rsid w:val="00B62A52"/>
    <w:rsid w:val="00B770EC"/>
    <w:rsid w:val="00B870A9"/>
    <w:rsid w:val="00B93BFB"/>
    <w:rsid w:val="00BA2ED6"/>
    <w:rsid w:val="00BA2F01"/>
    <w:rsid w:val="00BC79EC"/>
    <w:rsid w:val="00BD6558"/>
    <w:rsid w:val="00BD7E10"/>
    <w:rsid w:val="00BD7FED"/>
    <w:rsid w:val="00BE4722"/>
    <w:rsid w:val="00BF119E"/>
    <w:rsid w:val="00BF626A"/>
    <w:rsid w:val="00C1117F"/>
    <w:rsid w:val="00C3321A"/>
    <w:rsid w:val="00C41FC0"/>
    <w:rsid w:val="00C43EBC"/>
    <w:rsid w:val="00C45EDE"/>
    <w:rsid w:val="00C51F57"/>
    <w:rsid w:val="00C676B8"/>
    <w:rsid w:val="00C80871"/>
    <w:rsid w:val="00C83582"/>
    <w:rsid w:val="00CB13B4"/>
    <w:rsid w:val="00CB2EFB"/>
    <w:rsid w:val="00CD603E"/>
    <w:rsid w:val="00CD7F8B"/>
    <w:rsid w:val="00CE24F0"/>
    <w:rsid w:val="00D01C1E"/>
    <w:rsid w:val="00D12C94"/>
    <w:rsid w:val="00D3312A"/>
    <w:rsid w:val="00D552CB"/>
    <w:rsid w:val="00D71089"/>
    <w:rsid w:val="00D9046D"/>
    <w:rsid w:val="00D911F1"/>
    <w:rsid w:val="00D96C83"/>
    <w:rsid w:val="00DB52B1"/>
    <w:rsid w:val="00DC2153"/>
    <w:rsid w:val="00DC4B27"/>
    <w:rsid w:val="00DC64BE"/>
    <w:rsid w:val="00DE4EE7"/>
    <w:rsid w:val="00DF49A8"/>
    <w:rsid w:val="00DF567F"/>
    <w:rsid w:val="00E02717"/>
    <w:rsid w:val="00E03C75"/>
    <w:rsid w:val="00E21D8B"/>
    <w:rsid w:val="00E33A8C"/>
    <w:rsid w:val="00E57B7F"/>
    <w:rsid w:val="00E6230F"/>
    <w:rsid w:val="00E70A78"/>
    <w:rsid w:val="00E765F7"/>
    <w:rsid w:val="00E804AB"/>
    <w:rsid w:val="00E861FD"/>
    <w:rsid w:val="00E87507"/>
    <w:rsid w:val="00E90271"/>
    <w:rsid w:val="00E94B0F"/>
    <w:rsid w:val="00EF3F06"/>
    <w:rsid w:val="00F03182"/>
    <w:rsid w:val="00F21E6F"/>
    <w:rsid w:val="00F244FA"/>
    <w:rsid w:val="00F459DE"/>
    <w:rsid w:val="00F50165"/>
    <w:rsid w:val="00F77063"/>
    <w:rsid w:val="00FA37DC"/>
    <w:rsid w:val="00FB46FA"/>
    <w:rsid w:val="00FB6E19"/>
    <w:rsid w:val="00FE4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F02DE"/>
  <w15:docId w15:val="{9FE2AF17-AA15-445E-A1B1-0707BBF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CommentReference">
    <w:name w:val="annotation reference"/>
    <w:basedOn w:val="DefaultParagraphFont"/>
    <w:uiPriority w:val="99"/>
    <w:semiHidden/>
    <w:unhideWhenUsed/>
    <w:rsid w:val="002C116E"/>
    <w:rPr>
      <w:sz w:val="16"/>
      <w:szCs w:val="16"/>
    </w:rPr>
  </w:style>
  <w:style w:type="paragraph" w:styleId="CommentText">
    <w:name w:val="annotation text"/>
    <w:basedOn w:val="Normal"/>
    <w:link w:val="CommentTextChar"/>
    <w:uiPriority w:val="99"/>
    <w:semiHidden/>
    <w:unhideWhenUsed/>
    <w:rsid w:val="002C116E"/>
    <w:rPr>
      <w:sz w:val="20"/>
      <w:szCs w:val="20"/>
    </w:rPr>
  </w:style>
  <w:style w:type="character" w:customStyle="1" w:styleId="CommentTextChar">
    <w:name w:val="Comment Text Char"/>
    <w:basedOn w:val="DefaultParagraphFont"/>
    <w:link w:val="CommentText"/>
    <w:uiPriority w:val="99"/>
    <w:semiHidden/>
    <w:rsid w:val="002C116E"/>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2C116E"/>
    <w:rPr>
      <w:b/>
      <w:bCs/>
    </w:rPr>
  </w:style>
  <w:style w:type="character" w:customStyle="1" w:styleId="CommentSubjectChar">
    <w:name w:val="Comment Subject Char"/>
    <w:basedOn w:val="CommentTextChar"/>
    <w:link w:val="CommentSubject"/>
    <w:uiPriority w:val="99"/>
    <w:semiHidden/>
    <w:rsid w:val="002C116E"/>
    <w:rPr>
      <w:rFonts w:ascii="Calibri" w:eastAsia="Dotum" w:hAnsi="Calibri" w:cs="Calibri"/>
      <w:b/>
      <w:bCs/>
      <w:sz w:val="20"/>
      <w:szCs w:val="20"/>
    </w:rPr>
  </w:style>
  <w:style w:type="paragraph" w:styleId="BalloonText">
    <w:name w:val="Balloon Text"/>
    <w:basedOn w:val="Normal"/>
    <w:link w:val="BalloonTextChar"/>
    <w:uiPriority w:val="99"/>
    <w:semiHidden/>
    <w:unhideWhenUsed/>
    <w:rsid w:val="002C1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6E"/>
    <w:rPr>
      <w:rFonts w:ascii="Tahoma" w:eastAsia="Dotum" w:hAnsi="Tahoma" w:cs="Tahoma"/>
      <w:sz w:val="16"/>
      <w:szCs w:val="16"/>
    </w:rPr>
  </w:style>
  <w:style w:type="paragraph" w:styleId="Revision">
    <w:name w:val="Revision"/>
    <w:hidden/>
    <w:uiPriority w:val="99"/>
    <w:semiHidden/>
    <w:rsid w:val="00927E4B"/>
    <w:pPr>
      <w:spacing w:after="0" w:line="240" w:lineRule="auto"/>
    </w:pPr>
    <w:rPr>
      <w:rFonts w:ascii="Calibri" w:eastAsia="Dotum" w:hAnsi="Calibri" w:cs="Calibri"/>
    </w:rPr>
  </w:style>
  <w:style w:type="character" w:customStyle="1" w:styleId="ListParagraphChar">
    <w:name w:val="List Paragraph Char"/>
    <w:link w:val="ListParagraph"/>
    <w:uiPriority w:val="34"/>
    <w:rsid w:val="00AE5764"/>
    <w:rPr>
      <w:rFonts w:ascii="Calibri" w:eastAsia="Dotum" w:hAnsi="Calibri" w:cs="Calibri"/>
    </w:rPr>
  </w:style>
  <w:style w:type="character" w:styleId="Hyperlink">
    <w:name w:val="Hyperlink"/>
    <w:basedOn w:val="DefaultParagraphFont"/>
    <w:uiPriority w:val="99"/>
    <w:unhideWhenUsed/>
    <w:rsid w:val="007325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6502">
      <w:bodyDiv w:val="1"/>
      <w:marLeft w:val="0"/>
      <w:marRight w:val="0"/>
      <w:marTop w:val="0"/>
      <w:marBottom w:val="0"/>
      <w:divBdr>
        <w:top w:val="none" w:sz="0" w:space="0" w:color="auto"/>
        <w:left w:val="none" w:sz="0" w:space="0" w:color="auto"/>
        <w:bottom w:val="none" w:sz="0" w:space="0" w:color="auto"/>
        <w:right w:val="none" w:sz="0" w:space="0" w:color="auto"/>
      </w:divBdr>
    </w:div>
    <w:div w:id="1780635602">
      <w:bodyDiv w:val="1"/>
      <w:marLeft w:val="0"/>
      <w:marRight w:val="0"/>
      <w:marTop w:val="0"/>
      <w:marBottom w:val="0"/>
      <w:divBdr>
        <w:top w:val="none" w:sz="0" w:space="0" w:color="auto"/>
        <w:left w:val="none" w:sz="0" w:space="0" w:color="auto"/>
        <w:bottom w:val="none" w:sz="0" w:space="0" w:color="auto"/>
        <w:right w:val="none" w:sz="0" w:space="0" w:color="auto"/>
      </w:divBdr>
    </w:div>
    <w:div w:id="1803688845">
      <w:bodyDiv w:val="1"/>
      <w:marLeft w:val="0"/>
      <w:marRight w:val="0"/>
      <w:marTop w:val="0"/>
      <w:marBottom w:val="0"/>
      <w:divBdr>
        <w:top w:val="none" w:sz="0" w:space="0" w:color="auto"/>
        <w:left w:val="none" w:sz="0" w:space="0" w:color="auto"/>
        <w:bottom w:val="none" w:sz="0" w:space="0" w:color="auto"/>
        <w:right w:val="none" w:sz="0" w:space="0" w:color="auto"/>
      </w:divBdr>
    </w:div>
    <w:div w:id="1826125155">
      <w:bodyDiv w:val="1"/>
      <w:marLeft w:val="0"/>
      <w:marRight w:val="0"/>
      <w:marTop w:val="0"/>
      <w:marBottom w:val="0"/>
      <w:divBdr>
        <w:top w:val="none" w:sz="0" w:space="0" w:color="auto"/>
        <w:left w:val="none" w:sz="0" w:space="0" w:color="auto"/>
        <w:bottom w:val="none" w:sz="0" w:space="0" w:color="auto"/>
        <w:right w:val="none" w:sz="0" w:space="0" w:color="auto"/>
      </w:divBdr>
    </w:div>
    <w:div w:id="1905948255">
      <w:bodyDiv w:val="1"/>
      <w:marLeft w:val="0"/>
      <w:marRight w:val="0"/>
      <w:marTop w:val="0"/>
      <w:marBottom w:val="0"/>
      <w:divBdr>
        <w:top w:val="none" w:sz="0" w:space="0" w:color="auto"/>
        <w:left w:val="none" w:sz="0" w:space="0" w:color="auto"/>
        <w:bottom w:val="none" w:sz="0" w:space="0" w:color="auto"/>
        <w:right w:val="none" w:sz="0" w:space="0" w:color="auto"/>
      </w:divBdr>
    </w:div>
    <w:div w:id="20847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blood.gov.au/Ig-governance" TargetMode="External"/><Relationship Id="rId2" Type="http://schemas.openxmlformats.org/officeDocument/2006/relationships/hyperlink" Target="http://www.blood.gov.au" TargetMode="External"/><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2152</Characters>
  <Application>Microsoft Office Word</Application>
  <DocSecurity>4</DocSecurity>
  <Lines>179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Lyndsay Wall</dc:creator>
  <cp:lastModifiedBy>Tran, Alice</cp:lastModifiedBy>
  <cp:revision>2</cp:revision>
  <cp:lastPrinted>2020-02-28T03:11:00Z</cp:lastPrinted>
  <dcterms:created xsi:type="dcterms:W3CDTF">2025-03-17T04:06:00Z</dcterms:created>
  <dcterms:modified xsi:type="dcterms:W3CDTF">2025-03-17T04:06:00Z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2022-05-16T05:10:28Z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26b19d5d-1926-4fcb-9f8b-93b5ec7ff49d</vt:lpwstr>
  </property>
  <property fmtid="{D5CDD505-2E9C-101B-9397-08002B2CF9AE}" pid="11" name="MSIP_Label_11d3a1ea-a727-4720-a216-7dae13a61c56_ContentBits">
    <vt:lpwstr>1</vt:lpwstr>
  </property>
</Properties>
</file>