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3B" w:rsidRDefault="00B8483B" w:rsidP="00B8483B"/>
    <w:p w:rsidR="00B8483B" w:rsidRDefault="00B8483B" w:rsidP="00B8483B"/>
    <w:p w:rsidR="00E02585" w:rsidRDefault="00E02585" w:rsidP="00E02585">
      <w:pPr>
        <w:pStyle w:val="Heading1"/>
      </w:pPr>
      <w:bookmarkStart w:id="0" w:name="_top"/>
      <w:bookmarkStart w:id="1" w:name="_Toc204662450"/>
      <w:bookmarkStart w:id="2" w:name="_Toc215398451"/>
      <w:bookmarkStart w:id="3" w:name="_Toc220831192"/>
      <w:bookmarkStart w:id="4" w:name="_Toc217667001"/>
      <w:bookmarkStart w:id="5" w:name="_Toc215398453"/>
      <w:bookmarkStart w:id="6" w:name="_Toc204662451"/>
      <w:bookmarkStart w:id="7" w:name="_Toc223274098"/>
      <w:bookmarkStart w:id="8" w:name="_Toc224110038"/>
      <w:bookmarkStart w:id="9" w:name="_Toc224629639"/>
      <w:bookmarkStart w:id="10" w:name="_Toc27541499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E02585">
        <w:t xml:space="preserve">Laboratory Information System (LIS) Interface Facility Integration </w:t>
      </w:r>
      <w:r>
        <w:t>Verification</w:t>
      </w:r>
      <w:r w:rsidRPr="00E02585">
        <w:t xml:space="preserve"> </w:t>
      </w:r>
      <w:r w:rsidRPr="00024438">
        <w:t xml:space="preserve">Checklist </w:t>
      </w:r>
    </w:p>
    <w:p w:rsidR="00EE1941" w:rsidRPr="00EE1941" w:rsidRDefault="00EE1941" w:rsidP="00EF71DA">
      <w:r>
        <w:t xml:space="preserve">This checklist is to be completed by the LIS vendor or implementing pathology service AFTER the LIS vendor has successfully completed the ‘LIS </w:t>
      </w:r>
      <w:r w:rsidR="00EF71DA">
        <w:t>Interface</w:t>
      </w:r>
      <w:r>
        <w:t xml:space="preserve"> Vendor Verification Checklist’.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5268"/>
        <w:gridCol w:w="1136"/>
        <w:gridCol w:w="2810"/>
      </w:tblGrid>
      <w:tr w:rsidR="00E02585" w:rsidRPr="005B18A4" w:rsidTr="002F1BEA">
        <w:tc>
          <w:tcPr>
            <w:tcW w:w="392" w:type="dxa"/>
            <w:shd w:val="clear" w:color="auto" w:fill="C00000"/>
          </w:tcPr>
          <w:p w:rsidR="00E02585" w:rsidRPr="005B18A4" w:rsidRDefault="00E02585" w:rsidP="002F1BEA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5B18A4">
              <w:rPr>
                <w:b/>
                <w:color w:val="FFFFFF" w:themeColor="background1"/>
                <w:sz w:val="24"/>
              </w:rPr>
              <w:t>#</w:t>
            </w:r>
          </w:p>
        </w:tc>
        <w:tc>
          <w:tcPr>
            <w:tcW w:w="5268" w:type="dxa"/>
            <w:shd w:val="clear" w:color="auto" w:fill="C00000"/>
          </w:tcPr>
          <w:p w:rsidR="00E02585" w:rsidRPr="005B18A4" w:rsidRDefault="00E02585" w:rsidP="00FD462D">
            <w:pPr>
              <w:rPr>
                <w:b/>
                <w:color w:val="FFFFFF" w:themeColor="background1"/>
                <w:sz w:val="24"/>
              </w:rPr>
            </w:pPr>
            <w:r w:rsidRPr="005B18A4">
              <w:rPr>
                <w:b/>
                <w:color w:val="FFFFFF" w:themeColor="background1"/>
                <w:sz w:val="24"/>
              </w:rPr>
              <w:t>Check</w:t>
            </w:r>
          </w:p>
        </w:tc>
        <w:tc>
          <w:tcPr>
            <w:tcW w:w="1136" w:type="dxa"/>
            <w:shd w:val="clear" w:color="auto" w:fill="C00000"/>
          </w:tcPr>
          <w:p w:rsidR="00E02585" w:rsidRPr="005B18A4" w:rsidRDefault="00E02585" w:rsidP="00FD462D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Outcome</w:t>
            </w:r>
          </w:p>
        </w:tc>
        <w:tc>
          <w:tcPr>
            <w:tcW w:w="2810" w:type="dxa"/>
            <w:shd w:val="clear" w:color="auto" w:fill="C00000"/>
          </w:tcPr>
          <w:p w:rsidR="00E02585" w:rsidRPr="005B18A4" w:rsidRDefault="00E02585" w:rsidP="00FD462D">
            <w:pPr>
              <w:rPr>
                <w:b/>
                <w:color w:val="FFFFFF" w:themeColor="background1"/>
                <w:sz w:val="24"/>
              </w:rPr>
            </w:pPr>
            <w:r w:rsidRPr="005B18A4">
              <w:rPr>
                <w:b/>
                <w:color w:val="FFFFFF" w:themeColor="background1"/>
                <w:sz w:val="24"/>
              </w:rPr>
              <w:t>Comments</w:t>
            </w:r>
          </w:p>
        </w:tc>
      </w:tr>
      <w:tr w:rsidR="00E02585" w:rsidTr="002F1BEA">
        <w:tc>
          <w:tcPr>
            <w:tcW w:w="392" w:type="dxa"/>
          </w:tcPr>
          <w:p w:rsidR="00E02585" w:rsidRDefault="002F1BEA" w:rsidP="002F1BEA">
            <w:pPr>
              <w:jc w:val="center"/>
            </w:pPr>
            <w:r>
              <w:t>1</w:t>
            </w:r>
            <w:r w:rsidR="003562A3">
              <w:t>.</w:t>
            </w:r>
          </w:p>
        </w:tc>
        <w:tc>
          <w:tcPr>
            <w:tcW w:w="5268" w:type="dxa"/>
          </w:tcPr>
          <w:p w:rsidR="00E02585" w:rsidRPr="00D56B2A" w:rsidRDefault="00E02585" w:rsidP="00FD462D">
            <w:r>
              <w:t>Is the Facility’s vendor software already certified by NBA?</w:t>
            </w:r>
          </w:p>
        </w:tc>
        <w:tc>
          <w:tcPr>
            <w:tcW w:w="1136" w:type="dxa"/>
          </w:tcPr>
          <w:p w:rsidR="00E02585" w:rsidRDefault="005C221B" w:rsidP="00FD462D">
            <w:r>
              <w:t>Pass/Fail</w:t>
            </w:r>
          </w:p>
        </w:tc>
        <w:tc>
          <w:tcPr>
            <w:tcW w:w="2810" w:type="dxa"/>
          </w:tcPr>
          <w:p w:rsidR="005C221B" w:rsidRPr="00EF71DA" w:rsidRDefault="00E02585" w:rsidP="00EF71DA">
            <w:pPr>
              <w:rPr>
                <w:b/>
              </w:rPr>
            </w:pPr>
            <w:r>
              <w:t xml:space="preserve">If </w:t>
            </w:r>
            <w:r w:rsidR="00EE1941">
              <w:t xml:space="preserve">fail, the vendor must seek and obtain certification at the </w:t>
            </w:r>
            <w:r w:rsidR="00EE1941">
              <w:rPr>
                <w:u w:val="single"/>
              </w:rPr>
              <w:t>v</w:t>
            </w:r>
            <w:r w:rsidR="00EE1941" w:rsidRPr="00EF71DA">
              <w:rPr>
                <w:u w:val="single"/>
              </w:rPr>
              <w:t>endor</w:t>
            </w:r>
            <w:r w:rsidR="00EE1941" w:rsidRPr="00EF71DA">
              <w:t xml:space="preserve"> level</w:t>
            </w:r>
            <w:r w:rsidR="00EE1941">
              <w:t xml:space="preserve"> before proceeding.</w:t>
            </w:r>
          </w:p>
        </w:tc>
      </w:tr>
      <w:tr w:rsidR="00E02585" w:rsidTr="002F1BEA">
        <w:tc>
          <w:tcPr>
            <w:tcW w:w="392" w:type="dxa"/>
          </w:tcPr>
          <w:p w:rsidR="00E02585" w:rsidRDefault="002F1BEA" w:rsidP="002F1BEA">
            <w:pPr>
              <w:jc w:val="center"/>
            </w:pPr>
            <w:r>
              <w:t>2</w:t>
            </w:r>
            <w:r w:rsidR="003562A3">
              <w:t>.</w:t>
            </w:r>
          </w:p>
        </w:tc>
        <w:tc>
          <w:tcPr>
            <w:tcW w:w="5268" w:type="dxa"/>
          </w:tcPr>
          <w:p w:rsidR="00E02585" w:rsidRDefault="00E02585" w:rsidP="00FD462D">
            <w:r w:rsidRPr="00D56B2A">
              <w:t xml:space="preserve">Perform </w:t>
            </w:r>
            <w:r>
              <w:t xml:space="preserve">connectivity test by </w:t>
            </w:r>
            <w:r w:rsidRPr="00D56B2A">
              <w:t>successful</w:t>
            </w:r>
            <w:r>
              <w:t>ly</w:t>
            </w:r>
            <w:r w:rsidRPr="00D56B2A">
              <w:t xml:space="preserve"> </w:t>
            </w:r>
            <w:r>
              <w:t>calling</w:t>
            </w:r>
            <w:r w:rsidRPr="00D56B2A">
              <w:t xml:space="preserve"> data read </w:t>
            </w:r>
            <w:r>
              <w:t>operation</w:t>
            </w:r>
            <w:r w:rsidR="003244E5">
              <w:t>s</w:t>
            </w:r>
            <w:r>
              <w:t xml:space="preserve"> </w:t>
            </w:r>
            <w:r w:rsidRPr="00D56B2A">
              <w:t>(</w:t>
            </w:r>
            <w:r w:rsidR="003244E5">
              <w:t>For instance</w:t>
            </w:r>
            <w:r w:rsidRPr="00D56B2A">
              <w:t>:</w:t>
            </w:r>
            <w:r>
              <w:t xml:space="preserve"> </w:t>
            </w:r>
          </w:p>
          <w:p w:rsidR="00E02585" w:rsidRDefault="00E02585" w:rsidP="00FD462D">
            <w:r>
              <w:t>GetFacilities, GetSuppliers, GetSupplierProducts</w:t>
            </w:r>
            <w:r w:rsidR="003244E5">
              <w:t xml:space="preserve"> etc.</w:t>
            </w:r>
            <w:r>
              <w:t>)</w:t>
            </w:r>
          </w:p>
        </w:tc>
        <w:tc>
          <w:tcPr>
            <w:tcW w:w="1136" w:type="dxa"/>
          </w:tcPr>
          <w:p w:rsidR="00E02585" w:rsidRDefault="005C221B" w:rsidP="00FD462D">
            <w:r>
              <w:t>Pass/Fail</w:t>
            </w:r>
          </w:p>
        </w:tc>
        <w:tc>
          <w:tcPr>
            <w:tcW w:w="2810" w:type="dxa"/>
          </w:tcPr>
          <w:p w:rsidR="00E02585" w:rsidRDefault="00E02585" w:rsidP="00FD462D">
            <w:r>
              <w:t>Facility to confirm if they were able to successfully connect and retrieve data.</w:t>
            </w:r>
          </w:p>
        </w:tc>
      </w:tr>
      <w:tr w:rsidR="00E02585" w:rsidTr="002F1BEA">
        <w:tc>
          <w:tcPr>
            <w:tcW w:w="392" w:type="dxa"/>
          </w:tcPr>
          <w:p w:rsidR="00E02585" w:rsidRDefault="002F1BEA" w:rsidP="002F1BEA">
            <w:pPr>
              <w:jc w:val="center"/>
            </w:pPr>
            <w:r>
              <w:t>3</w:t>
            </w:r>
            <w:r w:rsidR="003562A3">
              <w:t>.</w:t>
            </w:r>
          </w:p>
        </w:tc>
        <w:tc>
          <w:tcPr>
            <w:tcW w:w="5268" w:type="dxa"/>
          </w:tcPr>
          <w:p w:rsidR="00E02585" w:rsidRDefault="00E02585" w:rsidP="00FD462D">
            <w:r>
              <w:t xml:space="preserve">Perform successful call to </w:t>
            </w:r>
            <w:r w:rsidRPr="00EF71DA">
              <w:rPr>
                <w:b/>
              </w:rPr>
              <w:t>GetReceiptedIssueNotes</w:t>
            </w:r>
            <w:r>
              <w:t xml:space="preserve"> </w:t>
            </w:r>
            <w:r w:rsidR="00B73DBB">
              <w:t>LIS function</w:t>
            </w:r>
            <w:r w:rsidR="00EE1941">
              <w:t xml:space="preserve"> – retrieve at least 100 issue notes.</w:t>
            </w:r>
          </w:p>
          <w:p w:rsidR="00B73DBB" w:rsidRDefault="00B73DBB" w:rsidP="00FD462D"/>
          <w:p w:rsidR="00B73DBB" w:rsidRDefault="00B73DBB" w:rsidP="00FD462D">
            <w:r w:rsidRPr="00EF71DA">
              <w:rPr>
                <w:b/>
                <w:u w:val="single"/>
              </w:rPr>
              <w:t>Note:</w:t>
            </w:r>
            <w:r>
              <w:t xml:space="preserve">  To pass step four the facility will need to retrieve at least two issue notes as part of this call. Alternatively they will need to make multiple calls to this service.</w:t>
            </w:r>
          </w:p>
        </w:tc>
        <w:tc>
          <w:tcPr>
            <w:tcW w:w="1136" w:type="dxa"/>
          </w:tcPr>
          <w:p w:rsidR="00E02585" w:rsidRDefault="005C221B" w:rsidP="00FD462D">
            <w:r>
              <w:t>Pass/Fail</w:t>
            </w:r>
          </w:p>
        </w:tc>
        <w:tc>
          <w:tcPr>
            <w:tcW w:w="2810" w:type="dxa"/>
          </w:tcPr>
          <w:p w:rsidR="00E02585" w:rsidRDefault="00E02585" w:rsidP="00FD462D">
            <w:r>
              <w:t>Facility to confirm if they were about to successfully connect and retrieve data.</w:t>
            </w:r>
          </w:p>
        </w:tc>
      </w:tr>
      <w:tr w:rsidR="00E02585" w:rsidTr="002F1BEA">
        <w:tc>
          <w:tcPr>
            <w:tcW w:w="392" w:type="dxa"/>
          </w:tcPr>
          <w:p w:rsidR="00E02585" w:rsidRDefault="002F1BEA" w:rsidP="002F1BEA">
            <w:pPr>
              <w:jc w:val="center"/>
            </w:pPr>
            <w:r>
              <w:t>4</w:t>
            </w:r>
            <w:r w:rsidR="003562A3">
              <w:t>.</w:t>
            </w:r>
          </w:p>
        </w:tc>
        <w:tc>
          <w:tcPr>
            <w:tcW w:w="5268" w:type="dxa"/>
          </w:tcPr>
          <w:p w:rsidR="00E02585" w:rsidRDefault="00E02585" w:rsidP="00FD462D">
            <w:r>
              <w:t xml:space="preserve">Perform successful call </w:t>
            </w:r>
            <w:r w:rsidR="00A0503C">
              <w:t xml:space="preserve">to </w:t>
            </w:r>
            <w:r w:rsidRPr="00EF71DA">
              <w:rPr>
                <w:b/>
              </w:rPr>
              <w:t>AcknowledgeReceiptedIssueNotes</w:t>
            </w:r>
            <w:r>
              <w:t xml:space="preserve"> </w:t>
            </w:r>
            <w:r w:rsidR="00B73DBB">
              <w:t>LIS function</w:t>
            </w:r>
            <w:r>
              <w:t xml:space="preserve"> to acknowledge at least </w:t>
            </w:r>
            <w:r w:rsidR="00EE1941">
              <w:t>100</w:t>
            </w:r>
            <w:r>
              <w:t xml:space="preserve"> issue note</w:t>
            </w:r>
            <w:r w:rsidR="00EE1941">
              <w:t>s</w:t>
            </w:r>
            <w:r>
              <w:t xml:space="preserve">. </w:t>
            </w:r>
          </w:p>
          <w:p w:rsidR="00E02585" w:rsidRDefault="00E02585" w:rsidP="00FD462D"/>
          <w:p w:rsidR="00E02585" w:rsidRDefault="00E02585">
            <w:r w:rsidRPr="00FC4FEE">
              <w:rPr>
                <w:b/>
                <w:u w:val="single"/>
              </w:rPr>
              <w:t>Note:</w:t>
            </w:r>
            <w:r>
              <w:t xml:space="preserve"> this operation must be repeated at least 3 times and </w:t>
            </w:r>
            <w:r w:rsidR="00B56CB0">
              <w:t>must</w:t>
            </w:r>
            <w:r>
              <w:t xml:space="preserve"> </w:t>
            </w:r>
            <w:r w:rsidR="00907593">
              <w:t xml:space="preserve">be </w:t>
            </w:r>
            <w:r>
              <w:t xml:space="preserve">more than one issue note </w:t>
            </w:r>
            <w:r w:rsidR="00B73DBB">
              <w:t>in</w:t>
            </w:r>
            <w:r>
              <w:t xml:space="preserve"> these </w:t>
            </w:r>
            <w:r w:rsidR="00B73DBB">
              <w:t xml:space="preserve">three </w:t>
            </w:r>
            <w:r>
              <w:t xml:space="preserve">calls. </w:t>
            </w:r>
          </w:p>
        </w:tc>
        <w:tc>
          <w:tcPr>
            <w:tcW w:w="1136" w:type="dxa"/>
          </w:tcPr>
          <w:p w:rsidR="00E02585" w:rsidRDefault="005C221B" w:rsidP="00FD462D">
            <w:r>
              <w:t>Pass/Fail</w:t>
            </w:r>
          </w:p>
        </w:tc>
        <w:tc>
          <w:tcPr>
            <w:tcW w:w="2810" w:type="dxa"/>
          </w:tcPr>
          <w:p w:rsidR="00E02585" w:rsidRDefault="00E02585">
            <w:r>
              <w:t xml:space="preserve">Facility and </w:t>
            </w:r>
            <w:r w:rsidRPr="00134C66">
              <w:t xml:space="preserve">NBA confirm </w:t>
            </w:r>
            <w:r>
              <w:t xml:space="preserve">that </w:t>
            </w:r>
            <w:r w:rsidRPr="00134C66">
              <w:t xml:space="preserve">the LIS </w:t>
            </w:r>
            <w:r w:rsidR="00B56CB0">
              <w:t>A</w:t>
            </w:r>
            <w:r w:rsidR="00B73DBB">
              <w:t>ction l</w:t>
            </w:r>
            <w:r w:rsidRPr="00134C66">
              <w:t xml:space="preserve">og in BloodNet </w:t>
            </w:r>
            <w:r w:rsidR="00B73DBB">
              <w:t>shows</w:t>
            </w:r>
            <w:r w:rsidR="00B73DBB" w:rsidRPr="00134C66">
              <w:t xml:space="preserve"> </w:t>
            </w:r>
            <w:r w:rsidRPr="00134C66">
              <w:t xml:space="preserve">the acknowledged issue notes and the Receipting page </w:t>
            </w:r>
            <w:r w:rsidR="00B73DBB">
              <w:t>shows that</w:t>
            </w:r>
            <w:r w:rsidRPr="00134C66">
              <w:t xml:space="preserve"> the</w:t>
            </w:r>
            <w:r w:rsidR="00B73DBB">
              <w:t xml:space="preserve"> </w:t>
            </w:r>
            <w:r w:rsidRPr="00134C66">
              <w:t>Issue Notes</w:t>
            </w:r>
            <w:r w:rsidR="00B73DBB">
              <w:t xml:space="preserve"> have been acknowledged</w:t>
            </w:r>
            <w:r w:rsidRPr="00134C66">
              <w:t xml:space="preserve">.  </w:t>
            </w:r>
          </w:p>
        </w:tc>
      </w:tr>
      <w:tr w:rsidR="00E02585" w:rsidTr="002F1BEA">
        <w:tc>
          <w:tcPr>
            <w:tcW w:w="392" w:type="dxa"/>
          </w:tcPr>
          <w:p w:rsidR="00E02585" w:rsidRDefault="002F1BEA" w:rsidP="002F1BEA">
            <w:pPr>
              <w:jc w:val="center"/>
            </w:pPr>
            <w:r>
              <w:t>5</w:t>
            </w:r>
            <w:r w:rsidR="003562A3">
              <w:t>.</w:t>
            </w:r>
          </w:p>
        </w:tc>
        <w:tc>
          <w:tcPr>
            <w:tcW w:w="5268" w:type="dxa"/>
          </w:tcPr>
          <w:p w:rsidR="00E02585" w:rsidRDefault="00E02585">
            <w:r>
              <w:t xml:space="preserve">Perform successful call to </w:t>
            </w:r>
            <w:r w:rsidRPr="00EF71DA">
              <w:rPr>
                <w:b/>
              </w:rPr>
              <w:t>UpdateRealTimeInventoryLevels</w:t>
            </w:r>
            <w:r>
              <w:t xml:space="preserve"> </w:t>
            </w:r>
            <w:r w:rsidR="00B73DBB">
              <w:t>LIS</w:t>
            </w:r>
            <w:r>
              <w:t xml:space="preserve"> </w:t>
            </w:r>
            <w:r w:rsidR="00B73DBB">
              <w:t xml:space="preserve">function </w:t>
            </w:r>
            <w:r>
              <w:t>to update the facility’s stock levels.</w:t>
            </w:r>
          </w:p>
        </w:tc>
        <w:tc>
          <w:tcPr>
            <w:tcW w:w="1136" w:type="dxa"/>
          </w:tcPr>
          <w:p w:rsidR="00E02585" w:rsidRDefault="005C221B" w:rsidP="00FD462D">
            <w:r>
              <w:t>Pass/Fail</w:t>
            </w:r>
          </w:p>
        </w:tc>
        <w:tc>
          <w:tcPr>
            <w:tcW w:w="2810" w:type="dxa"/>
          </w:tcPr>
          <w:p w:rsidR="00E02585" w:rsidRDefault="00E02585" w:rsidP="00A0503C">
            <w:r>
              <w:t xml:space="preserve">Facility and </w:t>
            </w:r>
            <w:r w:rsidRPr="00134C66">
              <w:t xml:space="preserve">NBA </w:t>
            </w:r>
            <w:r>
              <w:t>confirm</w:t>
            </w:r>
            <w:r w:rsidRPr="00134C66">
              <w:t xml:space="preserve"> </w:t>
            </w:r>
            <w:r w:rsidR="00B73DBB">
              <w:t>that BloodNet inventory levels match those sent by the facility.</w:t>
            </w:r>
          </w:p>
        </w:tc>
      </w:tr>
      <w:tr w:rsidR="00B73DBB" w:rsidTr="002F1BEA">
        <w:tc>
          <w:tcPr>
            <w:tcW w:w="392" w:type="dxa"/>
          </w:tcPr>
          <w:p w:rsidR="00B73DBB" w:rsidRDefault="002F1BEA" w:rsidP="002F1BEA">
            <w:pPr>
              <w:jc w:val="center"/>
            </w:pPr>
            <w:r>
              <w:t>6</w:t>
            </w:r>
            <w:r w:rsidR="003562A3">
              <w:t>.</w:t>
            </w:r>
          </w:p>
        </w:tc>
        <w:tc>
          <w:tcPr>
            <w:tcW w:w="5268" w:type="dxa"/>
          </w:tcPr>
          <w:p w:rsidR="00B73DBB" w:rsidRDefault="00B73DBB" w:rsidP="00B73DBB">
            <w:r>
              <w:t xml:space="preserve">Verify that the facility is </w:t>
            </w:r>
            <w:r w:rsidR="00907593">
              <w:t>s</w:t>
            </w:r>
            <w:r>
              <w:t>ending Inventory level updates every fifteen minutes.</w:t>
            </w:r>
          </w:p>
        </w:tc>
        <w:tc>
          <w:tcPr>
            <w:tcW w:w="1136" w:type="dxa"/>
          </w:tcPr>
          <w:p w:rsidR="00B73DBB" w:rsidRDefault="005C221B" w:rsidP="00FD462D">
            <w:r>
              <w:t>Pass/Fail</w:t>
            </w:r>
          </w:p>
        </w:tc>
        <w:tc>
          <w:tcPr>
            <w:tcW w:w="2810" w:type="dxa"/>
          </w:tcPr>
          <w:p w:rsidR="00B73DBB" w:rsidRDefault="00B73DBB" w:rsidP="00B73DBB">
            <w:r>
              <w:t xml:space="preserve">NBA to monitor </w:t>
            </w:r>
            <w:r w:rsidR="005C221B">
              <w:t>facility inventory updates for at least one day to ensure the updates are occurring according to schedule.</w:t>
            </w:r>
          </w:p>
        </w:tc>
      </w:tr>
      <w:tr w:rsidR="00E02585" w:rsidTr="002F1BEA">
        <w:tc>
          <w:tcPr>
            <w:tcW w:w="392" w:type="dxa"/>
          </w:tcPr>
          <w:p w:rsidR="00E02585" w:rsidRDefault="002F1BEA" w:rsidP="002F1BEA">
            <w:pPr>
              <w:jc w:val="center"/>
            </w:pPr>
            <w:r>
              <w:t>7</w:t>
            </w:r>
            <w:r w:rsidR="003562A3">
              <w:t>.</w:t>
            </w:r>
            <w:bookmarkStart w:id="11" w:name="_GoBack"/>
            <w:bookmarkEnd w:id="11"/>
          </w:p>
        </w:tc>
        <w:tc>
          <w:tcPr>
            <w:tcW w:w="5268" w:type="dxa"/>
          </w:tcPr>
          <w:p w:rsidR="00E02585" w:rsidRDefault="00E02585" w:rsidP="00FD462D">
            <w:r>
              <w:t>Perform successful call</w:t>
            </w:r>
            <w:r w:rsidR="005C221B">
              <w:t>s</w:t>
            </w:r>
            <w:r>
              <w:t xml:space="preserve"> to </w:t>
            </w:r>
            <w:r w:rsidRPr="00EF71DA">
              <w:rPr>
                <w:b/>
              </w:rPr>
              <w:t>FateOfUnit</w:t>
            </w:r>
            <w:r>
              <w:t xml:space="preserve"> </w:t>
            </w:r>
            <w:r w:rsidR="005C221B">
              <w:t>LIS function</w:t>
            </w:r>
            <w:r>
              <w:t xml:space="preserve"> to</w:t>
            </w:r>
            <w:r w:rsidR="005C221B">
              <w:t xml:space="preserve"> supply a</w:t>
            </w:r>
            <w:r>
              <w:t xml:space="preserve"> fate </w:t>
            </w:r>
            <w:r w:rsidR="005C221B">
              <w:t xml:space="preserve">for </w:t>
            </w:r>
            <w:r>
              <w:t>a component or product.</w:t>
            </w:r>
          </w:p>
          <w:p w:rsidR="00E02585" w:rsidRDefault="00E02585" w:rsidP="00FD462D"/>
          <w:p w:rsidR="00E02585" w:rsidRDefault="00E02585" w:rsidP="00FD462D">
            <w:r w:rsidRPr="00FC4FEE">
              <w:rPr>
                <w:b/>
                <w:u w:val="single"/>
              </w:rPr>
              <w:t>Note:</w:t>
            </w:r>
            <w:r>
              <w:t xml:space="preserve"> </w:t>
            </w:r>
            <w:r w:rsidR="005C221B">
              <w:t>T</w:t>
            </w:r>
            <w:r>
              <w:t xml:space="preserve">his operation must be repeated for all fate types and must involve </w:t>
            </w:r>
            <w:r w:rsidR="005C221B">
              <w:t xml:space="preserve">both </w:t>
            </w:r>
            <w:r>
              <w:t>components and products.</w:t>
            </w:r>
          </w:p>
        </w:tc>
        <w:tc>
          <w:tcPr>
            <w:tcW w:w="1136" w:type="dxa"/>
          </w:tcPr>
          <w:p w:rsidR="00E02585" w:rsidRDefault="00E02585" w:rsidP="00FD462D">
            <w:r>
              <w:t>Fail/Pass</w:t>
            </w:r>
          </w:p>
        </w:tc>
        <w:tc>
          <w:tcPr>
            <w:tcW w:w="2810" w:type="dxa"/>
          </w:tcPr>
          <w:p w:rsidR="00E02585" w:rsidRDefault="00E02585">
            <w:r>
              <w:t xml:space="preserve">Facility and </w:t>
            </w:r>
            <w:r w:rsidRPr="00134C66">
              <w:t xml:space="preserve">NBA </w:t>
            </w:r>
            <w:r>
              <w:t>confirm</w:t>
            </w:r>
            <w:r w:rsidRPr="00134C66">
              <w:t xml:space="preserve"> </w:t>
            </w:r>
            <w:r>
              <w:t xml:space="preserve">that </w:t>
            </w:r>
            <w:r w:rsidRPr="00134C66">
              <w:t xml:space="preserve">the LIS </w:t>
            </w:r>
            <w:r w:rsidR="00907593">
              <w:t>A</w:t>
            </w:r>
            <w:r w:rsidR="005C221B">
              <w:t xml:space="preserve">ction Log in </w:t>
            </w:r>
            <w:r w:rsidRPr="00134C66">
              <w:t xml:space="preserve">BloodNet web site </w:t>
            </w:r>
            <w:r>
              <w:t xml:space="preserve">reflects </w:t>
            </w:r>
            <w:r w:rsidRPr="00134C66">
              <w:t xml:space="preserve">the </w:t>
            </w:r>
            <w:r>
              <w:t>fate</w:t>
            </w:r>
            <w:r>
              <w:rPr>
                <w:lang w:eastAsia="en-AU"/>
              </w:rPr>
              <w:t xml:space="preserve"> details </w:t>
            </w:r>
            <w:r w:rsidR="005C221B">
              <w:rPr>
                <w:lang w:eastAsia="en-AU"/>
              </w:rPr>
              <w:t xml:space="preserve">sent by the facility </w:t>
            </w:r>
            <w:r>
              <w:rPr>
                <w:lang w:eastAsia="en-AU"/>
              </w:rPr>
              <w:t xml:space="preserve">and the fate summary page </w:t>
            </w:r>
            <w:r w:rsidR="005C221B">
              <w:rPr>
                <w:lang w:eastAsia="en-AU"/>
              </w:rPr>
              <w:t xml:space="preserve">also shows </w:t>
            </w:r>
            <w:r>
              <w:rPr>
                <w:lang w:eastAsia="en-AU"/>
              </w:rPr>
              <w:t>the correct fate details</w:t>
            </w:r>
            <w:r w:rsidRPr="00134C66">
              <w:t xml:space="preserve">.  </w:t>
            </w:r>
          </w:p>
        </w:tc>
      </w:tr>
    </w:tbl>
    <w:p w:rsidR="00E02585" w:rsidRDefault="00E02585" w:rsidP="00EF71DA">
      <w:pPr>
        <w:rPr>
          <w:rStyle w:val="Hyperlink"/>
          <w:rFonts w:ascii="Arial" w:hAnsi="Arial" w:cs="Arial"/>
          <w:sz w:val="20"/>
          <w:szCs w:val="20"/>
        </w:rPr>
      </w:pPr>
    </w:p>
    <w:sectPr w:rsidR="00E02585" w:rsidSect="0073507E">
      <w:footerReference w:type="default" r:id="rId8"/>
      <w:headerReference w:type="first" r:id="rId9"/>
      <w:footerReference w:type="first" r:id="rId10"/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87" w:rsidRDefault="00A56887" w:rsidP="00856708">
      <w:pPr>
        <w:spacing w:after="0"/>
      </w:pPr>
      <w:r>
        <w:separator/>
      </w:r>
    </w:p>
  </w:endnote>
  <w:endnote w:type="continuationSeparator" w:id="0">
    <w:p w:rsidR="00A56887" w:rsidRDefault="00A56887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08" w:rsidRPr="00856708" w:rsidRDefault="00856708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  <w:r w:rsidRPr="00856708">
      <w:rPr>
        <w:sz w:val="20"/>
        <w:szCs w:val="20"/>
      </w:rPr>
      <w:t>National Blood Authority</w:t>
    </w:r>
    <w:r w:rsidRPr="00856708">
      <w:rPr>
        <w:sz w:val="20"/>
        <w:szCs w:val="20"/>
      </w:rPr>
      <w:tab/>
    </w:r>
    <w:r w:rsidRPr="00856708">
      <w:rPr>
        <w:sz w:val="20"/>
        <w:szCs w:val="20"/>
      </w:rPr>
      <w:tab/>
      <w:t xml:space="preserve">pg. </w:t>
    </w:r>
    <w:r w:rsidRPr="00856708">
      <w:rPr>
        <w:sz w:val="20"/>
        <w:szCs w:val="20"/>
      </w:rPr>
      <w:fldChar w:fldCharType="begin"/>
    </w:r>
    <w:r w:rsidRPr="00856708">
      <w:rPr>
        <w:sz w:val="20"/>
        <w:szCs w:val="20"/>
      </w:rPr>
      <w:instrText xml:space="preserve"> PAGE    \* MERGEFORMAT </w:instrText>
    </w:r>
    <w:r w:rsidRPr="00856708">
      <w:rPr>
        <w:sz w:val="20"/>
        <w:szCs w:val="20"/>
      </w:rPr>
      <w:fldChar w:fldCharType="separate"/>
    </w:r>
    <w:r w:rsidR="002F1BEA">
      <w:rPr>
        <w:noProof/>
        <w:sz w:val="20"/>
        <w:szCs w:val="20"/>
      </w:rPr>
      <w:t>2</w:t>
    </w:r>
    <w:r w:rsidRPr="0085670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3B" w:rsidRPr="00E707F0" w:rsidRDefault="00B8483B" w:rsidP="00B8483B">
    <w:pPr>
      <w:pStyle w:val="Footer"/>
      <w:tabs>
        <w:tab w:val="left" w:pos="6521"/>
      </w:tabs>
      <w:ind w:left="-284" w:right="-306" w:firstLine="284"/>
      <w:jc w:val="both"/>
      <w:rPr>
        <w:rFonts w:ascii="Arial" w:hAnsi="Arial" w:cs="Arial"/>
        <w:spacing w:val="-6"/>
        <w:sz w:val="26"/>
        <w:szCs w:val="26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B08A800" wp14:editId="6621C6F0">
          <wp:simplePos x="0" y="0"/>
          <wp:positionH relativeFrom="column">
            <wp:posOffset>-180975</wp:posOffset>
          </wp:positionH>
          <wp:positionV relativeFrom="paragraph">
            <wp:posOffset>29845</wp:posOffset>
          </wp:positionV>
          <wp:extent cx="2552700" cy="47654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Logo_CMYK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476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3182B">
      <w:rPr>
        <w:b/>
        <w:color w:val="C00000"/>
      </w:rPr>
      <w:t xml:space="preserve"> </w:t>
    </w:r>
    <w:r>
      <w:rPr>
        <w:b/>
        <w:color w:val="C00000"/>
      </w:rPr>
      <w:tab/>
    </w:r>
    <w:r w:rsidRPr="00E707F0">
      <w:rPr>
        <w:rFonts w:ascii="Arial" w:hAnsi="Arial" w:cs="Arial"/>
        <w:color w:val="C00000"/>
        <w:spacing w:val="-6"/>
        <w:sz w:val="26"/>
        <w:szCs w:val="26"/>
      </w:rPr>
      <w:t xml:space="preserve">Support </w:t>
    </w:r>
  </w:p>
  <w:p w:rsidR="00B8483B" w:rsidRPr="00465009" w:rsidRDefault="00B8483B" w:rsidP="00B8483B">
    <w:pPr>
      <w:pStyle w:val="Footer"/>
      <w:tabs>
        <w:tab w:val="clear" w:pos="9026"/>
        <w:tab w:val="left" w:pos="6521"/>
      </w:tabs>
      <w:ind w:right="-306"/>
      <w:rPr>
        <w:sz w:val="20"/>
        <w:szCs w:val="20"/>
      </w:rPr>
    </w:pPr>
    <w:r>
      <w:tab/>
    </w:r>
    <w:r>
      <w:tab/>
    </w:r>
    <w:r w:rsidRPr="00465009">
      <w:rPr>
        <w:sz w:val="20"/>
        <w:szCs w:val="20"/>
      </w:rPr>
      <w:t>p</w:t>
    </w:r>
    <w:r>
      <w:rPr>
        <w:sz w:val="20"/>
        <w:szCs w:val="20"/>
      </w:rPr>
      <w:t>hone</w:t>
    </w:r>
    <w:r w:rsidRPr="00465009">
      <w:rPr>
        <w:sz w:val="20"/>
        <w:szCs w:val="20"/>
      </w:rPr>
      <w:t>: 13 000 BLOOD (13 000 25663)</w:t>
    </w:r>
    <w:r w:rsidRPr="00465009">
      <w:rPr>
        <w:sz w:val="20"/>
        <w:szCs w:val="20"/>
      </w:rPr>
      <w:tab/>
    </w:r>
    <w:r w:rsidRPr="00465009">
      <w:rPr>
        <w:sz w:val="20"/>
        <w:szCs w:val="20"/>
      </w:rPr>
      <w:tab/>
    </w:r>
    <w:r>
      <w:rPr>
        <w:sz w:val="20"/>
        <w:szCs w:val="20"/>
      </w:rPr>
      <w:t xml:space="preserve">email: </w:t>
    </w:r>
    <w:hyperlink r:id="rId2" w:history="1">
      <w:r w:rsidRPr="00465009">
        <w:rPr>
          <w:rStyle w:val="Hyperlink"/>
          <w:sz w:val="20"/>
          <w:szCs w:val="20"/>
        </w:rPr>
        <w:t>support@blood.gov.au</w:t>
      </w:r>
    </w:hyperlink>
  </w:p>
  <w:p w:rsidR="00B8483B" w:rsidRPr="00E02585" w:rsidRDefault="00B8483B" w:rsidP="00970F08">
    <w:pPr>
      <w:pStyle w:val="Footer"/>
      <w:tabs>
        <w:tab w:val="left" w:pos="6521"/>
      </w:tabs>
      <w:ind w:right="-306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fax: 02 6151 5210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87" w:rsidRDefault="00A56887" w:rsidP="00856708">
      <w:pPr>
        <w:spacing w:after="0"/>
      </w:pPr>
      <w:r>
        <w:separator/>
      </w:r>
    </w:p>
  </w:footnote>
  <w:footnote w:type="continuationSeparator" w:id="0">
    <w:p w:rsidR="00A56887" w:rsidRDefault="00A56887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3B" w:rsidRDefault="00B8483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732B6335" wp14:editId="6289EE73">
          <wp:simplePos x="0" y="0"/>
          <wp:positionH relativeFrom="column">
            <wp:posOffset>-923925</wp:posOffset>
          </wp:positionH>
          <wp:positionV relativeFrom="paragraph">
            <wp:posOffset>-448945</wp:posOffset>
          </wp:positionV>
          <wp:extent cx="7581900" cy="158115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A4 Factsheets_Background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85253"/>
                  <a:stretch/>
                </pic:blipFill>
                <pic:spPr bwMode="auto">
                  <a:xfrm>
                    <a:off x="0" y="0"/>
                    <a:ext cx="758190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608D97E7" wp14:editId="330968DD">
          <wp:simplePos x="0" y="0"/>
          <wp:positionH relativeFrom="column">
            <wp:posOffset>-180975</wp:posOffset>
          </wp:positionH>
          <wp:positionV relativeFrom="paragraph">
            <wp:posOffset>2157</wp:posOffset>
          </wp:positionV>
          <wp:extent cx="2447925" cy="395988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ODNET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39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4A2"/>
    <w:multiLevelType w:val="hybridMultilevel"/>
    <w:tmpl w:val="219E36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7596F"/>
    <w:multiLevelType w:val="hybridMultilevel"/>
    <w:tmpl w:val="75769D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B446E"/>
    <w:multiLevelType w:val="hybridMultilevel"/>
    <w:tmpl w:val="40BA98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A38A2"/>
    <w:multiLevelType w:val="hybridMultilevel"/>
    <w:tmpl w:val="B0E267BA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E5E0A"/>
    <w:multiLevelType w:val="hybridMultilevel"/>
    <w:tmpl w:val="4D5AFF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D63F5"/>
    <w:multiLevelType w:val="hybridMultilevel"/>
    <w:tmpl w:val="1264F8E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C83141C"/>
    <w:multiLevelType w:val="hybridMultilevel"/>
    <w:tmpl w:val="4D5AFF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E217A"/>
    <w:multiLevelType w:val="hybridMultilevel"/>
    <w:tmpl w:val="4D5AFF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77D30"/>
    <w:multiLevelType w:val="hybridMultilevel"/>
    <w:tmpl w:val="B0E267BA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5366779"/>
    <w:multiLevelType w:val="hybridMultilevel"/>
    <w:tmpl w:val="4D5AFF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445209"/>
    <w:multiLevelType w:val="hybridMultilevel"/>
    <w:tmpl w:val="7C5E9F48"/>
    <w:lvl w:ilvl="0" w:tplc="46DCD372">
      <w:numFmt w:val="bullet"/>
      <w:lvlText w:val="-"/>
      <w:lvlJc w:val="left"/>
      <w:pPr>
        <w:ind w:left="720" w:hanging="360"/>
      </w:pPr>
      <w:rPr>
        <w:rFonts w:ascii="Calibri" w:eastAsia="Dotum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A607E2"/>
    <w:multiLevelType w:val="hybridMultilevel"/>
    <w:tmpl w:val="4D5AFF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C4C1C"/>
    <w:multiLevelType w:val="hybridMultilevel"/>
    <w:tmpl w:val="491661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6"/>
  </w:num>
  <w:num w:numId="4">
    <w:abstractNumId w:val="11"/>
  </w:num>
  <w:num w:numId="5">
    <w:abstractNumId w:val="4"/>
  </w:num>
  <w:num w:numId="6">
    <w:abstractNumId w:val="14"/>
  </w:num>
  <w:num w:numId="7">
    <w:abstractNumId w:val="16"/>
  </w:num>
  <w:num w:numId="8">
    <w:abstractNumId w:val="9"/>
  </w:num>
  <w:num w:numId="9">
    <w:abstractNumId w:val="10"/>
  </w:num>
  <w:num w:numId="10">
    <w:abstractNumId w:val="13"/>
  </w:num>
  <w:num w:numId="11">
    <w:abstractNumId w:val="2"/>
  </w:num>
  <w:num w:numId="12">
    <w:abstractNumId w:val="15"/>
  </w:num>
  <w:num w:numId="13">
    <w:abstractNumId w:val="8"/>
  </w:num>
  <w:num w:numId="14">
    <w:abstractNumId w:val="7"/>
  </w:num>
  <w:num w:numId="15">
    <w:abstractNumId w:val="1"/>
  </w:num>
  <w:num w:numId="16">
    <w:abstractNumId w:val="3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69"/>
    <w:rsid w:val="00036EDC"/>
    <w:rsid w:val="000F6DE7"/>
    <w:rsid w:val="00121BE9"/>
    <w:rsid w:val="001305BA"/>
    <w:rsid w:val="001A289B"/>
    <w:rsid w:val="001F1692"/>
    <w:rsid w:val="002537F2"/>
    <w:rsid w:val="00254192"/>
    <w:rsid w:val="00295CD3"/>
    <w:rsid w:val="002E74B8"/>
    <w:rsid w:val="002F1BEA"/>
    <w:rsid w:val="003244E5"/>
    <w:rsid w:val="00330348"/>
    <w:rsid w:val="003562A3"/>
    <w:rsid w:val="003624D9"/>
    <w:rsid w:val="003828FC"/>
    <w:rsid w:val="003D27F1"/>
    <w:rsid w:val="003E103F"/>
    <w:rsid w:val="003F0113"/>
    <w:rsid w:val="00427696"/>
    <w:rsid w:val="004D4636"/>
    <w:rsid w:val="004E1636"/>
    <w:rsid w:val="00540020"/>
    <w:rsid w:val="00544898"/>
    <w:rsid w:val="00563C6E"/>
    <w:rsid w:val="005C221B"/>
    <w:rsid w:val="005D16ED"/>
    <w:rsid w:val="00693BA1"/>
    <w:rsid w:val="00696884"/>
    <w:rsid w:val="006B4D57"/>
    <w:rsid w:val="007234C0"/>
    <w:rsid w:val="00725187"/>
    <w:rsid w:val="0073507E"/>
    <w:rsid w:val="007356E5"/>
    <w:rsid w:val="007544FA"/>
    <w:rsid w:val="0081560C"/>
    <w:rsid w:val="00815B25"/>
    <w:rsid w:val="00831E6C"/>
    <w:rsid w:val="00832618"/>
    <w:rsid w:val="00856708"/>
    <w:rsid w:val="00893E0A"/>
    <w:rsid w:val="008C5908"/>
    <w:rsid w:val="00907593"/>
    <w:rsid w:val="00951B85"/>
    <w:rsid w:val="00970F08"/>
    <w:rsid w:val="009A12B0"/>
    <w:rsid w:val="009A68B6"/>
    <w:rsid w:val="009C50DD"/>
    <w:rsid w:val="009E38CC"/>
    <w:rsid w:val="00A0503C"/>
    <w:rsid w:val="00A56887"/>
    <w:rsid w:val="00AC020C"/>
    <w:rsid w:val="00AC5E40"/>
    <w:rsid w:val="00AF4897"/>
    <w:rsid w:val="00B3726E"/>
    <w:rsid w:val="00B56CB0"/>
    <w:rsid w:val="00B73DBB"/>
    <w:rsid w:val="00B8483B"/>
    <w:rsid w:val="00BD51F6"/>
    <w:rsid w:val="00BE7BA1"/>
    <w:rsid w:val="00BF46F8"/>
    <w:rsid w:val="00C9466E"/>
    <w:rsid w:val="00D00F9A"/>
    <w:rsid w:val="00D07FA9"/>
    <w:rsid w:val="00DC2DAB"/>
    <w:rsid w:val="00DC727E"/>
    <w:rsid w:val="00E02585"/>
    <w:rsid w:val="00E04A69"/>
    <w:rsid w:val="00EC302F"/>
    <w:rsid w:val="00EE1941"/>
    <w:rsid w:val="00EE77E3"/>
    <w:rsid w:val="00EF71DA"/>
    <w:rsid w:val="00F8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85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character" w:styleId="Hyperlink">
    <w:name w:val="Hyperlink"/>
    <w:basedOn w:val="DefaultParagraphFont"/>
    <w:uiPriority w:val="99"/>
    <w:unhideWhenUsed/>
    <w:rsid w:val="00E04A6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04A69"/>
    <w:pPr>
      <w:keepNext/>
      <w:keepLines/>
      <w:widowControl/>
      <w:spacing w:before="480" w:after="0" w:line="276" w:lineRule="auto"/>
      <w:ind w:right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pacing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04A6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E04A6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E04A69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A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A69"/>
    <w:rPr>
      <w:rFonts w:ascii="Tahoma" w:eastAsia="Dotum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7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696"/>
    <w:rPr>
      <w:rFonts w:ascii="Calibri" w:eastAsia="Dotum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696"/>
    <w:rPr>
      <w:rFonts w:ascii="Calibri" w:eastAsia="Dotum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7696"/>
    <w:pPr>
      <w:spacing w:after="0" w:line="240" w:lineRule="auto"/>
    </w:pPr>
    <w:rPr>
      <w:rFonts w:ascii="Calibri" w:eastAsia="Dotum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85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character" w:styleId="Hyperlink">
    <w:name w:val="Hyperlink"/>
    <w:basedOn w:val="DefaultParagraphFont"/>
    <w:uiPriority w:val="99"/>
    <w:unhideWhenUsed/>
    <w:rsid w:val="00E04A6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04A69"/>
    <w:pPr>
      <w:keepNext/>
      <w:keepLines/>
      <w:widowControl/>
      <w:spacing w:before="480" w:after="0" w:line="276" w:lineRule="auto"/>
      <w:ind w:right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pacing w:val="0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04A6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E04A6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E04A69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A6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A69"/>
    <w:rPr>
      <w:rFonts w:ascii="Tahoma" w:eastAsia="Dotum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7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696"/>
    <w:rPr>
      <w:rFonts w:ascii="Calibri" w:eastAsia="Dotum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696"/>
    <w:rPr>
      <w:rFonts w:ascii="Calibri" w:eastAsia="Dotum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7696"/>
    <w:pPr>
      <w:spacing w:after="0" w:line="240" w:lineRule="auto"/>
    </w:pPr>
    <w:rPr>
      <w:rFonts w:ascii="Calibri" w:eastAsia="Dotum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pport@blood.gov.a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356</Words>
  <Characters>1973</Characters>
  <Application>Microsoft Office Word</Application>
  <DocSecurity>0</DocSecurity>
  <Lines>89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Ghonim</dc:creator>
  <cp:lastModifiedBy>Kruger, Nathan</cp:lastModifiedBy>
  <cp:revision>8</cp:revision>
  <dcterms:created xsi:type="dcterms:W3CDTF">2016-03-03T04:10:00Z</dcterms:created>
  <dcterms:modified xsi:type="dcterms:W3CDTF">2016-03-04T04:48:00Z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1.0</vt:lpwstr>
  </property>
</Properties>
</file>