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036" w:rsidRDefault="0043238D" w:rsidP="0043238D">
      <w:pPr>
        <w:jc w:val="center"/>
      </w:pPr>
      <w:bookmarkStart w:id="0" w:name="_Toc224113623"/>
      <w:bookmarkStart w:id="1" w:name="_Toc237150180"/>
      <w:r>
        <w:rPr>
          <w:noProof/>
          <w:lang w:eastAsia="en-AU"/>
        </w:rPr>
        <w:drawing>
          <wp:inline distT="0" distB="0" distL="0" distR="0" wp14:anchorId="5EF2FB26" wp14:editId="2A99CC2E">
            <wp:extent cx="4249797" cy="1380226"/>
            <wp:effectExtent l="0" t="0" r="0" b="0"/>
            <wp:docPr id="9" name="Picture 9" descr="C:\Users\contarnol\AppData\Local\Microsoft\Windows\Temporary Internet Files\Content.Word\NBA-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ntarnol\AppData\Local\Microsoft\Windows\Temporary Internet Files\Content.Word\NBA-Logo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058" cy="1379661"/>
                    </a:xfrm>
                    <a:prstGeom prst="rect">
                      <a:avLst/>
                    </a:prstGeom>
                    <a:noFill/>
                    <a:ln>
                      <a:noFill/>
                    </a:ln>
                  </pic:spPr>
                </pic:pic>
              </a:graphicData>
            </a:graphic>
          </wp:inline>
        </w:drawing>
      </w:r>
    </w:p>
    <w:p w:rsidR="007F4036" w:rsidRDefault="009C16FC" w:rsidP="0043238D">
      <w:pPr>
        <w:jc w:val="center"/>
      </w:pPr>
      <w:r>
        <w:rPr>
          <w:noProof/>
          <w:lang w:eastAsia="en-AU"/>
        </w:rPr>
        <w:drawing>
          <wp:inline distT="0" distB="0" distL="0" distR="0" wp14:anchorId="693ABF59" wp14:editId="0DCBB3D8">
            <wp:extent cx="2639683" cy="9181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4 45550  Ig Governance(300 dpi)_tr.PNG"/>
                    <pic:cNvPicPr/>
                  </pic:nvPicPr>
                  <pic:blipFill>
                    <a:blip r:embed="rId10">
                      <a:extLst>
                        <a:ext uri="{28A0092B-C50C-407E-A947-70E740481C1C}">
                          <a14:useLocalDpi xmlns:a14="http://schemas.microsoft.com/office/drawing/2010/main" val="0"/>
                        </a:ext>
                      </a:extLst>
                    </a:blip>
                    <a:stretch>
                      <a:fillRect/>
                    </a:stretch>
                  </pic:blipFill>
                  <pic:spPr>
                    <a:xfrm>
                      <a:off x="0" y="0"/>
                      <a:ext cx="2645302" cy="920067"/>
                    </a:xfrm>
                    <a:prstGeom prst="rect">
                      <a:avLst/>
                    </a:prstGeom>
                  </pic:spPr>
                </pic:pic>
              </a:graphicData>
            </a:graphic>
          </wp:inline>
        </w:drawing>
      </w:r>
    </w:p>
    <w:p w:rsidR="007F4036" w:rsidRDefault="007F4036" w:rsidP="00EB2086"/>
    <w:p w:rsidR="007F4036" w:rsidRDefault="007F4036" w:rsidP="00D871A3">
      <w:pPr>
        <w:jc w:val="center"/>
      </w:pPr>
    </w:p>
    <w:p w:rsidR="007F4036" w:rsidRDefault="007F4036" w:rsidP="00EB2086"/>
    <w:p w:rsidR="007F4036" w:rsidRPr="002E7871" w:rsidRDefault="007F4036" w:rsidP="00EB2086"/>
    <w:p w:rsidR="007F4036" w:rsidRDefault="0098507E" w:rsidP="0098507E">
      <w:pPr>
        <w:pStyle w:val="02-Title2"/>
        <w:ind w:left="-284" w:right="-471"/>
        <w:jc w:val="center"/>
        <w:rPr>
          <w:rFonts w:ascii="Calibri" w:hAnsi="Calibri"/>
          <w:color w:val="auto"/>
          <w:sz w:val="56"/>
          <w:szCs w:val="36"/>
        </w:rPr>
      </w:pPr>
      <w:r>
        <w:rPr>
          <w:rFonts w:ascii="Calibri" w:hAnsi="Calibri"/>
          <w:color w:val="auto"/>
          <w:sz w:val="56"/>
          <w:szCs w:val="36"/>
        </w:rPr>
        <w:t xml:space="preserve">Immunoglobulin (Ig) </w:t>
      </w:r>
      <w:r w:rsidR="008E33BD">
        <w:rPr>
          <w:rFonts w:ascii="Calibri" w:hAnsi="Calibri"/>
          <w:color w:val="auto"/>
          <w:sz w:val="56"/>
          <w:szCs w:val="36"/>
        </w:rPr>
        <w:t xml:space="preserve">Governance and </w:t>
      </w:r>
      <w:r w:rsidR="00972C29">
        <w:rPr>
          <w:rFonts w:ascii="Calibri" w:hAnsi="Calibri"/>
          <w:color w:val="auto"/>
          <w:sz w:val="56"/>
          <w:szCs w:val="36"/>
        </w:rPr>
        <w:t xml:space="preserve">Ig </w:t>
      </w:r>
      <w:r w:rsidR="001C5262">
        <w:rPr>
          <w:rFonts w:ascii="Calibri" w:hAnsi="Calibri"/>
          <w:color w:val="auto"/>
          <w:sz w:val="56"/>
          <w:szCs w:val="36"/>
        </w:rPr>
        <w:t xml:space="preserve">System </w:t>
      </w:r>
      <w:r w:rsidR="006F55C3">
        <w:rPr>
          <w:rFonts w:ascii="Calibri" w:hAnsi="Calibri"/>
          <w:color w:val="auto"/>
          <w:sz w:val="56"/>
          <w:szCs w:val="36"/>
        </w:rPr>
        <w:t xml:space="preserve">– </w:t>
      </w:r>
      <w:proofErr w:type="spellStart"/>
      <w:r w:rsidR="006F55C3">
        <w:rPr>
          <w:rFonts w:ascii="Calibri" w:hAnsi="Calibri"/>
          <w:color w:val="auto"/>
          <w:sz w:val="56"/>
          <w:szCs w:val="36"/>
        </w:rPr>
        <w:t>BloodSTAR</w:t>
      </w:r>
      <w:proofErr w:type="spellEnd"/>
    </w:p>
    <w:p w:rsidR="001C5262" w:rsidRDefault="001C5262" w:rsidP="0098507E">
      <w:pPr>
        <w:pStyle w:val="02-Title2"/>
        <w:ind w:left="-284" w:right="-471"/>
        <w:jc w:val="center"/>
        <w:rPr>
          <w:rFonts w:ascii="Calibri" w:hAnsi="Calibri"/>
          <w:color w:val="auto"/>
          <w:sz w:val="36"/>
          <w:szCs w:val="36"/>
        </w:rPr>
      </w:pPr>
      <w:r>
        <w:rPr>
          <w:rFonts w:ascii="Calibri" w:hAnsi="Calibri"/>
          <w:color w:val="auto"/>
          <w:sz w:val="56"/>
          <w:szCs w:val="36"/>
        </w:rPr>
        <w:t>Privacy Impact Assessment Report</w:t>
      </w:r>
    </w:p>
    <w:p w:rsidR="007F4036" w:rsidRDefault="007F4036" w:rsidP="00EB2086">
      <w:pPr>
        <w:pStyle w:val="02-Title2"/>
        <w:jc w:val="center"/>
        <w:rPr>
          <w:rFonts w:ascii="Calibri" w:hAnsi="Calibri"/>
          <w:color w:val="auto"/>
          <w:sz w:val="36"/>
          <w:szCs w:val="36"/>
        </w:rPr>
      </w:pPr>
    </w:p>
    <w:p w:rsidR="002346D7" w:rsidRDefault="002346D7" w:rsidP="00EB2086">
      <w:pPr>
        <w:pStyle w:val="02-Title2"/>
        <w:jc w:val="center"/>
        <w:rPr>
          <w:rFonts w:ascii="Calibri" w:hAnsi="Calibri"/>
          <w:color w:val="auto"/>
          <w:sz w:val="36"/>
          <w:szCs w:val="36"/>
        </w:rPr>
      </w:pPr>
    </w:p>
    <w:p w:rsidR="002346D7" w:rsidRDefault="002346D7" w:rsidP="00EB2086">
      <w:pPr>
        <w:pStyle w:val="02-Title2"/>
        <w:jc w:val="center"/>
        <w:rPr>
          <w:rFonts w:ascii="Calibri" w:hAnsi="Calibri"/>
          <w:color w:val="auto"/>
          <w:sz w:val="36"/>
          <w:szCs w:val="36"/>
        </w:rPr>
      </w:pPr>
    </w:p>
    <w:p w:rsidR="007F4036" w:rsidRPr="006B450C" w:rsidRDefault="007F4036" w:rsidP="00EB2086">
      <w:pPr>
        <w:jc w:val="center"/>
        <w:rPr>
          <w:b/>
          <w:sz w:val="28"/>
        </w:rPr>
      </w:pPr>
      <w:r w:rsidRPr="006B450C">
        <w:rPr>
          <w:b/>
          <w:sz w:val="28"/>
        </w:rPr>
        <w:t xml:space="preserve">Version </w:t>
      </w:r>
      <w:r w:rsidR="00A158FB">
        <w:rPr>
          <w:b/>
        </w:rPr>
        <w:t>2.0</w:t>
      </w:r>
    </w:p>
    <w:p w:rsidR="007F4036" w:rsidRDefault="007F4036" w:rsidP="00EB2086">
      <w:pPr>
        <w:jc w:val="center"/>
        <w:rPr>
          <w:b/>
        </w:rPr>
      </w:pPr>
    </w:p>
    <w:p w:rsidR="0043238D" w:rsidRDefault="0043238D" w:rsidP="00EB2086">
      <w:pPr>
        <w:jc w:val="center"/>
        <w:rPr>
          <w:b/>
        </w:rPr>
      </w:pPr>
    </w:p>
    <w:p w:rsidR="0043238D" w:rsidRPr="006B450C" w:rsidRDefault="0043238D" w:rsidP="00EB2086">
      <w:pPr>
        <w:jc w:val="center"/>
        <w:rPr>
          <w:b/>
        </w:rPr>
        <w:sectPr w:rsidR="0043238D" w:rsidRPr="006B450C" w:rsidSect="002A6E1E">
          <w:headerReference w:type="default" r:id="rId11"/>
          <w:footerReference w:type="default" r:id="rId12"/>
          <w:type w:val="continuous"/>
          <w:pgSz w:w="11907" w:h="16840" w:code="9"/>
          <w:pgMar w:top="1440" w:right="1440" w:bottom="1440" w:left="1440" w:header="709" w:footer="147" w:gutter="0"/>
          <w:cols w:space="720"/>
          <w:titlePg/>
          <w:docGrid w:linePitch="360"/>
        </w:sectPr>
      </w:pPr>
    </w:p>
    <w:p w:rsidR="007F4036" w:rsidRPr="00EB2086" w:rsidRDefault="007F4036" w:rsidP="00EB2086">
      <w:pPr>
        <w:rPr>
          <w:rFonts w:ascii="Arial" w:hAnsi="Arial" w:cs="Arial"/>
          <w:b/>
          <w:color w:val="C00000"/>
          <w:sz w:val="28"/>
          <w:szCs w:val="28"/>
        </w:rPr>
      </w:pPr>
      <w:r w:rsidRPr="00EB2086">
        <w:rPr>
          <w:rFonts w:ascii="Arial" w:hAnsi="Arial" w:cs="Arial"/>
          <w:b/>
          <w:color w:val="C00000"/>
          <w:sz w:val="28"/>
          <w:szCs w:val="28"/>
        </w:rPr>
        <w:lastRenderedPageBreak/>
        <w:t>Authorisation</w:t>
      </w:r>
    </w:p>
    <w:p w:rsidR="007F4036" w:rsidRPr="00F8630D" w:rsidRDefault="007F4036" w:rsidP="00EB2086">
      <w:pPr>
        <w:rPr>
          <w:sz w:val="20"/>
          <w:szCs w:val="20"/>
        </w:rPr>
      </w:pPr>
      <w:r w:rsidRPr="00F8630D">
        <w:rPr>
          <w:sz w:val="20"/>
          <w:szCs w:val="20"/>
        </w:rPr>
        <w:t xml:space="preserve">This document is a </w:t>
      </w:r>
      <w:r w:rsidR="004B6787">
        <w:rPr>
          <w:sz w:val="20"/>
          <w:szCs w:val="20"/>
        </w:rPr>
        <w:t>document</w:t>
      </w:r>
      <w:r w:rsidRPr="00F8630D">
        <w:rPr>
          <w:sz w:val="20"/>
          <w:szCs w:val="20"/>
        </w:rPr>
        <w:t xml:space="preserve"> of the National Blood Authority (NBA)</w:t>
      </w:r>
      <w:r w:rsidR="004B6787">
        <w:rPr>
          <w:sz w:val="20"/>
          <w:szCs w:val="20"/>
        </w:rPr>
        <w:t>.  It is</w:t>
      </w:r>
      <w:r w:rsidRPr="00F8630D">
        <w:rPr>
          <w:sz w:val="20"/>
          <w:szCs w:val="20"/>
        </w:rPr>
        <w:t xml:space="preserve"> electronically controlled. </w:t>
      </w:r>
    </w:p>
    <w:tbl>
      <w:tblPr>
        <w:tblW w:w="9639" w:type="dxa"/>
        <w:tblInd w:w="108" w:type="dxa"/>
        <w:tblBorders>
          <w:top w:val="single" w:sz="4" w:space="0" w:color="5F6062"/>
          <w:left w:val="single" w:sz="4" w:space="0" w:color="5F6062"/>
          <w:bottom w:val="single" w:sz="4" w:space="0" w:color="5F6062"/>
          <w:right w:val="single" w:sz="4" w:space="0" w:color="5F6062"/>
          <w:insideH w:val="single" w:sz="4" w:space="0" w:color="5F6062"/>
          <w:insideV w:val="single" w:sz="4" w:space="0" w:color="5F6062"/>
        </w:tblBorders>
        <w:tblLayout w:type="fixed"/>
        <w:tblLook w:val="0000" w:firstRow="0" w:lastRow="0" w:firstColumn="0" w:lastColumn="0" w:noHBand="0" w:noVBand="0"/>
      </w:tblPr>
      <w:tblGrid>
        <w:gridCol w:w="898"/>
        <w:gridCol w:w="1368"/>
        <w:gridCol w:w="241"/>
        <w:gridCol w:w="7132"/>
      </w:tblGrid>
      <w:tr w:rsidR="007F4036" w:rsidRPr="002A309A" w:rsidTr="001C5262">
        <w:tc>
          <w:tcPr>
            <w:tcW w:w="9639" w:type="dxa"/>
            <w:gridSpan w:val="4"/>
            <w:shd w:val="clear" w:color="auto" w:fill="CC0000"/>
          </w:tcPr>
          <w:p w:rsidR="007F4036" w:rsidRPr="00F8630D" w:rsidRDefault="007F4036" w:rsidP="00854EFF">
            <w:pPr>
              <w:pStyle w:val="05-AuthTable1"/>
              <w:jc w:val="left"/>
              <w:rPr>
                <w:sz w:val="20"/>
              </w:rPr>
            </w:pPr>
            <w:r w:rsidRPr="00F8630D">
              <w:rPr>
                <w:sz w:val="20"/>
              </w:rPr>
              <w:t>Document Control</w:t>
            </w:r>
          </w:p>
        </w:tc>
      </w:tr>
      <w:tr w:rsidR="007F4036" w:rsidRPr="00795367" w:rsidTr="001C5262">
        <w:tc>
          <w:tcPr>
            <w:tcW w:w="2266" w:type="dxa"/>
            <w:gridSpan w:val="2"/>
            <w:shd w:val="clear" w:color="auto" w:fill="D9D9D9" w:themeFill="background1" w:themeFillShade="D9"/>
          </w:tcPr>
          <w:p w:rsidR="007F4036" w:rsidRPr="00795367" w:rsidRDefault="007F4036" w:rsidP="00854EFF">
            <w:pPr>
              <w:rPr>
                <w:sz w:val="18"/>
                <w:szCs w:val="18"/>
              </w:rPr>
            </w:pPr>
            <w:r w:rsidRPr="00795367">
              <w:rPr>
                <w:sz w:val="18"/>
                <w:szCs w:val="18"/>
              </w:rPr>
              <w:t>File Location</w:t>
            </w:r>
            <w:r w:rsidR="00165580">
              <w:rPr>
                <w:sz w:val="18"/>
                <w:szCs w:val="18"/>
              </w:rPr>
              <w:t xml:space="preserve"> at NBA</w:t>
            </w:r>
          </w:p>
        </w:tc>
        <w:tc>
          <w:tcPr>
            <w:tcW w:w="7373" w:type="dxa"/>
            <w:gridSpan w:val="2"/>
          </w:tcPr>
          <w:p w:rsidR="007F4036" w:rsidRPr="00795367" w:rsidRDefault="004B6787" w:rsidP="001C5262">
            <w:pPr>
              <w:rPr>
                <w:sz w:val="18"/>
                <w:szCs w:val="18"/>
              </w:rPr>
            </w:pPr>
            <w:r>
              <w:rPr>
                <w:sz w:val="18"/>
                <w:szCs w:val="18"/>
              </w:rPr>
              <w:t>E13/668-</w:t>
            </w:r>
            <w:r w:rsidR="001C5262">
              <w:rPr>
                <w:sz w:val="18"/>
                <w:szCs w:val="18"/>
              </w:rPr>
              <w:t>15</w:t>
            </w:r>
          </w:p>
        </w:tc>
      </w:tr>
      <w:tr w:rsidR="00165580" w:rsidRPr="00795367" w:rsidTr="001C5262">
        <w:tc>
          <w:tcPr>
            <w:tcW w:w="2266" w:type="dxa"/>
            <w:gridSpan w:val="2"/>
            <w:shd w:val="clear" w:color="auto" w:fill="D9D9D9" w:themeFill="background1" w:themeFillShade="D9"/>
          </w:tcPr>
          <w:p w:rsidR="00165580" w:rsidRDefault="00165580" w:rsidP="00854EFF">
            <w:pPr>
              <w:rPr>
                <w:sz w:val="18"/>
                <w:szCs w:val="18"/>
              </w:rPr>
            </w:pPr>
            <w:r>
              <w:rPr>
                <w:sz w:val="18"/>
                <w:szCs w:val="18"/>
              </w:rPr>
              <w:t>Date Created</w:t>
            </w:r>
          </w:p>
        </w:tc>
        <w:tc>
          <w:tcPr>
            <w:tcW w:w="7373" w:type="dxa"/>
            <w:gridSpan w:val="2"/>
          </w:tcPr>
          <w:p w:rsidR="00165580" w:rsidRDefault="001C5262" w:rsidP="00854EFF">
            <w:pPr>
              <w:rPr>
                <w:sz w:val="18"/>
                <w:szCs w:val="18"/>
              </w:rPr>
            </w:pPr>
            <w:r>
              <w:rPr>
                <w:sz w:val="18"/>
                <w:szCs w:val="18"/>
              </w:rPr>
              <w:t>9 February 2015</w:t>
            </w:r>
          </w:p>
        </w:tc>
      </w:tr>
      <w:tr w:rsidR="007F4036" w:rsidRPr="00795367" w:rsidTr="001C5262">
        <w:tc>
          <w:tcPr>
            <w:tcW w:w="9639" w:type="dxa"/>
            <w:gridSpan w:val="4"/>
            <w:shd w:val="clear" w:color="auto" w:fill="CC0000"/>
          </w:tcPr>
          <w:p w:rsidR="007F4036" w:rsidRPr="00795367" w:rsidRDefault="007F4036" w:rsidP="00854EFF">
            <w:pPr>
              <w:pStyle w:val="05-AuthTable1"/>
              <w:jc w:val="left"/>
              <w:rPr>
                <w:sz w:val="18"/>
                <w:szCs w:val="18"/>
              </w:rPr>
            </w:pPr>
            <w:r w:rsidRPr="00795367">
              <w:rPr>
                <w:sz w:val="18"/>
                <w:szCs w:val="18"/>
              </w:rPr>
              <w:t>Version Control</w:t>
            </w:r>
          </w:p>
        </w:tc>
      </w:tr>
      <w:tr w:rsidR="007F4036" w:rsidRPr="00795367" w:rsidTr="001C5262">
        <w:tc>
          <w:tcPr>
            <w:tcW w:w="898" w:type="dxa"/>
            <w:shd w:val="clear" w:color="auto" w:fill="D9D9D9" w:themeFill="background1" w:themeFillShade="D9"/>
          </w:tcPr>
          <w:p w:rsidR="007F4036" w:rsidRPr="00795367" w:rsidRDefault="007F4036" w:rsidP="00854EFF">
            <w:pPr>
              <w:rPr>
                <w:b/>
                <w:sz w:val="18"/>
                <w:szCs w:val="18"/>
              </w:rPr>
            </w:pPr>
            <w:r w:rsidRPr="00795367">
              <w:rPr>
                <w:b/>
                <w:sz w:val="18"/>
                <w:szCs w:val="18"/>
              </w:rPr>
              <w:t>Version</w:t>
            </w:r>
          </w:p>
        </w:tc>
        <w:tc>
          <w:tcPr>
            <w:tcW w:w="1609" w:type="dxa"/>
            <w:gridSpan w:val="2"/>
            <w:shd w:val="clear" w:color="auto" w:fill="D9D9D9" w:themeFill="background1" w:themeFillShade="D9"/>
          </w:tcPr>
          <w:p w:rsidR="007F4036" w:rsidRPr="00795367" w:rsidRDefault="007F4036" w:rsidP="00854EFF">
            <w:pPr>
              <w:rPr>
                <w:b/>
                <w:sz w:val="18"/>
                <w:szCs w:val="18"/>
              </w:rPr>
            </w:pPr>
            <w:r w:rsidRPr="00795367">
              <w:rPr>
                <w:b/>
                <w:sz w:val="18"/>
                <w:szCs w:val="18"/>
              </w:rPr>
              <w:t>Revision Date</w:t>
            </w:r>
          </w:p>
        </w:tc>
        <w:tc>
          <w:tcPr>
            <w:tcW w:w="7132" w:type="dxa"/>
            <w:shd w:val="clear" w:color="auto" w:fill="D9D9D9" w:themeFill="background1" w:themeFillShade="D9"/>
          </w:tcPr>
          <w:p w:rsidR="007F4036" w:rsidRPr="00795367" w:rsidRDefault="007F4036" w:rsidP="00854EFF">
            <w:pPr>
              <w:rPr>
                <w:b/>
                <w:sz w:val="18"/>
                <w:szCs w:val="18"/>
              </w:rPr>
            </w:pPr>
            <w:r w:rsidRPr="00795367">
              <w:rPr>
                <w:b/>
                <w:sz w:val="18"/>
                <w:szCs w:val="18"/>
              </w:rPr>
              <w:t>Revision Description</w:t>
            </w:r>
          </w:p>
        </w:tc>
      </w:tr>
      <w:tr w:rsidR="007F4036" w:rsidRPr="00795367" w:rsidTr="001C5262">
        <w:tc>
          <w:tcPr>
            <w:tcW w:w="898" w:type="dxa"/>
          </w:tcPr>
          <w:p w:rsidR="007F4036" w:rsidRPr="00795367" w:rsidRDefault="00D111A6" w:rsidP="00854EFF">
            <w:pPr>
              <w:rPr>
                <w:sz w:val="18"/>
                <w:szCs w:val="18"/>
              </w:rPr>
            </w:pPr>
            <w:r>
              <w:rPr>
                <w:sz w:val="18"/>
                <w:szCs w:val="18"/>
              </w:rPr>
              <w:t>0.1</w:t>
            </w:r>
          </w:p>
        </w:tc>
        <w:tc>
          <w:tcPr>
            <w:tcW w:w="1609" w:type="dxa"/>
            <w:gridSpan w:val="2"/>
          </w:tcPr>
          <w:p w:rsidR="007F4036" w:rsidRPr="00795367" w:rsidRDefault="00D111A6" w:rsidP="00E61FAB">
            <w:pPr>
              <w:rPr>
                <w:sz w:val="18"/>
                <w:szCs w:val="18"/>
              </w:rPr>
            </w:pPr>
            <w:r>
              <w:rPr>
                <w:sz w:val="18"/>
                <w:szCs w:val="18"/>
              </w:rPr>
              <w:t>9-25/02/2015</w:t>
            </w:r>
          </w:p>
        </w:tc>
        <w:tc>
          <w:tcPr>
            <w:tcW w:w="7132" w:type="dxa"/>
          </w:tcPr>
          <w:p w:rsidR="007F4036" w:rsidRPr="00795367" w:rsidRDefault="00D111A6" w:rsidP="00D111A6">
            <w:pPr>
              <w:rPr>
                <w:sz w:val="18"/>
                <w:szCs w:val="18"/>
              </w:rPr>
            </w:pPr>
            <w:r>
              <w:rPr>
                <w:sz w:val="18"/>
                <w:szCs w:val="18"/>
              </w:rPr>
              <w:t>Draft content – Ig Governance team</w:t>
            </w:r>
          </w:p>
        </w:tc>
      </w:tr>
      <w:tr w:rsidR="007F4036" w:rsidRPr="00795367" w:rsidTr="001C5262">
        <w:tc>
          <w:tcPr>
            <w:tcW w:w="898" w:type="dxa"/>
          </w:tcPr>
          <w:p w:rsidR="007F4036" w:rsidRPr="00795367" w:rsidRDefault="00D111A6" w:rsidP="008E33BD">
            <w:pPr>
              <w:rPr>
                <w:sz w:val="18"/>
                <w:szCs w:val="18"/>
              </w:rPr>
            </w:pPr>
            <w:r>
              <w:rPr>
                <w:sz w:val="18"/>
                <w:szCs w:val="18"/>
              </w:rPr>
              <w:t>0.2</w:t>
            </w:r>
          </w:p>
        </w:tc>
        <w:tc>
          <w:tcPr>
            <w:tcW w:w="1609" w:type="dxa"/>
            <w:gridSpan w:val="2"/>
          </w:tcPr>
          <w:p w:rsidR="007F4036" w:rsidRPr="00795367" w:rsidRDefault="00D111A6" w:rsidP="003B39C8">
            <w:pPr>
              <w:rPr>
                <w:sz w:val="18"/>
                <w:szCs w:val="18"/>
              </w:rPr>
            </w:pPr>
            <w:r>
              <w:rPr>
                <w:sz w:val="18"/>
                <w:szCs w:val="18"/>
              </w:rPr>
              <w:t>26/02/2015</w:t>
            </w:r>
          </w:p>
        </w:tc>
        <w:tc>
          <w:tcPr>
            <w:tcW w:w="7132" w:type="dxa"/>
          </w:tcPr>
          <w:p w:rsidR="007F4036" w:rsidRPr="00795367" w:rsidRDefault="00D111A6" w:rsidP="00D111A6">
            <w:pPr>
              <w:rPr>
                <w:sz w:val="18"/>
                <w:szCs w:val="18"/>
              </w:rPr>
            </w:pPr>
            <w:r>
              <w:rPr>
                <w:sz w:val="18"/>
                <w:szCs w:val="18"/>
              </w:rPr>
              <w:t>Review and edits – Ig System team</w:t>
            </w:r>
          </w:p>
        </w:tc>
      </w:tr>
      <w:tr w:rsidR="00D111A6" w:rsidRPr="00795367" w:rsidTr="001C5262">
        <w:tc>
          <w:tcPr>
            <w:tcW w:w="898" w:type="dxa"/>
          </w:tcPr>
          <w:p w:rsidR="00D111A6" w:rsidRPr="00795367" w:rsidRDefault="00D111A6" w:rsidP="00B728A3">
            <w:pPr>
              <w:rPr>
                <w:sz w:val="18"/>
                <w:szCs w:val="18"/>
              </w:rPr>
            </w:pPr>
            <w:r>
              <w:rPr>
                <w:sz w:val="18"/>
                <w:szCs w:val="18"/>
              </w:rPr>
              <w:t>0.3</w:t>
            </w:r>
          </w:p>
        </w:tc>
        <w:tc>
          <w:tcPr>
            <w:tcW w:w="1609" w:type="dxa"/>
            <w:gridSpan w:val="2"/>
          </w:tcPr>
          <w:p w:rsidR="00D111A6" w:rsidRPr="00795367" w:rsidRDefault="00D111A6" w:rsidP="00EB23BD">
            <w:pPr>
              <w:rPr>
                <w:sz w:val="18"/>
                <w:szCs w:val="18"/>
              </w:rPr>
            </w:pPr>
            <w:r>
              <w:rPr>
                <w:sz w:val="18"/>
                <w:szCs w:val="18"/>
              </w:rPr>
              <w:t>2/03/2015</w:t>
            </w:r>
          </w:p>
        </w:tc>
        <w:tc>
          <w:tcPr>
            <w:tcW w:w="7132" w:type="dxa"/>
          </w:tcPr>
          <w:p w:rsidR="00D111A6" w:rsidRPr="00795367" w:rsidRDefault="00D111A6" w:rsidP="00D111A6">
            <w:pPr>
              <w:rPr>
                <w:sz w:val="18"/>
                <w:szCs w:val="18"/>
              </w:rPr>
            </w:pPr>
            <w:r>
              <w:rPr>
                <w:sz w:val="18"/>
                <w:szCs w:val="18"/>
              </w:rPr>
              <w:t>Review and privacy impact analysis drafted jointly by Ig Governance and Ig System teams.</w:t>
            </w:r>
          </w:p>
        </w:tc>
      </w:tr>
      <w:tr w:rsidR="00D111A6" w:rsidRPr="00795367" w:rsidTr="001C5262">
        <w:tc>
          <w:tcPr>
            <w:tcW w:w="898" w:type="dxa"/>
          </w:tcPr>
          <w:p w:rsidR="00D111A6" w:rsidRPr="00795367" w:rsidRDefault="00AA5CF9" w:rsidP="00C14A0F">
            <w:pPr>
              <w:rPr>
                <w:sz w:val="18"/>
                <w:szCs w:val="18"/>
              </w:rPr>
            </w:pPr>
            <w:r>
              <w:rPr>
                <w:sz w:val="18"/>
                <w:szCs w:val="18"/>
              </w:rPr>
              <w:t>0.4</w:t>
            </w:r>
          </w:p>
        </w:tc>
        <w:tc>
          <w:tcPr>
            <w:tcW w:w="1609" w:type="dxa"/>
            <w:gridSpan w:val="2"/>
          </w:tcPr>
          <w:p w:rsidR="00D111A6" w:rsidRPr="00484328" w:rsidRDefault="00AA5CF9" w:rsidP="00636B3F">
            <w:pPr>
              <w:rPr>
                <w:sz w:val="18"/>
                <w:szCs w:val="18"/>
              </w:rPr>
            </w:pPr>
            <w:r>
              <w:rPr>
                <w:sz w:val="18"/>
                <w:szCs w:val="18"/>
              </w:rPr>
              <w:t>10/03/2015</w:t>
            </w:r>
          </w:p>
        </w:tc>
        <w:tc>
          <w:tcPr>
            <w:tcW w:w="7132" w:type="dxa"/>
          </w:tcPr>
          <w:p w:rsidR="00D111A6" w:rsidRPr="00484328" w:rsidRDefault="00124DDE" w:rsidP="00124DDE">
            <w:pPr>
              <w:rPr>
                <w:sz w:val="18"/>
                <w:szCs w:val="18"/>
              </w:rPr>
            </w:pPr>
            <w:r>
              <w:rPr>
                <w:sz w:val="18"/>
                <w:szCs w:val="18"/>
              </w:rPr>
              <w:t>Internal legal review, a</w:t>
            </w:r>
            <w:r w:rsidR="00AA5CF9">
              <w:rPr>
                <w:sz w:val="18"/>
                <w:szCs w:val="18"/>
              </w:rPr>
              <w:t xml:space="preserve">ddition of </w:t>
            </w:r>
            <w:r>
              <w:rPr>
                <w:sz w:val="18"/>
                <w:szCs w:val="18"/>
              </w:rPr>
              <w:t>p</w:t>
            </w:r>
            <w:r w:rsidR="00AA5CF9">
              <w:rPr>
                <w:sz w:val="18"/>
                <w:szCs w:val="18"/>
              </w:rPr>
              <w:t>rivacy survey summary and security matrix</w:t>
            </w:r>
          </w:p>
        </w:tc>
      </w:tr>
      <w:tr w:rsidR="00D111A6" w:rsidRPr="00795367" w:rsidTr="001C5262">
        <w:tc>
          <w:tcPr>
            <w:tcW w:w="898" w:type="dxa"/>
          </w:tcPr>
          <w:p w:rsidR="00D111A6" w:rsidRPr="00795367" w:rsidRDefault="009617EB" w:rsidP="00C14A0F">
            <w:pPr>
              <w:rPr>
                <w:sz w:val="18"/>
                <w:szCs w:val="18"/>
              </w:rPr>
            </w:pPr>
            <w:r>
              <w:rPr>
                <w:sz w:val="18"/>
                <w:szCs w:val="18"/>
              </w:rPr>
              <w:t>0.5</w:t>
            </w:r>
          </w:p>
        </w:tc>
        <w:tc>
          <w:tcPr>
            <w:tcW w:w="1609" w:type="dxa"/>
            <w:gridSpan w:val="2"/>
          </w:tcPr>
          <w:p w:rsidR="00D111A6" w:rsidRPr="00484328" w:rsidRDefault="009617EB" w:rsidP="00636B3F">
            <w:pPr>
              <w:rPr>
                <w:sz w:val="18"/>
                <w:szCs w:val="18"/>
              </w:rPr>
            </w:pPr>
            <w:r>
              <w:rPr>
                <w:sz w:val="18"/>
                <w:szCs w:val="18"/>
              </w:rPr>
              <w:t>14/04/2015</w:t>
            </w:r>
          </w:p>
        </w:tc>
        <w:tc>
          <w:tcPr>
            <w:tcW w:w="7132" w:type="dxa"/>
          </w:tcPr>
          <w:p w:rsidR="00D111A6" w:rsidRPr="00484328" w:rsidRDefault="009617EB" w:rsidP="00C76880">
            <w:pPr>
              <w:rPr>
                <w:sz w:val="18"/>
                <w:szCs w:val="18"/>
              </w:rPr>
            </w:pPr>
            <w:r>
              <w:rPr>
                <w:sz w:val="18"/>
                <w:szCs w:val="18"/>
              </w:rPr>
              <w:t>Review and edits – Ig System team post review of V0.4 and initial assessment on jurisdictional feedback.</w:t>
            </w:r>
          </w:p>
        </w:tc>
      </w:tr>
      <w:tr w:rsidR="0096490D" w:rsidRPr="00795367" w:rsidTr="001C5262">
        <w:tc>
          <w:tcPr>
            <w:tcW w:w="898" w:type="dxa"/>
          </w:tcPr>
          <w:p w:rsidR="0096490D" w:rsidRDefault="0096490D" w:rsidP="00C14A0F">
            <w:pPr>
              <w:rPr>
                <w:sz w:val="18"/>
                <w:szCs w:val="18"/>
              </w:rPr>
            </w:pPr>
            <w:r>
              <w:rPr>
                <w:sz w:val="18"/>
                <w:szCs w:val="18"/>
              </w:rPr>
              <w:t>0.6</w:t>
            </w:r>
          </w:p>
        </w:tc>
        <w:tc>
          <w:tcPr>
            <w:tcW w:w="1609" w:type="dxa"/>
            <w:gridSpan w:val="2"/>
          </w:tcPr>
          <w:p w:rsidR="0096490D" w:rsidRDefault="0096490D" w:rsidP="00636B3F">
            <w:pPr>
              <w:rPr>
                <w:sz w:val="18"/>
                <w:szCs w:val="18"/>
              </w:rPr>
            </w:pPr>
            <w:r>
              <w:rPr>
                <w:sz w:val="18"/>
                <w:szCs w:val="18"/>
              </w:rPr>
              <w:t>17/04/2015</w:t>
            </w:r>
          </w:p>
        </w:tc>
        <w:tc>
          <w:tcPr>
            <w:tcW w:w="7132" w:type="dxa"/>
          </w:tcPr>
          <w:p w:rsidR="0096490D" w:rsidRDefault="0096490D" w:rsidP="0096490D">
            <w:pPr>
              <w:rPr>
                <w:sz w:val="18"/>
                <w:szCs w:val="18"/>
              </w:rPr>
            </w:pPr>
            <w:r>
              <w:rPr>
                <w:sz w:val="18"/>
                <w:szCs w:val="18"/>
              </w:rPr>
              <w:t>Amendments  - Ig Governance team following assessment of jurisdictional feedback</w:t>
            </w:r>
          </w:p>
        </w:tc>
      </w:tr>
      <w:tr w:rsidR="00B73E5E" w:rsidRPr="00795367" w:rsidTr="001C5262">
        <w:tc>
          <w:tcPr>
            <w:tcW w:w="898" w:type="dxa"/>
          </w:tcPr>
          <w:p w:rsidR="00B73E5E" w:rsidRDefault="00B73E5E" w:rsidP="00C14A0F">
            <w:pPr>
              <w:rPr>
                <w:sz w:val="18"/>
                <w:szCs w:val="18"/>
              </w:rPr>
            </w:pPr>
            <w:r>
              <w:rPr>
                <w:sz w:val="18"/>
                <w:szCs w:val="18"/>
              </w:rPr>
              <w:t>0.7</w:t>
            </w:r>
          </w:p>
        </w:tc>
        <w:tc>
          <w:tcPr>
            <w:tcW w:w="1609" w:type="dxa"/>
            <w:gridSpan w:val="2"/>
          </w:tcPr>
          <w:p w:rsidR="00B73E5E" w:rsidRDefault="00B73E5E" w:rsidP="00636B3F">
            <w:pPr>
              <w:rPr>
                <w:sz w:val="18"/>
                <w:szCs w:val="18"/>
              </w:rPr>
            </w:pPr>
            <w:r>
              <w:rPr>
                <w:sz w:val="18"/>
                <w:szCs w:val="18"/>
              </w:rPr>
              <w:t>7/05/2015</w:t>
            </w:r>
          </w:p>
        </w:tc>
        <w:tc>
          <w:tcPr>
            <w:tcW w:w="7132" w:type="dxa"/>
          </w:tcPr>
          <w:p w:rsidR="00B73E5E" w:rsidRDefault="00B73E5E" w:rsidP="00B05588">
            <w:pPr>
              <w:rPr>
                <w:sz w:val="18"/>
                <w:szCs w:val="18"/>
              </w:rPr>
            </w:pPr>
            <w:r>
              <w:rPr>
                <w:sz w:val="18"/>
                <w:szCs w:val="18"/>
              </w:rPr>
              <w:t xml:space="preserve">Amendments </w:t>
            </w:r>
            <w:r w:rsidR="00B05588">
              <w:rPr>
                <w:sz w:val="18"/>
                <w:szCs w:val="18"/>
              </w:rPr>
              <w:t>and additions</w:t>
            </w:r>
            <w:r>
              <w:rPr>
                <w:sz w:val="18"/>
                <w:szCs w:val="18"/>
              </w:rPr>
              <w:t xml:space="preserve"> – jurisdictional feedback </w:t>
            </w:r>
            <w:r w:rsidR="00B05588">
              <w:rPr>
                <w:sz w:val="18"/>
                <w:szCs w:val="18"/>
              </w:rPr>
              <w:t xml:space="preserve">incorporated </w:t>
            </w:r>
            <w:r>
              <w:rPr>
                <w:sz w:val="18"/>
                <w:szCs w:val="18"/>
              </w:rPr>
              <w:t>and internal review</w:t>
            </w:r>
          </w:p>
        </w:tc>
      </w:tr>
      <w:tr w:rsidR="00B73E5E" w:rsidRPr="00795367" w:rsidTr="001C5262">
        <w:tc>
          <w:tcPr>
            <w:tcW w:w="898" w:type="dxa"/>
          </w:tcPr>
          <w:p w:rsidR="00B73E5E" w:rsidRDefault="00B73E5E" w:rsidP="00C14A0F">
            <w:pPr>
              <w:rPr>
                <w:sz w:val="18"/>
                <w:szCs w:val="18"/>
              </w:rPr>
            </w:pPr>
            <w:r>
              <w:rPr>
                <w:sz w:val="18"/>
                <w:szCs w:val="18"/>
              </w:rPr>
              <w:t>1.0</w:t>
            </w:r>
          </w:p>
        </w:tc>
        <w:tc>
          <w:tcPr>
            <w:tcW w:w="1609" w:type="dxa"/>
            <w:gridSpan w:val="2"/>
          </w:tcPr>
          <w:p w:rsidR="00B73E5E" w:rsidRDefault="00B73E5E" w:rsidP="00636B3F">
            <w:pPr>
              <w:rPr>
                <w:sz w:val="18"/>
                <w:szCs w:val="18"/>
              </w:rPr>
            </w:pPr>
            <w:r>
              <w:rPr>
                <w:sz w:val="18"/>
                <w:szCs w:val="18"/>
              </w:rPr>
              <w:t>8/05/2015</w:t>
            </w:r>
          </w:p>
        </w:tc>
        <w:tc>
          <w:tcPr>
            <w:tcW w:w="7132" w:type="dxa"/>
          </w:tcPr>
          <w:p w:rsidR="00B73E5E" w:rsidRDefault="00B73E5E" w:rsidP="00B73E5E">
            <w:pPr>
              <w:rPr>
                <w:sz w:val="18"/>
                <w:szCs w:val="18"/>
              </w:rPr>
            </w:pPr>
            <w:r>
              <w:rPr>
                <w:sz w:val="18"/>
                <w:szCs w:val="18"/>
              </w:rPr>
              <w:t>Final</w:t>
            </w:r>
          </w:p>
        </w:tc>
      </w:tr>
      <w:tr w:rsidR="00FF5EE5" w:rsidRPr="00795367" w:rsidTr="001C5262">
        <w:tc>
          <w:tcPr>
            <w:tcW w:w="898" w:type="dxa"/>
          </w:tcPr>
          <w:p w:rsidR="00FF5EE5" w:rsidRDefault="00FF5EE5" w:rsidP="00C14A0F">
            <w:pPr>
              <w:rPr>
                <w:sz w:val="18"/>
                <w:szCs w:val="18"/>
              </w:rPr>
            </w:pPr>
            <w:r>
              <w:rPr>
                <w:sz w:val="18"/>
                <w:szCs w:val="18"/>
              </w:rPr>
              <w:t>1.1</w:t>
            </w:r>
          </w:p>
        </w:tc>
        <w:tc>
          <w:tcPr>
            <w:tcW w:w="1609" w:type="dxa"/>
            <w:gridSpan w:val="2"/>
          </w:tcPr>
          <w:p w:rsidR="00FF5EE5" w:rsidRDefault="00FF5EE5" w:rsidP="00636B3F">
            <w:pPr>
              <w:rPr>
                <w:sz w:val="18"/>
                <w:szCs w:val="18"/>
              </w:rPr>
            </w:pPr>
            <w:r>
              <w:rPr>
                <w:sz w:val="18"/>
                <w:szCs w:val="18"/>
              </w:rPr>
              <w:t>11/08/2015</w:t>
            </w:r>
          </w:p>
        </w:tc>
        <w:tc>
          <w:tcPr>
            <w:tcW w:w="7132" w:type="dxa"/>
          </w:tcPr>
          <w:p w:rsidR="001E509B" w:rsidRPr="00197335" w:rsidRDefault="00FF5EE5" w:rsidP="00197335">
            <w:pPr>
              <w:pStyle w:val="ListParagraph"/>
              <w:numPr>
                <w:ilvl w:val="0"/>
                <w:numId w:val="55"/>
              </w:numPr>
              <w:rPr>
                <w:sz w:val="18"/>
                <w:szCs w:val="18"/>
              </w:rPr>
            </w:pPr>
            <w:r w:rsidRPr="00197335">
              <w:rPr>
                <w:sz w:val="18"/>
                <w:szCs w:val="18"/>
              </w:rPr>
              <w:t>Addition</w:t>
            </w:r>
            <w:r w:rsidR="001E509B" w:rsidRPr="00197335">
              <w:rPr>
                <w:sz w:val="18"/>
                <w:szCs w:val="18"/>
              </w:rPr>
              <w:t xml:space="preserve"> of new section View Patient Records,</w:t>
            </w:r>
          </w:p>
          <w:p w:rsidR="00D1077F" w:rsidRDefault="001E509B" w:rsidP="00197335">
            <w:pPr>
              <w:pStyle w:val="ListParagraph"/>
              <w:numPr>
                <w:ilvl w:val="0"/>
                <w:numId w:val="55"/>
              </w:numPr>
              <w:rPr>
                <w:sz w:val="18"/>
                <w:szCs w:val="18"/>
              </w:rPr>
            </w:pPr>
            <w:r w:rsidRPr="001E509B">
              <w:rPr>
                <w:sz w:val="18"/>
                <w:szCs w:val="18"/>
              </w:rPr>
              <w:t xml:space="preserve">Amendments to </w:t>
            </w:r>
            <w:r>
              <w:rPr>
                <w:sz w:val="18"/>
                <w:szCs w:val="18"/>
              </w:rPr>
              <w:t>p</w:t>
            </w:r>
            <w:r w:rsidRPr="00197335">
              <w:rPr>
                <w:sz w:val="18"/>
                <w:szCs w:val="18"/>
              </w:rPr>
              <w:t xml:space="preserve">rivacy </w:t>
            </w:r>
            <w:r>
              <w:rPr>
                <w:sz w:val="18"/>
                <w:szCs w:val="18"/>
              </w:rPr>
              <w:t xml:space="preserve">collection and </w:t>
            </w:r>
            <w:proofErr w:type="gramStart"/>
            <w:r>
              <w:rPr>
                <w:sz w:val="18"/>
                <w:szCs w:val="18"/>
              </w:rPr>
              <w:t>notice  -</w:t>
            </w:r>
            <w:proofErr w:type="gramEnd"/>
            <w:r>
              <w:rPr>
                <w:sz w:val="18"/>
                <w:szCs w:val="18"/>
              </w:rPr>
              <w:t xml:space="preserve"> renamed Privacy </w:t>
            </w:r>
            <w:r w:rsidRPr="00197335">
              <w:rPr>
                <w:sz w:val="18"/>
                <w:szCs w:val="18"/>
              </w:rPr>
              <w:t xml:space="preserve">Statement and Notice </w:t>
            </w:r>
            <w:r>
              <w:rPr>
                <w:sz w:val="18"/>
                <w:szCs w:val="18"/>
              </w:rPr>
              <w:t>and content revised</w:t>
            </w:r>
            <w:r w:rsidR="000905DD">
              <w:rPr>
                <w:sz w:val="18"/>
                <w:szCs w:val="18"/>
              </w:rPr>
              <w:t xml:space="preserve"> to be more user friendly</w:t>
            </w:r>
            <w:r>
              <w:rPr>
                <w:sz w:val="18"/>
                <w:szCs w:val="18"/>
              </w:rPr>
              <w:t>.</w:t>
            </w:r>
          </w:p>
          <w:p w:rsidR="00FF5EE5" w:rsidRPr="00197335" w:rsidRDefault="00322922" w:rsidP="00197335">
            <w:pPr>
              <w:pStyle w:val="ListParagraph"/>
              <w:numPr>
                <w:ilvl w:val="0"/>
                <w:numId w:val="55"/>
              </w:numPr>
              <w:rPr>
                <w:sz w:val="18"/>
                <w:szCs w:val="18"/>
              </w:rPr>
            </w:pPr>
            <w:r>
              <w:rPr>
                <w:sz w:val="18"/>
                <w:szCs w:val="18"/>
              </w:rPr>
              <w:t>Amendments to the Patient Record Security Matrix, including r</w:t>
            </w:r>
            <w:r w:rsidR="00D1077F">
              <w:rPr>
                <w:sz w:val="18"/>
                <w:szCs w:val="18"/>
              </w:rPr>
              <w:t>emoval of Jurisdictional Authoris</w:t>
            </w:r>
            <w:r>
              <w:rPr>
                <w:sz w:val="18"/>
                <w:szCs w:val="18"/>
              </w:rPr>
              <w:t>er</w:t>
            </w:r>
          </w:p>
        </w:tc>
      </w:tr>
      <w:tr w:rsidR="00DD281E" w:rsidRPr="00795367" w:rsidTr="001C5262">
        <w:tc>
          <w:tcPr>
            <w:tcW w:w="898" w:type="dxa"/>
          </w:tcPr>
          <w:p w:rsidR="00DD281E" w:rsidRDefault="00DD281E" w:rsidP="00C14A0F">
            <w:pPr>
              <w:rPr>
                <w:sz w:val="18"/>
                <w:szCs w:val="18"/>
              </w:rPr>
            </w:pPr>
            <w:r>
              <w:rPr>
                <w:sz w:val="18"/>
                <w:szCs w:val="18"/>
              </w:rPr>
              <w:t>1.2</w:t>
            </w:r>
          </w:p>
        </w:tc>
        <w:tc>
          <w:tcPr>
            <w:tcW w:w="1609" w:type="dxa"/>
            <w:gridSpan w:val="2"/>
          </w:tcPr>
          <w:p w:rsidR="00DD281E" w:rsidRDefault="00DD281E" w:rsidP="00636B3F">
            <w:pPr>
              <w:rPr>
                <w:sz w:val="18"/>
                <w:szCs w:val="18"/>
              </w:rPr>
            </w:pPr>
          </w:p>
        </w:tc>
        <w:tc>
          <w:tcPr>
            <w:tcW w:w="7132" w:type="dxa"/>
          </w:tcPr>
          <w:p w:rsidR="00DD281E" w:rsidRDefault="00DD281E" w:rsidP="00DD281E">
            <w:pPr>
              <w:pStyle w:val="ListParagraph"/>
              <w:numPr>
                <w:ilvl w:val="0"/>
                <w:numId w:val="55"/>
              </w:numPr>
              <w:rPr>
                <w:sz w:val="18"/>
                <w:szCs w:val="18"/>
              </w:rPr>
            </w:pPr>
            <w:r>
              <w:rPr>
                <w:sz w:val="18"/>
                <w:szCs w:val="18"/>
              </w:rPr>
              <w:t xml:space="preserve">Amendments to </w:t>
            </w:r>
            <w:r w:rsidR="00C62EA2">
              <w:rPr>
                <w:sz w:val="18"/>
                <w:szCs w:val="18"/>
              </w:rPr>
              <w:t xml:space="preserve">Patient Record Data </w:t>
            </w:r>
            <w:proofErr w:type="gramStart"/>
            <w:r w:rsidR="00C62EA2">
              <w:rPr>
                <w:sz w:val="18"/>
                <w:szCs w:val="18"/>
              </w:rPr>
              <w:t>Dictionary  to</w:t>
            </w:r>
            <w:proofErr w:type="gramEnd"/>
            <w:r w:rsidR="00C62EA2">
              <w:rPr>
                <w:sz w:val="18"/>
                <w:szCs w:val="18"/>
              </w:rPr>
              <w:t xml:space="preserve"> clarify which stakeholders will have visibility of each of the data elements.</w:t>
            </w:r>
          </w:p>
          <w:p w:rsidR="00DD281E" w:rsidRDefault="00DD281E" w:rsidP="00C62EA2">
            <w:pPr>
              <w:pStyle w:val="ListParagraph"/>
              <w:numPr>
                <w:ilvl w:val="0"/>
                <w:numId w:val="55"/>
              </w:numPr>
              <w:rPr>
                <w:sz w:val="18"/>
                <w:szCs w:val="18"/>
              </w:rPr>
            </w:pPr>
            <w:r>
              <w:rPr>
                <w:sz w:val="18"/>
                <w:szCs w:val="18"/>
              </w:rPr>
              <w:t xml:space="preserve">Removal of reference to Entities in section </w:t>
            </w:r>
            <w:proofErr w:type="gramStart"/>
            <w:r>
              <w:rPr>
                <w:sz w:val="18"/>
                <w:szCs w:val="18"/>
              </w:rPr>
              <w:t>8.4.2  as</w:t>
            </w:r>
            <w:proofErr w:type="gramEnd"/>
            <w:r>
              <w:rPr>
                <w:sz w:val="18"/>
                <w:szCs w:val="18"/>
              </w:rPr>
              <w:t xml:space="preserve"> this title has been removed from the table. </w:t>
            </w:r>
          </w:p>
          <w:p w:rsidR="00C62EA2" w:rsidRPr="00197335" w:rsidRDefault="00C62EA2" w:rsidP="00C62EA2">
            <w:pPr>
              <w:pStyle w:val="ListParagraph"/>
              <w:numPr>
                <w:ilvl w:val="0"/>
                <w:numId w:val="55"/>
              </w:numPr>
              <w:rPr>
                <w:sz w:val="18"/>
                <w:szCs w:val="18"/>
              </w:rPr>
            </w:pPr>
            <w:r>
              <w:rPr>
                <w:sz w:val="18"/>
                <w:szCs w:val="18"/>
              </w:rPr>
              <w:t>Correction to word disaggregation – aggregation th</w:t>
            </w:r>
            <w:r w:rsidR="00397AD4">
              <w:rPr>
                <w:sz w:val="18"/>
                <w:szCs w:val="18"/>
              </w:rPr>
              <w:t>r</w:t>
            </w:r>
            <w:r>
              <w:rPr>
                <w:sz w:val="18"/>
                <w:szCs w:val="18"/>
              </w:rPr>
              <w:t>oughout.</w:t>
            </w:r>
          </w:p>
        </w:tc>
      </w:tr>
      <w:tr w:rsidR="00A158FB" w:rsidRPr="00795367" w:rsidTr="001C5262">
        <w:tc>
          <w:tcPr>
            <w:tcW w:w="898" w:type="dxa"/>
          </w:tcPr>
          <w:p w:rsidR="00A158FB" w:rsidRDefault="00A158FB" w:rsidP="00C14A0F">
            <w:pPr>
              <w:rPr>
                <w:sz w:val="18"/>
                <w:szCs w:val="18"/>
              </w:rPr>
            </w:pPr>
            <w:r>
              <w:rPr>
                <w:sz w:val="18"/>
                <w:szCs w:val="18"/>
              </w:rPr>
              <w:t>2.0</w:t>
            </w:r>
          </w:p>
        </w:tc>
        <w:tc>
          <w:tcPr>
            <w:tcW w:w="1609" w:type="dxa"/>
            <w:gridSpan w:val="2"/>
          </w:tcPr>
          <w:p w:rsidR="00A158FB" w:rsidRDefault="00A158FB" w:rsidP="00636B3F">
            <w:pPr>
              <w:rPr>
                <w:sz w:val="18"/>
                <w:szCs w:val="18"/>
              </w:rPr>
            </w:pPr>
            <w:r>
              <w:rPr>
                <w:sz w:val="18"/>
                <w:szCs w:val="18"/>
              </w:rPr>
              <w:t>08/10/2015</w:t>
            </w:r>
          </w:p>
        </w:tc>
        <w:tc>
          <w:tcPr>
            <w:tcW w:w="7132" w:type="dxa"/>
          </w:tcPr>
          <w:p w:rsidR="00A158FB" w:rsidRDefault="00A158FB" w:rsidP="00DD281E">
            <w:pPr>
              <w:pStyle w:val="ListParagraph"/>
              <w:numPr>
                <w:ilvl w:val="0"/>
                <w:numId w:val="55"/>
              </w:numPr>
              <w:rPr>
                <w:sz w:val="18"/>
                <w:szCs w:val="18"/>
              </w:rPr>
            </w:pPr>
            <w:r>
              <w:rPr>
                <w:sz w:val="18"/>
                <w:szCs w:val="18"/>
              </w:rPr>
              <w:t>Upgrade to version 2.0</w:t>
            </w:r>
          </w:p>
        </w:tc>
      </w:tr>
      <w:tr w:rsidR="00D111A6" w:rsidRPr="002A309A" w:rsidTr="001C5262">
        <w:tc>
          <w:tcPr>
            <w:tcW w:w="9639" w:type="dxa"/>
            <w:gridSpan w:val="4"/>
            <w:shd w:val="clear" w:color="auto" w:fill="CC0000"/>
          </w:tcPr>
          <w:p w:rsidR="00D111A6" w:rsidRPr="00F8630D" w:rsidRDefault="00D111A6" w:rsidP="00854EFF">
            <w:pPr>
              <w:pStyle w:val="05-AuthTable1"/>
              <w:jc w:val="left"/>
              <w:rPr>
                <w:sz w:val="20"/>
              </w:rPr>
            </w:pPr>
            <w:r w:rsidRPr="00F8630D">
              <w:rPr>
                <w:sz w:val="20"/>
              </w:rPr>
              <w:t>References</w:t>
            </w:r>
          </w:p>
        </w:tc>
      </w:tr>
      <w:tr w:rsidR="00D111A6" w:rsidRPr="002A309A" w:rsidTr="001C5262">
        <w:tc>
          <w:tcPr>
            <w:tcW w:w="9639" w:type="dxa"/>
            <w:gridSpan w:val="4"/>
          </w:tcPr>
          <w:p w:rsidR="00D111A6" w:rsidRPr="00EC3909" w:rsidRDefault="00D111A6" w:rsidP="003E1C78">
            <w:pPr>
              <w:rPr>
                <w:sz w:val="18"/>
                <w:szCs w:val="18"/>
              </w:rPr>
            </w:pPr>
            <w:r w:rsidRPr="00EC3909">
              <w:rPr>
                <w:sz w:val="18"/>
                <w:szCs w:val="18"/>
              </w:rPr>
              <w:t>The following documents are referenced in this document:</w:t>
            </w:r>
          </w:p>
          <w:p w:rsidR="00D111A6" w:rsidRPr="00EC3909" w:rsidRDefault="00D111A6" w:rsidP="00720228">
            <w:pPr>
              <w:pStyle w:val="ListParagraph"/>
              <w:numPr>
                <w:ilvl w:val="0"/>
                <w:numId w:val="3"/>
              </w:numPr>
              <w:rPr>
                <w:sz w:val="18"/>
                <w:szCs w:val="18"/>
              </w:rPr>
            </w:pPr>
            <w:r w:rsidRPr="00EC3909">
              <w:rPr>
                <w:sz w:val="18"/>
                <w:szCs w:val="18"/>
              </w:rPr>
              <w:t>NBA Privacy Policy</w:t>
            </w:r>
          </w:p>
          <w:p w:rsidR="00D111A6" w:rsidRPr="00EC3909" w:rsidRDefault="00D111A6" w:rsidP="00720228">
            <w:pPr>
              <w:pStyle w:val="ListParagraph"/>
              <w:numPr>
                <w:ilvl w:val="0"/>
                <w:numId w:val="3"/>
              </w:numPr>
              <w:rPr>
                <w:sz w:val="18"/>
                <w:szCs w:val="18"/>
              </w:rPr>
            </w:pPr>
            <w:r w:rsidRPr="00EC3909">
              <w:rPr>
                <w:sz w:val="18"/>
                <w:szCs w:val="18"/>
              </w:rPr>
              <w:t xml:space="preserve">NBA </w:t>
            </w:r>
            <w:proofErr w:type="spellStart"/>
            <w:r w:rsidRPr="00EC3909">
              <w:rPr>
                <w:sz w:val="18"/>
                <w:szCs w:val="18"/>
              </w:rPr>
              <w:t>IVIg</w:t>
            </w:r>
            <w:proofErr w:type="spellEnd"/>
            <w:r w:rsidRPr="00EC3909">
              <w:rPr>
                <w:sz w:val="18"/>
                <w:szCs w:val="18"/>
              </w:rPr>
              <w:t xml:space="preserve"> Annual Report 2013-14</w:t>
            </w:r>
          </w:p>
          <w:p w:rsidR="00D111A6" w:rsidRPr="00EC3909" w:rsidRDefault="00D111A6" w:rsidP="00720228">
            <w:pPr>
              <w:pStyle w:val="ListParagraph"/>
              <w:numPr>
                <w:ilvl w:val="0"/>
                <w:numId w:val="3"/>
              </w:numPr>
              <w:rPr>
                <w:sz w:val="18"/>
                <w:szCs w:val="18"/>
              </w:rPr>
            </w:pPr>
            <w:r w:rsidRPr="00EC3909">
              <w:rPr>
                <w:sz w:val="18"/>
                <w:szCs w:val="18"/>
              </w:rPr>
              <w:t xml:space="preserve">Criteria for the clinical use of intravenous immunoglobulin in Australia, Second Edition July 2012 </w:t>
            </w:r>
          </w:p>
          <w:p w:rsidR="00D111A6" w:rsidRPr="00EC3909" w:rsidRDefault="00D111A6" w:rsidP="00720228">
            <w:pPr>
              <w:pStyle w:val="ListParagraph"/>
              <w:numPr>
                <w:ilvl w:val="0"/>
                <w:numId w:val="3"/>
              </w:numPr>
              <w:rPr>
                <w:sz w:val="18"/>
                <w:szCs w:val="18"/>
              </w:rPr>
            </w:pPr>
            <w:r w:rsidRPr="00EC3909">
              <w:rPr>
                <w:sz w:val="18"/>
                <w:szCs w:val="18"/>
              </w:rPr>
              <w:t>Ernst &amp; Young Review of the clinical governance and authorisation process for Intravenous immunoglobulin 2012</w:t>
            </w:r>
          </w:p>
          <w:p w:rsidR="00D111A6" w:rsidRPr="00EC3909" w:rsidRDefault="00D111A6" w:rsidP="00720228">
            <w:pPr>
              <w:pStyle w:val="ListParagraph"/>
              <w:numPr>
                <w:ilvl w:val="0"/>
                <w:numId w:val="3"/>
              </w:numPr>
              <w:rPr>
                <w:sz w:val="18"/>
                <w:szCs w:val="18"/>
              </w:rPr>
            </w:pPr>
            <w:r w:rsidRPr="00EC3909">
              <w:rPr>
                <w:sz w:val="18"/>
                <w:szCs w:val="18"/>
              </w:rPr>
              <w:t xml:space="preserve">Business Case: Integrated National Framework for the </w:t>
            </w:r>
            <w:r w:rsidR="006D3B39">
              <w:rPr>
                <w:sz w:val="18"/>
                <w:szCs w:val="18"/>
              </w:rPr>
              <w:t>management of immunoglobulin (2013)</w:t>
            </w:r>
          </w:p>
          <w:p w:rsidR="00D111A6" w:rsidRPr="00EC3909" w:rsidRDefault="00D111A6" w:rsidP="00720228">
            <w:pPr>
              <w:pStyle w:val="ListParagraph"/>
              <w:numPr>
                <w:ilvl w:val="0"/>
                <w:numId w:val="3"/>
              </w:numPr>
              <w:rPr>
                <w:sz w:val="18"/>
                <w:szCs w:val="18"/>
              </w:rPr>
            </w:pPr>
            <w:r w:rsidRPr="00EC3909">
              <w:rPr>
                <w:sz w:val="18"/>
                <w:szCs w:val="18"/>
              </w:rPr>
              <w:t xml:space="preserve">Business Case: Ig </w:t>
            </w:r>
            <w:r w:rsidR="006D3B39">
              <w:rPr>
                <w:sz w:val="18"/>
                <w:szCs w:val="18"/>
              </w:rPr>
              <w:t>Ordering and Outcomes Database (2013)</w:t>
            </w:r>
          </w:p>
          <w:p w:rsidR="00D111A6" w:rsidRPr="00EC3909" w:rsidRDefault="00D111A6" w:rsidP="00720228">
            <w:pPr>
              <w:pStyle w:val="ListParagraph"/>
              <w:numPr>
                <w:ilvl w:val="0"/>
                <w:numId w:val="3"/>
              </w:numPr>
              <w:rPr>
                <w:sz w:val="18"/>
                <w:szCs w:val="18"/>
              </w:rPr>
            </w:pPr>
            <w:r w:rsidRPr="00EC3909">
              <w:rPr>
                <w:sz w:val="18"/>
                <w:szCs w:val="18"/>
              </w:rPr>
              <w:t>Ig System High Level Design</w:t>
            </w:r>
          </w:p>
          <w:p w:rsidR="00D111A6" w:rsidRPr="00EC3909" w:rsidRDefault="00D111A6" w:rsidP="00720228">
            <w:pPr>
              <w:pStyle w:val="ListParagraph"/>
              <w:numPr>
                <w:ilvl w:val="0"/>
                <w:numId w:val="3"/>
              </w:numPr>
              <w:rPr>
                <w:sz w:val="18"/>
                <w:szCs w:val="18"/>
              </w:rPr>
            </w:pPr>
            <w:r w:rsidRPr="00EC3909">
              <w:rPr>
                <w:sz w:val="18"/>
                <w:szCs w:val="18"/>
              </w:rPr>
              <w:t>Ig System Functional Specifications</w:t>
            </w:r>
          </w:p>
          <w:p w:rsidR="00D111A6" w:rsidRPr="00EC3909" w:rsidRDefault="00D111A6" w:rsidP="00720228">
            <w:pPr>
              <w:pStyle w:val="ListParagraph"/>
              <w:numPr>
                <w:ilvl w:val="0"/>
                <w:numId w:val="3"/>
              </w:numPr>
              <w:rPr>
                <w:sz w:val="18"/>
                <w:szCs w:val="18"/>
              </w:rPr>
            </w:pPr>
            <w:r w:rsidRPr="00EC3909">
              <w:rPr>
                <w:sz w:val="18"/>
                <w:szCs w:val="18"/>
              </w:rPr>
              <w:t>Ig System Data Dictionary</w:t>
            </w:r>
          </w:p>
          <w:p w:rsidR="00D111A6" w:rsidRPr="00EC3909" w:rsidRDefault="00D111A6" w:rsidP="00720228">
            <w:pPr>
              <w:pStyle w:val="ListParagraph"/>
              <w:numPr>
                <w:ilvl w:val="0"/>
                <w:numId w:val="3"/>
              </w:numPr>
              <w:rPr>
                <w:sz w:val="18"/>
                <w:szCs w:val="18"/>
              </w:rPr>
            </w:pPr>
            <w:r w:rsidRPr="00EC3909">
              <w:rPr>
                <w:sz w:val="18"/>
                <w:szCs w:val="18"/>
              </w:rPr>
              <w:lastRenderedPageBreak/>
              <w:t>National Policy: Access to government funded immunoglobulin products in Australia (November 2014)</w:t>
            </w:r>
          </w:p>
          <w:p w:rsidR="00D111A6" w:rsidRPr="00EC3909" w:rsidRDefault="00D111A6" w:rsidP="00720228">
            <w:pPr>
              <w:pStyle w:val="ListParagraph"/>
              <w:numPr>
                <w:ilvl w:val="0"/>
                <w:numId w:val="3"/>
              </w:numPr>
              <w:rPr>
                <w:sz w:val="18"/>
                <w:szCs w:val="18"/>
              </w:rPr>
            </w:pPr>
            <w:r w:rsidRPr="00EC3909">
              <w:rPr>
                <w:sz w:val="18"/>
                <w:szCs w:val="18"/>
              </w:rPr>
              <w:t>Immunoglobulin Governance and Ig System Development Risk Management Plan</w:t>
            </w:r>
          </w:p>
          <w:p w:rsidR="00D111A6" w:rsidRPr="006B4D68" w:rsidRDefault="00D111A6" w:rsidP="00720228">
            <w:pPr>
              <w:pStyle w:val="ListParagraph"/>
              <w:numPr>
                <w:ilvl w:val="0"/>
                <w:numId w:val="3"/>
              </w:numPr>
              <w:rPr>
                <w:rFonts w:ascii="Arial" w:eastAsia="Dotum" w:hAnsi="Arial" w:cs="Calibri"/>
                <w:b/>
                <w:sz w:val="18"/>
                <w:szCs w:val="18"/>
              </w:rPr>
            </w:pPr>
            <w:r w:rsidRPr="00EC3909">
              <w:rPr>
                <w:sz w:val="18"/>
                <w:szCs w:val="18"/>
              </w:rPr>
              <w:t>Ig Governance and Ig System Communications Strategy</w:t>
            </w:r>
          </w:p>
          <w:p w:rsidR="006B4D68" w:rsidRPr="00EC3909" w:rsidRDefault="006B4D68" w:rsidP="00720228">
            <w:pPr>
              <w:pStyle w:val="ListParagraph"/>
              <w:numPr>
                <w:ilvl w:val="0"/>
                <w:numId w:val="3"/>
              </w:numPr>
              <w:rPr>
                <w:rFonts w:ascii="Arial" w:eastAsia="Dotum" w:hAnsi="Arial" w:cs="Calibri"/>
                <w:b/>
                <w:sz w:val="18"/>
                <w:szCs w:val="18"/>
              </w:rPr>
            </w:pPr>
            <w:r>
              <w:rPr>
                <w:sz w:val="18"/>
                <w:szCs w:val="18"/>
              </w:rPr>
              <w:t>NBA Data</w:t>
            </w:r>
            <w:r w:rsidR="004830E7">
              <w:rPr>
                <w:sz w:val="18"/>
                <w:szCs w:val="18"/>
              </w:rPr>
              <w:t xml:space="preserve"> and Information</w:t>
            </w:r>
            <w:r>
              <w:rPr>
                <w:sz w:val="18"/>
                <w:szCs w:val="18"/>
              </w:rPr>
              <w:t xml:space="preserve"> Governance Framework</w:t>
            </w:r>
          </w:p>
          <w:p w:rsidR="00D111A6" w:rsidRPr="00EC3909" w:rsidRDefault="00D111A6" w:rsidP="001C168A">
            <w:pPr>
              <w:pStyle w:val="ListParagraph"/>
              <w:rPr>
                <w:rFonts w:ascii="Arial" w:eastAsia="Dotum" w:hAnsi="Arial" w:cs="Calibri"/>
                <w:b/>
                <w:sz w:val="18"/>
                <w:szCs w:val="18"/>
              </w:rPr>
            </w:pPr>
          </w:p>
        </w:tc>
      </w:tr>
    </w:tbl>
    <w:p w:rsidR="007F4036" w:rsidRPr="003B39C8" w:rsidRDefault="00AB6B1D" w:rsidP="00EB2086">
      <w:pPr>
        <w:rPr>
          <w:sz w:val="18"/>
          <w:szCs w:val="18"/>
        </w:rPr>
      </w:pPr>
      <w:r>
        <w:rPr>
          <w:color w:val="808080"/>
          <w:sz w:val="18"/>
          <w:szCs w:val="18"/>
        </w:rPr>
        <w:lastRenderedPageBreak/>
        <w:br/>
      </w:r>
    </w:p>
    <w:p w:rsidR="007F4036" w:rsidRPr="00EB2086" w:rsidRDefault="007F4036" w:rsidP="00EB2086">
      <w:pPr>
        <w:rPr>
          <w:color w:val="C00000"/>
        </w:rPr>
      </w:pPr>
      <w:r>
        <w:br w:type="page"/>
      </w:r>
      <w:r w:rsidRPr="00EB2086">
        <w:rPr>
          <w:rFonts w:ascii="Arial" w:hAnsi="Arial" w:cs="Arial"/>
          <w:b/>
          <w:color w:val="C00000"/>
          <w:sz w:val="28"/>
          <w:szCs w:val="28"/>
        </w:rPr>
        <w:lastRenderedPageBreak/>
        <w:t xml:space="preserve"> Contents</w:t>
      </w:r>
    </w:p>
    <w:bookmarkStart w:id="2" w:name="_Toc306283112"/>
    <w:bookmarkStart w:id="3" w:name="_Toc327880426"/>
    <w:bookmarkStart w:id="4" w:name="_Ref300735745"/>
    <w:bookmarkEnd w:id="2"/>
    <w:p w:rsidR="00D90E07" w:rsidRDefault="007F4036">
      <w:pPr>
        <w:pStyle w:val="TOC1"/>
        <w:rPr>
          <w:rFonts w:asciiTheme="minorHAnsi" w:eastAsiaTheme="minorEastAsia" w:hAnsiTheme="minorHAnsi" w:cstheme="minorBidi"/>
          <w:noProof/>
          <w:lang w:eastAsia="en-AU"/>
        </w:rPr>
      </w:pPr>
      <w:r>
        <w:fldChar w:fldCharType="begin"/>
      </w:r>
      <w:r>
        <w:instrText xml:space="preserve"> TOC \o "1-2" \h \z \u </w:instrText>
      </w:r>
      <w:r>
        <w:fldChar w:fldCharType="separate"/>
      </w:r>
      <w:hyperlink w:anchor="_Toc434574632" w:history="1">
        <w:r w:rsidR="00D90E07" w:rsidRPr="008D7C1F">
          <w:rPr>
            <w:rStyle w:val="Hyperlink"/>
            <w:noProof/>
          </w:rPr>
          <w:t>1</w:t>
        </w:r>
        <w:r w:rsidR="00D90E07">
          <w:rPr>
            <w:rFonts w:asciiTheme="minorHAnsi" w:eastAsiaTheme="minorEastAsia" w:hAnsiTheme="minorHAnsi" w:cstheme="minorBidi"/>
            <w:noProof/>
            <w:lang w:eastAsia="en-AU"/>
          </w:rPr>
          <w:tab/>
        </w:r>
        <w:r w:rsidR="00D90E07" w:rsidRPr="008D7C1F">
          <w:rPr>
            <w:rStyle w:val="Hyperlink"/>
            <w:noProof/>
          </w:rPr>
          <w:t>Purpose</w:t>
        </w:r>
        <w:r w:rsidR="00D90E07">
          <w:rPr>
            <w:noProof/>
            <w:webHidden/>
          </w:rPr>
          <w:tab/>
        </w:r>
        <w:r w:rsidR="00D90E07">
          <w:rPr>
            <w:noProof/>
            <w:webHidden/>
          </w:rPr>
          <w:fldChar w:fldCharType="begin"/>
        </w:r>
        <w:r w:rsidR="00D90E07">
          <w:rPr>
            <w:noProof/>
            <w:webHidden/>
          </w:rPr>
          <w:instrText xml:space="preserve"> PAGEREF _Toc434574632 \h </w:instrText>
        </w:r>
        <w:r w:rsidR="00D90E07">
          <w:rPr>
            <w:noProof/>
            <w:webHidden/>
          </w:rPr>
        </w:r>
        <w:r w:rsidR="00D90E07">
          <w:rPr>
            <w:noProof/>
            <w:webHidden/>
          </w:rPr>
          <w:fldChar w:fldCharType="separate"/>
        </w:r>
        <w:r w:rsidR="00D90E07">
          <w:rPr>
            <w:noProof/>
            <w:webHidden/>
          </w:rPr>
          <w:t>5</w:t>
        </w:r>
        <w:r w:rsidR="00D90E07">
          <w:rPr>
            <w:noProof/>
            <w:webHidden/>
          </w:rPr>
          <w:fldChar w:fldCharType="end"/>
        </w:r>
      </w:hyperlink>
    </w:p>
    <w:p w:rsidR="00D90E07" w:rsidRDefault="00FD40F1">
      <w:pPr>
        <w:pStyle w:val="TOC2"/>
        <w:rPr>
          <w:rFonts w:asciiTheme="minorHAnsi" w:eastAsiaTheme="minorEastAsia" w:hAnsiTheme="minorHAnsi" w:cstheme="minorBidi"/>
          <w:noProof/>
          <w:lang w:eastAsia="en-AU"/>
        </w:rPr>
      </w:pPr>
      <w:hyperlink w:anchor="_Toc434574633" w:history="1">
        <w:r w:rsidR="00D90E07" w:rsidRPr="008D7C1F">
          <w:rPr>
            <w:rStyle w:val="Hyperlink"/>
            <w:noProof/>
          </w:rPr>
          <w:t>1.1</w:t>
        </w:r>
        <w:r w:rsidR="00D90E07">
          <w:rPr>
            <w:rFonts w:asciiTheme="minorHAnsi" w:eastAsiaTheme="minorEastAsia" w:hAnsiTheme="minorHAnsi" w:cstheme="minorBidi"/>
            <w:noProof/>
            <w:lang w:eastAsia="en-AU"/>
          </w:rPr>
          <w:tab/>
        </w:r>
        <w:r w:rsidR="00D90E07" w:rsidRPr="008D7C1F">
          <w:rPr>
            <w:rStyle w:val="Hyperlink"/>
            <w:noProof/>
          </w:rPr>
          <w:t>Sensitive information</w:t>
        </w:r>
        <w:r w:rsidR="00D90E07">
          <w:rPr>
            <w:noProof/>
            <w:webHidden/>
          </w:rPr>
          <w:tab/>
        </w:r>
        <w:r w:rsidR="00D90E07">
          <w:rPr>
            <w:noProof/>
            <w:webHidden/>
          </w:rPr>
          <w:fldChar w:fldCharType="begin"/>
        </w:r>
        <w:r w:rsidR="00D90E07">
          <w:rPr>
            <w:noProof/>
            <w:webHidden/>
          </w:rPr>
          <w:instrText xml:space="preserve"> PAGEREF _Toc434574633 \h </w:instrText>
        </w:r>
        <w:r w:rsidR="00D90E07">
          <w:rPr>
            <w:noProof/>
            <w:webHidden/>
          </w:rPr>
        </w:r>
        <w:r w:rsidR="00D90E07">
          <w:rPr>
            <w:noProof/>
            <w:webHidden/>
          </w:rPr>
          <w:fldChar w:fldCharType="separate"/>
        </w:r>
        <w:r w:rsidR="00D90E07">
          <w:rPr>
            <w:noProof/>
            <w:webHidden/>
          </w:rPr>
          <w:t>5</w:t>
        </w:r>
        <w:r w:rsidR="00D90E07">
          <w:rPr>
            <w:noProof/>
            <w:webHidden/>
          </w:rPr>
          <w:fldChar w:fldCharType="end"/>
        </w:r>
      </w:hyperlink>
    </w:p>
    <w:p w:rsidR="00D90E07" w:rsidRDefault="00FD40F1">
      <w:pPr>
        <w:pStyle w:val="TOC1"/>
        <w:rPr>
          <w:rFonts w:asciiTheme="minorHAnsi" w:eastAsiaTheme="minorEastAsia" w:hAnsiTheme="minorHAnsi" w:cstheme="minorBidi"/>
          <w:noProof/>
          <w:lang w:eastAsia="en-AU"/>
        </w:rPr>
      </w:pPr>
      <w:hyperlink w:anchor="_Toc434574634" w:history="1">
        <w:r w:rsidR="00D90E07" w:rsidRPr="008D7C1F">
          <w:rPr>
            <w:rStyle w:val="Hyperlink"/>
            <w:noProof/>
          </w:rPr>
          <w:t>2</w:t>
        </w:r>
        <w:r w:rsidR="00D90E07">
          <w:rPr>
            <w:rFonts w:asciiTheme="minorHAnsi" w:eastAsiaTheme="minorEastAsia" w:hAnsiTheme="minorHAnsi" w:cstheme="minorBidi"/>
            <w:noProof/>
            <w:lang w:eastAsia="en-AU"/>
          </w:rPr>
          <w:tab/>
        </w:r>
        <w:r w:rsidR="00D90E07" w:rsidRPr="008D7C1F">
          <w:rPr>
            <w:rStyle w:val="Hyperlink"/>
            <w:noProof/>
          </w:rPr>
          <w:t>Project background</w:t>
        </w:r>
        <w:r w:rsidR="00D90E07">
          <w:rPr>
            <w:noProof/>
            <w:webHidden/>
          </w:rPr>
          <w:tab/>
        </w:r>
        <w:r w:rsidR="00D90E07">
          <w:rPr>
            <w:noProof/>
            <w:webHidden/>
          </w:rPr>
          <w:fldChar w:fldCharType="begin"/>
        </w:r>
        <w:r w:rsidR="00D90E07">
          <w:rPr>
            <w:noProof/>
            <w:webHidden/>
          </w:rPr>
          <w:instrText xml:space="preserve"> PAGEREF _Toc434574634 \h </w:instrText>
        </w:r>
        <w:r w:rsidR="00D90E07">
          <w:rPr>
            <w:noProof/>
            <w:webHidden/>
          </w:rPr>
        </w:r>
        <w:r w:rsidR="00D90E07">
          <w:rPr>
            <w:noProof/>
            <w:webHidden/>
          </w:rPr>
          <w:fldChar w:fldCharType="separate"/>
        </w:r>
        <w:r w:rsidR="00D90E07">
          <w:rPr>
            <w:noProof/>
            <w:webHidden/>
          </w:rPr>
          <w:t>7</w:t>
        </w:r>
        <w:r w:rsidR="00D90E07">
          <w:rPr>
            <w:noProof/>
            <w:webHidden/>
          </w:rPr>
          <w:fldChar w:fldCharType="end"/>
        </w:r>
      </w:hyperlink>
    </w:p>
    <w:p w:rsidR="00D90E07" w:rsidRDefault="00FD40F1">
      <w:pPr>
        <w:pStyle w:val="TOC2"/>
        <w:rPr>
          <w:rFonts w:asciiTheme="minorHAnsi" w:eastAsiaTheme="minorEastAsia" w:hAnsiTheme="minorHAnsi" w:cstheme="minorBidi"/>
          <w:noProof/>
          <w:lang w:eastAsia="en-AU"/>
        </w:rPr>
      </w:pPr>
      <w:hyperlink w:anchor="_Toc434574635" w:history="1">
        <w:r w:rsidR="00D90E07" w:rsidRPr="008D7C1F">
          <w:rPr>
            <w:rStyle w:val="Hyperlink"/>
            <w:noProof/>
          </w:rPr>
          <w:t>2.2</w:t>
        </w:r>
        <w:r w:rsidR="00D90E07">
          <w:rPr>
            <w:rFonts w:asciiTheme="minorHAnsi" w:eastAsiaTheme="minorEastAsia" w:hAnsiTheme="minorHAnsi" w:cstheme="minorBidi"/>
            <w:noProof/>
            <w:lang w:eastAsia="en-AU"/>
          </w:rPr>
          <w:tab/>
        </w:r>
        <w:r w:rsidR="00D90E07" w:rsidRPr="008D7C1F">
          <w:rPr>
            <w:rStyle w:val="Hyperlink"/>
            <w:noProof/>
          </w:rPr>
          <w:t>Ig Demand and Budget Impact</w:t>
        </w:r>
        <w:r w:rsidR="00D90E07">
          <w:rPr>
            <w:noProof/>
            <w:webHidden/>
          </w:rPr>
          <w:tab/>
        </w:r>
        <w:r w:rsidR="00D90E07">
          <w:rPr>
            <w:noProof/>
            <w:webHidden/>
          </w:rPr>
          <w:fldChar w:fldCharType="begin"/>
        </w:r>
        <w:r w:rsidR="00D90E07">
          <w:rPr>
            <w:noProof/>
            <w:webHidden/>
          </w:rPr>
          <w:instrText xml:space="preserve"> PAGEREF _Toc434574635 \h </w:instrText>
        </w:r>
        <w:r w:rsidR="00D90E07">
          <w:rPr>
            <w:noProof/>
            <w:webHidden/>
          </w:rPr>
        </w:r>
        <w:r w:rsidR="00D90E07">
          <w:rPr>
            <w:noProof/>
            <w:webHidden/>
          </w:rPr>
          <w:fldChar w:fldCharType="separate"/>
        </w:r>
        <w:r w:rsidR="00D90E07">
          <w:rPr>
            <w:noProof/>
            <w:webHidden/>
          </w:rPr>
          <w:t>8</w:t>
        </w:r>
        <w:r w:rsidR="00D90E07">
          <w:rPr>
            <w:noProof/>
            <w:webHidden/>
          </w:rPr>
          <w:fldChar w:fldCharType="end"/>
        </w:r>
      </w:hyperlink>
    </w:p>
    <w:p w:rsidR="00D90E07" w:rsidRDefault="00FD40F1">
      <w:pPr>
        <w:pStyle w:val="TOC2"/>
        <w:rPr>
          <w:rFonts w:asciiTheme="minorHAnsi" w:eastAsiaTheme="minorEastAsia" w:hAnsiTheme="minorHAnsi" w:cstheme="minorBidi"/>
          <w:noProof/>
          <w:lang w:eastAsia="en-AU"/>
        </w:rPr>
      </w:pPr>
      <w:hyperlink w:anchor="_Toc434574636" w:history="1">
        <w:r w:rsidR="00D90E07" w:rsidRPr="008D7C1F">
          <w:rPr>
            <w:rStyle w:val="Hyperlink"/>
            <w:noProof/>
          </w:rPr>
          <w:t>2.3</w:t>
        </w:r>
        <w:r w:rsidR="00D90E07">
          <w:rPr>
            <w:rFonts w:asciiTheme="minorHAnsi" w:eastAsiaTheme="minorEastAsia" w:hAnsiTheme="minorHAnsi" w:cstheme="minorBidi"/>
            <w:noProof/>
            <w:lang w:eastAsia="en-AU"/>
          </w:rPr>
          <w:tab/>
        </w:r>
        <w:r w:rsidR="00D90E07" w:rsidRPr="008D7C1F">
          <w:rPr>
            <w:rStyle w:val="Hyperlink"/>
            <w:noProof/>
          </w:rPr>
          <w:t>Review of the clinical governance and authorisation of IVIg</w:t>
        </w:r>
        <w:r w:rsidR="00D90E07">
          <w:rPr>
            <w:noProof/>
            <w:webHidden/>
          </w:rPr>
          <w:tab/>
        </w:r>
        <w:r w:rsidR="00D90E07">
          <w:rPr>
            <w:noProof/>
            <w:webHidden/>
          </w:rPr>
          <w:fldChar w:fldCharType="begin"/>
        </w:r>
        <w:r w:rsidR="00D90E07">
          <w:rPr>
            <w:noProof/>
            <w:webHidden/>
          </w:rPr>
          <w:instrText xml:space="preserve"> PAGEREF _Toc434574636 \h </w:instrText>
        </w:r>
        <w:r w:rsidR="00D90E07">
          <w:rPr>
            <w:noProof/>
            <w:webHidden/>
          </w:rPr>
        </w:r>
        <w:r w:rsidR="00D90E07">
          <w:rPr>
            <w:noProof/>
            <w:webHidden/>
          </w:rPr>
          <w:fldChar w:fldCharType="separate"/>
        </w:r>
        <w:r w:rsidR="00D90E07">
          <w:rPr>
            <w:noProof/>
            <w:webHidden/>
          </w:rPr>
          <w:t>8</w:t>
        </w:r>
        <w:r w:rsidR="00D90E07">
          <w:rPr>
            <w:noProof/>
            <w:webHidden/>
          </w:rPr>
          <w:fldChar w:fldCharType="end"/>
        </w:r>
      </w:hyperlink>
    </w:p>
    <w:p w:rsidR="00D90E07" w:rsidRDefault="00FD40F1">
      <w:pPr>
        <w:pStyle w:val="TOC2"/>
        <w:rPr>
          <w:rFonts w:asciiTheme="minorHAnsi" w:eastAsiaTheme="minorEastAsia" w:hAnsiTheme="minorHAnsi" w:cstheme="minorBidi"/>
          <w:noProof/>
          <w:lang w:eastAsia="en-AU"/>
        </w:rPr>
      </w:pPr>
      <w:hyperlink w:anchor="_Toc434574637" w:history="1">
        <w:r w:rsidR="00D90E07" w:rsidRPr="008D7C1F">
          <w:rPr>
            <w:rStyle w:val="Hyperlink"/>
            <w:noProof/>
          </w:rPr>
          <w:t>2.4</w:t>
        </w:r>
        <w:r w:rsidR="00D90E07">
          <w:rPr>
            <w:rFonts w:asciiTheme="minorHAnsi" w:eastAsiaTheme="minorEastAsia" w:hAnsiTheme="minorHAnsi" w:cstheme="minorBidi"/>
            <w:noProof/>
            <w:lang w:eastAsia="en-AU"/>
          </w:rPr>
          <w:tab/>
        </w:r>
        <w:r w:rsidR="00D90E07" w:rsidRPr="008D7C1F">
          <w:rPr>
            <w:rStyle w:val="Hyperlink"/>
            <w:noProof/>
          </w:rPr>
          <w:t>The program of measures to strengthen immunoglobulin authorisation and management and identification of where privacy implications may arise</w:t>
        </w:r>
        <w:r w:rsidR="00D90E07">
          <w:rPr>
            <w:noProof/>
            <w:webHidden/>
          </w:rPr>
          <w:tab/>
        </w:r>
        <w:r w:rsidR="00D90E07">
          <w:rPr>
            <w:noProof/>
            <w:webHidden/>
          </w:rPr>
          <w:fldChar w:fldCharType="begin"/>
        </w:r>
        <w:r w:rsidR="00D90E07">
          <w:rPr>
            <w:noProof/>
            <w:webHidden/>
          </w:rPr>
          <w:instrText xml:space="preserve"> PAGEREF _Toc434574637 \h </w:instrText>
        </w:r>
        <w:r w:rsidR="00D90E07">
          <w:rPr>
            <w:noProof/>
            <w:webHidden/>
          </w:rPr>
        </w:r>
        <w:r w:rsidR="00D90E07">
          <w:rPr>
            <w:noProof/>
            <w:webHidden/>
          </w:rPr>
          <w:fldChar w:fldCharType="separate"/>
        </w:r>
        <w:r w:rsidR="00D90E07">
          <w:rPr>
            <w:noProof/>
            <w:webHidden/>
          </w:rPr>
          <w:t>10</w:t>
        </w:r>
        <w:r w:rsidR="00D90E07">
          <w:rPr>
            <w:noProof/>
            <w:webHidden/>
          </w:rPr>
          <w:fldChar w:fldCharType="end"/>
        </w:r>
      </w:hyperlink>
    </w:p>
    <w:p w:rsidR="00D90E07" w:rsidRDefault="00FD40F1">
      <w:pPr>
        <w:pStyle w:val="TOC1"/>
        <w:rPr>
          <w:rFonts w:asciiTheme="minorHAnsi" w:eastAsiaTheme="minorEastAsia" w:hAnsiTheme="minorHAnsi" w:cstheme="minorBidi"/>
          <w:noProof/>
          <w:lang w:eastAsia="en-AU"/>
        </w:rPr>
      </w:pPr>
      <w:hyperlink w:anchor="_Toc434574638" w:history="1">
        <w:r w:rsidR="00D90E07" w:rsidRPr="008D7C1F">
          <w:rPr>
            <w:rStyle w:val="Hyperlink"/>
            <w:noProof/>
          </w:rPr>
          <w:t>3</w:t>
        </w:r>
        <w:r w:rsidR="00D90E07">
          <w:rPr>
            <w:rFonts w:asciiTheme="minorHAnsi" w:eastAsiaTheme="minorEastAsia" w:hAnsiTheme="minorHAnsi" w:cstheme="minorBidi"/>
            <w:noProof/>
            <w:lang w:eastAsia="en-AU"/>
          </w:rPr>
          <w:tab/>
        </w:r>
        <w:r w:rsidR="00D90E07" w:rsidRPr="008D7C1F">
          <w:rPr>
            <w:rStyle w:val="Hyperlink"/>
            <w:noProof/>
          </w:rPr>
          <w:t>Project Scope - BloodSTAR</w:t>
        </w:r>
        <w:r w:rsidR="00D90E07">
          <w:rPr>
            <w:noProof/>
            <w:webHidden/>
          </w:rPr>
          <w:tab/>
        </w:r>
        <w:r w:rsidR="00D90E07">
          <w:rPr>
            <w:noProof/>
            <w:webHidden/>
          </w:rPr>
          <w:fldChar w:fldCharType="begin"/>
        </w:r>
        <w:r w:rsidR="00D90E07">
          <w:rPr>
            <w:noProof/>
            <w:webHidden/>
          </w:rPr>
          <w:instrText xml:space="preserve"> PAGEREF _Toc434574638 \h </w:instrText>
        </w:r>
        <w:r w:rsidR="00D90E07">
          <w:rPr>
            <w:noProof/>
            <w:webHidden/>
          </w:rPr>
        </w:r>
        <w:r w:rsidR="00D90E07">
          <w:rPr>
            <w:noProof/>
            <w:webHidden/>
          </w:rPr>
          <w:fldChar w:fldCharType="separate"/>
        </w:r>
        <w:r w:rsidR="00D90E07">
          <w:rPr>
            <w:noProof/>
            <w:webHidden/>
          </w:rPr>
          <w:t>14</w:t>
        </w:r>
        <w:r w:rsidR="00D90E07">
          <w:rPr>
            <w:noProof/>
            <w:webHidden/>
          </w:rPr>
          <w:fldChar w:fldCharType="end"/>
        </w:r>
      </w:hyperlink>
    </w:p>
    <w:p w:rsidR="00D90E07" w:rsidRDefault="00FD40F1">
      <w:pPr>
        <w:pStyle w:val="TOC1"/>
        <w:rPr>
          <w:rFonts w:asciiTheme="minorHAnsi" w:eastAsiaTheme="minorEastAsia" w:hAnsiTheme="minorHAnsi" w:cstheme="minorBidi"/>
          <w:noProof/>
          <w:lang w:eastAsia="en-AU"/>
        </w:rPr>
      </w:pPr>
      <w:hyperlink w:anchor="_Toc434574639" w:history="1">
        <w:r w:rsidR="00D90E07" w:rsidRPr="008D7C1F">
          <w:rPr>
            <w:rStyle w:val="Hyperlink"/>
            <w:noProof/>
          </w:rPr>
          <w:t>4</w:t>
        </w:r>
        <w:r w:rsidR="00D90E07">
          <w:rPr>
            <w:rFonts w:asciiTheme="minorHAnsi" w:eastAsiaTheme="minorEastAsia" w:hAnsiTheme="minorHAnsi" w:cstheme="minorBidi"/>
            <w:noProof/>
            <w:lang w:eastAsia="en-AU"/>
          </w:rPr>
          <w:tab/>
        </w:r>
        <w:r w:rsidR="00D90E07" w:rsidRPr="008D7C1F">
          <w:rPr>
            <w:rStyle w:val="Hyperlink"/>
            <w:noProof/>
          </w:rPr>
          <w:t>Methodology</w:t>
        </w:r>
        <w:r w:rsidR="00D90E07">
          <w:rPr>
            <w:noProof/>
            <w:webHidden/>
          </w:rPr>
          <w:tab/>
        </w:r>
        <w:r w:rsidR="00D90E07">
          <w:rPr>
            <w:noProof/>
            <w:webHidden/>
          </w:rPr>
          <w:fldChar w:fldCharType="begin"/>
        </w:r>
        <w:r w:rsidR="00D90E07">
          <w:rPr>
            <w:noProof/>
            <w:webHidden/>
          </w:rPr>
          <w:instrText xml:space="preserve"> PAGEREF _Toc434574639 \h </w:instrText>
        </w:r>
        <w:r w:rsidR="00D90E07">
          <w:rPr>
            <w:noProof/>
            <w:webHidden/>
          </w:rPr>
        </w:r>
        <w:r w:rsidR="00D90E07">
          <w:rPr>
            <w:noProof/>
            <w:webHidden/>
          </w:rPr>
          <w:fldChar w:fldCharType="separate"/>
        </w:r>
        <w:r w:rsidR="00D90E07">
          <w:rPr>
            <w:noProof/>
            <w:webHidden/>
          </w:rPr>
          <w:t>16</w:t>
        </w:r>
        <w:r w:rsidR="00D90E07">
          <w:rPr>
            <w:noProof/>
            <w:webHidden/>
          </w:rPr>
          <w:fldChar w:fldCharType="end"/>
        </w:r>
      </w:hyperlink>
    </w:p>
    <w:p w:rsidR="00D90E07" w:rsidRDefault="00FD40F1">
      <w:pPr>
        <w:pStyle w:val="TOC1"/>
        <w:rPr>
          <w:rFonts w:asciiTheme="minorHAnsi" w:eastAsiaTheme="minorEastAsia" w:hAnsiTheme="minorHAnsi" w:cstheme="minorBidi"/>
          <w:noProof/>
          <w:lang w:eastAsia="en-AU"/>
        </w:rPr>
      </w:pPr>
      <w:hyperlink w:anchor="_Toc434574640" w:history="1">
        <w:r w:rsidR="00D90E07" w:rsidRPr="008D7C1F">
          <w:rPr>
            <w:rStyle w:val="Hyperlink"/>
            <w:noProof/>
          </w:rPr>
          <w:t>5</w:t>
        </w:r>
        <w:r w:rsidR="00D90E07">
          <w:rPr>
            <w:rFonts w:asciiTheme="minorHAnsi" w:eastAsiaTheme="minorEastAsia" w:hAnsiTheme="minorHAnsi" w:cstheme="minorBidi"/>
            <w:noProof/>
            <w:lang w:eastAsia="en-AU"/>
          </w:rPr>
          <w:tab/>
        </w:r>
        <w:r w:rsidR="00D90E07" w:rsidRPr="008D7C1F">
          <w:rPr>
            <w:rStyle w:val="Hyperlink"/>
            <w:noProof/>
          </w:rPr>
          <w:t>Mapping information flows and privacy framework</w:t>
        </w:r>
        <w:r w:rsidR="00D90E07">
          <w:rPr>
            <w:noProof/>
            <w:webHidden/>
          </w:rPr>
          <w:tab/>
        </w:r>
        <w:r w:rsidR="00D90E07">
          <w:rPr>
            <w:noProof/>
            <w:webHidden/>
          </w:rPr>
          <w:fldChar w:fldCharType="begin"/>
        </w:r>
        <w:r w:rsidR="00D90E07">
          <w:rPr>
            <w:noProof/>
            <w:webHidden/>
          </w:rPr>
          <w:instrText xml:space="preserve"> PAGEREF _Toc434574640 \h </w:instrText>
        </w:r>
        <w:r w:rsidR="00D90E07">
          <w:rPr>
            <w:noProof/>
            <w:webHidden/>
          </w:rPr>
        </w:r>
        <w:r w:rsidR="00D90E07">
          <w:rPr>
            <w:noProof/>
            <w:webHidden/>
          </w:rPr>
          <w:fldChar w:fldCharType="separate"/>
        </w:r>
        <w:r w:rsidR="00D90E07">
          <w:rPr>
            <w:noProof/>
            <w:webHidden/>
          </w:rPr>
          <w:t>17</w:t>
        </w:r>
        <w:r w:rsidR="00D90E07">
          <w:rPr>
            <w:noProof/>
            <w:webHidden/>
          </w:rPr>
          <w:fldChar w:fldCharType="end"/>
        </w:r>
      </w:hyperlink>
    </w:p>
    <w:p w:rsidR="00D90E07" w:rsidRDefault="00FD40F1">
      <w:pPr>
        <w:pStyle w:val="TOC2"/>
        <w:rPr>
          <w:rFonts w:asciiTheme="minorHAnsi" w:eastAsiaTheme="minorEastAsia" w:hAnsiTheme="minorHAnsi" w:cstheme="minorBidi"/>
          <w:noProof/>
          <w:lang w:eastAsia="en-AU"/>
        </w:rPr>
      </w:pPr>
      <w:hyperlink w:anchor="_Toc434574641" w:history="1">
        <w:r w:rsidR="00D90E07" w:rsidRPr="008D7C1F">
          <w:rPr>
            <w:rStyle w:val="Hyperlink"/>
            <w:noProof/>
          </w:rPr>
          <w:t>5.1</w:t>
        </w:r>
        <w:r w:rsidR="00D90E07">
          <w:rPr>
            <w:rFonts w:asciiTheme="minorHAnsi" w:eastAsiaTheme="minorEastAsia" w:hAnsiTheme="minorHAnsi" w:cstheme="minorBidi"/>
            <w:noProof/>
            <w:lang w:eastAsia="en-AU"/>
          </w:rPr>
          <w:tab/>
        </w:r>
        <w:r w:rsidR="00D90E07" w:rsidRPr="008D7C1F">
          <w:rPr>
            <w:rStyle w:val="Hyperlink"/>
            <w:noProof/>
          </w:rPr>
          <w:t>Data flow diagram</w:t>
        </w:r>
        <w:r w:rsidR="00D90E07">
          <w:rPr>
            <w:noProof/>
            <w:webHidden/>
          </w:rPr>
          <w:tab/>
        </w:r>
        <w:r w:rsidR="00D90E07">
          <w:rPr>
            <w:noProof/>
            <w:webHidden/>
          </w:rPr>
          <w:fldChar w:fldCharType="begin"/>
        </w:r>
        <w:r w:rsidR="00D90E07">
          <w:rPr>
            <w:noProof/>
            <w:webHidden/>
          </w:rPr>
          <w:instrText xml:space="preserve"> PAGEREF _Toc434574641 \h </w:instrText>
        </w:r>
        <w:r w:rsidR="00D90E07">
          <w:rPr>
            <w:noProof/>
            <w:webHidden/>
          </w:rPr>
        </w:r>
        <w:r w:rsidR="00D90E07">
          <w:rPr>
            <w:noProof/>
            <w:webHidden/>
          </w:rPr>
          <w:fldChar w:fldCharType="separate"/>
        </w:r>
        <w:r w:rsidR="00D90E07">
          <w:rPr>
            <w:noProof/>
            <w:webHidden/>
          </w:rPr>
          <w:t>17</w:t>
        </w:r>
        <w:r w:rsidR="00D90E07">
          <w:rPr>
            <w:noProof/>
            <w:webHidden/>
          </w:rPr>
          <w:fldChar w:fldCharType="end"/>
        </w:r>
      </w:hyperlink>
    </w:p>
    <w:p w:rsidR="00D90E07" w:rsidRDefault="00FD40F1">
      <w:pPr>
        <w:pStyle w:val="TOC2"/>
        <w:rPr>
          <w:rFonts w:asciiTheme="minorHAnsi" w:eastAsiaTheme="minorEastAsia" w:hAnsiTheme="minorHAnsi" w:cstheme="minorBidi"/>
          <w:noProof/>
          <w:lang w:eastAsia="en-AU"/>
        </w:rPr>
      </w:pPr>
      <w:hyperlink w:anchor="_Toc434574642" w:history="1">
        <w:r w:rsidR="00D90E07" w:rsidRPr="008D7C1F">
          <w:rPr>
            <w:rStyle w:val="Hyperlink"/>
            <w:noProof/>
          </w:rPr>
          <w:t>5.2</w:t>
        </w:r>
        <w:r w:rsidR="00D90E07">
          <w:rPr>
            <w:rFonts w:asciiTheme="minorHAnsi" w:eastAsiaTheme="minorEastAsia" w:hAnsiTheme="minorHAnsi" w:cstheme="minorBidi"/>
            <w:noProof/>
            <w:lang w:eastAsia="en-AU"/>
          </w:rPr>
          <w:tab/>
        </w:r>
        <w:r w:rsidR="00D90E07" w:rsidRPr="008D7C1F">
          <w:rPr>
            <w:rStyle w:val="Hyperlink"/>
            <w:noProof/>
          </w:rPr>
          <w:t>Collection of personal and sensitive information</w:t>
        </w:r>
        <w:r w:rsidR="00D90E07">
          <w:rPr>
            <w:noProof/>
            <w:webHidden/>
          </w:rPr>
          <w:tab/>
        </w:r>
        <w:r w:rsidR="00D90E07">
          <w:rPr>
            <w:noProof/>
            <w:webHidden/>
          </w:rPr>
          <w:fldChar w:fldCharType="begin"/>
        </w:r>
        <w:r w:rsidR="00D90E07">
          <w:rPr>
            <w:noProof/>
            <w:webHidden/>
          </w:rPr>
          <w:instrText xml:space="preserve"> PAGEREF _Toc434574642 \h </w:instrText>
        </w:r>
        <w:r w:rsidR="00D90E07">
          <w:rPr>
            <w:noProof/>
            <w:webHidden/>
          </w:rPr>
        </w:r>
        <w:r w:rsidR="00D90E07">
          <w:rPr>
            <w:noProof/>
            <w:webHidden/>
          </w:rPr>
          <w:fldChar w:fldCharType="separate"/>
        </w:r>
        <w:r w:rsidR="00D90E07">
          <w:rPr>
            <w:noProof/>
            <w:webHidden/>
          </w:rPr>
          <w:t>17</w:t>
        </w:r>
        <w:r w:rsidR="00D90E07">
          <w:rPr>
            <w:noProof/>
            <w:webHidden/>
          </w:rPr>
          <w:fldChar w:fldCharType="end"/>
        </w:r>
      </w:hyperlink>
    </w:p>
    <w:p w:rsidR="00D90E07" w:rsidRDefault="00FD40F1">
      <w:pPr>
        <w:pStyle w:val="TOC2"/>
        <w:rPr>
          <w:rFonts w:asciiTheme="minorHAnsi" w:eastAsiaTheme="minorEastAsia" w:hAnsiTheme="minorHAnsi" w:cstheme="minorBidi"/>
          <w:noProof/>
          <w:lang w:eastAsia="en-AU"/>
        </w:rPr>
      </w:pPr>
      <w:hyperlink w:anchor="_Toc434574643" w:history="1">
        <w:r w:rsidR="00D90E07" w:rsidRPr="008D7C1F">
          <w:rPr>
            <w:rStyle w:val="Hyperlink"/>
            <w:noProof/>
          </w:rPr>
          <w:t>5.3</w:t>
        </w:r>
        <w:r w:rsidR="00D90E07">
          <w:rPr>
            <w:rFonts w:asciiTheme="minorHAnsi" w:eastAsiaTheme="minorEastAsia" w:hAnsiTheme="minorHAnsi" w:cstheme="minorBidi"/>
            <w:noProof/>
            <w:lang w:eastAsia="en-AU"/>
          </w:rPr>
          <w:tab/>
        </w:r>
        <w:r w:rsidR="00D90E07" w:rsidRPr="008D7C1F">
          <w:rPr>
            <w:rStyle w:val="Hyperlink"/>
            <w:noProof/>
          </w:rPr>
          <w:t>Disclosure of personal and sensitive information</w:t>
        </w:r>
        <w:r w:rsidR="00D90E07">
          <w:rPr>
            <w:noProof/>
            <w:webHidden/>
          </w:rPr>
          <w:tab/>
        </w:r>
        <w:r w:rsidR="00D90E07">
          <w:rPr>
            <w:noProof/>
            <w:webHidden/>
          </w:rPr>
          <w:fldChar w:fldCharType="begin"/>
        </w:r>
        <w:r w:rsidR="00D90E07">
          <w:rPr>
            <w:noProof/>
            <w:webHidden/>
          </w:rPr>
          <w:instrText xml:space="preserve"> PAGEREF _Toc434574643 \h </w:instrText>
        </w:r>
        <w:r w:rsidR="00D90E07">
          <w:rPr>
            <w:noProof/>
            <w:webHidden/>
          </w:rPr>
        </w:r>
        <w:r w:rsidR="00D90E07">
          <w:rPr>
            <w:noProof/>
            <w:webHidden/>
          </w:rPr>
          <w:fldChar w:fldCharType="separate"/>
        </w:r>
        <w:r w:rsidR="00D90E07">
          <w:rPr>
            <w:noProof/>
            <w:webHidden/>
          </w:rPr>
          <w:t>25</w:t>
        </w:r>
        <w:r w:rsidR="00D90E07">
          <w:rPr>
            <w:noProof/>
            <w:webHidden/>
          </w:rPr>
          <w:fldChar w:fldCharType="end"/>
        </w:r>
      </w:hyperlink>
    </w:p>
    <w:p w:rsidR="00D90E07" w:rsidRDefault="00FD40F1">
      <w:pPr>
        <w:pStyle w:val="TOC2"/>
        <w:rPr>
          <w:rFonts w:asciiTheme="minorHAnsi" w:eastAsiaTheme="minorEastAsia" w:hAnsiTheme="minorHAnsi" w:cstheme="minorBidi"/>
          <w:noProof/>
          <w:lang w:eastAsia="en-AU"/>
        </w:rPr>
      </w:pPr>
      <w:hyperlink w:anchor="_Toc434574644" w:history="1">
        <w:r w:rsidR="00D90E07" w:rsidRPr="008D7C1F">
          <w:rPr>
            <w:rStyle w:val="Hyperlink"/>
            <w:noProof/>
          </w:rPr>
          <w:t>5.4</w:t>
        </w:r>
        <w:r w:rsidR="00D90E07">
          <w:rPr>
            <w:rFonts w:asciiTheme="minorHAnsi" w:eastAsiaTheme="minorEastAsia" w:hAnsiTheme="minorHAnsi" w:cstheme="minorBidi"/>
            <w:noProof/>
            <w:lang w:eastAsia="en-AU"/>
          </w:rPr>
          <w:tab/>
        </w:r>
        <w:r w:rsidR="00D90E07" w:rsidRPr="008D7C1F">
          <w:rPr>
            <w:rStyle w:val="Hyperlink"/>
            <w:noProof/>
          </w:rPr>
          <w:t>Correction of personal information</w:t>
        </w:r>
        <w:r w:rsidR="00D90E07">
          <w:rPr>
            <w:noProof/>
            <w:webHidden/>
          </w:rPr>
          <w:tab/>
        </w:r>
        <w:r w:rsidR="00D90E07">
          <w:rPr>
            <w:noProof/>
            <w:webHidden/>
          </w:rPr>
          <w:fldChar w:fldCharType="begin"/>
        </w:r>
        <w:r w:rsidR="00D90E07">
          <w:rPr>
            <w:noProof/>
            <w:webHidden/>
          </w:rPr>
          <w:instrText xml:space="preserve"> PAGEREF _Toc434574644 \h </w:instrText>
        </w:r>
        <w:r w:rsidR="00D90E07">
          <w:rPr>
            <w:noProof/>
            <w:webHidden/>
          </w:rPr>
        </w:r>
        <w:r w:rsidR="00D90E07">
          <w:rPr>
            <w:noProof/>
            <w:webHidden/>
          </w:rPr>
          <w:fldChar w:fldCharType="separate"/>
        </w:r>
        <w:r w:rsidR="00D90E07">
          <w:rPr>
            <w:noProof/>
            <w:webHidden/>
          </w:rPr>
          <w:t>28</w:t>
        </w:r>
        <w:r w:rsidR="00D90E07">
          <w:rPr>
            <w:noProof/>
            <w:webHidden/>
          </w:rPr>
          <w:fldChar w:fldCharType="end"/>
        </w:r>
      </w:hyperlink>
    </w:p>
    <w:p w:rsidR="00D90E07" w:rsidRDefault="00FD40F1">
      <w:pPr>
        <w:pStyle w:val="TOC2"/>
        <w:rPr>
          <w:rFonts w:asciiTheme="minorHAnsi" w:eastAsiaTheme="minorEastAsia" w:hAnsiTheme="minorHAnsi" w:cstheme="minorBidi"/>
          <w:noProof/>
          <w:lang w:eastAsia="en-AU"/>
        </w:rPr>
      </w:pPr>
      <w:hyperlink w:anchor="_Toc434574645" w:history="1">
        <w:r w:rsidR="00D90E07" w:rsidRPr="008D7C1F">
          <w:rPr>
            <w:rStyle w:val="Hyperlink"/>
            <w:noProof/>
          </w:rPr>
          <w:t>5.5</w:t>
        </w:r>
        <w:r w:rsidR="00D90E07">
          <w:rPr>
            <w:rFonts w:asciiTheme="minorHAnsi" w:eastAsiaTheme="minorEastAsia" w:hAnsiTheme="minorHAnsi" w:cstheme="minorBidi"/>
            <w:noProof/>
            <w:lang w:eastAsia="en-AU"/>
          </w:rPr>
          <w:tab/>
        </w:r>
        <w:r w:rsidR="00D90E07" w:rsidRPr="008D7C1F">
          <w:rPr>
            <w:rStyle w:val="Hyperlink"/>
            <w:noProof/>
          </w:rPr>
          <w:t>Security</w:t>
        </w:r>
        <w:r w:rsidR="00D90E07">
          <w:rPr>
            <w:noProof/>
            <w:webHidden/>
          </w:rPr>
          <w:tab/>
        </w:r>
        <w:r w:rsidR="00D90E07">
          <w:rPr>
            <w:noProof/>
            <w:webHidden/>
          </w:rPr>
          <w:fldChar w:fldCharType="begin"/>
        </w:r>
        <w:r w:rsidR="00D90E07">
          <w:rPr>
            <w:noProof/>
            <w:webHidden/>
          </w:rPr>
          <w:instrText xml:space="preserve"> PAGEREF _Toc434574645 \h </w:instrText>
        </w:r>
        <w:r w:rsidR="00D90E07">
          <w:rPr>
            <w:noProof/>
            <w:webHidden/>
          </w:rPr>
        </w:r>
        <w:r w:rsidR="00D90E07">
          <w:rPr>
            <w:noProof/>
            <w:webHidden/>
          </w:rPr>
          <w:fldChar w:fldCharType="separate"/>
        </w:r>
        <w:r w:rsidR="00D90E07">
          <w:rPr>
            <w:noProof/>
            <w:webHidden/>
          </w:rPr>
          <w:t>28</w:t>
        </w:r>
        <w:r w:rsidR="00D90E07">
          <w:rPr>
            <w:noProof/>
            <w:webHidden/>
          </w:rPr>
          <w:fldChar w:fldCharType="end"/>
        </w:r>
      </w:hyperlink>
    </w:p>
    <w:p w:rsidR="00D90E07" w:rsidRDefault="00FD40F1">
      <w:pPr>
        <w:pStyle w:val="TOC2"/>
        <w:rPr>
          <w:rFonts w:asciiTheme="minorHAnsi" w:eastAsiaTheme="minorEastAsia" w:hAnsiTheme="minorHAnsi" w:cstheme="minorBidi"/>
          <w:noProof/>
          <w:lang w:eastAsia="en-AU"/>
        </w:rPr>
      </w:pPr>
      <w:hyperlink w:anchor="_Toc434574646" w:history="1">
        <w:r w:rsidR="00D90E07" w:rsidRPr="008D7C1F">
          <w:rPr>
            <w:rStyle w:val="Hyperlink"/>
            <w:noProof/>
          </w:rPr>
          <w:t>5.6</w:t>
        </w:r>
        <w:r w:rsidR="00D90E07">
          <w:rPr>
            <w:rFonts w:asciiTheme="minorHAnsi" w:eastAsiaTheme="minorEastAsia" w:hAnsiTheme="minorHAnsi" w:cstheme="minorBidi"/>
            <w:noProof/>
            <w:lang w:eastAsia="en-AU"/>
          </w:rPr>
          <w:tab/>
        </w:r>
        <w:r w:rsidR="00D90E07" w:rsidRPr="008D7C1F">
          <w:rPr>
            <w:rStyle w:val="Hyperlink"/>
            <w:noProof/>
          </w:rPr>
          <w:t>Data Quality</w:t>
        </w:r>
        <w:r w:rsidR="00D90E07">
          <w:rPr>
            <w:noProof/>
            <w:webHidden/>
          </w:rPr>
          <w:tab/>
        </w:r>
        <w:r w:rsidR="00D90E07">
          <w:rPr>
            <w:noProof/>
            <w:webHidden/>
          </w:rPr>
          <w:fldChar w:fldCharType="begin"/>
        </w:r>
        <w:r w:rsidR="00D90E07">
          <w:rPr>
            <w:noProof/>
            <w:webHidden/>
          </w:rPr>
          <w:instrText xml:space="preserve"> PAGEREF _Toc434574646 \h </w:instrText>
        </w:r>
        <w:r w:rsidR="00D90E07">
          <w:rPr>
            <w:noProof/>
            <w:webHidden/>
          </w:rPr>
        </w:r>
        <w:r w:rsidR="00D90E07">
          <w:rPr>
            <w:noProof/>
            <w:webHidden/>
          </w:rPr>
          <w:fldChar w:fldCharType="separate"/>
        </w:r>
        <w:r w:rsidR="00D90E07">
          <w:rPr>
            <w:noProof/>
            <w:webHidden/>
          </w:rPr>
          <w:t>29</w:t>
        </w:r>
        <w:r w:rsidR="00D90E07">
          <w:rPr>
            <w:noProof/>
            <w:webHidden/>
          </w:rPr>
          <w:fldChar w:fldCharType="end"/>
        </w:r>
      </w:hyperlink>
    </w:p>
    <w:p w:rsidR="00D90E07" w:rsidRDefault="00FD40F1">
      <w:pPr>
        <w:pStyle w:val="TOC2"/>
        <w:rPr>
          <w:rFonts w:asciiTheme="minorHAnsi" w:eastAsiaTheme="minorEastAsia" w:hAnsiTheme="minorHAnsi" w:cstheme="minorBidi"/>
          <w:noProof/>
          <w:lang w:eastAsia="en-AU"/>
        </w:rPr>
      </w:pPr>
      <w:hyperlink w:anchor="_Toc434574647" w:history="1">
        <w:r w:rsidR="00D90E07" w:rsidRPr="008D7C1F">
          <w:rPr>
            <w:rStyle w:val="Hyperlink"/>
            <w:noProof/>
          </w:rPr>
          <w:t>5.7</w:t>
        </w:r>
        <w:r w:rsidR="00D90E07">
          <w:rPr>
            <w:rFonts w:asciiTheme="minorHAnsi" w:eastAsiaTheme="minorEastAsia" w:hAnsiTheme="minorHAnsi" w:cstheme="minorBidi"/>
            <w:noProof/>
            <w:lang w:eastAsia="en-AU"/>
          </w:rPr>
          <w:tab/>
        </w:r>
        <w:r w:rsidR="00D90E07" w:rsidRPr="008D7C1F">
          <w:rPr>
            <w:rStyle w:val="Hyperlink"/>
            <w:noProof/>
          </w:rPr>
          <w:t>Data Retention</w:t>
        </w:r>
        <w:r w:rsidR="00D90E07">
          <w:rPr>
            <w:noProof/>
            <w:webHidden/>
          </w:rPr>
          <w:tab/>
        </w:r>
        <w:r w:rsidR="00D90E07">
          <w:rPr>
            <w:noProof/>
            <w:webHidden/>
          </w:rPr>
          <w:fldChar w:fldCharType="begin"/>
        </w:r>
        <w:r w:rsidR="00D90E07">
          <w:rPr>
            <w:noProof/>
            <w:webHidden/>
          </w:rPr>
          <w:instrText xml:space="preserve"> PAGEREF _Toc434574647 \h </w:instrText>
        </w:r>
        <w:r w:rsidR="00D90E07">
          <w:rPr>
            <w:noProof/>
            <w:webHidden/>
          </w:rPr>
        </w:r>
        <w:r w:rsidR="00D90E07">
          <w:rPr>
            <w:noProof/>
            <w:webHidden/>
          </w:rPr>
          <w:fldChar w:fldCharType="separate"/>
        </w:r>
        <w:r w:rsidR="00D90E07">
          <w:rPr>
            <w:noProof/>
            <w:webHidden/>
          </w:rPr>
          <w:t>30</w:t>
        </w:r>
        <w:r w:rsidR="00D90E07">
          <w:rPr>
            <w:noProof/>
            <w:webHidden/>
          </w:rPr>
          <w:fldChar w:fldCharType="end"/>
        </w:r>
      </w:hyperlink>
    </w:p>
    <w:p w:rsidR="00D90E07" w:rsidRDefault="00FD40F1">
      <w:pPr>
        <w:pStyle w:val="TOC2"/>
        <w:rPr>
          <w:rFonts w:asciiTheme="minorHAnsi" w:eastAsiaTheme="minorEastAsia" w:hAnsiTheme="minorHAnsi" w:cstheme="minorBidi"/>
          <w:noProof/>
          <w:lang w:eastAsia="en-AU"/>
        </w:rPr>
      </w:pPr>
      <w:hyperlink w:anchor="_Toc434574648" w:history="1">
        <w:r w:rsidR="00D90E07" w:rsidRPr="008D7C1F">
          <w:rPr>
            <w:rStyle w:val="Hyperlink"/>
            <w:noProof/>
          </w:rPr>
          <w:t>5.8</w:t>
        </w:r>
        <w:r w:rsidR="00D90E07">
          <w:rPr>
            <w:rFonts w:asciiTheme="minorHAnsi" w:eastAsiaTheme="minorEastAsia" w:hAnsiTheme="minorHAnsi" w:cstheme="minorBidi"/>
            <w:noProof/>
            <w:lang w:eastAsia="en-AU"/>
          </w:rPr>
          <w:tab/>
        </w:r>
        <w:r w:rsidR="00D90E07" w:rsidRPr="008D7C1F">
          <w:rPr>
            <w:rStyle w:val="Hyperlink"/>
            <w:noProof/>
          </w:rPr>
          <w:t>Identity Management</w:t>
        </w:r>
        <w:r w:rsidR="00D90E07">
          <w:rPr>
            <w:noProof/>
            <w:webHidden/>
          </w:rPr>
          <w:tab/>
        </w:r>
        <w:r w:rsidR="00D90E07">
          <w:rPr>
            <w:noProof/>
            <w:webHidden/>
          </w:rPr>
          <w:fldChar w:fldCharType="begin"/>
        </w:r>
        <w:r w:rsidR="00D90E07">
          <w:rPr>
            <w:noProof/>
            <w:webHidden/>
          </w:rPr>
          <w:instrText xml:space="preserve"> PAGEREF _Toc434574648 \h </w:instrText>
        </w:r>
        <w:r w:rsidR="00D90E07">
          <w:rPr>
            <w:noProof/>
            <w:webHidden/>
          </w:rPr>
        </w:r>
        <w:r w:rsidR="00D90E07">
          <w:rPr>
            <w:noProof/>
            <w:webHidden/>
          </w:rPr>
          <w:fldChar w:fldCharType="separate"/>
        </w:r>
        <w:r w:rsidR="00D90E07">
          <w:rPr>
            <w:noProof/>
            <w:webHidden/>
          </w:rPr>
          <w:t>30</w:t>
        </w:r>
        <w:r w:rsidR="00D90E07">
          <w:rPr>
            <w:noProof/>
            <w:webHidden/>
          </w:rPr>
          <w:fldChar w:fldCharType="end"/>
        </w:r>
      </w:hyperlink>
    </w:p>
    <w:p w:rsidR="00D90E07" w:rsidRDefault="00FD40F1">
      <w:pPr>
        <w:pStyle w:val="TOC2"/>
        <w:rPr>
          <w:rFonts w:asciiTheme="minorHAnsi" w:eastAsiaTheme="minorEastAsia" w:hAnsiTheme="minorHAnsi" w:cstheme="minorBidi"/>
          <w:noProof/>
          <w:lang w:eastAsia="en-AU"/>
        </w:rPr>
      </w:pPr>
      <w:hyperlink w:anchor="_Toc434574649" w:history="1">
        <w:r w:rsidR="00D90E07" w:rsidRPr="008D7C1F">
          <w:rPr>
            <w:rStyle w:val="Hyperlink"/>
            <w:noProof/>
          </w:rPr>
          <w:t>5.9</w:t>
        </w:r>
        <w:r w:rsidR="00D90E07">
          <w:rPr>
            <w:rFonts w:asciiTheme="minorHAnsi" w:eastAsiaTheme="minorEastAsia" w:hAnsiTheme="minorHAnsi" w:cstheme="minorBidi"/>
            <w:noProof/>
            <w:lang w:eastAsia="en-AU"/>
          </w:rPr>
          <w:tab/>
        </w:r>
        <w:r w:rsidR="00D90E07" w:rsidRPr="008D7C1F">
          <w:rPr>
            <w:rStyle w:val="Hyperlink"/>
            <w:noProof/>
          </w:rPr>
          <w:t>Privacy Survey</w:t>
        </w:r>
        <w:r w:rsidR="00D90E07">
          <w:rPr>
            <w:noProof/>
            <w:webHidden/>
          </w:rPr>
          <w:tab/>
        </w:r>
        <w:r w:rsidR="00D90E07">
          <w:rPr>
            <w:noProof/>
            <w:webHidden/>
          </w:rPr>
          <w:fldChar w:fldCharType="begin"/>
        </w:r>
        <w:r w:rsidR="00D90E07">
          <w:rPr>
            <w:noProof/>
            <w:webHidden/>
          </w:rPr>
          <w:instrText xml:space="preserve"> PAGEREF _Toc434574649 \h </w:instrText>
        </w:r>
        <w:r w:rsidR="00D90E07">
          <w:rPr>
            <w:noProof/>
            <w:webHidden/>
          </w:rPr>
        </w:r>
        <w:r w:rsidR="00D90E07">
          <w:rPr>
            <w:noProof/>
            <w:webHidden/>
          </w:rPr>
          <w:fldChar w:fldCharType="separate"/>
        </w:r>
        <w:r w:rsidR="00D90E07">
          <w:rPr>
            <w:noProof/>
            <w:webHidden/>
          </w:rPr>
          <w:t>32</w:t>
        </w:r>
        <w:r w:rsidR="00D90E07">
          <w:rPr>
            <w:noProof/>
            <w:webHidden/>
          </w:rPr>
          <w:fldChar w:fldCharType="end"/>
        </w:r>
      </w:hyperlink>
    </w:p>
    <w:p w:rsidR="00D90E07" w:rsidRDefault="00FD40F1">
      <w:pPr>
        <w:pStyle w:val="TOC1"/>
        <w:rPr>
          <w:rFonts w:asciiTheme="minorHAnsi" w:eastAsiaTheme="minorEastAsia" w:hAnsiTheme="minorHAnsi" w:cstheme="minorBidi"/>
          <w:noProof/>
          <w:lang w:eastAsia="en-AU"/>
        </w:rPr>
      </w:pPr>
      <w:hyperlink w:anchor="_Toc434574650" w:history="1">
        <w:r w:rsidR="00D90E07" w:rsidRPr="008D7C1F">
          <w:rPr>
            <w:rStyle w:val="Hyperlink"/>
            <w:noProof/>
          </w:rPr>
          <w:t>6</w:t>
        </w:r>
        <w:r w:rsidR="00D90E07">
          <w:rPr>
            <w:rFonts w:asciiTheme="minorHAnsi" w:eastAsiaTheme="minorEastAsia" w:hAnsiTheme="minorHAnsi" w:cstheme="minorBidi"/>
            <w:noProof/>
            <w:lang w:eastAsia="en-AU"/>
          </w:rPr>
          <w:tab/>
        </w:r>
        <w:r w:rsidR="00D90E07" w:rsidRPr="008D7C1F">
          <w:rPr>
            <w:rStyle w:val="Hyperlink"/>
            <w:noProof/>
          </w:rPr>
          <w:t>Privacy Impact analysis</w:t>
        </w:r>
        <w:r w:rsidR="00D90E07">
          <w:rPr>
            <w:noProof/>
            <w:webHidden/>
          </w:rPr>
          <w:tab/>
        </w:r>
        <w:r w:rsidR="00D90E07">
          <w:rPr>
            <w:noProof/>
            <w:webHidden/>
          </w:rPr>
          <w:fldChar w:fldCharType="begin"/>
        </w:r>
        <w:r w:rsidR="00D90E07">
          <w:rPr>
            <w:noProof/>
            <w:webHidden/>
          </w:rPr>
          <w:instrText xml:space="preserve"> PAGEREF _Toc434574650 \h </w:instrText>
        </w:r>
        <w:r w:rsidR="00D90E07">
          <w:rPr>
            <w:noProof/>
            <w:webHidden/>
          </w:rPr>
        </w:r>
        <w:r w:rsidR="00D90E07">
          <w:rPr>
            <w:noProof/>
            <w:webHidden/>
          </w:rPr>
          <w:fldChar w:fldCharType="separate"/>
        </w:r>
        <w:r w:rsidR="00D90E07">
          <w:rPr>
            <w:noProof/>
            <w:webHidden/>
          </w:rPr>
          <w:t>49</w:t>
        </w:r>
        <w:r w:rsidR="00D90E07">
          <w:rPr>
            <w:noProof/>
            <w:webHidden/>
          </w:rPr>
          <w:fldChar w:fldCharType="end"/>
        </w:r>
      </w:hyperlink>
    </w:p>
    <w:p w:rsidR="00D90E07" w:rsidRDefault="00FD40F1">
      <w:pPr>
        <w:pStyle w:val="TOC1"/>
        <w:rPr>
          <w:rFonts w:asciiTheme="minorHAnsi" w:eastAsiaTheme="minorEastAsia" w:hAnsiTheme="minorHAnsi" w:cstheme="minorBidi"/>
          <w:noProof/>
          <w:lang w:eastAsia="en-AU"/>
        </w:rPr>
      </w:pPr>
      <w:hyperlink w:anchor="_Toc434574651" w:history="1">
        <w:r w:rsidR="00D90E07" w:rsidRPr="008D7C1F">
          <w:rPr>
            <w:rStyle w:val="Hyperlink"/>
            <w:noProof/>
          </w:rPr>
          <w:t>7</w:t>
        </w:r>
        <w:r w:rsidR="00D90E07">
          <w:rPr>
            <w:rFonts w:asciiTheme="minorHAnsi" w:eastAsiaTheme="minorEastAsia" w:hAnsiTheme="minorHAnsi" w:cstheme="minorBidi"/>
            <w:noProof/>
            <w:lang w:eastAsia="en-AU"/>
          </w:rPr>
          <w:tab/>
        </w:r>
        <w:r w:rsidR="00D90E07" w:rsidRPr="008D7C1F">
          <w:rPr>
            <w:rStyle w:val="Hyperlink"/>
            <w:noProof/>
          </w:rPr>
          <w:t>Privacy Management</w:t>
        </w:r>
        <w:r w:rsidR="00D90E07">
          <w:rPr>
            <w:noProof/>
            <w:webHidden/>
          </w:rPr>
          <w:tab/>
        </w:r>
        <w:r w:rsidR="00D90E07">
          <w:rPr>
            <w:noProof/>
            <w:webHidden/>
          </w:rPr>
          <w:fldChar w:fldCharType="begin"/>
        </w:r>
        <w:r w:rsidR="00D90E07">
          <w:rPr>
            <w:noProof/>
            <w:webHidden/>
          </w:rPr>
          <w:instrText xml:space="preserve"> PAGEREF _Toc434574651 \h </w:instrText>
        </w:r>
        <w:r w:rsidR="00D90E07">
          <w:rPr>
            <w:noProof/>
            <w:webHidden/>
          </w:rPr>
        </w:r>
        <w:r w:rsidR="00D90E07">
          <w:rPr>
            <w:noProof/>
            <w:webHidden/>
          </w:rPr>
          <w:fldChar w:fldCharType="separate"/>
        </w:r>
        <w:r w:rsidR="00D90E07">
          <w:rPr>
            <w:noProof/>
            <w:webHidden/>
          </w:rPr>
          <w:t>60</w:t>
        </w:r>
        <w:r w:rsidR="00D90E07">
          <w:rPr>
            <w:noProof/>
            <w:webHidden/>
          </w:rPr>
          <w:fldChar w:fldCharType="end"/>
        </w:r>
      </w:hyperlink>
    </w:p>
    <w:p w:rsidR="00D90E07" w:rsidRDefault="00FD40F1">
      <w:pPr>
        <w:pStyle w:val="TOC2"/>
        <w:rPr>
          <w:rFonts w:asciiTheme="minorHAnsi" w:eastAsiaTheme="minorEastAsia" w:hAnsiTheme="minorHAnsi" w:cstheme="minorBidi"/>
          <w:noProof/>
          <w:lang w:eastAsia="en-AU"/>
        </w:rPr>
      </w:pPr>
      <w:hyperlink w:anchor="_Toc434574652" w:history="1">
        <w:r w:rsidR="00D90E07" w:rsidRPr="008D7C1F">
          <w:rPr>
            <w:rStyle w:val="Hyperlink"/>
            <w:noProof/>
          </w:rPr>
          <w:t>7.1</w:t>
        </w:r>
        <w:r w:rsidR="00D90E07">
          <w:rPr>
            <w:rFonts w:asciiTheme="minorHAnsi" w:eastAsiaTheme="minorEastAsia" w:hAnsiTheme="minorHAnsi" w:cstheme="minorBidi"/>
            <w:noProof/>
            <w:lang w:eastAsia="en-AU"/>
          </w:rPr>
          <w:tab/>
        </w:r>
        <w:r w:rsidR="00D90E07" w:rsidRPr="008D7C1F">
          <w:rPr>
            <w:rStyle w:val="Hyperlink"/>
            <w:noProof/>
          </w:rPr>
          <w:t>Recommendations</w:t>
        </w:r>
        <w:r w:rsidR="00D90E07">
          <w:rPr>
            <w:noProof/>
            <w:webHidden/>
          </w:rPr>
          <w:tab/>
        </w:r>
        <w:r w:rsidR="00D90E07">
          <w:rPr>
            <w:noProof/>
            <w:webHidden/>
          </w:rPr>
          <w:fldChar w:fldCharType="begin"/>
        </w:r>
        <w:r w:rsidR="00D90E07">
          <w:rPr>
            <w:noProof/>
            <w:webHidden/>
          </w:rPr>
          <w:instrText xml:space="preserve"> PAGEREF _Toc434574652 \h </w:instrText>
        </w:r>
        <w:r w:rsidR="00D90E07">
          <w:rPr>
            <w:noProof/>
            <w:webHidden/>
          </w:rPr>
        </w:r>
        <w:r w:rsidR="00D90E07">
          <w:rPr>
            <w:noProof/>
            <w:webHidden/>
          </w:rPr>
          <w:fldChar w:fldCharType="separate"/>
        </w:r>
        <w:r w:rsidR="00D90E07">
          <w:rPr>
            <w:noProof/>
            <w:webHidden/>
          </w:rPr>
          <w:t>60</w:t>
        </w:r>
        <w:r w:rsidR="00D90E07">
          <w:rPr>
            <w:noProof/>
            <w:webHidden/>
          </w:rPr>
          <w:fldChar w:fldCharType="end"/>
        </w:r>
      </w:hyperlink>
    </w:p>
    <w:p w:rsidR="00D90E07" w:rsidRDefault="00FD40F1">
      <w:pPr>
        <w:pStyle w:val="TOC1"/>
        <w:rPr>
          <w:rFonts w:asciiTheme="minorHAnsi" w:eastAsiaTheme="minorEastAsia" w:hAnsiTheme="minorHAnsi" w:cstheme="minorBidi"/>
          <w:noProof/>
          <w:lang w:eastAsia="en-AU"/>
        </w:rPr>
      </w:pPr>
      <w:hyperlink w:anchor="_Toc434574653" w:history="1">
        <w:r w:rsidR="00D90E07" w:rsidRPr="008D7C1F">
          <w:rPr>
            <w:rStyle w:val="Hyperlink"/>
            <w:noProof/>
          </w:rPr>
          <w:t>8</w:t>
        </w:r>
        <w:r w:rsidR="00D90E07">
          <w:rPr>
            <w:rFonts w:asciiTheme="minorHAnsi" w:eastAsiaTheme="minorEastAsia" w:hAnsiTheme="minorHAnsi" w:cstheme="minorBidi"/>
            <w:noProof/>
            <w:lang w:eastAsia="en-AU"/>
          </w:rPr>
          <w:tab/>
        </w:r>
        <w:r w:rsidR="00D90E07" w:rsidRPr="008D7C1F">
          <w:rPr>
            <w:rStyle w:val="Hyperlink"/>
            <w:noProof/>
          </w:rPr>
          <w:t>Attachments</w:t>
        </w:r>
        <w:r w:rsidR="00D90E07">
          <w:rPr>
            <w:noProof/>
            <w:webHidden/>
          </w:rPr>
          <w:tab/>
        </w:r>
        <w:r w:rsidR="00D90E07">
          <w:rPr>
            <w:noProof/>
            <w:webHidden/>
          </w:rPr>
          <w:fldChar w:fldCharType="begin"/>
        </w:r>
        <w:r w:rsidR="00D90E07">
          <w:rPr>
            <w:noProof/>
            <w:webHidden/>
          </w:rPr>
          <w:instrText xml:space="preserve"> PAGEREF _Toc434574653 \h </w:instrText>
        </w:r>
        <w:r w:rsidR="00D90E07">
          <w:rPr>
            <w:noProof/>
            <w:webHidden/>
          </w:rPr>
        </w:r>
        <w:r w:rsidR="00D90E07">
          <w:rPr>
            <w:noProof/>
            <w:webHidden/>
          </w:rPr>
          <w:fldChar w:fldCharType="separate"/>
        </w:r>
        <w:r w:rsidR="00D90E07">
          <w:rPr>
            <w:noProof/>
            <w:webHidden/>
          </w:rPr>
          <w:t>62</w:t>
        </w:r>
        <w:r w:rsidR="00D90E07">
          <w:rPr>
            <w:noProof/>
            <w:webHidden/>
          </w:rPr>
          <w:fldChar w:fldCharType="end"/>
        </w:r>
      </w:hyperlink>
    </w:p>
    <w:p w:rsidR="00D90E07" w:rsidRDefault="00FD40F1">
      <w:pPr>
        <w:pStyle w:val="TOC2"/>
        <w:rPr>
          <w:rFonts w:asciiTheme="minorHAnsi" w:eastAsiaTheme="minorEastAsia" w:hAnsiTheme="minorHAnsi" w:cstheme="minorBidi"/>
          <w:noProof/>
          <w:lang w:eastAsia="en-AU"/>
        </w:rPr>
      </w:pPr>
      <w:hyperlink w:anchor="_Toc434574654" w:history="1">
        <w:r w:rsidR="00D90E07" w:rsidRPr="008D7C1F">
          <w:rPr>
            <w:rStyle w:val="Hyperlink"/>
            <w:noProof/>
          </w:rPr>
          <w:t>8.1</w:t>
        </w:r>
        <w:r w:rsidR="00D90E07">
          <w:rPr>
            <w:rFonts w:asciiTheme="minorHAnsi" w:eastAsiaTheme="minorEastAsia" w:hAnsiTheme="minorHAnsi" w:cstheme="minorBidi"/>
            <w:noProof/>
            <w:lang w:eastAsia="en-AU"/>
          </w:rPr>
          <w:tab/>
        </w:r>
        <w:r w:rsidR="00D90E07" w:rsidRPr="008D7C1F">
          <w:rPr>
            <w:rStyle w:val="Hyperlink"/>
            <w:noProof/>
          </w:rPr>
          <w:t>Attachment A – Privacy Statement and Notice</w:t>
        </w:r>
        <w:r w:rsidR="00D90E07">
          <w:rPr>
            <w:noProof/>
            <w:webHidden/>
          </w:rPr>
          <w:tab/>
        </w:r>
        <w:r w:rsidR="00D90E07">
          <w:rPr>
            <w:noProof/>
            <w:webHidden/>
          </w:rPr>
          <w:fldChar w:fldCharType="begin"/>
        </w:r>
        <w:r w:rsidR="00D90E07">
          <w:rPr>
            <w:noProof/>
            <w:webHidden/>
          </w:rPr>
          <w:instrText xml:space="preserve"> PAGEREF _Toc434574654 \h </w:instrText>
        </w:r>
        <w:r w:rsidR="00D90E07">
          <w:rPr>
            <w:noProof/>
            <w:webHidden/>
          </w:rPr>
        </w:r>
        <w:r w:rsidR="00D90E07">
          <w:rPr>
            <w:noProof/>
            <w:webHidden/>
          </w:rPr>
          <w:fldChar w:fldCharType="separate"/>
        </w:r>
        <w:r w:rsidR="00D90E07">
          <w:rPr>
            <w:noProof/>
            <w:webHidden/>
          </w:rPr>
          <w:t>62</w:t>
        </w:r>
        <w:r w:rsidR="00D90E07">
          <w:rPr>
            <w:noProof/>
            <w:webHidden/>
          </w:rPr>
          <w:fldChar w:fldCharType="end"/>
        </w:r>
      </w:hyperlink>
    </w:p>
    <w:p w:rsidR="00D90E07" w:rsidRDefault="00FD40F1">
      <w:pPr>
        <w:pStyle w:val="TOC2"/>
        <w:rPr>
          <w:rFonts w:asciiTheme="minorHAnsi" w:eastAsiaTheme="minorEastAsia" w:hAnsiTheme="minorHAnsi" w:cstheme="minorBidi"/>
          <w:noProof/>
          <w:lang w:eastAsia="en-AU"/>
        </w:rPr>
      </w:pPr>
      <w:hyperlink w:anchor="_Toc434574655" w:history="1">
        <w:r w:rsidR="00D90E07" w:rsidRPr="008D7C1F">
          <w:rPr>
            <w:rStyle w:val="Hyperlink"/>
            <w:noProof/>
          </w:rPr>
          <w:t>8.2</w:t>
        </w:r>
        <w:r w:rsidR="00D90E07">
          <w:rPr>
            <w:rFonts w:asciiTheme="minorHAnsi" w:eastAsiaTheme="minorEastAsia" w:hAnsiTheme="minorHAnsi" w:cstheme="minorBidi"/>
            <w:noProof/>
            <w:lang w:eastAsia="en-AU"/>
          </w:rPr>
          <w:tab/>
        </w:r>
        <w:r w:rsidR="00D90E07" w:rsidRPr="008D7C1F">
          <w:rPr>
            <w:rStyle w:val="Hyperlink"/>
            <w:noProof/>
          </w:rPr>
          <w:t>Attachment B – BloodSTAR Privacy Consent Form</w:t>
        </w:r>
        <w:r w:rsidR="00D90E07">
          <w:rPr>
            <w:noProof/>
            <w:webHidden/>
          </w:rPr>
          <w:tab/>
        </w:r>
        <w:r w:rsidR="00D90E07">
          <w:rPr>
            <w:noProof/>
            <w:webHidden/>
          </w:rPr>
          <w:fldChar w:fldCharType="begin"/>
        </w:r>
        <w:r w:rsidR="00D90E07">
          <w:rPr>
            <w:noProof/>
            <w:webHidden/>
          </w:rPr>
          <w:instrText xml:space="preserve"> PAGEREF _Toc434574655 \h </w:instrText>
        </w:r>
        <w:r w:rsidR="00D90E07">
          <w:rPr>
            <w:noProof/>
            <w:webHidden/>
          </w:rPr>
        </w:r>
        <w:r w:rsidR="00D90E07">
          <w:rPr>
            <w:noProof/>
            <w:webHidden/>
          </w:rPr>
          <w:fldChar w:fldCharType="separate"/>
        </w:r>
        <w:r w:rsidR="00D90E07">
          <w:rPr>
            <w:noProof/>
            <w:webHidden/>
          </w:rPr>
          <w:t>65</w:t>
        </w:r>
        <w:r w:rsidR="00D90E07">
          <w:rPr>
            <w:noProof/>
            <w:webHidden/>
          </w:rPr>
          <w:fldChar w:fldCharType="end"/>
        </w:r>
      </w:hyperlink>
    </w:p>
    <w:p w:rsidR="00D90E07" w:rsidRDefault="00FD40F1">
      <w:pPr>
        <w:pStyle w:val="TOC2"/>
        <w:rPr>
          <w:rFonts w:asciiTheme="minorHAnsi" w:eastAsiaTheme="minorEastAsia" w:hAnsiTheme="minorHAnsi" w:cstheme="minorBidi"/>
          <w:noProof/>
          <w:lang w:eastAsia="en-AU"/>
        </w:rPr>
      </w:pPr>
      <w:hyperlink w:anchor="_Toc434574656" w:history="1">
        <w:r w:rsidR="00D90E07" w:rsidRPr="008D7C1F">
          <w:rPr>
            <w:rStyle w:val="Hyperlink"/>
            <w:noProof/>
          </w:rPr>
          <w:t>8.3</w:t>
        </w:r>
        <w:r w:rsidR="00D90E07">
          <w:rPr>
            <w:rFonts w:asciiTheme="minorHAnsi" w:eastAsiaTheme="minorEastAsia" w:hAnsiTheme="minorHAnsi" w:cstheme="minorBidi"/>
            <w:noProof/>
            <w:lang w:eastAsia="en-AU"/>
          </w:rPr>
          <w:tab/>
        </w:r>
        <w:r w:rsidR="00D90E07" w:rsidRPr="008D7C1F">
          <w:rPr>
            <w:rStyle w:val="Hyperlink"/>
            <w:noProof/>
          </w:rPr>
          <w:t>Attachment C – User Terms and Conditions</w:t>
        </w:r>
        <w:r w:rsidR="00D90E07">
          <w:rPr>
            <w:noProof/>
            <w:webHidden/>
          </w:rPr>
          <w:tab/>
        </w:r>
        <w:r w:rsidR="00D90E07">
          <w:rPr>
            <w:noProof/>
            <w:webHidden/>
          </w:rPr>
          <w:fldChar w:fldCharType="begin"/>
        </w:r>
        <w:r w:rsidR="00D90E07">
          <w:rPr>
            <w:noProof/>
            <w:webHidden/>
          </w:rPr>
          <w:instrText xml:space="preserve"> PAGEREF _Toc434574656 \h </w:instrText>
        </w:r>
        <w:r w:rsidR="00D90E07">
          <w:rPr>
            <w:noProof/>
            <w:webHidden/>
          </w:rPr>
        </w:r>
        <w:r w:rsidR="00D90E07">
          <w:rPr>
            <w:noProof/>
            <w:webHidden/>
          </w:rPr>
          <w:fldChar w:fldCharType="separate"/>
        </w:r>
        <w:r w:rsidR="00D90E07">
          <w:rPr>
            <w:noProof/>
            <w:webHidden/>
          </w:rPr>
          <w:t>67</w:t>
        </w:r>
        <w:r w:rsidR="00D90E07">
          <w:rPr>
            <w:noProof/>
            <w:webHidden/>
          </w:rPr>
          <w:fldChar w:fldCharType="end"/>
        </w:r>
      </w:hyperlink>
    </w:p>
    <w:p w:rsidR="00D90E07" w:rsidRDefault="00FD40F1">
      <w:pPr>
        <w:pStyle w:val="TOC2"/>
        <w:rPr>
          <w:rFonts w:asciiTheme="minorHAnsi" w:eastAsiaTheme="minorEastAsia" w:hAnsiTheme="minorHAnsi" w:cstheme="minorBidi"/>
          <w:noProof/>
          <w:lang w:eastAsia="en-AU"/>
        </w:rPr>
      </w:pPr>
      <w:hyperlink w:anchor="_Toc434574657" w:history="1">
        <w:r w:rsidR="00D90E07" w:rsidRPr="008D7C1F">
          <w:rPr>
            <w:rStyle w:val="Hyperlink"/>
            <w:noProof/>
          </w:rPr>
          <w:t>8.4</w:t>
        </w:r>
        <w:r w:rsidR="00D90E07">
          <w:rPr>
            <w:rFonts w:asciiTheme="minorHAnsi" w:eastAsiaTheme="minorEastAsia" w:hAnsiTheme="minorHAnsi" w:cstheme="minorBidi"/>
            <w:noProof/>
            <w:lang w:eastAsia="en-AU"/>
          </w:rPr>
          <w:tab/>
        </w:r>
        <w:r w:rsidR="00D90E07" w:rsidRPr="008D7C1F">
          <w:rPr>
            <w:rStyle w:val="Hyperlink"/>
            <w:noProof/>
          </w:rPr>
          <w:t>Attachment D – Patient Record Data Dictionary</w:t>
        </w:r>
        <w:r w:rsidR="00D90E07">
          <w:rPr>
            <w:noProof/>
            <w:webHidden/>
          </w:rPr>
          <w:tab/>
        </w:r>
        <w:r w:rsidR="00D90E07">
          <w:rPr>
            <w:noProof/>
            <w:webHidden/>
          </w:rPr>
          <w:fldChar w:fldCharType="begin"/>
        </w:r>
        <w:r w:rsidR="00D90E07">
          <w:rPr>
            <w:noProof/>
            <w:webHidden/>
          </w:rPr>
          <w:instrText xml:space="preserve"> PAGEREF _Toc434574657 \h </w:instrText>
        </w:r>
        <w:r w:rsidR="00D90E07">
          <w:rPr>
            <w:noProof/>
            <w:webHidden/>
          </w:rPr>
        </w:r>
        <w:r w:rsidR="00D90E07">
          <w:rPr>
            <w:noProof/>
            <w:webHidden/>
          </w:rPr>
          <w:fldChar w:fldCharType="separate"/>
        </w:r>
        <w:r w:rsidR="00D90E07">
          <w:rPr>
            <w:noProof/>
            <w:webHidden/>
          </w:rPr>
          <w:t>69</w:t>
        </w:r>
        <w:r w:rsidR="00D90E07">
          <w:rPr>
            <w:noProof/>
            <w:webHidden/>
          </w:rPr>
          <w:fldChar w:fldCharType="end"/>
        </w:r>
      </w:hyperlink>
    </w:p>
    <w:p w:rsidR="00D90E07" w:rsidRDefault="00FD40F1">
      <w:pPr>
        <w:pStyle w:val="TOC2"/>
        <w:rPr>
          <w:rFonts w:asciiTheme="minorHAnsi" w:eastAsiaTheme="minorEastAsia" w:hAnsiTheme="minorHAnsi" w:cstheme="minorBidi"/>
          <w:noProof/>
          <w:lang w:eastAsia="en-AU"/>
        </w:rPr>
      </w:pPr>
      <w:hyperlink w:anchor="_Toc434574658" w:history="1">
        <w:r w:rsidR="00D90E07" w:rsidRPr="008D7C1F">
          <w:rPr>
            <w:rStyle w:val="Hyperlink"/>
            <w:noProof/>
          </w:rPr>
          <w:t>8.5</w:t>
        </w:r>
        <w:r w:rsidR="00D90E07">
          <w:rPr>
            <w:rFonts w:asciiTheme="minorHAnsi" w:eastAsiaTheme="minorEastAsia" w:hAnsiTheme="minorHAnsi" w:cstheme="minorBidi"/>
            <w:noProof/>
            <w:lang w:eastAsia="en-AU"/>
          </w:rPr>
          <w:tab/>
        </w:r>
        <w:r w:rsidR="00D90E07" w:rsidRPr="008D7C1F">
          <w:rPr>
            <w:rStyle w:val="Hyperlink"/>
            <w:noProof/>
          </w:rPr>
          <w:t>Attachment E– Patient Record Security Matrix</w:t>
        </w:r>
        <w:r w:rsidR="00D90E07">
          <w:rPr>
            <w:noProof/>
            <w:webHidden/>
          </w:rPr>
          <w:tab/>
        </w:r>
        <w:r w:rsidR="00D90E07">
          <w:rPr>
            <w:noProof/>
            <w:webHidden/>
          </w:rPr>
          <w:fldChar w:fldCharType="begin"/>
        </w:r>
        <w:r w:rsidR="00D90E07">
          <w:rPr>
            <w:noProof/>
            <w:webHidden/>
          </w:rPr>
          <w:instrText xml:space="preserve"> PAGEREF _Toc434574658 \h </w:instrText>
        </w:r>
        <w:r w:rsidR="00D90E07">
          <w:rPr>
            <w:noProof/>
            <w:webHidden/>
          </w:rPr>
        </w:r>
        <w:r w:rsidR="00D90E07">
          <w:rPr>
            <w:noProof/>
            <w:webHidden/>
          </w:rPr>
          <w:fldChar w:fldCharType="separate"/>
        </w:r>
        <w:r w:rsidR="00D90E07">
          <w:rPr>
            <w:noProof/>
            <w:webHidden/>
          </w:rPr>
          <w:t>104</w:t>
        </w:r>
        <w:r w:rsidR="00D90E07">
          <w:rPr>
            <w:noProof/>
            <w:webHidden/>
          </w:rPr>
          <w:fldChar w:fldCharType="end"/>
        </w:r>
      </w:hyperlink>
    </w:p>
    <w:p w:rsidR="007F4036" w:rsidRDefault="007F4036" w:rsidP="002A6E1E">
      <w:pPr>
        <w:tabs>
          <w:tab w:val="right" w:leader="dot" w:pos="8931"/>
        </w:tabs>
      </w:pPr>
      <w:r>
        <w:fldChar w:fldCharType="end"/>
      </w:r>
    </w:p>
    <w:bookmarkEnd w:id="0"/>
    <w:bookmarkEnd w:id="1"/>
    <w:bookmarkEnd w:id="3"/>
    <w:bookmarkEnd w:id="4"/>
    <w:p w:rsidR="001C5262" w:rsidRPr="00524CC3" w:rsidRDefault="00795367" w:rsidP="00524CC3">
      <w:pPr>
        <w:pStyle w:val="Heading1"/>
      </w:pPr>
      <w:r>
        <w:br w:type="page"/>
      </w:r>
      <w:bookmarkStart w:id="5" w:name="_Toc434574632"/>
      <w:r w:rsidR="001C5262" w:rsidRPr="00524CC3">
        <w:lastRenderedPageBreak/>
        <w:t>Purpose</w:t>
      </w:r>
      <w:bookmarkEnd w:id="5"/>
    </w:p>
    <w:p w:rsidR="001C5262" w:rsidRPr="003D2230" w:rsidRDefault="001C5262" w:rsidP="003D2230">
      <w:pPr>
        <w:pStyle w:val="Default"/>
        <w:rPr>
          <w:rFonts w:asciiTheme="minorHAnsi" w:hAnsiTheme="minorHAnsi" w:cstheme="minorHAnsi"/>
          <w:sz w:val="22"/>
          <w:szCs w:val="22"/>
        </w:rPr>
      </w:pPr>
      <w:r w:rsidRPr="003D2230">
        <w:rPr>
          <w:rFonts w:asciiTheme="minorHAnsi" w:hAnsiTheme="minorHAnsi" w:cstheme="minorHAnsi"/>
          <w:sz w:val="22"/>
          <w:szCs w:val="22"/>
        </w:rPr>
        <w:t>Privacy Impact Assessments (</w:t>
      </w:r>
      <w:proofErr w:type="spellStart"/>
      <w:r w:rsidRPr="003D2230">
        <w:rPr>
          <w:rFonts w:asciiTheme="minorHAnsi" w:hAnsiTheme="minorHAnsi" w:cstheme="minorHAnsi"/>
          <w:sz w:val="22"/>
          <w:szCs w:val="22"/>
        </w:rPr>
        <w:t>PIAs</w:t>
      </w:r>
      <w:proofErr w:type="spellEnd"/>
      <w:r w:rsidRPr="003D2230">
        <w:rPr>
          <w:rFonts w:asciiTheme="minorHAnsi" w:hAnsiTheme="minorHAnsi" w:cstheme="minorHAnsi"/>
          <w:sz w:val="22"/>
          <w:szCs w:val="22"/>
        </w:rPr>
        <w:t>)</w:t>
      </w:r>
      <w:r w:rsidR="00B33A53" w:rsidRPr="003D2230">
        <w:rPr>
          <w:rFonts w:asciiTheme="minorHAnsi" w:hAnsiTheme="minorHAnsi" w:cstheme="minorHAnsi"/>
          <w:sz w:val="22"/>
          <w:szCs w:val="22"/>
        </w:rPr>
        <w:t xml:space="preserve"> against the Australian Privacy Principles (</w:t>
      </w:r>
      <w:proofErr w:type="spellStart"/>
      <w:r w:rsidR="00B33A53" w:rsidRPr="003D2230">
        <w:rPr>
          <w:rFonts w:asciiTheme="minorHAnsi" w:hAnsiTheme="minorHAnsi" w:cstheme="minorHAnsi"/>
          <w:sz w:val="22"/>
          <w:szCs w:val="22"/>
        </w:rPr>
        <w:t>APP</w:t>
      </w:r>
      <w:r w:rsidR="00EB23BD" w:rsidRPr="003D2230">
        <w:rPr>
          <w:rFonts w:asciiTheme="minorHAnsi" w:hAnsiTheme="minorHAnsi" w:cstheme="minorHAnsi"/>
          <w:sz w:val="22"/>
          <w:szCs w:val="22"/>
        </w:rPr>
        <w:t>s</w:t>
      </w:r>
      <w:proofErr w:type="spellEnd"/>
      <w:r w:rsidR="00B33A53" w:rsidRPr="003D2230">
        <w:rPr>
          <w:rFonts w:asciiTheme="minorHAnsi" w:hAnsiTheme="minorHAnsi" w:cstheme="minorHAnsi"/>
          <w:sz w:val="22"/>
          <w:szCs w:val="22"/>
        </w:rPr>
        <w:t>)</w:t>
      </w:r>
      <w:r w:rsidR="00EB23BD" w:rsidRPr="002B7E38">
        <w:rPr>
          <w:rFonts w:asciiTheme="minorHAnsi" w:hAnsiTheme="minorHAnsi" w:cstheme="minorHAnsi"/>
          <w:sz w:val="22"/>
          <w:szCs w:val="22"/>
          <w:vertAlign w:val="superscript"/>
        </w:rPr>
        <w:footnoteReference w:id="1"/>
      </w:r>
      <w:r w:rsidR="00B33A53" w:rsidRPr="002B7E38">
        <w:rPr>
          <w:rFonts w:asciiTheme="minorHAnsi" w:hAnsiTheme="minorHAnsi" w:cstheme="minorHAnsi"/>
          <w:sz w:val="22"/>
          <w:szCs w:val="22"/>
          <w:vertAlign w:val="superscript"/>
        </w:rPr>
        <w:t xml:space="preserve"> </w:t>
      </w:r>
      <w:r w:rsidR="00CD1887">
        <w:rPr>
          <w:rFonts w:asciiTheme="minorHAnsi" w:hAnsiTheme="minorHAnsi" w:cstheme="minorHAnsi"/>
          <w:sz w:val="22"/>
          <w:szCs w:val="22"/>
          <w:vertAlign w:val="superscript"/>
        </w:rPr>
        <w:t xml:space="preserve"> </w:t>
      </w:r>
      <w:r w:rsidRPr="003D2230">
        <w:rPr>
          <w:rFonts w:asciiTheme="minorHAnsi" w:hAnsiTheme="minorHAnsi" w:cstheme="minorHAnsi"/>
          <w:sz w:val="22"/>
          <w:szCs w:val="22"/>
        </w:rPr>
        <w:t xml:space="preserve">are a way of measuring the privacy impacts posed by a new project, whether it is a legislative, policy or technological initiative. </w:t>
      </w:r>
      <w:proofErr w:type="spellStart"/>
      <w:r w:rsidRPr="003D2230">
        <w:rPr>
          <w:rFonts w:asciiTheme="minorHAnsi" w:hAnsiTheme="minorHAnsi" w:cstheme="minorHAnsi"/>
          <w:sz w:val="22"/>
          <w:szCs w:val="22"/>
        </w:rPr>
        <w:t>PIAs</w:t>
      </w:r>
      <w:proofErr w:type="spellEnd"/>
      <w:r w:rsidRPr="003D2230">
        <w:rPr>
          <w:rFonts w:asciiTheme="minorHAnsi" w:hAnsiTheme="minorHAnsi" w:cstheme="minorHAnsi"/>
          <w:sz w:val="22"/>
          <w:szCs w:val="22"/>
        </w:rPr>
        <w:t xml:space="preserve"> are usually undertaken as part of a sound risk management strategy, to assess whether it is safe to proceed to the implementation phase of the project.  A failure to properly embed appropriate privacy protection measures may result in a breach of privacy laws, a </w:t>
      </w:r>
      <w:r w:rsidR="00EB23BD" w:rsidRPr="003D2230">
        <w:rPr>
          <w:rFonts w:asciiTheme="minorHAnsi" w:hAnsiTheme="minorHAnsi" w:cstheme="minorHAnsi"/>
          <w:sz w:val="22"/>
          <w:szCs w:val="22"/>
        </w:rPr>
        <w:t>lack of community acceptance</w:t>
      </w:r>
      <w:r w:rsidRPr="003D2230">
        <w:rPr>
          <w:rFonts w:asciiTheme="minorHAnsi" w:hAnsiTheme="minorHAnsi" w:cstheme="minorHAnsi"/>
          <w:sz w:val="22"/>
          <w:szCs w:val="22"/>
        </w:rPr>
        <w:t>, or prohibitive costs in retro-fitting a system to ensure legal compliance or address community concerns about privacy.</w:t>
      </w:r>
    </w:p>
    <w:p w:rsidR="001C5262" w:rsidRPr="003D2230" w:rsidRDefault="001C5262" w:rsidP="003D2230">
      <w:pPr>
        <w:pStyle w:val="Default"/>
        <w:rPr>
          <w:rFonts w:asciiTheme="minorHAnsi" w:hAnsiTheme="minorHAnsi" w:cstheme="minorHAnsi"/>
          <w:sz w:val="22"/>
          <w:szCs w:val="22"/>
        </w:rPr>
      </w:pPr>
      <w:r w:rsidRPr="003D2230">
        <w:rPr>
          <w:rFonts w:asciiTheme="minorHAnsi" w:hAnsiTheme="minorHAnsi" w:cstheme="minorHAnsi"/>
          <w:sz w:val="22"/>
          <w:szCs w:val="22"/>
        </w:rPr>
        <w:t>In this report, ‘privacy’ encompasses personal health information privacy.  Privacy impacts arising from an initiative may be negative (privacy-invasive) and/or positive (privacy-enhancing).  However as privacy is a human right, privacy impacts only relate to impacts on individuals, not organisations.</w:t>
      </w:r>
    </w:p>
    <w:p w:rsidR="001528F9" w:rsidRDefault="001C5262" w:rsidP="003D2230">
      <w:pPr>
        <w:pStyle w:val="Default"/>
        <w:rPr>
          <w:rFonts w:asciiTheme="minorHAnsi" w:hAnsiTheme="minorHAnsi" w:cstheme="minorHAnsi"/>
          <w:sz w:val="22"/>
          <w:szCs w:val="22"/>
        </w:rPr>
      </w:pPr>
      <w:r w:rsidRPr="003D2230">
        <w:rPr>
          <w:rFonts w:asciiTheme="minorHAnsi" w:hAnsiTheme="minorHAnsi" w:cstheme="minorHAnsi"/>
          <w:sz w:val="22"/>
          <w:szCs w:val="22"/>
        </w:rPr>
        <w:t xml:space="preserve">This PIA Report aims to describe and </w:t>
      </w:r>
      <w:r w:rsidR="00EB23BD" w:rsidRPr="003D2230">
        <w:rPr>
          <w:rFonts w:asciiTheme="minorHAnsi" w:hAnsiTheme="minorHAnsi" w:cstheme="minorHAnsi"/>
          <w:sz w:val="22"/>
          <w:szCs w:val="22"/>
        </w:rPr>
        <w:t>analyse</w:t>
      </w:r>
      <w:r w:rsidRPr="003D2230">
        <w:rPr>
          <w:rFonts w:asciiTheme="minorHAnsi" w:hAnsiTheme="minorHAnsi" w:cstheme="minorHAnsi"/>
          <w:sz w:val="22"/>
          <w:szCs w:val="22"/>
        </w:rPr>
        <w:t xml:space="preserve"> the </w:t>
      </w:r>
      <w:r w:rsidR="001C168A" w:rsidRPr="003D2230">
        <w:rPr>
          <w:rFonts w:asciiTheme="minorHAnsi" w:hAnsiTheme="minorHAnsi" w:cstheme="minorHAnsi"/>
          <w:sz w:val="22"/>
          <w:szCs w:val="22"/>
        </w:rPr>
        <w:t>privacy issues related to the</w:t>
      </w:r>
      <w:r w:rsidR="00C66507" w:rsidRPr="003D2230">
        <w:rPr>
          <w:rFonts w:asciiTheme="minorHAnsi" w:hAnsiTheme="minorHAnsi" w:cstheme="minorHAnsi"/>
          <w:sz w:val="22"/>
          <w:szCs w:val="22"/>
        </w:rPr>
        <w:t xml:space="preserve"> Immunoglobulin Governance National Policy and the technical ca</w:t>
      </w:r>
      <w:r w:rsidR="001528F9">
        <w:rPr>
          <w:rFonts w:asciiTheme="minorHAnsi" w:hAnsiTheme="minorHAnsi" w:cstheme="minorHAnsi"/>
          <w:sz w:val="22"/>
          <w:szCs w:val="22"/>
        </w:rPr>
        <w:t>pability required to support it;</w:t>
      </w:r>
      <w:r w:rsidR="00C66507" w:rsidRPr="003D2230">
        <w:rPr>
          <w:rFonts w:asciiTheme="minorHAnsi" w:hAnsiTheme="minorHAnsi" w:cstheme="minorHAnsi"/>
          <w:sz w:val="22"/>
          <w:szCs w:val="22"/>
        </w:rPr>
        <w:t xml:space="preserve"> </w:t>
      </w:r>
      <w:proofErr w:type="spellStart"/>
      <w:r w:rsidR="001528F9">
        <w:rPr>
          <w:rFonts w:asciiTheme="minorHAnsi" w:hAnsiTheme="minorHAnsi" w:cstheme="minorHAnsi"/>
          <w:sz w:val="22"/>
          <w:szCs w:val="22"/>
        </w:rPr>
        <w:t>BloodSTAR</w:t>
      </w:r>
      <w:proofErr w:type="spellEnd"/>
      <w:r w:rsidR="001528F9">
        <w:rPr>
          <w:rFonts w:asciiTheme="minorHAnsi" w:hAnsiTheme="minorHAnsi" w:cstheme="minorHAnsi"/>
          <w:sz w:val="22"/>
          <w:szCs w:val="22"/>
        </w:rPr>
        <w:t xml:space="preserve">: the National </w:t>
      </w:r>
      <w:r w:rsidR="001528F9" w:rsidRPr="001528F9">
        <w:rPr>
          <w:rFonts w:asciiTheme="minorHAnsi" w:hAnsiTheme="minorHAnsi" w:cstheme="minorHAnsi"/>
          <w:b/>
          <w:sz w:val="22"/>
          <w:szCs w:val="22"/>
        </w:rPr>
        <w:t>Blood</w:t>
      </w:r>
      <w:r w:rsidR="001528F9">
        <w:rPr>
          <w:rFonts w:asciiTheme="minorHAnsi" w:hAnsiTheme="minorHAnsi" w:cstheme="minorHAnsi"/>
          <w:sz w:val="22"/>
          <w:szCs w:val="22"/>
        </w:rPr>
        <w:t xml:space="preserve"> Authority</w:t>
      </w:r>
      <w:r w:rsidR="00FC30D0">
        <w:rPr>
          <w:rFonts w:asciiTheme="minorHAnsi" w:hAnsiTheme="minorHAnsi" w:cstheme="minorHAnsi"/>
          <w:sz w:val="22"/>
          <w:szCs w:val="22"/>
        </w:rPr>
        <w:t>’s</w:t>
      </w:r>
      <w:r w:rsidR="001528F9">
        <w:rPr>
          <w:rFonts w:asciiTheme="minorHAnsi" w:hAnsiTheme="minorHAnsi" w:cstheme="minorHAnsi"/>
          <w:sz w:val="22"/>
          <w:szCs w:val="22"/>
        </w:rPr>
        <w:t xml:space="preserve"> </w:t>
      </w:r>
      <w:r w:rsidR="001528F9" w:rsidRPr="001528F9">
        <w:rPr>
          <w:rFonts w:asciiTheme="minorHAnsi" w:hAnsiTheme="minorHAnsi" w:cstheme="minorHAnsi"/>
          <w:b/>
          <w:sz w:val="22"/>
          <w:szCs w:val="22"/>
        </w:rPr>
        <w:t>S</w:t>
      </w:r>
      <w:r w:rsidR="001528F9">
        <w:rPr>
          <w:rFonts w:asciiTheme="minorHAnsi" w:hAnsiTheme="minorHAnsi" w:cstheme="minorHAnsi"/>
          <w:sz w:val="22"/>
          <w:szCs w:val="22"/>
        </w:rPr>
        <w:t xml:space="preserve">ystem for </w:t>
      </w:r>
      <w:r w:rsidR="001528F9" w:rsidRPr="001528F9">
        <w:rPr>
          <w:rFonts w:asciiTheme="minorHAnsi" w:hAnsiTheme="minorHAnsi" w:cstheme="minorHAnsi"/>
          <w:b/>
          <w:sz w:val="22"/>
          <w:szCs w:val="22"/>
        </w:rPr>
        <w:t>T</w:t>
      </w:r>
      <w:r w:rsidR="001528F9">
        <w:rPr>
          <w:rFonts w:asciiTheme="minorHAnsi" w:hAnsiTheme="minorHAnsi" w:cstheme="minorHAnsi"/>
          <w:sz w:val="22"/>
          <w:szCs w:val="22"/>
        </w:rPr>
        <w:t xml:space="preserve">racking </w:t>
      </w:r>
      <w:r w:rsidR="001528F9" w:rsidRPr="001528F9">
        <w:rPr>
          <w:rFonts w:asciiTheme="minorHAnsi" w:hAnsiTheme="minorHAnsi" w:cstheme="minorHAnsi"/>
          <w:b/>
          <w:sz w:val="22"/>
          <w:szCs w:val="22"/>
        </w:rPr>
        <w:t>A</w:t>
      </w:r>
      <w:r w:rsidR="001528F9">
        <w:rPr>
          <w:rFonts w:asciiTheme="minorHAnsi" w:hAnsiTheme="minorHAnsi" w:cstheme="minorHAnsi"/>
          <w:sz w:val="22"/>
          <w:szCs w:val="22"/>
        </w:rPr>
        <w:t xml:space="preserve">uthorisations and </w:t>
      </w:r>
      <w:r w:rsidR="001528F9" w:rsidRPr="001528F9">
        <w:rPr>
          <w:rFonts w:asciiTheme="minorHAnsi" w:hAnsiTheme="minorHAnsi" w:cstheme="minorHAnsi"/>
          <w:b/>
          <w:sz w:val="22"/>
          <w:szCs w:val="22"/>
        </w:rPr>
        <w:t>R</w:t>
      </w:r>
      <w:r w:rsidR="001528F9">
        <w:rPr>
          <w:rFonts w:asciiTheme="minorHAnsi" w:hAnsiTheme="minorHAnsi" w:cstheme="minorHAnsi"/>
          <w:sz w:val="22"/>
          <w:szCs w:val="22"/>
        </w:rPr>
        <w:t>eviews</w:t>
      </w:r>
      <w:r w:rsidR="00C66507" w:rsidRPr="003D2230">
        <w:rPr>
          <w:rFonts w:asciiTheme="minorHAnsi" w:hAnsiTheme="minorHAnsi" w:cstheme="minorHAnsi"/>
          <w:sz w:val="22"/>
          <w:szCs w:val="22"/>
        </w:rPr>
        <w:t xml:space="preserve">.  </w:t>
      </w:r>
      <w:r w:rsidR="001528F9">
        <w:rPr>
          <w:rFonts w:asciiTheme="minorHAnsi" w:hAnsiTheme="minorHAnsi" w:cstheme="minorHAnsi"/>
          <w:sz w:val="22"/>
          <w:szCs w:val="22"/>
        </w:rPr>
        <w:t xml:space="preserve">Early project documentation relating to the system development project refers to Ig System, which is the title given to the system prior to </w:t>
      </w:r>
      <w:r w:rsidR="00C10E87">
        <w:rPr>
          <w:rFonts w:asciiTheme="minorHAnsi" w:hAnsiTheme="minorHAnsi" w:cstheme="minorHAnsi"/>
          <w:sz w:val="22"/>
          <w:szCs w:val="22"/>
        </w:rPr>
        <w:t>the</w:t>
      </w:r>
      <w:r w:rsidR="001528F9">
        <w:rPr>
          <w:rFonts w:asciiTheme="minorHAnsi" w:hAnsiTheme="minorHAnsi" w:cstheme="minorHAnsi"/>
          <w:sz w:val="22"/>
          <w:szCs w:val="22"/>
        </w:rPr>
        <w:t xml:space="preserve"> name being decided.</w:t>
      </w:r>
    </w:p>
    <w:p w:rsidR="00EB23BD" w:rsidRPr="003D2230" w:rsidRDefault="00C66507" w:rsidP="003D2230">
      <w:pPr>
        <w:pStyle w:val="Default"/>
        <w:rPr>
          <w:rFonts w:asciiTheme="minorHAnsi" w:hAnsiTheme="minorHAnsi" w:cstheme="minorHAnsi"/>
          <w:sz w:val="22"/>
          <w:szCs w:val="22"/>
        </w:rPr>
      </w:pPr>
      <w:r w:rsidRPr="003D2230">
        <w:rPr>
          <w:rFonts w:asciiTheme="minorHAnsi" w:hAnsiTheme="minorHAnsi" w:cstheme="minorHAnsi"/>
          <w:sz w:val="22"/>
          <w:szCs w:val="22"/>
        </w:rPr>
        <w:t>Further</w:t>
      </w:r>
      <w:r w:rsidR="00EC3683" w:rsidRPr="003D2230">
        <w:rPr>
          <w:rFonts w:asciiTheme="minorHAnsi" w:hAnsiTheme="minorHAnsi" w:cstheme="minorHAnsi"/>
          <w:sz w:val="22"/>
          <w:szCs w:val="22"/>
        </w:rPr>
        <w:t xml:space="preserve"> aims are</w:t>
      </w:r>
      <w:r w:rsidRPr="003D2230">
        <w:rPr>
          <w:rFonts w:asciiTheme="minorHAnsi" w:hAnsiTheme="minorHAnsi" w:cstheme="minorHAnsi"/>
          <w:sz w:val="22"/>
          <w:szCs w:val="22"/>
        </w:rPr>
        <w:t xml:space="preserve"> to</w:t>
      </w:r>
      <w:r w:rsidR="001C5262" w:rsidRPr="003D2230">
        <w:rPr>
          <w:rFonts w:asciiTheme="minorHAnsi" w:hAnsiTheme="minorHAnsi" w:cstheme="minorHAnsi"/>
          <w:sz w:val="22"/>
          <w:szCs w:val="22"/>
        </w:rPr>
        <w:t xml:space="preserve"> identify and analyse the privacy implications, make recommendations for minimising privacy intrusion, and maximising privacy protection </w:t>
      </w:r>
      <w:r w:rsidR="00EA7CBF">
        <w:rPr>
          <w:rFonts w:asciiTheme="minorHAnsi" w:hAnsiTheme="minorHAnsi" w:cstheme="minorHAnsi"/>
          <w:sz w:val="22"/>
          <w:szCs w:val="22"/>
        </w:rPr>
        <w:t xml:space="preserve">and confidentiality in relation to patient identifying information </w:t>
      </w:r>
      <w:r w:rsidR="00C10E87">
        <w:rPr>
          <w:rFonts w:asciiTheme="minorHAnsi" w:hAnsiTheme="minorHAnsi" w:cstheme="minorHAnsi"/>
          <w:sz w:val="22"/>
          <w:szCs w:val="22"/>
        </w:rPr>
        <w:t xml:space="preserve">consequent to Commonwealth and </w:t>
      </w:r>
      <w:r w:rsidR="00913AFC">
        <w:rPr>
          <w:rFonts w:asciiTheme="minorHAnsi" w:hAnsiTheme="minorHAnsi" w:cstheme="minorHAnsi"/>
          <w:sz w:val="22"/>
          <w:szCs w:val="22"/>
        </w:rPr>
        <w:t>s</w:t>
      </w:r>
      <w:r w:rsidR="007C3A85">
        <w:rPr>
          <w:rFonts w:asciiTheme="minorHAnsi" w:hAnsiTheme="minorHAnsi" w:cstheme="minorHAnsi"/>
          <w:sz w:val="22"/>
          <w:szCs w:val="22"/>
        </w:rPr>
        <w:t>tate/territory</w:t>
      </w:r>
      <w:r w:rsidR="00EA7CBF">
        <w:rPr>
          <w:rFonts w:asciiTheme="minorHAnsi" w:hAnsiTheme="minorHAnsi" w:cstheme="minorHAnsi"/>
          <w:sz w:val="22"/>
          <w:szCs w:val="22"/>
        </w:rPr>
        <w:t xml:space="preserve"> legislation </w:t>
      </w:r>
      <w:r w:rsidR="001C5262" w:rsidRPr="003D2230">
        <w:rPr>
          <w:rFonts w:asciiTheme="minorHAnsi" w:hAnsiTheme="minorHAnsi" w:cstheme="minorHAnsi"/>
          <w:sz w:val="22"/>
          <w:szCs w:val="22"/>
        </w:rPr>
        <w:t xml:space="preserve">– while ensuring the </w:t>
      </w:r>
      <w:r w:rsidRPr="003D2230">
        <w:rPr>
          <w:rFonts w:asciiTheme="minorHAnsi" w:hAnsiTheme="minorHAnsi" w:cstheme="minorHAnsi"/>
          <w:sz w:val="22"/>
          <w:szCs w:val="22"/>
        </w:rPr>
        <w:t xml:space="preserve">policy’s </w:t>
      </w:r>
      <w:r w:rsidR="001C5262" w:rsidRPr="003D2230">
        <w:rPr>
          <w:rFonts w:asciiTheme="minorHAnsi" w:hAnsiTheme="minorHAnsi" w:cstheme="minorHAnsi"/>
          <w:sz w:val="22"/>
          <w:szCs w:val="22"/>
        </w:rPr>
        <w:t>objectives are met.</w:t>
      </w:r>
    </w:p>
    <w:p w:rsidR="001C5262" w:rsidRPr="003D2230" w:rsidRDefault="00EB23BD" w:rsidP="003D2230">
      <w:pPr>
        <w:pStyle w:val="Default"/>
        <w:rPr>
          <w:rFonts w:asciiTheme="minorHAnsi" w:hAnsiTheme="minorHAnsi" w:cstheme="minorHAnsi"/>
          <w:sz w:val="22"/>
          <w:szCs w:val="22"/>
        </w:rPr>
      </w:pPr>
      <w:r w:rsidRPr="003D2230">
        <w:rPr>
          <w:rFonts w:asciiTheme="minorHAnsi" w:hAnsiTheme="minorHAnsi" w:cstheme="minorHAnsi"/>
          <w:sz w:val="22"/>
          <w:szCs w:val="22"/>
        </w:rPr>
        <w:t>This privacy impact assessment report, approved by the National Blood Authority (NBA) General Manager provides the detail on governance, management, security and technical governance measures in place for the immunoglobulin governance program and, in particular, the immunoglobulin sy</w:t>
      </w:r>
      <w:r w:rsidR="001528F9">
        <w:rPr>
          <w:rFonts w:asciiTheme="minorHAnsi" w:hAnsiTheme="minorHAnsi" w:cstheme="minorHAnsi"/>
          <w:sz w:val="22"/>
          <w:szCs w:val="22"/>
        </w:rPr>
        <w:t>stem development to support</w:t>
      </w:r>
      <w:r w:rsidR="00B56EB8">
        <w:rPr>
          <w:rFonts w:asciiTheme="minorHAnsi" w:hAnsiTheme="minorHAnsi" w:cstheme="minorHAnsi"/>
          <w:sz w:val="22"/>
          <w:szCs w:val="22"/>
        </w:rPr>
        <w:t xml:space="preserve"> it</w:t>
      </w:r>
      <w:r w:rsidRPr="003D2230">
        <w:rPr>
          <w:rFonts w:asciiTheme="minorHAnsi" w:hAnsiTheme="minorHAnsi" w:cstheme="minorHAnsi"/>
          <w:sz w:val="22"/>
          <w:szCs w:val="22"/>
        </w:rPr>
        <w:t>.</w:t>
      </w:r>
    </w:p>
    <w:p w:rsidR="00EB23BD" w:rsidRPr="003D2230" w:rsidRDefault="003D2230" w:rsidP="00817CDC">
      <w:pPr>
        <w:pStyle w:val="Heading2"/>
        <w:numPr>
          <w:ilvl w:val="1"/>
          <w:numId w:val="14"/>
        </w:numPr>
      </w:pPr>
      <w:bookmarkStart w:id="6" w:name="_Toc434574633"/>
      <w:r w:rsidRPr="003D2230">
        <w:t>Sensitive</w:t>
      </w:r>
      <w:r>
        <w:t xml:space="preserve"> information</w:t>
      </w:r>
      <w:bookmarkEnd w:id="6"/>
    </w:p>
    <w:p w:rsidR="001523AB" w:rsidRPr="003D2230" w:rsidRDefault="002F00B8" w:rsidP="00003F8A">
      <w:pPr>
        <w:pStyle w:val="Default"/>
        <w:rPr>
          <w:rFonts w:asciiTheme="minorHAnsi" w:hAnsiTheme="minorHAnsi" w:cstheme="minorHAnsi"/>
          <w:sz w:val="22"/>
          <w:szCs w:val="22"/>
        </w:rPr>
      </w:pPr>
      <w:r w:rsidRPr="003D2230">
        <w:rPr>
          <w:rFonts w:asciiTheme="minorHAnsi" w:hAnsiTheme="minorHAnsi" w:cstheme="minorHAnsi"/>
          <w:sz w:val="22"/>
          <w:szCs w:val="22"/>
        </w:rPr>
        <w:t>Sensitive information is defined in the Privacy Act 1988 (</w:t>
      </w:r>
      <w:proofErr w:type="spellStart"/>
      <w:r w:rsidRPr="003D2230">
        <w:rPr>
          <w:rFonts w:asciiTheme="minorHAnsi" w:hAnsiTheme="minorHAnsi" w:cstheme="minorHAnsi"/>
          <w:sz w:val="22"/>
          <w:szCs w:val="22"/>
        </w:rPr>
        <w:t>Cth</w:t>
      </w:r>
      <w:proofErr w:type="spellEnd"/>
      <w:r w:rsidRPr="003D2230">
        <w:rPr>
          <w:rFonts w:asciiTheme="minorHAnsi" w:hAnsiTheme="minorHAnsi" w:cstheme="minorHAnsi"/>
          <w:sz w:val="22"/>
          <w:szCs w:val="22"/>
        </w:rPr>
        <w:t xml:space="preserve">) (the Privacy Act) </w:t>
      </w:r>
      <w:r w:rsidR="00EA7CBF">
        <w:rPr>
          <w:rFonts w:asciiTheme="minorHAnsi" w:hAnsiTheme="minorHAnsi" w:cstheme="minorHAnsi"/>
          <w:sz w:val="22"/>
          <w:szCs w:val="22"/>
        </w:rPr>
        <w:t xml:space="preserve">and relevant </w:t>
      </w:r>
      <w:r w:rsidR="00913AFC">
        <w:rPr>
          <w:rFonts w:asciiTheme="minorHAnsi" w:hAnsiTheme="minorHAnsi" w:cstheme="minorHAnsi"/>
          <w:sz w:val="22"/>
          <w:szCs w:val="22"/>
        </w:rPr>
        <w:t>s</w:t>
      </w:r>
      <w:r w:rsidR="007C3A85">
        <w:rPr>
          <w:rFonts w:asciiTheme="minorHAnsi" w:hAnsiTheme="minorHAnsi" w:cstheme="minorHAnsi"/>
          <w:sz w:val="22"/>
          <w:szCs w:val="22"/>
        </w:rPr>
        <w:t>tate/territory</w:t>
      </w:r>
      <w:r w:rsidR="00EA7CBF">
        <w:rPr>
          <w:rFonts w:asciiTheme="minorHAnsi" w:hAnsiTheme="minorHAnsi" w:cstheme="minorHAnsi"/>
          <w:sz w:val="22"/>
          <w:szCs w:val="22"/>
        </w:rPr>
        <w:t xml:space="preserve"> </w:t>
      </w:r>
      <w:r w:rsidR="00861BD9">
        <w:rPr>
          <w:rFonts w:asciiTheme="minorHAnsi" w:hAnsiTheme="minorHAnsi" w:cstheme="minorHAnsi"/>
          <w:sz w:val="22"/>
          <w:szCs w:val="22"/>
        </w:rPr>
        <w:t>legislation</w:t>
      </w:r>
      <w:r w:rsidR="00EA7CBF">
        <w:rPr>
          <w:rFonts w:asciiTheme="minorHAnsi" w:hAnsiTheme="minorHAnsi" w:cstheme="minorHAnsi"/>
          <w:sz w:val="22"/>
          <w:szCs w:val="22"/>
        </w:rPr>
        <w:t xml:space="preserve"> </w:t>
      </w:r>
      <w:r w:rsidR="006B4D68">
        <w:rPr>
          <w:rFonts w:asciiTheme="minorHAnsi" w:hAnsiTheme="minorHAnsi" w:cstheme="minorHAnsi"/>
          <w:sz w:val="22"/>
          <w:szCs w:val="22"/>
        </w:rPr>
        <w:t>to include</w:t>
      </w:r>
      <w:r w:rsidRPr="003D2230">
        <w:rPr>
          <w:rFonts w:asciiTheme="minorHAnsi" w:hAnsiTheme="minorHAnsi" w:cstheme="minorHAnsi"/>
          <w:sz w:val="22"/>
          <w:szCs w:val="22"/>
        </w:rPr>
        <w:t xml:space="preserve"> health information about an individual.  </w:t>
      </w:r>
      <w:r w:rsidR="001523AB" w:rsidRPr="003D2230">
        <w:rPr>
          <w:rFonts w:asciiTheme="minorHAnsi" w:hAnsiTheme="minorHAnsi" w:cstheme="minorHAnsi"/>
          <w:sz w:val="22"/>
          <w:szCs w:val="22"/>
        </w:rPr>
        <w:t>The N</w:t>
      </w:r>
      <w:r w:rsidR="00E358EE" w:rsidRPr="003D2230">
        <w:rPr>
          <w:rFonts w:asciiTheme="minorHAnsi" w:hAnsiTheme="minorHAnsi" w:cstheme="minorHAnsi"/>
          <w:sz w:val="22"/>
          <w:szCs w:val="22"/>
        </w:rPr>
        <w:t xml:space="preserve">ational </w:t>
      </w:r>
      <w:r w:rsidR="001523AB" w:rsidRPr="003D2230">
        <w:rPr>
          <w:rFonts w:asciiTheme="minorHAnsi" w:hAnsiTheme="minorHAnsi" w:cstheme="minorHAnsi"/>
          <w:sz w:val="22"/>
          <w:szCs w:val="22"/>
        </w:rPr>
        <w:t>B</w:t>
      </w:r>
      <w:r w:rsidR="00E358EE" w:rsidRPr="003D2230">
        <w:rPr>
          <w:rFonts w:asciiTheme="minorHAnsi" w:hAnsiTheme="minorHAnsi" w:cstheme="minorHAnsi"/>
          <w:sz w:val="22"/>
          <w:szCs w:val="22"/>
        </w:rPr>
        <w:t xml:space="preserve">lood </w:t>
      </w:r>
      <w:r w:rsidR="001523AB" w:rsidRPr="003D2230">
        <w:rPr>
          <w:rFonts w:asciiTheme="minorHAnsi" w:hAnsiTheme="minorHAnsi" w:cstheme="minorHAnsi"/>
          <w:sz w:val="22"/>
          <w:szCs w:val="22"/>
        </w:rPr>
        <w:t>A</w:t>
      </w:r>
      <w:r w:rsidR="00E358EE" w:rsidRPr="003D2230">
        <w:rPr>
          <w:rFonts w:asciiTheme="minorHAnsi" w:hAnsiTheme="minorHAnsi" w:cstheme="minorHAnsi"/>
          <w:sz w:val="22"/>
          <w:szCs w:val="22"/>
        </w:rPr>
        <w:t>uthority (NBA)</w:t>
      </w:r>
      <w:r w:rsidR="001523AB" w:rsidRPr="003D2230">
        <w:rPr>
          <w:rFonts w:asciiTheme="minorHAnsi" w:hAnsiTheme="minorHAnsi" w:cstheme="minorHAnsi"/>
          <w:sz w:val="22"/>
          <w:szCs w:val="22"/>
        </w:rPr>
        <w:t xml:space="preserve"> is concerned with protecting </w:t>
      </w:r>
      <w:r w:rsidRPr="003D2230">
        <w:rPr>
          <w:rFonts w:asciiTheme="minorHAnsi" w:hAnsiTheme="minorHAnsi" w:cstheme="minorHAnsi"/>
          <w:sz w:val="22"/>
          <w:szCs w:val="22"/>
        </w:rPr>
        <w:t>sensitive</w:t>
      </w:r>
      <w:r w:rsidR="001523AB" w:rsidRPr="003D2230">
        <w:rPr>
          <w:rFonts w:asciiTheme="minorHAnsi" w:hAnsiTheme="minorHAnsi" w:cstheme="minorHAnsi"/>
          <w:sz w:val="22"/>
          <w:szCs w:val="22"/>
        </w:rPr>
        <w:t xml:space="preserve"> information it collects and will take all reasonable steps to protect </w:t>
      </w:r>
      <w:r w:rsidRPr="003D2230">
        <w:rPr>
          <w:rFonts w:asciiTheme="minorHAnsi" w:hAnsiTheme="minorHAnsi" w:cstheme="minorHAnsi"/>
          <w:sz w:val="22"/>
          <w:szCs w:val="22"/>
        </w:rPr>
        <w:t xml:space="preserve">sensitive </w:t>
      </w:r>
      <w:r w:rsidR="001523AB" w:rsidRPr="003D2230">
        <w:rPr>
          <w:rFonts w:asciiTheme="minorHAnsi" w:hAnsiTheme="minorHAnsi" w:cstheme="minorHAnsi"/>
          <w:sz w:val="22"/>
          <w:szCs w:val="22"/>
        </w:rPr>
        <w:t xml:space="preserve">information held from misuse, interference and loss, and from unauthorised access, modification or disclosure. </w:t>
      </w:r>
      <w:r w:rsidRPr="003D2230">
        <w:rPr>
          <w:rFonts w:asciiTheme="minorHAnsi" w:hAnsiTheme="minorHAnsi" w:cstheme="minorHAnsi"/>
          <w:sz w:val="22"/>
          <w:szCs w:val="22"/>
        </w:rPr>
        <w:t>Sensitive</w:t>
      </w:r>
      <w:r w:rsidR="001523AB" w:rsidRPr="003D2230">
        <w:rPr>
          <w:rFonts w:asciiTheme="minorHAnsi" w:hAnsiTheme="minorHAnsi" w:cstheme="minorHAnsi"/>
          <w:sz w:val="22"/>
          <w:szCs w:val="22"/>
        </w:rPr>
        <w:t xml:space="preserve"> information will only be stored on a password protected ICT system which complies with the Australian Government Protec</w:t>
      </w:r>
      <w:r w:rsidRPr="003D2230">
        <w:rPr>
          <w:rFonts w:asciiTheme="minorHAnsi" w:hAnsiTheme="minorHAnsi" w:cstheme="minorHAnsi"/>
          <w:sz w:val="22"/>
          <w:szCs w:val="22"/>
        </w:rPr>
        <w:t xml:space="preserve">tive Security Policy Framework and </w:t>
      </w:r>
      <w:r w:rsidR="00163D61" w:rsidRPr="003D2230">
        <w:rPr>
          <w:rFonts w:asciiTheme="minorHAnsi" w:hAnsiTheme="minorHAnsi" w:cstheme="minorHAnsi"/>
          <w:sz w:val="22"/>
          <w:szCs w:val="22"/>
        </w:rPr>
        <w:t xml:space="preserve">will have </w:t>
      </w:r>
      <w:r w:rsidR="00EC3683" w:rsidRPr="003D2230">
        <w:rPr>
          <w:rFonts w:asciiTheme="minorHAnsi" w:hAnsiTheme="minorHAnsi" w:cstheme="minorHAnsi"/>
          <w:sz w:val="22"/>
          <w:szCs w:val="22"/>
        </w:rPr>
        <w:t xml:space="preserve">tightly </w:t>
      </w:r>
      <w:r w:rsidR="00163D61" w:rsidRPr="003D2230">
        <w:rPr>
          <w:rFonts w:asciiTheme="minorHAnsi" w:hAnsiTheme="minorHAnsi" w:cstheme="minorHAnsi"/>
          <w:sz w:val="22"/>
          <w:szCs w:val="22"/>
        </w:rPr>
        <w:t xml:space="preserve">restricted access </w:t>
      </w:r>
      <w:r w:rsidR="00EC3683" w:rsidRPr="003D2230">
        <w:rPr>
          <w:rFonts w:asciiTheme="minorHAnsi" w:hAnsiTheme="minorHAnsi" w:cstheme="minorHAnsi"/>
          <w:sz w:val="22"/>
          <w:szCs w:val="22"/>
        </w:rPr>
        <w:t xml:space="preserve">controls </w:t>
      </w:r>
      <w:r w:rsidR="00163D61" w:rsidRPr="003D2230">
        <w:rPr>
          <w:rFonts w:asciiTheme="minorHAnsi" w:hAnsiTheme="minorHAnsi" w:cstheme="minorHAnsi"/>
          <w:sz w:val="22"/>
          <w:szCs w:val="22"/>
        </w:rPr>
        <w:t xml:space="preserve">placed on it under strict governance requirements. </w:t>
      </w:r>
      <w:r w:rsidR="001523AB" w:rsidRPr="003D2230">
        <w:rPr>
          <w:rFonts w:asciiTheme="minorHAnsi" w:hAnsiTheme="minorHAnsi" w:cstheme="minorHAnsi"/>
          <w:sz w:val="22"/>
          <w:szCs w:val="22"/>
        </w:rPr>
        <w:t xml:space="preserve">This includes ensuring that information stored is only accessed by those that are authorised and require access to undertake their </w:t>
      </w:r>
      <w:r w:rsidR="006B4D68">
        <w:rPr>
          <w:rFonts w:asciiTheme="minorHAnsi" w:hAnsiTheme="minorHAnsi" w:cstheme="minorHAnsi"/>
          <w:sz w:val="22"/>
          <w:szCs w:val="22"/>
        </w:rPr>
        <w:t>identified</w:t>
      </w:r>
      <w:r w:rsidR="001523AB" w:rsidRPr="003D2230">
        <w:rPr>
          <w:rFonts w:asciiTheme="minorHAnsi" w:hAnsiTheme="minorHAnsi" w:cstheme="minorHAnsi"/>
          <w:sz w:val="22"/>
          <w:szCs w:val="22"/>
        </w:rPr>
        <w:t xml:space="preserve"> functions and roles</w:t>
      </w:r>
      <w:r w:rsidR="00EC3683" w:rsidRPr="003D2230">
        <w:rPr>
          <w:rFonts w:asciiTheme="minorHAnsi" w:hAnsiTheme="minorHAnsi" w:cstheme="minorHAnsi"/>
          <w:sz w:val="22"/>
          <w:szCs w:val="22"/>
        </w:rPr>
        <w:t xml:space="preserve">.  </w:t>
      </w:r>
      <w:r w:rsidR="005D7AAB">
        <w:rPr>
          <w:rFonts w:asciiTheme="minorHAnsi" w:hAnsiTheme="minorHAnsi" w:cstheme="minorHAnsi"/>
          <w:sz w:val="22"/>
          <w:szCs w:val="22"/>
        </w:rPr>
        <w:t xml:space="preserve">In addition to password protection for access, a level of 256bit encryption will be applied for all data stored in accessible environments. </w:t>
      </w:r>
      <w:r w:rsidR="00543D69">
        <w:rPr>
          <w:rFonts w:asciiTheme="minorHAnsi" w:hAnsiTheme="minorHAnsi" w:cstheme="minorHAnsi"/>
          <w:sz w:val="22"/>
          <w:szCs w:val="22"/>
        </w:rPr>
        <w:t xml:space="preserve">Data is </w:t>
      </w:r>
      <w:r w:rsidR="00543D69" w:rsidRPr="00003F8A">
        <w:rPr>
          <w:rFonts w:asciiTheme="minorHAnsi" w:hAnsiTheme="minorHAnsi" w:cstheme="minorHAnsi"/>
          <w:sz w:val="22"/>
          <w:szCs w:val="22"/>
        </w:rPr>
        <w:t xml:space="preserve">encrypted, both in transit and at rest.   Data is physically held on hardware owned and operated by the NBA.  The NBA’s IT </w:t>
      </w:r>
      <w:r w:rsidR="0078604F" w:rsidRPr="00003F8A">
        <w:rPr>
          <w:rFonts w:asciiTheme="minorHAnsi" w:hAnsiTheme="minorHAnsi" w:cstheme="minorHAnsi"/>
          <w:sz w:val="22"/>
          <w:szCs w:val="22"/>
        </w:rPr>
        <w:t xml:space="preserve">infrastructure specifically excludes the use </w:t>
      </w:r>
      <w:r w:rsidR="0078604F" w:rsidRPr="00003F8A">
        <w:rPr>
          <w:rFonts w:asciiTheme="minorHAnsi" w:hAnsiTheme="minorHAnsi" w:cstheme="minorHAnsi"/>
          <w:sz w:val="22"/>
          <w:szCs w:val="22"/>
        </w:rPr>
        <w:lastRenderedPageBreak/>
        <w:t>of Cloud computing</w:t>
      </w:r>
      <w:r w:rsidR="00543D69" w:rsidRPr="00003F8A">
        <w:rPr>
          <w:rFonts w:asciiTheme="minorHAnsi" w:hAnsiTheme="minorHAnsi" w:cstheme="minorHAnsi"/>
          <w:sz w:val="22"/>
          <w:szCs w:val="22"/>
        </w:rPr>
        <w:t xml:space="preserve"> </w:t>
      </w:r>
      <w:r w:rsidR="0078604F" w:rsidRPr="00003F8A">
        <w:rPr>
          <w:rFonts w:asciiTheme="minorHAnsi" w:hAnsiTheme="minorHAnsi" w:cstheme="minorHAnsi"/>
          <w:sz w:val="22"/>
          <w:szCs w:val="22"/>
        </w:rPr>
        <w:t xml:space="preserve">technologies.  </w:t>
      </w:r>
      <w:r w:rsidR="00EC3683" w:rsidRPr="003D2230">
        <w:rPr>
          <w:rFonts w:asciiTheme="minorHAnsi" w:hAnsiTheme="minorHAnsi" w:cstheme="minorHAnsi"/>
          <w:sz w:val="22"/>
          <w:szCs w:val="22"/>
        </w:rPr>
        <w:t xml:space="preserve">These security measures also </w:t>
      </w:r>
      <w:r w:rsidR="001523AB" w:rsidRPr="003D2230">
        <w:rPr>
          <w:rFonts w:asciiTheme="minorHAnsi" w:hAnsiTheme="minorHAnsi" w:cstheme="minorHAnsi"/>
          <w:sz w:val="22"/>
          <w:szCs w:val="22"/>
        </w:rPr>
        <w:t>safeguard the accuracy and comp</w:t>
      </w:r>
      <w:r w:rsidR="003E359E" w:rsidRPr="003D2230">
        <w:rPr>
          <w:rFonts w:asciiTheme="minorHAnsi" w:hAnsiTheme="minorHAnsi" w:cstheme="minorHAnsi"/>
          <w:sz w:val="22"/>
          <w:szCs w:val="22"/>
        </w:rPr>
        <w:t>leteness of information provided</w:t>
      </w:r>
      <w:r w:rsidR="003D2230">
        <w:rPr>
          <w:rFonts w:asciiTheme="minorHAnsi" w:hAnsiTheme="minorHAnsi" w:cstheme="minorHAnsi"/>
          <w:sz w:val="22"/>
          <w:szCs w:val="22"/>
        </w:rPr>
        <w:t>.</w:t>
      </w:r>
    </w:p>
    <w:p w:rsidR="003D2230" w:rsidRDefault="001C5262" w:rsidP="003D2230">
      <w:pPr>
        <w:pStyle w:val="Default"/>
        <w:rPr>
          <w:rFonts w:asciiTheme="minorHAnsi" w:hAnsiTheme="minorHAnsi" w:cstheme="minorHAnsi"/>
          <w:sz w:val="22"/>
          <w:szCs w:val="22"/>
        </w:rPr>
        <w:sectPr w:rsidR="003D2230" w:rsidSect="00B05588">
          <w:footerReference w:type="first" r:id="rId13"/>
          <w:pgSz w:w="11900" w:h="16840"/>
          <w:pgMar w:top="1440" w:right="1440" w:bottom="1440" w:left="1440" w:header="830" w:footer="818" w:gutter="0"/>
          <w:cols w:space="720"/>
          <w:docGrid w:linePitch="299"/>
        </w:sectPr>
      </w:pPr>
      <w:r w:rsidRPr="003D2230">
        <w:rPr>
          <w:rFonts w:asciiTheme="minorHAnsi" w:hAnsiTheme="minorHAnsi" w:cstheme="minorHAnsi"/>
          <w:sz w:val="22"/>
          <w:szCs w:val="22"/>
        </w:rPr>
        <w:t xml:space="preserve">At the conclusion of this </w:t>
      </w:r>
      <w:r w:rsidR="00EC3683" w:rsidRPr="003D2230">
        <w:rPr>
          <w:rFonts w:asciiTheme="minorHAnsi" w:hAnsiTheme="minorHAnsi" w:cstheme="minorHAnsi"/>
          <w:sz w:val="22"/>
          <w:szCs w:val="22"/>
        </w:rPr>
        <w:t xml:space="preserve">PIA </w:t>
      </w:r>
      <w:r w:rsidRPr="003D2230">
        <w:rPr>
          <w:rFonts w:asciiTheme="minorHAnsi" w:hAnsiTheme="minorHAnsi" w:cstheme="minorHAnsi"/>
          <w:sz w:val="22"/>
          <w:szCs w:val="22"/>
        </w:rPr>
        <w:t xml:space="preserve">Report are findings and recommendations with respect to the privacy impacts of this </w:t>
      </w:r>
      <w:r w:rsidR="00EC3683" w:rsidRPr="003D2230">
        <w:rPr>
          <w:rFonts w:asciiTheme="minorHAnsi" w:hAnsiTheme="minorHAnsi" w:cstheme="minorHAnsi"/>
          <w:sz w:val="22"/>
          <w:szCs w:val="22"/>
        </w:rPr>
        <w:t>program of work</w:t>
      </w:r>
      <w:r w:rsidRPr="003D2230">
        <w:rPr>
          <w:rFonts w:asciiTheme="minorHAnsi" w:hAnsiTheme="minorHAnsi" w:cstheme="minorHAnsi"/>
          <w:sz w:val="22"/>
          <w:szCs w:val="22"/>
        </w:rPr>
        <w:t>.</w:t>
      </w:r>
    </w:p>
    <w:p w:rsidR="001C5262" w:rsidRPr="003D2230" w:rsidRDefault="001C5262" w:rsidP="003D2230">
      <w:pPr>
        <w:pStyle w:val="Default"/>
        <w:rPr>
          <w:rFonts w:asciiTheme="minorHAnsi" w:hAnsiTheme="minorHAnsi" w:cstheme="minorHAnsi"/>
          <w:sz w:val="22"/>
          <w:szCs w:val="22"/>
        </w:rPr>
      </w:pPr>
    </w:p>
    <w:p w:rsidR="00011EFF" w:rsidRDefault="001C5262" w:rsidP="00524CC3">
      <w:pPr>
        <w:pStyle w:val="Heading1"/>
      </w:pPr>
      <w:bookmarkStart w:id="7" w:name="_Toc434574634"/>
      <w:r>
        <w:t>Project b</w:t>
      </w:r>
      <w:r w:rsidR="00553E41">
        <w:t>ackground</w:t>
      </w:r>
      <w:bookmarkEnd w:id="7"/>
    </w:p>
    <w:p w:rsidR="00C90190" w:rsidRPr="00003F8A" w:rsidRDefault="00C90190" w:rsidP="00003F8A">
      <w:pPr>
        <w:pStyle w:val="Default"/>
        <w:rPr>
          <w:rFonts w:asciiTheme="minorHAnsi" w:hAnsiTheme="minorHAnsi" w:cstheme="minorHAnsi"/>
          <w:sz w:val="22"/>
          <w:szCs w:val="22"/>
        </w:rPr>
      </w:pPr>
      <w:bookmarkStart w:id="8" w:name="_Toc237150184"/>
      <w:bookmarkStart w:id="9" w:name="_Ref300748332"/>
      <w:bookmarkStart w:id="10" w:name="_Ref300748346"/>
      <w:bookmarkStart w:id="11" w:name="_Ref300748354"/>
      <w:bookmarkStart w:id="12" w:name="_Toc327880431"/>
      <w:r w:rsidRPr="00003F8A">
        <w:rPr>
          <w:rFonts w:asciiTheme="minorHAnsi" w:hAnsiTheme="minorHAnsi" w:cstheme="minorHAnsi"/>
          <w:sz w:val="22"/>
          <w:szCs w:val="22"/>
        </w:rPr>
        <w:t xml:space="preserve">The key role </w:t>
      </w:r>
      <w:r w:rsidR="006B4D68" w:rsidRPr="00003F8A">
        <w:rPr>
          <w:rFonts w:asciiTheme="minorHAnsi" w:hAnsiTheme="minorHAnsi" w:cstheme="minorHAnsi"/>
          <w:sz w:val="22"/>
          <w:szCs w:val="22"/>
        </w:rPr>
        <w:t xml:space="preserve">of </w:t>
      </w:r>
      <w:r w:rsidRPr="00003F8A">
        <w:rPr>
          <w:rFonts w:asciiTheme="minorHAnsi" w:hAnsiTheme="minorHAnsi" w:cstheme="minorHAnsi"/>
          <w:sz w:val="22"/>
          <w:szCs w:val="22"/>
        </w:rPr>
        <w:t xml:space="preserve">the </w:t>
      </w:r>
      <w:r w:rsidR="006B4D68" w:rsidRPr="00003F8A">
        <w:rPr>
          <w:rFonts w:asciiTheme="minorHAnsi" w:hAnsiTheme="minorHAnsi" w:cstheme="minorHAnsi"/>
          <w:sz w:val="22"/>
          <w:szCs w:val="22"/>
        </w:rPr>
        <w:t>national blood arrangement</w:t>
      </w:r>
      <w:r w:rsidR="00CD1887">
        <w:rPr>
          <w:rFonts w:asciiTheme="minorHAnsi" w:hAnsiTheme="minorHAnsi" w:cstheme="minorHAnsi"/>
          <w:sz w:val="22"/>
          <w:szCs w:val="22"/>
        </w:rPr>
        <w:t>s</w:t>
      </w:r>
      <w:r w:rsidR="006B4D68" w:rsidRPr="00CD1887">
        <w:rPr>
          <w:rFonts w:asciiTheme="minorHAnsi" w:hAnsiTheme="minorHAnsi" w:cstheme="minorHAnsi"/>
          <w:sz w:val="22"/>
          <w:szCs w:val="22"/>
          <w:vertAlign w:val="superscript"/>
        </w:rPr>
        <w:footnoteReference w:id="2"/>
      </w:r>
      <w:r w:rsidR="006B4D68" w:rsidRPr="00003F8A">
        <w:rPr>
          <w:rFonts w:asciiTheme="minorHAnsi" w:hAnsiTheme="minorHAnsi" w:cstheme="minorHAnsi"/>
          <w:sz w:val="22"/>
          <w:szCs w:val="22"/>
        </w:rPr>
        <w:t xml:space="preserve"> administered by the </w:t>
      </w:r>
      <w:r w:rsidRPr="00003F8A">
        <w:rPr>
          <w:rFonts w:asciiTheme="minorHAnsi" w:hAnsiTheme="minorHAnsi" w:cstheme="minorHAnsi"/>
          <w:sz w:val="22"/>
          <w:szCs w:val="22"/>
        </w:rPr>
        <w:t>N</w:t>
      </w:r>
      <w:r w:rsidR="006B4D68" w:rsidRPr="00003F8A">
        <w:rPr>
          <w:rFonts w:asciiTheme="minorHAnsi" w:hAnsiTheme="minorHAnsi" w:cstheme="minorHAnsi"/>
          <w:sz w:val="22"/>
          <w:szCs w:val="22"/>
        </w:rPr>
        <w:t xml:space="preserve">ational </w:t>
      </w:r>
      <w:r w:rsidRPr="00003F8A">
        <w:rPr>
          <w:rFonts w:asciiTheme="minorHAnsi" w:hAnsiTheme="minorHAnsi" w:cstheme="minorHAnsi"/>
          <w:sz w:val="22"/>
          <w:szCs w:val="22"/>
        </w:rPr>
        <w:t>B</w:t>
      </w:r>
      <w:r w:rsidR="006B4D68" w:rsidRPr="00003F8A">
        <w:rPr>
          <w:rFonts w:asciiTheme="minorHAnsi" w:hAnsiTheme="minorHAnsi" w:cstheme="minorHAnsi"/>
          <w:sz w:val="22"/>
          <w:szCs w:val="22"/>
        </w:rPr>
        <w:t xml:space="preserve">lood </w:t>
      </w:r>
      <w:r w:rsidRPr="00003F8A">
        <w:rPr>
          <w:rFonts w:asciiTheme="minorHAnsi" w:hAnsiTheme="minorHAnsi" w:cstheme="minorHAnsi"/>
          <w:sz w:val="22"/>
          <w:szCs w:val="22"/>
        </w:rPr>
        <w:t>A</w:t>
      </w:r>
      <w:r w:rsidR="006B4D68" w:rsidRPr="00003F8A">
        <w:rPr>
          <w:rFonts w:asciiTheme="minorHAnsi" w:hAnsiTheme="minorHAnsi" w:cstheme="minorHAnsi"/>
          <w:sz w:val="22"/>
          <w:szCs w:val="22"/>
        </w:rPr>
        <w:t>uthority (NBA)</w:t>
      </w:r>
      <w:r w:rsidRPr="00003F8A">
        <w:rPr>
          <w:rFonts w:asciiTheme="minorHAnsi" w:hAnsiTheme="minorHAnsi" w:cstheme="minorHAnsi"/>
          <w:sz w:val="22"/>
          <w:szCs w:val="22"/>
        </w:rPr>
        <w:t xml:space="preserve"> </w:t>
      </w:r>
      <w:r w:rsidR="006B4D68" w:rsidRPr="00003F8A">
        <w:rPr>
          <w:rFonts w:asciiTheme="minorHAnsi" w:hAnsiTheme="minorHAnsi" w:cstheme="minorHAnsi"/>
          <w:sz w:val="22"/>
          <w:szCs w:val="22"/>
        </w:rPr>
        <w:t>is</w:t>
      </w:r>
      <w:r w:rsidRPr="00003F8A">
        <w:rPr>
          <w:rFonts w:asciiTheme="minorHAnsi" w:hAnsiTheme="minorHAnsi" w:cstheme="minorHAnsi"/>
          <w:sz w:val="22"/>
          <w:szCs w:val="22"/>
        </w:rPr>
        <w:t xml:space="preserve"> to: </w:t>
      </w:r>
    </w:p>
    <w:p w:rsidR="00C90190" w:rsidRPr="00E358EE" w:rsidRDefault="00C90190" w:rsidP="00945E3B">
      <w:pPr>
        <w:pStyle w:val="ListParagraph"/>
        <w:numPr>
          <w:ilvl w:val="0"/>
          <w:numId w:val="27"/>
        </w:numPr>
        <w:spacing w:before="120" w:after="120" w:line="240" w:lineRule="auto"/>
        <w:ind w:left="714" w:hanging="357"/>
        <w:contextualSpacing w:val="0"/>
        <w:rPr>
          <w:lang w:eastAsia="en-AU"/>
        </w:rPr>
      </w:pPr>
      <w:proofErr w:type="gramStart"/>
      <w:r w:rsidRPr="002F00B8">
        <w:rPr>
          <w:lang w:eastAsia="en-AU"/>
        </w:rPr>
        <w:t>provide</w:t>
      </w:r>
      <w:proofErr w:type="gramEnd"/>
      <w:r w:rsidRPr="002F00B8">
        <w:rPr>
          <w:lang w:eastAsia="en-AU"/>
        </w:rPr>
        <w:t xml:space="preserve"> an adequate, safe, secure and affordable supply of blood products, blood related prod</w:t>
      </w:r>
      <w:r w:rsidR="003D2230">
        <w:rPr>
          <w:lang w:eastAsia="en-AU"/>
        </w:rPr>
        <w:t>ucts and blood related services.</w:t>
      </w:r>
    </w:p>
    <w:p w:rsidR="00C90190" w:rsidRPr="003E359E" w:rsidRDefault="00C90190" w:rsidP="00817CDC">
      <w:pPr>
        <w:pStyle w:val="ListParagraph"/>
        <w:numPr>
          <w:ilvl w:val="0"/>
          <w:numId w:val="27"/>
        </w:numPr>
        <w:spacing w:before="120" w:after="120" w:line="240" w:lineRule="auto"/>
        <w:ind w:left="714" w:hanging="357"/>
        <w:contextualSpacing w:val="0"/>
        <w:rPr>
          <w:lang w:eastAsia="en-AU"/>
        </w:rPr>
      </w:pPr>
      <w:proofErr w:type="gramStart"/>
      <w:r w:rsidRPr="003E359E">
        <w:rPr>
          <w:lang w:eastAsia="en-AU"/>
        </w:rPr>
        <w:t>promote</w:t>
      </w:r>
      <w:proofErr w:type="gramEnd"/>
      <w:r w:rsidRPr="003E359E">
        <w:rPr>
          <w:lang w:eastAsia="en-AU"/>
        </w:rPr>
        <w:t xml:space="preserve"> safe, high quality management and use of blood products, blood related products and blood</w:t>
      </w:r>
      <w:r w:rsidR="003D2230">
        <w:rPr>
          <w:lang w:eastAsia="en-AU"/>
        </w:rPr>
        <w:t xml:space="preserve"> related services in Australia.</w:t>
      </w:r>
    </w:p>
    <w:p w:rsidR="00945E3B" w:rsidRPr="00003F8A" w:rsidRDefault="00C90190" w:rsidP="00003F8A">
      <w:pPr>
        <w:pStyle w:val="Default"/>
        <w:rPr>
          <w:rFonts w:asciiTheme="minorHAnsi" w:hAnsiTheme="minorHAnsi" w:cstheme="minorHAnsi"/>
          <w:sz w:val="22"/>
          <w:szCs w:val="22"/>
        </w:rPr>
      </w:pPr>
      <w:proofErr w:type="gramStart"/>
      <w:r w:rsidRPr="00003F8A">
        <w:rPr>
          <w:rFonts w:asciiTheme="minorHAnsi" w:hAnsiTheme="minorHAnsi" w:cstheme="minorHAnsi"/>
          <w:sz w:val="22"/>
          <w:szCs w:val="22"/>
        </w:rPr>
        <w:t>Section 8 of the National Blood Authority Act 2003 (</w:t>
      </w:r>
      <w:proofErr w:type="spellStart"/>
      <w:r w:rsidRPr="00003F8A">
        <w:rPr>
          <w:rFonts w:asciiTheme="minorHAnsi" w:hAnsiTheme="minorHAnsi" w:cstheme="minorHAnsi"/>
          <w:sz w:val="22"/>
          <w:szCs w:val="22"/>
        </w:rPr>
        <w:t>Cth</w:t>
      </w:r>
      <w:proofErr w:type="spellEnd"/>
      <w:r w:rsidRPr="00003F8A">
        <w:rPr>
          <w:rFonts w:asciiTheme="minorHAnsi" w:hAnsiTheme="minorHAnsi" w:cstheme="minorHAnsi"/>
          <w:sz w:val="22"/>
          <w:szCs w:val="22"/>
        </w:rPr>
        <w:t>) sets out the</w:t>
      </w:r>
      <w:r w:rsidR="003D2230" w:rsidRPr="00003F8A">
        <w:rPr>
          <w:rFonts w:asciiTheme="minorHAnsi" w:hAnsiTheme="minorHAnsi" w:cstheme="minorHAnsi"/>
          <w:sz w:val="22"/>
          <w:szCs w:val="22"/>
        </w:rPr>
        <w:t xml:space="preserve"> various functions of the NBA</w:t>
      </w:r>
      <w:r w:rsidR="006B4D68" w:rsidRPr="00003F8A">
        <w:rPr>
          <w:rFonts w:asciiTheme="minorHAnsi" w:hAnsiTheme="minorHAnsi" w:cstheme="minorHAnsi"/>
          <w:sz w:val="22"/>
          <w:szCs w:val="22"/>
        </w:rPr>
        <w:footnoteReference w:id="3"/>
      </w:r>
      <w:r w:rsidR="003D2230" w:rsidRPr="00003F8A">
        <w:rPr>
          <w:rFonts w:asciiTheme="minorHAnsi" w:hAnsiTheme="minorHAnsi" w:cstheme="minorHAnsi"/>
          <w:sz w:val="22"/>
          <w:szCs w:val="22"/>
        </w:rPr>
        <w:t>.</w:t>
      </w:r>
      <w:proofErr w:type="gramEnd"/>
      <w:r w:rsidR="006B4D68" w:rsidRPr="00003F8A">
        <w:rPr>
          <w:rFonts w:asciiTheme="minorHAnsi" w:hAnsiTheme="minorHAnsi" w:cstheme="minorHAnsi"/>
          <w:sz w:val="22"/>
          <w:szCs w:val="22"/>
        </w:rPr>
        <w:t xml:space="preserve"> The National Blood Authority (NBA) is a statutory agency within the Australian Government Health portfolio that manages and coordinates arrangements for the supply of blood and blood products and services on behalf of</w:t>
      </w:r>
      <w:r w:rsidR="00C10E87">
        <w:rPr>
          <w:rFonts w:asciiTheme="minorHAnsi" w:hAnsiTheme="minorHAnsi" w:cstheme="minorHAnsi"/>
          <w:sz w:val="22"/>
          <w:szCs w:val="22"/>
        </w:rPr>
        <w:t xml:space="preserve"> the Australian Government and S</w:t>
      </w:r>
      <w:r w:rsidR="006B4D68" w:rsidRPr="00003F8A">
        <w:rPr>
          <w:rFonts w:asciiTheme="minorHAnsi" w:hAnsiTheme="minorHAnsi" w:cstheme="minorHAnsi"/>
          <w:sz w:val="22"/>
          <w:szCs w:val="22"/>
        </w:rPr>
        <w:t>tate</w:t>
      </w:r>
      <w:r w:rsidR="00C10E87">
        <w:rPr>
          <w:rFonts w:asciiTheme="minorHAnsi" w:hAnsiTheme="minorHAnsi" w:cstheme="minorHAnsi"/>
          <w:sz w:val="22"/>
          <w:szCs w:val="22"/>
        </w:rPr>
        <w:t xml:space="preserve"> and T</w:t>
      </w:r>
      <w:r w:rsidR="006B4D68" w:rsidRPr="00003F8A">
        <w:rPr>
          <w:rFonts w:asciiTheme="minorHAnsi" w:hAnsiTheme="minorHAnsi" w:cstheme="minorHAnsi"/>
          <w:sz w:val="22"/>
          <w:szCs w:val="22"/>
        </w:rPr>
        <w:t>erritory governments</w:t>
      </w:r>
      <w:r w:rsidR="00945E3B" w:rsidRPr="00003F8A">
        <w:rPr>
          <w:rFonts w:asciiTheme="minorHAnsi" w:hAnsiTheme="minorHAnsi" w:cstheme="minorHAnsi"/>
          <w:sz w:val="22"/>
          <w:szCs w:val="22"/>
        </w:rPr>
        <w:t>.</w:t>
      </w:r>
      <w:r w:rsidR="003D2230" w:rsidRPr="00003F8A">
        <w:rPr>
          <w:rFonts w:asciiTheme="minorHAnsi" w:hAnsiTheme="minorHAnsi" w:cstheme="minorHAnsi"/>
          <w:sz w:val="22"/>
          <w:szCs w:val="22"/>
        </w:rPr>
        <w:t xml:space="preserve">  </w:t>
      </w:r>
      <w:r w:rsidRPr="00003F8A">
        <w:rPr>
          <w:rFonts w:asciiTheme="minorHAnsi" w:hAnsiTheme="minorHAnsi" w:cstheme="minorHAnsi"/>
          <w:sz w:val="22"/>
          <w:szCs w:val="22"/>
        </w:rPr>
        <w:t>Several of the agreed roles of the NBA require the NBA to liaise with and continuously gather blood sector data</w:t>
      </w:r>
      <w:r w:rsidR="00945E3B" w:rsidRPr="00003F8A">
        <w:rPr>
          <w:rFonts w:asciiTheme="minorHAnsi" w:hAnsiTheme="minorHAnsi" w:cstheme="minorHAnsi"/>
          <w:sz w:val="22"/>
          <w:szCs w:val="22"/>
        </w:rPr>
        <w:t>.  The NBA:</w:t>
      </w:r>
    </w:p>
    <w:p w:rsidR="00945E3B" w:rsidRPr="00945E3B" w:rsidRDefault="00945E3B" w:rsidP="00945E3B">
      <w:pPr>
        <w:pStyle w:val="ListParagraph"/>
        <w:numPr>
          <w:ilvl w:val="0"/>
          <w:numId w:val="27"/>
        </w:numPr>
        <w:spacing w:before="120" w:after="120" w:line="240" w:lineRule="auto"/>
        <w:ind w:left="714" w:hanging="357"/>
        <w:contextualSpacing w:val="0"/>
        <w:rPr>
          <w:lang w:eastAsia="en-AU"/>
        </w:rPr>
      </w:pPr>
      <w:r w:rsidRPr="00945E3B">
        <w:rPr>
          <w:lang w:eastAsia="en-AU"/>
        </w:rPr>
        <w:t>works with jurisdictions to determine the clinical requirements for blood and blood products to meet national clinical needs and develop an annual supply plan and budget</w:t>
      </w:r>
    </w:p>
    <w:p w:rsidR="00945E3B" w:rsidRPr="00945E3B" w:rsidRDefault="00945E3B" w:rsidP="00945E3B">
      <w:pPr>
        <w:pStyle w:val="ListParagraph"/>
        <w:numPr>
          <w:ilvl w:val="0"/>
          <w:numId w:val="27"/>
        </w:numPr>
        <w:spacing w:before="120" w:after="120" w:line="240" w:lineRule="auto"/>
        <w:ind w:left="714" w:hanging="357"/>
        <w:contextualSpacing w:val="0"/>
        <w:rPr>
          <w:lang w:eastAsia="en-AU"/>
        </w:rPr>
      </w:pPr>
      <w:r w:rsidRPr="00945E3B">
        <w:rPr>
          <w:lang w:eastAsia="en-AU"/>
        </w:rPr>
        <w:t>negotiates and manages national contracts with suppliers of blood and blood products to obtain the products needed</w:t>
      </w:r>
    </w:p>
    <w:p w:rsidR="00945E3B" w:rsidRPr="00945E3B" w:rsidRDefault="00945E3B" w:rsidP="00945E3B">
      <w:pPr>
        <w:pStyle w:val="ListParagraph"/>
        <w:numPr>
          <w:ilvl w:val="0"/>
          <w:numId w:val="27"/>
        </w:numPr>
        <w:spacing w:before="120" w:after="120" w:line="240" w:lineRule="auto"/>
        <w:ind w:left="714" w:hanging="357"/>
        <w:contextualSpacing w:val="0"/>
        <w:rPr>
          <w:lang w:eastAsia="en-AU"/>
        </w:rPr>
      </w:pPr>
      <w:r w:rsidRPr="00945E3B">
        <w:rPr>
          <w:lang w:eastAsia="en-AU"/>
        </w:rPr>
        <w:t>assesses blood supply risk and engages in contingency planning for risks arising in the sector and impacting on the sector</w:t>
      </w:r>
    </w:p>
    <w:p w:rsidR="00945E3B" w:rsidRPr="00945E3B" w:rsidRDefault="00945E3B" w:rsidP="00945E3B">
      <w:pPr>
        <w:pStyle w:val="ListParagraph"/>
        <w:numPr>
          <w:ilvl w:val="0"/>
          <w:numId w:val="27"/>
        </w:numPr>
        <w:spacing w:before="120" w:after="120" w:line="240" w:lineRule="auto"/>
        <w:ind w:left="714" w:hanging="357"/>
        <w:contextualSpacing w:val="0"/>
        <w:rPr>
          <w:lang w:eastAsia="en-AU"/>
        </w:rPr>
      </w:pPr>
      <w:r w:rsidRPr="00945E3B">
        <w:rPr>
          <w:lang w:eastAsia="en-AU"/>
        </w:rPr>
        <w:t>supports the work of the jurisdictions to improve the way blood products are used - including developing and facilitating strategies and programs that will improve the safety, quality and effectiveness of blood usage, particularly in the areas of national standards, guidelines and data capture and analysis</w:t>
      </w:r>
    </w:p>
    <w:p w:rsidR="00945E3B" w:rsidRPr="00945E3B" w:rsidRDefault="00945E3B" w:rsidP="00945E3B">
      <w:pPr>
        <w:pStyle w:val="ListParagraph"/>
        <w:numPr>
          <w:ilvl w:val="0"/>
          <w:numId w:val="27"/>
        </w:numPr>
        <w:spacing w:before="120" w:after="120" w:line="240" w:lineRule="auto"/>
        <w:ind w:left="714" w:hanging="357"/>
        <w:contextualSpacing w:val="0"/>
        <w:rPr>
          <w:lang w:eastAsia="en-AU"/>
        </w:rPr>
      </w:pPr>
      <w:r w:rsidRPr="00945E3B">
        <w:rPr>
          <w:lang w:eastAsia="en-AU"/>
        </w:rPr>
        <w:t>provides expert advice to support government policy development, including identification of emerging risks, developments, trends and new opportunities</w:t>
      </w:r>
    </w:p>
    <w:p w:rsidR="00945E3B" w:rsidRPr="00945E3B" w:rsidRDefault="00945E3B" w:rsidP="00945E3B">
      <w:pPr>
        <w:pStyle w:val="ListParagraph"/>
        <w:numPr>
          <w:ilvl w:val="0"/>
          <w:numId w:val="27"/>
        </w:numPr>
        <w:spacing w:before="120" w:after="120" w:line="240" w:lineRule="auto"/>
        <w:ind w:left="714" w:hanging="357"/>
        <w:contextualSpacing w:val="0"/>
        <w:rPr>
          <w:lang w:eastAsia="en-AU"/>
        </w:rPr>
      </w:pPr>
      <w:r w:rsidRPr="00945E3B">
        <w:rPr>
          <w:lang w:eastAsia="en-AU"/>
        </w:rPr>
        <w:t>manages the evaluation of proposals for blood sector improvements, including proposals for new products, technologies and system changes</w:t>
      </w:r>
    </w:p>
    <w:p w:rsidR="00945E3B" w:rsidRPr="00945E3B" w:rsidRDefault="00945E3B" w:rsidP="00945E3B">
      <w:pPr>
        <w:pStyle w:val="ListParagraph"/>
        <w:numPr>
          <w:ilvl w:val="0"/>
          <w:numId w:val="27"/>
        </w:numPr>
        <w:spacing w:before="120" w:after="120" w:line="240" w:lineRule="auto"/>
        <w:ind w:left="714" w:hanging="357"/>
        <w:contextualSpacing w:val="0"/>
        <w:rPr>
          <w:lang w:eastAsia="en-AU"/>
        </w:rPr>
      </w:pPr>
      <w:proofErr w:type="gramStart"/>
      <w:r w:rsidRPr="00945E3B">
        <w:rPr>
          <w:lang w:eastAsia="en-AU"/>
        </w:rPr>
        <w:t>provides</w:t>
      </w:r>
      <w:proofErr w:type="gramEnd"/>
      <w:r w:rsidRPr="00945E3B">
        <w:rPr>
          <w:lang w:eastAsia="en-AU"/>
        </w:rPr>
        <w:t xml:space="preserve"> secretariat support to the </w:t>
      </w:r>
      <w:hyperlink r:id="rId14" w:history="1">
        <w:r w:rsidRPr="00003F8A">
          <w:rPr>
            <w:rStyle w:val="Hyperlink"/>
            <w:rFonts w:asciiTheme="minorHAnsi" w:hAnsiTheme="minorHAnsi" w:cstheme="minorHAnsi"/>
          </w:rPr>
          <w:t>Jurisdictional Blood Committee (</w:t>
        </w:r>
        <w:proofErr w:type="spellStart"/>
        <w:r w:rsidRPr="00003F8A">
          <w:rPr>
            <w:rStyle w:val="Hyperlink"/>
            <w:rFonts w:asciiTheme="minorHAnsi" w:hAnsiTheme="minorHAnsi" w:cstheme="minorHAnsi"/>
          </w:rPr>
          <w:t>JBC</w:t>
        </w:r>
        <w:proofErr w:type="spellEnd"/>
        <w:r w:rsidRPr="00003F8A">
          <w:rPr>
            <w:rStyle w:val="Hyperlink"/>
            <w:rFonts w:asciiTheme="minorHAnsi" w:hAnsiTheme="minorHAnsi" w:cstheme="minorHAnsi"/>
          </w:rPr>
          <w:t>)</w:t>
        </w:r>
      </w:hyperlink>
      <w:r w:rsidRPr="00003F8A">
        <w:rPr>
          <w:lang w:eastAsia="en-AU"/>
        </w:rPr>
        <w:t>.</w:t>
      </w:r>
    </w:p>
    <w:p w:rsidR="00E05B69" w:rsidRDefault="00E05B69" w:rsidP="00945E3B">
      <w:pPr>
        <w:pStyle w:val="Default"/>
        <w:rPr>
          <w:rFonts w:asciiTheme="minorHAnsi" w:hAnsiTheme="minorHAnsi" w:cstheme="minorHAnsi"/>
          <w:sz w:val="22"/>
          <w:szCs w:val="22"/>
        </w:rPr>
      </w:pPr>
      <w:r w:rsidRPr="00C36192">
        <w:rPr>
          <w:rFonts w:asciiTheme="minorHAnsi" w:hAnsiTheme="minorHAnsi" w:cstheme="minorHAnsi"/>
          <w:sz w:val="22"/>
          <w:szCs w:val="22"/>
        </w:rPr>
        <w:t>At times the NBA needs to collect and use personal information</w:t>
      </w:r>
      <w:r>
        <w:rPr>
          <w:rFonts w:asciiTheme="minorHAnsi" w:hAnsiTheme="minorHAnsi" w:cstheme="minorHAnsi"/>
          <w:sz w:val="22"/>
          <w:szCs w:val="22"/>
        </w:rPr>
        <w:t xml:space="preserve"> to undertake specific functions and activities</w:t>
      </w:r>
      <w:r w:rsidRPr="00C36192">
        <w:rPr>
          <w:rFonts w:asciiTheme="minorHAnsi" w:hAnsiTheme="minorHAnsi" w:cstheme="minorHAnsi"/>
          <w:sz w:val="22"/>
          <w:szCs w:val="22"/>
        </w:rPr>
        <w:t>.</w:t>
      </w:r>
      <w:r>
        <w:rPr>
          <w:rFonts w:asciiTheme="minorHAnsi" w:hAnsiTheme="minorHAnsi" w:cstheme="minorHAnsi"/>
          <w:sz w:val="22"/>
          <w:szCs w:val="22"/>
        </w:rPr>
        <w:t xml:space="preserve"> </w:t>
      </w:r>
      <w:r w:rsidRPr="00C36192">
        <w:rPr>
          <w:rFonts w:asciiTheme="minorHAnsi" w:hAnsiTheme="minorHAnsi" w:cstheme="minorHAnsi"/>
          <w:sz w:val="22"/>
          <w:szCs w:val="22"/>
        </w:rPr>
        <w:t xml:space="preserve"> </w:t>
      </w:r>
      <w:r w:rsidR="003D2230">
        <w:rPr>
          <w:rFonts w:asciiTheme="minorHAnsi" w:hAnsiTheme="minorHAnsi" w:cstheme="minorHAnsi"/>
          <w:sz w:val="22"/>
          <w:szCs w:val="22"/>
        </w:rPr>
        <w:t xml:space="preserve">For example </w:t>
      </w:r>
      <w:r w:rsidR="00B56EB8">
        <w:rPr>
          <w:rFonts w:asciiTheme="minorHAnsi" w:hAnsiTheme="minorHAnsi" w:cstheme="minorHAnsi"/>
          <w:sz w:val="22"/>
          <w:szCs w:val="22"/>
        </w:rPr>
        <w:t>p</w:t>
      </w:r>
      <w:r w:rsidRPr="00C36192">
        <w:rPr>
          <w:rFonts w:asciiTheme="minorHAnsi" w:hAnsiTheme="minorHAnsi" w:cstheme="minorHAnsi"/>
          <w:sz w:val="22"/>
          <w:szCs w:val="22"/>
        </w:rPr>
        <w:t xml:space="preserve">ersonal information </w:t>
      </w:r>
      <w:r>
        <w:rPr>
          <w:rFonts w:asciiTheme="minorHAnsi" w:hAnsiTheme="minorHAnsi" w:cstheme="minorHAnsi"/>
          <w:sz w:val="22"/>
          <w:szCs w:val="22"/>
        </w:rPr>
        <w:t xml:space="preserve">is only collected </w:t>
      </w:r>
      <w:r w:rsidRPr="00C36192">
        <w:rPr>
          <w:rFonts w:asciiTheme="minorHAnsi" w:hAnsiTheme="minorHAnsi" w:cstheme="minorHAnsi"/>
          <w:sz w:val="22"/>
          <w:szCs w:val="22"/>
        </w:rPr>
        <w:t xml:space="preserve">where it is reasonably necessary for, or directly related to, one or more of </w:t>
      </w:r>
      <w:r>
        <w:rPr>
          <w:rFonts w:asciiTheme="minorHAnsi" w:hAnsiTheme="minorHAnsi" w:cstheme="minorHAnsi"/>
          <w:sz w:val="22"/>
          <w:szCs w:val="22"/>
        </w:rPr>
        <w:t>the NBA functions or activities</w:t>
      </w:r>
      <w:r w:rsidRPr="00C36192">
        <w:rPr>
          <w:rFonts w:asciiTheme="minorHAnsi" w:hAnsiTheme="minorHAnsi" w:cstheme="minorHAnsi"/>
          <w:sz w:val="22"/>
          <w:szCs w:val="22"/>
        </w:rPr>
        <w:t>. Where sensitive pe</w:t>
      </w:r>
      <w:r>
        <w:rPr>
          <w:rFonts w:asciiTheme="minorHAnsi" w:hAnsiTheme="minorHAnsi" w:cstheme="minorHAnsi"/>
          <w:sz w:val="22"/>
          <w:szCs w:val="22"/>
        </w:rPr>
        <w:t xml:space="preserve">rsonal information is concerned, it will be </w:t>
      </w:r>
      <w:r w:rsidRPr="00C36192">
        <w:rPr>
          <w:rFonts w:asciiTheme="minorHAnsi" w:hAnsiTheme="minorHAnsi" w:cstheme="minorHAnsi"/>
          <w:sz w:val="22"/>
          <w:szCs w:val="22"/>
        </w:rPr>
        <w:t>only collect</w:t>
      </w:r>
      <w:r>
        <w:rPr>
          <w:rFonts w:asciiTheme="minorHAnsi" w:hAnsiTheme="minorHAnsi" w:cstheme="minorHAnsi"/>
          <w:sz w:val="22"/>
          <w:szCs w:val="22"/>
        </w:rPr>
        <w:t>ed</w:t>
      </w:r>
      <w:r w:rsidRPr="00C36192">
        <w:rPr>
          <w:rFonts w:asciiTheme="minorHAnsi" w:hAnsiTheme="minorHAnsi" w:cstheme="minorHAnsi"/>
          <w:sz w:val="22"/>
          <w:szCs w:val="22"/>
        </w:rPr>
        <w:t xml:space="preserve"> where consent </w:t>
      </w:r>
      <w:r>
        <w:rPr>
          <w:rFonts w:asciiTheme="minorHAnsi" w:hAnsiTheme="minorHAnsi" w:cstheme="minorHAnsi"/>
          <w:sz w:val="22"/>
          <w:szCs w:val="22"/>
        </w:rPr>
        <w:t xml:space="preserve">has been provided </w:t>
      </w:r>
      <w:r w:rsidRPr="00C36192">
        <w:rPr>
          <w:rFonts w:asciiTheme="minorHAnsi" w:hAnsiTheme="minorHAnsi" w:cstheme="minorHAnsi"/>
          <w:sz w:val="22"/>
          <w:szCs w:val="22"/>
        </w:rPr>
        <w:t xml:space="preserve">to that collection and the purpose </w:t>
      </w:r>
      <w:r w:rsidR="00EC3683">
        <w:rPr>
          <w:rFonts w:asciiTheme="minorHAnsi" w:hAnsiTheme="minorHAnsi" w:cstheme="minorHAnsi"/>
          <w:sz w:val="22"/>
          <w:szCs w:val="22"/>
        </w:rPr>
        <w:t xml:space="preserve">and necessity </w:t>
      </w:r>
      <w:r w:rsidRPr="00C36192">
        <w:rPr>
          <w:rFonts w:asciiTheme="minorHAnsi" w:hAnsiTheme="minorHAnsi" w:cstheme="minorHAnsi"/>
          <w:sz w:val="22"/>
          <w:szCs w:val="22"/>
        </w:rPr>
        <w:t xml:space="preserve">test is satisfied or where a legal exception under the </w:t>
      </w:r>
      <w:r w:rsidRPr="003D2230">
        <w:rPr>
          <w:rFonts w:asciiTheme="minorHAnsi" w:hAnsiTheme="minorHAnsi" w:cstheme="minorHAnsi"/>
          <w:sz w:val="22"/>
          <w:szCs w:val="22"/>
        </w:rPr>
        <w:t xml:space="preserve">Privacy Act 1988 </w:t>
      </w:r>
      <w:r>
        <w:rPr>
          <w:rFonts w:asciiTheme="minorHAnsi" w:hAnsiTheme="minorHAnsi" w:cstheme="minorHAnsi"/>
          <w:sz w:val="22"/>
          <w:szCs w:val="22"/>
        </w:rPr>
        <w:t>(</w:t>
      </w:r>
      <w:proofErr w:type="spellStart"/>
      <w:r>
        <w:rPr>
          <w:rFonts w:asciiTheme="minorHAnsi" w:hAnsiTheme="minorHAnsi" w:cstheme="minorHAnsi"/>
          <w:sz w:val="22"/>
          <w:szCs w:val="22"/>
        </w:rPr>
        <w:t>Cth</w:t>
      </w:r>
      <w:proofErr w:type="spellEnd"/>
      <w:r>
        <w:rPr>
          <w:rFonts w:asciiTheme="minorHAnsi" w:hAnsiTheme="minorHAnsi" w:cstheme="minorHAnsi"/>
          <w:sz w:val="22"/>
          <w:szCs w:val="22"/>
        </w:rPr>
        <w:t xml:space="preserve">) </w:t>
      </w:r>
      <w:r w:rsidR="007C3A85">
        <w:rPr>
          <w:rFonts w:asciiTheme="minorHAnsi" w:hAnsiTheme="minorHAnsi" w:cstheme="minorHAnsi"/>
          <w:sz w:val="22"/>
          <w:szCs w:val="22"/>
        </w:rPr>
        <w:t>or other state/territory</w:t>
      </w:r>
      <w:r w:rsidR="00F81A6D">
        <w:rPr>
          <w:rFonts w:asciiTheme="minorHAnsi" w:hAnsiTheme="minorHAnsi" w:cstheme="minorHAnsi"/>
          <w:sz w:val="22"/>
          <w:szCs w:val="22"/>
        </w:rPr>
        <w:t xml:space="preserve"> legislation </w:t>
      </w:r>
      <w:r>
        <w:rPr>
          <w:rFonts w:asciiTheme="minorHAnsi" w:hAnsiTheme="minorHAnsi" w:cstheme="minorHAnsi"/>
          <w:sz w:val="22"/>
          <w:szCs w:val="22"/>
        </w:rPr>
        <w:t>arises.</w:t>
      </w:r>
      <w:r w:rsidR="00F81A6D">
        <w:rPr>
          <w:rFonts w:asciiTheme="minorHAnsi" w:hAnsiTheme="minorHAnsi" w:cstheme="minorHAnsi"/>
          <w:sz w:val="22"/>
          <w:szCs w:val="22"/>
        </w:rPr>
        <w:t xml:space="preserve"> Where consent is provided, it needs to be valid consent in accordance with common law requirements, the Privacy Act 1988 (</w:t>
      </w:r>
      <w:proofErr w:type="spellStart"/>
      <w:r w:rsidR="00F81A6D">
        <w:rPr>
          <w:rFonts w:asciiTheme="minorHAnsi" w:hAnsiTheme="minorHAnsi" w:cstheme="minorHAnsi"/>
          <w:sz w:val="22"/>
          <w:szCs w:val="22"/>
        </w:rPr>
        <w:t>Cth</w:t>
      </w:r>
      <w:proofErr w:type="spellEnd"/>
      <w:r w:rsidR="00F81A6D">
        <w:rPr>
          <w:rFonts w:asciiTheme="minorHAnsi" w:hAnsiTheme="minorHAnsi" w:cstheme="minorHAnsi"/>
          <w:sz w:val="22"/>
          <w:szCs w:val="22"/>
        </w:rPr>
        <w:t xml:space="preserve">) and </w:t>
      </w:r>
      <w:r w:rsidR="007C3A85">
        <w:rPr>
          <w:rFonts w:asciiTheme="minorHAnsi" w:hAnsiTheme="minorHAnsi" w:cstheme="minorHAnsi"/>
          <w:sz w:val="22"/>
          <w:szCs w:val="22"/>
        </w:rPr>
        <w:t>state/territory</w:t>
      </w:r>
      <w:r w:rsidR="00F81A6D">
        <w:rPr>
          <w:rFonts w:asciiTheme="minorHAnsi" w:hAnsiTheme="minorHAnsi" w:cstheme="minorHAnsi"/>
          <w:sz w:val="22"/>
          <w:szCs w:val="22"/>
        </w:rPr>
        <w:t xml:space="preserve"> legislation.</w:t>
      </w:r>
    </w:p>
    <w:p w:rsidR="00CD1887" w:rsidRDefault="002A6E1E" w:rsidP="003D2230">
      <w:pPr>
        <w:pStyle w:val="Default"/>
        <w:rPr>
          <w:rFonts w:asciiTheme="minorHAnsi" w:hAnsiTheme="minorHAnsi" w:cstheme="minorHAnsi"/>
          <w:sz w:val="22"/>
          <w:szCs w:val="22"/>
        </w:rPr>
      </w:pPr>
      <w:r w:rsidRPr="003D2230">
        <w:rPr>
          <w:rFonts w:asciiTheme="minorHAnsi" w:hAnsiTheme="minorHAnsi" w:cstheme="minorHAnsi"/>
          <w:sz w:val="22"/>
          <w:szCs w:val="22"/>
        </w:rPr>
        <w:lastRenderedPageBreak/>
        <w:t>Immunoglo</w:t>
      </w:r>
      <w:r w:rsidR="00D247B6" w:rsidRPr="003D2230">
        <w:rPr>
          <w:rFonts w:asciiTheme="minorHAnsi" w:hAnsiTheme="minorHAnsi" w:cstheme="minorHAnsi"/>
          <w:sz w:val="22"/>
          <w:szCs w:val="22"/>
        </w:rPr>
        <w:t>bulin</w:t>
      </w:r>
      <w:r w:rsidR="00EC3683" w:rsidRPr="003D2230">
        <w:rPr>
          <w:rFonts w:asciiTheme="minorHAnsi" w:hAnsiTheme="minorHAnsi" w:cstheme="minorHAnsi"/>
          <w:sz w:val="22"/>
          <w:szCs w:val="22"/>
        </w:rPr>
        <w:t xml:space="preserve"> (Ig)</w:t>
      </w:r>
      <w:r w:rsidRPr="003D2230">
        <w:rPr>
          <w:rFonts w:asciiTheme="minorHAnsi" w:hAnsiTheme="minorHAnsi" w:cstheme="minorHAnsi"/>
          <w:sz w:val="22"/>
          <w:szCs w:val="22"/>
        </w:rPr>
        <w:t xml:space="preserve">, </w:t>
      </w:r>
      <w:r w:rsidR="003D2230" w:rsidRPr="003D2230">
        <w:rPr>
          <w:rFonts w:asciiTheme="minorHAnsi" w:hAnsiTheme="minorHAnsi" w:cstheme="minorHAnsi"/>
          <w:sz w:val="22"/>
          <w:szCs w:val="22"/>
        </w:rPr>
        <w:t>human</w:t>
      </w:r>
      <w:r w:rsidR="00EC3683" w:rsidRPr="003D2230">
        <w:rPr>
          <w:rFonts w:asciiTheme="minorHAnsi" w:hAnsiTheme="minorHAnsi" w:cstheme="minorHAnsi"/>
          <w:sz w:val="22"/>
          <w:szCs w:val="22"/>
        </w:rPr>
        <w:t xml:space="preserve"> </w:t>
      </w:r>
      <w:r w:rsidRPr="003D2230">
        <w:rPr>
          <w:rFonts w:asciiTheme="minorHAnsi" w:hAnsiTheme="minorHAnsi" w:cstheme="minorHAnsi"/>
          <w:sz w:val="22"/>
          <w:szCs w:val="22"/>
        </w:rPr>
        <w:t xml:space="preserve">plasma derived product, offers lifesaving therapy and significant quality of life improvements for thousands of Australians, many of whom have chronic conditions for which there is no alternative treatment.  </w:t>
      </w:r>
      <w:r w:rsidR="00E05B69" w:rsidRPr="003D2230">
        <w:rPr>
          <w:rFonts w:asciiTheme="minorHAnsi" w:hAnsiTheme="minorHAnsi" w:cstheme="minorHAnsi"/>
          <w:sz w:val="22"/>
          <w:szCs w:val="22"/>
        </w:rPr>
        <w:t xml:space="preserve">Many people require therapeutic treatment with immunoglobulin for their entire lifetime. A rising demand and cost to provide Ig that is disproportionate to wider health costs, presents governments with a significant budget challenge that requires an improved management framework.   </w:t>
      </w:r>
      <w:r w:rsidR="002746EB" w:rsidRPr="003D2230">
        <w:rPr>
          <w:rFonts w:asciiTheme="minorHAnsi" w:hAnsiTheme="minorHAnsi" w:cstheme="minorHAnsi"/>
          <w:sz w:val="22"/>
          <w:szCs w:val="22"/>
        </w:rPr>
        <w:t xml:space="preserve">As </w:t>
      </w:r>
      <w:r w:rsidR="00EC3683" w:rsidRPr="003D2230">
        <w:rPr>
          <w:rFonts w:asciiTheme="minorHAnsi" w:hAnsiTheme="minorHAnsi" w:cstheme="minorHAnsi"/>
          <w:sz w:val="22"/>
          <w:szCs w:val="22"/>
        </w:rPr>
        <w:t xml:space="preserve">Ig </w:t>
      </w:r>
      <w:r w:rsidR="002746EB" w:rsidRPr="003D2230">
        <w:rPr>
          <w:rFonts w:asciiTheme="minorHAnsi" w:hAnsiTheme="minorHAnsi" w:cstheme="minorHAnsi"/>
          <w:sz w:val="22"/>
          <w:szCs w:val="22"/>
        </w:rPr>
        <w:t>is a precious and high cost resource, governments have determined t</w:t>
      </w:r>
      <w:r w:rsidR="00E05B69" w:rsidRPr="003D2230">
        <w:rPr>
          <w:rFonts w:asciiTheme="minorHAnsi" w:hAnsiTheme="minorHAnsi" w:cstheme="minorHAnsi"/>
          <w:sz w:val="22"/>
          <w:szCs w:val="22"/>
        </w:rPr>
        <w:t>he</w:t>
      </w:r>
      <w:r w:rsidRPr="003D2230">
        <w:rPr>
          <w:rFonts w:asciiTheme="minorHAnsi" w:hAnsiTheme="minorHAnsi" w:cstheme="minorHAnsi"/>
          <w:sz w:val="22"/>
          <w:szCs w:val="22"/>
        </w:rPr>
        <w:t xml:space="preserve"> Criteria for the clinical use of intravenous immunoglobulin in Australia 2nd Edition (</w:t>
      </w:r>
      <w:r w:rsidR="00D247B6" w:rsidRPr="003D2230">
        <w:rPr>
          <w:rFonts w:asciiTheme="minorHAnsi" w:hAnsiTheme="minorHAnsi" w:cstheme="minorHAnsi"/>
          <w:sz w:val="22"/>
          <w:szCs w:val="22"/>
        </w:rPr>
        <w:t>Criteria)</w:t>
      </w:r>
      <w:r w:rsidR="002746EB" w:rsidRPr="003D2230">
        <w:rPr>
          <w:rFonts w:asciiTheme="minorHAnsi" w:hAnsiTheme="minorHAnsi" w:cstheme="minorHAnsi"/>
          <w:sz w:val="22"/>
          <w:szCs w:val="22"/>
        </w:rPr>
        <w:t xml:space="preserve">, </w:t>
      </w:r>
      <w:r w:rsidR="00E05B69" w:rsidRPr="003D2230">
        <w:rPr>
          <w:rFonts w:asciiTheme="minorHAnsi" w:hAnsiTheme="minorHAnsi" w:cstheme="minorHAnsi"/>
          <w:sz w:val="22"/>
          <w:szCs w:val="22"/>
        </w:rPr>
        <w:t xml:space="preserve">first </w:t>
      </w:r>
      <w:r w:rsidR="008E33BD" w:rsidRPr="003D2230">
        <w:rPr>
          <w:rFonts w:asciiTheme="minorHAnsi" w:hAnsiTheme="minorHAnsi" w:cstheme="minorHAnsi"/>
          <w:sz w:val="22"/>
          <w:szCs w:val="22"/>
        </w:rPr>
        <w:t>developed</w:t>
      </w:r>
      <w:r w:rsidR="00E05B69" w:rsidRPr="003D2230">
        <w:rPr>
          <w:rFonts w:asciiTheme="minorHAnsi" w:hAnsiTheme="minorHAnsi" w:cstheme="minorHAnsi"/>
          <w:sz w:val="22"/>
          <w:szCs w:val="22"/>
        </w:rPr>
        <w:t xml:space="preserve"> in 2007 and updated in 2012, </w:t>
      </w:r>
      <w:r w:rsidR="008E33BD" w:rsidRPr="003D2230">
        <w:rPr>
          <w:rFonts w:asciiTheme="minorHAnsi" w:hAnsiTheme="minorHAnsi" w:cstheme="minorHAnsi"/>
          <w:sz w:val="22"/>
          <w:szCs w:val="22"/>
        </w:rPr>
        <w:t xml:space="preserve">developed from a systematic review of published evidence where available, or otherwise on consensus of informed specialist opinion.  The </w:t>
      </w:r>
      <w:r w:rsidR="00945E3B">
        <w:rPr>
          <w:rFonts w:asciiTheme="minorHAnsi" w:hAnsiTheme="minorHAnsi" w:cstheme="minorHAnsi"/>
          <w:sz w:val="22"/>
          <w:szCs w:val="22"/>
        </w:rPr>
        <w:t>purpose</w:t>
      </w:r>
      <w:r w:rsidR="0029228E" w:rsidRPr="003D2230">
        <w:rPr>
          <w:rFonts w:asciiTheme="minorHAnsi" w:hAnsiTheme="minorHAnsi" w:cstheme="minorHAnsi"/>
          <w:sz w:val="22"/>
          <w:szCs w:val="22"/>
        </w:rPr>
        <w:t xml:space="preserve"> </w:t>
      </w:r>
      <w:r w:rsidR="008E33BD" w:rsidRPr="003D2230">
        <w:rPr>
          <w:rFonts w:asciiTheme="minorHAnsi" w:hAnsiTheme="minorHAnsi" w:cstheme="minorHAnsi"/>
          <w:sz w:val="22"/>
          <w:szCs w:val="22"/>
        </w:rPr>
        <w:t>of the Criteria is to ensure that publicly funded immunoglobulin is directed to patients who are most likely to benefit based on reliable evidence and for whom there are no alternative safe and effective treatments.</w:t>
      </w:r>
      <w:r w:rsidR="00CD1887">
        <w:rPr>
          <w:rFonts w:asciiTheme="minorHAnsi" w:hAnsiTheme="minorHAnsi" w:cstheme="minorHAnsi"/>
          <w:sz w:val="22"/>
          <w:szCs w:val="22"/>
        </w:rPr>
        <w:t xml:space="preserve">  Access to I</w:t>
      </w:r>
      <w:r w:rsidR="00945E3B">
        <w:rPr>
          <w:rFonts w:asciiTheme="minorHAnsi" w:hAnsiTheme="minorHAnsi" w:cstheme="minorHAnsi"/>
          <w:sz w:val="22"/>
          <w:szCs w:val="22"/>
        </w:rPr>
        <w:t xml:space="preserve">g under nationally funded arrangements requires specific case by case authorisation.  </w:t>
      </w:r>
    </w:p>
    <w:p w:rsidR="002A6E1E" w:rsidRPr="009568C7" w:rsidRDefault="002A6E1E" w:rsidP="00817CDC">
      <w:pPr>
        <w:pStyle w:val="Heading2"/>
        <w:numPr>
          <w:ilvl w:val="1"/>
          <w:numId w:val="14"/>
        </w:numPr>
      </w:pPr>
      <w:bookmarkStart w:id="13" w:name="_Toc411588916"/>
      <w:bookmarkStart w:id="14" w:name="_Toc411602065"/>
      <w:bookmarkStart w:id="15" w:name="_Toc364165291"/>
      <w:bookmarkStart w:id="16" w:name="_Toc366050163"/>
      <w:bookmarkStart w:id="17" w:name="_Toc434574635"/>
      <w:bookmarkEnd w:id="13"/>
      <w:bookmarkEnd w:id="14"/>
      <w:r w:rsidRPr="009568C7">
        <w:t>Ig Demand and Budget Impact</w:t>
      </w:r>
      <w:bookmarkEnd w:id="15"/>
      <w:bookmarkEnd w:id="16"/>
      <w:bookmarkEnd w:id="17"/>
    </w:p>
    <w:p w:rsidR="001C168A" w:rsidRPr="003D2230" w:rsidRDefault="001C168A" w:rsidP="003D2230">
      <w:pPr>
        <w:pStyle w:val="Default"/>
        <w:rPr>
          <w:rFonts w:asciiTheme="minorHAnsi" w:hAnsiTheme="minorHAnsi" w:cstheme="minorHAnsi"/>
          <w:sz w:val="22"/>
          <w:szCs w:val="22"/>
        </w:rPr>
      </w:pPr>
      <w:bookmarkStart w:id="18" w:name="_Toc364776967"/>
      <w:r w:rsidRPr="003D2230">
        <w:rPr>
          <w:rFonts w:asciiTheme="minorHAnsi" w:hAnsiTheme="minorHAnsi" w:cstheme="minorHAnsi"/>
          <w:sz w:val="22"/>
          <w:szCs w:val="22"/>
        </w:rPr>
        <w:t xml:space="preserve">There has been a steady increase in demand for Ig </w:t>
      </w:r>
      <w:r w:rsidR="00945E3B">
        <w:rPr>
          <w:rFonts w:asciiTheme="minorHAnsi" w:hAnsiTheme="minorHAnsi" w:cstheme="minorHAnsi"/>
          <w:sz w:val="22"/>
          <w:szCs w:val="22"/>
        </w:rPr>
        <w:t xml:space="preserve">provided under the national blood arrangements </w:t>
      </w:r>
      <w:r w:rsidRPr="003D2230">
        <w:rPr>
          <w:rFonts w:asciiTheme="minorHAnsi" w:hAnsiTheme="minorHAnsi" w:cstheme="minorHAnsi"/>
          <w:sz w:val="22"/>
          <w:szCs w:val="22"/>
        </w:rPr>
        <w:t>over the last ten years, with increases of 10-12% per annum for the last five years. While a small proportion of this increase may be attributable to population increases, there has also been a steady increase of 8-10% per annum in the use of Ig per capita since the introduction of the Criteria in 2008.</w:t>
      </w:r>
      <w:bookmarkEnd w:id="18"/>
      <w:r w:rsidRPr="003D2230">
        <w:rPr>
          <w:rFonts w:asciiTheme="minorHAnsi" w:hAnsiTheme="minorHAnsi" w:cstheme="minorHAnsi"/>
          <w:sz w:val="22"/>
          <w:szCs w:val="22"/>
        </w:rPr>
        <w:t xml:space="preserve"> The increase in demand for Ig places a financial burden on the Australian health system. In Australia, the total cost of domestic Ig supply comprises the cost of the plasma collected by the Blood Service, plus the cost of purchase of the finished Ig product from the supplier (</w:t>
      </w:r>
      <w:proofErr w:type="spellStart"/>
      <w:r w:rsidRPr="003D2230">
        <w:rPr>
          <w:rFonts w:asciiTheme="minorHAnsi" w:hAnsiTheme="minorHAnsi" w:cstheme="minorHAnsi"/>
          <w:sz w:val="22"/>
          <w:szCs w:val="22"/>
        </w:rPr>
        <w:t>CSL</w:t>
      </w:r>
      <w:proofErr w:type="spellEnd"/>
      <w:r w:rsidRPr="003D2230">
        <w:rPr>
          <w:rFonts w:asciiTheme="minorHAnsi" w:hAnsiTheme="minorHAnsi" w:cstheme="minorHAnsi"/>
          <w:sz w:val="22"/>
          <w:szCs w:val="22"/>
        </w:rPr>
        <w:t xml:space="preserve"> Behring). Imported </w:t>
      </w:r>
      <w:r w:rsidR="00945E3B">
        <w:rPr>
          <w:rFonts w:asciiTheme="minorHAnsi" w:hAnsiTheme="minorHAnsi" w:cstheme="minorHAnsi"/>
          <w:sz w:val="22"/>
          <w:szCs w:val="22"/>
        </w:rPr>
        <w:t>Ig</w:t>
      </w:r>
      <w:r w:rsidRPr="003D2230">
        <w:rPr>
          <w:rFonts w:asciiTheme="minorHAnsi" w:hAnsiTheme="minorHAnsi" w:cstheme="minorHAnsi"/>
          <w:sz w:val="22"/>
          <w:szCs w:val="22"/>
        </w:rPr>
        <w:t xml:space="preserve"> is purchased at a total product cost only.</w:t>
      </w:r>
    </w:p>
    <w:p w:rsidR="001C168A" w:rsidRPr="003D2230" w:rsidRDefault="001C168A" w:rsidP="003D2230">
      <w:pPr>
        <w:pStyle w:val="Default"/>
        <w:rPr>
          <w:rFonts w:asciiTheme="minorHAnsi" w:hAnsiTheme="minorHAnsi" w:cstheme="minorHAnsi"/>
          <w:sz w:val="22"/>
          <w:szCs w:val="22"/>
        </w:rPr>
      </w:pPr>
      <w:r w:rsidRPr="003D2230">
        <w:rPr>
          <w:rFonts w:asciiTheme="minorHAnsi" w:hAnsiTheme="minorHAnsi" w:cstheme="minorHAnsi"/>
          <w:sz w:val="22"/>
          <w:szCs w:val="22"/>
        </w:rPr>
        <w:t xml:space="preserve">Total expenditure on Ig in 2013-14 was $244.4 million, an increase of $24.3 million (11.1%) over 2012-13. The increased expenditure predominately represents increases in demand.  There has also been an increase in the price of plasma for fractionation due to the increased ratio of apheresis to whole blood plasma for fractionation being supplied, resulting in an increase in the cost of domestic Ig. Combined with expenditure for plasma for fractionation, Ig accounts for a total expenditure of $427.1 million (excluding </w:t>
      </w:r>
      <w:proofErr w:type="spellStart"/>
      <w:r w:rsidRPr="003D2230">
        <w:rPr>
          <w:rFonts w:asciiTheme="minorHAnsi" w:hAnsiTheme="minorHAnsi" w:cstheme="minorHAnsi"/>
          <w:sz w:val="22"/>
          <w:szCs w:val="22"/>
        </w:rPr>
        <w:t>hyperimmunes</w:t>
      </w:r>
      <w:proofErr w:type="spellEnd"/>
      <w:r w:rsidRPr="003D2230">
        <w:rPr>
          <w:rFonts w:asciiTheme="minorHAnsi" w:hAnsiTheme="minorHAnsi" w:cstheme="minorHAnsi"/>
          <w:sz w:val="22"/>
          <w:szCs w:val="22"/>
        </w:rPr>
        <w:t>).</w:t>
      </w:r>
    </w:p>
    <w:p w:rsidR="001C168A" w:rsidRPr="003D2230" w:rsidRDefault="001C168A" w:rsidP="003D2230">
      <w:pPr>
        <w:pStyle w:val="Default"/>
        <w:rPr>
          <w:rFonts w:asciiTheme="minorHAnsi" w:hAnsiTheme="minorHAnsi" w:cstheme="minorHAnsi"/>
          <w:sz w:val="22"/>
          <w:szCs w:val="22"/>
        </w:rPr>
      </w:pPr>
      <w:r w:rsidRPr="003D2230">
        <w:rPr>
          <w:rFonts w:asciiTheme="minorHAnsi" w:hAnsiTheme="minorHAnsi" w:cstheme="minorHAnsi"/>
          <w:sz w:val="22"/>
          <w:szCs w:val="22"/>
        </w:rPr>
        <w:t>A total of 13,981 patients were issued Ig under national blood arrangements during 2013-14 for 122,791 treatment episodes. This represents a 6.7% increase in the number of patients since 2012-13</w:t>
      </w:r>
      <w:r w:rsidR="005E49CF" w:rsidRPr="003D2230">
        <w:rPr>
          <w:rFonts w:asciiTheme="minorHAnsi" w:hAnsiTheme="minorHAnsi" w:cstheme="minorHAnsi"/>
          <w:sz w:val="22"/>
          <w:szCs w:val="22"/>
        </w:rPr>
        <w:t xml:space="preserve"> </w:t>
      </w:r>
      <w:r w:rsidR="00E358EE" w:rsidRPr="003D2230">
        <w:rPr>
          <w:rFonts w:asciiTheme="minorHAnsi" w:hAnsiTheme="minorHAnsi" w:cstheme="minorHAnsi"/>
          <w:sz w:val="22"/>
          <w:szCs w:val="22"/>
        </w:rPr>
        <w:t>(</w:t>
      </w:r>
      <w:r w:rsidR="005E49CF" w:rsidRPr="003D2230">
        <w:rPr>
          <w:rFonts w:asciiTheme="minorHAnsi" w:hAnsiTheme="minorHAnsi" w:cstheme="minorHAnsi"/>
          <w:sz w:val="22"/>
          <w:szCs w:val="22"/>
        </w:rPr>
        <w:t>with 5,968 new patients)</w:t>
      </w:r>
      <w:r w:rsidRPr="003D2230">
        <w:rPr>
          <w:rFonts w:asciiTheme="minorHAnsi" w:hAnsiTheme="minorHAnsi" w:cstheme="minorHAnsi"/>
          <w:sz w:val="22"/>
          <w:szCs w:val="22"/>
        </w:rPr>
        <w:t xml:space="preserve">.  </w:t>
      </w:r>
      <w:r w:rsidR="005E49CF" w:rsidRPr="003D2230">
        <w:rPr>
          <w:rFonts w:asciiTheme="minorHAnsi" w:hAnsiTheme="minorHAnsi" w:cstheme="minorHAnsi"/>
          <w:sz w:val="22"/>
          <w:szCs w:val="22"/>
        </w:rPr>
        <w:t xml:space="preserve">Demand for Ig continues to rise steadily, and Australian per capita use of this product is one of the highest among western countries </w:t>
      </w:r>
      <w:r w:rsidR="002A6E1E" w:rsidRPr="003D2230">
        <w:rPr>
          <w:rFonts w:asciiTheme="minorHAnsi" w:hAnsiTheme="minorHAnsi" w:cstheme="minorHAnsi"/>
          <w:sz w:val="22"/>
          <w:szCs w:val="22"/>
        </w:rPr>
        <w:t>when compared to internatio</w:t>
      </w:r>
      <w:bookmarkStart w:id="19" w:name="_Toc364165293"/>
      <w:bookmarkStart w:id="20" w:name="_Toc366050165"/>
      <w:r w:rsidR="003D2230">
        <w:rPr>
          <w:rFonts w:asciiTheme="minorHAnsi" w:hAnsiTheme="minorHAnsi" w:cstheme="minorHAnsi"/>
          <w:sz w:val="22"/>
          <w:szCs w:val="22"/>
        </w:rPr>
        <w:t>nal use on a per capita basis.</w:t>
      </w:r>
    </w:p>
    <w:p w:rsidR="002A6E1E" w:rsidRPr="00524CC3" w:rsidRDefault="002A6E1E" w:rsidP="00817CDC">
      <w:pPr>
        <w:pStyle w:val="Heading2"/>
        <w:numPr>
          <w:ilvl w:val="1"/>
          <w:numId w:val="14"/>
        </w:numPr>
      </w:pPr>
      <w:bookmarkStart w:id="21" w:name="_Toc434574636"/>
      <w:r w:rsidRPr="00524CC3">
        <w:t xml:space="preserve">Review of the clinical governance and authorisation of </w:t>
      </w:r>
      <w:proofErr w:type="spellStart"/>
      <w:r w:rsidRPr="00524CC3">
        <w:t>IVIg</w:t>
      </w:r>
      <w:bookmarkEnd w:id="19"/>
      <w:bookmarkEnd w:id="20"/>
      <w:bookmarkEnd w:id="21"/>
      <w:proofErr w:type="spellEnd"/>
    </w:p>
    <w:p w:rsidR="002A6E1E" w:rsidRPr="003D2230" w:rsidRDefault="002A6E1E" w:rsidP="003D2230">
      <w:pPr>
        <w:pStyle w:val="Default"/>
        <w:rPr>
          <w:rFonts w:asciiTheme="minorHAnsi" w:hAnsiTheme="minorHAnsi" w:cstheme="minorHAnsi"/>
          <w:sz w:val="22"/>
          <w:szCs w:val="22"/>
        </w:rPr>
      </w:pPr>
      <w:r w:rsidRPr="003D2230">
        <w:rPr>
          <w:rFonts w:asciiTheme="minorHAnsi" w:hAnsiTheme="minorHAnsi" w:cstheme="minorHAnsi"/>
          <w:sz w:val="22"/>
          <w:szCs w:val="22"/>
        </w:rPr>
        <w:t xml:space="preserve">In 2012, governments commissioned a review of the clinical governance and authorisation of </w:t>
      </w:r>
      <w:proofErr w:type="spellStart"/>
      <w:r w:rsidRPr="003D2230">
        <w:rPr>
          <w:rFonts w:asciiTheme="minorHAnsi" w:hAnsiTheme="minorHAnsi" w:cstheme="minorHAnsi"/>
          <w:sz w:val="22"/>
          <w:szCs w:val="22"/>
        </w:rPr>
        <w:t>IVIg</w:t>
      </w:r>
      <w:proofErr w:type="spellEnd"/>
      <w:r w:rsidRPr="003D2230">
        <w:rPr>
          <w:rFonts w:asciiTheme="minorHAnsi" w:hAnsiTheme="minorHAnsi" w:cstheme="minorHAnsi"/>
          <w:sz w:val="22"/>
          <w:szCs w:val="22"/>
        </w:rPr>
        <w:t xml:space="preserve">.  The purpose of the review was to determine the adequacy of the current </w:t>
      </w:r>
      <w:proofErr w:type="spellStart"/>
      <w:r w:rsidRPr="003D2230">
        <w:rPr>
          <w:rFonts w:asciiTheme="minorHAnsi" w:hAnsiTheme="minorHAnsi" w:cstheme="minorHAnsi"/>
          <w:sz w:val="22"/>
          <w:szCs w:val="22"/>
        </w:rPr>
        <w:t>IVIg</w:t>
      </w:r>
      <w:proofErr w:type="spellEnd"/>
      <w:r w:rsidRPr="003D2230">
        <w:rPr>
          <w:rFonts w:asciiTheme="minorHAnsi" w:hAnsiTheme="minorHAnsi" w:cstheme="minorHAnsi"/>
          <w:sz w:val="22"/>
          <w:szCs w:val="22"/>
        </w:rPr>
        <w:t xml:space="preserve"> authorisation and clinical governance arrangements, and to recommend options for improvement against the following goals:</w:t>
      </w:r>
    </w:p>
    <w:p w:rsidR="002A6E1E" w:rsidRPr="00A7727E" w:rsidRDefault="002A6E1E" w:rsidP="00D65BE9">
      <w:pPr>
        <w:pStyle w:val="ListParagraph"/>
        <w:numPr>
          <w:ilvl w:val="0"/>
          <w:numId w:val="27"/>
        </w:numPr>
        <w:spacing w:before="120" w:after="120" w:line="240" w:lineRule="auto"/>
        <w:ind w:left="714" w:hanging="357"/>
        <w:contextualSpacing w:val="0"/>
        <w:rPr>
          <w:lang w:eastAsia="en-AU"/>
        </w:rPr>
      </w:pPr>
      <w:r w:rsidRPr="00A7727E">
        <w:rPr>
          <w:lang w:eastAsia="en-AU"/>
        </w:rPr>
        <w:t xml:space="preserve">ensure that funded </w:t>
      </w:r>
      <w:proofErr w:type="spellStart"/>
      <w:r w:rsidRPr="00A7727E">
        <w:rPr>
          <w:lang w:eastAsia="en-AU"/>
        </w:rPr>
        <w:t>IVIg</w:t>
      </w:r>
      <w:proofErr w:type="spellEnd"/>
      <w:r w:rsidRPr="00A7727E">
        <w:rPr>
          <w:lang w:eastAsia="en-AU"/>
        </w:rPr>
        <w:t xml:space="preserve"> use reflects best clinical practice and is cost effective</w:t>
      </w:r>
    </w:p>
    <w:p w:rsidR="002A6E1E" w:rsidRPr="00A7727E" w:rsidRDefault="002A6E1E" w:rsidP="00D65BE9">
      <w:pPr>
        <w:pStyle w:val="ListParagraph"/>
        <w:numPr>
          <w:ilvl w:val="0"/>
          <w:numId w:val="27"/>
        </w:numPr>
        <w:spacing w:before="120" w:after="120" w:line="240" w:lineRule="auto"/>
        <w:ind w:left="714" w:hanging="357"/>
        <w:contextualSpacing w:val="0"/>
        <w:rPr>
          <w:lang w:eastAsia="en-AU"/>
        </w:rPr>
      </w:pPr>
      <w:r w:rsidRPr="00A7727E">
        <w:rPr>
          <w:lang w:eastAsia="en-AU"/>
        </w:rPr>
        <w:lastRenderedPageBreak/>
        <w:t xml:space="preserve">ensure that the outcomes of decision-making regarding access to </w:t>
      </w:r>
      <w:proofErr w:type="spellStart"/>
      <w:r w:rsidRPr="00A7727E">
        <w:rPr>
          <w:lang w:eastAsia="en-AU"/>
        </w:rPr>
        <w:t>IVIg</w:t>
      </w:r>
      <w:proofErr w:type="spellEnd"/>
      <w:r w:rsidRPr="00A7727E">
        <w:rPr>
          <w:lang w:eastAsia="en-AU"/>
        </w:rPr>
        <w:t xml:space="preserve"> funded under the national blood arrangements are consistent with the criteria that will be determined from time to time by governments</w:t>
      </w:r>
    </w:p>
    <w:p w:rsidR="002A6E1E" w:rsidRPr="00A7727E" w:rsidRDefault="002A6E1E" w:rsidP="00D65BE9">
      <w:pPr>
        <w:pStyle w:val="ListParagraph"/>
        <w:numPr>
          <w:ilvl w:val="0"/>
          <w:numId w:val="27"/>
        </w:numPr>
        <w:spacing w:before="120" w:after="120" w:line="240" w:lineRule="auto"/>
        <w:ind w:left="714" w:hanging="357"/>
        <w:contextualSpacing w:val="0"/>
        <w:rPr>
          <w:lang w:eastAsia="en-AU"/>
        </w:rPr>
      </w:pPr>
      <w:r w:rsidRPr="00A7727E">
        <w:rPr>
          <w:lang w:eastAsia="en-AU"/>
        </w:rPr>
        <w:t xml:space="preserve">improve the capture of information on the need for, use and outcomes of treatment with </w:t>
      </w:r>
      <w:proofErr w:type="spellStart"/>
      <w:r w:rsidRPr="00A7727E">
        <w:rPr>
          <w:lang w:eastAsia="en-AU"/>
        </w:rPr>
        <w:t>IVIg</w:t>
      </w:r>
      <w:proofErr w:type="spellEnd"/>
      <w:r w:rsidRPr="00A7727E">
        <w:rPr>
          <w:lang w:eastAsia="en-AU"/>
        </w:rPr>
        <w:t xml:space="preserve"> and to improve the evidence base that will inform future changes as to what is regarded as best practice in </w:t>
      </w:r>
      <w:proofErr w:type="spellStart"/>
      <w:r w:rsidRPr="00A7727E">
        <w:rPr>
          <w:lang w:eastAsia="en-AU"/>
        </w:rPr>
        <w:t>IVIg</w:t>
      </w:r>
      <w:proofErr w:type="spellEnd"/>
      <w:r w:rsidRPr="00A7727E">
        <w:rPr>
          <w:lang w:eastAsia="en-AU"/>
        </w:rPr>
        <w:t xml:space="preserve"> use and prescribing</w:t>
      </w:r>
    </w:p>
    <w:p w:rsidR="002A6E1E" w:rsidRPr="00A7727E" w:rsidRDefault="002A6E1E" w:rsidP="00D65BE9">
      <w:pPr>
        <w:pStyle w:val="ListParagraph"/>
        <w:numPr>
          <w:ilvl w:val="0"/>
          <w:numId w:val="27"/>
        </w:numPr>
        <w:spacing w:before="120" w:after="120" w:line="240" w:lineRule="auto"/>
        <w:ind w:left="714" w:hanging="357"/>
        <w:contextualSpacing w:val="0"/>
        <w:rPr>
          <w:lang w:eastAsia="en-AU"/>
        </w:rPr>
      </w:pPr>
      <w:proofErr w:type="gramStart"/>
      <w:r w:rsidRPr="00A7727E">
        <w:rPr>
          <w:lang w:eastAsia="en-AU"/>
        </w:rPr>
        <w:t>improve</w:t>
      </w:r>
      <w:proofErr w:type="gramEnd"/>
      <w:r w:rsidRPr="00A7727E">
        <w:rPr>
          <w:lang w:eastAsia="en-AU"/>
        </w:rPr>
        <w:t xml:space="preserve"> government understanding of the issues, benefits and risks of including </w:t>
      </w:r>
      <w:r w:rsidR="008E5DDE">
        <w:rPr>
          <w:lang w:eastAsia="en-AU"/>
        </w:rPr>
        <w:t>Normal Human Immunoglobulin (</w:t>
      </w:r>
      <w:proofErr w:type="spellStart"/>
      <w:r w:rsidRPr="00A7727E">
        <w:rPr>
          <w:lang w:eastAsia="en-AU"/>
        </w:rPr>
        <w:t>N</w:t>
      </w:r>
      <w:r w:rsidR="008E5DDE">
        <w:rPr>
          <w:lang w:eastAsia="en-AU"/>
        </w:rPr>
        <w:t>H</w:t>
      </w:r>
      <w:r w:rsidRPr="00A7727E">
        <w:rPr>
          <w:lang w:eastAsia="en-AU"/>
        </w:rPr>
        <w:t>Ig</w:t>
      </w:r>
      <w:proofErr w:type="spellEnd"/>
      <w:r w:rsidR="008E5DDE">
        <w:rPr>
          <w:lang w:eastAsia="en-AU"/>
        </w:rPr>
        <w:t>)</w:t>
      </w:r>
      <w:r w:rsidRPr="00A7727E">
        <w:rPr>
          <w:lang w:eastAsia="en-AU"/>
        </w:rPr>
        <w:t xml:space="preserve"> and S</w:t>
      </w:r>
      <w:r w:rsidR="008E5DDE">
        <w:rPr>
          <w:lang w:eastAsia="en-AU"/>
        </w:rPr>
        <w:t>ubcutaneous Immunoglobulin (</w:t>
      </w:r>
      <w:proofErr w:type="spellStart"/>
      <w:r w:rsidR="008E5DDE">
        <w:rPr>
          <w:lang w:eastAsia="en-AU"/>
        </w:rPr>
        <w:t>S</w:t>
      </w:r>
      <w:r w:rsidRPr="00A7727E">
        <w:rPr>
          <w:lang w:eastAsia="en-AU"/>
        </w:rPr>
        <w:t>CIg</w:t>
      </w:r>
      <w:proofErr w:type="spellEnd"/>
      <w:r w:rsidR="008E5DDE">
        <w:rPr>
          <w:lang w:eastAsia="en-AU"/>
        </w:rPr>
        <w:t>)</w:t>
      </w:r>
      <w:r w:rsidRPr="00A7727E">
        <w:rPr>
          <w:lang w:eastAsia="en-AU"/>
        </w:rPr>
        <w:t xml:space="preserve"> in the improved </w:t>
      </w:r>
      <w:proofErr w:type="spellStart"/>
      <w:r w:rsidRPr="00A7727E">
        <w:rPr>
          <w:lang w:eastAsia="en-AU"/>
        </w:rPr>
        <w:t>IVIg</w:t>
      </w:r>
      <w:proofErr w:type="spellEnd"/>
      <w:r w:rsidRPr="00A7727E">
        <w:rPr>
          <w:lang w:eastAsia="en-AU"/>
        </w:rPr>
        <w:t xml:space="preserve"> management framework.</w:t>
      </w:r>
    </w:p>
    <w:p w:rsidR="002A6E1E" w:rsidRPr="003D2230" w:rsidRDefault="002A6E1E" w:rsidP="003D2230">
      <w:pPr>
        <w:pStyle w:val="Default"/>
        <w:rPr>
          <w:rFonts w:asciiTheme="minorHAnsi" w:hAnsiTheme="minorHAnsi" w:cstheme="minorHAnsi"/>
          <w:sz w:val="22"/>
          <w:szCs w:val="22"/>
        </w:rPr>
      </w:pPr>
      <w:r w:rsidRPr="003D2230">
        <w:rPr>
          <w:rFonts w:asciiTheme="minorHAnsi" w:hAnsiTheme="minorHAnsi" w:cstheme="minorHAnsi"/>
          <w:sz w:val="22"/>
          <w:szCs w:val="22"/>
        </w:rPr>
        <w:t>The review found there were deficiencies that could be addressed to improve efficiency and patient outcomes.  The review concluded that there were significant variations in</w:t>
      </w:r>
      <w:r w:rsidR="00C947CE" w:rsidRPr="003D2230">
        <w:rPr>
          <w:rFonts w:asciiTheme="minorHAnsi" w:hAnsiTheme="minorHAnsi" w:cstheme="minorHAnsi"/>
          <w:sz w:val="22"/>
          <w:szCs w:val="22"/>
        </w:rPr>
        <w:t xml:space="preserve"> Intravenous Immunoglobulin (</w:t>
      </w:r>
      <w:proofErr w:type="spellStart"/>
      <w:r w:rsidRPr="003D2230">
        <w:rPr>
          <w:rFonts w:asciiTheme="minorHAnsi" w:hAnsiTheme="minorHAnsi" w:cstheme="minorHAnsi"/>
          <w:sz w:val="22"/>
          <w:szCs w:val="22"/>
        </w:rPr>
        <w:t>IVIg</w:t>
      </w:r>
      <w:proofErr w:type="spellEnd"/>
      <w:r w:rsidR="00C947CE" w:rsidRPr="003D2230">
        <w:rPr>
          <w:rFonts w:asciiTheme="minorHAnsi" w:hAnsiTheme="minorHAnsi" w:cstheme="minorHAnsi"/>
          <w:sz w:val="22"/>
          <w:szCs w:val="22"/>
        </w:rPr>
        <w:t>)</w:t>
      </w:r>
      <w:r w:rsidRPr="003D2230">
        <w:rPr>
          <w:rFonts w:asciiTheme="minorHAnsi" w:hAnsiTheme="minorHAnsi" w:cstheme="minorHAnsi"/>
          <w:sz w:val="22"/>
          <w:szCs w:val="22"/>
        </w:rPr>
        <w:t xml:space="preserve"> management processes nationally, with process inefficiencies, under investment in integrated data systems and limited evidence of alternative therapies being considered before prescription.  It also found variation in diagnoses, high prescription rates in some conditions compared to international rates of use, limited transparency of price and implications and no accountability for cost with the prescriber.</w:t>
      </w:r>
    </w:p>
    <w:p w:rsidR="002A6E1E" w:rsidRPr="003C5100" w:rsidRDefault="002A6E1E" w:rsidP="003C5100">
      <w:pPr>
        <w:pStyle w:val="Default"/>
        <w:rPr>
          <w:rFonts w:asciiTheme="minorHAnsi" w:hAnsiTheme="minorHAnsi" w:cstheme="minorHAnsi"/>
          <w:sz w:val="22"/>
          <w:szCs w:val="22"/>
        </w:rPr>
      </w:pPr>
      <w:r w:rsidRPr="003C5100">
        <w:rPr>
          <w:rFonts w:asciiTheme="minorHAnsi" w:hAnsiTheme="minorHAnsi" w:cstheme="minorHAnsi"/>
          <w:sz w:val="22"/>
          <w:szCs w:val="22"/>
        </w:rPr>
        <w:t xml:space="preserve">The implications of doing nothing to improve the current governance and management of </w:t>
      </w:r>
      <w:proofErr w:type="spellStart"/>
      <w:r w:rsidRPr="003C5100">
        <w:rPr>
          <w:rFonts w:asciiTheme="minorHAnsi" w:hAnsiTheme="minorHAnsi" w:cstheme="minorHAnsi"/>
          <w:sz w:val="22"/>
          <w:szCs w:val="22"/>
        </w:rPr>
        <w:t>IVIg</w:t>
      </w:r>
      <w:proofErr w:type="spellEnd"/>
      <w:r w:rsidRPr="003C5100">
        <w:rPr>
          <w:rFonts w:asciiTheme="minorHAnsi" w:hAnsiTheme="minorHAnsi" w:cstheme="minorHAnsi"/>
          <w:sz w:val="22"/>
          <w:szCs w:val="22"/>
        </w:rPr>
        <w:t xml:space="preserve"> include:</w:t>
      </w:r>
    </w:p>
    <w:p w:rsidR="002A6E1E" w:rsidRPr="00A7727E" w:rsidRDefault="002A6E1E" w:rsidP="00D65BE9">
      <w:pPr>
        <w:pStyle w:val="ListParagraph"/>
        <w:numPr>
          <w:ilvl w:val="0"/>
          <w:numId w:val="27"/>
        </w:numPr>
        <w:spacing w:before="120" w:after="120" w:line="240" w:lineRule="auto"/>
        <w:ind w:left="714" w:hanging="357"/>
        <w:contextualSpacing w:val="0"/>
        <w:rPr>
          <w:lang w:eastAsia="en-AU"/>
        </w:rPr>
      </w:pPr>
      <w:r w:rsidRPr="00A7727E">
        <w:rPr>
          <w:lang w:eastAsia="en-AU"/>
        </w:rPr>
        <w:t>continued variation in prescribing practice nationally</w:t>
      </w:r>
    </w:p>
    <w:p w:rsidR="002A6E1E" w:rsidRPr="00A7727E" w:rsidRDefault="002A6E1E" w:rsidP="00D65BE9">
      <w:pPr>
        <w:pStyle w:val="ListParagraph"/>
        <w:numPr>
          <w:ilvl w:val="0"/>
          <w:numId w:val="27"/>
        </w:numPr>
        <w:spacing w:before="120" w:after="120" w:line="240" w:lineRule="auto"/>
        <w:ind w:left="714" w:hanging="357"/>
        <w:contextualSpacing w:val="0"/>
        <w:rPr>
          <w:lang w:eastAsia="en-AU"/>
        </w:rPr>
      </w:pPr>
      <w:r w:rsidRPr="00A7727E">
        <w:rPr>
          <w:lang w:eastAsia="en-AU"/>
        </w:rPr>
        <w:t>continuation of cost increases</w:t>
      </w:r>
    </w:p>
    <w:p w:rsidR="002A6E1E" w:rsidRPr="00A7727E" w:rsidRDefault="002A6E1E" w:rsidP="00D65BE9">
      <w:pPr>
        <w:pStyle w:val="ListParagraph"/>
        <w:numPr>
          <w:ilvl w:val="0"/>
          <w:numId w:val="27"/>
        </w:numPr>
        <w:spacing w:before="120" w:after="120" w:line="240" w:lineRule="auto"/>
        <w:ind w:left="714" w:hanging="357"/>
        <w:contextualSpacing w:val="0"/>
        <w:rPr>
          <w:lang w:eastAsia="en-AU"/>
        </w:rPr>
      </w:pPr>
      <w:r w:rsidRPr="00A7727E">
        <w:rPr>
          <w:lang w:eastAsia="en-AU"/>
        </w:rPr>
        <w:t>increasing likelihood of periods of short supply</w:t>
      </w:r>
    </w:p>
    <w:p w:rsidR="002A6E1E" w:rsidRPr="00A7727E" w:rsidRDefault="002A6E1E" w:rsidP="00D65BE9">
      <w:pPr>
        <w:pStyle w:val="ListParagraph"/>
        <w:numPr>
          <w:ilvl w:val="0"/>
          <w:numId w:val="27"/>
        </w:numPr>
        <w:spacing w:before="120" w:after="120" w:line="240" w:lineRule="auto"/>
        <w:ind w:left="714" w:hanging="357"/>
        <w:contextualSpacing w:val="0"/>
        <w:rPr>
          <w:lang w:eastAsia="en-AU"/>
        </w:rPr>
      </w:pPr>
      <w:r w:rsidRPr="00A7727E">
        <w:rPr>
          <w:lang w:eastAsia="en-AU"/>
        </w:rPr>
        <w:t>a lost opportunity to take a consistent national approach to meet new requirements (</w:t>
      </w:r>
      <w:r w:rsidR="00EF26C8">
        <w:rPr>
          <w:lang w:eastAsia="en-AU"/>
        </w:rPr>
        <w:t xml:space="preserve">National Safety and Quality Health Service Standards </w:t>
      </w:r>
      <w:proofErr w:type="spellStart"/>
      <w:r w:rsidR="00EF26C8">
        <w:rPr>
          <w:lang w:eastAsia="en-AU"/>
        </w:rPr>
        <w:t>NSQHSS</w:t>
      </w:r>
      <w:proofErr w:type="spellEnd"/>
      <w:r w:rsidR="00EF26C8">
        <w:rPr>
          <w:lang w:eastAsia="en-AU"/>
        </w:rPr>
        <w:t xml:space="preserve"> –</w:t>
      </w:r>
      <w:r w:rsidR="00C947CE">
        <w:rPr>
          <w:lang w:eastAsia="en-AU"/>
        </w:rPr>
        <w:t>S</w:t>
      </w:r>
      <w:r w:rsidRPr="00A7727E">
        <w:rPr>
          <w:lang w:eastAsia="en-AU"/>
        </w:rPr>
        <w:t>tandard 7</w:t>
      </w:r>
      <w:r w:rsidR="00EF26C8">
        <w:rPr>
          <w:lang w:eastAsia="en-AU"/>
        </w:rPr>
        <w:t xml:space="preserve"> Blood and Blood Products</w:t>
      </w:r>
      <w:r w:rsidRPr="00A7727E">
        <w:rPr>
          <w:lang w:eastAsia="en-AU"/>
        </w:rPr>
        <w:t>)</w:t>
      </w:r>
    </w:p>
    <w:p w:rsidR="002A6E1E" w:rsidRPr="00A7727E" w:rsidRDefault="002A6E1E" w:rsidP="00D65BE9">
      <w:pPr>
        <w:pStyle w:val="ListParagraph"/>
        <w:numPr>
          <w:ilvl w:val="0"/>
          <w:numId w:val="27"/>
        </w:numPr>
        <w:spacing w:before="120" w:after="120" w:line="240" w:lineRule="auto"/>
        <w:ind w:left="714" w:hanging="357"/>
        <w:contextualSpacing w:val="0"/>
        <w:rPr>
          <w:lang w:eastAsia="en-AU"/>
        </w:rPr>
      </w:pPr>
      <w:r w:rsidRPr="00A7727E">
        <w:rPr>
          <w:lang w:eastAsia="en-AU"/>
        </w:rPr>
        <w:t>a system unprepared for national health reforms</w:t>
      </w:r>
    </w:p>
    <w:p w:rsidR="002A6E1E" w:rsidRPr="00A7727E" w:rsidRDefault="002A6E1E" w:rsidP="00D65BE9">
      <w:pPr>
        <w:pStyle w:val="ListParagraph"/>
        <w:numPr>
          <w:ilvl w:val="0"/>
          <w:numId w:val="27"/>
        </w:numPr>
        <w:spacing w:before="120" w:after="120" w:line="240" w:lineRule="auto"/>
        <w:ind w:left="714" w:hanging="357"/>
        <w:contextualSpacing w:val="0"/>
        <w:rPr>
          <w:lang w:eastAsia="en-AU"/>
        </w:rPr>
      </w:pPr>
      <w:r w:rsidRPr="00A7727E">
        <w:rPr>
          <w:lang w:eastAsia="en-AU"/>
        </w:rPr>
        <w:t>a system unprepared for new products, and</w:t>
      </w:r>
    </w:p>
    <w:p w:rsidR="002A6E1E" w:rsidRPr="00A7727E" w:rsidRDefault="002A6E1E" w:rsidP="00D65BE9">
      <w:pPr>
        <w:pStyle w:val="ListParagraph"/>
        <w:numPr>
          <w:ilvl w:val="0"/>
          <w:numId w:val="27"/>
        </w:numPr>
        <w:spacing w:before="120" w:after="120" w:line="240" w:lineRule="auto"/>
        <w:ind w:left="714" w:hanging="357"/>
        <w:contextualSpacing w:val="0"/>
        <w:rPr>
          <w:lang w:eastAsia="en-AU"/>
        </w:rPr>
      </w:pPr>
      <w:r w:rsidRPr="00A7727E">
        <w:rPr>
          <w:lang w:eastAsia="en-AU"/>
        </w:rPr>
        <w:t>continuation of limited knowledge development</w:t>
      </w:r>
    </w:p>
    <w:p w:rsidR="00494E98" w:rsidRPr="003C5100" w:rsidRDefault="002A6E1E" w:rsidP="003C5100">
      <w:pPr>
        <w:pStyle w:val="Default"/>
        <w:rPr>
          <w:rFonts w:asciiTheme="minorHAnsi" w:hAnsiTheme="minorHAnsi" w:cstheme="minorHAnsi"/>
          <w:sz w:val="22"/>
          <w:szCs w:val="22"/>
        </w:rPr>
        <w:sectPr w:rsidR="00494E98" w:rsidRPr="003C5100" w:rsidSect="003D2230">
          <w:pgSz w:w="11900" w:h="16840"/>
          <w:pgMar w:top="1440" w:right="1440" w:bottom="1440" w:left="1440" w:header="830" w:footer="818" w:gutter="0"/>
          <w:cols w:space="720"/>
          <w:titlePg/>
          <w:docGrid w:linePitch="299"/>
        </w:sectPr>
      </w:pPr>
      <w:r w:rsidRPr="003C5100">
        <w:rPr>
          <w:rFonts w:asciiTheme="minorHAnsi" w:hAnsiTheme="minorHAnsi" w:cstheme="minorHAnsi"/>
          <w:sz w:val="22"/>
          <w:szCs w:val="22"/>
        </w:rPr>
        <w:t xml:space="preserve">The review considered three families of options and recommended the implementation of a new management model for immunoglobulin intended to strengthen existing arrangements for the management of </w:t>
      </w:r>
      <w:proofErr w:type="spellStart"/>
      <w:r w:rsidRPr="003C5100">
        <w:rPr>
          <w:rFonts w:asciiTheme="minorHAnsi" w:hAnsiTheme="minorHAnsi" w:cstheme="minorHAnsi"/>
          <w:sz w:val="22"/>
          <w:szCs w:val="22"/>
        </w:rPr>
        <w:t>IVIg</w:t>
      </w:r>
      <w:proofErr w:type="spellEnd"/>
      <w:r w:rsidRPr="003C5100">
        <w:rPr>
          <w:rFonts w:asciiTheme="minorHAnsi" w:hAnsiTheme="minorHAnsi" w:cstheme="minorHAnsi"/>
          <w:sz w:val="22"/>
          <w:szCs w:val="22"/>
        </w:rPr>
        <w:t xml:space="preserve"> through the development of an evidence base for immunoglobulin therapy which is supported by clinical best practice, cost effectiveness and transparency.  The review and development of recommendations was informed by an advisory group with wide jurisdictional and stakeholder representation.  The process of the review included significant consultation with clinical and other stakeholders, through interviews, group discussions and a widely subscribed survey.  While this business case draws on the findings and recommendations of the review of clinical governance and authorisation of </w:t>
      </w:r>
      <w:proofErr w:type="spellStart"/>
      <w:r w:rsidRPr="003C5100">
        <w:rPr>
          <w:rFonts w:asciiTheme="minorHAnsi" w:hAnsiTheme="minorHAnsi" w:cstheme="minorHAnsi"/>
          <w:sz w:val="22"/>
          <w:szCs w:val="22"/>
        </w:rPr>
        <w:t>IVIg</w:t>
      </w:r>
      <w:proofErr w:type="spellEnd"/>
      <w:r w:rsidRPr="003C5100">
        <w:rPr>
          <w:rFonts w:asciiTheme="minorHAnsi" w:hAnsiTheme="minorHAnsi" w:cstheme="minorHAnsi"/>
          <w:sz w:val="22"/>
          <w:szCs w:val="22"/>
        </w:rPr>
        <w:t xml:space="preserve">, significant earlier NBA and jurisdictional work including the 2004 Cost Effectiveness Review have all drawn comparable conclusions towards a constructive management regime that would increase the expertise and knowledge on the use of the product to build comparative, measurable metrics.  Subsequently, this would encourage consistency in assessing requests for initial and ongoing supply, including for very rare conditions, ensuring equity of access nationally. </w:t>
      </w:r>
    </w:p>
    <w:p w:rsidR="002A6E1E" w:rsidRDefault="002A6E1E" w:rsidP="002A6E1E">
      <w:pPr>
        <w:spacing w:before="120" w:after="120"/>
      </w:pPr>
    </w:p>
    <w:p w:rsidR="00163D61" w:rsidRDefault="00163D61" w:rsidP="00524CC3">
      <w:pPr>
        <w:pStyle w:val="Heading2"/>
      </w:pPr>
      <w:bookmarkStart w:id="22" w:name="_Toc434574637"/>
      <w:r w:rsidRPr="00163D61">
        <w:t>The program of measures</w:t>
      </w:r>
      <w:r>
        <w:t xml:space="preserve"> to strengthen immunoglobulin authorisation and </w:t>
      </w:r>
      <w:r w:rsidR="003E4715">
        <w:t>management</w:t>
      </w:r>
      <w:r w:rsidR="00494E98">
        <w:t xml:space="preserve"> and identification of where privacy implications may arise</w:t>
      </w:r>
      <w:bookmarkEnd w:id="22"/>
    </w:p>
    <w:p w:rsidR="00163D61" w:rsidRDefault="00163D61" w:rsidP="002A6E1E">
      <w:pPr>
        <w:spacing w:before="120" w:after="120"/>
      </w:pPr>
      <w:r>
        <w:t xml:space="preserve">The measures under the Ig Governance </w:t>
      </w:r>
      <w:r w:rsidR="003E4715">
        <w:t xml:space="preserve">program, </w:t>
      </w:r>
      <w:r w:rsidRPr="00163D61">
        <w:t>endorsed by the J</w:t>
      </w:r>
      <w:r w:rsidR="002F00B8">
        <w:t xml:space="preserve">urisdictional </w:t>
      </w:r>
      <w:r w:rsidRPr="00163D61">
        <w:t>B</w:t>
      </w:r>
      <w:r w:rsidR="002F00B8">
        <w:t xml:space="preserve">lood </w:t>
      </w:r>
      <w:r w:rsidRPr="00163D61">
        <w:t>C</w:t>
      </w:r>
      <w:r w:rsidR="002F00B8">
        <w:t>ommittee (</w:t>
      </w:r>
      <w:proofErr w:type="spellStart"/>
      <w:r w:rsidR="002F00B8">
        <w:t>JBC</w:t>
      </w:r>
      <w:proofErr w:type="spellEnd"/>
      <w:r w:rsidR="002F00B8">
        <w:t>)</w:t>
      </w:r>
      <w:r w:rsidRPr="00163D61">
        <w:t xml:space="preserve"> </w:t>
      </w:r>
      <w:r w:rsidR="00102DED">
        <w:t xml:space="preserve">following the Review </w:t>
      </w:r>
      <w:r w:rsidRPr="00163D61">
        <w:t xml:space="preserve">are </w:t>
      </w:r>
      <w:r w:rsidR="00102DED">
        <w:t>detailed</w:t>
      </w:r>
      <w:r w:rsidRPr="00163D61">
        <w:t xml:space="preserve"> below.  The development </w:t>
      </w:r>
      <w:r w:rsidR="00003F8A">
        <w:t xml:space="preserve">of the system </w:t>
      </w:r>
      <w:proofErr w:type="spellStart"/>
      <w:r w:rsidR="00003F8A">
        <w:t>BloodSTAR</w:t>
      </w:r>
      <w:proofErr w:type="spellEnd"/>
      <w:r w:rsidR="00003F8A">
        <w:t xml:space="preserve"> </w:t>
      </w:r>
      <w:r w:rsidRPr="00163D61">
        <w:t xml:space="preserve">is </w:t>
      </w:r>
      <w:r w:rsidR="002F00B8">
        <w:t xml:space="preserve">an integral part </w:t>
      </w:r>
      <w:r w:rsidRPr="00163D61">
        <w:t>of these measures.</w:t>
      </w:r>
    </w:p>
    <w:tbl>
      <w:tblPr>
        <w:tblStyle w:val="TableGrid"/>
        <w:tblW w:w="0" w:type="auto"/>
        <w:tblLayout w:type="fixed"/>
        <w:tblLook w:val="04A0" w:firstRow="1" w:lastRow="0" w:firstColumn="1" w:lastColumn="0" w:noHBand="0" w:noVBand="1"/>
      </w:tblPr>
      <w:tblGrid>
        <w:gridCol w:w="2118"/>
        <w:gridCol w:w="6637"/>
        <w:gridCol w:w="2268"/>
        <w:gridCol w:w="2268"/>
      </w:tblGrid>
      <w:tr w:rsidR="003C5100" w:rsidRPr="00494E98" w:rsidTr="002B7E38">
        <w:trPr>
          <w:trHeight w:val="615"/>
          <w:tblHeader/>
        </w:trPr>
        <w:tc>
          <w:tcPr>
            <w:tcW w:w="2118" w:type="dxa"/>
            <w:vMerge w:val="restart"/>
            <w:shd w:val="clear" w:color="auto" w:fill="DBE5F1" w:themeFill="accent1" w:themeFillTint="33"/>
          </w:tcPr>
          <w:p w:rsidR="003C5100" w:rsidRPr="00494E98" w:rsidRDefault="003C5100" w:rsidP="003C5100">
            <w:pPr>
              <w:pStyle w:val="ListNumber"/>
              <w:numPr>
                <w:ilvl w:val="0"/>
                <w:numId w:val="0"/>
              </w:numPr>
              <w:spacing w:before="240"/>
              <w:jc w:val="center"/>
              <w:rPr>
                <w:b/>
                <w:lang w:eastAsia="en-AU"/>
              </w:rPr>
            </w:pPr>
            <w:r>
              <w:rPr>
                <w:b/>
                <w:lang w:eastAsia="en-AU"/>
              </w:rPr>
              <w:t>IMMUNOGLOBULIN GOVERNANCE MEASURES</w:t>
            </w:r>
          </w:p>
        </w:tc>
        <w:tc>
          <w:tcPr>
            <w:tcW w:w="6637" w:type="dxa"/>
            <w:vMerge w:val="restart"/>
            <w:shd w:val="clear" w:color="auto" w:fill="DBE5F1" w:themeFill="accent1" w:themeFillTint="33"/>
          </w:tcPr>
          <w:p w:rsidR="003C5100" w:rsidRDefault="003C5100" w:rsidP="003C5100">
            <w:pPr>
              <w:pStyle w:val="ListNumber"/>
              <w:numPr>
                <w:ilvl w:val="0"/>
                <w:numId w:val="0"/>
              </w:numPr>
              <w:spacing w:before="240"/>
              <w:jc w:val="center"/>
              <w:rPr>
                <w:b/>
                <w:lang w:eastAsia="en-AU"/>
              </w:rPr>
            </w:pPr>
          </w:p>
          <w:p w:rsidR="003C5100" w:rsidRPr="00494E98" w:rsidRDefault="003C5100" w:rsidP="003C5100">
            <w:pPr>
              <w:pStyle w:val="ListNumber"/>
              <w:numPr>
                <w:ilvl w:val="0"/>
                <w:numId w:val="0"/>
              </w:numPr>
              <w:spacing w:before="240"/>
              <w:jc w:val="center"/>
              <w:rPr>
                <w:b/>
                <w:lang w:eastAsia="en-AU"/>
              </w:rPr>
            </w:pPr>
            <w:r>
              <w:rPr>
                <w:b/>
                <w:lang w:eastAsia="en-AU"/>
              </w:rPr>
              <w:t>DESCRIPTION</w:t>
            </w:r>
          </w:p>
        </w:tc>
        <w:tc>
          <w:tcPr>
            <w:tcW w:w="4536" w:type="dxa"/>
            <w:gridSpan w:val="2"/>
            <w:shd w:val="clear" w:color="auto" w:fill="DBE5F1" w:themeFill="accent1" w:themeFillTint="33"/>
          </w:tcPr>
          <w:p w:rsidR="003C5100" w:rsidRPr="00494E98" w:rsidRDefault="003C5100" w:rsidP="002B7E38">
            <w:pPr>
              <w:pStyle w:val="ListNumber"/>
              <w:numPr>
                <w:ilvl w:val="0"/>
                <w:numId w:val="0"/>
              </w:numPr>
              <w:spacing w:before="240"/>
              <w:rPr>
                <w:b/>
                <w:sz w:val="22"/>
                <w:szCs w:val="22"/>
                <w:lang w:eastAsia="en-AU"/>
              </w:rPr>
            </w:pPr>
            <w:r>
              <w:rPr>
                <w:b/>
                <w:lang w:eastAsia="en-AU"/>
              </w:rPr>
              <w:t>Is personal and</w:t>
            </w:r>
            <w:r w:rsidR="00704AFA">
              <w:rPr>
                <w:b/>
                <w:lang w:eastAsia="en-AU"/>
              </w:rPr>
              <w:t>/or</w:t>
            </w:r>
            <w:r>
              <w:rPr>
                <w:b/>
                <w:lang w:eastAsia="en-AU"/>
              </w:rPr>
              <w:t xml:space="preserve"> sensitive information likely to be collected and used or disclosed to achieve these measures?</w:t>
            </w:r>
            <w:r w:rsidR="00426F47">
              <w:rPr>
                <w:b/>
                <w:lang w:eastAsia="en-AU"/>
              </w:rPr>
              <w:t xml:space="preserve">  If so, appropriate privacy consent needs to be applied.</w:t>
            </w:r>
          </w:p>
        </w:tc>
      </w:tr>
      <w:tr w:rsidR="003C5100" w:rsidRPr="00494E98" w:rsidTr="002B7E38">
        <w:trPr>
          <w:trHeight w:val="397"/>
          <w:tblHeader/>
        </w:trPr>
        <w:tc>
          <w:tcPr>
            <w:tcW w:w="2118" w:type="dxa"/>
            <w:vMerge/>
            <w:shd w:val="clear" w:color="auto" w:fill="DBE5F1" w:themeFill="accent1" w:themeFillTint="33"/>
          </w:tcPr>
          <w:p w:rsidR="003C5100" w:rsidRPr="00494E98" w:rsidRDefault="003C5100" w:rsidP="00494E98">
            <w:pPr>
              <w:pStyle w:val="ListNumber"/>
              <w:numPr>
                <w:ilvl w:val="0"/>
                <w:numId w:val="0"/>
              </w:numPr>
              <w:jc w:val="center"/>
              <w:rPr>
                <w:b/>
                <w:lang w:eastAsia="en-AU"/>
              </w:rPr>
            </w:pPr>
          </w:p>
        </w:tc>
        <w:tc>
          <w:tcPr>
            <w:tcW w:w="6637" w:type="dxa"/>
            <w:vMerge/>
            <w:shd w:val="clear" w:color="auto" w:fill="DBE5F1" w:themeFill="accent1" w:themeFillTint="33"/>
          </w:tcPr>
          <w:p w:rsidR="003C5100" w:rsidRPr="00494E98" w:rsidRDefault="003C5100" w:rsidP="00494E98">
            <w:pPr>
              <w:pStyle w:val="ListNumber"/>
              <w:numPr>
                <w:ilvl w:val="0"/>
                <w:numId w:val="0"/>
              </w:numPr>
              <w:jc w:val="center"/>
              <w:rPr>
                <w:b/>
                <w:lang w:eastAsia="en-AU"/>
              </w:rPr>
            </w:pPr>
          </w:p>
        </w:tc>
        <w:tc>
          <w:tcPr>
            <w:tcW w:w="2268" w:type="dxa"/>
            <w:shd w:val="clear" w:color="auto" w:fill="DBE5F1" w:themeFill="accent1" w:themeFillTint="33"/>
            <w:vAlign w:val="center"/>
          </w:tcPr>
          <w:p w:rsidR="003C5100" w:rsidRDefault="00182D29" w:rsidP="00182D29">
            <w:pPr>
              <w:pStyle w:val="ListNumber"/>
              <w:numPr>
                <w:ilvl w:val="0"/>
                <w:numId w:val="0"/>
              </w:numPr>
              <w:jc w:val="center"/>
              <w:rPr>
                <w:b/>
                <w:lang w:eastAsia="en-AU"/>
              </w:rPr>
            </w:pPr>
            <w:r>
              <w:rPr>
                <w:b/>
                <w:lang w:eastAsia="en-AU"/>
              </w:rPr>
              <w:t>PERSONAL</w:t>
            </w:r>
          </w:p>
        </w:tc>
        <w:tc>
          <w:tcPr>
            <w:tcW w:w="2268" w:type="dxa"/>
            <w:shd w:val="clear" w:color="auto" w:fill="DBE5F1" w:themeFill="accent1" w:themeFillTint="33"/>
            <w:vAlign w:val="center"/>
          </w:tcPr>
          <w:p w:rsidR="006E4C04" w:rsidRPr="006E4C04" w:rsidRDefault="006E4C04" w:rsidP="006E4C04">
            <w:pPr>
              <w:pStyle w:val="ListNumber"/>
              <w:numPr>
                <w:ilvl w:val="0"/>
                <w:numId w:val="0"/>
              </w:numPr>
              <w:jc w:val="center"/>
              <w:rPr>
                <w:b/>
                <w:sz w:val="16"/>
                <w:szCs w:val="16"/>
                <w:lang w:eastAsia="en-AU"/>
              </w:rPr>
            </w:pPr>
          </w:p>
          <w:p w:rsidR="003C5100" w:rsidRDefault="00182D29" w:rsidP="006E4C04">
            <w:pPr>
              <w:pStyle w:val="ListNumber"/>
              <w:numPr>
                <w:ilvl w:val="0"/>
                <w:numId w:val="0"/>
              </w:numPr>
              <w:jc w:val="center"/>
              <w:rPr>
                <w:b/>
                <w:lang w:eastAsia="en-AU"/>
              </w:rPr>
            </w:pPr>
            <w:r>
              <w:rPr>
                <w:b/>
                <w:lang w:eastAsia="en-AU"/>
              </w:rPr>
              <w:t>SENSITIVE</w:t>
            </w:r>
          </w:p>
        </w:tc>
      </w:tr>
      <w:tr w:rsidR="00494E98" w:rsidTr="003C5100">
        <w:tc>
          <w:tcPr>
            <w:tcW w:w="2118" w:type="dxa"/>
          </w:tcPr>
          <w:p w:rsidR="00494E98" w:rsidRDefault="00494E98" w:rsidP="00494E98">
            <w:pPr>
              <w:pStyle w:val="ListParagraph"/>
              <w:spacing w:before="120"/>
              <w:ind w:left="0"/>
            </w:pPr>
            <w:r>
              <w:rPr>
                <w:b/>
                <w:lang w:eastAsia="en-AU"/>
              </w:rPr>
              <w:t xml:space="preserve">Development and maintenance of policies and procedures for access to Ig products </w:t>
            </w:r>
          </w:p>
        </w:tc>
        <w:tc>
          <w:tcPr>
            <w:tcW w:w="6637" w:type="dxa"/>
          </w:tcPr>
          <w:p w:rsidR="00494E98" w:rsidRDefault="00494E98" w:rsidP="00494E98">
            <w:pPr>
              <w:pStyle w:val="ListParagraph"/>
              <w:spacing w:before="120"/>
              <w:ind w:left="0"/>
            </w:pPr>
            <w:r w:rsidRPr="00246247">
              <w:t xml:space="preserve">A defined set of policies and </w:t>
            </w:r>
            <w:r>
              <w:t>associated</w:t>
            </w:r>
            <w:r w:rsidRPr="00246247">
              <w:t xml:space="preserve"> procedures</w:t>
            </w:r>
            <w:r>
              <w:t xml:space="preserve"> </w:t>
            </w:r>
            <w:r w:rsidRPr="00B949B2">
              <w:t xml:space="preserve">will be </w:t>
            </w:r>
            <w:r>
              <w:t>developed</w:t>
            </w:r>
            <w:r w:rsidRPr="00B949B2">
              <w:t xml:space="preserve"> </w:t>
            </w:r>
            <w:r>
              <w:t xml:space="preserve">and maintained, </w:t>
            </w:r>
            <w:r w:rsidRPr="00B76FE0">
              <w:t>describing</w:t>
            </w:r>
            <w:r w:rsidRPr="00246247">
              <w:t xml:space="preserve"> the roles and responsibilities of key participants in the governance and management framework for immunoglobulin products</w:t>
            </w:r>
            <w:r>
              <w:t>.</w:t>
            </w:r>
          </w:p>
          <w:p w:rsidR="00494E98" w:rsidRDefault="00494E98" w:rsidP="002A6E1E">
            <w:pPr>
              <w:spacing w:before="120" w:after="120"/>
            </w:pPr>
          </w:p>
        </w:tc>
        <w:tc>
          <w:tcPr>
            <w:tcW w:w="2268" w:type="dxa"/>
            <w:vAlign w:val="center"/>
          </w:tcPr>
          <w:p w:rsidR="00494E98" w:rsidRDefault="003C5100" w:rsidP="003C5100">
            <w:pPr>
              <w:spacing w:before="120" w:after="120"/>
              <w:jc w:val="center"/>
            </w:pPr>
            <w:r>
              <w:t>NO</w:t>
            </w:r>
          </w:p>
        </w:tc>
        <w:tc>
          <w:tcPr>
            <w:tcW w:w="2268" w:type="dxa"/>
            <w:vAlign w:val="center"/>
          </w:tcPr>
          <w:p w:rsidR="00494E98" w:rsidRDefault="00704AFA" w:rsidP="00D65BE9">
            <w:pPr>
              <w:spacing w:before="120" w:after="120"/>
            </w:pPr>
            <w:r>
              <w:t xml:space="preserve">YES.  </w:t>
            </w:r>
            <w:r w:rsidR="00D65BE9">
              <w:t>Only s</w:t>
            </w:r>
            <w:r>
              <w:t>ummary level data may be used to inform policy decisions.  This information will not identify individuals.</w:t>
            </w:r>
          </w:p>
        </w:tc>
      </w:tr>
      <w:tr w:rsidR="00704AFA" w:rsidTr="003C5100">
        <w:tc>
          <w:tcPr>
            <w:tcW w:w="2118" w:type="dxa"/>
          </w:tcPr>
          <w:p w:rsidR="00704AFA" w:rsidRDefault="00704AFA" w:rsidP="002A6E1E">
            <w:pPr>
              <w:spacing w:before="120" w:after="120"/>
            </w:pPr>
            <w:r>
              <w:rPr>
                <w:b/>
                <w:lang w:eastAsia="en-AU"/>
              </w:rPr>
              <w:t>Establishment and support of a national network of committees</w:t>
            </w:r>
          </w:p>
        </w:tc>
        <w:tc>
          <w:tcPr>
            <w:tcW w:w="6637" w:type="dxa"/>
          </w:tcPr>
          <w:p w:rsidR="00704AFA" w:rsidRDefault="00704AFA" w:rsidP="002A6E1E">
            <w:pPr>
              <w:spacing w:before="120" w:after="120"/>
            </w:pPr>
            <w:r w:rsidRPr="00246247">
              <w:rPr>
                <w:lang w:eastAsia="en-AU"/>
              </w:rPr>
              <w:t xml:space="preserve">It is envisaged that an </w:t>
            </w:r>
            <w:r w:rsidRPr="00246247">
              <w:t>integrated</w:t>
            </w:r>
            <w:r w:rsidRPr="008F637D">
              <w:t xml:space="preserve"> network of committees</w:t>
            </w:r>
            <w:r w:rsidRPr="00E25431">
              <w:t xml:space="preserve"> </w:t>
            </w:r>
            <w:r>
              <w:t>will be established</w:t>
            </w:r>
            <w:r w:rsidRPr="008F637D">
              <w:t xml:space="preserve">, including the </w:t>
            </w:r>
            <w:r>
              <w:t>N</w:t>
            </w:r>
            <w:r w:rsidRPr="008F637D">
              <w:t xml:space="preserve">ational </w:t>
            </w:r>
            <w:r>
              <w:t>I</w:t>
            </w:r>
            <w:r w:rsidRPr="008F637D">
              <w:t xml:space="preserve">mmunoglobulin </w:t>
            </w:r>
            <w:r>
              <w:t>G</w:t>
            </w:r>
            <w:r w:rsidRPr="008F637D">
              <w:t xml:space="preserve">overnance </w:t>
            </w:r>
            <w:r>
              <w:t>A</w:t>
            </w:r>
            <w:r w:rsidRPr="008F637D">
              <w:t xml:space="preserve">dvisory </w:t>
            </w:r>
            <w:r w:rsidRPr="00246247">
              <w:t>Committee and specialist working groups.  These</w:t>
            </w:r>
            <w:r>
              <w:t xml:space="preserve"> committees will be</w:t>
            </w:r>
            <w:r w:rsidRPr="008F637D">
              <w:t xml:space="preserve"> </w:t>
            </w:r>
            <w:r>
              <w:t>integrated with a network of</w:t>
            </w:r>
            <w:r w:rsidRPr="008F637D">
              <w:t xml:space="preserve"> </w:t>
            </w:r>
            <w:r>
              <w:t xml:space="preserve">existing or new </w:t>
            </w:r>
            <w:r w:rsidRPr="008F637D">
              <w:t>local governance committees and Ig user groups</w:t>
            </w:r>
            <w:r>
              <w:t>.  The advice and recommendations of this committee network will fundamentally inform the development, implementation and ongoing operation of the other governance program measures.</w:t>
            </w:r>
          </w:p>
        </w:tc>
        <w:tc>
          <w:tcPr>
            <w:tcW w:w="2268" w:type="dxa"/>
            <w:vAlign w:val="center"/>
          </w:tcPr>
          <w:p w:rsidR="00704AFA" w:rsidRDefault="00704AFA" w:rsidP="003C5100">
            <w:pPr>
              <w:spacing w:before="120" w:after="120"/>
              <w:jc w:val="center"/>
            </w:pPr>
            <w:r>
              <w:t>NO</w:t>
            </w:r>
          </w:p>
        </w:tc>
        <w:tc>
          <w:tcPr>
            <w:tcW w:w="2268" w:type="dxa"/>
            <w:vAlign w:val="center"/>
          </w:tcPr>
          <w:p w:rsidR="00704AFA" w:rsidRDefault="00704AFA" w:rsidP="002B7E38">
            <w:pPr>
              <w:spacing w:before="120" w:after="120"/>
              <w:rPr>
                <w:sz w:val="22"/>
                <w:szCs w:val="22"/>
              </w:rPr>
            </w:pPr>
            <w:r>
              <w:t>YES</w:t>
            </w:r>
            <w:r w:rsidR="00DC6ACB">
              <w:t>. Only summary level data may be used to inform policy decisions.  This information will not identify individuals</w:t>
            </w:r>
            <w:r w:rsidR="00130AFC">
              <w:t>.</w:t>
            </w:r>
          </w:p>
        </w:tc>
      </w:tr>
      <w:tr w:rsidR="00704AFA" w:rsidTr="003C5100">
        <w:tc>
          <w:tcPr>
            <w:tcW w:w="2118" w:type="dxa"/>
          </w:tcPr>
          <w:p w:rsidR="00704AFA" w:rsidRDefault="00704AFA" w:rsidP="002A6E1E">
            <w:pPr>
              <w:spacing w:before="120" w:after="120"/>
            </w:pPr>
            <w:r>
              <w:rPr>
                <w:b/>
                <w:lang w:eastAsia="en-AU"/>
              </w:rPr>
              <w:t>Evolving the criteria for access</w:t>
            </w:r>
          </w:p>
        </w:tc>
        <w:tc>
          <w:tcPr>
            <w:tcW w:w="6637" w:type="dxa"/>
          </w:tcPr>
          <w:p w:rsidR="00704AFA" w:rsidRDefault="00704AFA" w:rsidP="00494E98">
            <w:pPr>
              <w:pStyle w:val="ListParagraph"/>
              <w:spacing w:before="120"/>
              <w:ind w:left="0"/>
            </w:pPr>
            <w:r w:rsidRPr="00314C58">
              <w:t xml:space="preserve">The </w:t>
            </w:r>
            <w:r w:rsidRPr="00246247">
              <w:rPr>
                <w:i/>
              </w:rPr>
              <w:t>Criteria for the clinical use of intravenous immunoglobulin in Australia</w:t>
            </w:r>
            <w:r w:rsidRPr="00314C58">
              <w:t xml:space="preserve"> </w:t>
            </w:r>
            <w:r>
              <w:t>(</w:t>
            </w:r>
            <w:r w:rsidRPr="00246247">
              <w:rPr>
                <w:i/>
              </w:rPr>
              <w:t>Criteria</w:t>
            </w:r>
            <w:r>
              <w:t xml:space="preserve">) were issued in 2008 and updated in 2012, and </w:t>
            </w:r>
            <w:r w:rsidRPr="00A7727E">
              <w:t>ha</w:t>
            </w:r>
            <w:r>
              <w:t>ve</w:t>
            </w:r>
            <w:r w:rsidRPr="00A7727E">
              <w:t xml:space="preserve"> been successful in defining the eligibility for access to product funded under the national blood </w:t>
            </w:r>
            <w:r w:rsidRPr="00A7727E">
              <w:lastRenderedPageBreak/>
              <w:t>arrangements</w:t>
            </w:r>
            <w:r>
              <w:t>.</w:t>
            </w:r>
            <w:r w:rsidRPr="0094621B">
              <w:t xml:space="preserve"> </w:t>
            </w:r>
            <w:r>
              <w:t xml:space="preserve"> The</w:t>
            </w:r>
            <w:r w:rsidRPr="00A7727E">
              <w:t xml:space="preserve"> </w:t>
            </w:r>
            <w:r w:rsidRPr="001611AE">
              <w:rPr>
                <w:i/>
              </w:rPr>
              <w:t>Criteria</w:t>
            </w:r>
            <w:r>
              <w:t xml:space="preserve"> will be further evolved through the </w:t>
            </w:r>
            <w:r w:rsidRPr="0047768C">
              <w:t>improved</w:t>
            </w:r>
            <w:r w:rsidRPr="00A7727E">
              <w:t xml:space="preserve"> </w:t>
            </w:r>
            <w:r>
              <w:t xml:space="preserve">governance </w:t>
            </w:r>
            <w:r w:rsidRPr="00A7727E">
              <w:t xml:space="preserve">framework, in particular </w:t>
            </w:r>
            <w:r>
              <w:t>through</w:t>
            </w:r>
            <w:r w:rsidRPr="00A7727E">
              <w:t xml:space="preserve"> the </w:t>
            </w:r>
            <w:r>
              <w:t>role</w:t>
            </w:r>
            <w:r w:rsidRPr="00A7727E">
              <w:t xml:space="preserve"> of the national committee network</w:t>
            </w:r>
            <w:r>
              <w:t>,</w:t>
            </w:r>
            <w:r w:rsidRPr="00A7727E">
              <w:t xml:space="preserve"> improved </w:t>
            </w:r>
            <w:r>
              <w:t>data collection and analysis, and clinical practice development and targeted research</w:t>
            </w:r>
            <w:r w:rsidRPr="00314C58">
              <w:t xml:space="preserve">.  </w:t>
            </w:r>
            <w:r>
              <w:t xml:space="preserve">Considerations for the evolution of the </w:t>
            </w:r>
            <w:r w:rsidRPr="00246247">
              <w:rPr>
                <w:i/>
              </w:rPr>
              <w:t>Criteria</w:t>
            </w:r>
            <w:r>
              <w:t xml:space="preserve"> will include appropriate clinical practice, alternative therapies and health economic aspects.   </w:t>
            </w:r>
          </w:p>
          <w:p w:rsidR="00704AFA" w:rsidRDefault="00704AFA" w:rsidP="002A6E1E">
            <w:pPr>
              <w:spacing w:before="120" w:after="120"/>
            </w:pPr>
          </w:p>
        </w:tc>
        <w:tc>
          <w:tcPr>
            <w:tcW w:w="2268" w:type="dxa"/>
            <w:vAlign w:val="center"/>
          </w:tcPr>
          <w:p w:rsidR="00704AFA" w:rsidRDefault="00704AFA" w:rsidP="003C5100">
            <w:pPr>
              <w:spacing w:before="120" w:after="120"/>
              <w:jc w:val="center"/>
            </w:pPr>
            <w:r>
              <w:lastRenderedPageBreak/>
              <w:t>NO</w:t>
            </w:r>
          </w:p>
        </w:tc>
        <w:tc>
          <w:tcPr>
            <w:tcW w:w="2268" w:type="dxa"/>
            <w:vAlign w:val="center"/>
          </w:tcPr>
          <w:p w:rsidR="00704AFA" w:rsidRDefault="00704AFA" w:rsidP="00D65BE9">
            <w:pPr>
              <w:spacing w:before="120" w:after="120"/>
            </w:pPr>
            <w:r>
              <w:t xml:space="preserve">YES. </w:t>
            </w:r>
            <w:r w:rsidR="00D65BE9">
              <w:t xml:space="preserve"> Only s</w:t>
            </w:r>
            <w:r>
              <w:t xml:space="preserve">ummary level data may be used to inform policy decisions.  </w:t>
            </w:r>
            <w:r>
              <w:lastRenderedPageBreak/>
              <w:t>This information will not identify individuals.</w:t>
            </w:r>
          </w:p>
        </w:tc>
      </w:tr>
      <w:tr w:rsidR="00704AFA" w:rsidTr="003C5100">
        <w:tc>
          <w:tcPr>
            <w:tcW w:w="2118" w:type="dxa"/>
          </w:tcPr>
          <w:p w:rsidR="00704AFA" w:rsidRDefault="00704AFA" w:rsidP="00003F8A">
            <w:pPr>
              <w:spacing w:before="120" w:after="120"/>
              <w:rPr>
                <w:b/>
                <w:lang w:eastAsia="en-AU"/>
              </w:rPr>
            </w:pPr>
            <w:r>
              <w:rPr>
                <w:b/>
                <w:lang w:eastAsia="en-AU"/>
              </w:rPr>
              <w:lastRenderedPageBreak/>
              <w:t>Development and implementation of a n</w:t>
            </w:r>
            <w:r w:rsidRPr="00314C58">
              <w:rPr>
                <w:b/>
                <w:lang w:eastAsia="en-AU"/>
              </w:rPr>
              <w:t>ational ordering and outcomes database</w:t>
            </w:r>
            <w:r>
              <w:rPr>
                <w:b/>
                <w:lang w:eastAsia="en-AU"/>
              </w:rPr>
              <w:t xml:space="preserve"> (</w:t>
            </w:r>
            <w:proofErr w:type="spellStart"/>
            <w:r w:rsidR="00003F8A">
              <w:rPr>
                <w:b/>
                <w:lang w:eastAsia="en-AU"/>
              </w:rPr>
              <w:t>BloodSTAR</w:t>
            </w:r>
            <w:proofErr w:type="spellEnd"/>
            <w:r>
              <w:rPr>
                <w:b/>
                <w:lang w:eastAsia="en-AU"/>
              </w:rPr>
              <w:t>)</w:t>
            </w:r>
          </w:p>
        </w:tc>
        <w:tc>
          <w:tcPr>
            <w:tcW w:w="6637" w:type="dxa"/>
          </w:tcPr>
          <w:p w:rsidR="00704AFA" w:rsidRPr="00314C58" w:rsidRDefault="00704AFA" w:rsidP="00494E98">
            <w:pPr>
              <w:pStyle w:val="ListParagraph"/>
              <w:spacing w:before="120"/>
              <w:ind w:left="0"/>
            </w:pPr>
            <w:r w:rsidRPr="00246247">
              <w:t>A national Ig ordering and outcomes database w</w:t>
            </w:r>
            <w:r>
              <w:t>ill s</w:t>
            </w:r>
            <w:r w:rsidRPr="00A7727E">
              <w:t xml:space="preserve">upport and contribute to </w:t>
            </w:r>
            <w:r>
              <w:t xml:space="preserve">the </w:t>
            </w:r>
            <w:r w:rsidRPr="00A7727E">
              <w:t>effectiveness</w:t>
            </w:r>
            <w:r>
              <w:t xml:space="preserve"> of the program</w:t>
            </w:r>
            <w:r w:rsidRPr="00A7727E">
              <w:t xml:space="preserve">. The </w:t>
            </w:r>
            <w:r>
              <w:t>database</w:t>
            </w:r>
            <w:r w:rsidRPr="00A7727E">
              <w:t xml:space="preserve"> will</w:t>
            </w:r>
            <w:r>
              <w:t xml:space="preserve"> support the</w:t>
            </w:r>
            <w:r w:rsidRPr="00A7727E">
              <w:t xml:space="preserve"> </w:t>
            </w:r>
            <w:r>
              <w:t xml:space="preserve">implementation of the </w:t>
            </w:r>
            <w:r>
              <w:rPr>
                <w:i/>
              </w:rPr>
              <w:t>Criteria</w:t>
            </w:r>
            <w:r>
              <w:t xml:space="preserve">, policies and processes for access to immunoglobulin products, and will </w:t>
            </w:r>
            <w:r w:rsidRPr="00A7727E">
              <w:t>generate clinical</w:t>
            </w:r>
            <w:r>
              <w:t xml:space="preserve"> and management</w:t>
            </w:r>
            <w:r w:rsidRPr="00A7727E">
              <w:t xml:space="preserve"> information </w:t>
            </w:r>
            <w:r>
              <w:t>to support</w:t>
            </w:r>
            <w:r w:rsidRPr="00A7727E">
              <w:t xml:space="preserve"> improved patient care and </w:t>
            </w:r>
            <w:r>
              <w:t>efficient and effective</w:t>
            </w:r>
            <w:r w:rsidRPr="00A7727E">
              <w:t xml:space="preserve"> product </w:t>
            </w:r>
            <w:r>
              <w:t xml:space="preserve">management and </w:t>
            </w:r>
            <w:r w:rsidRPr="00A7727E">
              <w:t xml:space="preserve">usage. </w:t>
            </w:r>
            <w:r>
              <w:t xml:space="preserve"> Improved national data will </w:t>
            </w:r>
            <w:r w:rsidRPr="00A7727E">
              <w:t xml:space="preserve">enhance the ability to further develop </w:t>
            </w:r>
            <w:r w:rsidRPr="00246247">
              <w:t xml:space="preserve">the </w:t>
            </w:r>
            <w:r w:rsidRPr="0047768C">
              <w:rPr>
                <w:i/>
              </w:rPr>
              <w:t>Criteria</w:t>
            </w:r>
            <w:r>
              <w:t>, and provide</w:t>
            </w:r>
            <w:r w:rsidRPr="00AE1399">
              <w:t xml:space="preserve"> an improved</w:t>
            </w:r>
            <w:r w:rsidRPr="00A7727E">
              <w:t xml:space="preserve"> evidence base </w:t>
            </w:r>
            <w:r>
              <w:t>for practice improvement and research</w:t>
            </w:r>
            <w:r w:rsidRPr="00A7727E">
              <w:t xml:space="preserve">.  </w:t>
            </w:r>
          </w:p>
        </w:tc>
        <w:tc>
          <w:tcPr>
            <w:tcW w:w="2268" w:type="dxa"/>
            <w:vAlign w:val="center"/>
          </w:tcPr>
          <w:p w:rsidR="00704AFA" w:rsidRDefault="00704AFA" w:rsidP="003C5100">
            <w:pPr>
              <w:spacing w:before="120" w:after="120"/>
              <w:jc w:val="center"/>
            </w:pPr>
            <w:r>
              <w:t>YES</w:t>
            </w:r>
          </w:p>
        </w:tc>
        <w:tc>
          <w:tcPr>
            <w:tcW w:w="2268" w:type="dxa"/>
            <w:vAlign w:val="center"/>
          </w:tcPr>
          <w:p w:rsidR="00704AFA" w:rsidRDefault="00704AFA" w:rsidP="003C5100">
            <w:pPr>
              <w:spacing w:before="120" w:after="120"/>
              <w:jc w:val="center"/>
            </w:pPr>
            <w:r>
              <w:t>YES</w:t>
            </w:r>
          </w:p>
        </w:tc>
      </w:tr>
      <w:tr w:rsidR="00704AFA" w:rsidTr="003C5100">
        <w:tc>
          <w:tcPr>
            <w:tcW w:w="2118" w:type="dxa"/>
          </w:tcPr>
          <w:p w:rsidR="00704AFA" w:rsidRDefault="00704AFA" w:rsidP="002A6E1E">
            <w:pPr>
              <w:spacing w:before="120" w:after="120"/>
              <w:rPr>
                <w:b/>
                <w:lang w:eastAsia="en-AU"/>
              </w:rPr>
            </w:pPr>
            <w:r>
              <w:rPr>
                <w:b/>
                <w:lang w:eastAsia="en-AU"/>
              </w:rPr>
              <w:t>Development and implementation of a performance improvement program</w:t>
            </w:r>
          </w:p>
        </w:tc>
        <w:tc>
          <w:tcPr>
            <w:tcW w:w="6637" w:type="dxa"/>
          </w:tcPr>
          <w:p w:rsidR="00704AFA" w:rsidRPr="002656B1" w:rsidRDefault="00704AFA" w:rsidP="00494E98">
            <w:pPr>
              <w:pStyle w:val="ListParagraph"/>
              <w:spacing w:before="120"/>
              <w:ind w:left="0"/>
            </w:pPr>
            <w:r w:rsidRPr="00246247">
              <w:rPr>
                <w:lang w:eastAsia="en-AU"/>
              </w:rPr>
              <w:t>It is envisaged that</w:t>
            </w:r>
            <w:r>
              <w:rPr>
                <w:b/>
                <w:lang w:eastAsia="en-AU"/>
              </w:rPr>
              <w:t xml:space="preserve"> </w:t>
            </w:r>
            <w:r>
              <w:rPr>
                <w:lang w:eastAsia="en-AU"/>
              </w:rPr>
              <w:t>u</w:t>
            </w:r>
            <w:r w:rsidRPr="00246247">
              <w:rPr>
                <w:lang w:eastAsia="en-AU"/>
              </w:rPr>
              <w:t>nder the</w:t>
            </w:r>
            <w:r>
              <w:rPr>
                <w:lang w:eastAsia="en-AU"/>
              </w:rPr>
              <w:t xml:space="preserve"> guidance of the national committee network, and utilising the </w:t>
            </w:r>
            <w:r w:rsidRPr="00246247">
              <w:rPr>
                <w:i/>
              </w:rPr>
              <w:t>Criteria</w:t>
            </w:r>
            <w:r>
              <w:t xml:space="preserve"> and governance policies, the </w:t>
            </w:r>
            <w:r w:rsidRPr="002656B1">
              <w:t xml:space="preserve">outcomes and ordering database, </w:t>
            </w:r>
            <w:r w:rsidRPr="00246247">
              <w:t xml:space="preserve">and other </w:t>
            </w:r>
            <w:r>
              <w:t>sources</w:t>
            </w:r>
            <w:r w:rsidRPr="00246247">
              <w:t xml:space="preserve"> which may</w:t>
            </w:r>
            <w:r>
              <w:t xml:space="preserve"> provide relevant information, a program will be developed to monitor, assess and improve the </w:t>
            </w:r>
            <w:r w:rsidRPr="00323DD0">
              <w:t>performance of the governance system and identify improvements to systems and processes</w:t>
            </w:r>
            <w:r>
              <w:t>.  This will include the development of</w:t>
            </w:r>
            <w:r w:rsidRPr="002656B1">
              <w:t xml:space="preserve"> </w:t>
            </w:r>
            <w:r>
              <w:t xml:space="preserve">indicators, reports and </w:t>
            </w:r>
            <w:r w:rsidRPr="002656B1">
              <w:t>benchmarking</w:t>
            </w:r>
            <w:r>
              <w:t xml:space="preserve"> </w:t>
            </w:r>
            <w:r>
              <w:lastRenderedPageBreak/>
              <w:t>processes, and an appropriate framework for auditing</w:t>
            </w:r>
            <w:r w:rsidRPr="002656B1">
              <w:t>.</w:t>
            </w:r>
          </w:p>
          <w:p w:rsidR="00704AFA" w:rsidRPr="00246247" w:rsidRDefault="00704AFA" w:rsidP="00494E98">
            <w:pPr>
              <w:pStyle w:val="ListParagraph"/>
              <w:spacing w:before="120"/>
              <w:ind w:left="0"/>
            </w:pPr>
          </w:p>
        </w:tc>
        <w:tc>
          <w:tcPr>
            <w:tcW w:w="2268" w:type="dxa"/>
            <w:vAlign w:val="center"/>
          </w:tcPr>
          <w:p w:rsidR="00704AFA" w:rsidRDefault="00704AFA" w:rsidP="003C5100">
            <w:pPr>
              <w:spacing w:before="120" w:after="120"/>
              <w:jc w:val="center"/>
            </w:pPr>
            <w:r>
              <w:lastRenderedPageBreak/>
              <w:t>NO</w:t>
            </w:r>
          </w:p>
        </w:tc>
        <w:tc>
          <w:tcPr>
            <w:tcW w:w="2268" w:type="dxa"/>
            <w:vAlign w:val="center"/>
          </w:tcPr>
          <w:p w:rsidR="00704AFA" w:rsidRDefault="00704AFA" w:rsidP="00704AFA">
            <w:pPr>
              <w:spacing w:before="120" w:after="120"/>
              <w:jc w:val="center"/>
            </w:pPr>
            <w:r>
              <w:t>YES</w:t>
            </w:r>
          </w:p>
        </w:tc>
      </w:tr>
      <w:tr w:rsidR="00704AFA" w:rsidTr="003C5100">
        <w:tc>
          <w:tcPr>
            <w:tcW w:w="2118" w:type="dxa"/>
          </w:tcPr>
          <w:p w:rsidR="00704AFA" w:rsidRDefault="00704AFA" w:rsidP="002A6E1E">
            <w:pPr>
              <w:spacing w:before="120" w:after="120"/>
              <w:rPr>
                <w:b/>
                <w:lang w:eastAsia="en-AU"/>
              </w:rPr>
            </w:pPr>
            <w:r>
              <w:rPr>
                <w:b/>
                <w:lang w:eastAsia="en-AU"/>
              </w:rPr>
              <w:lastRenderedPageBreak/>
              <w:t>Development and implementation of K</w:t>
            </w:r>
            <w:r w:rsidRPr="00314C58">
              <w:rPr>
                <w:b/>
                <w:lang w:eastAsia="en-AU"/>
              </w:rPr>
              <w:t>nowledge development</w:t>
            </w:r>
          </w:p>
        </w:tc>
        <w:tc>
          <w:tcPr>
            <w:tcW w:w="6637" w:type="dxa"/>
          </w:tcPr>
          <w:p w:rsidR="00704AFA" w:rsidRPr="00246247" w:rsidRDefault="00704AFA" w:rsidP="00494E98">
            <w:pPr>
              <w:pStyle w:val="ListParagraph"/>
              <w:spacing w:before="120"/>
              <w:ind w:left="0"/>
              <w:rPr>
                <w:lang w:eastAsia="en-AU"/>
              </w:rPr>
            </w:pPr>
            <w:r w:rsidRPr="00A7727E">
              <w:t xml:space="preserve">A knowledge development program </w:t>
            </w:r>
            <w:r>
              <w:t>will</w:t>
            </w:r>
            <w:r w:rsidRPr="00A7727E">
              <w:t xml:space="preserve"> </w:t>
            </w:r>
            <w:r>
              <w:t>identify</w:t>
            </w:r>
            <w:r w:rsidRPr="00A7727E">
              <w:t xml:space="preserve"> priorities for the development of better knowledge to</w:t>
            </w:r>
            <w:r>
              <w:t xml:space="preserve"> support more informed decision</w:t>
            </w:r>
            <w:r w:rsidRPr="00A7727E">
              <w:t xml:space="preserve"> making both at the clinician and system-wide management levels.  In particular it </w:t>
            </w:r>
            <w:r>
              <w:t>will</w:t>
            </w:r>
            <w:r w:rsidRPr="00A7727E">
              <w:t xml:space="preserve"> identify areas of need and evaluate the value of investment in research and </w:t>
            </w:r>
            <w:r>
              <w:t>in education and training</w:t>
            </w:r>
            <w:r w:rsidRPr="00A7727E">
              <w:t xml:space="preserve"> to improve clinical practice</w:t>
            </w:r>
            <w:r>
              <w:t xml:space="preserve">, </w:t>
            </w:r>
            <w:r w:rsidRPr="00A7727E">
              <w:t>governance</w:t>
            </w:r>
            <w:r>
              <w:t xml:space="preserve"> and management</w:t>
            </w:r>
            <w:r w:rsidRPr="00A7727E">
              <w:t>.</w:t>
            </w:r>
            <w:r>
              <w:t xml:space="preserve">  </w:t>
            </w:r>
          </w:p>
        </w:tc>
        <w:tc>
          <w:tcPr>
            <w:tcW w:w="2268" w:type="dxa"/>
            <w:vAlign w:val="center"/>
          </w:tcPr>
          <w:p w:rsidR="00704AFA" w:rsidRDefault="00704AFA" w:rsidP="003C5100">
            <w:pPr>
              <w:spacing w:before="120" w:after="120"/>
              <w:jc w:val="center"/>
            </w:pPr>
            <w:r>
              <w:t>NO</w:t>
            </w:r>
          </w:p>
        </w:tc>
        <w:tc>
          <w:tcPr>
            <w:tcW w:w="2268" w:type="dxa"/>
            <w:vAlign w:val="center"/>
          </w:tcPr>
          <w:p w:rsidR="00704AFA" w:rsidRDefault="00704AFA" w:rsidP="003C5100">
            <w:pPr>
              <w:spacing w:before="120" w:after="120"/>
              <w:jc w:val="center"/>
            </w:pPr>
            <w:r>
              <w:t>YES</w:t>
            </w:r>
          </w:p>
        </w:tc>
      </w:tr>
      <w:tr w:rsidR="00704AFA" w:rsidTr="003C5100">
        <w:tc>
          <w:tcPr>
            <w:tcW w:w="2118" w:type="dxa"/>
          </w:tcPr>
          <w:p w:rsidR="00704AFA" w:rsidRDefault="00704AFA" w:rsidP="002A6E1E">
            <w:pPr>
              <w:spacing w:before="120" w:after="120"/>
              <w:rPr>
                <w:b/>
                <w:lang w:eastAsia="en-AU"/>
              </w:rPr>
            </w:pPr>
            <w:r>
              <w:rPr>
                <w:b/>
                <w:lang w:eastAsia="en-AU"/>
              </w:rPr>
              <w:t xml:space="preserve">Potential </w:t>
            </w:r>
            <w:r w:rsidRPr="00953933">
              <w:rPr>
                <w:b/>
                <w:lang w:eastAsia="en-AU"/>
              </w:rPr>
              <w:t>efficiency improvements</w:t>
            </w:r>
            <w:r w:rsidR="00D65BE9">
              <w:rPr>
                <w:b/>
                <w:lang w:eastAsia="en-AU"/>
              </w:rPr>
              <w:t xml:space="preserve"> (where identified and endorsed)</w:t>
            </w:r>
          </w:p>
        </w:tc>
        <w:tc>
          <w:tcPr>
            <w:tcW w:w="6637" w:type="dxa"/>
          </w:tcPr>
          <w:p w:rsidR="00704AFA" w:rsidRPr="00E05D06" w:rsidRDefault="00704AFA" w:rsidP="00494E98">
            <w:pPr>
              <w:pStyle w:val="ListParagraph"/>
              <w:keepNext/>
              <w:spacing w:before="120"/>
              <w:ind w:left="0"/>
            </w:pPr>
            <w:r w:rsidRPr="00246247">
              <w:rPr>
                <w:lang w:eastAsia="en-AU"/>
              </w:rPr>
              <w:t>In light of the other elements of the</w:t>
            </w:r>
            <w:r w:rsidRPr="00E05D06">
              <w:t xml:space="preserve"> improved governance and management framework, consideration </w:t>
            </w:r>
            <w:r>
              <w:t xml:space="preserve">will </w:t>
            </w:r>
            <w:r w:rsidRPr="00246247">
              <w:t>be</w:t>
            </w:r>
            <w:r>
              <w:t xml:space="preserve"> given to</w:t>
            </w:r>
            <w:r w:rsidRPr="00E05D06">
              <w:t>:</w:t>
            </w:r>
          </w:p>
          <w:p w:rsidR="00704AFA" w:rsidRPr="00E05D06" w:rsidRDefault="00704AFA" w:rsidP="00817CDC">
            <w:pPr>
              <w:pStyle w:val="ListParagraph"/>
              <w:numPr>
                <w:ilvl w:val="0"/>
                <w:numId w:val="27"/>
              </w:numPr>
              <w:spacing w:before="120" w:after="120" w:line="240" w:lineRule="auto"/>
              <w:rPr>
                <w:lang w:eastAsia="en-AU"/>
              </w:rPr>
            </w:pPr>
            <w:r w:rsidRPr="00E05D06">
              <w:rPr>
                <w:lang w:eastAsia="en-AU"/>
              </w:rPr>
              <w:t xml:space="preserve">automated authorisation of access to products through the </w:t>
            </w:r>
            <w:proofErr w:type="spellStart"/>
            <w:r w:rsidR="00003F8A">
              <w:rPr>
                <w:lang w:eastAsia="en-AU"/>
              </w:rPr>
              <w:t>BloodSTAR</w:t>
            </w:r>
            <w:proofErr w:type="spellEnd"/>
            <w:r w:rsidRPr="00E05D06">
              <w:rPr>
                <w:lang w:eastAsia="en-AU"/>
              </w:rPr>
              <w:t xml:space="preserve">, within appropriate safeguards, </w:t>
            </w:r>
            <w:r>
              <w:rPr>
                <w:lang w:eastAsia="en-AU"/>
              </w:rPr>
              <w:t>for</w:t>
            </w:r>
            <w:r w:rsidRPr="00E05D06">
              <w:rPr>
                <w:lang w:eastAsia="en-AU"/>
              </w:rPr>
              <w:t xml:space="preserve"> conditions where use is sufficiently established and indications robust enough to ensure that automated approval is </w:t>
            </w:r>
            <w:r>
              <w:rPr>
                <w:lang w:eastAsia="en-AU"/>
              </w:rPr>
              <w:t>feasible and appropriate</w:t>
            </w:r>
          </w:p>
          <w:p w:rsidR="00704AFA" w:rsidRPr="002468C7" w:rsidRDefault="00704AFA" w:rsidP="00817CDC">
            <w:pPr>
              <w:pStyle w:val="ListParagraph"/>
              <w:numPr>
                <w:ilvl w:val="0"/>
                <w:numId w:val="27"/>
              </w:numPr>
              <w:spacing w:before="120" w:after="120" w:line="240" w:lineRule="auto"/>
              <w:rPr>
                <w:lang w:eastAsia="en-AU"/>
              </w:rPr>
            </w:pPr>
            <w:proofErr w:type="gramStart"/>
            <w:r>
              <w:rPr>
                <w:lang w:eastAsia="en-AU"/>
              </w:rPr>
              <w:t>improved</w:t>
            </w:r>
            <w:proofErr w:type="gramEnd"/>
            <w:r>
              <w:rPr>
                <w:lang w:eastAsia="en-AU"/>
              </w:rPr>
              <w:t xml:space="preserve"> </w:t>
            </w:r>
            <w:r w:rsidRPr="00E05D06">
              <w:rPr>
                <w:lang w:eastAsia="en-AU"/>
              </w:rPr>
              <w:t>efficiency through streamlined product distribution</w:t>
            </w:r>
            <w:r>
              <w:rPr>
                <w:lang w:eastAsia="en-AU"/>
              </w:rPr>
              <w:t xml:space="preserve">, </w:t>
            </w:r>
            <w:proofErr w:type="spellStart"/>
            <w:r>
              <w:rPr>
                <w:lang w:eastAsia="en-AU"/>
              </w:rPr>
              <w:t>ie</w:t>
            </w:r>
            <w:proofErr w:type="spellEnd"/>
            <w:r>
              <w:rPr>
                <w:lang w:eastAsia="en-AU"/>
              </w:rPr>
              <w:t xml:space="preserve">. </w:t>
            </w:r>
            <w:proofErr w:type="gramStart"/>
            <w:r>
              <w:rPr>
                <w:lang w:eastAsia="en-AU"/>
              </w:rPr>
              <w:t>home</w:t>
            </w:r>
            <w:proofErr w:type="gramEnd"/>
            <w:r>
              <w:rPr>
                <w:lang w:eastAsia="en-AU"/>
              </w:rPr>
              <w:t xml:space="preserve"> based delivery</w:t>
            </w:r>
            <w:r w:rsidRPr="00E05D06">
              <w:rPr>
                <w:lang w:eastAsia="en-AU"/>
              </w:rPr>
              <w:t>.</w:t>
            </w:r>
          </w:p>
          <w:p w:rsidR="00704AFA" w:rsidRPr="00A7727E" w:rsidRDefault="00704AFA" w:rsidP="00494E98">
            <w:pPr>
              <w:pStyle w:val="ListParagraph"/>
              <w:spacing w:before="120"/>
              <w:ind w:left="0"/>
            </w:pPr>
          </w:p>
        </w:tc>
        <w:tc>
          <w:tcPr>
            <w:tcW w:w="2268" w:type="dxa"/>
            <w:vAlign w:val="center"/>
          </w:tcPr>
          <w:p w:rsidR="00704AFA" w:rsidRDefault="00704AFA" w:rsidP="003C5100">
            <w:pPr>
              <w:spacing w:before="120" w:after="120"/>
              <w:jc w:val="center"/>
            </w:pPr>
            <w:r>
              <w:t>YES</w:t>
            </w:r>
          </w:p>
        </w:tc>
        <w:tc>
          <w:tcPr>
            <w:tcW w:w="2268" w:type="dxa"/>
            <w:vAlign w:val="center"/>
          </w:tcPr>
          <w:p w:rsidR="00704AFA" w:rsidRDefault="00704AFA" w:rsidP="003C5100">
            <w:pPr>
              <w:spacing w:before="120" w:after="120"/>
              <w:jc w:val="center"/>
            </w:pPr>
            <w:r>
              <w:t>YES</w:t>
            </w:r>
          </w:p>
        </w:tc>
      </w:tr>
    </w:tbl>
    <w:p w:rsidR="00494E98" w:rsidRDefault="00494E98" w:rsidP="002A6E1E">
      <w:pPr>
        <w:spacing w:before="120" w:after="120"/>
      </w:pPr>
    </w:p>
    <w:p w:rsidR="00163D61" w:rsidRPr="005C03DA" w:rsidRDefault="00163D61" w:rsidP="00163D61">
      <w:pPr>
        <w:pStyle w:val="Heading4"/>
        <w:numPr>
          <w:ilvl w:val="0"/>
          <w:numId w:val="0"/>
        </w:numPr>
        <w:spacing w:line="240" w:lineRule="auto"/>
        <w:ind w:left="864" w:hanging="864"/>
        <w:rPr>
          <w:rFonts w:eastAsia="Dotum"/>
          <w:bCs/>
          <w:i/>
          <w:iCs/>
        </w:rPr>
      </w:pPr>
      <w:r w:rsidRPr="005C03DA">
        <w:rPr>
          <w:rFonts w:eastAsia="Dotum"/>
        </w:rPr>
        <w:t>Implementation</w:t>
      </w:r>
      <w:r w:rsidR="00950C1E">
        <w:rPr>
          <w:rFonts w:eastAsia="Dotum"/>
        </w:rPr>
        <w:t xml:space="preserve"> </w:t>
      </w:r>
    </w:p>
    <w:p w:rsidR="00163D61" w:rsidRDefault="00163D61" w:rsidP="00163D61">
      <w:pPr>
        <w:spacing w:before="120"/>
      </w:pPr>
      <w:r>
        <w:lastRenderedPageBreak/>
        <w:t>Implementation of the Program will be managed and coordinated through the NBA, under the policy oversight of governments through the Jurisdictional Blood Committee, and working in conjunction with the range of participants involved in the governance and management of immunoglobulin products including health consumers, clinicians, health services, jurisdictional health departments, and product suppliers, distributors and authorisers.</w:t>
      </w:r>
    </w:p>
    <w:p w:rsidR="00163D61" w:rsidRDefault="00163D61" w:rsidP="00163D61">
      <w:pPr>
        <w:spacing w:before="120"/>
      </w:pPr>
      <w:r>
        <w:t>The specific implementation arrangements may vary according to the circumstances of different jurisdictions or health services, within the objective of ensuring nationally consistent governance and management outcomes.</w:t>
      </w:r>
    </w:p>
    <w:p w:rsidR="00DC6ACB" w:rsidRDefault="00DC6ACB" w:rsidP="00163D61">
      <w:pPr>
        <w:spacing w:before="120"/>
      </w:pPr>
    </w:p>
    <w:p w:rsidR="00163D61" w:rsidRPr="00A7727E" w:rsidRDefault="00163D61" w:rsidP="002A6E1E">
      <w:pPr>
        <w:spacing w:before="120" w:after="120"/>
      </w:pPr>
    </w:p>
    <w:p w:rsidR="002674E9" w:rsidRDefault="002674E9">
      <w:pPr>
        <w:spacing w:after="0" w:line="240" w:lineRule="auto"/>
        <w:sectPr w:rsidR="002674E9" w:rsidSect="00494E98">
          <w:pgSz w:w="16840" w:h="11900" w:orient="landscape"/>
          <w:pgMar w:top="1440" w:right="1440" w:bottom="1440" w:left="1440" w:header="830" w:footer="818" w:gutter="0"/>
          <w:cols w:space="720"/>
          <w:titlePg/>
          <w:docGrid w:linePitch="299"/>
        </w:sectPr>
      </w:pPr>
    </w:p>
    <w:p w:rsidR="007F4036" w:rsidRDefault="005C74BF" w:rsidP="00524CC3">
      <w:pPr>
        <w:pStyle w:val="Heading1"/>
      </w:pPr>
      <w:bookmarkStart w:id="23" w:name="_Toc434574638"/>
      <w:bookmarkStart w:id="24" w:name="_Ref354071885"/>
      <w:bookmarkStart w:id="25" w:name="_Ref354071891"/>
      <w:bookmarkStart w:id="26" w:name="_Ref354071898"/>
      <w:r>
        <w:lastRenderedPageBreak/>
        <w:t xml:space="preserve">Project </w:t>
      </w:r>
      <w:r w:rsidRPr="009141E7">
        <w:t>Scope</w:t>
      </w:r>
      <w:r>
        <w:t xml:space="preserve"> - </w:t>
      </w:r>
      <w:proofErr w:type="spellStart"/>
      <w:r w:rsidR="00003F8A">
        <w:t>BloodSTAR</w:t>
      </w:r>
      <w:bookmarkEnd w:id="23"/>
      <w:proofErr w:type="spellEnd"/>
      <w:r w:rsidR="00494E98">
        <w:t xml:space="preserve"> </w:t>
      </w:r>
      <w:bookmarkEnd w:id="8"/>
      <w:bookmarkEnd w:id="9"/>
      <w:bookmarkEnd w:id="10"/>
      <w:bookmarkEnd w:id="11"/>
      <w:bookmarkEnd w:id="12"/>
      <w:bookmarkEnd w:id="24"/>
      <w:bookmarkEnd w:id="25"/>
      <w:bookmarkEnd w:id="26"/>
    </w:p>
    <w:p w:rsidR="00EA7EDD" w:rsidRDefault="00EA7EDD" w:rsidP="00EA7EDD">
      <w:r>
        <w:t xml:space="preserve">The purpose of </w:t>
      </w:r>
      <w:r w:rsidR="00003F8A">
        <w:t xml:space="preserve">the </w:t>
      </w:r>
      <w:proofErr w:type="spellStart"/>
      <w:r w:rsidR="00003F8A">
        <w:t>BloodSTAR</w:t>
      </w:r>
      <w:proofErr w:type="spellEnd"/>
      <w:r w:rsidR="00003F8A">
        <w:t xml:space="preserve"> d</w:t>
      </w:r>
      <w:r>
        <w:t>evelopment project is to:</w:t>
      </w:r>
    </w:p>
    <w:p w:rsidR="00EA7EDD" w:rsidRDefault="00EA7EDD" w:rsidP="00164DFE">
      <w:pPr>
        <w:pStyle w:val="ListParagraph"/>
        <w:numPr>
          <w:ilvl w:val="0"/>
          <w:numId w:val="27"/>
        </w:numPr>
        <w:spacing w:before="120" w:after="120" w:line="240" w:lineRule="auto"/>
        <w:ind w:left="714" w:hanging="357"/>
        <w:contextualSpacing w:val="0"/>
        <w:rPr>
          <w:lang w:eastAsia="en-AU"/>
        </w:rPr>
      </w:pPr>
      <w:r>
        <w:rPr>
          <w:lang w:eastAsia="en-AU"/>
        </w:rPr>
        <w:t xml:space="preserve">develop a system that enables government policy by delivering efficient, streamlined immunoglobulin product </w:t>
      </w:r>
      <w:r w:rsidR="009D7EC9">
        <w:rPr>
          <w:lang w:eastAsia="en-AU"/>
        </w:rPr>
        <w:t xml:space="preserve">access and </w:t>
      </w:r>
      <w:r>
        <w:rPr>
          <w:lang w:eastAsia="en-AU"/>
        </w:rPr>
        <w:t>use capability across a number of key areas;</w:t>
      </w:r>
    </w:p>
    <w:p w:rsidR="00EA7EDD" w:rsidRDefault="00EA7EDD" w:rsidP="00164DFE">
      <w:pPr>
        <w:pStyle w:val="ListParagraph"/>
        <w:numPr>
          <w:ilvl w:val="0"/>
          <w:numId w:val="27"/>
        </w:numPr>
        <w:spacing w:before="120" w:after="120" w:line="240" w:lineRule="auto"/>
        <w:ind w:left="714" w:hanging="357"/>
        <w:contextualSpacing w:val="0"/>
        <w:rPr>
          <w:lang w:eastAsia="en-AU"/>
        </w:rPr>
      </w:pPr>
      <w:r>
        <w:rPr>
          <w:lang w:eastAsia="en-AU"/>
        </w:rPr>
        <w:t xml:space="preserve">integrate the </w:t>
      </w:r>
      <w:proofErr w:type="spellStart"/>
      <w:r w:rsidR="00003F8A">
        <w:rPr>
          <w:lang w:eastAsia="en-AU"/>
        </w:rPr>
        <w:t>BloodSTAR</w:t>
      </w:r>
      <w:proofErr w:type="spellEnd"/>
      <w:r>
        <w:rPr>
          <w:lang w:eastAsia="en-AU"/>
        </w:rPr>
        <w:t xml:space="preserve"> with NBAs existing blood sector systems;</w:t>
      </w:r>
    </w:p>
    <w:p w:rsidR="00EA7EDD" w:rsidRDefault="00EA7EDD" w:rsidP="00164DFE">
      <w:pPr>
        <w:pStyle w:val="ListParagraph"/>
        <w:numPr>
          <w:ilvl w:val="0"/>
          <w:numId w:val="27"/>
        </w:numPr>
        <w:spacing w:before="120" w:after="120" w:line="240" w:lineRule="auto"/>
        <w:ind w:left="714" w:hanging="357"/>
        <w:contextualSpacing w:val="0"/>
        <w:rPr>
          <w:lang w:eastAsia="en-AU"/>
        </w:rPr>
      </w:pPr>
      <w:r>
        <w:rPr>
          <w:lang w:eastAsia="en-AU"/>
        </w:rPr>
        <w:t xml:space="preserve">develop an elegant solution that </w:t>
      </w:r>
      <w:r w:rsidR="00950C1E">
        <w:rPr>
          <w:lang w:eastAsia="en-AU"/>
        </w:rPr>
        <w:t xml:space="preserve">minimises </w:t>
      </w:r>
      <w:r>
        <w:rPr>
          <w:lang w:eastAsia="en-AU"/>
        </w:rPr>
        <w:t xml:space="preserve">the need for </w:t>
      </w:r>
      <w:r w:rsidR="00950C1E">
        <w:rPr>
          <w:lang w:eastAsia="en-AU"/>
        </w:rPr>
        <w:t>d</w:t>
      </w:r>
      <w:r>
        <w:rPr>
          <w:lang w:eastAsia="en-AU"/>
        </w:rPr>
        <w:t xml:space="preserve">ata </w:t>
      </w:r>
      <w:r w:rsidR="00950C1E">
        <w:rPr>
          <w:lang w:eastAsia="en-AU"/>
        </w:rPr>
        <w:t>m</w:t>
      </w:r>
      <w:r>
        <w:rPr>
          <w:lang w:eastAsia="en-AU"/>
        </w:rPr>
        <w:t>anagement at relevant collection points so the system is stable, effective and relevant to users and produces high quality data; and</w:t>
      </w:r>
    </w:p>
    <w:p w:rsidR="00EA7EDD" w:rsidRDefault="00EA7EDD" w:rsidP="00164DFE">
      <w:pPr>
        <w:pStyle w:val="ListParagraph"/>
        <w:numPr>
          <w:ilvl w:val="0"/>
          <w:numId w:val="27"/>
        </w:numPr>
        <w:spacing w:before="120" w:after="120" w:line="240" w:lineRule="auto"/>
        <w:ind w:left="714" w:hanging="357"/>
        <w:contextualSpacing w:val="0"/>
        <w:rPr>
          <w:lang w:eastAsia="en-AU"/>
        </w:rPr>
      </w:pPr>
      <w:proofErr w:type="gramStart"/>
      <w:r>
        <w:rPr>
          <w:lang w:eastAsia="en-AU"/>
        </w:rPr>
        <w:t>anticipate</w:t>
      </w:r>
      <w:proofErr w:type="gramEnd"/>
      <w:r>
        <w:rPr>
          <w:lang w:eastAsia="en-AU"/>
        </w:rPr>
        <w:t xml:space="preserve"> that future work on NBAs related projects will provide opportunities for further efficiencies in the management of Ig products.</w:t>
      </w:r>
    </w:p>
    <w:p w:rsidR="00EA7EDD" w:rsidRPr="00704AFA" w:rsidRDefault="00003F8A" w:rsidP="00704AFA">
      <w:pPr>
        <w:pStyle w:val="Default"/>
        <w:rPr>
          <w:rFonts w:asciiTheme="minorHAnsi" w:hAnsiTheme="minorHAnsi" w:cstheme="minorHAnsi"/>
          <w:sz w:val="22"/>
          <w:szCs w:val="22"/>
        </w:rPr>
      </w:pPr>
      <w:proofErr w:type="spellStart"/>
      <w:r>
        <w:rPr>
          <w:rFonts w:asciiTheme="minorHAnsi" w:hAnsiTheme="minorHAnsi" w:cstheme="minorHAnsi"/>
          <w:sz w:val="22"/>
          <w:szCs w:val="22"/>
        </w:rPr>
        <w:t>BloodSTAR</w:t>
      </w:r>
      <w:proofErr w:type="spellEnd"/>
      <w:r>
        <w:rPr>
          <w:rFonts w:asciiTheme="minorHAnsi" w:hAnsiTheme="minorHAnsi" w:cstheme="minorHAnsi"/>
          <w:sz w:val="22"/>
          <w:szCs w:val="22"/>
        </w:rPr>
        <w:t xml:space="preserve"> </w:t>
      </w:r>
      <w:r w:rsidR="005E49CF" w:rsidRPr="00704AFA">
        <w:rPr>
          <w:rFonts w:asciiTheme="minorHAnsi" w:hAnsiTheme="minorHAnsi" w:cstheme="minorHAnsi"/>
          <w:sz w:val="22"/>
          <w:szCs w:val="22"/>
        </w:rPr>
        <w:t xml:space="preserve">is an integrated solution </w:t>
      </w:r>
      <w:r w:rsidR="00EA7EDD" w:rsidRPr="00704AFA">
        <w:rPr>
          <w:rFonts w:asciiTheme="minorHAnsi" w:hAnsiTheme="minorHAnsi" w:cstheme="minorHAnsi"/>
          <w:sz w:val="22"/>
          <w:szCs w:val="22"/>
        </w:rPr>
        <w:t xml:space="preserve">designed to serve the needs of 11 </w:t>
      </w:r>
      <w:r w:rsidR="005E49CF" w:rsidRPr="00704AFA">
        <w:rPr>
          <w:rFonts w:asciiTheme="minorHAnsi" w:hAnsiTheme="minorHAnsi" w:cstheme="minorHAnsi"/>
          <w:sz w:val="22"/>
          <w:szCs w:val="22"/>
        </w:rPr>
        <w:t xml:space="preserve">key </w:t>
      </w:r>
      <w:r w:rsidR="00EA7EDD" w:rsidRPr="00704AFA">
        <w:rPr>
          <w:rFonts w:asciiTheme="minorHAnsi" w:hAnsiTheme="minorHAnsi" w:cstheme="minorHAnsi"/>
          <w:sz w:val="22"/>
          <w:szCs w:val="22"/>
        </w:rPr>
        <w:t>stakeholder groups, and will replace the current manual, lar</w:t>
      </w:r>
      <w:r w:rsidR="005E49CF" w:rsidRPr="00704AFA">
        <w:rPr>
          <w:rFonts w:asciiTheme="minorHAnsi" w:hAnsiTheme="minorHAnsi" w:cstheme="minorHAnsi"/>
          <w:sz w:val="22"/>
          <w:szCs w:val="22"/>
        </w:rPr>
        <w:t xml:space="preserve">gely paper based processes. </w:t>
      </w:r>
      <w:r w:rsidR="003F040B" w:rsidRPr="00704AFA">
        <w:rPr>
          <w:rFonts w:asciiTheme="minorHAnsi" w:hAnsiTheme="minorHAnsi" w:cstheme="minorHAnsi"/>
          <w:sz w:val="22"/>
          <w:szCs w:val="22"/>
        </w:rPr>
        <w:t xml:space="preserve">There are anticipated to be 1500 national users of the system covering the areas of </w:t>
      </w:r>
      <w:r w:rsidR="00D65BE9">
        <w:rPr>
          <w:rFonts w:asciiTheme="minorHAnsi" w:hAnsiTheme="minorHAnsi" w:cstheme="minorHAnsi"/>
          <w:sz w:val="22"/>
          <w:szCs w:val="22"/>
        </w:rPr>
        <w:t xml:space="preserve">administration and management, </w:t>
      </w:r>
      <w:r w:rsidR="003F040B" w:rsidRPr="00704AFA">
        <w:rPr>
          <w:rFonts w:asciiTheme="minorHAnsi" w:hAnsiTheme="minorHAnsi" w:cstheme="minorHAnsi"/>
          <w:sz w:val="22"/>
          <w:szCs w:val="22"/>
        </w:rPr>
        <w:t xml:space="preserve">prescribing, authorising, treating, nursing and </w:t>
      </w:r>
      <w:r w:rsidR="00950C1E" w:rsidRPr="00704AFA">
        <w:rPr>
          <w:rFonts w:asciiTheme="minorHAnsi" w:hAnsiTheme="minorHAnsi" w:cstheme="minorHAnsi"/>
          <w:sz w:val="22"/>
          <w:szCs w:val="22"/>
        </w:rPr>
        <w:t xml:space="preserve">the </w:t>
      </w:r>
      <w:r w:rsidR="003F040B" w:rsidRPr="00704AFA">
        <w:rPr>
          <w:rFonts w:asciiTheme="minorHAnsi" w:hAnsiTheme="minorHAnsi" w:cstheme="minorHAnsi"/>
          <w:sz w:val="22"/>
          <w:szCs w:val="22"/>
        </w:rPr>
        <w:t xml:space="preserve">dispensing </w:t>
      </w:r>
      <w:r w:rsidR="00950C1E" w:rsidRPr="00704AFA">
        <w:rPr>
          <w:rFonts w:asciiTheme="minorHAnsi" w:hAnsiTheme="minorHAnsi" w:cstheme="minorHAnsi"/>
          <w:sz w:val="22"/>
          <w:szCs w:val="22"/>
        </w:rPr>
        <w:t xml:space="preserve">of </w:t>
      </w:r>
      <w:r w:rsidR="003F040B" w:rsidRPr="00704AFA">
        <w:rPr>
          <w:rFonts w:asciiTheme="minorHAnsi" w:hAnsiTheme="minorHAnsi" w:cstheme="minorHAnsi"/>
          <w:sz w:val="22"/>
          <w:szCs w:val="22"/>
        </w:rPr>
        <w:t xml:space="preserve">immunoglobulin products.  </w:t>
      </w:r>
      <w:r w:rsidR="005E49CF" w:rsidRPr="00704AFA">
        <w:rPr>
          <w:rFonts w:asciiTheme="minorHAnsi" w:hAnsiTheme="minorHAnsi" w:cstheme="minorHAnsi"/>
          <w:sz w:val="22"/>
          <w:szCs w:val="22"/>
        </w:rPr>
        <w:t xml:space="preserve">The key </w:t>
      </w:r>
      <w:r w:rsidR="00D65BE9">
        <w:rPr>
          <w:rFonts w:asciiTheme="minorHAnsi" w:hAnsiTheme="minorHAnsi" w:cstheme="minorHAnsi"/>
          <w:sz w:val="22"/>
          <w:szCs w:val="22"/>
        </w:rPr>
        <w:t>user</w:t>
      </w:r>
      <w:r w:rsidR="005E49CF" w:rsidRPr="00704AFA">
        <w:rPr>
          <w:rFonts w:asciiTheme="minorHAnsi" w:hAnsiTheme="minorHAnsi" w:cstheme="minorHAnsi"/>
          <w:sz w:val="22"/>
          <w:szCs w:val="22"/>
        </w:rPr>
        <w:t xml:space="preserve"> groups</w:t>
      </w:r>
      <w:r w:rsidR="00EA7EDD" w:rsidRPr="00704AFA">
        <w:rPr>
          <w:rFonts w:asciiTheme="minorHAnsi" w:hAnsiTheme="minorHAnsi" w:cstheme="minorHAnsi"/>
          <w:sz w:val="22"/>
          <w:szCs w:val="22"/>
        </w:rPr>
        <w:t xml:space="preserve"> include:</w:t>
      </w:r>
    </w:p>
    <w:p w:rsidR="00EA7EDD" w:rsidRPr="00176412" w:rsidRDefault="00D65BE9" w:rsidP="00BB2FE9">
      <w:pPr>
        <w:pStyle w:val="ListParagraph"/>
        <w:numPr>
          <w:ilvl w:val="0"/>
          <w:numId w:val="6"/>
        </w:numPr>
        <w:spacing w:line="240" w:lineRule="auto"/>
      </w:pPr>
      <w:bookmarkStart w:id="27" w:name="_Ref412794346"/>
      <w:r>
        <w:t>Program</w:t>
      </w:r>
      <w:r w:rsidR="00EA06E6" w:rsidRPr="00176412">
        <w:t xml:space="preserve"> </w:t>
      </w:r>
      <w:r w:rsidR="00650796" w:rsidRPr="00176412">
        <w:t>Governance</w:t>
      </w:r>
      <w:bookmarkEnd w:id="27"/>
    </w:p>
    <w:p w:rsidR="00EA7EDD" w:rsidRPr="00176412" w:rsidRDefault="003F040B" w:rsidP="00817CDC">
      <w:pPr>
        <w:pStyle w:val="ListParagraph"/>
        <w:numPr>
          <w:ilvl w:val="1"/>
          <w:numId w:val="28"/>
        </w:numPr>
        <w:spacing w:line="240" w:lineRule="auto"/>
      </w:pPr>
      <w:r w:rsidRPr="00176412">
        <w:t xml:space="preserve">Criteria Management </w:t>
      </w:r>
      <w:r w:rsidR="00D65BE9">
        <w:t xml:space="preserve"> (NBA)</w:t>
      </w:r>
    </w:p>
    <w:p w:rsidR="003F040B" w:rsidRPr="00176412" w:rsidRDefault="00EA06E6" w:rsidP="00817CDC">
      <w:pPr>
        <w:pStyle w:val="ListParagraph"/>
        <w:numPr>
          <w:ilvl w:val="1"/>
          <w:numId w:val="28"/>
        </w:numPr>
        <w:spacing w:line="240" w:lineRule="auto"/>
      </w:pPr>
      <w:r w:rsidRPr="00176412">
        <w:t>System Administrator</w:t>
      </w:r>
      <w:r w:rsidR="00D65BE9">
        <w:t xml:space="preserve"> (NBA)</w:t>
      </w:r>
    </w:p>
    <w:p w:rsidR="003F040B" w:rsidRPr="00176412" w:rsidRDefault="00EA06E6" w:rsidP="00817CDC">
      <w:pPr>
        <w:pStyle w:val="ListParagraph"/>
        <w:numPr>
          <w:ilvl w:val="1"/>
          <w:numId w:val="28"/>
        </w:numPr>
        <w:spacing w:line="240" w:lineRule="auto"/>
      </w:pPr>
      <w:r w:rsidRPr="00176412">
        <w:t>Data team</w:t>
      </w:r>
      <w:r w:rsidR="00D65BE9">
        <w:t xml:space="preserve"> (NBA)</w:t>
      </w:r>
    </w:p>
    <w:p w:rsidR="00EA7EDD" w:rsidRPr="00176412" w:rsidRDefault="00EA06E6" w:rsidP="00BB2FE9">
      <w:pPr>
        <w:pStyle w:val="ListParagraph"/>
        <w:numPr>
          <w:ilvl w:val="0"/>
          <w:numId w:val="6"/>
        </w:numPr>
        <w:spacing w:line="240" w:lineRule="auto"/>
      </w:pPr>
      <w:r w:rsidRPr="00176412">
        <w:t>Hospital Governance</w:t>
      </w:r>
    </w:p>
    <w:p w:rsidR="00EA7EDD" w:rsidRPr="00176412" w:rsidRDefault="00A20F16" w:rsidP="00817CDC">
      <w:pPr>
        <w:pStyle w:val="ListParagraph"/>
        <w:numPr>
          <w:ilvl w:val="1"/>
          <w:numId w:val="29"/>
        </w:numPr>
        <w:spacing w:line="240" w:lineRule="auto"/>
      </w:pPr>
      <w:r w:rsidRPr="00176412">
        <w:t xml:space="preserve"> </w:t>
      </w:r>
      <w:r w:rsidR="00EA06E6" w:rsidRPr="00176412">
        <w:t>Facility Manager</w:t>
      </w:r>
    </w:p>
    <w:p w:rsidR="00EA7EDD" w:rsidRDefault="00A20F16" w:rsidP="00BB2FE9">
      <w:pPr>
        <w:pStyle w:val="ListParagraph"/>
        <w:numPr>
          <w:ilvl w:val="0"/>
          <w:numId w:val="6"/>
        </w:numPr>
        <w:spacing w:line="240" w:lineRule="auto"/>
      </w:pPr>
      <w:r>
        <w:t xml:space="preserve">Prescribers </w:t>
      </w:r>
      <w:r w:rsidR="00EA7EDD">
        <w:t>(Consultants</w:t>
      </w:r>
      <w:r w:rsidR="00EA06E6">
        <w:t xml:space="preserve">, </w:t>
      </w:r>
      <w:r w:rsidR="00176412">
        <w:t xml:space="preserve">Treating </w:t>
      </w:r>
      <w:r w:rsidR="00EA06E6">
        <w:t xml:space="preserve">Specialists, Medical Officers, </w:t>
      </w:r>
      <w:r w:rsidR="00EA7EDD">
        <w:t>Health Professionals</w:t>
      </w:r>
      <w:r w:rsidR="00EA06E6">
        <w:t xml:space="preserve"> </w:t>
      </w:r>
      <w:r w:rsidR="00F81A6D">
        <w:t xml:space="preserve">, </w:t>
      </w:r>
      <w:r w:rsidR="00EA06E6">
        <w:t>Nurse Practitioners</w:t>
      </w:r>
      <w:r w:rsidR="00F81A6D">
        <w:t xml:space="preserve"> and Midwife Practitioners</w:t>
      </w:r>
      <w:r w:rsidR="00EA7EDD">
        <w:t>)</w:t>
      </w:r>
    </w:p>
    <w:p w:rsidR="00EA7EDD" w:rsidRDefault="00A20F16" w:rsidP="00BB2FE9">
      <w:pPr>
        <w:pStyle w:val="ListParagraph"/>
        <w:numPr>
          <w:ilvl w:val="0"/>
          <w:numId w:val="6"/>
        </w:numPr>
        <w:spacing w:line="240" w:lineRule="auto"/>
      </w:pPr>
      <w:r w:rsidRPr="00A20F16">
        <w:t>Authorisers</w:t>
      </w:r>
      <w:r>
        <w:rPr>
          <w:caps/>
        </w:rPr>
        <w:t xml:space="preserve"> </w:t>
      </w:r>
      <w:r w:rsidR="00EA7EDD">
        <w:t>(Blood Service)</w:t>
      </w:r>
    </w:p>
    <w:p w:rsidR="00EA7EDD" w:rsidRDefault="00A20F16" w:rsidP="00BB2FE9">
      <w:pPr>
        <w:pStyle w:val="ListParagraph"/>
        <w:numPr>
          <w:ilvl w:val="0"/>
          <w:numId w:val="6"/>
        </w:numPr>
        <w:spacing w:line="240" w:lineRule="auto"/>
      </w:pPr>
      <w:r>
        <w:t>Nurses</w:t>
      </w:r>
      <w:r w:rsidR="001474D2">
        <w:fldChar w:fldCharType="begin"/>
      </w:r>
      <w:r w:rsidR="001474D2">
        <w:instrText xml:space="preserve"> REF _Ref410298905 \h </w:instrText>
      </w:r>
      <w:r w:rsidR="001474D2">
        <w:fldChar w:fldCharType="end"/>
      </w:r>
      <w:r w:rsidR="00EA7EDD">
        <w:t xml:space="preserve"> </w:t>
      </w:r>
      <w:r w:rsidR="00F81A6D">
        <w:t xml:space="preserve">and Midwives </w:t>
      </w:r>
      <w:r w:rsidR="00EA7EDD">
        <w:t>(Transfusion Nurses, Registered Nurses</w:t>
      </w:r>
      <w:r w:rsidR="00F81A6D">
        <w:t>, Registered Midwives</w:t>
      </w:r>
      <w:r w:rsidR="00EA7EDD">
        <w:t>)</w:t>
      </w:r>
    </w:p>
    <w:p w:rsidR="00EA7EDD" w:rsidRDefault="00A20F16" w:rsidP="00BB2FE9">
      <w:pPr>
        <w:pStyle w:val="ListParagraph"/>
        <w:numPr>
          <w:ilvl w:val="0"/>
          <w:numId w:val="6"/>
        </w:numPr>
        <w:spacing w:line="240" w:lineRule="auto"/>
      </w:pPr>
      <w:r>
        <w:t xml:space="preserve">Dispensers </w:t>
      </w:r>
      <w:r w:rsidR="00EA7EDD">
        <w:t>(Transfusion Scientists, Blood Bank Laboratory staff)</w:t>
      </w:r>
    </w:p>
    <w:p w:rsidR="00EA7EDD" w:rsidRDefault="00A20F16" w:rsidP="00BB2FE9">
      <w:pPr>
        <w:pStyle w:val="ListParagraph"/>
        <w:numPr>
          <w:ilvl w:val="0"/>
          <w:numId w:val="6"/>
        </w:numPr>
        <w:spacing w:line="240" w:lineRule="auto"/>
      </w:pPr>
      <w:bookmarkStart w:id="28" w:name="_Ref412794354"/>
      <w:r>
        <w:t xml:space="preserve">Patients </w:t>
      </w:r>
      <w:r w:rsidR="00EA7EDD">
        <w:t>(General Population)</w:t>
      </w:r>
      <w:bookmarkEnd w:id="28"/>
    </w:p>
    <w:p w:rsidR="00176412" w:rsidRPr="00704AFA" w:rsidRDefault="005E49CF" w:rsidP="00704AFA">
      <w:pPr>
        <w:pStyle w:val="Default"/>
        <w:rPr>
          <w:rFonts w:asciiTheme="minorHAnsi" w:hAnsiTheme="minorHAnsi" w:cstheme="minorHAnsi"/>
          <w:sz w:val="22"/>
          <w:szCs w:val="22"/>
        </w:rPr>
      </w:pPr>
      <w:r w:rsidRPr="00704AFA">
        <w:rPr>
          <w:rFonts w:asciiTheme="minorHAnsi" w:hAnsiTheme="minorHAnsi" w:cstheme="minorHAnsi"/>
          <w:sz w:val="22"/>
          <w:szCs w:val="22"/>
        </w:rPr>
        <w:t xml:space="preserve">The key </w:t>
      </w:r>
      <w:r w:rsidR="00F628AB">
        <w:rPr>
          <w:rFonts w:asciiTheme="minorHAnsi" w:hAnsiTheme="minorHAnsi" w:cstheme="minorHAnsi"/>
          <w:sz w:val="22"/>
          <w:szCs w:val="22"/>
        </w:rPr>
        <w:t>user</w:t>
      </w:r>
      <w:r w:rsidRPr="00704AFA">
        <w:rPr>
          <w:rFonts w:asciiTheme="minorHAnsi" w:hAnsiTheme="minorHAnsi" w:cstheme="minorHAnsi"/>
          <w:sz w:val="22"/>
          <w:szCs w:val="22"/>
        </w:rPr>
        <w:t xml:space="preserve"> groups identified in points </w:t>
      </w:r>
      <w:r w:rsidR="006F55C3">
        <w:rPr>
          <w:rFonts w:asciiTheme="minorHAnsi" w:hAnsiTheme="minorHAnsi" w:cstheme="minorHAnsi"/>
          <w:sz w:val="22"/>
          <w:szCs w:val="22"/>
        </w:rPr>
        <w:t>C</w:t>
      </w:r>
      <w:r w:rsidR="001A1A52" w:rsidRPr="00704AFA">
        <w:rPr>
          <w:rFonts w:asciiTheme="minorHAnsi" w:hAnsiTheme="minorHAnsi" w:cstheme="minorHAnsi"/>
          <w:sz w:val="22"/>
          <w:szCs w:val="22"/>
        </w:rPr>
        <w:t>-</w:t>
      </w:r>
      <w:r w:rsidR="001A1A52" w:rsidRPr="00704AFA">
        <w:rPr>
          <w:rFonts w:asciiTheme="minorHAnsi" w:hAnsiTheme="minorHAnsi" w:cstheme="minorHAnsi"/>
          <w:sz w:val="22"/>
          <w:szCs w:val="22"/>
        </w:rPr>
        <w:fldChar w:fldCharType="begin"/>
      </w:r>
      <w:r w:rsidR="001A1A52" w:rsidRPr="00704AFA">
        <w:rPr>
          <w:rFonts w:asciiTheme="minorHAnsi" w:hAnsiTheme="minorHAnsi" w:cstheme="minorHAnsi"/>
          <w:sz w:val="22"/>
          <w:szCs w:val="22"/>
        </w:rPr>
        <w:instrText xml:space="preserve"> REF _Ref412794354 \r \h </w:instrText>
      </w:r>
      <w:r w:rsidR="00704AFA">
        <w:rPr>
          <w:rFonts w:asciiTheme="minorHAnsi" w:hAnsiTheme="minorHAnsi" w:cstheme="minorHAnsi"/>
          <w:sz w:val="22"/>
          <w:szCs w:val="22"/>
        </w:rPr>
        <w:instrText xml:space="preserve"> \* MERGEFORMAT </w:instrText>
      </w:r>
      <w:r w:rsidR="001A1A52" w:rsidRPr="00704AFA">
        <w:rPr>
          <w:rFonts w:asciiTheme="minorHAnsi" w:hAnsiTheme="minorHAnsi" w:cstheme="minorHAnsi"/>
          <w:sz w:val="22"/>
          <w:szCs w:val="22"/>
        </w:rPr>
      </w:r>
      <w:r w:rsidR="001A1A52" w:rsidRPr="00704AFA">
        <w:rPr>
          <w:rFonts w:asciiTheme="minorHAnsi" w:hAnsiTheme="minorHAnsi" w:cstheme="minorHAnsi"/>
          <w:sz w:val="22"/>
          <w:szCs w:val="22"/>
        </w:rPr>
        <w:fldChar w:fldCharType="separate"/>
      </w:r>
      <w:r w:rsidR="007C3A85">
        <w:rPr>
          <w:rFonts w:asciiTheme="minorHAnsi" w:hAnsiTheme="minorHAnsi" w:cstheme="minorHAnsi"/>
          <w:sz w:val="22"/>
          <w:szCs w:val="22"/>
        </w:rPr>
        <w:t>G</w:t>
      </w:r>
      <w:r w:rsidR="001A1A52" w:rsidRPr="00704AFA">
        <w:rPr>
          <w:rFonts w:asciiTheme="minorHAnsi" w:hAnsiTheme="minorHAnsi" w:cstheme="minorHAnsi"/>
          <w:sz w:val="22"/>
          <w:szCs w:val="22"/>
        </w:rPr>
        <w:fldChar w:fldCharType="end"/>
      </w:r>
      <w:r w:rsidRPr="00704AFA">
        <w:rPr>
          <w:rFonts w:asciiTheme="minorHAnsi" w:hAnsiTheme="minorHAnsi" w:cstheme="minorHAnsi"/>
          <w:sz w:val="22"/>
          <w:szCs w:val="22"/>
        </w:rPr>
        <w:t xml:space="preserve"> above will </w:t>
      </w:r>
      <w:r w:rsidR="00102DED" w:rsidRPr="00704AFA">
        <w:rPr>
          <w:rFonts w:asciiTheme="minorHAnsi" w:hAnsiTheme="minorHAnsi" w:cstheme="minorHAnsi"/>
          <w:sz w:val="22"/>
          <w:szCs w:val="22"/>
        </w:rPr>
        <w:t>collect</w:t>
      </w:r>
      <w:r w:rsidRPr="00704AFA">
        <w:rPr>
          <w:rFonts w:asciiTheme="minorHAnsi" w:hAnsiTheme="minorHAnsi" w:cstheme="minorHAnsi"/>
          <w:sz w:val="22"/>
          <w:szCs w:val="22"/>
        </w:rPr>
        <w:t xml:space="preserve"> information in </w:t>
      </w:r>
      <w:proofErr w:type="spellStart"/>
      <w:r w:rsidR="001D735F">
        <w:rPr>
          <w:rFonts w:asciiTheme="minorHAnsi" w:hAnsiTheme="minorHAnsi" w:cstheme="minorHAnsi"/>
          <w:sz w:val="22"/>
          <w:szCs w:val="22"/>
        </w:rPr>
        <w:t>BloodSTAR</w:t>
      </w:r>
      <w:proofErr w:type="spellEnd"/>
      <w:r w:rsidR="00C01AF2" w:rsidRPr="00704AFA">
        <w:rPr>
          <w:rFonts w:asciiTheme="minorHAnsi" w:hAnsiTheme="minorHAnsi" w:cstheme="minorHAnsi"/>
          <w:sz w:val="22"/>
          <w:szCs w:val="22"/>
        </w:rPr>
        <w:t xml:space="preserve">, in order to perform their roles </w:t>
      </w:r>
      <w:r w:rsidR="001D735F">
        <w:rPr>
          <w:rFonts w:asciiTheme="minorHAnsi" w:hAnsiTheme="minorHAnsi" w:cstheme="minorHAnsi"/>
          <w:sz w:val="22"/>
          <w:szCs w:val="22"/>
        </w:rPr>
        <w:t xml:space="preserve">for access to the </w:t>
      </w:r>
      <w:r w:rsidR="00C01AF2" w:rsidRPr="00704AFA">
        <w:rPr>
          <w:rFonts w:asciiTheme="minorHAnsi" w:hAnsiTheme="minorHAnsi" w:cstheme="minorHAnsi"/>
          <w:sz w:val="22"/>
          <w:szCs w:val="22"/>
        </w:rPr>
        <w:t xml:space="preserve">supply </w:t>
      </w:r>
      <w:r w:rsidR="001D735F">
        <w:rPr>
          <w:rFonts w:asciiTheme="minorHAnsi" w:hAnsiTheme="minorHAnsi" w:cstheme="minorHAnsi"/>
          <w:sz w:val="22"/>
          <w:szCs w:val="22"/>
        </w:rPr>
        <w:t>of product funded under the national blood arrangements.</w:t>
      </w:r>
    </w:p>
    <w:p w:rsidR="005E49CF" w:rsidRPr="00704AFA" w:rsidRDefault="001D735F" w:rsidP="00704AFA">
      <w:pPr>
        <w:pStyle w:val="Default"/>
        <w:rPr>
          <w:rFonts w:asciiTheme="minorHAnsi" w:hAnsiTheme="minorHAnsi" w:cstheme="minorHAnsi"/>
          <w:sz w:val="22"/>
          <w:szCs w:val="22"/>
        </w:rPr>
      </w:pPr>
      <w:proofErr w:type="spellStart"/>
      <w:r>
        <w:rPr>
          <w:rFonts w:asciiTheme="minorHAnsi" w:hAnsiTheme="minorHAnsi" w:cstheme="minorHAnsi"/>
          <w:sz w:val="22"/>
          <w:szCs w:val="22"/>
        </w:rPr>
        <w:t>BloodSTAR</w:t>
      </w:r>
      <w:proofErr w:type="spellEnd"/>
      <w:r w:rsidR="005E49CF" w:rsidRPr="00704AFA">
        <w:rPr>
          <w:rFonts w:asciiTheme="minorHAnsi" w:hAnsiTheme="minorHAnsi" w:cstheme="minorHAnsi"/>
          <w:sz w:val="22"/>
          <w:szCs w:val="22"/>
        </w:rPr>
        <w:t xml:space="preserve"> will be integrated with </w:t>
      </w:r>
      <w:proofErr w:type="spellStart"/>
      <w:r w:rsidR="005E49CF" w:rsidRPr="00704AFA">
        <w:rPr>
          <w:rFonts w:asciiTheme="minorHAnsi" w:hAnsiTheme="minorHAnsi" w:cstheme="minorHAnsi"/>
          <w:sz w:val="22"/>
          <w:szCs w:val="22"/>
        </w:rPr>
        <w:t>BloodNet</w:t>
      </w:r>
      <w:proofErr w:type="spellEnd"/>
      <w:r w:rsidR="005E49CF" w:rsidRPr="00704AFA">
        <w:rPr>
          <w:rFonts w:asciiTheme="minorHAnsi" w:hAnsiTheme="minorHAnsi" w:cstheme="minorHAnsi"/>
          <w:sz w:val="22"/>
          <w:szCs w:val="22"/>
        </w:rPr>
        <w:t xml:space="preserve">, the NBAs blood product ordering and receipting system </w:t>
      </w:r>
      <w:r w:rsidR="001A1A52" w:rsidRPr="00704AFA">
        <w:rPr>
          <w:rFonts w:asciiTheme="minorHAnsi" w:hAnsiTheme="minorHAnsi" w:cstheme="minorHAnsi"/>
          <w:sz w:val="22"/>
          <w:szCs w:val="22"/>
        </w:rPr>
        <w:t>which is</w:t>
      </w:r>
      <w:r w:rsidR="00176412" w:rsidRPr="00704AFA">
        <w:rPr>
          <w:rFonts w:asciiTheme="minorHAnsi" w:hAnsiTheme="minorHAnsi" w:cstheme="minorHAnsi"/>
          <w:sz w:val="22"/>
          <w:szCs w:val="22"/>
        </w:rPr>
        <w:t xml:space="preserve"> </w:t>
      </w:r>
      <w:r w:rsidR="005E49CF" w:rsidRPr="00704AFA">
        <w:rPr>
          <w:rFonts w:asciiTheme="minorHAnsi" w:hAnsiTheme="minorHAnsi" w:cstheme="minorHAnsi"/>
          <w:sz w:val="22"/>
          <w:szCs w:val="22"/>
        </w:rPr>
        <w:t>interface</w:t>
      </w:r>
      <w:r w:rsidR="001A1A52" w:rsidRPr="00704AFA">
        <w:rPr>
          <w:rFonts w:asciiTheme="minorHAnsi" w:hAnsiTheme="minorHAnsi" w:cstheme="minorHAnsi"/>
          <w:sz w:val="22"/>
          <w:szCs w:val="22"/>
        </w:rPr>
        <w:t>d</w:t>
      </w:r>
      <w:r w:rsidR="005E49CF" w:rsidRPr="00704AFA">
        <w:rPr>
          <w:rFonts w:asciiTheme="minorHAnsi" w:hAnsiTheme="minorHAnsi" w:cstheme="minorHAnsi"/>
          <w:sz w:val="22"/>
          <w:szCs w:val="22"/>
        </w:rPr>
        <w:t xml:space="preserve"> (where available) with</w:t>
      </w:r>
      <w:r w:rsidR="00C01AF2" w:rsidRPr="00704AFA">
        <w:rPr>
          <w:rFonts w:asciiTheme="minorHAnsi" w:hAnsiTheme="minorHAnsi" w:cstheme="minorHAnsi"/>
          <w:sz w:val="22"/>
          <w:szCs w:val="22"/>
        </w:rPr>
        <w:t xml:space="preserve"> Laboratory Information Systems</w:t>
      </w:r>
      <w:r w:rsidR="00B77CFD" w:rsidRPr="00704AFA">
        <w:rPr>
          <w:rFonts w:asciiTheme="minorHAnsi" w:hAnsiTheme="minorHAnsi" w:cstheme="minorHAnsi"/>
          <w:sz w:val="22"/>
          <w:szCs w:val="22"/>
        </w:rPr>
        <w:t xml:space="preserve"> (LIS)</w:t>
      </w:r>
      <w:r w:rsidR="00C01AF2" w:rsidRPr="00704AFA">
        <w:rPr>
          <w:rFonts w:asciiTheme="minorHAnsi" w:hAnsiTheme="minorHAnsi" w:cstheme="minorHAnsi"/>
          <w:sz w:val="22"/>
          <w:szCs w:val="22"/>
        </w:rPr>
        <w:t xml:space="preserve">, where data matching will enable the </w:t>
      </w:r>
      <w:r w:rsidR="00176412" w:rsidRPr="00704AFA">
        <w:rPr>
          <w:rFonts w:asciiTheme="minorHAnsi" w:hAnsiTheme="minorHAnsi" w:cstheme="minorHAnsi"/>
          <w:sz w:val="22"/>
          <w:szCs w:val="22"/>
        </w:rPr>
        <w:t xml:space="preserve">recording and </w:t>
      </w:r>
      <w:r w:rsidR="001A1A52" w:rsidRPr="00704AFA">
        <w:rPr>
          <w:rFonts w:asciiTheme="minorHAnsi" w:hAnsiTheme="minorHAnsi" w:cstheme="minorHAnsi"/>
          <w:sz w:val="22"/>
          <w:szCs w:val="22"/>
        </w:rPr>
        <w:t xml:space="preserve">automated </w:t>
      </w:r>
      <w:r w:rsidR="00C01AF2" w:rsidRPr="00704AFA">
        <w:rPr>
          <w:rFonts w:asciiTheme="minorHAnsi" w:hAnsiTheme="minorHAnsi" w:cstheme="minorHAnsi"/>
          <w:sz w:val="22"/>
          <w:szCs w:val="22"/>
        </w:rPr>
        <w:t xml:space="preserve">reconciliation of product dispensing </w:t>
      </w:r>
      <w:r w:rsidR="00B77CFD" w:rsidRPr="00704AFA">
        <w:rPr>
          <w:rFonts w:asciiTheme="minorHAnsi" w:hAnsiTheme="minorHAnsi" w:cstheme="minorHAnsi"/>
          <w:sz w:val="22"/>
          <w:szCs w:val="22"/>
        </w:rPr>
        <w:t>events</w:t>
      </w:r>
      <w:r w:rsidR="00C01AF2" w:rsidRPr="00704AFA">
        <w:rPr>
          <w:rFonts w:asciiTheme="minorHAnsi" w:hAnsiTheme="minorHAnsi" w:cstheme="minorHAnsi"/>
          <w:sz w:val="22"/>
          <w:szCs w:val="22"/>
        </w:rPr>
        <w:t>.</w:t>
      </w:r>
      <w:r w:rsidR="009F15A7" w:rsidRPr="00704AFA">
        <w:rPr>
          <w:rFonts w:asciiTheme="minorHAnsi" w:hAnsiTheme="minorHAnsi" w:cstheme="minorHAnsi"/>
          <w:sz w:val="22"/>
          <w:szCs w:val="22"/>
        </w:rPr>
        <w:t xml:space="preserve">  </w:t>
      </w:r>
      <w:proofErr w:type="spellStart"/>
      <w:r w:rsidR="009F15A7" w:rsidRPr="00704AFA">
        <w:rPr>
          <w:rFonts w:asciiTheme="minorHAnsi" w:hAnsiTheme="minorHAnsi" w:cstheme="minorHAnsi"/>
          <w:sz w:val="22"/>
          <w:szCs w:val="22"/>
        </w:rPr>
        <w:t>BloodNet</w:t>
      </w:r>
      <w:proofErr w:type="spellEnd"/>
      <w:r w:rsidR="009F15A7" w:rsidRPr="00704AFA">
        <w:rPr>
          <w:rFonts w:asciiTheme="minorHAnsi" w:hAnsiTheme="minorHAnsi" w:cstheme="minorHAnsi"/>
          <w:sz w:val="22"/>
          <w:szCs w:val="22"/>
        </w:rPr>
        <w:t xml:space="preserve"> is integrated with </w:t>
      </w:r>
      <w:proofErr w:type="spellStart"/>
      <w:r>
        <w:rPr>
          <w:rFonts w:asciiTheme="minorHAnsi" w:hAnsiTheme="minorHAnsi" w:cstheme="minorHAnsi"/>
          <w:sz w:val="22"/>
          <w:szCs w:val="22"/>
        </w:rPr>
        <w:t>BloodSTAR</w:t>
      </w:r>
      <w:proofErr w:type="spellEnd"/>
      <w:r w:rsidR="009F15A7" w:rsidRPr="00704AFA">
        <w:rPr>
          <w:rFonts w:asciiTheme="minorHAnsi" w:hAnsiTheme="minorHAnsi" w:cstheme="minorHAnsi"/>
          <w:sz w:val="22"/>
          <w:szCs w:val="22"/>
        </w:rPr>
        <w:t xml:space="preserve"> to manage supply of Ig product to authorised patients.</w:t>
      </w:r>
    </w:p>
    <w:p w:rsidR="00F63DD9" w:rsidRPr="00130AFC" w:rsidRDefault="00444F47" w:rsidP="00704AFA">
      <w:pPr>
        <w:pStyle w:val="Default"/>
        <w:rPr>
          <w:rFonts w:asciiTheme="minorHAnsi" w:hAnsiTheme="minorHAnsi" w:cstheme="minorHAnsi"/>
          <w:sz w:val="22"/>
          <w:szCs w:val="22"/>
        </w:rPr>
      </w:pPr>
      <w:r w:rsidRPr="00704AFA">
        <w:rPr>
          <w:rFonts w:asciiTheme="minorHAnsi" w:hAnsiTheme="minorHAnsi" w:cstheme="minorHAnsi"/>
          <w:sz w:val="22"/>
          <w:szCs w:val="22"/>
        </w:rPr>
        <w:t xml:space="preserve">Data from </w:t>
      </w:r>
      <w:proofErr w:type="spellStart"/>
      <w:r w:rsidR="001D735F">
        <w:rPr>
          <w:rFonts w:asciiTheme="minorHAnsi" w:hAnsiTheme="minorHAnsi" w:cstheme="minorHAnsi"/>
          <w:sz w:val="22"/>
          <w:szCs w:val="22"/>
        </w:rPr>
        <w:t>BloodSTAR</w:t>
      </w:r>
      <w:proofErr w:type="spellEnd"/>
      <w:r w:rsidRPr="00704AFA">
        <w:rPr>
          <w:rFonts w:asciiTheme="minorHAnsi" w:hAnsiTheme="minorHAnsi" w:cstheme="minorHAnsi"/>
          <w:sz w:val="22"/>
          <w:szCs w:val="22"/>
        </w:rPr>
        <w:t xml:space="preserve"> will be aggregated to report on the </w:t>
      </w:r>
      <w:r w:rsidR="000D36F5" w:rsidRPr="00704AFA">
        <w:rPr>
          <w:rFonts w:asciiTheme="minorHAnsi" w:hAnsiTheme="minorHAnsi" w:cstheme="minorHAnsi"/>
          <w:sz w:val="22"/>
          <w:szCs w:val="22"/>
        </w:rPr>
        <w:t>use</w:t>
      </w:r>
      <w:r w:rsidR="000D36F5" w:rsidRPr="00FF5EE5">
        <w:rPr>
          <w:rFonts w:asciiTheme="minorHAnsi" w:hAnsiTheme="minorHAnsi" w:cstheme="minorHAnsi"/>
          <w:sz w:val="22"/>
          <w:szCs w:val="22"/>
          <w:vertAlign w:val="superscript"/>
        </w:rPr>
        <w:footnoteReference w:id="4"/>
      </w:r>
      <w:r w:rsidR="000D36F5" w:rsidRPr="00FF5EE5">
        <w:rPr>
          <w:rFonts w:asciiTheme="minorHAnsi" w:hAnsiTheme="minorHAnsi" w:cstheme="minorHAnsi"/>
          <w:sz w:val="22"/>
          <w:szCs w:val="22"/>
          <w:vertAlign w:val="superscript"/>
        </w:rPr>
        <w:t xml:space="preserve"> </w:t>
      </w:r>
      <w:r w:rsidRPr="00704AFA">
        <w:rPr>
          <w:rFonts w:asciiTheme="minorHAnsi" w:hAnsiTheme="minorHAnsi" w:cstheme="minorHAnsi"/>
          <w:sz w:val="22"/>
          <w:szCs w:val="22"/>
        </w:rPr>
        <w:t xml:space="preserve">of immunoglobulin under the national blood arrangements.  Summary level </w:t>
      </w:r>
      <w:r w:rsidR="00064EDE" w:rsidRPr="00704AFA">
        <w:rPr>
          <w:rFonts w:asciiTheme="minorHAnsi" w:hAnsiTheme="minorHAnsi" w:cstheme="minorHAnsi"/>
          <w:sz w:val="22"/>
          <w:szCs w:val="22"/>
        </w:rPr>
        <w:t>data</w:t>
      </w:r>
      <w:r w:rsidRPr="00704AFA">
        <w:rPr>
          <w:rFonts w:asciiTheme="minorHAnsi" w:hAnsiTheme="minorHAnsi" w:cstheme="minorHAnsi"/>
          <w:sz w:val="22"/>
          <w:szCs w:val="22"/>
        </w:rPr>
        <w:t xml:space="preserve"> will be analysed to </w:t>
      </w:r>
      <w:r w:rsidR="00F63DD9" w:rsidRPr="00704AFA">
        <w:rPr>
          <w:rFonts w:asciiTheme="minorHAnsi" w:hAnsiTheme="minorHAnsi" w:cstheme="minorHAnsi"/>
          <w:sz w:val="22"/>
          <w:szCs w:val="22"/>
        </w:rPr>
        <w:t>set and monitor policy parameters for contracting the supply and distribution of products.  Summary level data will also</w:t>
      </w:r>
      <w:r w:rsidRPr="00704AFA">
        <w:rPr>
          <w:rFonts w:asciiTheme="minorHAnsi" w:hAnsiTheme="minorHAnsi" w:cstheme="minorHAnsi"/>
          <w:sz w:val="22"/>
          <w:szCs w:val="22"/>
        </w:rPr>
        <w:t xml:space="preserve"> </w:t>
      </w:r>
      <w:r w:rsidR="00F63DD9" w:rsidRPr="00704AFA">
        <w:rPr>
          <w:rFonts w:asciiTheme="minorHAnsi" w:hAnsiTheme="minorHAnsi" w:cstheme="minorHAnsi"/>
          <w:sz w:val="22"/>
          <w:szCs w:val="22"/>
        </w:rPr>
        <w:t>inform</w:t>
      </w:r>
      <w:r w:rsidRPr="00704AFA">
        <w:rPr>
          <w:rFonts w:asciiTheme="minorHAnsi" w:hAnsiTheme="minorHAnsi" w:cstheme="minorHAnsi"/>
          <w:sz w:val="22"/>
          <w:szCs w:val="22"/>
        </w:rPr>
        <w:t xml:space="preserve"> benchmarking </w:t>
      </w:r>
      <w:r w:rsidR="00F63DD9" w:rsidRPr="00704AFA">
        <w:rPr>
          <w:rFonts w:asciiTheme="minorHAnsi" w:hAnsiTheme="minorHAnsi" w:cstheme="minorHAnsi"/>
          <w:sz w:val="22"/>
          <w:szCs w:val="22"/>
        </w:rPr>
        <w:t xml:space="preserve">for clinical best practice </w:t>
      </w:r>
      <w:r w:rsidRPr="00704AFA">
        <w:rPr>
          <w:rFonts w:asciiTheme="minorHAnsi" w:hAnsiTheme="minorHAnsi" w:cstheme="minorHAnsi"/>
          <w:sz w:val="22"/>
          <w:szCs w:val="22"/>
        </w:rPr>
        <w:t xml:space="preserve">to improve treatment and care for people with medical </w:t>
      </w:r>
      <w:r w:rsidRPr="00704AFA">
        <w:rPr>
          <w:rFonts w:asciiTheme="minorHAnsi" w:hAnsiTheme="minorHAnsi" w:cstheme="minorHAnsi"/>
          <w:sz w:val="22"/>
          <w:szCs w:val="22"/>
        </w:rPr>
        <w:lastRenderedPageBreak/>
        <w:t xml:space="preserve">conditions that require the use of Ig products. </w:t>
      </w:r>
      <w:r w:rsidR="00064EDE" w:rsidRPr="00704AFA">
        <w:rPr>
          <w:rFonts w:asciiTheme="minorHAnsi" w:hAnsiTheme="minorHAnsi" w:cstheme="minorHAnsi"/>
          <w:sz w:val="22"/>
          <w:szCs w:val="22"/>
        </w:rPr>
        <w:t xml:space="preserve"> </w:t>
      </w:r>
      <w:r w:rsidRPr="00704AFA">
        <w:rPr>
          <w:rFonts w:asciiTheme="minorHAnsi" w:hAnsiTheme="minorHAnsi" w:cstheme="minorHAnsi"/>
          <w:sz w:val="22"/>
          <w:szCs w:val="22"/>
        </w:rPr>
        <w:t xml:space="preserve">Any reports that are published from </w:t>
      </w:r>
      <w:proofErr w:type="spellStart"/>
      <w:r w:rsidR="001D735F">
        <w:rPr>
          <w:rFonts w:asciiTheme="minorHAnsi" w:hAnsiTheme="minorHAnsi" w:cstheme="minorHAnsi"/>
          <w:sz w:val="22"/>
          <w:szCs w:val="22"/>
        </w:rPr>
        <w:t>BloodSTAR</w:t>
      </w:r>
      <w:proofErr w:type="spellEnd"/>
      <w:r w:rsidRPr="00704AFA">
        <w:rPr>
          <w:rFonts w:asciiTheme="minorHAnsi" w:hAnsiTheme="minorHAnsi" w:cstheme="minorHAnsi"/>
          <w:sz w:val="22"/>
          <w:szCs w:val="22"/>
        </w:rPr>
        <w:t xml:space="preserve"> will only </w:t>
      </w:r>
      <w:r w:rsidR="00064EDE" w:rsidRPr="00704AFA">
        <w:rPr>
          <w:rFonts w:asciiTheme="minorHAnsi" w:hAnsiTheme="minorHAnsi" w:cstheme="minorHAnsi"/>
          <w:sz w:val="22"/>
          <w:szCs w:val="22"/>
        </w:rPr>
        <w:t>contain</w:t>
      </w:r>
      <w:r w:rsidRPr="00704AFA">
        <w:rPr>
          <w:rFonts w:asciiTheme="minorHAnsi" w:hAnsiTheme="minorHAnsi" w:cstheme="minorHAnsi"/>
          <w:sz w:val="22"/>
          <w:szCs w:val="22"/>
        </w:rPr>
        <w:t xml:space="preserve"> statistics and/or summaries that do not identify individuals.  Any additional research using information </w:t>
      </w:r>
      <w:r w:rsidR="00064EDE" w:rsidRPr="00704AFA">
        <w:rPr>
          <w:rFonts w:asciiTheme="minorHAnsi" w:hAnsiTheme="minorHAnsi" w:cstheme="minorHAnsi"/>
          <w:sz w:val="22"/>
          <w:szCs w:val="22"/>
        </w:rPr>
        <w:t>from</w:t>
      </w:r>
      <w:r w:rsidRPr="00704AFA">
        <w:rPr>
          <w:rFonts w:asciiTheme="minorHAnsi" w:hAnsiTheme="minorHAnsi" w:cstheme="minorHAnsi"/>
          <w:sz w:val="22"/>
          <w:szCs w:val="22"/>
        </w:rPr>
        <w:t xml:space="preserve"> </w:t>
      </w:r>
      <w:proofErr w:type="spellStart"/>
      <w:r w:rsidR="001D735F">
        <w:rPr>
          <w:rFonts w:asciiTheme="minorHAnsi" w:hAnsiTheme="minorHAnsi" w:cstheme="minorHAnsi"/>
          <w:sz w:val="22"/>
          <w:szCs w:val="22"/>
        </w:rPr>
        <w:t>BloodSTAR</w:t>
      </w:r>
      <w:proofErr w:type="spellEnd"/>
      <w:r w:rsidRPr="00704AFA">
        <w:rPr>
          <w:rFonts w:asciiTheme="minorHAnsi" w:hAnsiTheme="minorHAnsi" w:cstheme="minorHAnsi"/>
          <w:sz w:val="22"/>
          <w:szCs w:val="22"/>
        </w:rPr>
        <w:t xml:space="preserve"> will only be undertaken in accordance with the requirements of the Privacy Act 1988 (</w:t>
      </w:r>
      <w:proofErr w:type="spellStart"/>
      <w:r w:rsidRPr="00704AFA">
        <w:rPr>
          <w:rFonts w:asciiTheme="minorHAnsi" w:hAnsiTheme="minorHAnsi" w:cstheme="minorHAnsi"/>
          <w:sz w:val="22"/>
          <w:szCs w:val="22"/>
        </w:rPr>
        <w:t>Cth</w:t>
      </w:r>
      <w:proofErr w:type="spellEnd"/>
      <w:r w:rsidRPr="00704AFA">
        <w:rPr>
          <w:rFonts w:asciiTheme="minorHAnsi" w:hAnsiTheme="minorHAnsi" w:cstheme="minorHAnsi"/>
          <w:sz w:val="22"/>
          <w:szCs w:val="22"/>
        </w:rPr>
        <w:t>)</w:t>
      </w:r>
      <w:r w:rsidR="009B1F04">
        <w:rPr>
          <w:rFonts w:asciiTheme="minorHAnsi" w:hAnsiTheme="minorHAnsi" w:cstheme="minorHAnsi"/>
          <w:sz w:val="22"/>
          <w:szCs w:val="22"/>
        </w:rPr>
        <w:t xml:space="preserve"> and relevant </w:t>
      </w:r>
      <w:r w:rsidR="007C3A85">
        <w:rPr>
          <w:rFonts w:asciiTheme="minorHAnsi" w:hAnsiTheme="minorHAnsi" w:cstheme="minorHAnsi"/>
          <w:sz w:val="22"/>
          <w:szCs w:val="22"/>
        </w:rPr>
        <w:t>state/territory</w:t>
      </w:r>
      <w:r w:rsidR="009B1F04">
        <w:rPr>
          <w:rFonts w:asciiTheme="minorHAnsi" w:hAnsiTheme="minorHAnsi" w:cstheme="minorHAnsi"/>
          <w:sz w:val="22"/>
          <w:szCs w:val="22"/>
        </w:rPr>
        <w:t xml:space="preserve"> legislation</w:t>
      </w:r>
      <w:r w:rsidRPr="00704AFA">
        <w:rPr>
          <w:rFonts w:asciiTheme="minorHAnsi" w:hAnsiTheme="minorHAnsi" w:cstheme="minorHAnsi"/>
          <w:sz w:val="22"/>
          <w:szCs w:val="22"/>
        </w:rPr>
        <w:t>.   The data may only be provided for research if the research program has</w:t>
      </w:r>
      <w:r w:rsidR="000D36F5" w:rsidRPr="00704AFA">
        <w:rPr>
          <w:rFonts w:asciiTheme="minorHAnsi" w:hAnsiTheme="minorHAnsi" w:cstheme="minorHAnsi"/>
          <w:sz w:val="22"/>
          <w:szCs w:val="22"/>
        </w:rPr>
        <w:t xml:space="preserve"> approval from a </w:t>
      </w:r>
      <w:r w:rsidR="00102DED" w:rsidRPr="00704AFA">
        <w:rPr>
          <w:rFonts w:asciiTheme="minorHAnsi" w:hAnsiTheme="minorHAnsi" w:cstheme="minorHAnsi"/>
          <w:sz w:val="22"/>
          <w:szCs w:val="22"/>
        </w:rPr>
        <w:t xml:space="preserve">properly constituted </w:t>
      </w:r>
      <w:r w:rsidRPr="00704AFA">
        <w:rPr>
          <w:rFonts w:asciiTheme="minorHAnsi" w:hAnsiTheme="minorHAnsi" w:cstheme="minorHAnsi"/>
          <w:sz w:val="22"/>
          <w:szCs w:val="22"/>
        </w:rPr>
        <w:t>Human Research Ethics Committee (</w:t>
      </w:r>
      <w:proofErr w:type="spellStart"/>
      <w:r w:rsidRPr="00704AFA">
        <w:rPr>
          <w:rFonts w:asciiTheme="minorHAnsi" w:hAnsiTheme="minorHAnsi" w:cstheme="minorHAnsi"/>
          <w:sz w:val="22"/>
          <w:szCs w:val="22"/>
        </w:rPr>
        <w:t>HREC</w:t>
      </w:r>
      <w:proofErr w:type="spellEnd"/>
      <w:r w:rsidRPr="00704AFA">
        <w:rPr>
          <w:rFonts w:asciiTheme="minorHAnsi" w:hAnsiTheme="minorHAnsi" w:cstheme="minorHAnsi"/>
          <w:sz w:val="22"/>
          <w:szCs w:val="22"/>
        </w:rPr>
        <w:t>)</w:t>
      </w:r>
      <w:r w:rsidR="00130AFC">
        <w:rPr>
          <w:rFonts w:asciiTheme="minorHAnsi" w:hAnsiTheme="minorHAnsi" w:cstheme="minorHAnsi"/>
          <w:sz w:val="22"/>
          <w:szCs w:val="22"/>
        </w:rPr>
        <w:t xml:space="preserve"> </w:t>
      </w:r>
      <w:r w:rsidR="00130AFC" w:rsidRPr="00130AFC">
        <w:rPr>
          <w:rFonts w:asciiTheme="minorHAnsi" w:hAnsiTheme="minorHAnsi" w:cstheme="minorHAnsi"/>
          <w:sz w:val="22"/>
          <w:szCs w:val="22"/>
        </w:rPr>
        <w:t xml:space="preserve">where a data request is submitted to </w:t>
      </w:r>
      <w:r w:rsidR="00130AFC" w:rsidRPr="002B7E38">
        <w:rPr>
          <w:rFonts w:asciiTheme="minorHAnsi" w:hAnsiTheme="minorHAnsi" w:cstheme="minorHAnsi"/>
          <w:sz w:val="22"/>
          <w:szCs w:val="22"/>
        </w:rPr>
        <w:t xml:space="preserve">the National Blood Authority and approved under the Data </w:t>
      </w:r>
      <w:r w:rsidR="004830E7">
        <w:rPr>
          <w:rFonts w:asciiTheme="minorHAnsi" w:hAnsiTheme="minorHAnsi" w:cstheme="minorHAnsi"/>
          <w:sz w:val="22"/>
          <w:szCs w:val="22"/>
        </w:rPr>
        <w:t xml:space="preserve">and Information Governance </w:t>
      </w:r>
      <w:r w:rsidR="00130AFC" w:rsidRPr="002B7E38">
        <w:rPr>
          <w:rFonts w:asciiTheme="minorHAnsi" w:hAnsiTheme="minorHAnsi" w:cstheme="minorHAnsi"/>
          <w:sz w:val="22"/>
          <w:szCs w:val="22"/>
        </w:rPr>
        <w:t>Framework</w:t>
      </w:r>
      <w:r w:rsidR="00130AFC">
        <w:rPr>
          <w:rFonts w:asciiTheme="minorHAnsi" w:hAnsiTheme="minorHAnsi" w:cstheme="minorHAnsi"/>
          <w:sz w:val="22"/>
          <w:szCs w:val="22"/>
        </w:rPr>
        <w:t>; all identifiable personal data is removed when these requests are fulfilled</w:t>
      </w:r>
      <w:r w:rsidRPr="00130AFC">
        <w:rPr>
          <w:rFonts w:asciiTheme="minorHAnsi" w:hAnsiTheme="minorHAnsi" w:cstheme="minorHAnsi"/>
          <w:sz w:val="22"/>
          <w:szCs w:val="22"/>
        </w:rPr>
        <w:t>.</w:t>
      </w:r>
    </w:p>
    <w:p w:rsidR="002674E9" w:rsidRPr="00130AFC" w:rsidRDefault="002674E9" w:rsidP="00444F47">
      <w:pPr>
        <w:spacing w:line="240" w:lineRule="auto"/>
        <w:rPr>
          <w:lang w:eastAsia="en-AU"/>
        </w:rPr>
      </w:pPr>
    </w:p>
    <w:p w:rsidR="002674E9" w:rsidRDefault="002674E9" w:rsidP="00444F47">
      <w:pPr>
        <w:spacing w:line="240" w:lineRule="auto"/>
        <w:rPr>
          <w:lang w:eastAsia="en-AU"/>
        </w:rPr>
        <w:sectPr w:rsidR="002674E9" w:rsidSect="002674E9">
          <w:pgSz w:w="11900" w:h="16840"/>
          <w:pgMar w:top="1440" w:right="1440" w:bottom="1440" w:left="1440" w:header="830" w:footer="818" w:gutter="0"/>
          <w:cols w:space="720"/>
          <w:titlePg/>
          <w:docGrid w:linePitch="299"/>
        </w:sectPr>
      </w:pPr>
    </w:p>
    <w:p w:rsidR="007F4036" w:rsidRDefault="00EA7EDD" w:rsidP="00524CC3">
      <w:pPr>
        <w:pStyle w:val="Heading1"/>
      </w:pPr>
      <w:bookmarkStart w:id="29" w:name="_Toc434574639"/>
      <w:bookmarkStart w:id="30" w:name="_Toc237150195"/>
      <w:bookmarkStart w:id="31" w:name="_Toc327880444"/>
      <w:r>
        <w:lastRenderedPageBreak/>
        <w:t>Methodology</w:t>
      </w:r>
      <w:bookmarkEnd w:id="29"/>
    </w:p>
    <w:p w:rsidR="007F4036" w:rsidRPr="00704AFA" w:rsidRDefault="007F4036" w:rsidP="00704AFA">
      <w:pPr>
        <w:pStyle w:val="Default"/>
        <w:rPr>
          <w:rFonts w:asciiTheme="minorHAnsi" w:hAnsiTheme="minorHAnsi" w:cstheme="minorHAnsi"/>
          <w:sz w:val="22"/>
          <w:szCs w:val="22"/>
        </w:rPr>
      </w:pPr>
      <w:r w:rsidRPr="00704AFA">
        <w:rPr>
          <w:rFonts w:asciiTheme="minorHAnsi" w:hAnsiTheme="minorHAnsi" w:cstheme="minorHAnsi"/>
          <w:sz w:val="22"/>
          <w:szCs w:val="22"/>
        </w:rPr>
        <w:t xml:space="preserve">The Privacy Act has changed </w:t>
      </w:r>
      <w:r w:rsidR="00D5691C" w:rsidRPr="00704AFA">
        <w:rPr>
          <w:rFonts w:asciiTheme="minorHAnsi" w:hAnsiTheme="minorHAnsi" w:cstheme="minorHAnsi"/>
          <w:sz w:val="22"/>
          <w:szCs w:val="22"/>
        </w:rPr>
        <w:t>and</w:t>
      </w:r>
      <w:r w:rsidRPr="00704AFA">
        <w:rPr>
          <w:rFonts w:asciiTheme="minorHAnsi" w:hAnsiTheme="minorHAnsi" w:cstheme="minorHAnsi"/>
          <w:sz w:val="22"/>
          <w:szCs w:val="22"/>
        </w:rPr>
        <w:t xml:space="preserve"> new obligations </w:t>
      </w:r>
      <w:r w:rsidR="0053479B" w:rsidRPr="00704AFA">
        <w:rPr>
          <w:rFonts w:asciiTheme="minorHAnsi" w:hAnsiTheme="minorHAnsi" w:cstheme="minorHAnsi"/>
          <w:sz w:val="22"/>
          <w:szCs w:val="22"/>
        </w:rPr>
        <w:t>came</w:t>
      </w:r>
      <w:r w:rsidRPr="00704AFA">
        <w:rPr>
          <w:rFonts w:asciiTheme="minorHAnsi" w:hAnsiTheme="minorHAnsi" w:cstheme="minorHAnsi"/>
          <w:sz w:val="22"/>
          <w:szCs w:val="22"/>
        </w:rPr>
        <w:t xml:space="preserve"> into effect in March 2014.  The Office of the Australian Information Commissioner </w:t>
      </w:r>
      <w:r w:rsidR="00E05B69" w:rsidRPr="00704AFA">
        <w:rPr>
          <w:rFonts w:asciiTheme="minorHAnsi" w:hAnsiTheme="minorHAnsi" w:cstheme="minorHAnsi"/>
          <w:sz w:val="22"/>
          <w:szCs w:val="22"/>
        </w:rPr>
        <w:t>(</w:t>
      </w:r>
      <w:proofErr w:type="spellStart"/>
      <w:r w:rsidR="00E05B69" w:rsidRPr="00704AFA">
        <w:rPr>
          <w:rFonts w:asciiTheme="minorHAnsi" w:hAnsiTheme="minorHAnsi" w:cstheme="minorHAnsi"/>
          <w:sz w:val="22"/>
          <w:szCs w:val="22"/>
        </w:rPr>
        <w:t>OAIC</w:t>
      </w:r>
      <w:proofErr w:type="spellEnd"/>
      <w:r w:rsidR="00E05B69" w:rsidRPr="00704AFA">
        <w:rPr>
          <w:rFonts w:asciiTheme="minorHAnsi" w:hAnsiTheme="minorHAnsi" w:cstheme="minorHAnsi"/>
          <w:sz w:val="22"/>
          <w:szCs w:val="22"/>
        </w:rPr>
        <w:t xml:space="preserve">) </w:t>
      </w:r>
      <w:r w:rsidRPr="00704AFA">
        <w:rPr>
          <w:rFonts w:asciiTheme="minorHAnsi" w:hAnsiTheme="minorHAnsi" w:cstheme="minorHAnsi"/>
          <w:sz w:val="22"/>
          <w:szCs w:val="22"/>
        </w:rPr>
        <w:t>has issued guidance to Australian Government Agencies and Private Organisations in order to achieve compliance</w:t>
      </w:r>
      <w:r w:rsidR="00295814" w:rsidRPr="00704AFA">
        <w:rPr>
          <w:rFonts w:asciiTheme="minorHAnsi" w:hAnsiTheme="minorHAnsi" w:cstheme="minorHAnsi"/>
          <w:sz w:val="22"/>
          <w:szCs w:val="22"/>
        </w:rPr>
        <w:t xml:space="preserve">.  </w:t>
      </w:r>
      <w:r w:rsidRPr="00704AFA">
        <w:rPr>
          <w:rFonts w:asciiTheme="minorHAnsi" w:hAnsiTheme="minorHAnsi" w:cstheme="minorHAnsi"/>
          <w:sz w:val="22"/>
          <w:szCs w:val="22"/>
        </w:rPr>
        <w:t>NBA</w:t>
      </w:r>
      <w:r w:rsidR="00295814" w:rsidRPr="00704AFA">
        <w:rPr>
          <w:rFonts w:asciiTheme="minorHAnsi" w:hAnsiTheme="minorHAnsi" w:cstheme="minorHAnsi"/>
          <w:sz w:val="22"/>
          <w:szCs w:val="22"/>
        </w:rPr>
        <w:t>s legal team has undertaken significant work on analysing the impact of these changes</w:t>
      </w:r>
      <w:r w:rsidR="00670B32" w:rsidRPr="00704AFA">
        <w:rPr>
          <w:rFonts w:asciiTheme="minorHAnsi" w:hAnsiTheme="minorHAnsi" w:cstheme="minorHAnsi"/>
          <w:sz w:val="22"/>
          <w:szCs w:val="22"/>
        </w:rPr>
        <w:t xml:space="preserve">, where much of NBAs existing privacy framework governing systems and processes has been modified to comply, </w:t>
      </w:r>
      <w:r w:rsidR="00295814" w:rsidRPr="00704AFA">
        <w:rPr>
          <w:rFonts w:asciiTheme="minorHAnsi" w:hAnsiTheme="minorHAnsi" w:cstheme="minorHAnsi"/>
          <w:sz w:val="22"/>
          <w:szCs w:val="22"/>
        </w:rPr>
        <w:t xml:space="preserve">and is </w:t>
      </w:r>
      <w:r w:rsidR="00670B32" w:rsidRPr="00704AFA">
        <w:rPr>
          <w:rFonts w:asciiTheme="minorHAnsi" w:hAnsiTheme="minorHAnsi" w:cstheme="minorHAnsi"/>
          <w:sz w:val="22"/>
          <w:szCs w:val="22"/>
        </w:rPr>
        <w:t xml:space="preserve">therefore </w:t>
      </w:r>
      <w:r w:rsidR="00295814" w:rsidRPr="00704AFA">
        <w:rPr>
          <w:rFonts w:asciiTheme="minorHAnsi" w:hAnsiTheme="minorHAnsi" w:cstheme="minorHAnsi"/>
          <w:sz w:val="22"/>
          <w:szCs w:val="22"/>
        </w:rPr>
        <w:t>well placed to instruct the project team</w:t>
      </w:r>
      <w:r w:rsidRPr="00704AFA">
        <w:rPr>
          <w:rFonts w:asciiTheme="minorHAnsi" w:hAnsiTheme="minorHAnsi" w:cstheme="minorHAnsi"/>
          <w:sz w:val="22"/>
          <w:szCs w:val="22"/>
        </w:rPr>
        <w:t xml:space="preserve">. </w:t>
      </w:r>
    </w:p>
    <w:p w:rsidR="007F4036" w:rsidRPr="00704AFA" w:rsidRDefault="00EA7EDD" w:rsidP="00704AFA">
      <w:pPr>
        <w:pStyle w:val="Default"/>
        <w:rPr>
          <w:rFonts w:asciiTheme="minorHAnsi" w:hAnsiTheme="minorHAnsi" w:cstheme="minorHAnsi"/>
          <w:sz w:val="22"/>
          <w:szCs w:val="22"/>
        </w:rPr>
      </w:pPr>
      <w:r w:rsidRPr="00704AFA">
        <w:rPr>
          <w:rFonts w:asciiTheme="minorHAnsi" w:hAnsiTheme="minorHAnsi" w:cstheme="minorHAnsi"/>
          <w:sz w:val="22"/>
          <w:szCs w:val="22"/>
        </w:rPr>
        <w:t xml:space="preserve">A privacy survey </w:t>
      </w:r>
      <w:r w:rsidR="006F55C3">
        <w:rPr>
          <w:rFonts w:asciiTheme="minorHAnsi" w:hAnsiTheme="minorHAnsi" w:cstheme="minorHAnsi"/>
          <w:sz w:val="22"/>
          <w:szCs w:val="22"/>
        </w:rPr>
        <w:t>was</w:t>
      </w:r>
      <w:r w:rsidRPr="00704AFA">
        <w:rPr>
          <w:rFonts w:asciiTheme="minorHAnsi" w:hAnsiTheme="minorHAnsi" w:cstheme="minorHAnsi"/>
          <w:sz w:val="22"/>
          <w:szCs w:val="22"/>
        </w:rPr>
        <w:t xml:space="preserve"> circulated to more than 1200 stakeholders to gain an understanding of the views of stakeholders </w:t>
      </w:r>
      <w:r w:rsidR="00360868" w:rsidRPr="00704AFA">
        <w:rPr>
          <w:rFonts w:asciiTheme="minorHAnsi" w:hAnsiTheme="minorHAnsi" w:cstheme="minorHAnsi"/>
          <w:sz w:val="22"/>
          <w:szCs w:val="22"/>
        </w:rPr>
        <w:t xml:space="preserve">to inform user expectations </w:t>
      </w:r>
      <w:r w:rsidR="004C24FF" w:rsidRPr="00704AFA">
        <w:rPr>
          <w:rFonts w:asciiTheme="minorHAnsi" w:hAnsiTheme="minorHAnsi" w:cstheme="minorHAnsi"/>
          <w:sz w:val="22"/>
          <w:szCs w:val="22"/>
        </w:rPr>
        <w:t xml:space="preserve">on capability </w:t>
      </w:r>
      <w:r w:rsidR="00360868" w:rsidRPr="00704AFA">
        <w:rPr>
          <w:rFonts w:asciiTheme="minorHAnsi" w:hAnsiTheme="minorHAnsi" w:cstheme="minorHAnsi"/>
          <w:sz w:val="22"/>
          <w:szCs w:val="22"/>
        </w:rPr>
        <w:t xml:space="preserve">and design of </w:t>
      </w:r>
      <w:proofErr w:type="spellStart"/>
      <w:r w:rsidR="001D735F">
        <w:rPr>
          <w:rFonts w:asciiTheme="minorHAnsi" w:hAnsiTheme="minorHAnsi" w:cstheme="minorHAnsi"/>
          <w:sz w:val="22"/>
          <w:szCs w:val="22"/>
        </w:rPr>
        <w:t>BloodSTAR</w:t>
      </w:r>
      <w:proofErr w:type="spellEnd"/>
      <w:r w:rsidR="004C24FF" w:rsidRPr="00704AFA">
        <w:rPr>
          <w:rFonts w:asciiTheme="minorHAnsi" w:hAnsiTheme="minorHAnsi" w:cstheme="minorHAnsi"/>
          <w:sz w:val="22"/>
          <w:szCs w:val="22"/>
        </w:rPr>
        <w:t>, with particular focus on patient search features</w:t>
      </w:r>
      <w:r w:rsidR="00360868" w:rsidRPr="00704AFA">
        <w:rPr>
          <w:rFonts w:asciiTheme="minorHAnsi" w:hAnsiTheme="minorHAnsi" w:cstheme="minorHAnsi"/>
          <w:sz w:val="22"/>
          <w:szCs w:val="22"/>
        </w:rPr>
        <w:t>.</w:t>
      </w:r>
      <w:r w:rsidR="006F55C3">
        <w:rPr>
          <w:rFonts w:asciiTheme="minorHAnsi" w:hAnsiTheme="minorHAnsi" w:cstheme="minorHAnsi"/>
          <w:sz w:val="22"/>
          <w:szCs w:val="22"/>
        </w:rPr>
        <w:t xml:space="preserve">  204 responses were received; the results are discussed in Section </w:t>
      </w:r>
      <w:r w:rsidR="006F55C3">
        <w:rPr>
          <w:rFonts w:asciiTheme="minorHAnsi" w:hAnsiTheme="minorHAnsi" w:cstheme="minorHAnsi"/>
          <w:sz w:val="22"/>
          <w:szCs w:val="22"/>
        </w:rPr>
        <w:fldChar w:fldCharType="begin"/>
      </w:r>
      <w:r w:rsidR="006F55C3">
        <w:rPr>
          <w:rFonts w:asciiTheme="minorHAnsi" w:hAnsiTheme="minorHAnsi" w:cstheme="minorHAnsi"/>
          <w:sz w:val="22"/>
          <w:szCs w:val="22"/>
        </w:rPr>
        <w:instrText xml:space="preserve"> REF _Ref417407334 \r \h </w:instrText>
      </w:r>
      <w:r w:rsidR="006F55C3">
        <w:rPr>
          <w:rFonts w:asciiTheme="minorHAnsi" w:hAnsiTheme="minorHAnsi" w:cstheme="minorHAnsi"/>
          <w:sz w:val="22"/>
          <w:szCs w:val="22"/>
        </w:rPr>
      </w:r>
      <w:r w:rsidR="006F55C3">
        <w:rPr>
          <w:rFonts w:asciiTheme="minorHAnsi" w:hAnsiTheme="minorHAnsi" w:cstheme="minorHAnsi"/>
          <w:sz w:val="22"/>
          <w:szCs w:val="22"/>
        </w:rPr>
        <w:fldChar w:fldCharType="separate"/>
      </w:r>
      <w:r w:rsidR="007C3A85">
        <w:rPr>
          <w:rFonts w:asciiTheme="minorHAnsi" w:hAnsiTheme="minorHAnsi" w:cstheme="minorHAnsi"/>
          <w:sz w:val="22"/>
          <w:szCs w:val="22"/>
        </w:rPr>
        <w:t>5.9</w:t>
      </w:r>
      <w:r w:rsidR="006F55C3">
        <w:rPr>
          <w:rFonts w:asciiTheme="minorHAnsi" w:hAnsiTheme="minorHAnsi" w:cstheme="minorHAnsi"/>
          <w:sz w:val="22"/>
          <w:szCs w:val="22"/>
        </w:rPr>
        <w:fldChar w:fldCharType="end"/>
      </w:r>
      <w:r w:rsidR="006F55C3">
        <w:rPr>
          <w:rFonts w:asciiTheme="minorHAnsi" w:hAnsiTheme="minorHAnsi" w:cstheme="minorHAnsi"/>
          <w:sz w:val="22"/>
          <w:szCs w:val="22"/>
        </w:rPr>
        <w:t xml:space="preserve"> of this document.</w:t>
      </w:r>
    </w:p>
    <w:p w:rsidR="00EA7EDD" w:rsidRPr="00704AFA" w:rsidRDefault="00360868" w:rsidP="00704AFA">
      <w:pPr>
        <w:pStyle w:val="Default"/>
        <w:rPr>
          <w:rFonts w:asciiTheme="minorHAnsi" w:hAnsiTheme="minorHAnsi" w:cstheme="minorHAnsi"/>
          <w:sz w:val="22"/>
          <w:szCs w:val="22"/>
        </w:rPr>
      </w:pPr>
      <w:r w:rsidRPr="00704AFA">
        <w:rPr>
          <w:rFonts w:asciiTheme="minorHAnsi" w:hAnsiTheme="minorHAnsi" w:cstheme="minorHAnsi"/>
          <w:sz w:val="22"/>
          <w:szCs w:val="22"/>
        </w:rPr>
        <w:t>The</w:t>
      </w:r>
      <w:r w:rsidR="00EA7EDD" w:rsidRPr="00704AFA">
        <w:rPr>
          <w:rFonts w:asciiTheme="minorHAnsi" w:hAnsiTheme="minorHAnsi" w:cstheme="minorHAnsi"/>
          <w:sz w:val="22"/>
          <w:szCs w:val="22"/>
        </w:rPr>
        <w:t xml:space="preserve"> project documentation upon which this Privacy Impact Assessment report has been based includes:</w:t>
      </w:r>
    </w:p>
    <w:p w:rsidR="00E358EE" w:rsidRPr="00F63DD9" w:rsidRDefault="00F628AB" w:rsidP="001474D2">
      <w:pPr>
        <w:pStyle w:val="ListParagraph"/>
        <w:numPr>
          <w:ilvl w:val="0"/>
          <w:numId w:val="27"/>
        </w:numPr>
        <w:spacing w:before="120" w:after="120" w:line="240" w:lineRule="auto"/>
        <w:ind w:left="714" w:hanging="357"/>
        <w:contextualSpacing w:val="0"/>
        <w:rPr>
          <w:lang w:eastAsia="en-AU"/>
        </w:rPr>
      </w:pPr>
      <w:r>
        <w:rPr>
          <w:lang w:eastAsia="en-AU"/>
        </w:rPr>
        <w:t>Ig System H</w:t>
      </w:r>
      <w:r w:rsidR="00E358EE" w:rsidRPr="00F63DD9">
        <w:rPr>
          <w:lang w:eastAsia="en-AU"/>
        </w:rPr>
        <w:t xml:space="preserve">igh </w:t>
      </w:r>
      <w:r>
        <w:rPr>
          <w:lang w:eastAsia="en-AU"/>
        </w:rPr>
        <w:t>L</w:t>
      </w:r>
      <w:r w:rsidR="00E358EE" w:rsidRPr="00F63DD9">
        <w:rPr>
          <w:lang w:eastAsia="en-AU"/>
        </w:rPr>
        <w:t xml:space="preserve">evel </w:t>
      </w:r>
      <w:r>
        <w:rPr>
          <w:lang w:eastAsia="en-AU"/>
        </w:rPr>
        <w:t>D</w:t>
      </w:r>
      <w:r w:rsidR="00E358EE" w:rsidRPr="00F63DD9">
        <w:rPr>
          <w:lang w:eastAsia="en-AU"/>
        </w:rPr>
        <w:t>esign</w:t>
      </w:r>
    </w:p>
    <w:p w:rsidR="00F628AB" w:rsidRDefault="00F628AB" w:rsidP="001474D2">
      <w:pPr>
        <w:pStyle w:val="ListParagraph"/>
        <w:numPr>
          <w:ilvl w:val="0"/>
          <w:numId w:val="27"/>
        </w:numPr>
        <w:spacing w:before="120" w:after="120" w:line="240" w:lineRule="auto"/>
        <w:ind w:left="714" w:hanging="357"/>
        <w:contextualSpacing w:val="0"/>
        <w:rPr>
          <w:lang w:eastAsia="en-AU"/>
        </w:rPr>
      </w:pPr>
      <w:r>
        <w:rPr>
          <w:lang w:eastAsia="en-AU"/>
        </w:rPr>
        <w:t>User Terms and C</w:t>
      </w:r>
      <w:r w:rsidRPr="00F63DD9">
        <w:rPr>
          <w:lang w:eastAsia="en-AU"/>
        </w:rPr>
        <w:t>onditions</w:t>
      </w:r>
    </w:p>
    <w:p w:rsidR="00F628AB" w:rsidRDefault="00F628AB" w:rsidP="001474D2">
      <w:pPr>
        <w:pStyle w:val="ListParagraph"/>
        <w:numPr>
          <w:ilvl w:val="0"/>
          <w:numId w:val="27"/>
        </w:numPr>
        <w:spacing w:before="120" w:after="120" w:line="240" w:lineRule="auto"/>
        <w:ind w:left="714" w:hanging="357"/>
        <w:contextualSpacing w:val="0"/>
        <w:rPr>
          <w:lang w:eastAsia="en-AU"/>
        </w:rPr>
      </w:pPr>
      <w:r>
        <w:rPr>
          <w:lang w:eastAsia="en-AU"/>
        </w:rPr>
        <w:t>Privacy Collection Notice</w:t>
      </w:r>
    </w:p>
    <w:p w:rsidR="00F628AB" w:rsidRPr="00F63DD9" w:rsidRDefault="00F628AB" w:rsidP="001474D2">
      <w:pPr>
        <w:pStyle w:val="ListParagraph"/>
        <w:numPr>
          <w:ilvl w:val="0"/>
          <w:numId w:val="27"/>
        </w:numPr>
        <w:spacing w:before="120" w:after="120" w:line="240" w:lineRule="auto"/>
        <w:ind w:left="714" w:hanging="357"/>
        <w:contextualSpacing w:val="0"/>
        <w:rPr>
          <w:lang w:eastAsia="en-AU"/>
        </w:rPr>
      </w:pPr>
      <w:r>
        <w:rPr>
          <w:lang w:eastAsia="en-AU"/>
        </w:rPr>
        <w:t>Privacy Consent Form</w:t>
      </w:r>
    </w:p>
    <w:p w:rsidR="00E358EE" w:rsidRPr="00F63DD9" w:rsidRDefault="00F628AB" w:rsidP="001474D2">
      <w:pPr>
        <w:pStyle w:val="ListParagraph"/>
        <w:numPr>
          <w:ilvl w:val="0"/>
          <w:numId w:val="27"/>
        </w:numPr>
        <w:spacing w:before="120" w:after="120" w:line="240" w:lineRule="auto"/>
        <w:ind w:left="714" w:hanging="357"/>
        <w:contextualSpacing w:val="0"/>
        <w:rPr>
          <w:lang w:eastAsia="en-AU"/>
        </w:rPr>
      </w:pPr>
      <w:r>
        <w:rPr>
          <w:lang w:eastAsia="en-AU"/>
        </w:rPr>
        <w:t>Ig System D</w:t>
      </w:r>
      <w:r w:rsidR="00176412">
        <w:rPr>
          <w:lang w:eastAsia="en-AU"/>
        </w:rPr>
        <w:t>ata Dictionary</w:t>
      </w:r>
    </w:p>
    <w:p w:rsidR="00EA7EDD" w:rsidRPr="00F63DD9" w:rsidRDefault="00F628AB" w:rsidP="001474D2">
      <w:pPr>
        <w:pStyle w:val="ListParagraph"/>
        <w:numPr>
          <w:ilvl w:val="0"/>
          <w:numId w:val="27"/>
        </w:numPr>
        <w:spacing w:before="120" w:after="120" w:line="240" w:lineRule="auto"/>
        <w:ind w:left="714" w:hanging="357"/>
        <w:contextualSpacing w:val="0"/>
        <w:rPr>
          <w:lang w:eastAsia="en-AU"/>
        </w:rPr>
      </w:pPr>
      <w:r>
        <w:rPr>
          <w:lang w:eastAsia="en-AU"/>
        </w:rPr>
        <w:t>Patient Registry</w:t>
      </w:r>
      <w:r w:rsidR="00176412">
        <w:rPr>
          <w:lang w:eastAsia="en-AU"/>
        </w:rPr>
        <w:t xml:space="preserve"> Security Matrix</w:t>
      </w:r>
    </w:p>
    <w:p w:rsidR="00D35E8A" w:rsidRPr="001611AE" w:rsidRDefault="004C24FF" w:rsidP="001474D2">
      <w:pPr>
        <w:pStyle w:val="ListParagraph"/>
        <w:numPr>
          <w:ilvl w:val="0"/>
          <w:numId w:val="27"/>
        </w:numPr>
        <w:spacing w:before="120" w:after="120" w:line="240" w:lineRule="auto"/>
        <w:ind w:left="714" w:hanging="357"/>
        <w:contextualSpacing w:val="0"/>
        <w:rPr>
          <w:lang w:eastAsia="en-AU"/>
        </w:rPr>
      </w:pPr>
      <w:r>
        <w:rPr>
          <w:lang w:eastAsia="en-AU"/>
        </w:rPr>
        <w:t xml:space="preserve">User </w:t>
      </w:r>
      <w:r w:rsidR="00F628AB">
        <w:rPr>
          <w:lang w:eastAsia="en-AU"/>
        </w:rPr>
        <w:t>R</w:t>
      </w:r>
      <w:r w:rsidR="00A524F4">
        <w:rPr>
          <w:lang w:eastAsia="en-AU"/>
        </w:rPr>
        <w:t>egistration</w:t>
      </w:r>
      <w:r w:rsidR="00176412" w:rsidRPr="001611AE">
        <w:rPr>
          <w:lang w:eastAsia="en-AU"/>
        </w:rPr>
        <w:t xml:space="preserve"> </w:t>
      </w:r>
      <w:r w:rsidR="00F628AB">
        <w:rPr>
          <w:lang w:eastAsia="en-AU"/>
        </w:rPr>
        <w:t>S</w:t>
      </w:r>
      <w:r w:rsidR="00176412" w:rsidRPr="001611AE">
        <w:rPr>
          <w:lang w:eastAsia="en-AU"/>
        </w:rPr>
        <w:t>pecification</w:t>
      </w:r>
    </w:p>
    <w:p w:rsidR="00781804" w:rsidRPr="001611AE" w:rsidRDefault="00781804" w:rsidP="001474D2">
      <w:pPr>
        <w:pStyle w:val="ListParagraph"/>
        <w:numPr>
          <w:ilvl w:val="0"/>
          <w:numId w:val="27"/>
        </w:numPr>
        <w:spacing w:before="120" w:after="120" w:line="240" w:lineRule="auto"/>
        <w:ind w:left="714" w:hanging="357"/>
        <w:contextualSpacing w:val="0"/>
        <w:rPr>
          <w:lang w:eastAsia="en-AU"/>
        </w:rPr>
      </w:pPr>
      <w:r w:rsidRPr="001611AE">
        <w:rPr>
          <w:lang w:eastAsia="en-AU"/>
        </w:rPr>
        <w:t>Audit logging of transactions and views</w:t>
      </w:r>
      <w:r w:rsidR="00176412" w:rsidRPr="001611AE">
        <w:rPr>
          <w:lang w:eastAsia="en-AU"/>
        </w:rPr>
        <w:t xml:space="preserve"> </w:t>
      </w:r>
      <w:r w:rsidR="004C24FF">
        <w:rPr>
          <w:lang w:eastAsia="en-AU"/>
        </w:rPr>
        <w:t>requirements</w:t>
      </w:r>
      <w:r w:rsidR="00F628AB">
        <w:rPr>
          <w:lang w:eastAsia="en-AU"/>
        </w:rPr>
        <w:t>, and</w:t>
      </w:r>
    </w:p>
    <w:p w:rsidR="00BF76A6" w:rsidRPr="00F63DD9" w:rsidRDefault="00BF76A6" w:rsidP="001474D2">
      <w:pPr>
        <w:pStyle w:val="ListParagraph"/>
        <w:numPr>
          <w:ilvl w:val="0"/>
          <w:numId w:val="27"/>
        </w:numPr>
        <w:spacing w:before="120" w:after="120" w:line="240" w:lineRule="auto"/>
        <w:ind w:left="714" w:hanging="357"/>
        <w:contextualSpacing w:val="0"/>
        <w:rPr>
          <w:lang w:eastAsia="en-AU"/>
        </w:rPr>
      </w:pPr>
      <w:r w:rsidRPr="00F63DD9">
        <w:rPr>
          <w:lang w:eastAsia="en-AU"/>
        </w:rPr>
        <w:t>Ig</w:t>
      </w:r>
      <w:r w:rsidR="00176412">
        <w:rPr>
          <w:lang w:eastAsia="en-AU"/>
        </w:rPr>
        <w:t xml:space="preserve"> System Privacy survey summary</w:t>
      </w:r>
      <w:r w:rsidRPr="00F63DD9">
        <w:rPr>
          <w:lang w:eastAsia="en-AU"/>
        </w:rPr>
        <w:t>.</w:t>
      </w:r>
    </w:p>
    <w:p w:rsidR="007F4036" w:rsidRDefault="007F4036">
      <w:pPr>
        <w:rPr>
          <w:rFonts w:eastAsia="Dotum" w:cs="Calibri"/>
          <w:sz w:val="44"/>
          <w:szCs w:val="44"/>
        </w:rPr>
      </w:pPr>
    </w:p>
    <w:bookmarkEnd w:id="30"/>
    <w:bookmarkEnd w:id="31"/>
    <w:p w:rsidR="00EA7D11" w:rsidRDefault="00EA7D11">
      <w:pPr>
        <w:spacing w:after="0" w:line="240" w:lineRule="auto"/>
        <w:rPr>
          <w:rFonts w:cs="Arial"/>
          <w:sz w:val="20"/>
        </w:rPr>
        <w:sectPr w:rsidR="00EA7D11" w:rsidSect="002674E9">
          <w:pgSz w:w="11900" w:h="16840"/>
          <w:pgMar w:top="1440" w:right="1440" w:bottom="1440" w:left="1440" w:header="830" w:footer="818" w:gutter="0"/>
          <w:cols w:space="720"/>
          <w:titlePg/>
          <w:docGrid w:linePitch="299"/>
        </w:sectPr>
      </w:pPr>
    </w:p>
    <w:p w:rsidR="002C1F45" w:rsidRDefault="002C1F45" w:rsidP="00524CC3">
      <w:pPr>
        <w:pStyle w:val="Heading1"/>
      </w:pPr>
      <w:bookmarkStart w:id="32" w:name="_Toc358112725"/>
      <w:bookmarkStart w:id="33" w:name="_Toc358115316"/>
      <w:bookmarkStart w:id="34" w:name="_Toc358127954"/>
      <w:bookmarkStart w:id="35" w:name="_Toc358112726"/>
      <w:bookmarkStart w:id="36" w:name="_Toc358115317"/>
      <w:bookmarkStart w:id="37" w:name="_Toc358127955"/>
      <w:bookmarkStart w:id="38" w:name="_Toc434574640"/>
      <w:bookmarkStart w:id="39" w:name="_Toc327880469"/>
      <w:bookmarkEnd w:id="32"/>
      <w:bookmarkEnd w:id="33"/>
      <w:bookmarkEnd w:id="34"/>
      <w:bookmarkEnd w:id="35"/>
      <w:bookmarkEnd w:id="36"/>
      <w:bookmarkEnd w:id="37"/>
      <w:r>
        <w:lastRenderedPageBreak/>
        <w:t>Mapping information flows and privacy framework</w:t>
      </w:r>
      <w:bookmarkEnd w:id="38"/>
    </w:p>
    <w:p w:rsidR="00A20F16" w:rsidRPr="006D3B39" w:rsidRDefault="00A20F16" w:rsidP="00817CDC">
      <w:pPr>
        <w:pStyle w:val="Heading2"/>
        <w:numPr>
          <w:ilvl w:val="1"/>
          <w:numId w:val="15"/>
        </w:numPr>
      </w:pPr>
      <w:bookmarkStart w:id="40" w:name="_Toc411602073"/>
      <w:bookmarkStart w:id="41" w:name="_Collection_of_information"/>
      <w:bookmarkStart w:id="42" w:name="_Toc411588925"/>
      <w:bookmarkStart w:id="43" w:name="_Toc434574641"/>
      <w:bookmarkEnd w:id="39"/>
      <w:bookmarkEnd w:id="40"/>
      <w:bookmarkEnd w:id="41"/>
      <w:bookmarkEnd w:id="42"/>
      <w:r w:rsidRPr="006D3B39">
        <w:t>Data flow diagram</w:t>
      </w:r>
      <w:bookmarkEnd w:id="43"/>
    </w:p>
    <w:p w:rsidR="000E7741" w:rsidRDefault="000E7741" w:rsidP="000E7741">
      <w:pPr>
        <w:keepNext/>
      </w:pPr>
    </w:p>
    <w:p w:rsidR="004C24FF" w:rsidRDefault="00CC5DFF" w:rsidP="000E7741">
      <w:pPr>
        <w:keepNext/>
      </w:pPr>
      <w:r>
        <w:rPr>
          <w:noProof/>
          <w:lang w:eastAsia="en-AU"/>
        </w:rPr>
        <w:drawing>
          <wp:inline distT="0" distB="0" distL="0" distR="0" wp14:anchorId="5ABF1845" wp14:editId="7012EEBF">
            <wp:extent cx="5731510" cy="4715024"/>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4715024"/>
                    </a:xfrm>
                    <a:prstGeom prst="rect">
                      <a:avLst/>
                    </a:prstGeom>
                  </pic:spPr>
                </pic:pic>
              </a:graphicData>
            </a:graphic>
          </wp:inline>
        </w:drawing>
      </w:r>
    </w:p>
    <w:p w:rsidR="00A20F16" w:rsidRDefault="000E7741" w:rsidP="000E7741">
      <w:pPr>
        <w:pStyle w:val="Caption"/>
      </w:pPr>
      <w:r>
        <w:t xml:space="preserve">Figure </w:t>
      </w:r>
      <w:r w:rsidR="00FD40F1">
        <w:fldChar w:fldCharType="begin"/>
      </w:r>
      <w:r w:rsidR="00FD40F1">
        <w:instrText xml:space="preserve"> SEQ Figure \* ARABIC </w:instrText>
      </w:r>
      <w:r w:rsidR="00FD40F1">
        <w:fldChar w:fldCharType="separate"/>
      </w:r>
      <w:r w:rsidR="007C3A85">
        <w:rPr>
          <w:noProof/>
        </w:rPr>
        <w:t>1</w:t>
      </w:r>
      <w:r w:rsidR="00FD40F1">
        <w:rPr>
          <w:noProof/>
        </w:rPr>
        <w:fldChar w:fldCharType="end"/>
      </w:r>
      <w:r>
        <w:t xml:space="preserve"> </w:t>
      </w:r>
      <w:proofErr w:type="spellStart"/>
      <w:r w:rsidR="00FC5BD2">
        <w:t>BloodSTAR</w:t>
      </w:r>
      <w:proofErr w:type="spellEnd"/>
      <w:r w:rsidR="00FC5BD2">
        <w:t xml:space="preserve"> </w:t>
      </w:r>
      <w:r>
        <w:t>end to end process</w:t>
      </w:r>
    </w:p>
    <w:p w:rsidR="00FE5EF2" w:rsidRDefault="002C1F45" w:rsidP="00817CDC">
      <w:pPr>
        <w:pStyle w:val="Heading2"/>
        <w:numPr>
          <w:ilvl w:val="1"/>
          <w:numId w:val="15"/>
        </w:numPr>
      </w:pPr>
      <w:bookmarkStart w:id="44" w:name="_Toc434574642"/>
      <w:r>
        <w:t xml:space="preserve">Collection of </w:t>
      </w:r>
      <w:r w:rsidR="00733149">
        <w:t xml:space="preserve">personal and </w:t>
      </w:r>
      <w:r w:rsidR="002F00B8">
        <w:t>sensitive</w:t>
      </w:r>
      <w:r>
        <w:t xml:space="preserve"> information</w:t>
      </w:r>
      <w:bookmarkEnd w:id="44"/>
    </w:p>
    <w:p w:rsidR="009E2679" w:rsidRPr="00704AFA" w:rsidRDefault="00733149" w:rsidP="00704AFA">
      <w:pPr>
        <w:pStyle w:val="Default"/>
        <w:rPr>
          <w:rFonts w:asciiTheme="minorHAnsi" w:hAnsiTheme="minorHAnsi" w:cstheme="minorHAnsi"/>
          <w:sz w:val="22"/>
          <w:szCs w:val="22"/>
        </w:rPr>
      </w:pPr>
      <w:r w:rsidRPr="00704AFA">
        <w:rPr>
          <w:rFonts w:asciiTheme="minorHAnsi" w:hAnsiTheme="minorHAnsi" w:cstheme="minorHAnsi"/>
          <w:sz w:val="22"/>
          <w:szCs w:val="22"/>
        </w:rPr>
        <w:t xml:space="preserve">A </w:t>
      </w:r>
      <w:r w:rsidR="0093649E" w:rsidRPr="00704AFA">
        <w:rPr>
          <w:rFonts w:asciiTheme="minorHAnsi" w:hAnsiTheme="minorHAnsi" w:cstheme="minorHAnsi"/>
          <w:sz w:val="22"/>
          <w:szCs w:val="22"/>
        </w:rPr>
        <w:t>patient</w:t>
      </w:r>
      <w:r w:rsidR="00003D85" w:rsidRPr="00704AFA">
        <w:rPr>
          <w:rFonts w:asciiTheme="minorHAnsi" w:hAnsiTheme="minorHAnsi" w:cstheme="minorHAnsi"/>
          <w:sz w:val="22"/>
          <w:szCs w:val="22"/>
        </w:rPr>
        <w:t xml:space="preserve"> </w:t>
      </w:r>
      <w:r w:rsidR="00E14656" w:rsidRPr="00704AFA">
        <w:rPr>
          <w:rFonts w:asciiTheme="minorHAnsi" w:hAnsiTheme="minorHAnsi" w:cstheme="minorHAnsi"/>
          <w:sz w:val="22"/>
          <w:szCs w:val="22"/>
        </w:rPr>
        <w:t>will become</w:t>
      </w:r>
      <w:r w:rsidR="00003D85" w:rsidRPr="00704AFA">
        <w:rPr>
          <w:rFonts w:asciiTheme="minorHAnsi" w:hAnsiTheme="minorHAnsi" w:cstheme="minorHAnsi"/>
          <w:sz w:val="22"/>
          <w:szCs w:val="22"/>
        </w:rPr>
        <w:t xml:space="preserve"> of interest to </w:t>
      </w:r>
      <w:proofErr w:type="spellStart"/>
      <w:r w:rsidR="001D735F">
        <w:rPr>
          <w:rFonts w:asciiTheme="minorHAnsi" w:hAnsiTheme="minorHAnsi" w:cstheme="minorHAnsi"/>
          <w:sz w:val="22"/>
          <w:szCs w:val="22"/>
        </w:rPr>
        <w:t>BloodSTAR</w:t>
      </w:r>
      <w:proofErr w:type="spellEnd"/>
      <w:r w:rsidR="00003D85" w:rsidRPr="00704AFA">
        <w:rPr>
          <w:rFonts w:asciiTheme="minorHAnsi" w:hAnsiTheme="minorHAnsi" w:cstheme="minorHAnsi"/>
          <w:sz w:val="22"/>
          <w:szCs w:val="22"/>
        </w:rPr>
        <w:t xml:space="preserve"> once they </w:t>
      </w:r>
      <w:r w:rsidR="00E14656" w:rsidRPr="00704AFA">
        <w:rPr>
          <w:rFonts w:asciiTheme="minorHAnsi" w:hAnsiTheme="minorHAnsi" w:cstheme="minorHAnsi"/>
          <w:sz w:val="22"/>
          <w:szCs w:val="22"/>
        </w:rPr>
        <w:t>are</w:t>
      </w:r>
      <w:r w:rsidR="00003D85" w:rsidRPr="00704AFA">
        <w:rPr>
          <w:rFonts w:asciiTheme="minorHAnsi" w:hAnsiTheme="minorHAnsi" w:cstheme="minorHAnsi"/>
          <w:sz w:val="22"/>
          <w:szCs w:val="22"/>
        </w:rPr>
        <w:t xml:space="preserve"> the subject of an authorisation request, for access to government funded immunoglobulin products under the national blood arrangements for the treatment of a condition specified in the Criteria.  </w:t>
      </w:r>
      <w:r w:rsidR="00102DED" w:rsidRPr="00704AFA">
        <w:rPr>
          <w:rFonts w:asciiTheme="minorHAnsi" w:hAnsiTheme="minorHAnsi" w:cstheme="minorHAnsi"/>
          <w:sz w:val="22"/>
          <w:szCs w:val="22"/>
        </w:rPr>
        <w:t xml:space="preserve">A patient may or may not be successful in obtaining authorisation for </w:t>
      </w:r>
      <w:r w:rsidR="00B33A53" w:rsidRPr="00704AFA">
        <w:rPr>
          <w:rFonts w:asciiTheme="minorHAnsi" w:hAnsiTheme="minorHAnsi" w:cstheme="minorHAnsi"/>
          <w:sz w:val="22"/>
          <w:szCs w:val="22"/>
        </w:rPr>
        <w:t xml:space="preserve">government funded </w:t>
      </w:r>
      <w:r w:rsidR="00102DED" w:rsidRPr="00704AFA">
        <w:rPr>
          <w:rFonts w:asciiTheme="minorHAnsi" w:hAnsiTheme="minorHAnsi" w:cstheme="minorHAnsi"/>
          <w:sz w:val="22"/>
          <w:szCs w:val="22"/>
        </w:rPr>
        <w:t>immunoglobulin t</w:t>
      </w:r>
      <w:r w:rsidR="00B33A53" w:rsidRPr="00704AFA">
        <w:rPr>
          <w:rFonts w:asciiTheme="minorHAnsi" w:hAnsiTheme="minorHAnsi" w:cstheme="minorHAnsi"/>
          <w:sz w:val="22"/>
          <w:szCs w:val="22"/>
        </w:rPr>
        <w:t>herapy</w:t>
      </w:r>
      <w:r w:rsidR="00102DED" w:rsidRPr="00704AFA">
        <w:rPr>
          <w:rFonts w:asciiTheme="minorHAnsi" w:hAnsiTheme="minorHAnsi" w:cstheme="minorHAnsi"/>
          <w:sz w:val="22"/>
          <w:szCs w:val="22"/>
        </w:rPr>
        <w:t xml:space="preserve">.  </w:t>
      </w:r>
      <w:r w:rsidR="0093649E" w:rsidRPr="00704AFA">
        <w:rPr>
          <w:rFonts w:asciiTheme="minorHAnsi" w:hAnsiTheme="minorHAnsi" w:cstheme="minorHAnsi"/>
          <w:sz w:val="22"/>
          <w:szCs w:val="22"/>
        </w:rPr>
        <w:t xml:space="preserve">Sensitive information about a patient will be collected </w:t>
      </w:r>
      <w:r w:rsidR="00532683" w:rsidRPr="00704AFA">
        <w:rPr>
          <w:rFonts w:asciiTheme="minorHAnsi" w:hAnsiTheme="minorHAnsi" w:cstheme="minorHAnsi"/>
          <w:sz w:val="22"/>
          <w:szCs w:val="22"/>
        </w:rPr>
        <w:t xml:space="preserve">by a </w:t>
      </w:r>
      <w:r w:rsidR="00FB4EB5">
        <w:rPr>
          <w:rFonts w:asciiTheme="minorHAnsi" w:hAnsiTheme="minorHAnsi" w:cstheme="minorHAnsi"/>
          <w:sz w:val="22"/>
          <w:szCs w:val="22"/>
        </w:rPr>
        <w:t xml:space="preserve">clinician </w:t>
      </w:r>
      <w:r w:rsidR="009D7EC9" w:rsidRPr="00704AFA">
        <w:rPr>
          <w:rFonts w:asciiTheme="minorHAnsi" w:hAnsiTheme="minorHAnsi" w:cstheme="minorHAnsi"/>
          <w:sz w:val="22"/>
          <w:szCs w:val="22"/>
        </w:rPr>
        <w:t>(prescriber, nurse or dispenser)</w:t>
      </w:r>
      <w:r w:rsidR="00532683" w:rsidRPr="00704AFA">
        <w:rPr>
          <w:rFonts w:asciiTheme="minorHAnsi" w:hAnsiTheme="minorHAnsi" w:cstheme="minorHAnsi"/>
          <w:sz w:val="22"/>
          <w:szCs w:val="22"/>
        </w:rPr>
        <w:t xml:space="preserve"> in the course of providing care to their patient</w:t>
      </w:r>
      <w:r w:rsidR="006E2501" w:rsidRPr="00704AFA">
        <w:rPr>
          <w:rFonts w:asciiTheme="minorHAnsi" w:hAnsiTheme="minorHAnsi" w:cstheme="minorHAnsi"/>
          <w:sz w:val="22"/>
          <w:szCs w:val="22"/>
        </w:rPr>
        <w:t xml:space="preserve">. </w:t>
      </w:r>
      <w:r w:rsidR="00A61C1D" w:rsidRPr="00704AFA">
        <w:rPr>
          <w:rFonts w:asciiTheme="minorHAnsi" w:hAnsiTheme="minorHAnsi" w:cstheme="minorHAnsi"/>
          <w:sz w:val="22"/>
          <w:szCs w:val="22"/>
        </w:rPr>
        <w:t xml:space="preserve">The information </w:t>
      </w:r>
      <w:r w:rsidRPr="00704AFA">
        <w:rPr>
          <w:rFonts w:asciiTheme="minorHAnsi" w:hAnsiTheme="minorHAnsi" w:cstheme="minorHAnsi"/>
          <w:sz w:val="22"/>
          <w:szCs w:val="22"/>
        </w:rPr>
        <w:t xml:space="preserve">about a patient </w:t>
      </w:r>
      <w:r w:rsidR="00064EDE" w:rsidRPr="00704AFA">
        <w:rPr>
          <w:rFonts w:asciiTheme="minorHAnsi" w:hAnsiTheme="minorHAnsi" w:cstheme="minorHAnsi"/>
          <w:sz w:val="22"/>
          <w:szCs w:val="22"/>
        </w:rPr>
        <w:t>will</w:t>
      </w:r>
      <w:r w:rsidR="00A61C1D" w:rsidRPr="00704AFA">
        <w:rPr>
          <w:rFonts w:asciiTheme="minorHAnsi" w:hAnsiTheme="minorHAnsi" w:cstheme="minorHAnsi"/>
          <w:sz w:val="22"/>
          <w:szCs w:val="22"/>
        </w:rPr>
        <w:t xml:space="preserve"> be obtained from t</w:t>
      </w:r>
      <w:r w:rsidR="00364BD2" w:rsidRPr="00704AFA">
        <w:rPr>
          <w:rFonts w:asciiTheme="minorHAnsi" w:hAnsiTheme="minorHAnsi" w:cstheme="minorHAnsi"/>
          <w:sz w:val="22"/>
          <w:szCs w:val="22"/>
        </w:rPr>
        <w:t xml:space="preserve">he </w:t>
      </w:r>
      <w:r w:rsidR="009D7EC9" w:rsidRPr="00704AFA">
        <w:rPr>
          <w:rFonts w:asciiTheme="minorHAnsi" w:hAnsiTheme="minorHAnsi" w:cstheme="minorHAnsi"/>
          <w:sz w:val="22"/>
          <w:szCs w:val="22"/>
        </w:rPr>
        <w:t xml:space="preserve">patient and the </w:t>
      </w:r>
      <w:r w:rsidR="008B15A6" w:rsidRPr="00704AFA">
        <w:rPr>
          <w:rFonts w:asciiTheme="minorHAnsi" w:hAnsiTheme="minorHAnsi" w:cstheme="minorHAnsi"/>
          <w:sz w:val="22"/>
          <w:szCs w:val="22"/>
        </w:rPr>
        <w:t xml:space="preserve">patient’s </w:t>
      </w:r>
      <w:r w:rsidR="00064EDE" w:rsidRPr="00704AFA">
        <w:rPr>
          <w:rFonts w:asciiTheme="minorHAnsi" w:hAnsiTheme="minorHAnsi" w:cstheme="minorHAnsi"/>
          <w:sz w:val="22"/>
          <w:szCs w:val="22"/>
        </w:rPr>
        <w:t xml:space="preserve">hospital </w:t>
      </w:r>
      <w:r w:rsidR="00532683" w:rsidRPr="00704AFA">
        <w:rPr>
          <w:rFonts w:asciiTheme="minorHAnsi" w:hAnsiTheme="minorHAnsi" w:cstheme="minorHAnsi"/>
          <w:sz w:val="22"/>
          <w:szCs w:val="22"/>
        </w:rPr>
        <w:t>medical records</w:t>
      </w:r>
      <w:r w:rsidR="00733200" w:rsidRPr="00704AFA">
        <w:rPr>
          <w:rFonts w:asciiTheme="minorHAnsi" w:hAnsiTheme="minorHAnsi" w:cstheme="minorHAnsi"/>
          <w:sz w:val="22"/>
          <w:szCs w:val="22"/>
        </w:rPr>
        <w:t xml:space="preserve"> by </w:t>
      </w:r>
      <w:r w:rsidR="00FB4EB5">
        <w:rPr>
          <w:rFonts w:asciiTheme="minorHAnsi" w:hAnsiTheme="minorHAnsi" w:cstheme="minorHAnsi"/>
          <w:sz w:val="22"/>
          <w:szCs w:val="22"/>
        </w:rPr>
        <w:t>clinicians</w:t>
      </w:r>
      <w:r w:rsidR="00733200" w:rsidRPr="00704AFA">
        <w:rPr>
          <w:rFonts w:asciiTheme="minorHAnsi" w:hAnsiTheme="minorHAnsi" w:cstheme="minorHAnsi"/>
          <w:sz w:val="22"/>
          <w:szCs w:val="22"/>
        </w:rPr>
        <w:t xml:space="preserve"> managing patient care</w:t>
      </w:r>
      <w:r w:rsidR="00532683" w:rsidRPr="00704AFA">
        <w:rPr>
          <w:rFonts w:asciiTheme="minorHAnsi" w:hAnsiTheme="minorHAnsi" w:cstheme="minorHAnsi"/>
          <w:sz w:val="22"/>
          <w:szCs w:val="22"/>
        </w:rPr>
        <w:t xml:space="preserve">.  </w:t>
      </w:r>
      <w:r w:rsidR="00FB4EB5">
        <w:rPr>
          <w:rFonts w:asciiTheme="minorHAnsi" w:hAnsiTheme="minorHAnsi" w:cstheme="minorHAnsi"/>
          <w:sz w:val="22"/>
          <w:szCs w:val="22"/>
        </w:rPr>
        <w:t>Clinicians</w:t>
      </w:r>
      <w:r w:rsidR="00532683" w:rsidRPr="00704AFA">
        <w:rPr>
          <w:rFonts w:asciiTheme="minorHAnsi" w:hAnsiTheme="minorHAnsi" w:cstheme="minorHAnsi"/>
          <w:sz w:val="22"/>
          <w:szCs w:val="22"/>
        </w:rPr>
        <w:t xml:space="preserve"> are entities under the Privacy Act and are required to comply with the provisions of the Act as well as any </w:t>
      </w:r>
      <w:r w:rsidR="007C3A85">
        <w:rPr>
          <w:rFonts w:asciiTheme="minorHAnsi" w:hAnsiTheme="minorHAnsi" w:cstheme="minorHAnsi"/>
          <w:sz w:val="22"/>
          <w:szCs w:val="22"/>
        </w:rPr>
        <w:t>state/territory</w:t>
      </w:r>
      <w:r w:rsidR="00532683" w:rsidRPr="00704AFA">
        <w:rPr>
          <w:rFonts w:asciiTheme="minorHAnsi" w:hAnsiTheme="minorHAnsi" w:cstheme="minorHAnsi"/>
          <w:sz w:val="22"/>
          <w:szCs w:val="22"/>
        </w:rPr>
        <w:t xml:space="preserve"> laws.</w:t>
      </w:r>
      <w:r w:rsidR="00733200" w:rsidRPr="00704AFA">
        <w:rPr>
          <w:rFonts w:asciiTheme="minorHAnsi" w:hAnsiTheme="minorHAnsi" w:cstheme="minorHAnsi"/>
          <w:sz w:val="22"/>
          <w:szCs w:val="22"/>
        </w:rPr>
        <w:t xml:space="preserve">  </w:t>
      </w:r>
    </w:p>
    <w:p w:rsidR="009E2679" w:rsidRDefault="009E2679" w:rsidP="007D28E7">
      <w:pPr>
        <w:pStyle w:val="ListNumber"/>
        <w:numPr>
          <w:ilvl w:val="0"/>
          <w:numId w:val="0"/>
        </w:numPr>
        <w:rPr>
          <w:lang w:eastAsia="en-AU"/>
        </w:rPr>
      </w:pPr>
    </w:p>
    <w:p w:rsidR="00532683" w:rsidRDefault="00733200" w:rsidP="007D28E7">
      <w:pPr>
        <w:pStyle w:val="ListNumber"/>
        <w:numPr>
          <w:ilvl w:val="0"/>
          <w:numId w:val="0"/>
        </w:numPr>
        <w:rPr>
          <w:lang w:eastAsia="en-AU"/>
        </w:rPr>
      </w:pPr>
      <w:r>
        <w:rPr>
          <w:lang w:eastAsia="en-AU"/>
        </w:rPr>
        <w:t xml:space="preserve">The </w:t>
      </w:r>
      <w:r w:rsidR="007E643D">
        <w:rPr>
          <w:lang w:eastAsia="en-AU"/>
        </w:rPr>
        <w:t>collection of sensitive information</w:t>
      </w:r>
      <w:r w:rsidR="00395028">
        <w:rPr>
          <w:lang w:eastAsia="en-AU"/>
        </w:rPr>
        <w:t xml:space="preserve"> occurs at six points</w:t>
      </w:r>
      <w:r w:rsidR="007E643D">
        <w:rPr>
          <w:lang w:eastAsia="en-AU"/>
        </w:rPr>
        <w:t>, as follows:</w:t>
      </w:r>
    </w:p>
    <w:p w:rsidR="00733200" w:rsidRDefault="00733200" w:rsidP="007D28E7">
      <w:pPr>
        <w:pStyle w:val="ListNumber"/>
        <w:numPr>
          <w:ilvl w:val="0"/>
          <w:numId w:val="0"/>
        </w:numPr>
        <w:rPr>
          <w:lang w:eastAsia="en-AU"/>
        </w:rPr>
      </w:pPr>
    </w:p>
    <w:p w:rsidR="00733200" w:rsidRDefault="00733200" w:rsidP="000F7991">
      <w:pPr>
        <w:pStyle w:val="ListNumber"/>
        <w:numPr>
          <w:ilvl w:val="0"/>
          <w:numId w:val="18"/>
        </w:numPr>
        <w:ind w:left="714" w:hanging="357"/>
        <w:contextualSpacing w:val="0"/>
        <w:rPr>
          <w:lang w:eastAsia="en-AU"/>
        </w:rPr>
      </w:pPr>
      <w:r w:rsidRPr="007E643D">
        <w:rPr>
          <w:b/>
          <w:lang w:eastAsia="en-AU"/>
        </w:rPr>
        <w:t>Prescriber</w:t>
      </w:r>
      <w:r w:rsidR="009E2679" w:rsidRPr="007E643D">
        <w:rPr>
          <w:b/>
          <w:lang w:eastAsia="en-AU"/>
        </w:rPr>
        <w:t>s</w:t>
      </w:r>
      <w:r w:rsidR="009E2679">
        <w:rPr>
          <w:lang w:eastAsia="en-AU"/>
        </w:rPr>
        <w:t xml:space="preserve"> </w:t>
      </w:r>
      <w:r w:rsidR="007E643D">
        <w:rPr>
          <w:lang w:eastAsia="en-AU"/>
        </w:rPr>
        <w:t xml:space="preserve"> </w:t>
      </w:r>
      <w:r w:rsidR="00395028">
        <w:rPr>
          <w:lang w:eastAsia="en-AU"/>
        </w:rPr>
        <w:t>– I</w:t>
      </w:r>
      <w:r w:rsidR="009E2679">
        <w:rPr>
          <w:lang w:eastAsia="en-AU"/>
        </w:rPr>
        <w:t>n</w:t>
      </w:r>
      <w:r>
        <w:rPr>
          <w:lang w:eastAsia="en-AU"/>
        </w:rPr>
        <w:t xml:space="preserve"> the course of </w:t>
      </w:r>
      <w:r w:rsidR="009E2679">
        <w:rPr>
          <w:lang w:eastAsia="en-AU"/>
        </w:rPr>
        <w:t>managing</w:t>
      </w:r>
      <w:r>
        <w:rPr>
          <w:lang w:eastAsia="en-AU"/>
        </w:rPr>
        <w:t xml:space="preserve"> patient treatment</w:t>
      </w:r>
      <w:r w:rsidR="009E2679">
        <w:rPr>
          <w:lang w:eastAsia="en-AU"/>
        </w:rPr>
        <w:t xml:space="preserve">, at the point of requesting authorisation for access to government funded product for </w:t>
      </w:r>
      <w:r w:rsidR="0083290E">
        <w:rPr>
          <w:lang w:eastAsia="en-AU"/>
        </w:rPr>
        <w:t>the treatment of a patient’s medical condition</w:t>
      </w:r>
      <w:r>
        <w:rPr>
          <w:lang w:eastAsia="en-AU"/>
        </w:rPr>
        <w:t>;</w:t>
      </w:r>
    </w:p>
    <w:p w:rsidR="0083290E" w:rsidRDefault="007E643D" w:rsidP="000F7991">
      <w:pPr>
        <w:pStyle w:val="ListNumber"/>
        <w:numPr>
          <w:ilvl w:val="0"/>
          <w:numId w:val="18"/>
        </w:numPr>
        <w:ind w:left="714" w:hanging="357"/>
        <w:contextualSpacing w:val="0"/>
        <w:rPr>
          <w:lang w:eastAsia="en-AU"/>
        </w:rPr>
      </w:pPr>
      <w:r w:rsidRPr="0083290E">
        <w:rPr>
          <w:b/>
          <w:lang w:eastAsia="en-AU"/>
        </w:rPr>
        <w:t>Authorisers</w:t>
      </w:r>
      <w:r>
        <w:rPr>
          <w:lang w:eastAsia="en-AU"/>
        </w:rPr>
        <w:t xml:space="preserve"> </w:t>
      </w:r>
      <w:r w:rsidR="0083290E">
        <w:rPr>
          <w:lang w:eastAsia="en-AU"/>
        </w:rPr>
        <w:t>–</w:t>
      </w:r>
      <w:r w:rsidR="009E2679">
        <w:rPr>
          <w:lang w:eastAsia="en-AU"/>
        </w:rPr>
        <w:t xml:space="preserve"> </w:t>
      </w:r>
      <w:r w:rsidR="00395028">
        <w:rPr>
          <w:lang w:eastAsia="en-AU"/>
        </w:rPr>
        <w:t>S</w:t>
      </w:r>
      <w:r w:rsidR="0083290E">
        <w:rPr>
          <w:lang w:eastAsia="en-AU"/>
        </w:rPr>
        <w:t xml:space="preserve">pecified staff of the </w:t>
      </w:r>
      <w:r w:rsidR="0083290E" w:rsidRPr="00215333">
        <w:rPr>
          <w:lang w:eastAsia="en-AU"/>
        </w:rPr>
        <w:t>Australian Red Cross Blood Service</w:t>
      </w:r>
      <w:r w:rsidR="0083290E">
        <w:rPr>
          <w:lang w:eastAsia="en-AU"/>
        </w:rPr>
        <w:t>, NBAs contracted service provider,</w:t>
      </w:r>
      <w:r w:rsidR="0083290E" w:rsidRPr="00215333">
        <w:rPr>
          <w:lang w:eastAsia="en-AU"/>
        </w:rPr>
        <w:t xml:space="preserve"> are responsible for authorising initial and continuing access to government funded Ig product</w:t>
      </w:r>
      <w:r w:rsidR="0083290E">
        <w:rPr>
          <w:lang w:eastAsia="en-AU"/>
        </w:rPr>
        <w:t xml:space="preserve">s against </w:t>
      </w:r>
      <w:r w:rsidR="006E2501">
        <w:rPr>
          <w:lang w:eastAsia="en-AU"/>
        </w:rPr>
        <w:t>government stated po</w:t>
      </w:r>
      <w:r w:rsidR="006E2501" w:rsidRPr="006E2501">
        <w:rPr>
          <w:lang w:eastAsia="en-AU"/>
        </w:rPr>
        <w:t>licy</w:t>
      </w:r>
      <w:r w:rsidR="0083290E">
        <w:rPr>
          <w:lang w:eastAsia="en-AU"/>
        </w:rPr>
        <w:t>;</w:t>
      </w:r>
    </w:p>
    <w:p w:rsidR="009E2679" w:rsidRDefault="009E2679" w:rsidP="000F7991">
      <w:pPr>
        <w:pStyle w:val="ListNumber"/>
        <w:numPr>
          <w:ilvl w:val="0"/>
          <w:numId w:val="18"/>
        </w:numPr>
        <w:ind w:left="714" w:hanging="357"/>
        <w:contextualSpacing w:val="0"/>
        <w:rPr>
          <w:lang w:eastAsia="en-AU"/>
        </w:rPr>
      </w:pPr>
      <w:r w:rsidRPr="0083290E">
        <w:rPr>
          <w:b/>
          <w:lang w:eastAsia="en-AU"/>
        </w:rPr>
        <w:t>Nurses</w:t>
      </w:r>
      <w:r w:rsidR="007E643D">
        <w:rPr>
          <w:lang w:eastAsia="en-AU"/>
        </w:rPr>
        <w:t xml:space="preserve"> </w:t>
      </w:r>
      <w:r w:rsidR="00395028">
        <w:rPr>
          <w:lang w:eastAsia="en-AU"/>
        </w:rPr>
        <w:t>–</w:t>
      </w:r>
      <w:r w:rsidR="007E643D">
        <w:rPr>
          <w:lang w:eastAsia="en-AU"/>
        </w:rPr>
        <w:t xml:space="preserve"> </w:t>
      </w:r>
      <w:r w:rsidR="00395028">
        <w:rPr>
          <w:lang w:eastAsia="en-AU"/>
        </w:rPr>
        <w:t>I</w:t>
      </w:r>
      <w:r>
        <w:rPr>
          <w:lang w:eastAsia="en-AU"/>
        </w:rPr>
        <w:t>n the course of managing pat</w:t>
      </w:r>
      <w:r w:rsidR="0083290E">
        <w:rPr>
          <w:lang w:eastAsia="en-AU"/>
        </w:rPr>
        <w:t xml:space="preserve">ient treatment, to </w:t>
      </w:r>
      <w:r w:rsidR="00395028">
        <w:rPr>
          <w:lang w:eastAsia="en-AU"/>
        </w:rPr>
        <w:t xml:space="preserve">confirm </w:t>
      </w:r>
      <w:r w:rsidR="0083290E">
        <w:rPr>
          <w:lang w:eastAsia="en-AU"/>
        </w:rPr>
        <w:t>patient</w:t>
      </w:r>
      <w:r w:rsidR="00395028">
        <w:rPr>
          <w:lang w:eastAsia="en-AU"/>
        </w:rPr>
        <w:t>’s</w:t>
      </w:r>
      <w:r w:rsidR="0083290E">
        <w:rPr>
          <w:lang w:eastAsia="en-AU"/>
        </w:rPr>
        <w:t xml:space="preserve"> authorisation status</w:t>
      </w:r>
      <w:r w:rsidR="00395028">
        <w:rPr>
          <w:lang w:eastAsia="en-AU"/>
        </w:rPr>
        <w:t>,</w:t>
      </w:r>
      <w:r w:rsidR="0083290E">
        <w:rPr>
          <w:lang w:eastAsia="en-AU"/>
        </w:rPr>
        <w:t xml:space="preserve"> request</w:t>
      </w:r>
      <w:r>
        <w:rPr>
          <w:lang w:eastAsia="en-AU"/>
        </w:rPr>
        <w:t xml:space="preserve"> the dispense of product </w:t>
      </w:r>
      <w:r w:rsidR="00395028">
        <w:rPr>
          <w:lang w:eastAsia="en-AU"/>
        </w:rPr>
        <w:t xml:space="preserve">and </w:t>
      </w:r>
      <w:r w:rsidR="0083290E">
        <w:rPr>
          <w:lang w:eastAsia="en-AU"/>
        </w:rPr>
        <w:t>coordinat</w:t>
      </w:r>
      <w:r w:rsidR="00395028">
        <w:rPr>
          <w:lang w:eastAsia="en-AU"/>
        </w:rPr>
        <w:t>e</w:t>
      </w:r>
      <w:r>
        <w:rPr>
          <w:lang w:eastAsia="en-AU"/>
        </w:rPr>
        <w:t xml:space="preserve"> with patient</w:t>
      </w:r>
      <w:r w:rsidR="00395028">
        <w:rPr>
          <w:lang w:eastAsia="en-AU"/>
        </w:rPr>
        <w:t>’s</w:t>
      </w:r>
      <w:r>
        <w:rPr>
          <w:lang w:eastAsia="en-AU"/>
        </w:rPr>
        <w:t xml:space="preserve"> infusion appointments</w:t>
      </w:r>
      <w:r w:rsidR="0083290E">
        <w:rPr>
          <w:lang w:eastAsia="en-AU"/>
        </w:rPr>
        <w:t xml:space="preserve"> to ensure the correct product is dispensed</w:t>
      </w:r>
      <w:r>
        <w:rPr>
          <w:lang w:eastAsia="en-AU"/>
        </w:rPr>
        <w:t>;</w:t>
      </w:r>
    </w:p>
    <w:p w:rsidR="009E2679" w:rsidRDefault="009E2679" w:rsidP="000F7991">
      <w:pPr>
        <w:pStyle w:val="ListNumber"/>
        <w:numPr>
          <w:ilvl w:val="0"/>
          <w:numId w:val="18"/>
        </w:numPr>
        <w:ind w:left="714" w:hanging="357"/>
        <w:contextualSpacing w:val="0"/>
        <w:rPr>
          <w:lang w:eastAsia="en-AU"/>
        </w:rPr>
      </w:pPr>
      <w:r w:rsidRPr="007E643D">
        <w:rPr>
          <w:b/>
          <w:lang w:eastAsia="en-AU"/>
        </w:rPr>
        <w:t>Dispensers</w:t>
      </w:r>
      <w:r w:rsidR="007E643D">
        <w:rPr>
          <w:lang w:eastAsia="en-AU"/>
        </w:rPr>
        <w:t xml:space="preserve"> </w:t>
      </w:r>
      <w:r w:rsidR="00395028">
        <w:rPr>
          <w:lang w:eastAsia="en-AU"/>
        </w:rPr>
        <w:t>–</w:t>
      </w:r>
      <w:r w:rsidR="007E643D">
        <w:rPr>
          <w:lang w:eastAsia="en-AU"/>
        </w:rPr>
        <w:t xml:space="preserve"> </w:t>
      </w:r>
      <w:r w:rsidR="00395028">
        <w:rPr>
          <w:lang w:eastAsia="en-AU"/>
        </w:rPr>
        <w:t>I</w:t>
      </w:r>
      <w:r>
        <w:rPr>
          <w:lang w:eastAsia="en-AU"/>
        </w:rPr>
        <w:t xml:space="preserve">n the course of </w:t>
      </w:r>
      <w:r w:rsidR="00395028">
        <w:rPr>
          <w:lang w:eastAsia="en-AU"/>
        </w:rPr>
        <w:t xml:space="preserve">managing inventory, ordering and </w:t>
      </w:r>
      <w:r>
        <w:rPr>
          <w:lang w:eastAsia="en-AU"/>
        </w:rPr>
        <w:t xml:space="preserve">dispensing </w:t>
      </w:r>
      <w:r w:rsidR="0083290E">
        <w:rPr>
          <w:lang w:eastAsia="en-AU"/>
        </w:rPr>
        <w:t>the correct product to authorised patients</w:t>
      </w:r>
      <w:r>
        <w:rPr>
          <w:lang w:eastAsia="en-AU"/>
        </w:rPr>
        <w:t xml:space="preserve">; </w:t>
      </w:r>
    </w:p>
    <w:p w:rsidR="009E2679" w:rsidRDefault="009E2679" w:rsidP="000F7991">
      <w:pPr>
        <w:pStyle w:val="ListNumber"/>
        <w:numPr>
          <w:ilvl w:val="0"/>
          <w:numId w:val="18"/>
        </w:numPr>
        <w:ind w:left="714" w:hanging="357"/>
        <w:contextualSpacing w:val="0"/>
        <w:rPr>
          <w:lang w:eastAsia="en-AU"/>
        </w:rPr>
      </w:pPr>
      <w:r w:rsidRPr="007E643D">
        <w:rPr>
          <w:b/>
          <w:lang w:eastAsia="en-AU"/>
        </w:rPr>
        <w:t>Patients</w:t>
      </w:r>
      <w:r>
        <w:rPr>
          <w:lang w:eastAsia="en-AU"/>
        </w:rPr>
        <w:t xml:space="preserve"> </w:t>
      </w:r>
      <w:r w:rsidR="00395028">
        <w:rPr>
          <w:lang w:eastAsia="en-AU"/>
        </w:rPr>
        <w:t>–</w:t>
      </w:r>
      <w:r w:rsidR="007E643D">
        <w:rPr>
          <w:lang w:eastAsia="en-AU"/>
        </w:rPr>
        <w:t xml:space="preserve"> </w:t>
      </w:r>
      <w:r w:rsidR="00395028">
        <w:rPr>
          <w:lang w:eastAsia="en-AU"/>
        </w:rPr>
        <w:t>I</w:t>
      </w:r>
      <w:r>
        <w:rPr>
          <w:lang w:eastAsia="en-AU"/>
        </w:rPr>
        <w:t xml:space="preserve">n the course of recording infusion events, where they are </w:t>
      </w:r>
      <w:r w:rsidR="00FF690D">
        <w:rPr>
          <w:lang w:eastAsia="en-AU"/>
        </w:rPr>
        <w:t>self-managing subcutaneous treatment outside of the hospital setting</w:t>
      </w:r>
      <w:r w:rsidR="007E643D">
        <w:rPr>
          <w:lang w:eastAsia="en-AU"/>
        </w:rPr>
        <w:t>; and</w:t>
      </w:r>
    </w:p>
    <w:p w:rsidR="007E643D" w:rsidRDefault="007E643D" w:rsidP="000F7991">
      <w:pPr>
        <w:pStyle w:val="ListNumber"/>
        <w:numPr>
          <w:ilvl w:val="0"/>
          <w:numId w:val="18"/>
        </w:numPr>
        <w:ind w:left="714" w:hanging="357"/>
        <w:contextualSpacing w:val="0"/>
        <w:rPr>
          <w:lang w:eastAsia="en-AU"/>
        </w:rPr>
      </w:pPr>
      <w:r>
        <w:rPr>
          <w:b/>
          <w:lang w:eastAsia="en-AU"/>
        </w:rPr>
        <w:t xml:space="preserve">NBA </w:t>
      </w:r>
      <w:r w:rsidR="00395028">
        <w:rPr>
          <w:lang w:eastAsia="en-AU"/>
        </w:rPr>
        <w:t>–</w:t>
      </w:r>
      <w:r>
        <w:rPr>
          <w:lang w:eastAsia="en-AU"/>
        </w:rPr>
        <w:t xml:space="preserve"> </w:t>
      </w:r>
      <w:r w:rsidR="00395028">
        <w:rPr>
          <w:lang w:eastAsia="en-AU"/>
        </w:rPr>
        <w:t>S</w:t>
      </w:r>
      <w:r>
        <w:rPr>
          <w:lang w:eastAsia="en-AU"/>
        </w:rPr>
        <w:t xml:space="preserve">pecified staff </w:t>
      </w:r>
      <w:r w:rsidRPr="00215333">
        <w:rPr>
          <w:lang w:eastAsia="en-AU"/>
        </w:rPr>
        <w:t xml:space="preserve">that provide technical and user support for </w:t>
      </w:r>
      <w:proofErr w:type="spellStart"/>
      <w:r w:rsidR="001D735F">
        <w:rPr>
          <w:lang w:eastAsia="en-AU"/>
        </w:rPr>
        <w:t>BloodSTAR</w:t>
      </w:r>
      <w:proofErr w:type="spellEnd"/>
      <w:r>
        <w:rPr>
          <w:lang w:eastAsia="en-AU"/>
        </w:rPr>
        <w:t xml:space="preserve"> and its patient portal</w:t>
      </w:r>
      <w:r w:rsidRPr="00215333">
        <w:rPr>
          <w:lang w:eastAsia="en-AU"/>
        </w:rPr>
        <w:t xml:space="preserve">, </w:t>
      </w:r>
      <w:r w:rsidR="0083290E">
        <w:rPr>
          <w:lang w:eastAsia="en-AU"/>
        </w:rPr>
        <w:t xml:space="preserve">to </w:t>
      </w:r>
      <w:r w:rsidRPr="00215333">
        <w:rPr>
          <w:lang w:eastAsia="en-AU"/>
        </w:rPr>
        <w:t xml:space="preserve">assist in managing the integrity of the data entered into </w:t>
      </w:r>
      <w:proofErr w:type="spellStart"/>
      <w:r w:rsidR="001D735F">
        <w:rPr>
          <w:lang w:eastAsia="en-AU"/>
        </w:rPr>
        <w:t>BloodSTAR</w:t>
      </w:r>
      <w:proofErr w:type="spellEnd"/>
      <w:r>
        <w:rPr>
          <w:lang w:eastAsia="en-AU"/>
        </w:rPr>
        <w:t xml:space="preserve"> and its patient portal</w:t>
      </w:r>
      <w:r w:rsidRPr="00215333">
        <w:rPr>
          <w:lang w:eastAsia="en-AU"/>
        </w:rPr>
        <w:t xml:space="preserve">, and </w:t>
      </w:r>
      <w:r w:rsidR="0083290E">
        <w:rPr>
          <w:lang w:eastAsia="en-AU"/>
        </w:rPr>
        <w:t xml:space="preserve">to </w:t>
      </w:r>
      <w:r w:rsidRPr="00215333">
        <w:rPr>
          <w:lang w:eastAsia="en-AU"/>
        </w:rPr>
        <w:t xml:space="preserve">extract information for approved reports and </w:t>
      </w:r>
      <w:r>
        <w:rPr>
          <w:lang w:eastAsia="en-AU"/>
        </w:rPr>
        <w:t>supply planning</w:t>
      </w:r>
      <w:r w:rsidR="0083290E">
        <w:rPr>
          <w:lang w:eastAsia="en-AU"/>
        </w:rPr>
        <w:t>.</w:t>
      </w:r>
    </w:p>
    <w:p w:rsidR="00733149" w:rsidRPr="00704AFA" w:rsidRDefault="008B15A6" w:rsidP="00704AFA">
      <w:pPr>
        <w:pStyle w:val="Default"/>
        <w:rPr>
          <w:rFonts w:asciiTheme="minorHAnsi" w:hAnsiTheme="minorHAnsi" w:cstheme="minorHAnsi"/>
          <w:sz w:val="22"/>
          <w:szCs w:val="22"/>
        </w:rPr>
      </w:pPr>
      <w:r w:rsidRPr="00704AFA">
        <w:rPr>
          <w:rFonts w:asciiTheme="minorHAnsi" w:hAnsiTheme="minorHAnsi" w:cstheme="minorHAnsi"/>
          <w:sz w:val="22"/>
          <w:szCs w:val="22"/>
        </w:rPr>
        <w:t>Critical identification data is required to uniquely identify patients to enable assessment of an authorisation request and to ensure the appropriate supply of product</w:t>
      </w:r>
      <w:r w:rsidR="00FF690D" w:rsidRPr="00704AFA">
        <w:rPr>
          <w:rFonts w:asciiTheme="minorHAnsi" w:hAnsiTheme="minorHAnsi" w:cstheme="minorHAnsi"/>
          <w:sz w:val="22"/>
          <w:szCs w:val="22"/>
        </w:rPr>
        <w:t xml:space="preserve"> </w:t>
      </w:r>
      <w:r w:rsidR="00733149" w:rsidRPr="00704AFA">
        <w:rPr>
          <w:rFonts w:asciiTheme="minorHAnsi" w:hAnsiTheme="minorHAnsi" w:cstheme="minorHAnsi"/>
          <w:sz w:val="22"/>
          <w:szCs w:val="22"/>
        </w:rPr>
        <w:t>in accordance with the prescribed therapy and current authorisation</w:t>
      </w:r>
      <w:r w:rsidR="003F040B" w:rsidRPr="00704AFA">
        <w:rPr>
          <w:rFonts w:asciiTheme="minorHAnsi" w:hAnsiTheme="minorHAnsi" w:cstheme="minorHAnsi"/>
          <w:sz w:val="22"/>
          <w:szCs w:val="22"/>
        </w:rPr>
        <w:t xml:space="preserve"> for access to product for treatment</w:t>
      </w:r>
      <w:r w:rsidR="00704AFA">
        <w:rPr>
          <w:rFonts w:asciiTheme="minorHAnsi" w:hAnsiTheme="minorHAnsi" w:cstheme="minorHAnsi"/>
          <w:sz w:val="22"/>
          <w:szCs w:val="22"/>
        </w:rPr>
        <w:t>.</w:t>
      </w:r>
    </w:p>
    <w:p w:rsidR="00F628AB" w:rsidRDefault="00A61C1D" w:rsidP="00704AFA">
      <w:pPr>
        <w:pStyle w:val="Default"/>
        <w:rPr>
          <w:rFonts w:asciiTheme="minorHAnsi" w:hAnsiTheme="minorHAnsi" w:cstheme="minorHAnsi"/>
          <w:sz w:val="22"/>
          <w:szCs w:val="22"/>
        </w:rPr>
      </w:pPr>
      <w:r w:rsidRPr="00704AFA">
        <w:rPr>
          <w:rFonts w:asciiTheme="minorHAnsi" w:hAnsiTheme="minorHAnsi" w:cstheme="minorHAnsi"/>
          <w:sz w:val="22"/>
          <w:szCs w:val="22"/>
        </w:rPr>
        <w:t xml:space="preserve">Critical health data is required to enable the assessment </w:t>
      </w:r>
      <w:r w:rsidR="00F628AB">
        <w:rPr>
          <w:rFonts w:asciiTheme="minorHAnsi" w:hAnsiTheme="minorHAnsi" w:cstheme="minorHAnsi"/>
          <w:sz w:val="22"/>
          <w:szCs w:val="22"/>
        </w:rPr>
        <w:t xml:space="preserve">by the Authoriser </w:t>
      </w:r>
      <w:r w:rsidRPr="00704AFA">
        <w:rPr>
          <w:rFonts w:asciiTheme="minorHAnsi" w:hAnsiTheme="minorHAnsi" w:cstheme="minorHAnsi"/>
          <w:sz w:val="22"/>
          <w:szCs w:val="22"/>
        </w:rPr>
        <w:t xml:space="preserve">of the patient’s medical condition against the qualifying criteria and review criteria </w:t>
      </w:r>
      <w:r w:rsidR="00395028" w:rsidRPr="00704AFA">
        <w:rPr>
          <w:rFonts w:asciiTheme="minorHAnsi" w:hAnsiTheme="minorHAnsi" w:cstheme="minorHAnsi"/>
          <w:sz w:val="22"/>
          <w:szCs w:val="22"/>
        </w:rPr>
        <w:t xml:space="preserve">as </w:t>
      </w:r>
      <w:r w:rsidRPr="00704AFA">
        <w:rPr>
          <w:rFonts w:asciiTheme="minorHAnsi" w:hAnsiTheme="minorHAnsi" w:cstheme="minorHAnsi"/>
          <w:sz w:val="22"/>
          <w:szCs w:val="22"/>
        </w:rPr>
        <w:t>specified in the Criteria</w:t>
      </w:r>
      <w:r w:rsidR="00E057EA" w:rsidRPr="00704AFA">
        <w:rPr>
          <w:rFonts w:asciiTheme="minorHAnsi" w:hAnsiTheme="minorHAnsi" w:cstheme="minorHAnsi"/>
          <w:sz w:val="22"/>
          <w:szCs w:val="22"/>
        </w:rPr>
        <w:t>.  T</w:t>
      </w:r>
      <w:r w:rsidR="00064EDE" w:rsidRPr="00704AFA">
        <w:rPr>
          <w:rFonts w:asciiTheme="minorHAnsi" w:hAnsiTheme="minorHAnsi" w:cstheme="minorHAnsi"/>
          <w:sz w:val="22"/>
          <w:szCs w:val="22"/>
        </w:rPr>
        <w:t>his includes the provision of medical test</w:t>
      </w:r>
      <w:r w:rsidR="00733200" w:rsidRPr="00704AFA">
        <w:rPr>
          <w:rFonts w:asciiTheme="minorHAnsi" w:hAnsiTheme="minorHAnsi" w:cstheme="minorHAnsi"/>
          <w:sz w:val="22"/>
          <w:szCs w:val="22"/>
        </w:rPr>
        <w:t xml:space="preserve"> results</w:t>
      </w:r>
      <w:r w:rsidR="00064EDE" w:rsidRPr="00704AFA">
        <w:rPr>
          <w:rFonts w:asciiTheme="minorHAnsi" w:hAnsiTheme="minorHAnsi" w:cstheme="minorHAnsi"/>
          <w:sz w:val="22"/>
          <w:szCs w:val="22"/>
        </w:rPr>
        <w:t xml:space="preserve"> and reports uploaded to </w:t>
      </w:r>
      <w:proofErr w:type="spellStart"/>
      <w:r w:rsidR="001D735F">
        <w:rPr>
          <w:rFonts w:asciiTheme="minorHAnsi" w:hAnsiTheme="minorHAnsi" w:cstheme="minorHAnsi"/>
          <w:sz w:val="22"/>
          <w:szCs w:val="22"/>
        </w:rPr>
        <w:t>BloodSTAR</w:t>
      </w:r>
      <w:proofErr w:type="spellEnd"/>
      <w:r w:rsidR="00E057EA" w:rsidRPr="00704AFA">
        <w:rPr>
          <w:rFonts w:asciiTheme="minorHAnsi" w:hAnsiTheme="minorHAnsi" w:cstheme="minorHAnsi"/>
          <w:sz w:val="22"/>
          <w:szCs w:val="22"/>
        </w:rPr>
        <w:t>, and discretionary information provided</w:t>
      </w:r>
      <w:r w:rsidR="00064EDE" w:rsidRPr="00704AFA">
        <w:rPr>
          <w:rFonts w:asciiTheme="minorHAnsi" w:hAnsiTheme="minorHAnsi" w:cstheme="minorHAnsi"/>
          <w:sz w:val="22"/>
          <w:szCs w:val="22"/>
        </w:rPr>
        <w:t xml:space="preserve"> to substantiate a claim against the Criteria</w:t>
      </w:r>
      <w:r w:rsidRPr="00704AFA">
        <w:rPr>
          <w:rFonts w:asciiTheme="minorHAnsi" w:hAnsiTheme="minorHAnsi" w:cstheme="minorHAnsi"/>
          <w:sz w:val="22"/>
          <w:szCs w:val="22"/>
        </w:rPr>
        <w:t xml:space="preserve">. </w:t>
      </w:r>
    </w:p>
    <w:p w:rsidR="0097217A" w:rsidRPr="00704AFA" w:rsidRDefault="00BF76A6" w:rsidP="00704AFA">
      <w:pPr>
        <w:pStyle w:val="Default"/>
        <w:rPr>
          <w:rFonts w:asciiTheme="minorHAnsi" w:hAnsiTheme="minorHAnsi" w:cstheme="minorHAnsi"/>
          <w:sz w:val="22"/>
          <w:szCs w:val="22"/>
        </w:rPr>
      </w:pPr>
      <w:r w:rsidRPr="00704AFA">
        <w:rPr>
          <w:rFonts w:asciiTheme="minorHAnsi" w:hAnsiTheme="minorHAnsi" w:cstheme="minorHAnsi"/>
          <w:sz w:val="22"/>
          <w:szCs w:val="22"/>
        </w:rPr>
        <w:t xml:space="preserve">Information contained in </w:t>
      </w:r>
      <w:r w:rsidR="00587655" w:rsidRPr="00704AFA">
        <w:rPr>
          <w:rFonts w:asciiTheme="minorHAnsi" w:hAnsiTheme="minorHAnsi" w:cstheme="minorHAnsi"/>
          <w:sz w:val="22"/>
          <w:szCs w:val="22"/>
        </w:rPr>
        <w:t>medical test</w:t>
      </w:r>
      <w:r w:rsidRPr="00704AFA">
        <w:rPr>
          <w:rFonts w:asciiTheme="minorHAnsi" w:hAnsiTheme="minorHAnsi" w:cstheme="minorHAnsi"/>
          <w:sz w:val="22"/>
          <w:szCs w:val="22"/>
        </w:rPr>
        <w:t xml:space="preserve"> reports may be beyond the information required to sup</w:t>
      </w:r>
      <w:r w:rsidR="00733149" w:rsidRPr="00704AFA">
        <w:rPr>
          <w:rFonts w:asciiTheme="minorHAnsi" w:hAnsiTheme="minorHAnsi" w:cstheme="minorHAnsi"/>
          <w:sz w:val="22"/>
          <w:szCs w:val="22"/>
        </w:rPr>
        <w:t>port a claim, for example a</w:t>
      </w:r>
      <w:r w:rsidR="00495D67" w:rsidRPr="00704AFA">
        <w:rPr>
          <w:rFonts w:asciiTheme="minorHAnsi" w:hAnsiTheme="minorHAnsi" w:cstheme="minorHAnsi"/>
          <w:sz w:val="22"/>
          <w:szCs w:val="22"/>
        </w:rPr>
        <w:t xml:space="preserve"> haemoglobin level would be obtained from a </w:t>
      </w:r>
      <w:r w:rsidR="00587655" w:rsidRPr="00704AFA">
        <w:rPr>
          <w:rFonts w:asciiTheme="minorHAnsi" w:hAnsiTheme="minorHAnsi" w:cstheme="minorHAnsi"/>
          <w:sz w:val="22"/>
          <w:szCs w:val="22"/>
        </w:rPr>
        <w:t>full</w:t>
      </w:r>
      <w:r w:rsidRPr="00704AFA">
        <w:rPr>
          <w:rFonts w:asciiTheme="minorHAnsi" w:hAnsiTheme="minorHAnsi" w:cstheme="minorHAnsi"/>
          <w:sz w:val="22"/>
          <w:szCs w:val="22"/>
        </w:rPr>
        <w:t xml:space="preserve"> blood count </w:t>
      </w:r>
      <w:r w:rsidR="00495D67" w:rsidRPr="00704AFA">
        <w:rPr>
          <w:rFonts w:asciiTheme="minorHAnsi" w:hAnsiTheme="minorHAnsi" w:cstheme="minorHAnsi"/>
          <w:sz w:val="22"/>
          <w:szCs w:val="22"/>
        </w:rPr>
        <w:t>(</w:t>
      </w:r>
      <w:proofErr w:type="spellStart"/>
      <w:r w:rsidR="00495D67" w:rsidRPr="00704AFA">
        <w:rPr>
          <w:rFonts w:asciiTheme="minorHAnsi" w:hAnsiTheme="minorHAnsi" w:cstheme="minorHAnsi"/>
          <w:sz w:val="22"/>
          <w:szCs w:val="22"/>
        </w:rPr>
        <w:t>FBC</w:t>
      </w:r>
      <w:proofErr w:type="spellEnd"/>
      <w:r w:rsidR="00495D67" w:rsidRPr="00704AFA">
        <w:rPr>
          <w:rFonts w:asciiTheme="minorHAnsi" w:hAnsiTheme="minorHAnsi" w:cstheme="minorHAnsi"/>
          <w:sz w:val="22"/>
          <w:szCs w:val="22"/>
        </w:rPr>
        <w:t xml:space="preserve">) which </w:t>
      </w:r>
      <w:r w:rsidR="00587655" w:rsidRPr="00704AFA">
        <w:rPr>
          <w:rFonts w:asciiTheme="minorHAnsi" w:hAnsiTheme="minorHAnsi" w:cstheme="minorHAnsi"/>
          <w:sz w:val="22"/>
          <w:szCs w:val="22"/>
        </w:rPr>
        <w:t>may</w:t>
      </w:r>
      <w:r w:rsidRPr="00704AFA">
        <w:rPr>
          <w:rFonts w:asciiTheme="minorHAnsi" w:hAnsiTheme="minorHAnsi" w:cstheme="minorHAnsi"/>
          <w:sz w:val="22"/>
          <w:szCs w:val="22"/>
        </w:rPr>
        <w:t xml:space="preserve"> </w:t>
      </w:r>
      <w:r w:rsidR="00495D67" w:rsidRPr="00704AFA">
        <w:rPr>
          <w:rFonts w:asciiTheme="minorHAnsi" w:hAnsiTheme="minorHAnsi" w:cstheme="minorHAnsi"/>
          <w:sz w:val="22"/>
          <w:szCs w:val="22"/>
        </w:rPr>
        <w:t xml:space="preserve">also </w:t>
      </w:r>
      <w:r w:rsidRPr="00704AFA">
        <w:rPr>
          <w:rFonts w:asciiTheme="minorHAnsi" w:hAnsiTheme="minorHAnsi" w:cstheme="minorHAnsi"/>
          <w:sz w:val="22"/>
          <w:szCs w:val="22"/>
        </w:rPr>
        <w:t xml:space="preserve">contain information about the </w:t>
      </w:r>
      <w:r w:rsidR="00495D67" w:rsidRPr="00704AFA">
        <w:rPr>
          <w:rFonts w:asciiTheme="minorHAnsi" w:hAnsiTheme="minorHAnsi" w:cstheme="minorHAnsi"/>
          <w:sz w:val="22"/>
          <w:szCs w:val="22"/>
        </w:rPr>
        <w:t xml:space="preserve">overall </w:t>
      </w:r>
      <w:r w:rsidRPr="00704AFA">
        <w:rPr>
          <w:rFonts w:asciiTheme="minorHAnsi" w:hAnsiTheme="minorHAnsi" w:cstheme="minorHAnsi"/>
          <w:sz w:val="22"/>
          <w:szCs w:val="22"/>
        </w:rPr>
        <w:t xml:space="preserve">patient’s </w:t>
      </w:r>
      <w:r w:rsidR="00587655" w:rsidRPr="00704AFA">
        <w:rPr>
          <w:rFonts w:asciiTheme="minorHAnsi" w:hAnsiTheme="minorHAnsi" w:cstheme="minorHAnsi"/>
          <w:sz w:val="22"/>
          <w:szCs w:val="22"/>
        </w:rPr>
        <w:t>physiology</w:t>
      </w:r>
      <w:r w:rsidR="00495D67" w:rsidRPr="00704AFA">
        <w:rPr>
          <w:rFonts w:asciiTheme="minorHAnsi" w:hAnsiTheme="minorHAnsi" w:cstheme="minorHAnsi"/>
          <w:sz w:val="22"/>
          <w:szCs w:val="22"/>
        </w:rPr>
        <w:t xml:space="preserve">.  </w:t>
      </w:r>
      <w:r w:rsidR="00587655" w:rsidRPr="00704AFA">
        <w:rPr>
          <w:rFonts w:asciiTheme="minorHAnsi" w:hAnsiTheme="minorHAnsi" w:cstheme="minorHAnsi"/>
          <w:sz w:val="22"/>
          <w:szCs w:val="22"/>
        </w:rPr>
        <w:t xml:space="preserve">Many illnesses, diseases or infections can </w:t>
      </w:r>
      <w:r w:rsidR="00495D67" w:rsidRPr="00704AFA">
        <w:rPr>
          <w:rFonts w:asciiTheme="minorHAnsi" w:hAnsiTheme="minorHAnsi" w:cstheme="minorHAnsi"/>
          <w:sz w:val="22"/>
          <w:szCs w:val="22"/>
        </w:rPr>
        <w:t xml:space="preserve">be indicated from </w:t>
      </w:r>
      <w:r w:rsidR="00704AFA">
        <w:rPr>
          <w:rFonts w:asciiTheme="minorHAnsi" w:hAnsiTheme="minorHAnsi" w:cstheme="minorHAnsi"/>
          <w:sz w:val="22"/>
          <w:szCs w:val="22"/>
        </w:rPr>
        <w:t xml:space="preserve">abnormal </w:t>
      </w:r>
      <w:proofErr w:type="spellStart"/>
      <w:r w:rsidR="00704AFA">
        <w:rPr>
          <w:rFonts w:asciiTheme="minorHAnsi" w:hAnsiTheme="minorHAnsi" w:cstheme="minorHAnsi"/>
          <w:sz w:val="22"/>
          <w:szCs w:val="22"/>
        </w:rPr>
        <w:t>FBC</w:t>
      </w:r>
      <w:proofErr w:type="spellEnd"/>
      <w:r w:rsidR="00704AFA">
        <w:rPr>
          <w:rFonts w:asciiTheme="minorHAnsi" w:hAnsiTheme="minorHAnsi" w:cstheme="minorHAnsi"/>
          <w:sz w:val="22"/>
          <w:szCs w:val="22"/>
        </w:rPr>
        <w:t xml:space="preserve"> result.</w:t>
      </w:r>
    </w:p>
    <w:p w:rsidR="0097217A" w:rsidRPr="00704AFA" w:rsidRDefault="003A70AC" w:rsidP="00704AFA">
      <w:pPr>
        <w:pStyle w:val="Default"/>
        <w:rPr>
          <w:rFonts w:asciiTheme="minorHAnsi" w:hAnsiTheme="minorHAnsi" w:cstheme="minorHAnsi"/>
          <w:sz w:val="22"/>
          <w:szCs w:val="22"/>
        </w:rPr>
      </w:pPr>
      <w:r w:rsidRPr="00704AFA">
        <w:rPr>
          <w:rFonts w:asciiTheme="minorHAnsi" w:hAnsiTheme="minorHAnsi" w:cstheme="minorHAnsi"/>
          <w:sz w:val="22"/>
          <w:szCs w:val="22"/>
        </w:rPr>
        <w:t>I</w:t>
      </w:r>
      <w:r w:rsidR="0097217A" w:rsidRPr="00704AFA">
        <w:rPr>
          <w:rFonts w:asciiTheme="minorHAnsi" w:hAnsiTheme="minorHAnsi" w:cstheme="minorHAnsi"/>
          <w:sz w:val="22"/>
          <w:szCs w:val="22"/>
        </w:rPr>
        <w:t xml:space="preserve">nformation </w:t>
      </w:r>
      <w:r w:rsidRPr="00704AFA">
        <w:rPr>
          <w:rFonts w:asciiTheme="minorHAnsi" w:hAnsiTheme="minorHAnsi" w:cstheme="minorHAnsi"/>
          <w:sz w:val="22"/>
          <w:szCs w:val="22"/>
        </w:rPr>
        <w:t xml:space="preserve">relating to </w:t>
      </w:r>
      <w:r w:rsidR="0097217A" w:rsidRPr="00704AFA">
        <w:rPr>
          <w:rFonts w:asciiTheme="minorHAnsi" w:hAnsiTheme="minorHAnsi" w:cstheme="minorHAnsi"/>
          <w:sz w:val="22"/>
          <w:szCs w:val="22"/>
        </w:rPr>
        <w:t>imm</w:t>
      </w:r>
      <w:r w:rsidR="0097217A" w:rsidRPr="009A1497">
        <w:rPr>
          <w:rFonts w:asciiTheme="minorHAnsi" w:hAnsiTheme="minorHAnsi" w:cstheme="minorHAnsi"/>
          <w:sz w:val="22"/>
          <w:szCs w:val="22"/>
        </w:rPr>
        <w:t>unoglobulin product disp</w:t>
      </w:r>
      <w:r w:rsidR="00B77CFD" w:rsidRPr="009A1497">
        <w:rPr>
          <w:rFonts w:asciiTheme="minorHAnsi" w:hAnsiTheme="minorHAnsi" w:cstheme="minorHAnsi"/>
          <w:sz w:val="22"/>
          <w:szCs w:val="22"/>
        </w:rPr>
        <w:t>ense events</w:t>
      </w:r>
      <w:r w:rsidR="0093649E" w:rsidRPr="009A1497">
        <w:rPr>
          <w:rFonts w:asciiTheme="minorHAnsi" w:hAnsiTheme="minorHAnsi" w:cstheme="minorHAnsi"/>
          <w:sz w:val="22"/>
          <w:szCs w:val="22"/>
        </w:rPr>
        <w:t xml:space="preserve"> </w:t>
      </w:r>
      <w:r w:rsidR="00395028" w:rsidRPr="009A1497">
        <w:rPr>
          <w:rFonts w:asciiTheme="minorHAnsi" w:hAnsiTheme="minorHAnsi" w:cstheme="minorHAnsi"/>
          <w:sz w:val="22"/>
          <w:szCs w:val="22"/>
        </w:rPr>
        <w:t xml:space="preserve">must be reconciled </w:t>
      </w:r>
      <w:r w:rsidR="00254E52" w:rsidRPr="009A1497">
        <w:rPr>
          <w:rFonts w:asciiTheme="minorHAnsi" w:hAnsiTheme="minorHAnsi" w:cstheme="minorHAnsi"/>
          <w:sz w:val="22"/>
          <w:szCs w:val="22"/>
        </w:rPr>
        <w:t xml:space="preserve">against authorised </w:t>
      </w:r>
      <w:r w:rsidR="00064EDE" w:rsidRPr="009A1497">
        <w:rPr>
          <w:rFonts w:asciiTheme="minorHAnsi" w:hAnsiTheme="minorHAnsi" w:cstheme="minorHAnsi"/>
          <w:sz w:val="22"/>
          <w:szCs w:val="22"/>
        </w:rPr>
        <w:t xml:space="preserve">patients </w:t>
      </w:r>
      <w:r w:rsidR="00254E52" w:rsidRPr="009A1497">
        <w:rPr>
          <w:rFonts w:asciiTheme="minorHAnsi" w:hAnsiTheme="minorHAnsi" w:cstheme="minorHAnsi"/>
          <w:sz w:val="22"/>
          <w:szCs w:val="22"/>
        </w:rPr>
        <w:t xml:space="preserve">and </w:t>
      </w:r>
      <w:r w:rsidR="0097217A" w:rsidRPr="004E66E5">
        <w:rPr>
          <w:rFonts w:asciiTheme="minorHAnsi" w:hAnsiTheme="minorHAnsi" w:cstheme="minorHAnsi"/>
          <w:sz w:val="22"/>
          <w:szCs w:val="22"/>
        </w:rPr>
        <w:t xml:space="preserve">will be collected </w:t>
      </w:r>
      <w:r w:rsidR="00B77CFD" w:rsidRPr="004E66E5">
        <w:rPr>
          <w:rFonts w:asciiTheme="minorHAnsi" w:hAnsiTheme="minorHAnsi" w:cstheme="minorHAnsi"/>
          <w:sz w:val="22"/>
          <w:szCs w:val="22"/>
        </w:rPr>
        <w:t>via</w:t>
      </w:r>
      <w:r w:rsidR="0097217A" w:rsidRPr="004E66E5">
        <w:rPr>
          <w:rFonts w:asciiTheme="minorHAnsi" w:hAnsiTheme="minorHAnsi" w:cstheme="minorHAnsi"/>
          <w:sz w:val="22"/>
          <w:szCs w:val="22"/>
        </w:rPr>
        <w:t xml:space="preserve"> an interface with hospital laboratory information system (LIS)</w:t>
      </w:r>
      <w:r w:rsidR="000E7741" w:rsidRPr="004E66E5">
        <w:rPr>
          <w:rFonts w:asciiTheme="minorHAnsi" w:hAnsiTheme="minorHAnsi" w:cstheme="minorHAnsi"/>
          <w:sz w:val="22"/>
          <w:szCs w:val="22"/>
        </w:rPr>
        <w:t>,</w:t>
      </w:r>
      <w:r w:rsidR="00B77CFD" w:rsidRPr="004E66E5">
        <w:rPr>
          <w:rFonts w:asciiTheme="minorHAnsi" w:hAnsiTheme="minorHAnsi" w:cstheme="minorHAnsi"/>
          <w:sz w:val="22"/>
          <w:szCs w:val="22"/>
        </w:rPr>
        <w:t xml:space="preserve"> where available</w:t>
      </w:r>
      <w:r w:rsidR="0097217A" w:rsidRPr="004E66E5">
        <w:rPr>
          <w:rFonts w:asciiTheme="minorHAnsi" w:hAnsiTheme="minorHAnsi" w:cstheme="minorHAnsi"/>
          <w:sz w:val="22"/>
          <w:szCs w:val="22"/>
        </w:rPr>
        <w:t>.</w:t>
      </w:r>
      <w:r w:rsidR="00B77CFD" w:rsidRPr="004E66E5">
        <w:rPr>
          <w:rFonts w:asciiTheme="minorHAnsi" w:hAnsiTheme="minorHAnsi" w:cstheme="minorHAnsi"/>
          <w:sz w:val="22"/>
          <w:szCs w:val="22"/>
        </w:rPr>
        <w:t xml:space="preserve">  Where </w:t>
      </w:r>
      <w:r w:rsidR="00064EDE" w:rsidRPr="004E66E5">
        <w:rPr>
          <w:rFonts w:asciiTheme="minorHAnsi" w:hAnsiTheme="minorHAnsi" w:cstheme="minorHAnsi"/>
          <w:sz w:val="22"/>
          <w:szCs w:val="22"/>
        </w:rPr>
        <w:t>an interface is</w:t>
      </w:r>
      <w:r w:rsidR="00B77CFD" w:rsidRPr="004E66E5">
        <w:rPr>
          <w:rFonts w:asciiTheme="minorHAnsi" w:hAnsiTheme="minorHAnsi" w:cstheme="minorHAnsi"/>
          <w:sz w:val="22"/>
          <w:szCs w:val="22"/>
        </w:rPr>
        <w:t xml:space="preserve"> not available, this </w:t>
      </w:r>
      <w:r w:rsidR="00254E52" w:rsidRPr="004E66E5">
        <w:rPr>
          <w:rFonts w:asciiTheme="minorHAnsi" w:hAnsiTheme="minorHAnsi" w:cstheme="minorHAnsi"/>
          <w:sz w:val="22"/>
          <w:szCs w:val="22"/>
        </w:rPr>
        <w:t xml:space="preserve">reconciliation </w:t>
      </w:r>
      <w:r w:rsidR="00B77CFD" w:rsidRPr="004E66E5">
        <w:rPr>
          <w:rFonts w:asciiTheme="minorHAnsi" w:hAnsiTheme="minorHAnsi" w:cstheme="minorHAnsi"/>
          <w:sz w:val="22"/>
          <w:szCs w:val="22"/>
        </w:rPr>
        <w:t xml:space="preserve">information will be entered into </w:t>
      </w:r>
      <w:proofErr w:type="spellStart"/>
      <w:r w:rsidR="001D735F" w:rsidRPr="004E66E5">
        <w:rPr>
          <w:rFonts w:asciiTheme="minorHAnsi" w:hAnsiTheme="minorHAnsi" w:cstheme="minorHAnsi"/>
          <w:sz w:val="22"/>
          <w:szCs w:val="22"/>
        </w:rPr>
        <w:t>BloodSTAR</w:t>
      </w:r>
      <w:proofErr w:type="spellEnd"/>
      <w:r w:rsidR="00B77CFD" w:rsidRPr="004E66E5">
        <w:rPr>
          <w:rFonts w:asciiTheme="minorHAnsi" w:hAnsiTheme="minorHAnsi" w:cstheme="minorHAnsi"/>
          <w:sz w:val="22"/>
          <w:szCs w:val="22"/>
        </w:rPr>
        <w:t xml:space="preserve"> manually by Dispensers.</w:t>
      </w:r>
    </w:p>
    <w:p w:rsidR="00B43523" w:rsidRDefault="005C74BF" w:rsidP="002674E9">
      <w:pPr>
        <w:pStyle w:val="Heading3"/>
        <w:rPr>
          <w:lang w:eastAsia="en-AU"/>
        </w:rPr>
      </w:pPr>
      <w:r>
        <w:rPr>
          <w:lang w:eastAsia="en-AU"/>
        </w:rPr>
        <w:t>Privacy</w:t>
      </w:r>
      <w:r w:rsidR="00B43523" w:rsidRPr="00B43523">
        <w:rPr>
          <w:lang w:eastAsia="en-AU"/>
        </w:rPr>
        <w:t xml:space="preserve"> consent</w:t>
      </w:r>
    </w:p>
    <w:p w:rsidR="00EA06E6" w:rsidRPr="00704AFA" w:rsidRDefault="0097217A" w:rsidP="00704AFA">
      <w:pPr>
        <w:pStyle w:val="Default"/>
        <w:rPr>
          <w:rFonts w:asciiTheme="minorHAnsi" w:hAnsiTheme="minorHAnsi" w:cstheme="minorHAnsi"/>
          <w:sz w:val="22"/>
          <w:szCs w:val="22"/>
        </w:rPr>
      </w:pPr>
      <w:r w:rsidRPr="00704AFA">
        <w:rPr>
          <w:rFonts w:asciiTheme="minorHAnsi" w:hAnsiTheme="minorHAnsi" w:cstheme="minorHAnsi"/>
          <w:sz w:val="22"/>
          <w:szCs w:val="22"/>
        </w:rPr>
        <w:t xml:space="preserve">Confirmation that </w:t>
      </w:r>
      <w:r w:rsidR="00345478" w:rsidRPr="00704AFA">
        <w:rPr>
          <w:rFonts w:asciiTheme="minorHAnsi" w:hAnsiTheme="minorHAnsi" w:cstheme="minorHAnsi"/>
          <w:sz w:val="22"/>
          <w:szCs w:val="22"/>
        </w:rPr>
        <w:t>an individual</w:t>
      </w:r>
      <w:r w:rsidRPr="00704AFA">
        <w:rPr>
          <w:rFonts w:asciiTheme="minorHAnsi" w:hAnsiTheme="minorHAnsi" w:cstheme="minorHAnsi"/>
          <w:sz w:val="22"/>
          <w:szCs w:val="22"/>
        </w:rPr>
        <w:t xml:space="preserve"> has provided their explicit (written or verbal) consent to the collection, use </w:t>
      </w:r>
      <w:r w:rsidR="008026CE">
        <w:rPr>
          <w:rFonts w:asciiTheme="minorHAnsi" w:hAnsiTheme="minorHAnsi" w:cstheme="minorHAnsi"/>
          <w:sz w:val="22"/>
          <w:szCs w:val="22"/>
        </w:rPr>
        <w:t>and disclosure o</w:t>
      </w:r>
      <w:r w:rsidRPr="00704AFA">
        <w:rPr>
          <w:rFonts w:asciiTheme="minorHAnsi" w:hAnsiTheme="minorHAnsi" w:cstheme="minorHAnsi"/>
          <w:sz w:val="22"/>
          <w:szCs w:val="22"/>
        </w:rPr>
        <w:t xml:space="preserve">f their personal sensitive data is a requirement under </w:t>
      </w:r>
      <w:hyperlink r:id="rId16" w:history="1">
        <w:r w:rsidRPr="00704AFA">
          <w:rPr>
            <w:rFonts w:asciiTheme="minorHAnsi" w:hAnsiTheme="minorHAnsi" w:cstheme="minorHAnsi"/>
            <w:sz w:val="22"/>
            <w:szCs w:val="22"/>
          </w:rPr>
          <w:t>APP</w:t>
        </w:r>
        <w:r w:rsidR="00B33A53" w:rsidRPr="00704AFA">
          <w:rPr>
            <w:rFonts w:asciiTheme="minorHAnsi" w:hAnsiTheme="minorHAnsi" w:cstheme="minorHAnsi"/>
            <w:sz w:val="22"/>
            <w:szCs w:val="22"/>
          </w:rPr>
          <w:t xml:space="preserve"> 3</w:t>
        </w:r>
        <w:r w:rsidRPr="00704AFA">
          <w:rPr>
            <w:rFonts w:asciiTheme="minorHAnsi" w:hAnsiTheme="minorHAnsi" w:cstheme="minorHAnsi"/>
            <w:sz w:val="22"/>
            <w:szCs w:val="22"/>
          </w:rPr>
          <w:t>,</w:t>
        </w:r>
      </w:hyperlink>
      <w:r w:rsidRPr="00704AFA">
        <w:rPr>
          <w:rFonts w:asciiTheme="minorHAnsi" w:hAnsiTheme="minorHAnsi" w:cstheme="minorHAnsi"/>
          <w:sz w:val="22"/>
          <w:szCs w:val="22"/>
        </w:rPr>
        <w:t xml:space="preserve"> in the Privacy Act 1988 (</w:t>
      </w:r>
      <w:proofErr w:type="spellStart"/>
      <w:r w:rsidRPr="00704AFA">
        <w:rPr>
          <w:rFonts w:asciiTheme="minorHAnsi" w:hAnsiTheme="minorHAnsi" w:cstheme="minorHAnsi"/>
          <w:sz w:val="22"/>
          <w:szCs w:val="22"/>
        </w:rPr>
        <w:t>Cth</w:t>
      </w:r>
      <w:proofErr w:type="spellEnd"/>
      <w:r w:rsidRPr="00704AFA">
        <w:rPr>
          <w:rFonts w:asciiTheme="minorHAnsi" w:hAnsiTheme="minorHAnsi" w:cstheme="minorHAnsi"/>
          <w:sz w:val="22"/>
          <w:szCs w:val="22"/>
        </w:rPr>
        <w:t xml:space="preserve">). </w:t>
      </w:r>
      <w:r w:rsidR="008026CE">
        <w:rPr>
          <w:rFonts w:asciiTheme="minorHAnsi" w:hAnsiTheme="minorHAnsi" w:cstheme="minorHAnsi"/>
          <w:sz w:val="22"/>
          <w:szCs w:val="22"/>
        </w:rPr>
        <w:t xml:space="preserve"> </w:t>
      </w:r>
      <w:r w:rsidRPr="00704AFA">
        <w:rPr>
          <w:rFonts w:asciiTheme="minorHAnsi" w:hAnsiTheme="minorHAnsi" w:cstheme="minorHAnsi"/>
          <w:sz w:val="22"/>
          <w:szCs w:val="22"/>
        </w:rPr>
        <w:t xml:space="preserve">Under the Act, </w:t>
      </w:r>
      <w:r w:rsidR="00345478" w:rsidRPr="00704AFA">
        <w:rPr>
          <w:rFonts w:asciiTheme="minorHAnsi" w:hAnsiTheme="minorHAnsi" w:cstheme="minorHAnsi"/>
          <w:sz w:val="22"/>
          <w:szCs w:val="22"/>
        </w:rPr>
        <w:t>individuals</w:t>
      </w:r>
      <w:r w:rsidRPr="00704AFA">
        <w:rPr>
          <w:rFonts w:asciiTheme="minorHAnsi" w:hAnsiTheme="minorHAnsi" w:cstheme="minorHAnsi"/>
          <w:sz w:val="22"/>
          <w:szCs w:val="22"/>
        </w:rPr>
        <w:t xml:space="preserve"> must provide their consent for the collection of </w:t>
      </w:r>
      <w:r w:rsidRPr="00704AFA">
        <w:rPr>
          <w:rFonts w:asciiTheme="minorHAnsi" w:hAnsiTheme="minorHAnsi" w:cstheme="minorHAnsi"/>
          <w:sz w:val="22"/>
          <w:szCs w:val="22"/>
        </w:rPr>
        <w:lastRenderedPageBreak/>
        <w:t xml:space="preserve">their personal </w:t>
      </w:r>
      <w:r w:rsidR="000E7741" w:rsidRPr="00704AFA">
        <w:rPr>
          <w:rFonts w:asciiTheme="minorHAnsi" w:hAnsiTheme="minorHAnsi" w:cstheme="minorHAnsi"/>
          <w:sz w:val="22"/>
          <w:szCs w:val="22"/>
        </w:rPr>
        <w:t xml:space="preserve">and sensitive </w:t>
      </w:r>
      <w:r w:rsidRPr="00704AFA">
        <w:rPr>
          <w:rFonts w:asciiTheme="minorHAnsi" w:hAnsiTheme="minorHAnsi" w:cstheme="minorHAnsi"/>
          <w:sz w:val="22"/>
          <w:szCs w:val="22"/>
        </w:rPr>
        <w:t xml:space="preserve">information, be informed about what their information is being used for and </w:t>
      </w:r>
      <w:r w:rsidR="00613BD0" w:rsidRPr="00704AFA">
        <w:rPr>
          <w:rFonts w:asciiTheme="minorHAnsi" w:hAnsiTheme="minorHAnsi" w:cstheme="minorHAnsi"/>
          <w:sz w:val="22"/>
          <w:szCs w:val="22"/>
        </w:rPr>
        <w:t xml:space="preserve">understand the </w:t>
      </w:r>
      <w:r w:rsidRPr="00704AFA">
        <w:rPr>
          <w:rFonts w:asciiTheme="minorHAnsi" w:hAnsiTheme="minorHAnsi" w:cstheme="minorHAnsi"/>
          <w:sz w:val="22"/>
          <w:szCs w:val="22"/>
        </w:rPr>
        <w:t>usual disclosures</w:t>
      </w:r>
      <w:r w:rsidR="00B33A53" w:rsidRPr="00197335">
        <w:rPr>
          <w:rFonts w:asciiTheme="minorHAnsi" w:hAnsiTheme="minorHAnsi" w:cstheme="minorHAnsi"/>
          <w:sz w:val="22"/>
          <w:szCs w:val="22"/>
          <w:vertAlign w:val="superscript"/>
        </w:rPr>
        <w:footnoteReference w:id="5"/>
      </w:r>
      <w:r w:rsidRPr="00704AFA">
        <w:rPr>
          <w:rFonts w:asciiTheme="minorHAnsi" w:hAnsiTheme="minorHAnsi" w:cstheme="minorHAnsi"/>
          <w:sz w:val="22"/>
          <w:szCs w:val="22"/>
        </w:rPr>
        <w:t xml:space="preserve">. </w:t>
      </w:r>
      <w:r w:rsidR="00524CC3" w:rsidRPr="00704AFA">
        <w:rPr>
          <w:rFonts w:asciiTheme="minorHAnsi" w:hAnsiTheme="minorHAnsi" w:cstheme="minorHAnsi"/>
          <w:sz w:val="22"/>
          <w:szCs w:val="22"/>
        </w:rPr>
        <w:t xml:space="preserve"> </w:t>
      </w:r>
      <w:r w:rsidR="008E7F0A" w:rsidRPr="00704AFA">
        <w:rPr>
          <w:rFonts w:asciiTheme="minorHAnsi" w:hAnsiTheme="minorHAnsi" w:cstheme="minorHAnsi"/>
          <w:sz w:val="22"/>
          <w:szCs w:val="22"/>
        </w:rPr>
        <w:t>A</w:t>
      </w:r>
      <w:r w:rsidR="00003D85" w:rsidRPr="00704AFA">
        <w:rPr>
          <w:rFonts w:asciiTheme="minorHAnsi" w:hAnsiTheme="minorHAnsi" w:cstheme="minorHAnsi"/>
          <w:sz w:val="22"/>
          <w:szCs w:val="22"/>
        </w:rPr>
        <w:t xml:space="preserve"> </w:t>
      </w:r>
      <w:r w:rsidR="00345478" w:rsidRPr="00704AFA">
        <w:rPr>
          <w:rFonts w:asciiTheme="minorHAnsi" w:hAnsiTheme="minorHAnsi" w:cstheme="minorHAnsi"/>
          <w:sz w:val="22"/>
          <w:szCs w:val="22"/>
        </w:rPr>
        <w:t xml:space="preserve">patient </w:t>
      </w:r>
      <w:r w:rsidR="008026CE">
        <w:rPr>
          <w:rFonts w:asciiTheme="minorHAnsi" w:hAnsiTheme="minorHAnsi" w:cstheme="minorHAnsi"/>
          <w:sz w:val="22"/>
          <w:szCs w:val="22"/>
        </w:rPr>
        <w:t xml:space="preserve">(or their parent/carer/guardian) </w:t>
      </w:r>
      <w:r w:rsidR="00720228" w:rsidRPr="00704AFA">
        <w:rPr>
          <w:rFonts w:asciiTheme="minorHAnsi" w:hAnsiTheme="minorHAnsi" w:cstheme="minorHAnsi"/>
          <w:sz w:val="22"/>
          <w:szCs w:val="22"/>
        </w:rPr>
        <w:t xml:space="preserve">who is the subject of an authorisation request </w:t>
      </w:r>
      <w:r w:rsidR="00003D85" w:rsidRPr="00704AFA">
        <w:rPr>
          <w:rFonts w:asciiTheme="minorHAnsi" w:hAnsiTheme="minorHAnsi" w:cstheme="minorHAnsi"/>
          <w:sz w:val="22"/>
          <w:szCs w:val="22"/>
        </w:rPr>
        <w:t xml:space="preserve">will </w:t>
      </w:r>
      <w:r w:rsidRPr="00704AFA">
        <w:rPr>
          <w:rFonts w:asciiTheme="minorHAnsi" w:hAnsiTheme="minorHAnsi" w:cstheme="minorHAnsi"/>
          <w:sz w:val="22"/>
          <w:szCs w:val="22"/>
        </w:rPr>
        <w:t xml:space="preserve">therefore </w:t>
      </w:r>
      <w:r w:rsidR="00003D85" w:rsidRPr="00704AFA">
        <w:rPr>
          <w:rFonts w:asciiTheme="minorHAnsi" w:hAnsiTheme="minorHAnsi" w:cstheme="minorHAnsi"/>
          <w:sz w:val="22"/>
          <w:szCs w:val="22"/>
        </w:rPr>
        <w:t xml:space="preserve">be required to provide </w:t>
      </w:r>
      <w:r w:rsidRPr="00704AFA">
        <w:rPr>
          <w:rFonts w:asciiTheme="minorHAnsi" w:hAnsiTheme="minorHAnsi" w:cstheme="minorHAnsi"/>
          <w:sz w:val="22"/>
          <w:szCs w:val="22"/>
        </w:rPr>
        <w:t>explicit</w:t>
      </w:r>
      <w:r w:rsidR="00876B1A" w:rsidRPr="00704AFA">
        <w:rPr>
          <w:rFonts w:asciiTheme="minorHAnsi" w:hAnsiTheme="minorHAnsi" w:cstheme="minorHAnsi"/>
          <w:sz w:val="22"/>
          <w:szCs w:val="22"/>
        </w:rPr>
        <w:t xml:space="preserve"> </w:t>
      </w:r>
      <w:r w:rsidR="003E359E" w:rsidRPr="00704AFA">
        <w:rPr>
          <w:rFonts w:asciiTheme="minorHAnsi" w:hAnsiTheme="minorHAnsi" w:cstheme="minorHAnsi"/>
          <w:sz w:val="22"/>
          <w:szCs w:val="22"/>
        </w:rPr>
        <w:t xml:space="preserve">consent </w:t>
      </w:r>
      <w:r w:rsidR="000E7741" w:rsidRPr="00704AFA">
        <w:rPr>
          <w:rFonts w:asciiTheme="minorHAnsi" w:hAnsiTheme="minorHAnsi" w:cstheme="minorHAnsi"/>
          <w:sz w:val="22"/>
          <w:szCs w:val="22"/>
        </w:rPr>
        <w:t xml:space="preserve">(written or </w:t>
      </w:r>
      <w:r w:rsidR="00FF5EE5">
        <w:rPr>
          <w:rFonts w:asciiTheme="minorHAnsi" w:hAnsiTheme="minorHAnsi" w:cstheme="minorHAnsi"/>
          <w:sz w:val="22"/>
          <w:szCs w:val="22"/>
        </w:rPr>
        <w:t>verbal</w:t>
      </w:r>
      <w:r w:rsidR="000E7741" w:rsidRPr="00704AFA">
        <w:rPr>
          <w:rFonts w:asciiTheme="minorHAnsi" w:hAnsiTheme="minorHAnsi" w:cstheme="minorHAnsi"/>
          <w:sz w:val="22"/>
          <w:szCs w:val="22"/>
        </w:rPr>
        <w:t xml:space="preserve">) </w:t>
      </w:r>
      <w:r w:rsidR="003E359E" w:rsidRPr="00704AFA">
        <w:rPr>
          <w:rFonts w:asciiTheme="minorHAnsi" w:hAnsiTheme="minorHAnsi" w:cstheme="minorHAnsi"/>
          <w:sz w:val="22"/>
          <w:szCs w:val="22"/>
        </w:rPr>
        <w:t xml:space="preserve">for </w:t>
      </w:r>
      <w:r w:rsidR="00003D85" w:rsidRPr="00704AFA">
        <w:rPr>
          <w:rFonts w:asciiTheme="minorHAnsi" w:hAnsiTheme="minorHAnsi" w:cstheme="minorHAnsi"/>
          <w:sz w:val="22"/>
          <w:szCs w:val="22"/>
        </w:rPr>
        <w:t>the</w:t>
      </w:r>
      <w:r w:rsidR="000E7741" w:rsidRPr="00704AFA">
        <w:rPr>
          <w:rFonts w:asciiTheme="minorHAnsi" w:hAnsiTheme="minorHAnsi" w:cstheme="minorHAnsi"/>
          <w:sz w:val="22"/>
          <w:szCs w:val="22"/>
        </w:rPr>
        <w:t xml:space="preserve"> collection, use and disclosure </w:t>
      </w:r>
      <w:r w:rsidR="00003D85" w:rsidRPr="00704AFA">
        <w:rPr>
          <w:rFonts w:asciiTheme="minorHAnsi" w:hAnsiTheme="minorHAnsi" w:cstheme="minorHAnsi"/>
          <w:sz w:val="22"/>
          <w:szCs w:val="22"/>
        </w:rPr>
        <w:t>of their personal</w:t>
      </w:r>
      <w:r w:rsidR="000E7741" w:rsidRPr="00704AFA">
        <w:rPr>
          <w:rFonts w:asciiTheme="minorHAnsi" w:hAnsiTheme="minorHAnsi" w:cstheme="minorHAnsi"/>
          <w:sz w:val="22"/>
          <w:szCs w:val="22"/>
        </w:rPr>
        <w:t xml:space="preserve"> and</w:t>
      </w:r>
      <w:r w:rsidR="00003D85" w:rsidRPr="00704AFA">
        <w:rPr>
          <w:rFonts w:asciiTheme="minorHAnsi" w:hAnsiTheme="minorHAnsi" w:cstheme="minorHAnsi"/>
          <w:sz w:val="22"/>
          <w:szCs w:val="22"/>
        </w:rPr>
        <w:t xml:space="preserve"> sensitive information</w:t>
      </w:r>
      <w:r w:rsidR="000E7741" w:rsidRPr="00704AFA">
        <w:rPr>
          <w:rFonts w:asciiTheme="minorHAnsi" w:hAnsiTheme="minorHAnsi" w:cstheme="minorHAnsi"/>
          <w:sz w:val="22"/>
          <w:szCs w:val="22"/>
        </w:rPr>
        <w:t xml:space="preserve">.  </w:t>
      </w:r>
      <w:proofErr w:type="spellStart"/>
      <w:r w:rsidR="001D735F">
        <w:rPr>
          <w:rFonts w:asciiTheme="minorHAnsi" w:hAnsiTheme="minorHAnsi" w:cstheme="minorHAnsi"/>
          <w:sz w:val="22"/>
          <w:szCs w:val="22"/>
        </w:rPr>
        <w:t>BloodSTAR</w:t>
      </w:r>
      <w:proofErr w:type="spellEnd"/>
      <w:r w:rsidR="00254E52" w:rsidRPr="00704AFA">
        <w:rPr>
          <w:rFonts w:asciiTheme="minorHAnsi" w:hAnsiTheme="minorHAnsi" w:cstheme="minorHAnsi"/>
          <w:sz w:val="22"/>
          <w:szCs w:val="22"/>
        </w:rPr>
        <w:t xml:space="preserve"> </w:t>
      </w:r>
      <w:r w:rsidR="00FF5EE5">
        <w:rPr>
          <w:rFonts w:asciiTheme="minorHAnsi" w:hAnsiTheme="minorHAnsi" w:cstheme="minorHAnsi"/>
          <w:sz w:val="22"/>
          <w:szCs w:val="22"/>
        </w:rPr>
        <w:t>u</w:t>
      </w:r>
      <w:r w:rsidR="00254E52" w:rsidRPr="00704AFA">
        <w:rPr>
          <w:rFonts w:asciiTheme="minorHAnsi" w:hAnsiTheme="minorHAnsi" w:cstheme="minorHAnsi"/>
          <w:sz w:val="22"/>
          <w:szCs w:val="22"/>
        </w:rPr>
        <w:t>ser</w:t>
      </w:r>
      <w:r w:rsidR="00FF5EE5">
        <w:rPr>
          <w:rFonts w:asciiTheme="minorHAnsi" w:hAnsiTheme="minorHAnsi" w:cstheme="minorHAnsi"/>
          <w:sz w:val="22"/>
          <w:szCs w:val="22"/>
        </w:rPr>
        <w:t>s</w:t>
      </w:r>
      <w:r w:rsidR="00254E52" w:rsidRPr="00704AFA">
        <w:rPr>
          <w:rFonts w:asciiTheme="minorHAnsi" w:hAnsiTheme="minorHAnsi" w:cstheme="minorHAnsi"/>
          <w:sz w:val="22"/>
          <w:szCs w:val="22"/>
        </w:rPr>
        <w:t xml:space="preserve"> </w:t>
      </w:r>
      <w:r w:rsidRPr="00704AFA">
        <w:rPr>
          <w:rFonts w:asciiTheme="minorHAnsi" w:hAnsiTheme="minorHAnsi" w:cstheme="minorHAnsi"/>
          <w:sz w:val="22"/>
          <w:szCs w:val="22"/>
        </w:rPr>
        <w:t xml:space="preserve">entering information </w:t>
      </w:r>
      <w:r w:rsidR="00EA06E6" w:rsidRPr="00704AFA">
        <w:rPr>
          <w:rFonts w:asciiTheme="minorHAnsi" w:hAnsiTheme="minorHAnsi" w:cstheme="minorHAnsi"/>
          <w:sz w:val="22"/>
          <w:szCs w:val="22"/>
        </w:rPr>
        <w:t xml:space="preserve">into </w:t>
      </w:r>
      <w:proofErr w:type="spellStart"/>
      <w:r w:rsidR="001D735F">
        <w:rPr>
          <w:rFonts w:asciiTheme="minorHAnsi" w:hAnsiTheme="minorHAnsi" w:cstheme="minorHAnsi"/>
          <w:sz w:val="22"/>
          <w:szCs w:val="22"/>
        </w:rPr>
        <w:t>BloodSTAR</w:t>
      </w:r>
      <w:proofErr w:type="spellEnd"/>
      <w:r w:rsidR="00EA06E6" w:rsidRPr="00704AFA">
        <w:rPr>
          <w:rFonts w:asciiTheme="minorHAnsi" w:hAnsiTheme="minorHAnsi" w:cstheme="minorHAnsi"/>
          <w:sz w:val="22"/>
          <w:szCs w:val="22"/>
        </w:rPr>
        <w:t xml:space="preserve"> about a patient </w:t>
      </w:r>
      <w:r w:rsidRPr="00704AFA">
        <w:rPr>
          <w:rFonts w:asciiTheme="minorHAnsi" w:hAnsiTheme="minorHAnsi" w:cstheme="minorHAnsi"/>
          <w:sz w:val="22"/>
          <w:szCs w:val="22"/>
        </w:rPr>
        <w:t xml:space="preserve">will </w:t>
      </w:r>
      <w:r w:rsidR="000E7741" w:rsidRPr="00704AFA">
        <w:rPr>
          <w:rFonts w:asciiTheme="minorHAnsi" w:hAnsiTheme="minorHAnsi" w:cstheme="minorHAnsi"/>
          <w:sz w:val="22"/>
          <w:szCs w:val="22"/>
        </w:rPr>
        <w:t xml:space="preserve">be required to ensure and </w:t>
      </w:r>
      <w:r w:rsidRPr="00704AFA">
        <w:rPr>
          <w:rFonts w:asciiTheme="minorHAnsi" w:hAnsiTheme="minorHAnsi" w:cstheme="minorHAnsi"/>
          <w:sz w:val="22"/>
          <w:szCs w:val="22"/>
        </w:rPr>
        <w:t xml:space="preserve">confirm that </w:t>
      </w:r>
      <w:r w:rsidR="00EA06E6" w:rsidRPr="00704AFA">
        <w:rPr>
          <w:rFonts w:asciiTheme="minorHAnsi" w:hAnsiTheme="minorHAnsi" w:cstheme="minorHAnsi"/>
          <w:sz w:val="22"/>
          <w:szCs w:val="22"/>
        </w:rPr>
        <w:t>consent has been obtained</w:t>
      </w:r>
      <w:r w:rsidR="00704AFA">
        <w:rPr>
          <w:rFonts w:asciiTheme="minorHAnsi" w:hAnsiTheme="minorHAnsi" w:cstheme="minorHAnsi"/>
          <w:sz w:val="22"/>
          <w:szCs w:val="22"/>
        </w:rPr>
        <w:t>.</w:t>
      </w:r>
      <w:r w:rsidR="001A7456">
        <w:rPr>
          <w:rFonts w:asciiTheme="minorHAnsi" w:hAnsiTheme="minorHAnsi" w:cstheme="minorHAnsi"/>
          <w:sz w:val="22"/>
          <w:szCs w:val="22"/>
        </w:rPr>
        <w:t xml:space="preserve"> C</w:t>
      </w:r>
      <w:r w:rsidR="001A7456" w:rsidRPr="002B7E38">
        <w:rPr>
          <w:rFonts w:asciiTheme="minorHAnsi" w:hAnsiTheme="minorHAnsi" w:cstheme="minorHAnsi"/>
          <w:sz w:val="22"/>
          <w:szCs w:val="22"/>
        </w:rPr>
        <w:t>onsent must be given b</w:t>
      </w:r>
      <w:r w:rsidR="001A7456">
        <w:rPr>
          <w:rFonts w:asciiTheme="minorHAnsi" w:hAnsiTheme="minorHAnsi" w:cstheme="minorHAnsi"/>
          <w:sz w:val="22"/>
          <w:szCs w:val="22"/>
        </w:rPr>
        <w:t>y</w:t>
      </w:r>
      <w:r w:rsidR="001A7456" w:rsidRPr="002B7E38">
        <w:rPr>
          <w:rFonts w:asciiTheme="minorHAnsi" w:hAnsiTheme="minorHAnsi" w:cstheme="minorHAnsi"/>
          <w:sz w:val="22"/>
          <w:szCs w:val="22"/>
        </w:rPr>
        <w:t xml:space="preserve"> the person with legal “capac</w:t>
      </w:r>
      <w:r w:rsidR="001A7456" w:rsidRPr="001A7456">
        <w:rPr>
          <w:rFonts w:asciiTheme="minorHAnsi" w:hAnsiTheme="minorHAnsi" w:cstheme="minorHAnsi"/>
          <w:sz w:val="22"/>
          <w:szCs w:val="22"/>
        </w:rPr>
        <w:t>ity” to do so, and be voluntary</w:t>
      </w:r>
      <w:r w:rsidR="001A7456">
        <w:rPr>
          <w:rFonts w:asciiTheme="minorHAnsi" w:hAnsiTheme="minorHAnsi" w:cstheme="minorHAnsi"/>
          <w:sz w:val="22"/>
          <w:szCs w:val="22"/>
        </w:rPr>
        <w:t>.  T</w:t>
      </w:r>
      <w:r w:rsidR="001A7456" w:rsidRPr="002B7E38">
        <w:rPr>
          <w:rFonts w:asciiTheme="minorHAnsi" w:hAnsiTheme="minorHAnsi" w:cstheme="minorHAnsi"/>
          <w:sz w:val="22"/>
          <w:szCs w:val="22"/>
        </w:rPr>
        <w:t>he person consenting must also understand, in general terms, the risks of doing</w:t>
      </w:r>
      <w:r w:rsidR="001A7456">
        <w:rPr>
          <w:rFonts w:asciiTheme="minorHAnsi" w:hAnsiTheme="minorHAnsi" w:cstheme="minorHAnsi"/>
          <w:sz w:val="22"/>
          <w:szCs w:val="22"/>
        </w:rPr>
        <w:t xml:space="preserve">/not doing </w:t>
      </w:r>
      <w:r w:rsidR="001A7456" w:rsidRPr="002B7E38">
        <w:rPr>
          <w:rFonts w:asciiTheme="minorHAnsi" w:hAnsiTheme="minorHAnsi" w:cstheme="minorHAnsi"/>
          <w:sz w:val="22"/>
          <w:szCs w:val="22"/>
        </w:rPr>
        <w:t>so; and that consent will remain current</w:t>
      </w:r>
      <w:r w:rsidR="001A7456">
        <w:rPr>
          <w:rFonts w:asciiTheme="minorHAnsi" w:hAnsiTheme="minorHAnsi" w:cstheme="minorHAnsi"/>
          <w:sz w:val="22"/>
          <w:szCs w:val="22"/>
        </w:rPr>
        <w:t xml:space="preserve"> until it is withdrawn.</w:t>
      </w:r>
    </w:p>
    <w:p w:rsidR="00180E87" w:rsidRPr="00704AFA" w:rsidRDefault="00876B1A" w:rsidP="00023C00">
      <w:pPr>
        <w:pStyle w:val="Default"/>
        <w:rPr>
          <w:rFonts w:asciiTheme="minorHAnsi" w:hAnsiTheme="minorHAnsi" w:cstheme="minorHAnsi"/>
          <w:sz w:val="22"/>
          <w:szCs w:val="22"/>
        </w:rPr>
      </w:pPr>
      <w:r w:rsidRPr="00704AFA">
        <w:rPr>
          <w:rFonts w:asciiTheme="minorHAnsi" w:hAnsiTheme="minorHAnsi" w:cstheme="minorHAnsi"/>
          <w:sz w:val="22"/>
          <w:szCs w:val="22"/>
        </w:rPr>
        <w:t xml:space="preserve">Reasonable steps will be taken to inform the </w:t>
      </w:r>
      <w:r w:rsidR="008125B4" w:rsidRPr="00704AFA">
        <w:rPr>
          <w:rFonts w:asciiTheme="minorHAnsi" w:hAnsiTheme="minorHAnsi" w:cstheme="minorHAnsi"/>
          <w:sz w:val="22"/>
          <w:szCs w:val="22"/>
        </w:rPr>
        <w:t>patient</w:t>
      </w:r>
      <w:r w:rsidRPr="00704AFA">
        <w:rPr>
          <w:rFonts w:asciiTheme="minorHAnsi" w:hAnsiTheme="minorHAnsi" w:cstheme="minorHAnsi"/>
          <w:sz w:val="22"/>
          <w:szCs w:val="22"/>
        </w:rPr>
        <w:t xml:space="preserve"> </w:t>
      </w:r>
      <w:r w:rsidR="00254E52" w:rsidRPr="00704AFA">
        <w:rPr>
          <w:rFonts w:asciiTheme="minorHAnsi" w:hAnsiTheme="minorHAnsi" w:cstheme="minorHAnsi"/>
          <w:sz w:val="22"/>
          <w:szCs w:val="22"/>
        </w:rPr>
        <w:t xml:space="preserve">of </w:t>
      </w:r>
      <w:r w:rsidRPr="00704AFA">
        <w:rPr>
          <w:rFonts w:asciiTheme="minorHAnsi" w:hAnsiTheme="minorHAnsi" w:cstheme="minorHAnsi"/>
          <w:sz w:val="22"/>
          <w:szCs w:val="22"/>
        </w:rPr>
        <w:t>the reasons for the collection and what usual</w:t>
      </w:r>
      <w:r w:rsidR="00720228" w:rsidRPr="00704AFA">
        <w:rPr>
          <w:rFonts w:asciiTheme="minorHAnsi" w:hAnsiTheme="minorHAnsi" w:cstheme="minorHAnsi"/>
          <w:sz w:val="22"/>
          <w:szCs w:val="22"/>
        </w:rPr>
        <w:t xml:space="preserve"> uses and disclosures may occur.  This will be achieved through</w:t>
      </w:r>
      <w:r w:rsidRPr="00704AFA">
        <w:rPr>
          <w:rFonts w:asciiTheme="minorHAnsi" w:hAnsiTheme="minorHAnsi" w:cstheme="minorHAnsi"/>
          <w:sz w:val="22"/>
          <w:szCs w:val="22"/>
        </w:rPr>
        <w:t xml:space="preserve"> </w:t>
      </w:r>
      <w:r w:rsidR="00B43523" w:rsidRPr="00704AFA">
        <w:rPr>
          <w:rFonts w:asciiTheme="minorHAnsi" w:hAnsiTheme="minorHAnsi" w:cstheme="minorHAnsi"/>
          <w:sz w:val="22"/>
          <w:szCs w:val="22"/>
        </w:rPr>
        <w:t>the provision of</w:t>
      </w:r>
      <w:r w:rsidR="0097217A" w:rsidRPr="00704AFA">
        <w:rPr>
          <w:rFonts w:asciiTheme="minorHAnsi" w:hAnsiTheme="minorHAnsi" w:cstheme="minorHAnsi"/>
          <w:sz w:val="22"/>
          <w:szCs w:val="22"/>
        </w:rPr>
        <w:t xml:space="preserve"> a </w:t>
      </w:r>
      <w:r w:rsidR="00064EDE" w:rsidRPr="00704AFA">
        <w:rPr>
          <w:rFonts w:asciiTheme="minorHAnsi" w:hAnsiTheme="minorHAnsi" w:cstheme="minorHAnsi"/>
          <w:sz w:val="22"/>
          <w:szCs w:val="22"/>
        </w:rPr>
        <w:t>P</w:t>
      </w:r>
      <w:r w:rsidR="008125B4" w:rsidRPr="00704AFA">
        <w:rPr>
          <w:rFonts w:asciiTheme="minorHAnsi" w:hAnsiTheme="minorHAnsi" w:cstheme="minorHAnsi"/>
          <w:sz w:val="22"/>
          <w:szCs w:val="22"/>
        </w:rPr>
        <w:t xml:space="preserve">rivacy </w:t>
      </w:r>
      <w:r w:rsidR="00FF5EE5">
        <w:rPr>
          <w:rFonts w:asciiTheme="minorHAnsi" w:hAnsiTheme="minorHAnsi" w:cstheme="minorHAnsi"/>
          <w:sz w:val="22"/>
          <w:szCs w:val="22"/>
        </w:rPr>
        <w:t>Statement and</w:t>
      </w:r>
      <w:r w:rsidR="00FF5EE5" w:rsidRPr="00704AFA">
        <w:rPr>
          <w:rFonts w:asciiTheme="minorHAnsi" w:hAnsiTheme="minorHAnsi" w:cstheme="minorHAnsi"/>
          <w:sz w:val="22"/>
          <w:szCs w:val="22"/>
        </w:rPr>
        <w:t xml:space="preserve"> </w:t>
      </w:r>
      <w:r w:rsidR="00064EDE" w:rsidRPr="00704AFA">
        <w:rPr>
          <w:rFonts w:asciiTheme="minorHAnsi" w:hAnsiTheme="minorHAnsi" w:cstheme="minorHAnsi"/>
          <w:sz w:val="22"/>
          <w:szCs w:val="22"/>
        </w:rPr>
        <w:t>N</w:t>
      </w:r>
      <w:r w:rsidR="0097217A" w:rsidRPr="00704AFA">
        <w:rPr>
          <w:rFonts w:asciiTheme="minorHAnsi" w:hAnsiTheme="minorHAnsi" w:cstheme="minorHAnsi"/>
          <w:sz w:val="22"/>
          <w:szCs w:val="22"/>
        </w:rPr>
        <w:t xml:space="preserve">otice </w:t>
      </w:r>
      <w:r w:rsidR="00FF5EE5">
        <w:rPr>
          <w:rFonts w:asciiTheme="minorHAnsi" w:hAnsiTheme="minorHAnsi" w:cstheme="minorHAnsi"/>
          <w:sz w:val="22"/>
          <w:szCs w:val="22"/>
        </w:rPr>
        <w:t xml:space="preserve">(Notice) </w:t>
      </w:r>
      <w:r w:rsidR="00E057EA" w:rsidRPr="00704AFA">
        <w:rPr>
          <w:rFonts w:asciiTheme="minorHAnsi" w:hAnsiTheme="minorHAnsi" w:cstheme="minorHAnsi"/>
          <w:sz w:val="22"/>
          <w:szCs w:val="22"/>
        </w:rPr>
        <w:t xml:space="preserve">written </w:t>
      </w:r>
      <w:r w:rsidR="0097217A" w:rsidRPr="00704AFA">
        <w:rPr>
          <w:rFonts w:asciiTheme="minorHAnsi" w:hAnsiTheme="minorHAnsi" w:cstheme="minorHAnsi"/>
          <w:sz w:val="22"/>
          <w:szCs w:val="22"/>
        </w:rPr>
        <w:t xml:space="preserve">in plain English which </w:t>
      </w:r>
      <w:r w:rsidRPr="00704AFA">
        <w:rPr>
          <w:rFonts w:asciiTheme="minorHAnsi" w:hAnsiTheme="minorHAnsi" w:cstheme="minorHAnsi"/>
          <w:sz w:val="22"/>
          <w:szCs w:val="22"/>
        </w:rPr>
        <w:t xml:space="preserve">will be </w:t>
      </w:r>
      <w:r w:rsidR="00C10606" w:rsidRPr="00704AFA">
        <w:rPr>
          <w:rFonts w:asciiTheme="minorHAnsi" w:hAnsiTheme="minorHAnsi" w:cstheme="minorHAnsi"/>
          <w:sz w:val="22"/>
          <w:szCs w:val="22"/>
        </w:rPr>
        <w:t>made available</w:t>
      </w:r>
      <w:r w:rsidRPr="00704AFA">
        <w:rPr>
          <w:rFonts w:asciiTheme="minorHAnsi" w:hAnsiTheme="minorHAnsi" w:cstheme="minorHAnsi"/>
          <w:sz w:val="22"/>
          <w:szCs w:val="22"/>
        </w:rPr>
        <w:t xml:space="preserve"> within </w:t>
      </w:r>
      <w:proofErr w:type="spellStart"/>
      <w:r w:rsidR="001D735F">
        <w:rPr>
          <w:rFonts w:asciiTheme="minorHAnsi" w:hAnsiTheme="minorHAnsi" w:cstheme="minorHAnsi"/>
          <w:sz w:val="22"/>
          <w:szCs w:val="22"/>
        </w:rPr>
        <w:t>BloodSTAR</w:t>
      </w:r>
      <w:proofErr w:type="spellEnd"/>
      <w:r w:rsidRPr="00704AFA">
        <w:rPr>
          <w:rFonts w:asciiTheme="minorHAnsi" w:hAnsiTheme="minorHAnsi" w:cstheme="minorHAnsi"/>
          <w:sz w:val="22"/>
          <w:szCs w:val="22"/>
        </w:rPr>
        <w:t xml:space="preserve"> for downloading and printing for the information of </w:t>
      </w:r>
      <w:r w:rsidR="00720228" w:rsidRPr="00704AFA">
        <w:rPr>
          <w:rFonts w:asciiTheme="minorHAnsi" w:hAnsiTheme="minorHAnsi" w:cstheme="minorHAnsi"/>
          <w:sz w:val="22"/>
          <w:szCs w:val="22"/>
        </w:rPr>
        <w:t>individuals</w:t>
      </w:r>
      <w:r w:rsidRPr="00704AFA">
        <w:rPr>
          <w:rFonts w:asciiTheme="minorHAnsi" w:hAnsiTheme="minorHAnsi" w:cstheme="minorHAnsi"/>
          <w:sz w:val="22"/>
          <w:szCs w:val="22"/>
        </w:rPr>
        <w:t>.</w:t>
      </w:r>
      <w:r w:rsidR="0097217A" w:rsidRPr="00704AFA">
        <w:rPr>
          <w:rFonts w:asciiTheme="minorHAnsi" w:hAnsiTheme="minorHAnsi" w:cstheme="minorHAnsi"/>
          <w:sz w:val="22"/>
          <w:szCs w:val="22"/>
        </w:rPr>
        <w:t xml:space="preserve">  The </w:t>
      </w:r>
      <w:r w:rsidR="00FF5EE5">
        <w:rPr>
          <w:rFonts w:asciiTheme="minorHAnsi" w:hAnsiTheme="minorHAnsi" w:cstheme="minorHAnsi"/>
          <w:sz w:val="22"/>
          <w:szCs w:val="22"/>
        </w:rPr>
        <w:t>N</w:t>
      </w:r>
      <w:r w:rsidR="0097217A" w:rsidRPr="00704AFA">
        <w:rPr>
          <w:rFonts w:asciiTheme="minorHAnsi" w:hAnsiTheme="minorHAnsi" w:cstheme="minorHAnsi"/>
          <w:sz w:val="22"/>
          <w:szCs w:val="22"/>
        </w:rPr>
        <w:t>otice will describe what information is being collected, the purpose of the collection, and how information will be used and disclosed.</w:t>
      </w:r>
      <w:r w:rsidR="00180E87" w:rsidRPr="00704AFA">
        <w:rPr>
          <w:rFonts w:asciiTheme="minorHAnsi" w:hAnsiTheme="minorHAnsi" w:cstheme="minorHAnsi"/>
          <w:sz w:val="22"/>
          <w:szCs w:val="22"/>
        </w:rPr>
        <w:t xml:space="preserve"> </w:t>
      </w:r>
      <w:r w:rsidR="0097217A" w:rsidRPr="00704AFA">
        <w:rPr>
          <w:rFonts w:asciiTheme="minorHAnsi" w:hAnsiTheme="minorHAnsi" w:cstheme="minorHAnsi"/>
          <w:sz w:val="22"/>
          <w:szCs w:val="22"/>
        </w:rPr>
        <w:t xml:space="preserve">The </w:t>
      </w:r>
      <w:r w:rsidR="00FF5EE5">
        <w:rPr>
          <w:rFonts w:asciiTheme="minorHAnsi" w:hAnsiTheme="minorHAnsi" w:cstheme="minorHAnsi"/>
          <w:sz w:val="22"/>
          <w:szCs w:val="22"/>
        </w:rPr>
        <w:t>N</w:t>
      </w:r>
      <w:r w:rsidR="0097217A" w:rsidRPr="00704AFA">
        <w:rPr>
          <w:rFonts w:asciiTheme="minorHAnsi" w:hAnsiTheme="minorHAnsi" w:cstheme="minorHAnsi"/>
          <w:sz w:val="22"/>
          <w:szCs w:val="22"/>
        </w:rPr>
        <w:t>otice will also describe the consequence</w:t>
      </w:r>
      <w:r w:rsidR="00345478" w:rsidRPr="00704AFA">
        <w:rPr>
          <w:rFonts w:asciiTheme="minorHAnsi" w:hAnsiTheme="minorHAnsi" w:cstheme="minorHAnsi"/>
          <w:sz w:val="22"/>
          <w:szCs w:val="22"/>
        </w:rPr>
        <w:t>s</w:t>
      </w:r>
      <w:r w:rsidR="0097217A" w:rsidRPr="00704AFA">
        <w:rPr>
          <w:rFonts w:asciiTheme="minorHAnsi" w:hAnsiTheme="minorHAnsi" w:cstheme="minorHAnsi"/>
          <w:sz w:val="22"/>
          <w:szCs w:val="22"/>
        </w:rPr>
        <w:t xml:space="preserve"> of not providing explicit consent.  </w:t>
      </w:r>
      <w:r w:rsidR="00720228" w:rsidRPr="00704AFA">
        <w:rPr>
          <w:rFonts w:asciiTheme="minorHAnsi" w:hAnsiTheme="minorHAnsi" w:cstheme="minorHAnsi"/>
          <w:sz w:val="22"/>
          <w:szCs w:val="22"/>
        </w:rPr>
        <w:t xml:space="preserve">A patient consent form will be made available within </w:t>
      </w:r>
      <w:proofErr w:type="spellStart"/>
      <w:r w:rsidR="001D735F">
        <w:rPr>
          <w:rFonts w:asciiTheme="minorHAnsi" w:hAnsiTheme="minorHAnsi" w:cstheme="minorHAnsi"/>
          <w:sz w:val="22"/>
          <w:szCs w:val="22"/>
        </w:rPr>
        <w:t>BloodSTAR</w:t>
      </w:r>
      <w:proofErr w:type="spellEnd"/>
      <w:r w:rsidR="00720228" w:rsidRPr="00704AFA">
        <w:rPr>
          <w:rFonts w:asciiTheme="minorHAnsi" w:hAnsiTheme="minorHAnsi" w:cstheme="minorHAnsi"/>
          <w:sz w:val="22"/>
          <w:szCs w:val="22"/>
        </w:rPr>
        <w:t xml:space="preserve"> for downloading, printing, signing and uploading to facilitate thorough record keeping practices.  While </w:t>
      </w:r>
      <w:r w:rsidR="00345478" w:rsidRPr="00704AFA">
        <w:rPr>
          <w:rFonts w:asciiTheme="minorHAnsi" w:hAnsiTheme="minorHAnsi" w:cstheme="minorHAnsi"/>
          <w:sz w:val="22"/>
          <w:szCs w:val="22"/>
        </w:rPr>
        <w:t>verbal</w:t>
      </w:r>
      <w:r w:rsidR="00720228" w:rsidRPr="00704AFA">
        <w:rPr>
          <w:rFonts w:asciiTheme="minorHAnsi" w:hAnsiTheme="minorHAnsi" w:cstheme="minorHAnsi"/>
          <w:sz w:val="22"/>
          <w:szCs w:val="22"/>
        </w:rPr>
        <w:t xml:space="preserve"> consent may also be obtained by the person collecting information from the individual, and confirmation of this can also be recorded in </w:t>
      </w:r>
      <w:proofErr w:type="spellStart"/>
      <w:r w:rsidR="001D735F">
        <w:rPr>
          <w:rFonts w:asciiTheme="minorHAnsi" w:hAnsiTheme="minorHAnsi" w:cstheme="minorHAnsi"/>
          <w:sz w:val="22"/>
          <w:szCs w:val="22"/>
        </w:rPr>
        <w:t>BloodSTAR</w:t>
      </w:r>
      <w:proofErr w:type="spellEnd"/>
      <w:r w:rsidR="00345478" w:rsidRPr="00704AFA">
        <w:rPr>
          <w:rFonts w:asciiTheme="minorHAnsi" w:hAnsiTheme="minorHAnsi" w:cstheme="minorHAnsi"/>
          <w:sz w:val="22"/>
          <w:szCs w:val="22"/>
        </w:rPr>
        <w:t xml:space="preserve"> by the person entering the information</w:t>
      </w:r>
      <w:r w:rsidR="00720228" w:rsidRPr="00704AFA">
        <w:rPr>
          <w:rFonts w:asciiTheme="minorHAnsi" w:hAnsiTheme="minorHAnsi" w:cstheme="minorHAnsi"/>
          <w:sz w:val="22"/>
          <w:szCs w:val="22"/>
        </w:rPr>
        <w:t xml:space="preserve">, a file note should be written and uploaded to </w:t>
      </w:r>
      <w:proofErr w:type="spellStart"/>
      <w:r w:rsidR="001D735F">
        <w:rPr>
          <w:rFonts w:asciiTheme="minorHAnsi" w:hAnsiTheme="minorHAnsi" w:cstheme="minorHAnsi"/>
          <w:sz w:val="22"/>
          <w:szCs w:val="22"/>
        </w:rPr>
        <w:t>BloodSTAR</w:t>
      </w:r>
      <w:proofErr w:type="spellEnd"/>
      <w:r w:rsidR="00345478" w:rsidRPr="00704AFA">
        <w:rPr>
          <w:rFonts w:asciiTheme="minorHAnsi" w:hAnsiTheme="minorHAnsi" w:cstheme="minorHAnsi"/>
          <w:sz w:val="22"/>
          <w:szCs w:val="22"/>
        </w:rPr>
        <w:t xml:space="preserve"> for </w:t>
      </w:r>
      <w:r w:rsidR="00254E52" w:rsidRPr="00704AFA">
        <w:rPr>
          <w:rFonts w:asciiTheme="minorHAnsi" w:hAnsiTheme="minorHAnsi" w:cstheme="minorHAnsi"/>
          <w:sz w:val="22"/>
          <w:szCs w:val="22"/>
        </w:rPr>
        <w:t xml:space="preserve">the </w:t>
      </w:r>
      <w:r w:rsidR="00345478" w:rsidRPr="00704AFA">
        <w:rPr>
          <w:rFonts w:asciiTheme="minorHAnsi" w:hAnsiTheme="minorHAnsi" w:cstheme="minorHAnsi"/>
          <w:sz w:val="22"/>
          <w:szCs w:val="22"/>
        </w:rPr>
        <w:t>complete</w:t>
      </w:r>
      <w:r w:rsidR="00254E52" w:rsidRPr="00704AFA">
        <w:rPr>
          <w:rFonts w:asciiTheme="minorHAnsi" w:hAnsiTheme="minorHAnsi" w:cstheme="minorHAnsi"/>
          <w:sz w:val="22"/>
          <w:szCs w:val="22"/>
        </w:rPr>
        <w:t>ness of</w:t>
      </w:r>
      <w:r w:rsidR="00345478" w:rsidRPr="00704AFA">
        <w:rPr>
          <w:rFonts w:asciiTheme="minorHAnsi" w:hAnsiTheme="minorHAnsi" w:cstheme="minorHAnsi"/>
          <w:sz w:val="22"/>
          <w:szCs w:val="22"/>
        </w:rPr>
        <w:t xml:space="preserve"> record keeping purposes</w:t>
      </w:r>
      <w:r w:rsidR="00524CC3" w:rsidRPr="00704AFA">
        <w:rPr>
          <w:rFonts w:asciiTheme="minorHAnsi" w:hAnsiTheme="minorHAnsi" w:cstheme="minorHAnsi"/>
          <w:sz w:val="22"/>
          <w:szCs w:val="22"/>
        </w:rPr>
        <w:t>.</w:t>
      </w:r>
      <w:r w:rsidR="00886C41">
        <w:rPr>
          <w:rFonts w:asciiTheme="minorHAnsi" w:hAnsiTheme="minorHAnsi" w:cstheme="minorHAnsi"/>
          <w:sz w:val="22"/>
          <w:szCs w:val="22"/>
        </w:rPr>
        <w:t xml:space="preserve"> Record keeping purposes relate to the </w:t>
      </w:r>
      <w:r w:rsidR="00FF5EE5">
        <w:rPr>
          <w:rFonts w:asciiTheme="minorHAnsi" w:hAnsiTheme="minorHAnsi" w:cstheme="minorHAnsi"/>
          <w:sz w:val="22"/>
          <w:szCs w:val="22"/>
        </w:rPr>
        <w:t>NBA</w:t>
      </w:r>
      <w:r w:rsidR="00886C41">
        <w:rPr>
          <w:rFonts w:asciiTheme="minorHAnsi" w:hAnsiTheme="minorHAnsi" w:cstheme="minorHAnsi"/>
          <w:sz w:val="22"/>
          <w:szCs w:val="22"/>
        </w:rPr>
        <w:t xml:space="preserve">’s obligations under the </w:t>
      </w:r>
      <w:r w:rsidR="00023C00">
        <w:rPr>
          <w:rFonts w:asciiTheme="minorHAnsi" w:hAnsiTheme="minorHAnsi" w:cstheme="minorHAnsi"/>
          <w:sz w:val="22"/>
          <w:szCs w:val="22"/>
        </w:rPr>
        <w:t xml:space="preserve">Commonwealth </w:t>
      </w:r>
      <w:r w:rsidR="00886C41">
        <w:rPr>
          <w:rFonts w:asciiTheme="minorHAnsi" w:hAnsiTheme="minorHAnsi" w:cstheme="minorHAnsi"/>
          <w:sz w:val="22"/>
          <w:szCs w:val="22"/>
        </w:rPr>
        <w:t>Archives Act 1983</w:t>
      </w:r>
      <w:r w:rsidR="00023C00">
        <w:rPr>
          <w:rFonts w:asciiTheme="minorHAnsi" w:hAnsiTheme="minorHAnsi" w:cstheme="minorHAnsi"/>
          <w:sz w:val="22"/>
          <w:szCs w:val="22"/>
        </w:rPr>
        <w:t>.</w:t>
      </w:r>
      <w:r w:rsidR="00886C41" w:rsidRPr="00886C41">
        <w:rPr>
          <w:rFonts w:asciiTheme="minorHAnsi" w:hAnsiTheme="minorHAnsi" w:cstheme="minorHAnsi"/>
          <w:sz w:val="22"/>
          <w:szCs w:val="22"/>
        </w:rPr>
        <w:t xml:space="preserve"> </w:t>
      </w:r>
      <w:r w:rsidR="009E1922" w:rsidRPr="009E1922">
        <w:rPr>
          <w:rFonts w:asciiTheme="minorHAnsi" w:hAnsiTheme="minorHAnsi" w:cstheme="minorHAnsi"/>
          <w:sz w:val="22"/>
          <w:szCs w:val="22"/>
        </w:rPr>
        <w:t xml:space="preserve">Under the </w:t>
      </w:r>
      <w:r w:rsidR="009E1922" w:rsidRPr="009E1922">
        <w:rPr>
          <w:rFonts w:asciiTheme="minorHAnsi" w:hAnsiTheme="minorHAnsi" w:cstheme="minorHAnsi"/>
          <w:i/>
          <w:sz w:val="22"/>
          <w:szCs w:val="22"/>
        </w:rPr>
        <w:t>NBA Records Authority, August 2007 class number 13116 – Supply Planning and Management – Authorisation</w:t>
      </w:r>
      <w:r w:rsidR="009E1922" w:rsidRPr="009E1922">
        <w:rPr>
          <w:rFonts w:asciiTheme="minorHAnsi" w:hAnsiTheme="minorHAnsi" w:cstheme="minorHAnsi"/>
          <w:sz w:val="22"/>
          <w:szCs w:val="22"/>
        </w:rPr>
        <w:t xml:space="preserve"> (issued by the National Archives of Australia) all data must be retained for a minimum of 10 years following the last completed action.  To meet National Pathology Accreditation Advisory Council (</w:t>
      </w:r>
      <w:proofErr w:type="spellStart"/>
      <w:r w:rsidR="009E1922" w:rsidRPr="009E1922">
        <w:rPr>
          <w:rFonts w:asciiTheme="minorHAnsi" w:hAnsiTheme="minorHAnsi" w:cstheme="minorHAnsi"/>
          <w:sz w:val="22"/>
          <w:szCs w:val="22"/>
        </w:rPr>
        <w:t>NPACC</w:t>
      </w:r>
      <w:proofErr w:type="spellEnd"/>
      <w:r w:rsidR="009E1922" w:rsidRPr="009E1922">
        <w:rPr>
          <w:rFonts w:asciiTheme="minorHAnsi" w:hAnsiTheme="minorHAnsi" w:cstheme="minorHAnsi"/>
          <w:sz w:val="22"/>
          <w:szCs w:val="22"/>
        </w:rPr>
        <w:t xml:space="preserve">) requirements (laboratory accreditation) data must be retained for 20 years. On this basis, the NBA will retain data in a usable form for at least 20 years following completion of the last action relating to an individual patient </w:t>
      </w:r>
      <w:r w:rsidR="009E1922">
        <w:rPr>
          <w:rFonts w:asciiTheme="minorHAnsi" w:hAnsiTheme="minorHAnsi" w:cstheme="minorHAnsi"/>
          <w:sz w:val="22"/>
          <w:szCs w:val="22"/>
        </w:rPr>
        <w:t xml:space="preserve">or </w:t>
      </w:r>
      <w:r w:rsidR="009E1922" w:rsidRPr="009E1922">
        <w:rPr>
          <w:rFonts w:asciiTheme="minorHAnsi" w:hAnsiTheme="minorHAnsi" w:cstheme="minorHAnsi"/>
          <w:sz w:val="22"/>
          <w:szCs w:val="22"/>
        </w:rPr>
        <w:t>unit of product</w:t>
      </w:r>
      <w:r w:rsidR="009E1922">
        <w:rPr>
          <w:rFonts w:asciiTheme="minorHAnsi" w:hAnsiTheme="minorHAnsi" w:cstheme="minorHAnsi"/>
          <w:sz w:val="22"/>
          <w:szCs w:val="22"/>
        </w:rPr>
        <w:t>.</w:t>
      </w:r>
    </w:p>
    <w:p w:rsidR="005D74CC" w:rsidRPr="00704AFA" w:rsidRDefault="00180E87" w:rsidP="005D74CC">
      <w:pPr>
        <w:pStyle w:val="Default"/>
        <w:rPr>
          <w:rFonts w:asciiTheme="minorHAnsi" w:hAnsiTheme="minorHAnsi" w:cstheme="minorHAnsi"/>
          <w:sz w:val="22"/>
          <w:szCs w:val="22"/>
        </w:rPr>
      </w:pPr>
      <w:r w:rsidRPr="00704AFA">
        <w:rPr>
          <w:rFonts w:asciiTheme="minorHAnsi" w:hAnsiTheme="minorHAnsi" w:cstheme="minorHAnsi"/>
          <w:sz w:val="22"/>
          <w:szCs w:val="22"/>
        </w:rPr>
        <w:t xml:space="preserve">Where a patient </w:t>
      </w:r>
      <w:r w:rsidR="008026CE">
        <w:rPr>
          <w:rFonts w:asciiTheme="minorHAnsi" w:hAnsiTheme="minorHAnsi" w:cstheme="minorHAnsi"/>
          <w:sz w:val="22"/>
          <w:szCs w:val="22"/>
        </w:rPr>
        <w:t xml:space="preserve">(or parent/carer/guardian) </w:t>
      </w:r>
      <w:r w:rsidRPr="00704AFA">
        <w:rPr>
          <w:rFonts w:asciiTheme="minorHAnsi" w:hAnsiTheme="minorHAnsi" w:cstheme="minorHAnsi"/>
          <w:sz w:val="22"/>
          <w:szCs w:val="22"/>
        </w:rPr>
        <w:t xml:space="preserve">does not consent to their </w:t>
      </w:r>
      <w:r w:rsidR="005D74CC" w:rsidRPr="00704AFA">
        <w:rPr>
          <w:rFonts w:asciiTheme="minorHAnsi" w:hAnsiTheme="minorHAnsi" w:cstheme="minorHAnsi"/>
          <w:sz w:val="22"/>
          <w:szCs w:val="22"/>
        </w:rPr>
        <w:t xml:space="preserve">personal </w:t>
      </w:r>
      <w:r w:rsidRPr="00704AFA">
        <w:rPr>
          <w:rFonts w:asciiTheme="minorHAnsi" w:hAnsiTheme="minorHAnsi" w:cstheme="minorHAnsi"/>
          <w:sz w:val="22"/>
          <w:szCs w:val="22"/>
        </w:rPr>
        <w:t xml:space="preserve">sensitive information being </w:t>
      </w:r>
      <w:r w:rsidR="005D74CC" w:rsidRPr="00704AFA">
        <w:rPr>
          <w:rFonts w:asciiTheme="minorHAnsi" w:hAnsiTheme="minorHAnsi" w:cstheme="minorHAnsi"/>
          <w:sz w:val="22"/>
          <w:szCs w:val="22"/>
        </w:rPr>
        <w:t>collected</w:t>
      </w:r>
      <w:r w:rsidRPr="00704AFA">
        <w:rPr>
          <w:rFonts w:asciiTheme="minorHAnsi" w:hAnsiTheme="minorHAnsi" w:cstheme="minorHAnsi"/>
          <w:sz w:val="22"/>
          <w:szCs w:val="22"/>
        </w:rPr>
        <w:t xml:space="preserve"> in </w:t>
      </w:r>
      <w:proofErr w:type="spellStart"/>
      <w:r w:rsidR="001D735F">
        <w:rPr>
          <w:rFonts w:asciiTheme="minorHAnsi" w:hAnsiTheme="minorHAnsi" w:cstheme="minorHAnsi"/>
          <w:sz w:val="22"/>
          <w:szCs w:val="22"/>
        </w:rPr>
        <w:t>BloodSTAR</w:t>
      </w:r>
      <w:proofErr w:type="spellEnd"/>
      <w:r w:rsidRPr="00704AFA">
        <w:rPr>
          <w:rFonts w:asciiTheme="minorHAnsi" w:hAnsiTheme="minorHAnsi" w:cstheme="minorHAnsi"/>
          <w:sz w:val="22"/>
          <w:szCs w:val="22"/>
        </w:rPr>
        <w:t xml:space="preserve">, </w:t>
      </w:r>
      <w:r w:rsidR="005D74CC" w:rsidRPr="00704AFA">
        <w:rPr>
          <w:rFonts w:asciiTheme="minorHAnsi" w:hAnsiTheme="minorHAnsi" w:cstheme="minorHAnsi"/>
          <w:sz w:val="22"/>
          <w:szCs w:val="22"/>
        </w:rPr>
        <w:t>it will not be possible for an assessment to be made on their eligibility for the supply of g</w:t>
      </w:r>
      <w:r w:rsidRPr="00704AFA">
        <w:rPr>
          <w:rFonts w:asciiTheme="minorHAnsi" w:hAnsiTheme="minorHAnsi" w:cstheme="minorHAnsi"/>
          <w:sz w:val="22"/>
          <w:szCs w:val="22"/>
        </w:rPr>
        <w:t>overnment funded immunoglobulin products</w:t>
      </w:r>
      <w:r w:rsidR="005D74CC" w:rsidRPr="00704AFA">
        <w:rPr>
          <w:rFonts w:asciiTheme="minorHAnsi" w:hAnsiTheme="minorHAnsi" w:cstheme="minorHAnsi"/>
          <w:sz w:val="22"/>
          <w:szCs w:val="22"/>
        </w:rPr>
        <w:t xml:space="preserve"> under the national blood arrangements</w:t>
      </w:r>
      <w:r w:rsidRPr="00704AFA">
        <w:rPr>
          <w:rFonts w:asciiTheme="minorHAnsi" w:hAnsiTheme="minorHAnsi" w:cstheme="minorHAnsi"/>
          <w:sz w:val="22"/>
          <w:szCs w:val="22"/>
        </w:rPr>
        <w:t xml:space="preserve">.  </w:t>
      </w:r>
      <w:r w:rsidR="005D74CC" w:rsidRPr="00704AFA">
        <w:rPr>
          <w:rFonts w:asciiTheme="minorHAnsi" w:hAnsiTheme="minorHAnsi" w:cstheme="minorHAnsi"/>
          <w:sz w:val="22"/>
          <w:szCs w:val="22"/>
        </w:rPr>
        <w:t>The primary purpose of collection of this information is to uniquely identify individuals for assessment of authorisation for initial access and continuing access (where relevant)</w:t>
      </w:r>
      <w:r w:rsidR="003E4715" w:rsidRPr="00704AFA">
        <w:rPr>
          <w:rFonts w:asciiTheme="minorHAnsi" w:hAnsiTheme="minorHAnsi" w:cstheme="minorHAnsi"/>
          <w:sz w:val="22"/>
          <w:szCs w:val="22"/>
        </w:rPr>
        <w:t xml:space="preserve"> to ensure the </w:t>
      </w:r>
      <w:r w:rsidR="00003D85" w:rsidRPr="00704AFA">
        <w:rPr>
          <w:rFonts w:asciiTheme="minorHAnsi" w:hAnsiTheme="minorHAnsi" w:cstheme="minorHAnsi"/>
          <w:sz w:val="22"/>
          <w:szCs w:val="22"/>
        </w:rPr>
        <w:t xml:space="preserve">safe and appropriate </w:t>
      </w:r>
      <w:r w:rsidR="003E4715" w:rsidRPr="00704AFA">
        <w:rPr>
          <w:rFonts w:asciiTheme="minorHAnsi" w:hAnsiTheme="minorHAnsi" w:cstheme="minorHAnsi"/>
          <w:sz w:val="22"/>
          <w:szCs w:val="22"/>
        </w:rPr>
        <w:t xml:space="preserve">supply </w:t>
      </w:r>
      <w:r w:rsidR="00720228" w:rsidRPr="00704AFA">
        <w:rPr>
          <w:rFonts w:asciiTheme="minorHAnsi" w:hAnsiTheme="minorHAnsi" w:cstheme="minorHAnsi"/>
          <w:sz w:val="22"/>
          <w:szCs w:val="22"/>
        </w:rPr>
        <w:t>of product to</w:t>
      </w:r>
      <w:r w:rsidR="003E4715" w:rsidRPr="00704AFA">
        <w:rPr>
          <w:rFonts w:asciiTheme="minorHAnsi" w:hAnsiTheme="minorHAnsi" w:cstheme="minorHAnsi"/>
          <w:sz w:val="22"/>
          <w:szCs w:val="22"/>
        </w:rPr>
        <w:t xml:space="preserve"> that individual</w:t>
      </w:r>
      <w:r w:rsidR="00720228" w:rsidRPr="00704AFA">
        <w:rPr>
          <w:rFonts w:asciiTheme="minorHAnsi" w:hAnsiTheme="minorHAnsi" w:cstheme="minorHAnsi"/>
          <w:sz w:val="22"/>
          <w:szCs w:val="22"/>
        </w:rPr>
        <w:t xml:space="preserve"> for the treatment of their medical condition.</w:t>
      </w:r>
      <w:r w:rsidR="005D74CC" w:rsidRPr="00704AFA">
        <w:rPr>
          <w:rFonts w:asciiTheme="minorHAnsi" w:hAnsiTheme="minorHAnsi" w:cstheme="minorHAnsi"/>
          <w:sz w:val="22"/>
          <w:szCs w:val="22"/>
        </w:rPr>
        <w:t xml:space="preserve"> </w:t>
      </w:r>
    </w:p>
    <w:p w:rsidR="005D74CC" w:rsidRPr="00704AFA" w:rsidRDefault="008026CE" w:rsidP="00704AFA">
      <w:pPr>
        <w:pStyle w:val="Default"/>
        <w:rPr>
          <w:rFonts w:asciiTheme="minorHAnsi" w:hAnsiTheme="minorHAnsi" w:cstheme="minorHAnsi"/>
          <w:sz w:val="22"/>
          <w:szCs w:val="22"/>
        </w:rPr>
      </w:pPr>
      <w:r>
        <w:rPr>
          <w:rFonts w:asciiTheme="minorHAnsi" w:hAnsiTheme="minorHAnsi" w:cstheme="minorHAnsi"/>
          <w:sz w:val="22"/>
          <w:szCs w:val="22"/>
        </w:rPr>
        <w:t>Patients (</w:t>
      </w:r>
      <w:r w:rsidR="005D74CC" w:rsidRPr="00704AFA">
        <w:rPr>
          <w:rFonts w:asciiTheme="minorHAnsi" w:hAnsiTheme="minorHAnsi" w:cstheme="minorHAnsi"/>
          <w:sz w:val="22"/>
          <w:szCs w:val="22"/>
        </w:rPr>
        <w:t xml:space="preserve">or their parents/carers/guardians) who choose not to consent may access immunoglobulin products either as a </w:t>
      </w:r>
      <w:r w:rsidR="008125B4" w:rsidRPr="00704AFA">
        <w:rPr>
          <w:rFonts w:asciiTheme="minorHAnsi" w:hAnsiTheme="minorHAnsi" w:cstheme="minorHAnsi"/>
          <w:sz w:val="22"/>
          <w:szCs w:val="22"/>
        </w:rPr>
        <w:t>Jurisdictional Direct Order (</w:t>
      </w:r>
      <w:proofErr w:type="spellStart"/>
      <w:r w:rsidR="008125B4" w:rsidRPr="00704AFA">
        <w:rPr>
          <w:rFonts w:asciiTheme="minorHAnsi" w:hAnsiTheme="minorHAnsi" w:cstheme="minorHAnsi"/>
          <w:sz w:val="22"/>
          <w:szCs w:val="22"/>
        </w:rPr>
        <w:t>JDO</w:t>
      </w:r>
      <w:proofErr w:type="spellEnd"/>
      <w:r w:rsidR="008125B4" w:rsidRPr="00704AFA">
        <w:rPr>
          <w:rFonts w:asciiTheme="minorHAnsi" w:hAnsiTheme="minorHAnsi" w:cstheme="minorHAnsi"/>
          <w:sz w:val="22"/>
          <w:szCs w:val="22"/>
        </w:rPr>
        <w:t xml:space="preserve">) or </w:t>
      </w:r>
      <w:r w:rsidR="005D74CC" w:rsidRPr="00704AFA">
        <w:rPr>
          <w:rFonts w:asciiTheme="minorHAnsi" w:hAnsiTheme="minorHAnsi" w:cstheme="minorHAnsi"/>
          <w:sz w:val="22"/>
          <w:szCs w:val="22"/>
        </w:rPr>
        <w:t xml:space="preserve">Private Order, made directly with the imported immunoglobulin suppliers.  </w:t>
      </w:r>
      <w:r w:rsidR="008125B4" w:rsidRPr="00704AFA">
        <w:rPr>
          <w:rFonts w:asciiTheme="minorHAnsi" w:hAnsiTheme="minorHAnsi" w:cstheme="minorHAnsi"/>
          <w:sz w:val="22"/>
          <w:szCs w:val="22"/>
        </w:rPr>
        <w:t xml:space="preserve">A </w:t>
      </w:r>
      <w:proofErr w:type="spellStart"/>
      <w:r w:rsidR="008125B4" w:rsidRPr="00704AFA">
        <w:rPr>
          <w:rFonts w:asciiTheme="minorHAnsi" w:hAnsiTheme="minorHAnsi" w:cstheme="minorHAnsi"/>
          <w:sz w:val="22"/>
          <w:szCs w:val="22"/>
        </w:rPr>
        <w:t>JDO</w:t>
      </w:r>
      <w:proofErr w:type="spellEnd"/>
      <w:r w:rsidR="008125B4" w:rsidRPr="00704AFA">
        <w:rPr>
          <w:rFonts w:asciiTheme="minorHAnsi" w:hAnsiTheme="minorHAnsi" w:cstheme="minorHAnsi"/>
          <w:sz w:val="22"/>
          <w:szCs w:val="22"/>
        </w:rPr>
        <w:t xml:space="preserve"> and Private Order fact sheet is available on the NBA website </w:t>
      </w:r>
      <w:proofErr w:type="spellStart"/>
      <w:proofErr w:type="gramStart"/>
      <w:r w:rsidR="008125B4" w:rsidRPr="00704AFA">
        <w:rPr>
          <w:rFonts w:asciiTheme="minorHAnsi" w:hAnsiTheme="minorHAnsi" w:cstheme="minorHAnsi"/>
          <w:sz w:val="22"/>
          <w:szCs w:val="22"/>
        </w:rPr>
        <w:t>a</w:t>
      </w:r>
      <w:proofErr w:type="spellEnd"/>
      <w:proofErr w:type="gramEnd"/>
      <w:r w:rsidR="002F0B0B">
        <w:rPr>
          <w:rFonts w:asciiTheme="minorHAnsi" w:hAnsiTheme="minorHAnsi" w:cstheme="minorHAnsi"/>
          <w:color w:val="0070C0"/>
          <w:sz w:val="22"/>
          <w:szCs w:val="22"/>
        </w:rPr>
        <w:t xml:space="preserve"> </w:t>
      </w:r>
      <w:hyperlink r:id="rId17" w:history="1">
        <w:r w:rsidR="002F0B0B" w:rsidRPr="002F0B0B">
          <w:rPr>
            <w:rStyle w:val="Hyperlink"/>
            <w:rFonts w:asciiTheme="minorHAnsi" w:hAnsiTheme="minorHAnsi" w:cstheme="minorHAnsi"/>
            <w:sz w:val="22"/>
            <w:szCs w:val="22"/>
          </w:rPr>
          <w:t>http://www.blood.gov.au/Ig-publications</w:t>
        </w:r>
      </w:hyperlink>
      <w:r w:rsidR="008125B4" w:rsidRPr="00704AFA">
        <w:rPr>
          <w:rFonts w:asciiTheme="minorHAnsi" w:hAnsiTheme="minorHAnsi" w:cstheme="minorHAnsi"/>
          <w:color w:val="0070C0"/>
          <w:sz w:val="22"/>
          <w:szCs w:val="22"/>
        </w:rPr>
        <w:t>.</w:t>
      </w:r>
    </w:p>
    <w:p w:rsidR="00EA06E6" w:rsidRPr="00704AFA" w:rsidRDefault="00397E15" w:rsidP="00704AFA">
      <w:pPr>
        <w:pStyle w:val="Default"/>
        <w:rPr>
          <w:rFonts w:asciiTheme="minorHAnsi" w:hAnsiTheme="minorHAnsi" w:cstheme="minorHAnsi"/>
          <w:sz w:val="22"/>
          <w:szCs w:val="22"/>
        </w:rPr>
      </w:pPr>
      <w:r>
        <w:rPr>
          <w:rFonts w:asciiTheme="minorHAnsi" w:hAnsiTheme="minorHAnsi" w:cstheme="minorHAnsi"/>
          <w:sz w:val="22"/>
          <w:szCs w:val="22"/>
        </w:rPr>
        <w:t xml:space="preserve">Consent will remain valid up until and unless it has been withdrawn. </w:t>
      </w:r>
      <w:r w:rsidR="00EA06E6" w:rsidRPr="00704AFA">
        <w:rPr>
          <w:rFonts w:asciiTheme="minorHAnsi" w:hAnsiTheme="minorHAnsi" w:cstheme="minorHAnsi"/>
          <w:sz w:val="22"/>
          <w:szCs w:val="22"/>
        </w:rPr>
        <w:t>The patient consent status will be recorded in the patient record</w:t>
      </w:r>
      <w:r w:rsidR="002F0B0B">
        <w:rPr>
          <w:rFonts w:asciiTheme="minorHAnsi" w:hAnsiTheme="minorHAnsi" w:cstheme="minorHAnsi"/>
          <w:sz w:val="22"/>
          <w:szCs w:val="22"/>
        </w:rPr>
        <w:t>.</w:t>
      </w:r>
    </w:p>
    <w:p w:rsidR="00B43523" w:rsidRPr="002674E9" w:rsidRDefault="00B77CFD" w:rsidP="002674E9">
      <w:pPr>
        <w:pStyle w:val="Heading3"/>
        <w:rPr>
          <w:lang w:eastAsia="en-AU"/>
        </w:rPr>
      </w:pPr>
      <w:r w:rsidRPr="002674E9">
        <w:rPr>
          <w:lang w:eastAsia="en-AU"/>
        </w:rPr>
        <w:lastRenderedPageBreak/>
        <w:t xml:space="preserve">Withdrawal of </w:t>
      </w:r>
      <w:r w:rsidR="005C74BF">
        <w:rPr>
          <w:lang w:eastAsia="en-AU"/>
        </w:rPr>
        <w:t xml:space="preserve">privacy </w:t>
      </w:r>
      <w:r w:rsidRPr="002674E9">
        <w:rPr>
          <w:lang w:eastAsia="en-AU"/>
        </w:rPr>
        <w:t>consent</w:t>
      </w:r>
    </w:p>
    <w:p w:rsidR="006E2501" w:rsidRPr="008026CE" w:rsidRDefault="00345478" w:rsidP="008026CE">
      <w:pPr>
        <w:pStyle w:val="Default"/>
        <w:rPr>
          <w:rFonts w:asciiTheme="minorHAnsi" w:hAnsiTheme="minorHAnsi" w:cstheme="minorHAnsi"/>
          <w:sz w:val="22"/>
          <w:szCs w:val="22"/>
        </w:rPr>
      </w:pPr>
      <w:r w:rsidRPr="008026CE">
        <w:rPr>
          <w:rFonts w:asciiTheme="minorHAnsi" w:hAnsiTheme="minorHAnsi" w:cstheme="minorHAnsi"/>
          <w:sz w:val="22"/>
          <w:szCs w:val="22"/>
        </w:rPr>
        <w:t xml:space="preserve">A patient may withdraw their consent </w:t>
      </w:r>
      <w:r w:rsidR="007C7899" w:rsidRPr="008026CE">
        <w:rPr>
          <w:rFonts w:asciiTheme="minorHAnsi" w:hAnsiTheme="minorHAnsi" w:cstheme="minorHAnsi"/>
          <w:sz w:val="22"/>
          <w:szCs w:val="22"/>
        </w:rPr>
        <w:t xml:space="preserve">to the collection, use and disclosure of their </w:t>
      </w:r>
      <w:r w:rsidR="002F0B0B">
        <w:rPr>
          <w:rFonts w:asciiTheme="minorHAnsi" w:hAnsiTheme="minorHAnsi" w:cstheme="minorHAnsi"/>
          <w:sz w:val="22"/>
          <w:szCs w:val="22"/>
        </w:rPr>
        <w:t xml:space="preserve">personal and </w:t>
      </w:r>
      <w:r w:rsidR="007C7899" w:rsidRPr="008026CE">
        <w:rPr>
          <w:rFonts w:asciiTheme="minorHAnsi" w:hAnsiTheme="minorHAnsi" w:cstheme="minorHAnsi"/>
          <w:sz w:val="22"/>
          <w:szCs w:val="22"/>
        </w:rPr>
        <w:t xml:space="preserve">sensitive information </w:t>
      </w:r>
      <w:r w:rsidRPr="008026CE">
        <w:rPr>
          <w:rFonts w:asciiTheme="minorHAnsi" w:hAnsiTheme="minorHAnsi" w:cstheme="minorHAnsi"/>
          <w:sz w:val="22"/>
          <w:szCs w:val="22"/>
        </w:rPr>
        <w:t xml:space="preserve">at any time.  </w:t>
      </w:r>
      <w:r w:rsidR="00B43523" w:rsidRPr="008026CE">
        <w:rPr>
          <w:rFonts w:asciiTheme="minorHAnsi" w:hAnsiTheme="minorHAnsi" w:cstheme="minorHAnsi"/>
          <w:sz w:val="22"/>
          <w:szCs w:val="22"/>
        </w:rPr>
        <w:t xml:space="preserve">Where a patient withdraws their consent, no more information about that individual will be collected in </w:t>
      </w:r>
      <w:proofErr w:type="spellStart"/>
      <w:r w:rsidR="001D735F">
        <w:rPr>
          <w:rFonts w:asciiTheme="minorHAnsi" w:hAnsiTheme="minorHAnsi" w:cstheme="minorHAnsi"/>
          <w:sz w:val="22"/>
          <w:szCs w:val="22"/>
        </w:rPr>
        <w:t>BloodSTAR</w:t>
      </w:r>
      <w:proofErr w:type="spellEnd"/>
      <w:r w:rsidR="00B43523" w:rsidRPr="008026CE">
        <w:rPr>
          <w:rFonts w:asciiTheme="minorHAnsi" w:hAnsiTheme="minorHAnsi" w:cstheme="minorHAnsi"/>
          <w:sz w:val="22"/>
          <w:szCs w:val="22"/>
        </w:rPr>
        <w:t xml:space="preserve">.  </w:t>
      </w:r>
      <w:r w:rsidRPr="008026CE">
        <w:rPr>
          <w:rFonts w:asciiTheme="minorHAnsi" w:hAnsiTheme="minorHAnsi" w:cstheme="minorHAnsi"/>
          <w:sz w:val="22"/>
          <w:szCs w:val="22"/>
        </w:rPr>
        <w:t xml:space="preserve">Information that had already been collected about that individual will not be deleted from </w:t>
      </w:r>
      <w:proofErr w:type="spellStart"/>
      <w:r w:rsidR="001D735F">
        <w:rPr>
          <w:rFonts w:asciiTheme="minorHAnsi" w:hAnsiTheme="minorHAnsi" w:cstheme="minorHAnsi"/>
          <w:sz w:val="22"/>
          <w:szCs w:val="22"/>
        </w:rPr>
        <w:t>BloodSTAR</w:t>
      </w:r>
      <w:proofErr w:type="spellEnd"/>
      <w:r w:rsidRPr="008026CE">
        <w:rPr>
          <w:rFonts w:asciiTheme="minorHAnsi" w:hAnsiTheme="minorHAnsi" w:cstheme="minorHAnsi"/>
          <w:sz w:val="22"/>
          <w:szCs w:val="22"/>
        </w:rPr>
        <w:t xml:space="preserve">.  </w:t>
      </w:r>
      <w:r w:rsidR="00754287" w:rsidRPr="008026CE">
        <w:rPr>
          <w:rFonts w:asciiTheme="minorHAnsi" w:hAnsiTheme="minorHAnsi" w:cstheme="minorHAnsi"/>
          <w:sz w:val="22"/>
          <w:szCs w:val="22"/>
        </w:rPr>
        <w:t>An authorisation will become inactive and the patient will no longer be supplied immunoglobulin products under the national blood arrangements.</w:t>
      </w:r>
      <w:r w:rsidR="00FA3D82" w:rsidRPr="008026CE">
        <w:rPr>
          <w:rFonts w:asciiTheme="minorHAnsi" w:hAnsiTheme="minorHAnsi" w:cstheme="minorHAnsi"/>
          <w:sz w:val="22"/>
          <w:szCs w:val="22"/>
        </w:rPr>
        <w:t xml:space="preserve">  </w:t>
      </w:r>
    </w:p>
    <w:p w:rsidR="00B43523" w:rsidRPr="008026CE" w:rsidRDefault="00FA3D82" w:rsidP="008026CE">
      <w:pPr>
        <w:pStyle w:val="Default"/>
        <w:rPr>
          <w:rFonts w:asciiTheme="minorHAnsi" w:hAnsiTheme="minorHAnsi" w:cstheme="minorHAnsi"/>
          <w:sz w:val="22"/>
          <w:szCs w:val="22"/>
        </w:rPr>
      </w:pPr>
      <w:r w:rsidRPr="008026CE">
        <w:rPr>
          <w:rFonts w:asciiTheme="minorHAnsi" w:hAnsiTheme="minorHAnsi" w:cstheme="minorHAnsi"/>
          <w:sz w:val="22"/>
          <w:szCs w:val="22"/>
        </w:rPr>
        <w:t>A patient who has withdrawn consent can later consent to re-activate their existing record.</w:t>
      </w:r>
      <w:r w:rsidR="00EF4471">
        <w:rPr>
          <w:rFonts w:asciiTheme="minorHAnsi" w:hAnsiTheme="minorHAnsi" w:cstheme="minorHAnsi"/>
          <w:sz w:val="22"/>
          <w:szCs w:val="22"/>
        </w:rPr>
        <w:t xml:space="preserve">  Therefore, their details will be returned in search results where there is a match on details entered.</w:t>
      </w:r>
    </w:p>
    <w:p w:rsidR="00345478" w:rsidRPr="008026CE" w:rsidRDefault="00345478" w:rsidP="008026CE">
      <w:pPr>
        <w:pStyle w:val="Default"/>
        <w:rPr>
          <w:rFonts w:asciiTheme="minorHAnsi" w:hAnsiTheme="minorHAnsi" w:cstheme="minorHAnsi"/>
          <w:sz w:val="22"/>
          <w:szCs w:val="22"/>
        </w:rPr>
      </w:pPr>
      <w:r w:rsidRPr="008026CE">
        <w:rPr>
          <w:rFonts w:asciiTheme="minorHAnsi" w:hAnsiTheme="minorHAnsi" w:cstheme="minorHAnsi"/>
          <w:sz w:val="22"/>
          <w:szCs w:val="22"/>
        </w:rPr>
        <w:t xml:space="preserve">The </w:t>
      </w:r>
      <w:r w:rsidR="007C7899" w:rsidRPr="008026CE">
        <w:rPr>
          <w:rFonts w:asciiTheme="minorHAnsi" w:hAnsiTheme="minorHAnsi" w:cstheme="minorHAnsi"/>
          <w:sz w:val="22"/>
          <w:szCs w:val="22"/>
        </w:rPr>
        <w:t xml:space="preserve">patient </w:t>
      </w:r>
      <w:r w:rsidRPr="008026CE">
        <w:rPr>
          <w:rFonts w:asciiTheme="minorHAnsi" w:hAnsiTheme="minorHAnsi" w:cstheme="minorHAnsi"/>
          <w:sz w:val="22"/>
          <w:szCs w:val="22"/>
        </w:rPr>
        <w:t xml:space="preserve">consent status will be </w:t>
      </w:r>
      <w:r w:rsidR="0038408E" w:rsidRPr="008026CE">
        <w:rPr>
          <w:rFonts w:asciiTheme="minorHAnsi" w:hAnsiTheme="minorHAnsi" w:cstheme="minorHAnsi"/>
          <w:sz w:val="22"/>
          <w:szCs w:val="22"/>
        </w:rPr>
        <w:t xml:space="preserve">stored against </w:t>
      </w:r>
      <w:r w:rsidRPr="008026CE">
        <w:rPr>
          <w:rFonts w:asciiTheme="minorHAnsi" w:hAnsiTheme="minorHAnsi" w:cstheme="minorHAnsi"/>
          <w:sz w:val="22"/>
          <w:szCs w:val="22"/>
        </w:rPr>
        <w:t>the patient record.</w:t>
      </w:r>
    </w:p>
    <w:p w:rsidR="002674E9" w:rsidRDefault="002674E9" w:rsidP="002674E9">
      <w:pPr>
        <w:pStyle w:val="Heading3"/>
        <w:rPr>
          <w:lang w:eastAsia="en-AU"/>
        </w:rPr>
      </w:pPr>
      <w:r>
        <w:rPr>
          <w:lang w:eastAsia="en-AU"/>
        </w:rPr>
        <w:t xml:space="preserve">Collection of personal and sensitive information </w:t>
      </w:r>
    </w:p>
    <w:p w:rsidR="002628AE" w:rsidRPr="008026CE" w:rsidRDefault="00876B1A" w:rsidP="008026CE">
      <w:pPr>
        <w:pStyle w:val="Default"/>
        <w:rPr>
          <w:rFonts w:asciiTheme="minorHAnsi" w:hAnsiTheme="minorHAnsi" w:cstheme="minorHAnsi"/>
          <w:sz w:val="22"/>
          <w:szCs w:val="22"/>
        </w:rPr>
      </w:pPr>
      <w:r w:rsidRPr="008026CE">
        <w:rPr>
          <w:rFonts w:asciiTheme="minorHAnsi" w:hAnsiTheme="minorHAnsi" w:cstheme="minorHAnsi"/>
          <w:sz w:val="22"/>
          <w:szCs w:val="22"/>
        </w:rPr>
        <w:t xml:space="preserve">The </w:t>
      </w:r>
      <w:r w:rsidR="002674E9" w:rsidRPr="008026CE">
        <w:rPr>
          <w:rFonts w:asciiTheme="minorHAnsi" w:hAnsiTheme="minorHAnsi" w:cstheme="minorHAnsi"/>
          <w:sz w:val="22"/>
          <w:szCs w:val="22"/>
        </w:rPr>
        <w:t xml:space="preserve">personal </w:t>
      </w:r>
      <w:r w:rsidR="002F0B0B">
        <w:rPr>
          <w:rFonts w:asciiTheme="minorHAnsi" w:hAnsiTheme="minorHAnsi" w:cstheme="minorHAnsi"/>
          <w:sz w:val="22"/>
          <w:szCs w:val="22"/>
        </w:rPr>
        <w:t xml:space="preserve">and </w:t>
      </w:r>
      <w:r w:rsidR="002628AE" w:rsidRPr="008026CE">
        <w:rPr>
          <w:rFonts w:asciiTheme="minorHAnsi" w:hAnsiTheme="minorHAnsi" w:cstheme="minorHAnsi"/>
          <w:sz w:val="22"/>
          <w:szCs w:val="22"/>
        </w:rPr>
        <w:t xml:space="preserve">sensitive </w:t>
      </w:r>
      <w:r w:rsidRPr="008026CE">
        <w:rPr>
          <w:rFonts w:asciiTheme="minorHAnsi" w:hAnsiTheme="minorHAnsi" w:cstheme="minorHAnsi"/>
          <w:sz w:val="22"/>
          <w:szCs w:val="22"/>
        </w:rPr>
        <w:t>information collected</w:t>
      </w:r>
      <w:r w:rsidR="00F227FE" w:rsidRPr="008026CE">
        <w:rPr>
          <w:rFonts w:asciiTheme="minorHAnsi" w:hAnsiTheme="minorHAnsi" w:cstheme="minorHAnsi"/>
          <w:sz w:val="22"/>
          <w:szCs w:val="22"/>
        </w:rPr>
        <w:t xml:space="preserve"> about an individual </w:t>
      </w:r>
      <w:r w:rsidR="002628AE" w:rsidRPr="008026CE">
        <w:rPr>
          <w:rFonts w:asciiTheme="minorHAnsi" w:hAnsiTheme="minorHAnsi" w:cstheme="minorHAnsi"/>
          <w:sz w:val="22"/>
          <w:szCs w:val="22"/>
        </w:rPr>
        <w:t xml:space="preserve">relating to </w:t>
      </w:r>
      <w:r w:rsidR="00882EB2" w:rsidRPr="008026CE">
        <w:rPr>
          <w:rFonts w:asciiTheme="minorHAnsi" w:hAnsiTheme="minorHAnsi" w:cstheme="minorHAnsi"/>
          <w:sz w:val="22"/>
          <w:szCs w:val="22"/>
        </w:rPr>
        <w:t xml:space="preserve">an </w:t>
      </w:r>
      <w:r w:rsidR="002628AE" w:rsidRPr="008026CE">
        <w:rPr>
          <w:rFonts w:asciiTheme="minorHAnsi" w:hAnsiTheme="minorHAnsi" w:cstheme="minorHAnsi"/>
          <w:sz w:val="22"/>
          <w:szCs w:val="22"/>
        </w:rPr>
        <w:t xml:space="preserve">authorisation for initial and continuing access to treatment and supply of product </w:t>
      </w:r>
      <w:r w:rsidR="00B77012" w:rsidRPr="008026CE">
        <w:rPr>
          <w:rFonts w:asciiTheme="minorHAnsi" w:hAnsiTheme="minorHAnsi" w:cstheme="minorHAnsi"/>
          <w:sz w:val="22"/>
          <w:szCs w:val="22"/>
        </w:rPr>
        <w:t>is outlined in the following table.  The primary purpose of collection and the consequences to the individual if it is not collected are also described.</w:t>
      </w:r>
    </w:p>
    <w:p w:rsidR="000E7741" w:rsidRDefault="000E7741" w:rsidP="000E7741">
      <w:pPr>
        <w:pStyle w:val="Caption"/>
        <w:keepNext/>
      </w:pPr>
      <w:r>
        <w:t xml:space="preserve">Table </w:t>
      </w:r>
      <w:r w:rsidR="00FD40F1">
        <w:fldChar w:fldCharType="begin"/>
      </w:r>
      <w:r w:rsidR="00FD40F1">
        <w:instrText xml:space="preserve"> SEQ Table \* ARABIC </w:instrText>
      </w:r>
      <w:r w:rsidR="00FD40F1">
        <w:fldChar w:fldCharType="separate"/>
      </w:r>
      <w:r w:rsidR="007C3A85">
        <w:rPr>
          <w:noProof/>
        </w:rPr>
        <w:t>1</w:t>
      </w:r>
      <w:r w:rsidR="00FD40F1">
        <w:rPr>
          <w:noProof/>
        </w:rPr>
        <w:fldChar w:fldCharType="end"/>
      </w:r>
      <w:r>
        <w:t xml:space="preserve"> Summary of personal and sensitive information in </w:t>
      </w:r>
      <w:proofErr w:type="spellStart"/>
      <w:r w:rsidR="001D735F">
        <w:t>BloodSTAR</w:t>
      </w:r>
      <w:proofErr w:type="spellEnd"/>
    </w:p>
    <w:tbl>
      <w:tblPr>
        <w:tblStyle w:val="TableGrid"/>
        <w:tblW w:w="0" w:type="auto"/>
        <w:tblLook w:val="04A0" w:firstRow="1" w:lastRow="0" w:firstColumn="1" w:lastColumn="0" w:noHBand="0" w:noVBand="1"/>
      </w:tblPr>
      <w:tblGrid>
        <w:gridCol w:w="2376"/>
        <w:gridCol w:w="4133"/>
        <w:gridCol w:w="2733"/>
      </w:tblGrid>
      <w:tr w:rsidR="00982439" w:rsidRPr="008D4387" w:rsidTr="005C74BF">
        <w:trPr>
          <w:tblHeader/>
        </w:trPr>
        <w:tc>
          <w:tcPr>
            <w:tcW w:w="2376" w:type="dxa"/>
            <w:shd w:val="clear" w:color="auto" w:fill="4F81BD" w:themeFill="accent1"/>
          </w:tcPr>
          <w:p w:rsidR="00982439" w:rsidRPr="008D4387" w:rsidRDefault="00982439" w:rsidP="005C74BF">
            <w:pPr>
              <w:pStyle w:val="ListNumber"/>
              <w:numPr>
                <w:ilvl w:val="0"/>
                <w:numId w:val="0"/>
              </w:numPr>
              <w:spacing w:before="120" w:after="120" w:line="240" w:lineRule="auto"/>
              <w:jc w:val="center"/>
              <w:rPr>
                <w:b/>
                <w:lang w:eastAsia="en-AU"/>
              </w:rPr>
            </w:pPr>
            <w:r w:rsidRPr="008D4387">
              <w:rPr>
                <w:b/>
                <w:lang w:eastAsia="en-AU"/>
              </w:rPr>
              <w:t>Data element</w:t>
            </w:r>
          </w:p>
        </w:tc>
        <w:tc>
          <w:tcPr>
            <w:tcW w:w="4133" w:type="dxa"/>
            <w:shd w:val="clear" w:color="auto" w:fill="4F81BD" w:themeFill="accent1"/>
          </w:tcPr>
          <w:p w:rsidR="00982439" w:rsidRPr="008D4387" w:rsidRDefault="00982439" w:rsidP="005C74BF">
            <w:pPr>
              <w:pStyle w:val="ListNumber"/>
              <w:numPr>
                <w:ilvl w:val="0"/>
                <w:numId w:val="0"/>
              </w:numPr>
              <w:spacing w:before="120" w:after="120" w:line="240" w:lineRule="auto"/>
              <w:jc w:val="center"/>
              <w:rPr>
                <w:b/>
                <w:lang w:eastAsia="en-AU"/>
              </w:rPr>
            </w:pPr>
            <w:r w:rsidRPr="008D4387">
              <w:rPr>
                <w:b/>
                <w:lang w:eastAsia="en-AU"/>
              </w:rPr>
              <w:t>Primary purpose of collection</w:t>
            </w:r>
          </w:p>
        </w:tc>
        <w:tc>
          <w:tcPr>
            <w:tcW w:w="2733" w:type="dxa"/>
            <w:shd w:val="clear" w:color="auto" w:fill="4F81BD" w:themeFill="accent1"/>
          </w:tcPr>
          <w:p w:rsidR="00982439" w:rsidRPr="008D4387" w:rsidRDefault="00982439" w:rsidP="005C74BF">
            <w:pPr>
              <w:pStyle w:val="ListNumber"/>
              <w:numPr>
                <w:ilvl w:val="0"/>
                <w:numId w:val="0"/>
              </w:numPr>
              <w:spacing w:before="120" w:after="120" w:line="240" w:lineRule="auto"/>
              <w:jc w:val="center"/>
              <w:rPr>
                <w:b/>
                <w:lang w:eastAsia="en-AU"/>
              </w:rPr>
            </w:pPr>
            <w:r>
              <w:rPr>
                <w:b/>
                <w:lang w:eastAsia="en-AU"/>
              </w:rPr>
              <w:t>Consequence to the individual if not collected</w:t>
            </w:r>
          </w:p>
        </w:tc>
      </w:tr>
      <w:tr w:rsidR="009A77E7" w:rsidTr="009A77E7">
        <w:tc>
          <w:tcPr>
            <w:tcW w:w="9242" w:type="dxa"/>
            <w:gridSpan w:val="3"/>
            <w:shd w:val="clear" w:color="auto" w:fill="DBE5F1" w:themeFill="accent1" w:themeFillTint="33"/>
          </w:tcPr>
          <w:p w:rsidR="009A77E7" w:rsidRPr="009A77E7" w:rsidRDefault="009F25AD" w:rsidP="009F25AD">
            <w:pPr>
              <w:spacing w:before="120" w:after="120" w:line="240" w:lineRule="auto"/>
              <w:jc w:val="center"/>
              <w:rPr>
                <w:lang w:eastAsia="en-AU"/>
              </w:rPr>
            </w:pPr>
            <w:r>
              <w:rPr>
                <w:lang w:eastAsia="en-AU"/>
              </w:rPr>
              <w:t>Personal Identifying information</w:t>
            </w:r>
            <w:r w:rsidR="005C74BF">
              <w:rPr>
                <w:lang w:eastAsia="en-AU"/>
              </w:rPr>
              <w:t xml:space="preserve"> (patient)</w:t>
            </w:r>
          </w:p>
        </w:tc>
      </w:tr>
      <w:tr w:rsidR="009A77E7" w:rsidTr="00C51DAF">
        <w:tc>
          <w:tcPr>
            <w:tcW w:w="2376" w:type="dxa"/>
          </w:tcPr>
          <w:p w:rsidR="009A77E7" w:rsidRPr="008D4387" w:rsidRDefault="009A77E7" w:rsidP="00C51DAF">
            <w:pPr>
              <w:spacing w:before="120" w:after="120" w:line="240" w:lineRule="auto"/>
              <w:rPr>
                <w:lang w:eastAsia="en-AU"/>
              </w:rPr>
            </w:pPr>
            <w:r w:rsidRPr="008D4387">
              <w:rPr>
                <w:lang w:eastAsia="en-AU"/>
              </w:rPr>
              <w:t>Family name</w:t>
            </w:r>
          </w:p>
        </w:tc>
        <w:tc>
          <w:tcPr>
            <w:tcW w:w="4133" w:type="dxa"/>
          </w:tcPr>
          <w:p w:rsidR="009A77E7" w:rsidRDefault="009A77E7" w:rsidP="00C36524">
            <w:pPr>
              <w:pStyle w:val="ListParagraph"/>
              <w:numPr>
                <w:ilvl w:val="0"/>
                <w:numId w:val="7"/>
              </w:numPr>
              <w:spacing w:before="120" w:after="240" w:line="240" w:lineRule="auto"/>
              <w:ind w:left="357" w:hanging="357"/>
              <w:contextualSpacing w:val="0"/>
              <w:rPr>
                <w:lang w:eastAsia="en-AU"/>
              </w:rPr>
            </w:pPr>
            <w:r w:rsidRPr="00D82439">
              <w:rPr>
                <w:lang w:eastAsia="en-AU"/>
              </w:rPr>
              <w:t>C</w:t>
            </w:r>
            <w:r>
              <w:rPr>
                <w:lang w:eastAsia="en-AU"/>
              </w:rPr>
              <w:t>ritical identification element u</w:t>
            </w:r>
            <w:r w:rsidRPr="00D82439">
              <w:rPr>
                <w:lang w:eastAsia="en-AU"/>
              </w:rPr>
              <w:t>sed with other identifiers to uniquely identify individuals to ensure appropriate author</w:t>
            </w:r>
            <w:r w:rsidR="00C36524">
              <w:rPr>
                <w:lang w:eastAsia="en-AU"/>
              </w:rPr>
              <w:t>isation and supply of product.</w:t>
            </w:r>
          </w:p>
          <w:p w:rsidR="009A77E7" w:rsidRPr="00D82439" w:rsidRDefault="009A77E7" w:rsidP="00C36524">
            <w:pPr>
              <w:pStyle w:val="ListParagraph"/>
              <w:numPr>
                <w:ilvl w:val="0"/>
                <w:numId w:val="7"/>
              </w:numPr>
              <w:spacing w:before="120" w:after="240" w:line="240" w:lineRule="auto"/>
              <w:ind w:left="357" w:hanging="357"/>
              <w:contextualSpacing w:val="0"/>
              <w:rPr>
                <w:lang w:eastAsia="en-AU"/>
              </w:rPr>
            </w:pPr>
            <w:r w:rsidRPr="00D82439">
              <w:rPr>
                <w:lang w:eastAsia="en-AU"/>
              </w:rPr>
              <w:t>Mitigate duplicate records.</w:t>
            </w:r>
          </w:p>
        </w:tc>
        <w:tc>
          <w:tcPr>
            <w:tcW w:w="2733" w:type="dxa"/>
          </w:tcPr>
          <w:p w:rsidR="009A77E7" w:rsidRDefault="009A77E7" w:rsidP="00C36524">
            <w:pPr>
              <w:pStyle w:val="ListParagraph"/>
              <w:numPr>
                <w:ilvl w:val="0"/>
                <w:numId w:val="7"/>
              </w:numPr>
              <w:spacing w:before="120" w:after="240" w:line="240" w:lineRule="auto"/>
              <w:ind w:left="357" w:hanging="357"/>
              <w:contextualSpacing w:val="0"/>
              <w:rPr>
                <w:lang w:eastAsia="en-AU"/>
              </w:rPr>
            </w:pPr>
            <w:r>
              <w:rPr>
                <w:lang w:eastAsia="en-AU"/>
              </w:rPr>
              <w:t xml:space="preserve">Patient safety risk if not easily identifiable to </w:t>
            </w:r>
            <w:r w:rsidR="00FB4EB5">
              <w:rPr>
                <w:lang w:eastAsia="en-AU"/>
              </w:rPr>
              <w:t>clinicians</w:t>
            </w:r>
            <w:r w:rsidR="004051A8">
              <w:rPr>
                <w:lang w:eastAsia="en-AU"/>
              </w:rPr>
              <w:t xml:space="preserve"> </w:t>
            </w:r>
            <w:r>
              <w:rPr>
                <w:lang w:eastAsia="en-AU"/>
              </w:rPr>
              <w:t xml:space="preserve">involved in their care.  </w:t>
            </w:r>
          </w:p>
          <w:p w:rsidR="009A77E7" w:rsidRDefault="009A77E7" w:rsidP="00C36524">
            <w:pPr>
              <w:pStyle w:val="ListParagraph"/>
              <w:numPr>
                <w:ilvl w:val="0"/>
                <w:numId w:val="7"/>
              </w:numPr>
              <w:spacing w:before="120" w:after="240" w:line="240" w:lineRule="auto"/>
              <w:ind w:left="357" w:hanging="357"/>
              <w:contextualSpacing w:val="0"/>
              <w:rPr>
                <w:lang w:eastAsia="en-AU"/>
              </w:rPr>
            </w:pPr>
            <w:r>
              <w:rPr>
                <w:lang w:eastAsia="en-AU"/>
              </w:rPr>
              <w:t>Ensures appropriate dispense of product for treatment.</w:t>
            </w:r>
          </w:p>
        </w:tc>
      </w:tr>
      <w:tr w:rsidR="00982439" w:rsidTr="006308F0">
        <w:tc>
          <w:tcPr>
            <w:tcW w:w="2376" w:type="dxa"/>
          </w:tcPr>
          <w:p w:rsidR="00982439" w:rsidRDefault="00982439" w:rsidP="008D4387">
            <w:pPr>
              <w:spacing w:before="120" w:after="120" w:line="240" w:lineRule="auto"/>
              <w:rPr>
                <w:lang w:eastAsia="en-AU"/>
              </w:rPr>
            </w:pPr>
            <w:r w:rsidRPr="008D4387">
              <w:rPr>
                <w:lang w:eastAsia="en-AU"/>
              </w:rPr>
              <w:t>Given name</w:t>
            </w:r>
          </w:p>
        </w:tc>
        <w:tc>
          <w:tcPr>
            <w:tcW w:w="4133" w:type="dxa"/>
          </w:tcPr>
          <w:p w:rsidR="00D82439" w:rsidRDefault="00982439" w:rsidP="00C36524">
            <w:pPr>
              <w:pStyle w:val="ListParagraph"/>
              <w:numPr>
                <w:ilvl w:val="0"/>
                <w:numId w:val="7"/>
              </w:numPr>
              <w:spacing w:before="120" w:after="240" w:line="240" w:lineRule="auto"/>
              <w:ind w:left="357" w:hanging="357"/>
              <w:contextualSpacing w:val="0"/>
              <w:rPr>
                <w:lang w:eastAsia="en-AU"/>
              </w:rPr>
            </w:pPr>
            <w:r w:rsidRPr="00D82439">
              <w:rPr>
                <w:lang w:eastAsia="en-AU"/>
              </w:rPr>
              <w:t>C</w:t>
            </w:r>
            <w:r w:rsidR="00D82439">
              <w:rPr>
                <w:lang w:eastAsia="en-AU"/>
              </w:rPr>
              <w:t>ritical identification element u</w:t>
            </w:r>
            <w:r w:rsidRPr="00D82439">
              <w:rPr>
                <w:lang w:eastAsia="en-AU"/>
              </w:rPr>
              <w:t xml:space="preserve">sed with other identifiers to uniquely identify individuals to </w:t>
            </w:r>
            <w:r w:rsidR="00D82439" w:rsidRPr="00D82439">
              <w:rPr>
                <w:lang w:eastAsia="en-AU"/>
              </w:rPr>
              <w:t xml:space="preserve">ensure appropriate authorisation and supply of product.  </w:t>
            </w:r>
          </w:p>
          <w:p w:rsidR="00982439" w:rsidRPr="00D82439" w:rsidRDefault="00D82439" w:rsidP="00C36524">
            <w:pPr>
              <w:pStyle w:val="ListParagraph"/>
              <w:numPr>
                <w:ilvl w:val="0"/>
                <w:numId w:val="7"/>
              </w:numPr>
              <w:spacing w:before="120" w:after="240" w:line="240" w:lineRule="auto"/>
              <w:ind w:left="357" w:hanging="357"/>
              <w:contextualSpacing w:val="0"/>
              <w:rPr>
                <w:lang w:eastAsia="en-AU"/>
              </w:rPr>
            </w:pPr>
            <w:r w:rsidRPr="00D82439">
              <w:rPr>
                <w:lang w:eastAsia="en-AU"/>
              </w:rPr>
              <w:t>Mitigate duplicate records.</w:t>
            </w:r>
          </w:p>
        </w:tc>
        <w:tc>
          <w:tcPr>
            <w:tcW w:w="2733" w:type="dxa"/>
          </w:tcPr>
          <w:p w:rsidR="00B77012" w:rsidRDefault="00637DB4" w:rsidP="00C36524">
            <w:pPr>
              <w:pStyle w:val="ListParagraph"/>
              <w:numPr>
                <w:ilvl w:val="0"/>
                <w:numId w:val="7"/>
              </w:numPr>
              <w:spacing w:before="120" w:after="240" w:line="240" w:lineRule="auto"/>
              <w:ind w:left="357" w:hanging="357"/>
              <w:contextualSpacing w:val="0"/>
              <w:rPr>
                <w:lang w:eastAsia="en-AU"/>
              </w:rPr>
            </w:pPr>
            <w:r>
              <w:rPr>
                <w:lang w:eastAsia="en-AU"/>
              </w:rPr>
              <w:t xml:space="preserve">Patient safety risk if not easily identifiable to </w:t>
            </w:r>
            <w:r w:rsidR="00FB4EB5">
              <w:rPr>
                <w:lang w:eastAsia="en-AU"/>
              </w:rPr>
              <w:t xml:space="preserve">clinicians </w:t>
            </w:r>
            <w:r>
              <w:rPr>
                <w:lang w:eastAsia="en-AU"/>
              </w:rPr>
              <w:t xml:space="preserve">involved in their care.  </w:t>
            </w:r>
          </w:p>
          <w:p w:rsidR="00982439" w:rsidRDefault="00637DB4" w:rsidP="00C36524">
            <w:pPr>
              <w:pStyle w:val="ListParagraph"/>
              <w:numPr>
                <w:ilvl w:val="0"/>
                <w:numId w:val="7"/>
              </w:numPr>
              <w:spacing w:before="120" w:after="240" w:line="240" w:lineRule="auto"/>
              <w:ind w:left="357" w:hanging="357"/>
              <w:contextualSpacing w:val="0"/>
              <w:rPr>
                <w:lang w:eastAsia="en-AU"/>
              </w:rPr>
            </w:pPr>
            <w:r>
              <w:rPr>
                <w:lang w:eastAsia="en-AU"/>
              </w:rPr>
              <w:t>Ensures appropriate dispense of product for treatment.</w:t>
            </w:r>
          </w:p>
        </w:tc>
      </w:tr>
      <w:tr w:rsidR="00D82439" w:rsidTr="006308F0">
        <w:tc>
          <w:tcPr>
            <w:tcW w:w="2376" w:type="dxa"/>
          </w:tcPr>
          <w:p w:rsidR="00D82439" w:rsidRPr="008D4387" w:rsidRDefault="00D82439" w:rsidP="008D4387">
            <w:pPr>
              <w:spacing w:before="120" w:after="120" w:line="240" w:lineRule="auto"/>
              <w:rPr>
                <w:lang w:eastAsia="en-AU"/>
              </w:rPr>
            </w:pPr>
            <w:r w:rsidRPr="008D4387">
              <w:rPr>
                <w:lang w:eastAsia="en-AU"/>
              </w:rPr>
              <w:t>Date of birth</w:t>
            </w:r>
          </w:p>
        </w:tc>
        <w:tc>
          <w:tcPr>
            <w:tcW w:w="4133" w:type="dxa"/>
          </w:tcPr>
          <w:p w:rsidR="00D82439" w:rsidRDefault="00D82439" w:rsidP="00C36524">
            <w:pPr>
              <w:pStyle w:val="ListParagraph"/>
              <w:numPr>
                <w:ilvl w:val="0"/>
                <w:numId w:val="7"/>
              </w:numPr>
              <w:spacing w:before="120" w:after="240" w:line="240" w:lineRule="auto"/>
              <w:ind w:left="357" w:hanging="357"/>
              <w:contextualSpacing w:val="0"/>
              <w:rPr>
                <w:lang w:eastAsia="en-AU"/>
              </w:rPr>
            </w:pPr>
            <w:r w:rsidRPr="00D82439">
              <w:rPr>
                <w:lang w:eastAsia="en-AU"/>
              </w:rPr>
              <w:t>C</w:t>
            </w:r>
            <w:r>
              <w:rPr>
                <w:lang w:eastAsia="en-AU"/>
              </w:rPr>
              <w:t>ritical identification element u</w:t>
            </w:r>
            <w:r w:rsidRPr="00D82439">
              <w:rPr>
                <w:lang w:eastAsia="en-AU"/>
              </w:rPr>
              <w:t xml:space="preserve">sed with other identifiers to uniquely identify individuals to ensure appropriate authorisation and supply of product.  </w:t>
            </w:r>
          </w:p>
          <w:p w:rsidR="00D82439" w:rsidRPr="00D82439" w:rsidRDefault="00D82439" w:rsidP="00C36524">
            <w:pPr>
              <w:pStyle w:val="ListParagraph"/>
              <w:numPr>
                <w:ilvl w:val="0"/>
                <w:numId w:val="7"/>
              </w:numPr>
              <w:spacing w:before="120" w:after="240" w:line="240" w:lineRule="auto"/>
              <w:ind w:left="357" w:hanging="357"/>
              <w:contextualSpacing w:val="0"/>
              <w:rPr>
                <w:lang w:eastAsia="en-AU"/>
              </w:rPr>
            </w:pPr>
            <w:r w:rsidRPr="00D82439">
              <w:rPr>
                <w:lang w:eastAsia="en-AU"/>
              </w:rPr>
              <w:t>Mitigate duplicate records.</w:t>
            </w:r>
          </w:p>
        </w:tc>
        <w:tc>
          <w:tcPr>
            <w:tcW w:w="2733" w:type="dxa"/>
          </w:tcPr>
          <w:p w:rsidR="00B77012" w:rsidRDefault="00D82439" w:rsidP="00C36524">
            <w:pPr>
              <w:pStyle w:val="ListParagraph"/>
              <w:numPr>
                <w:ilvl w:val="0"/>
                <w:numId w:val="7"/>
              </w:numPr>
              <w:spacing w:before="120" w:after="240" w:line="240" w:lineRule="auto"/>
              <w:ind w:left="357" w:hanging="357"/>
              <w:contextualSpacing w:val="0"/>
              <w:rPr>
                <w:lang w:eastAsia="en-AU"/>
              </w:rPr>
            </w:pPr>
            <w:r>
              <w:rPr>
                <w:lang w:eastAsia="en-AU"/>
              </w:rPr>
              <w:t xml:space="preserve">Patient safety risk if not easily identifiable to </w:t>
            </w:r>
            <w:r w:rsidR="00FB4EB5">
              <w:rPr>
                <w:lang w:eastAsia="en-AU"/>
              </w:rPr>
              <w:t xml:space="preserve">clinicians </w:t>
            </w:r>
            <w:r>
              <w:rPr>
                <w:lang w:eastAsia="en-AU"/>
              </w:rPr>
              <w:t>involved in their care.</w:t>
            </w:r>
          </w:p>
          <w:p w:rsidR="00D82439" w:rsidRPr="0013660F" w:rsidRDefault="00D82439" w:rsidP="00C36524">
            <w:pPr>
              <w:pStyle w:val="ListParagraph"/>
              <w:numPr>
                <w:ilvl w:val="0"/>
                <w:numId w:val="7"/>
              </w:numPr>
              <w:spacing w:before="120" w:after="240" w:line="240" w:lineRule="auto"/>
              <w:ind w:left="357" w:hanging="357"/>
              <w:contextualSpacing w:val="0"/>
              <w:rPr>
                <w:lang w:eastAsia="en-AU"/>
              </w:rPr>
            </w:pPr>
            <w:r>
              <w:rPr>
                <w:lang w:eastAsia="en-AU"/>
              </w:rPr>
              <w:t xml:space="preserve"> </w:t>
            </w:r>
            <w:r w:rsidR="00B77012">
              <w:rPr>
                <w:lang w:eastAsia="en-AU"/>
              </w:rPr>
              <w:t>Ensures</w:t>
            </w:r>
            <w:r>
              <w:rPr>
                <w:lang w:eastAsia="en-AU"/>
              </w:rPr>
              <w:t xml:space="preserve"> appropriate dispense of product for </w:t>
            </w:r>
            <w:r>
              <w:rPr>
                <w:lang w:eastAsia="en-AU"/>
              </w:rPr>
              <w:lastRenderedPageBreak/>
              <w:t>treatment.</w:t>
            </w:r>
          </w:p>
        </w:tc>
      </w:tr>
      <w:tr w:rsidR="00D82439" w:rsidTr="006308F0">
        <w:tc>
          <w:tcPr>
            <w:tcW w:w="2376" w:type="dxa"/>
          </w:tcPr>
          <w:p w:rsidR="00D82439" w:rsidRPr="008D4387" w:rsidRDefault="006E2501" w:rsidP="008D4387">
            <w:pPr>
              <w:spacing w:before="120" w:after="120" w:line="240" w:lineRule="auto"/>
              <w:rPr>
                <w:lang w:eastAsia="en-AU"/>
              </w:rPr>
            </w:pPr>
            <w:r>
              <w:rPr>
                <w:lang w:eastAsia="en-AU"/>
              </w:rPr>
              <w:lastRenderedPageBreak/>
              <w:t>Sex</w:t>
            </w:r>
          </w:p>
        </w:tc>
        <w:tc>
          <w:tcPr>
            <w:tcW w:w="4133" w:type="dxa"/>
          </w:tcPr>
          <w:p w:rsidR="00D82439" w:rsidRDefault="00D82439" w:rsidP="00C36524">
            <w:pPr>
              <w:pStyle w:val="ListParagraph"/>
              <w:numPr>
                <w:ilvl w:val="0"/>
                <w:numId w:val="7"/>
              </w:numPr>
              <w:spacing w:before="120" w:after="240" w:line="240" w:lineRule="auto"/>
              <w:ind w:left="357" w:hanging="357"/>
              <w:contextualSpacing w:val="0"/>
              <w:rPr>
                <w:lang w:eastAsia="en-AU"/>
              </w:rPr>
            </w:pPr>
            <w:r w:rsidRPr="00D82439">
              <w:rPr>
                <w:lang w:eastAsia="en-AU"/>
              </w:rPr>
              <w:t>C</w:t>
            </w:r>
            <w:r>
              <w:rPr>
                <w:lang w:eastAsia="en-AU"/>
              </w:rPr>
              <w:t>ritical identification element u</w:t>
            </w:r>
            <w:r w:rsidRPr="00D82439">
              <w:rPr>
                <w:lang w:eastAsia="en-AU"/>
              </w:rPr>
              <w:t xml:space="preserve">sed with other identifiers to uniquely identify individuals to ensure appropriate authorisation and supply of product.  </w:t>
            </w:r>
          </w:p>
          <w:p w:rsidR="00D82439" w:rsidRDefault="00D82439" w:rsidP="00C36524">
            <w:pPr>
              <w:pStyle w:val="ListParagraph"/>
              <w:numPr>
                <w:ilvl w:val="0"/>
                <w:numId w:val="7"/>
              </w:numPr>
              <w:spacing w:before="120" w:after="240" w:line="240" w:lineRule="auto"/>
              <w:ind w:left="357" w:hanging="357"/>
              <w:contextualSpacing w:val="0"/>
              <w:rPr>
                <w:lang w:eastAsia="en-AU"/>
              </w:rPr>
            </w:pPr>
            <w:r w:rsidRPr="00D82439">
              <w:rPr>
                <w:lang w:eastAsia="en-AU"/>
              </w:rPr>
              <w:t>Mitigate duplicate records.</w:t>
            </w:r>
          </w:p>
          <w:p w:rsidR="00064EDE" w:rsidRPr="00D82439" w:rsidRDefault="00064EDE" w:rsidP="000F5173">
            <w:pPr>
              <w:pStyle w:val="ListParagraph"/>
              <w:numPr>
                <w:ilvl w:val="0"/>
                <w:numId w:val="7"/>
              </w:numPr>
              <w:spacing w:before="120" w:after="240" w:line="240" w:lineRule="auto"/>
              <w:ind w:left="357" w:hanging="357"/>
              <w:contextualSpacing w:val="0"/>
              <w:rPr>
                <w:lang w:eastAsia="en-AU"/>
              </w:rPr>
            </w:pPr>
            <w:r>
              <w:rPr>
                <w:lang w:eastAsia="en-AU"/>
              </w:rPr>
              <w:t>Required for ideal body weight adjusted dosing measures.</w:t>
            </w:r>
          </w:p>
        </w:tc>
        <w:tc>
          <w:tcPr>
            <w:tcW w:w="2733" w:type="dxa"/>
          </w:tcPr>
          <w:p w:rsidR="00D82439" w:rsidRPr="0013660F" w:rsidRDefault="009A77E7" w:rsidP="00C36524">
            <w:pPr>
              <w:pStyle w:val="ListParagraph"/>
              <w:numPr>
                <w:ilvl w:val="0"/>
                <w:numId w:val="7"/>
              </w:numPr>
              <w:spacing w:before="120" w:after="240" w:line="240" w:lineRule="auto"/>
              <w:ind w:left="357" w:hanging="357"/>
              <w:contextualSpacing w:val="0"/>
              <w:rPr>
                <w:lang w:eastAsia="en-AU"/>
              </w:rPr>
            </w:pPr>
            <w:r>
              <w:rPr>
                <w:lang w:eastAsia="en-AU"/>
              </w:rPr>
              <w:t>Patient safety risk if Ideal Body Weight adjusted dosing is selected for the patient, gender is a key element to determining appropriate dosing.</w:t>
            </w:r>
          </w:p>
        </w:tc>
      </w:tr>
      <w:tr w:rsidR="009A77E7" w:rsidTr="00C51DAF">
        <w:tc>
          <w:tcPr>
            <w:tcW w:w="2376" w:type="dxa"/>
          </w:tcPr>
          <w:p w:rsidR="00447709" w:rsidRDefault="009A77E7" w:rsidP="00C51DAF">
            <w:pPr>
              <w:spacing w:before="120" w:after="120" w:line="240" w:lineRule="auto"/>
              <w:rPr>
                <w:lang w:eastAsia="en-AU"/>
              </w:rPr>
            </w:pPr>
            <w:r w:rsidRPr="008D4387">
              <w:rPr>
                <w:lang w:eastAsia="en-AU"/>
              </w:rPr>
              <w:t>Hospital identifiers</w:t>
            </w:r>
            <w:r>
              <w:rPr>
                <w:lang w:eastAsia="en-AU"/>
              </w:rPr>
              <w:t xml:space="preserve">: </w:t>
            </w:r>
            <w:r w:rsidR="00447709">
              <w:rPr>
                <w:lang w:eastAsia="en-AU"/>
              </w:rPr>
              <w:t xml:space="preserve"> Such as but not limited to</w:t>
            </w:r>
          </w:p>
          <w:p w:rsidR="009A77E7" w:rsidRDefault="009A77E7" w:rsidP="00C51DAF">
            <w:pPr>
              <w:spacing w:before="120" w:after="120" w:line="240" w:lineRule="auto"/>
              <w:rPr>
                <w:lang w:eastAsia="en-AU"/>
              </w:rPr>
            </w:pPr>
            <w:r>
              <w:rPr>
                <w:lang w:eastAsia="en-AU"/>
              </w:rPr>
              <w:t>Medical Record Number (</w:t>
            </w:r>
            <w:proofErr w:type="spellStart"/>
            <w:r>
              <w:rPr>
                <w:lang w:eastAsia="en-AU"/>
              </w:rPr>
              <w:t>MRN</w:t>
            </w:r>
            <w:proofErr w:type="spellEnd"/>
            <w:r>
              <w:rPr>
                <w:lang w:eastAsia="en-AU"/>
              </w:rPr>
              <w:t>);</w:t>
            </w:r>
          </w:p>
          <w:p w:rsidR="009A77E7" w:rsidRPr="008D4387" w:rsidRDefault="009A77E7" w:rsidP="00C51DAF">
            <w:pPr>
              <w:spacing w:before="120" w:after="120" w:line="240" w:lineRule="auto"/>
              <w:rPr>
                <w:lang w:eastAsia="en-AU"/>
              </w:rPr>
            </w:pPr>
            <w:r>
              <w:rPr>
                <w:lang w:eastAsia="en-AU"/>
              </w:rPr>
              <w:t>Unique Record Number (URN)</w:t>
            </w:r>
          </w:p>
        </w:tc>
        <w:tc>
          <w:tcPr>
            <w:tcW w:w="4133" w:type="dxa"/>
          </w:tcPr>
          <w:p w:rsidR="00447709" w:rsidRPr="00C36524" w:rsidRDefault="009A77E7" w:rsidP="00C36524">
            <w:pPr>
              <w:pStyle w:val="ListParagraph"/>
              <w:numPr>
                <w:ilvl w:val="0"/>
                <w:numId w:val="7"/>
              </w:numPr>
              <w:spacing w:before="120" w:after="240" w:line="240" w:lineRule="auto"/>
              <w:ind w:left="357" w:hanging="357"/>
              <w:contextualSpacing w:val="0"/>
              <w:rPr>
                <w:lang w:eastAsia="en-AU"/>
              </w:rPr>
            </w:pPr>
            <w:r w:rsidRPr="00D82439">
              <w:rPr>
                <w:lang w:eastAsia="en-AU"/>
              </w:rPr>
              <w:t>C</w:t>
            </w:r>
            <w:r>
              <w:rPr>
                <w:lang w:eastAsia="en-AU"/>
              </w:rPr>
              <w:t>ritical identification element u</w:t>
            </w:r>
            <w:r w:rsidRPr="00D82439">
              <w:rPr>
                <w:lang w:eastAsia="en-AU"/>
              </w:rPr>
              <w:t>sed with other identifiers to uniquely identify individuals to ensure appropriate authorisation and supply of product.  Mitigate duplicate records</w:t>
            </w:r>
            <w:r w:rsidR="00447709">
              <w:rPr>
                <w:lang w:eastAsia="en-AU"/>
              </w:rPr>
              <w:t>.</w:t>
            </w:r>
          </w:p>
          <w:p w:rsidR="009A77E7" w:rsidRDefault="009A77E7" w:rsidP="00C36524">
            <w:pPr>
              <w:pStyle w:val="ListParagraph"/>
              <w:numPr>
                <w:ilvl w:val="0"/>
                <w:numId w:val="7"/>
              </w:numPr>
              <w:spacing w:before="120" w:after="240" w:line="240" w:lineRule="auto"/>
              <w:ind w:left="357" w:hanging="357"/>
              <w:contextualSpacing w:val="0"/>
              <w:rPr>
                <w:lang w:eastAsia="en-AU"/>
              </w:rPr>
            </w:pPr>
            <w:r>
              <w:rPr>
                <w:lang w:eastAsia="en-AU"/>
              </w:rPr>
              <w:t xml:space="preserve">Enable automated </w:t>
            </w:r>
            <w:r w:rsidR="00447709">
              <w:rPr>
                <w:lang w:eastAsia="en-AU"/>
              </w:rPr>
              <w:t xml:space="preserve">reconciliation of dispensed product to authorised patients and </w:t>
            </w:r>
            <w:r>
              <w:rPr>
                <w:lang w:eastAsia="en-AU"/>
              </w:rPr>
              <w:t>data sharing where hospital laboratory information systems are interfaced.</w:t>
            </w:r>
          </w:p>
          <w:p w:rsidR="006F55C3" w:rsidRPr="00D82439" w:rsidRDefault="006F55C3" w:rsidP="002B7E38">
            <w:pPr>
              <w:pStyle w:val="ListParagraph"/>
              <w:numPr>
                <w:ilvl w:val="0"/>
                <w:numId w:val="7"/>
              </w:numPr>
              <w:spacing w:before="120" w:after="240" w:line="240" w:lineRule="auto"/>
              <w:ind w:left="357" w:hanging="357"/>
              <w:contextualSpacing w:val="0"/>
              <w:rPr>
                <w:sz w:val="22"/>
                <w:szCs w:val="22"/>
                <w:lang w:eastAsia="en-AU"/>
              </w:rPr>
            </w:pPr>
            <w:r>
              <w:rPr>
                <w:lang w:eastAsia="en-AU"/>
              </w:rPr>
              <w:t xml:space="preserve">Maintain established patient identification practice, specified in the National Safety and Quality Health Service Standards –Standard 5.  Approved patient </w:t>
            </w:r>
            <w:r w:rsidR="009D3BF8">
              <w:rPr>
                <w:lang w:eastAsia="en-AU"/>
              </w:rPr>
              <w:t>identifiers</w:t>
            </w:r>
            <w:r>
              <w:rPr>
                <w:lang w:eastAsia="en-AU"/>
              </w:rPr>
              <w:t xml:space="preserve"> </w:t>
            </w:r>
            <w:r w:rsidR="009D3BF8">
              <w:rPr>
                <w:lang w:eastAsia="en-AU"/>
              </w:rPr>
              <w:t xml:space="preserve">must </w:t>
            </w:r>
            <w:r>
              <w:rPr>
                <w:lang w:eastAsia="en-AU"/>
              </w:rPr>
              <w:t>be three of</w:t>
            </w:r>
            <w:r w:rsidR="009D3BF8">
              <w:rPr>
                <w:lang w:eastAsia="en-AU"/>
              </w:rPr>
              <w:t>;</w:t>
            </w:r>
            <w:r>
              <w:rPr>
                <w:lang w:eastAsia="en-AU"/>
              </w:rPr>
              <w:t xml:space="preserve"> </w:t>
            </w:r>
            <w:r w:rsidRPr="002B7E38">
              <w:rPr>
                <w:lang w:eastAsia="en-AU"/>
              </w:rPr>
              <w:t>patient name (family and given names), date of</w:t>
            </w:r>
            <w:r>
              <w:rPr>
                <w:lang w:eastAsia="en-AU"/>
              </w:rPr>
              <w:t xml:space="preserve"> </w:t>
            </w:r>
            <w:r w:rsidRPr="002B7E38">
              <w:rPr>
                <w:lang w:eastAsia="en-AU"/>
              </w:rPr>
              <w:t>birth, gender, address, medical record number</w:t>
            </w:r>
            <w:r>
              <w:rPr>
                <w:lang w:eastAsia="en-AU"/>
              </w:rPr>
              <w:t xml:space="preserve"> </w:t>
            </w:r>
            <w:r w:rsidRPr="002B7E38">
              <w:rPr>
                <w:lang w:eastAsia="en-AU"/>
              </w:rPr>
              <w:t>and/or Individual Healthcare Identifie</w:t>
            </w:r>
            <w:r>
              <w:rPr>
                <w:lang w:eastAsia="en-AU"/>
              </w:rPr>
              <w:t>r.</w:t>
            </w:r>
          </w:p>
        </w:tc>
        <w:tc>
          <w:tcPr>
            <w:tcW w:w="2733" w:type="dxa"/>
          </w:tcPr>
          <w:p w:rsidR="009A77E7" w:rsidRPr="0013660F" w:rsidRDefault="009A77E7" w:rsidP="00C36524">
            <w:pPr>
              <w:pStyle w:val="ListParagraph"/>
              <w:numPr>
                <w:ilvl w:val="0"/>
                <w:numId w:val="7"/>
              </w:numPr>
              <w:spacing w:before="120" w:after="240" w:line="240" w:lineRule="auto"/>
              <w:ind w:left="357" w:hanging="357"/>
              <w:contextualSpacing w:val="0"/>
              <w:rPr>
                <w:lang w:eastAsia="en-AU"/>
              </w:rPr>
            </w:pPr>
            <w:r>
              <w:rPr>
                <w:lang w:eastAsia="en-AU"/>
              </w:rPr>
              <w:t xml:space="preserve">Patient safety risk if not easily identifiable to </w:t>
            </w:r>
            <w:r w:rsidR="00FB4EB5">
              <w:rPr>
                <w:lang w:eastAsia="en-AU"/>
              </w:rPr>
              <w:t xml:space="preserve">clinicians </w:t>
            </w:r>
            <w:r>
              <w:rPr>
                <w:lang w:eastAsia="en-AU"/>
              </w:rPr>
              <w:t>involved in their care.  Ensures appropriate dispense of product for</w:t>
            </w:r>
            <w:r w:rsidR="00447709">
              <w:rPr>
                <w:lang w:eastAsia="en-AU"/>
              </w:rPr>
              <w:t xml:space="preserve"> authorised</w:t>
            </w:r>
            <w:r>
              <w:rPr>
                <w:lang w:eastAsia="en-AU"/>
              </w:rPr>
              <w:t xml:space="preserve"> treatment.</w:t>
            </w:r>
          </w:p>
        </w:tc>
      </w:tr>
      <w:tr w:rsidR="006308F0" w:rsidTr="006308F0">
        <w:tc>
          <w:tcPr>
            <w:tcW w:w="2376" w:type="dxa"/>
          </w:tcPr>
          <w:p w:rsidR="006308F0" w:rsidRDefault="006308F0" w:rsidP="008D4387">
            <w:pPr>
              <w:spacing w:before="120" w:after="120" w:line="240" w:lineRule="auto"/>
              <w:rPr>
                <w:lang w:eastAsia="en-AU"/>
              </w:rPr>
            </w:pPr>
            <w:r>
              <w:rPr>
                <w:lang w:eastAsia="en-AU"/>
              </w:rPr>
              <w:t>Individual Health Identifier (</w:t>
            </w:r>
            <w:proofErr w:type="spellStart"/>
            <w:r>
              <w:rPr>
                <w:lang w:eastAsia="en-AU"/>
              </w:rPr>
              <w:t>IHI</w:t>
            </w:r>
            <w:proofErr w:type="spellEnd"/>
            <w:r>
              <w:rPr>
                <w:lang w:eastAsia="en-AU"/>
              </w:rPr>
              <w:t>)</w:t>
            </w:r>
          </w:p>
        </w:tc>
        <w:tc>
          <w:tcPr>
            <w:tcW w:w="4133" w:type="dxa"/>
          </w:tcPr>
          <w:p w:rsidR="006308F0" w:rsidRDefault="006308F0" w:rsidP="00C36524">
            <w:pPr>
              <w:pStyle w:val="ListParagraph"/>
              <w:numPr>
                <w:ilvl w:val="0"/>
                <w:numId w:val="7"/>
              </w:numPr>
              <w:spacing w:before="120" w:after="240" w:line="240" w:lineRule="auto"/>
              <w:ind w:left="357" w:hanging="357"/>
              <w:contextualSpacing w:val="0"/>
              <w:rPr>
                <w:lang w:eastAsia="en-AU"/>
              </w:rPr>
            </w:pPr>
            <w:r w:rsidRPr="00D82439">
              <w:rPr>
                <w:lang w:eastAsia="en-AU"/>
              </w:rPr>
              <w:t>C</w:t>
            </w:r>
            <w:r>
              <w:rPr>
                <w:lang w:eastAsia="en-AU"/>
              </w:rPr>
              <w:t>ritical identification element u</w:t>
            </w:r>
            <w:r w:rsidRPr="00D82439">
              <w:rPr>
                <w:lang w:eastAsia="en-AU"/>
              </w:rPr>
              <w:t xml:space="preserve">sed with other identifiers to uniquely identify individuals to ensure appropriate authorisation and supply of product.  </w:t>
            </w:r>
          </w:p>
          <w:p w:rsidR="006308F0" w:rsidRDefault="006308F0" w:rsidP="00C36524">
            <w:pPr>
              <w:pStyle w:val="ListParagraph"/>
              <w:numPr>
                <w:ilvl w:val="0"/>
                <w:numId w:val="7"/>
              </w:numPr>
              <w:spacing w:before="120" w:after="240" w:line="240" w:lineRule="auto"/>
              <w:ind w:left="357" w:hanging="357"/>
              <w:contextualSpacing w:val="0"/>
              <w:rPr>
                <w:lang w:eastAsia="en-AU"/>
              </w:rPr>
            </w:pPr>
            <w:r w:rsidRPr="00D82439">
              <w:rPr>
                <w:lang w:eastAsia="en-AU"/>
              </w:rPr>
              <w:t>Mitigate duplicate records.</w:t>
            </w:r>
          </w:p>
          <w:p w:rsidR="00447709" w:rsidRPr="00D82439" w:rsidRDefault="00447709" w:rsidP="00C36524">
            <w:pPr>
              <w:pStyle w:val="ListParagraph"/>
              <w:numPr>
                <w:ilvl w:val="0"/>
                <w:numId w:val="7"/>
              </w:numPr>
              <w:spacing w:before="120" w:after="240" w:line="240" w:lineRule="auto"/>
              <w:ind w:left="357" w:hanging="357"/>
              <w:contextualSpacing w:val="0"/>
              <w:rPr>
                <w:lang w:eastAsia="en-AU"/>
              </w:rPr>
            </w:pPr>
            <w:r>
              <w:rPr>
                <w:lang w:eastAsia="en-AU"/>
              </w:rPr>
              <w:t>Enable broader sharing of patient information where the patient actively participates in the use of personally controlled electronic health records to manage their health needs.</w:t>
            </w:r>
          </w:p>
        </w:tc>
        <w:tc>
          <w:tcPr>
            <w:tcW w:w="2733" w:type="dxa"/>
          </w:tcPr>
          <w:p w:rsidR="006308F0" w:rsidRPr="0013660F" w:rsidRDefault="006308F0" w:rsidP="00197335">
            <w:pPr>
              <w:pStyle w:val="ListParagraph"/>
              <w:spacing w:before="120" w:after="240" w:line="240" w:lineRule="auto"/>
              <w:ind w:left="357"/>
              <w:contextualSpacing w:val="0"/>
              <w:rPr>
                <w:sz w:val="22"/>
                <w:szCs w:val="22"/>
                <w:lang w:eastAsia="en-AU"/>
              </w:rPr>
            </w:pPr>
          </w:p>
        </w:tc>
      </w:tr>
      <w:tr w:rsidR="009A77E7" w:rsidRPr="009A77E7" w:rsidTr="002C6F7F">
        <w:tc>
          <w:tcPr>
            <w:tcW w:w="9242" w:type="dxa"/>
            <w:gridSpan w:val="3"/>
            <w:shd w:val="clear" w:color="auto" w:fill="DBE5F1" w:themeFill="accent1" w:themeFillTint="33"/>
          </w:tcPr>
          <w:p w:rsidR="009A77E7" w:rsidRDefault="000E7741" w:rsidP="002C6F7F">
            <w:pPr>
              <w:spacing w:before="120" w:after="120" w:line="240" w:lineRule="auto"/>
              <w:jc w:val="center"/>
              <w:rPr>
                <w:lang w:eastAsia="en-AU"/>
              </w:rPr>
            </w:pPr>
            <w:r>
              <w:rPr>
                <w:lang w:eastAsia="en-AU"/>
              </w:rPr>
              <w:t>A</w:t>
            </w:r>
            <w:r w:rsidR="002C6F7F">
              <w:rPr>
                <w:lang w:eastAsia="en-AU"/>
              </w:rPr>
              <w:t>uthorisation elements</w:t>
            </w:r>
            <w:r w:rsidR="005C74BF">
              <w:rPr>
                <w:lang w:eastAsia="en-AU"/>
              </w:rPr>
              <w:t xml:space="preserve"> (patient)</w:t>
            </w:r>
          </w:p>
        </w:tc>
      </w:tr>
      <w:tr w:rsidR="002C6F7F" w:rsidTr="00C51DAF">
        <w:tc>
          <w:tcPr>
            <w:tcW w:w="2376" w:type="dxa"/>
          </w:tcPr>
          <w:p w:rsidR="002C6F7F" w:rsidRPr="00C36524" w:rsidRDefault="002C6F7F" w:rsidP="00C36524">
            <w:pPr>
              <w:spacing w:before="120" w:after="240" w:line="240" w:lineRule="auto"/>
              <w:rPr>
                <w:lang w:eastAsia="en-AU"/>
              </w:rPr>
            </w:pPr>
            <w:r w:rsidRPr="00C36524">
              <w:rPr>
                <w:lang w:eastAsia="en-AU"/>
              </w:rPr>
              <w:t>Medical condition and indication for product use</w:t>
            </w:r>
          </w:p>
          <w:p w:rsidR="002C6F7F" w:rsidRDefault="002C6F7F" w:rsidP="00C36524">
            <w:pPr>
              <w:pStyle w:val="ListParagraph"/>
              <w:numPr>
                <w:ilvl w:val="0"/>
                <w:numId w:val="7"/>
              </w:numPr>
              <w:spacing w:before="120" w:after="240" w:line="240" w:lineRule="auto"/>
              <w:ind w:left="357" w:hanging="357"/>
              <w:contextualSpacing w:val="0"/>
              <w:rPr>
                <w:lang w:eastAsia="en-AU"/>
              </w:rPr>
            </w:pPr>
            <w:r>
              <w:rPr>
                <w:lang w:eastAsia="en-AU"/>
              </w:rPr>
              <w:t xml:space="preserve">Supporting evidence including medical test </w:t>
            </w:r>
            <w:r>
              <w:rPr>
                <w:lang w:eastAsia="en-AU"/>
              </w:rPr>
              <w:lastRenderedPageBreak/>
              <w:t>results and measures</w:t>
            </w:r>
            <w:r w:rsidR="00D47724">
              <w:rPr>
                <w:lang w:eastAsia="en-AU"/>
              </w:rPr>
              <w:t xml:space="preserve"> plus the upload of these documents.</w:t>
            </w:r>
          </w:p>
          <w:p w:rsidR="00EA06E6" w:rsidRPr="00F7304C" w:rsidRDefault="00EA06E6" w:rsidP="00C36524">
            <w:pPr>
              <w:pStyle w:val="ListParagraph"/>
              <w:numPr>
                <w:ilvl w:val="0"/>
                <w:numId w:val="7"/>
              </w:numPr>
              <w:spacing w:before="120" w:after="240" w:line="240" w:lineRule="auto"/>
              <w:ind w:left="357" w:hanging="357"/>
              <w:contextualSpacing w:val="0"/>
              <w:rPr>
                <w:lang w:eastAsia="en-AU"/>
              </w:rPr>
            </w:pPr>
            <w:r>
              <w:rPr>
                <w:lang w:eastAsia="en-AU"/>
              </w:rPr>
              <w:t>Free text fields for discretionary information.</w:t>
            </w:r>
          </w:p>
        </w:tc>
        <w:tc>
          <w:tcPr>
            <w:tcW w:w="4133" w:type="dxa"/>
          </w:tcPr>
          <w:p w:rsidR="002C6F7F" w:rsidRDefault="002C6F7F" w:rsidP="00C36524">
            <w:pPr>
              <w:pStyle w:val="ListParagraph"/>
              <w:numPr>
                <w:ilvl w:val="0"/>
                <w:numId w:val="7"/>
              </w:numPr>
              <w:spacing w:before="120" w:after="240" w:line="240" w:lineRule="auto"/>
              <w:ind w:left="357" w:hanging="357"/>
              <w:contextualSpacing w:val="0"/>
              <w:rPr>
                <w:lang w:eastAsia="en-AU"/>
              </w:rPr>
            </w:pPr>
            <w:r w:rsidRPr="006308F0">
              <w:rPr>
                <w:lang w:eastAsia="en-AU"/>
              </w:rPr>
              <w:lastRenderedPageBreak/>
              <w:t xml:space="preserve">To inform the </w:t>
            </w:r>
            <w:r>
              <w:rPr>
                <w:lang w:eastAsia="en-AU"/>
              </w:rPr>
              <w:t xml:space="preserve">assessment of the </w:t>
            </w:r>
            <w:r w:rsidRPr="006308F0">
              <w:rPr>
                <w:lang w:eastAsia="en-AU"/>
              </w:rPr>
              <w:t>authorisation</w:t>
            </w:r>
            <w:r>
              <w:rPr>
                <w:lang w:eastAsia="en-AU"/>
              </w:rPr>
              <w:t xml:space="preserve"> request.</w:t>
            </w:r>
          </w:p>
          <w:p w:rsidR="00447709" w:rsidRPr="00F7304C" w:rsidRDefault="00447709" w:rsidP="00C36524">
            <w:pPr>
              <w:pStyle w:val="ListParagraph"/>
              <w:numPr>
                <w:ilvl w:val="0"/>
                <w:numId w:val="7"/>
              </w:numPr>
              <w:spacing w:before="120" w:after="240" w:line="240" w:lineRule="auto"/>
              <w:ind w:left="357" w:hanging="357"/>
              <w:contextualSpacing w:val="0"/>
              <w:rPr>
                <w:lang w:eastAsia="en-AU"/>
              </w:rPr>
            </w:pPr>
            <w:r>
              <w:rPr>
                <w:lang w:eastAsia="en-AU"/>
              </w:rPr>
              <w:t>To measure efficacy of therapy.</w:t>
            </w:r>
          </w:p>
        </w:tc>
        <w:tc>
          <w:tcPr>
            <w:tcW w:w="2733" w:type="dxa"/>
          </w:tcPr>
          <w:p w:rsidR="00C55687" w:rsidRPr="00C36524" w:rsidRDefault="002C6F7F" w:rsidP="00C36524">
            <w:pPr>
              <w:pStyle w:val="ListParagraph"/>
              <w:numPr>
                <w:ilvl w:val="0"/>
                <w:numId w:val="7"/>
              </w:numPr>
              <w:spacing w:before="120" w:after="240" w:line="240" w:lineRule="auto"/>
              <w:ind w:left="357" w:hanging="357"/>
              <w:contextualSpacing w:val="0"/>
              <w:rPr>
                <w:lang w:eastAsia="en-AU"/>
              </w:rPr>
            </w:pPr>
            <w:r w:rsidRPr="00C36524">
              <w:rPr>
                <w:lang w:eastAsia="en-AU"/>
              </w:rPr>
              <w:t>Inability of the Authoriser to assess the authorisation request against the Criteria</w:t>
            </w:r>
            <w:r w:rsidR="00447709" w:rsidRPr="00C36524">
              <w:rPr>
                <w:lang w:eastAsia="en-AU"/>
              </w:rPr>
              <w:t xml:space="preserve"> and therefore approve the </w:t>
            </w:r>
            <w:r w:rsidR="00447709" w:rsidRPr="00C36524">
              <w:rPr>
                <w:lang w:eastAsia="en-AU"/>
              </w:rPr>
              <w:lastRenderedPageBreak/>
              <w:t>request</w:t>
            </w:r>
            <w:r w:rsidRPr="00C36524">
              <w:rPr>
                <w:lang w:eastAsia="en-AU"/>
              </w:rPr>
              <w:t>.</w:t>
            </w:r>
          </w:p>
          <w:p w:rsidR="002C6F7F" w:rsidRPr="00C36524" w:rsidRDefault="00C55687" w:rsidP="00C36524">
            <w:pPr>
              <w:pStyle w:val="ListParagraph"/>
              <w:numPr>
                <w:ilvl w:val="0"/>
                <w:numId w:val="7"/>
              </w:numPr>
              <w:spacing w:before="120" w:after="240" w:line="240" w:lineRule="auto"/>
              <w:ind w:left="357" w:hanging="357"/>
              <w:contextualSpacing w:val="0"/>
              <w:rPr>
                <w:lang w:eastAsia="en-AU"/>
              </w:rPr>
            </w:pPr>
            <w:r w:rsidRPr="00C36524">
              <w:rPr>
                <w:lang w:eastAsia="en-AU"/>
              </w:rPr>
              <w:t>An inability to build the evidence base to evolve the Criteria to ensure that patients with medical conditions with proven efficacy receive appropriate therapy.</w:t>
            </w:r>
          </w:p>
        </w:tc>
      </w:tr>
      <w:tr w:rsidR="00B77012" w:rsidTr="006308F0">
        <w:tc>
          <w:tcPr>
            <w:tcW w:w="2376" w:type="dxa"/>
          </w:tcPr>
          <w:p w:rsidR="00B77012" w:rsidRPr="008D4387" w:rsidRDefault="00B77012" w:rsidP="008D4387">
            <w:pPr>
              <w:spacing w:before="120" w:after="120" w:line="240" w:lineRule="auto"/>
              <w:rPr>
                <w:lang w:eastAsia="en-AU"/>
              </w:rPr>
            </w:pPr>
            <w:r w:rsidRPr="008D4387">
              <w:rPr>
                <w:lang w:eastAsia="en-AU"/>
              </w:rPr>
              <w:lastRenderedPageBreak/>
              <w:t xml:space="preserve">Previous treatment with immunoglobulin (if any) </w:t>
            </w:r>
            <w:r w:rsidR="00A524F4">
              <w:rPr>
                <w:lang w:eastAsia="en-AU"/>
              </w:rPr>
              <w:t>including response</w:t>
            </w:r>
          </w:p>
        </w:tc>
        <w:tc>
          <w:tcPr>
            <w:tcW w:w="4133" w:type="dxa"/>
          </w:tcPr>
          <w:p w:rsidR="00A524F4" w:rsidRDefault="00A524F4" w:rsidP="00C36524">
            <w:pPr>
              <w:pStyle w:val="ListParagraph"/>
              <w:numPr>
                <w:ilvl w:val="0"/>
                <w:numId w:val="7"/>
              </w:numPr>
              <w:spacing w:before="120" w:after="240" w:line="240" w:lineRule="auto"/>
              <w:ind w:left="357" w:hanging="357"/>
              <w:contextualSpacing w:val="0"/>
              <w:rPr>
                <w:lang w:eastAsia="en-AU"/>
              </w:rPr>
            </w:pPr>
            <w:r>
              <w:rPr>
                <w:lang w:eastAsia="en-AU"/>
              </w:rPr>
              <w:t xml:space="preserve">Provides information regarding existing treatment that may not be recorded in </w:t>
            </w:r>
            <w:proofErr w:type="spellStart"/>
            <w:r w:rsidR="001D735F">
              <w:rPr>
                <w:lang w:eastAsia="en-AU"/>
              </w:rPr>
              <w:t>BloodSTAR</w:t>
            </w:r>
            <w:proofErr w:type="spellEnd"/>
            <w:r>
              <w:rPr>
                <w:lang w:eastAsia="en-AU"/>
              </w:rPr>
              <w:t>. May substantiate clinical benefit.</w:t>
            </w:r>
          </w:p>
          <w:p w:rsidR="00B77012" w:rsidRPr="006308F0" w:rsidRDefault="00B77012" w:rsidP="00C36524">
            <w:pPr>
              <w:pStyle w:val="ListParagraph"/>
              <w:numPr>
                <w:ilvl w:val="0"/>
                <w:numId w:val="7"/>
              </w:numPr>
              <w:spacing w:before="120" w:after="240" w:line="240" w:lineRule="auto"/>
              <w:ind w:left="357" w:hanging="357"/>
              <w:contextualSpacing w:val="0"/>
              <w:rPr>
                <w:lang w:eastAsia="en-AU"/>
              </w:rPr>
            </w:pPr>
            <w:r w:rsidRPr="006308F0">
              <w:rPr>
                <w:lang w:eastAsia="en-AU"/>
              </w:rPr>
              <w:t>To inform the a</w:t>
            </w:r>
            <w:r w:rsidR="002674E9">
              <w:rPr>
                <w:lang w:eastAsia="en-AU"/>
              </w:rPr>
              <w:t>uthorisation request assessment and appropriate allocation of product for therapy.</w:t>
            </w:r>
            <w:r w:rsidRPr="006308F0">
              <w:rPr>
                <w:lang w:eastAsia="en-AU"/>
              </w:rPr>
              <w:t xml:space="preserve"> </w:t>
            </w:r>
          </w:p>
        </w:tc>
        <w:tc>
          <w:tcPr>
            <w:tcW w:w="2733" w:type="dxa"/>
          </w:tcPr>
          <w:p w:rsidR="00B77012" w:rsidRDefault="002674E9" w:rsidP="00C36524">
            <w:pPr>
              <w:pStyle w:val="ListParagraph"/>
              <w:numPr>
                <w:ilvl w:val="0"/>
                <w:numId w:val="7"/>
              </w:numPr>
              <w:spacing w:before="120" w:after="240" w:line="240" w:lineRule="auto"/>
              <w:ind w:left="357" w:hanging="357"/>
              <w:contextualSpacing w:val="0"/>
              <w:rPr>
                <w:lang w:eastAsia="en-AU"/>
              </w:rPr>
            </w:pPr>
            <w:r>
              <w:rPr>
                <w:lang w:eastAsia="en-AU"/>
              </w:rPr>
              <w:t>Patient safety risk if a previous treatment had resulted in a reaction</w:t>
            </w:r>
            <w:r w:rsidR="004051A8">
              <w:rPr>
                <w:lang w:eastAsia="en-AU"/>
              </w:rPr>
              <w:t xml:space="preserve"> to </w:t>
            </w:r>
            <w:r w:rsidR="00A524F4">
              <w:rPr>
                <w:lang w:eastAsia="en-AU"/>
              </w:rPr>
              <w:t>a particular</w:t>
            </w:r>
            <w:r w:rsidR="004051A8">
              <w:rPr>
                <w:lang w:eastAsia="en-AU"/>
              </w:rPr>
              <w:t xml:space="preserve"> product</w:t>
            </w:r>
            <w:r>
              <w:rPr>
                <w:lang w:eastAsia="en-AU"/>
              </w:rPr>
              <w:t>.</w:t>
            </w:r>
          </w:p>
        </w:tc>
      </w:tr>
      <w:tr w:rsidR="0040232B" w:rsidTr="00982439">
        <w:tc>
          <w:tcPr>
            <w:tcW w:w="2376" w:type="dxa"/>
          </w:tcPr>
          <w:p w:rsidR="0040232B" w:rsidRDefault="0040232B" w:rsidP="00B77012">
            <w:pPr>
              <w:spacing w:before="120" w:after="120" w:line="240" w:lineRule="auto"/>
              <w:rPr>
                <w:lang w:eastAsia="en-AU"/>
              </w:rPr>
            </w:pPr>
            <w:r>
              <w:rPr>
                <w:lang w:eastAsia="en-AU"/>
              </w:rPr>
              <w:t>Requesting Medical Officer</w:t>
            </w:r>
          </w:p>
        </w:tc>
        <w:tc>
          <w:tcPr>
            <w:tcW w:w="4133" w:type="dxa"/>
          </w:tcPr>
          <w:p w:rsidR="0040232B" w:rsidRDefault="0040232B" w:rsidP="00C36524">
            <w:pPr>
              <w:pStyle w:val="ListParagraph"/>
              <w:numPr>
                <w:ilvl w:val="0"/>
                <w:numId w:val="7"/>
              </w:numPr>
              <w:spacing w:before="120" w:after="240" w:line="240" w:lineRule="auto"/>
              <w:ind w:left="357" w:hanging="357"/>
              <w:contextualSpacing w:val="0"/>
              <w:rPr>
                <w:lang w:eastAsia="en-AU"/>
              </w:rPr>
            </w:pPr>
            <w:r>
              <w:rPr>
                <w:lang w:eastAsia="en-AU"/>
              </w:rPr>
              <w:t>To enable notification of authorisation to the appropriate medical officer responsible for patient care.</w:t>
            </w:r>
          </w:p>
        </w:tc>
        <w:tc>
          <w:tcPr>
            <w:tcW w:w="2733" w:type="dxa"/>
          </w:tcPr>
          <w:p w:rsidR="0040232B" w:rsidRDefault="0040232B" w:rsidP="00C36524">
            <w:pPr>
              <w:pStyle w:val="ListParagraph"/>
              <w:numPr>
                <w:ilvl w:val="0"/>
                <w:numId w:val="7"/>
              </w:numPr>
              <w:spacing w:before="120" w:after="240" w:line="240" w:lineRule="auto"/>
              <w:ind w:left="357" w:hanging="357"/>
              <w:contextualSpacing w:val="0"/>
              <w:rPr>
                <w:lang w:eastAsia="en-AU"/>
              </w:rPr>
            </w:pPr>
            <w:r>
              <w:rPr>
                <w:lang w:eastAsia="en-AU"/>
              </w:rPr>
              <w:t xml:space="preserve">Patient safety risk if notifications are not provided to the appropriate </w:t>
            </w:r>
            <w:r w:rsidR="00FB4EB5">
              <w:rPr>
                <w:lang w:eastAsia="en-AU"/>
              </w:rPr>
              <w:t>clinicians</w:t>
            </w:r>
            <w:r w:rsidR="00C55687">
              <w:rPr>
                <w:lang w:eastAsia="en-AU"/>
              </w:rPr>
              <w:t xml:space="preserve"> </w:t>
            </w:r>
            <w:r>
              <w:rPr>
                <w:lang w:eastAsia="en-AU"/>
              </w:rPr>
              <w:t>responsible for patient care.</w:t>
            </w:r>
          </w:p>
        </w:tc>
      </w:tr>
      <w:tr w:rsidR="00B77012" w:rsidTr="00982439">
        <w:tc>
          <w:tcPr>
            <w:tcW w:w="2376" w:type="dxa"/>
          </w:tcPr>
          <w:p w:rsidR="00B77012" w:rsidRPr="008D4387" w:rsidRDefault="00B77012" w:rsidP="00B77012">
            <w:pPr>
              <w:spacing w:before="120" w:after="120" w:line="240" w:lineRule="auto"/>
              <w:rPr>
                <w:lang w:eastAsia="en-AU"/>
              </w:rPr>
            </w:pPr>
            <w:r>
              <w:rPr>
                <w:lang w:eastAsia="en-AU"/>
              </w:rPr>
              <w:t>Treating Medical Specialist</w:t>
            </w:r>
          </w:p>
        </w:tc>
        <w:tc>
          <w:tcPr>
            <w:tcW w:w="4133" w:type="dxa"/>
          </w:tcPr>
          <w:p w:rsidR="0040232B" w:rsidRDefault="0040232B" w:rsidP="00C36524">
            <w:pPr>
              <w:pStyle w:val="ListParagraph"/>
              <w:numPr>
                <w:ilvl w:val="0"/>
                <w:numId w:val="7"/>
              </w:numPr>
              <w:spacing w:before="120" w:after="240" w:line="240" w:lineRule="auto"/>
              <w:ind w:left="357" w:hanging="357"/>
              <w:contextualSpacing w:val="0"/>
              <w:rPr>
                <w:lang w:eastAsia="en-AU"/>
              </w:rPr>
            </w:pPr>
            <w:r>
              <w:rPr>
                <w:lang w:eastAsia="en-AU"/>
              </w:rPr>
              <w:t xml:space="preserve">Critical identification for compliance with </w:t>
            </w:r>
            <w:r w:rsidRPr="00C36524">
              <w:rPr>
                <w:lang w:eastAsia="en-AU"/>
              </w:rPr>
              <w:t>Criteria</w:t>
            </w:r>
            <w:r>
              <w:rPr>
                <w:lang w:eastAsia="en-AU"/>
              </w:rPr>
              <w:t xml:space="preserve"> for diagnosis and review requirements.</w:t>
            </w:r>
          </w:p>
          <w:p w:rsidR="0040232B" w:rsidRPr="00B77012" w:rsidRDefault="00B77012" w:rsidP="00C36524">
            <w:pPr>
              <w:pStyle w:val="ListParagraph"/>
              <w:numPr>
                <w:ilvl w:val="0"/>
                <w:numId w:val="7"/>
              </w:numPr>
              <w:spacing w:before="120" w:after="240" w:line="240" w:lineRule="auto"/>
              <w:ind w:left="357" w:hanging="357"/>
              <w:contextualSpacing w:val="0"/>
              <w:rPr>
                <w:lang w:eastAsia="en-AU"/>
              </w:rPr>
            </w:pPr>
            <w:r>
              <w:rPr>
                <w:lang w:eastAsia="en-AU"/>
              </w:rPr>
              <w:t>To enable notification of initial authorisation and review requirements for continuing authorisation to the appropriate medical specialist responsible for patient care.</w:t>
            </w:r>
          </w:p>
        </w:tc>
        <w:tc>
          <w:tcPr>
            <w:tcW w:w="2733" w:type="dxa"/>
          </w:tcPr>
          <w:p w:rsidR="00B77012" w:rsidRDefault="0040232B" w:rsidP="00C36524">
            <w:pPr>
              <w:pStyle w:val="ListParagraph"/>
              <w:numPr>
                <w:ilvl w:val="0"/>
                <w:numId w:val="7"/>
              </w:numPr>
              <w:spacing w:before="120" w:after="240" w:line="240" w:lineRule="auto"/>
              <w:ind w:left="357" w:hanging="357"/>
              <w:contextualSpacing w:val="0"/>
              <w:rPr>
                <w:lang w:eastAsia="en-AU"/>
              </w:rPr>
            </w:pPr>
            <w:r>
              <w:rPr>
                <w:lang w:eastAsia="en-AU"/>
              </w:rPr>
              <w:t xml:space="preserve">Patient safety risk if notifications are not provided to the appropriate </w:t>
            </w:r>
            <w:r w:rsidR="00FB4EB5">
              <w:rPr>
                <w:lang w:eastAsia="en-AU"/>
              </w:rPr>
              <w:t>clinicians</w:t>
            </w:r>
            <w:r w:rsidR="00C55687">
              <w:rPr>
                <w:lang w:eastAsia="en-AU"/>
              </w:rPr>
              <w:t xml:space="preserve"> </w:t>
            </w:r>
            <w:r>
              <w:rPr>
                <w:lang w:eastAsia="en-AU"/>
              </w:rPr>
              <w:t>responsible for patient care.</w:t>
            </w:r>
          </w:p>
        </w:tc>
      </w:tr>
      <w:tr w:rsidR="00B77012" w:rsidTr="00982439">
        <w:tc>
          <w:tcPr>
            <w:tcW w:w="2376" w:type="dxa"/>
          </w:tcPr>
          <w:p w:rsidR="00B77012" w:rsidRDefault="00B77012" w:rsidP="00B77012">
            <w:pPr>
              <w:spacing w:before="120" w:after="120" w:line="240" w:lineRule="auto"/>
              <w:rPr>
                <w:lang w:eastAsia="en-AU"/>
              </w:rPr>
            </w:pPr>
            <w:r w:rsidRPr="008D4387">
              <w:rPr>
                <w:lang w:eastAsia="en-AU"/>
              </w:rPr>
              <w:t xml:space="preserve">Treatment </w:t>
            </w:r>
            <w:r>
              <w:rPr>
                <w:lang w:eastAsia="en-AU"/>
              </w:rPr>
              <w:t>arrangements</w:t>
            </w:r>
            <w:r w:rsidR="00C36524">
              <w:rPr>
                <w:lang w:eastAsia="en-AU"/>
              </w:rPr>
              <w:t>:</w:t>
            </w:r>
          </w:p>
          <w:p w:rsidR="00B77012" w:rsidRDefault="00B77012" w:rsidP="00BB2FE9">
            <w:pPr>
              <w:pStyle w:val="ListParagraph"/>
              <w:numPr>
                <w:ilvl w:val="0"/>
                <w:numId w:val="7"/>
              </w:numPr>
              <w:spacing w:before="120" w:after="120" w:line="240" w:lineRule="auto"/>
              <w:rPr>
                <w:lang w:eastAsia="en-AU"/>
              </w:rPr>
            </w:pPr>
            <w:r>
              <w:rPr>
                <w:lang w:eastAsia="en-AU"/>
              </w:rPr>
              <w:t>Infusion method</w:t>
            </w:r>
            <w:r w:rsidR="006A6EE4">
              <w:rPr>
                <w:lang w:eastAsia="en-AU"/>
              </w:rPr>
              <w:t xml:space="preserve"> (intravenous or subcutaneous)</w:t>
            </w:r>
          </w:p>
          <w:p w:rsidR="00B77012" w:rsidRDefault="00F7304C" w:rsidP="00BB2FE9">
            <w:pPr>
              <w:pStyle w:val="ListParagraph"/>
              <w:numPr>
                <w:ilvl w:val="0"/>
                <w:numId w:val="7"/>
              </w:numPr>
              <w:spacing w:before="120" w:after="120" w:line="240" w:lineRule="auto"/>
              <w:rPr>
                <w:lang w:eastAsia="en-AU"/>
              </w:rPr>
            </w:pPr>
            <w:r>
              <w:rPr>
                <w:lang w:eastAsia="en-AU"/>
              </w:rPr>
              <w:t>Treating f</w:t>
            </w:r>
            <w:r w:rsidR="00B77012">
              <w:rPr>
                <w:lang w:eastAsia="en-AU"/>
              </w:rPr>
              <w:t>acility</w:t>
            </w:r>
          </w:p>
          <w:p w:rsidR="00B77012" w:rsidRDefault="00B77012" w:rsidP="00BB2FE9">
            <w:pPr>
              <w:pStyle w:val="ListParagraph"/>
              <w:numPr>
                <w:ilvl w:val="0"/>
                <w:numId w:val="7"/>
              </w:numPr>
              <w:spacing w:before="120" w:after="120" w:line="240" w:lineRule="auto"/>
              <w:rPr>
                <w:lang w:eastAsia="en-AU"/>
              </w:rPr>
            </w:pPr>
            <w:r>
              <w:rPr>
                <w:lang w:eastAsia="en-AU"/>
              </w:rPr>
              <w:t xml:space="preserve">Administering </w:t>
            </w:r>
            <w:r w:rsidR="00F7304C">
              <w:rPr>
                <w:lang w:eastAsia="en-AU"/>
              </w:rPr>
              <w:t>f</w:t>
            </w:r>
            <w:r>
              <w:rPr>
                <w:lang w:eastAsia="en-AU"/>
              </w:rPr>
              <w:t>acility</w:t>
            </w:r>
          </w:p>
          <w:p w:rsidR="00B77012" w:rsidRDefault="00B77012" w:rsidP="00BB2FE9">
            <w:pPr>
              <w:pStyle w:val="ListParagraph"/>
              <w:numPr>
                <w:ilvl w:val="0"/>
                <w:numId w:val="7"/>
              </w:numPr>
              <w:spacing w:before="120" w:after="120" w:line="240" w:lineRule="auto"/>
              <w:rPr>
                <w:lang w:eastAsia="en-AU"/>
              </w:rPr>
            </w:pPr>
            <w:r>
              <w:rPr>
                <w:lang w:eastAsia="en-AU"/>
              </w:rPr>
              <w:t xml:space="preserve">Dispensing </w:t>
            </w:r>
            <w:r w:rsidR="00F7304C">
              <w:rPr>
                <w:lang w:eastAsia="en-AU"/>
              </w:rPr>
              <w:t>f</w:t>
            </w:r>
            <w:r>
              <w:rPr>
                <w:lang w:eastAsia="en-AU"/>
              </w:rPr>
              <w:t>acility</w:t>
            </w:r>
          </w:p>
          <w:p w:rsidR="00F7304C" w:rsidRDefault="00B77CFD" w:rsidP="00BB2FE9">
            <w:pPr>
              <w:pStyle w:val="ListParagraph"/>
              <w:numPr>
                <w:ilvl w:val="0"/>
                <w:numId w:val="7"/>
              </w:numPr>
              <w:spacing w:before="120" w:after="120" w:line="240" w:lineRule="auto"/>
              <w:rPr>
                <w:lang w:eastAsia="en-AU"/>
              </w:rPr>
            </w:pPr>
            <w:r>
              <w:rPr>
                <w:lang w:eastAsia="en-AU"/>
              </w:rPr>
              <w:t>Product brand</w:t>
            </w:r>
          </w:p>
          <w:p w:rsidR="00F7304C" w:rsidRPr="00F7304C" w:rsidRDefault="00F7304C" w:rsidP="00BB2FE9">
            <w:pPr>
              <w:pStyle w:val="ListParagraph"/>
              <w:numPr>
                <w:ilvl w:val="0"/>
                <w:numId w:val="7"/>
              </w:numPr>
              <w:spacing w:before="120" w:after="120" w:line="240" w:lineRule="auto"/>
              <w:rPr>
                <w:lang w:eastAsia="en-AU"/>
              </w:rPr>
            </w:pPr>
            <w:r>
              <w:rPr>
                <w:lang w:eastAsia="en-AU"/>
              </w:rPr>
              <w:t>Patient weight &amp; height</w:t>
            </w:r>
          </w:p>
          <w:p w:rsidR="006A6EE4" w:rsidRDefault="00F7304C" w:rsidP="00BB2FE9">
            <w:pPr>
              <w:pStyle w:val="ListParagraph"/>
              <w:numPr>
                <w:ilvl w:val="0"/>
                <w:numId w:val="7"/>
              </w:numPr>
              <w:spacing w:before="120" w:after="120" w:line="240" w:lineRule="auto"/>
              <w:rPr>
                <w:lang w:eastAsia="en-AU"/>
              </w:rPr>
            </w:pPr>
            <w:r>
              <w:rPr>
                <w:lang w:eastAsia="en-AU"/>
              </w:rPr>
              <w:t xml:space="preserve">Dose </w:t>
            </w:r>
            <w:r w:rsidR="006A6EE4">
              <w:rPr>
                <w:lang w:eastAsia="en-AU"/>
              </w:rPr>
              <w:t>amount</w:t>
            </w:r>
          </w:p>
          <w:p w:rsidR="00F7304C" w:rsidRDefault="006A6EE4" w:rsidP="00BB2FE9">
            <w:pPr>
              <w:pStyle w:val="ListParagraph"/>
              <w:numPr>
                <w:ilvl w:val="0"/>
                <w:numId w:val="7"/>
              </w:numPr>
              <w:spacing w:before="120" w:after="120" w:line="240" w:lineRule="auto"/>
              <w:rPr>
                <w:lang w:eastAsia="en-AU"/>
              </w:rPr>
            </w:pPr>
            <w:r>
              <w:rPr>
                <w:lang w:eastAsia="en-AU"/>
              </w:rPr>
              <w:t xml:space="preserve">Dose </w:t>
            </w:r>
            <w:r w:rsidR="00F7304C">
              <w:rPr>
                <w:lang w:eastAsia="en-AU"/>
              </w:rPr>
              <w:t>frequency</w:t>
            </w:r>
          </w:p>
          <w:p w:rsidR="00F7304C" w:rsidRDefault="00F7304C" w:rsidP="00BB2FE9">
            <w:pPr>
              <w:pStyle w:val="ListParagraph"/>
              <w:numPr>
                <w:ilvl w:val="0"/>
                <w:numId w:val="7"/>
              </w:numPr>
              <w:spacing w:before="120" w:after="120" w:line="240" w:lineRule="auto"/>
              <w:rPr>
                <w:lang w:eastAsia="en-AU"/>
              </w:rPr>
            </w:pPr>
            <w:r>
              <w:rPr>
                <w:lang w:eastAsia="en-AU"/>
              </w:rPr>
              <w:t>Date required</w:t>
            </w:r>
          </w:p>
          <w:p w:rsidR="002C6F7F" w:rsidRDefault="002C6F7F" w:rsidP="00BB2FE9">
            <w:pPr>
              <w:pStyle w:val="ListParagraph"/>
              <w:numPr>
                <w:ilvl w:val="0"/>
                <w:numId w:val="7"/>
              </w:numPr>
              <w:spacing w:before="120" w:after="120" w:line="240" w:lineRule="auto"/>
              <w:rPr>
                <w:lang w:eastAsia="en-AU"/>
              </w:rPr>
            </w:pPr>
            <w:r>
              <w:rPr>
                <w:lang w:eastAsia="en-AU"/>
              </w:rPr>
              <w:t>Treatment plan</w:t>
            </w:r>
          </w:p>
          <w:p w:rsidR="002C6F7F" w:rsidRPr="00F7304C" w:rsidRDefault="002C6F7F" w:rsidP="00BB2FE9">
            <w:pPr>
              <w:pStyle w:val="ListParagraph"/>
              <w:numPr>
                <w:ilvl w:val="0"/>
                <w:numId w:val="7"/>
              </w:numPr>
              <w:spacing w:before="120" w:after="120" w:line="240" w:lineRule="auto"/>
              <w:rPr>
                <w:lang w:eastAsia="en-AU"/>
              </w:rPr>
            </w:pPr>
            <w:r>
              <w:rPr>
                <w:lang w:eastAsia="en-AU"/>
              </w:rPr>
              <w:t>Review date</w:t>
            </w:r>
          </w:p>
        </w:tc>
        <w:tc>
          <w:tcPr>
            <w:tcW w:w="4133" w:type="dxa"/>
          </w:tcPr>
          <w:p w:rsidR="00F7304C" w:rsidRDefault="00F7304C" w:rsidP="00C36524">
            <w:pPr>
              <w:pStyle w:val="ListParagraph"/>
              <w:numPr>
                <w:ilvl w:val="0"/>
                <w:numId w:val="7"/>
              </w:numPr>
              <w:spacing w:before="120" w:after="240" w:line="240" w:lineRule="auto"/>
              <w:ind w:left="357" w:hanging="357"/>
              <w:contextualSpacing w:val="0"/>
              <w:rPr>
                <w:lang w:eastAsia="en-AU"/>
              </w:rPr>
            </w:pPr>
            <w:r w:rsidRPr="00F7304C">
              <w:rPr>
                <w:lang w:eastAsia="en-AU"/>
              </w:rPr>
              <w:t xml:space="preserve">To </w:t>
            </w:r>
            <w:r w:rsidR="001E4CE9">
              <w:rPr>
                <w:lang w:eastAsia="en-AU"/>
              </w:rPr>
              <w:t>inform</w:t>
            </w:r>
            <w:r w:rsidRPr="00F7304C">
              <w:rPr>
                <w:lang w:eastAsia="en-AU"/>
              </w:rPr>
              <w:t xml:space="preserve"> </w:t>
            </w:r>
            <w:r w:rsidR="001E4CE9">
              <w:rPr>
                <w:lang w:eastAsia="en-AU"/>
              </w:rPr>
              <w:t xml:space="preserve">the </w:t>
            </w:r>
            <w:r w:rsidRPr="00F7304C">
              <w:rPr>
                <w:lang w:eastAsia="en-AU"/>
              </w:rPr>
              <w:t>authorisation assessment.</w:t>
            </w:r>
          </w:p>
          <w:p w:rsidR="00B77012" w:rsidRDefault="00F7304C" w:rsidP="00C36524">
            <w:pPr>
              <w:pStyle w:val="ListParagraph"/>
              <w:numPr>
                <w:ilvl w:val="0"/>
                <w:numId w:val="7"/>
              </w:numPr>
              <w:spacing w:before="120" w:after="240" w:line="240" w:lineRule="auto"/>
              <w:ind w:left="357" w:hanging="357"/>
              <w:contextualSpacing w:val="0"/>
              <w:rPr>
                <w:lang w:eastAsia="en-AU"/>
              </w:rPr>
            </w:pPr>
            <w:r w:rsidRPr="00F7304C">
              <w:rPr>
                <w:lang w:eastAsia="en-AU"/>
              </w:rPr>
              <w:t xml:space="preserve">To ensure appropriate dispense of product for </w:t>
            </w:r>
            <w:r w:rsidR="006A6EE4">
              <w:rPr>
                <w:lang w:eastAsia="en-AU"/>
              </w:rPr>
              <w:t xml:space="preserve">the treatment of </w:t>
            </w:r>
            <w:r w:rsidRPr="00F7304C">
              <w:rPr>
                <w:lang w:eastAsia="en-AU"/>
              </w:rPr>
              <w:t>authorised patient</w:t>
            </w:r>
            <w:r>
              <w:rPr>
                <w:lang w:eastAsia="en-AU"/>
              </w:rPr>
              <w:t>s</w:t>
            </w:r>
            <w:r w:rsidRPr="00F7304C">
              <w:rPr>
                <w:lang w:eastAsia="en-AU"/>
              </w:rPr>
              <w:t xml:space="preserve">. </w:t>
            </w:r>
          </w:p>
          <w:p w:rsidR="00064EDE" w:rsidRDefault="00E329EE" w:rsidP="00C36524">
            <w:pPr>
              <w:pStyle w:val="ListParagraph"/>
              <w:numPr>
                <w:ilvl w:val="0"/>
                <w:numId w:val="7"/>
              </w:numPr>
              <w:spacing w:before="120" w:after="240" w:line="240" w:lineRule="auto"/>
              <w:ind w:left="357" w:hanging="357"/>
              <w:contextualSpacing w:val="0"/>
              <w:rPr>
                <w:lang w:eastAsia="en-AU"/>
              </w:rPr>
            </w:pPr>
            <w:r>
              <w:rPr>
                <w:lang w:eastAsia="en-AU"/>
              </w:rPr>
              <w:t>To enable notification of initial and continuing authorisation to the appropriate dispenser, and where necessary the administering facility.</w:t>
            </w:r>
          </w:p>
          <w:p w:rsidR="009D3BF8" w:rsidRPr="00C52797" w:rsidRDefault="009D3BF8" w:rsidP="00C36524">
            <w:pPr>
              <w:pStyle w:val="ListParagraph"/>
              <w:numPr>
                <w:ilvl w:val="0"/>
                <w:numId w:val="7"/>
              </w:numPr>
              <w:spacing w:before="120" w:after="240" w:line="240" w:lineRule="auto"/>
              <w:ind w:left="357" w:hanging="357"/>
              <w:contextualSpacing w:val="0"/>
              <w:rPr>
                <w:lang w:eastAsia="en-AU"/>
              </w:rPr>
            </w:pPr>
            <w:r>
              <w:rPr>
                <w:lang w:eastAsia="en-AU"/>
              </w:rPr>
              <w:t>To enable supply planning.</w:t>
            </w:r>
          </w:p>
        </w:tc>
        <w:tc>
          <w:tcPr>
            <w:tcW w:w="2733" w:type="dxa"/>
          </w:tcPr>
          <w:p w:rsidR="00B77012" w:rsidRDefault="002674E9" w:rsidP="00C36524">
            <w:pPr>
              <w:pStyle w:val="ListParagraph"/>
              <w:numPr>
                <w:ilvl w:val="0"/>
                <w:numId w:val="7"/>
              </w:numPr>
              <w:spacing w:before="120" w:after="240" w:line="240" w:lineRule="auto"/>
              <w:ind w:left="357" w:hanging="357"/>
              <w:contextualSpacing w:val="0"/>
              <w:rPr>
                <w:lang w:eastAsia="en-AU"/>
              </w:rPr>
            </w:pPr>
            <w:r>
              <w:rPr>
                <w:lang w:eastAsia="en-AU"/>
              </w:rPr>
              <w:t xml:space="preserve">Patient safety risk if information is not provided which informs the </w:t>
            </w:r>
            <w:r w:rsidR="00733149">
              <w:rPr>
                <w:lang w:eastAsia="en-AU"/>
              </w:rPr>
              <w:t>administration, product and dosage to treat the patient in accordance with prescribed therapy.</w:t>
            </w:r>
          </w:p>
        </w:tc>
      </w:tr>
      <w:tr w:rsidR="009F25AD" w:rsidRPr="009F25AD" w:rsidTr="009F25AD">
        <w:tc>
          <w:tcPr>
            <w:tcW w:w="9242" w:type="dxa"/>
            <w:gridSpan w:val="3"/>
            <w:shd w:val="clear" w:color="auto" w:fill="DBE5F1" w:themeFill="accent1" w:themeFillTint="33"/>
          </w:tcPr>
          <w:p w:rsidR="009F25AD" w:rsidRDefault="009F25AD" w:rsidP="009F25AD">
            <w:pPr>
              <w:spacing w:before="120" w:after="120" w:line="240" w:lineRule="auto"/>
              <w:jc w:val="center"/>
              <w:rPr>
                <w:lang w:eastAsia="en-AU"/>
              </w:rPr>
            </w:pPr>
            <w:r>
              <w:rPr>
                <w:lang w:eastAsia="en-AU"/>
              </w:rPr>
              <w:lastRenderedPageBreak/>
              <w:t>Clinical outcomes</w:t>
            </w:r>
            <w:r w:rsidR="005C74BF">
              <w:rPr>
                <w:lang w:eastAsia="en-AU"/>
              </w:rPr>
              <w:t xml:space="preserve"> (patient)</w:t>
            </w:r>
          </w:p>
        </w:tc>
      </w:tr>
      <w:tr w:rsidR="009F25AD" w:rsidRPr="009F25AD" w:rsidTr="009F25AD">
        <w:tc>
          <w:tcPr>
            <w:tcW w:w="2376" w:type="dxa"/>
            <w:shd w:val="clear" w:color="auto" w:fill="auto"/>
          </w:tcPr>
          <w:p w:rsidR="009F25AD" w:rsidRDefault="00D47724" w:rsidP="00D47724">
            <w:pPr>
              <w:spacing w:before="120" w:after="120" w:line="240" w:lineRule="auto"/>
              <w:rPr>
                <w:lang w:eastAsia="en-AU"/>
              </w:rPr>
            </w:pPr>
            <w:r>
              <w:rPr>
                <w:lang w:eastAsia="en-AU"/>
              </w:rPr>
              <w:t>Medical condition and indication for use</w:t>
            </w:r>
          </w:p>
        </w:tc>
        <w:tc>
          <w:tcPr>
            <w:tcW w:w="4133" w:type="dxa"/>
            <w:shd w:val="clear" w:color="auto" w:fill="auto"/>
          </w:tcPr>
          <w:p w:rsidR="009F25AD" w:rsidRDefault="00D47724" w:rsidP="00C36524">
            <w:pPr>
              <w:pStyle w:val="ListParagraph"/>
              <w:numPr>
                <w:ilvl w:val="0"/>
                <w:numId w:val="7"/>
              </w:numPr>
              <w:spacing w:before="120" w:after="240" w:line="240" w:lineRule="auto"/>
              <w:ind w:left="357" w:hanging="357"/>
              <w:contextualSpacing w:val="0"/>
              <w:rPr>
                <w:lang w:eastAsia="en-AU"/>
              </w:rPr>
            </w:pPr>
            <w:r>
              <w:rPr>
                <w:lang w:eastAsia="en-AU"/>
              </w:rPr>
              <w:t>Build the evidence base for demand management modelling and future iterations for the criteria for access.</w:t>
            </w:r>
          </w:p>
        </w:tc>
        <w:tc>
          <w:tcPr>
            <w:tcW w:w="2733" w:type="dxa"/>
            <w:shd w:val="clear" w:color="auto" w:fill="auto"/>
          </w:tcPr>
          <w:p w:rsidR="009F25AD" w:rsidRPr="008026CE" w:rsidRDefault="00C55687" w:rsidP="00C36524">
            <w:pPr>
              <w:pStyle w:val="ListParagraph"/>
              <w:numPr>
                <w:ilvl w:val="0"/>
                <w:numId w:val="7"/>
              </w:numPr>
              <w:spacing w:before="120" w:after="240" w:line="240" w:lineRule="auto"/>
              <w:ind w:left="357" w:hanging="357"/>
              <w:contextualSpacing w:val="0"/>
              <w:rPr>
                <w:lang w:eastAsia="en-AU"/>
              </w:rPr>
            </w:pPr>
            <w:r w:rsidRPr="008026CE">
              <w:rPr>
                <w:lang w:eastAsia="en-AU"/>
              </w:rPr>
              <w:t xml:space="preserve">An inability to build the evidence base to evolve the Criteria to ensure that patients with medical conditions with proven efficacy receive appropriate therapy. </w:t>
            </w:r>
          </w:p>
        </w:tc>
      </w:tr>
      <w:tr w:rsidR="00C55687" w:rsidRPr="009F25AD" w:rsidTr="009F25AD">
        <w:tc>
          <w:tcPr>
            <w:tcW w:w="2376" w:type="dxa"/>
            <w:shd w:val="clear" w:color="auto" w:fill="auto"/>
          </w:tcPr>
          <w:p w:rsidR="00C55687" w:rsidRDefault="00C55687" w:rsidP="00D47724">
            <w:pPr>
              <w:spacing w:before="120" w:after="120" w:line="240" w:lineRule="auto"/>
              <w:rPr>
                <w:lang w:eastAsia="en-AU"/>
              </w:rPr>
            </w:pPr>
            <w:r>
              <w:rPr>
                <w:lang w:eastAsia="en-AU"/>
              </w:rPr>
              <w:t>Evidence of clinical benefit or no clinical benefit:</w:t>
            </w:r>
          </w:p>
          <w:p w:rsidR="00C55687" w:rsidRDefault="00C55687" w:rsidP="00C36524">
            <w:pPr>
              <w:pStyle w:val="ListParagraph"/>
              <w:numPr>
                <w:ilvl w:val="0"/>
                <w:numId w:val="7"/>
              </w:numPr>
              <w:spacing w:before="120" w:after="240" w:line="240" w:lineRule="auto"/>
              <w:ind w:left="357" w:hanging="357"/>
              <w:contextualSpacing w:val="0"/>
              <w:rPr>
                <w:lang w:eastAsia="en-AU"/>
              </w:rPr>
            </w:pPr>
            <w:r w:rsidRPr="00D47724">
              <w:rPr>
                <w:lang w:eastAsia="en-AU"/>
              </w:rPr>
              <w:t>Supporting evidence including medical test results and measures</w:t>
            </w:r>
            <w:r>
              <w:rPr>
                <w:lang w:eastAsia="en-AU"/>
              </w:rPr>
              <w:t xml:space="preserve"> plus the upload of these documents.</w:t>
            </w:r>
          </w:p>
          <w:p w:rsidR="00C55687" w:rsidRPr="00D47724" w:rsidRDefault="00C55687" w:rsidP="00C36524">
            <w:pPr>
              <w:pStyle w:val="ListParagraph"/>
              <w:numPr>
                <w:ilvl w:val="0"/>
                <w:numId w:val="7"/>
              </w:numPr>
              <w:spacing w:before="120" w:after="240" w:line="240" w:lineRule="auto"/>
              <w:ind w:left="357" w:hanging="357"/>
              <w:contextualSpacing w:val="0"/>
              <w:rPr>
                <w:lang w:eastAsia="en-AU"/>
              </w:rPr>
            </w:pPr>
            <w:r>
              <w:rPr>
                <w:lang w:eastAsia="en-AU"/>
              </w:rPr>
              <w:t>Free text fields for discretionary information.</w:t>
            </w:r>
          </w:p>
        </w:tc>
        <w:tc>
          <w:tcPr>
            <w:tcW w:w="4133" w:type="dxa"/>
            <w:shd w:val="clear" w:color="auto" w:fill="auto"/>
          </w:tcPr>
          <w:p w:rsidR="00C55687" w:rsidRDefault="00C55687" w:rsidP="00C36524">
            <w:pPr>
              <w:pStyle w:val="ListParagraph"/>
              <w:numPr>
                <w:ilvl w:val="0"/>
                <w:numId w:val="7"/>
              </w:numPr>
              <w:spacing w:before="120" w:after="240" w:line="240" w:lineRule="auto"/>
              <w:ind w:left="357" w:hanging="357"/>
              <w:contextualSpacing w:val="0"/>
              <w:rPr>
                <w:lang w:eastAsia="en-AU"/>
              </w:rPr>
            </w:pPr>
            <w:r>
              <w:rPr>
                <w:lang w:eastAsia="en-AU"/>
              </w:rPr>
              <w:t>Build the evidence base for demand management modelling and future iterations of the criteria for access.</w:t>
            </w:r>
          </w:p>
        </w:tc>
        <w:tc>
          <w:tcPr>
            <w:tcW w:w="2733" w:type="dxa"/>
            <w:shd w:val="clear" w:color="auto" w:fill="auto"/>
          </w:tcPr>
          <w:p w:rsidR="00C55687" w:rsidRPr="008026CE" w:rsidRDefault="00C55687" w:rsidP="00C36524">
            <w:pPr>
              <w:pStyle w:val="ListParagraph"/>
              <w:numPr>
                <w:ilvl w:val="0"/>
                <w:numId w:val="7"/>
              </w:numPr>
              <w:spacing w:before="120" w:after="240" w:line="240" w:lineRule="auto"/>
              <w:ind w:left="357" w:hanging="357"/>
              <w:contextualSpacing w:val="0"/>
              <w:rPr>
                <w:lang w:eastAsia="en-AU"/>
              </w:rPr>
            </w:pPr>
            <w:r w:rsidRPr="008026CE">
              <w:rPr>
                <w:lang w:eastAsia="en-AU"/>
              </w:rPr>
              <w:t xml:space="preserve">An inability to build the evidence base to evolve the Criteria to ensure that patients with medical conditions with proven efficacy receive appropriate therapy. </w:t>
            </w:r>
          </w:p>
        </w:tc>
      </w:tr>
      <w:tr w:rsidR="005C74BF" w:rsidRPr="00BB2FE9" w:rsidTr="005C74BF">
        <w:tc>
          <w:tcPr>
            <w:tcW w:w="9242" w:type="dxa"/>
            <w:gridSpan w:val="3"/>
            <w:shd w:val="clear" w:color="auto" w:fill="DBE5F1" w:themeFill="accent1" w:themeFillTint="33"/>
          </w:tcPr>
          <w:p w:rsidR="005C74BF" w:rsidRPr="008026CE" w:rsidRDefault="005C74BF" w:rsidP="005C74BF">
            <w:pPr>
              <w:spacing w:before="120" w:after="120" w:line="240" w:lineRule="auto"/>
              <w:jc w:val="center"/>
              <w:rPr>
                <w:lang w:eastAsia="en-AU"/>
              </w:rPr>
            </w:pPr>
            <w:r w:rsidRPr="008026CE">
              <w:rPr>
                <w:lang w:eastAsia="en-AU"/>
              </w:rPr>
              <w:t>Personal identifying information (</w:t>
            </w:r>
            <w:r w:rsidR="00BB2FE9" w:rsidRPr="008026CE">
              <w:rPr>
                <w:lang w:eastAsia="en-AU"/>
              </w:rPr>
              <w:t xml:space="preserve">requesting </w:t>
            </w:r>
            <w:r w:rsidRPr="008026CE">
              <w:rPr>
                <w:lang w:eastAsia="en-AU"/>
              </w:rPr>
              <w:t>medical officer)</w:t>
            </w:r>
          </w:p>
        </w:tc>
      </w:tr>
      <w:tr w:rsidR="00C36524" w:rsidRPr="00BB2FE9" w:rsidTr="005C74BF">
        <w:tc>
          <w:tcPr>
            <w:tcW w:w="2376" w:type="dxa"/>
            <w:shd w:val="clear" w:color="auto" w:fill="auto"/>
          </w:tcPr>
          <w:p w:rsidR="00C36524" w:rsidRPr="00C52797" w:rsidRDefault="00C36524" w:rsidP="00BB2FE9">
            <w:pPr>
              <w:spacing w:before="120" w:after="120" w:line="240" w:lineRule="auto"/>
              <w:rPr>
                <w:lang w:eastAsia="en-AU"/>
              </w:rPr>
            </w:pPr>
            <w:r w:rsidRPr="00C52797">
              <w:rPr>
                <w:lang w:eastAsia="en-AU"/>
              </w:rPr>
              <w:t>Family name</w:t>
            </w:r>
          </w:p>
        </w:tc>
        <w:tc>
          <w:tcPr>
            <w:tcW w:w="4133" w:type="dxa"/>
            <w:shd w:val="clear" w:color="auto" w:fill="auto"/>
          </w:tcPr>
          <w:p w:rsidR="00C36524" w:rsidRPr="00C52797" w:rsidRDefault="00C36524" w:rsidP="00C36524">
            <w:pPr>
              <w:pStyle w:val="ListParagraph"/>
              <w:numPr>
                <w:ilvl w:val="0"/>
                <w:numId w:val="7"/>
              </w:numPr>
              <w:spacing w:before="120" w:after="240" w:line="240" w:lineRule="auto"/>
              <w:ind w:left="357" w:hanging="357"/>
              <w:contextualSpacing w:val="0"/>
              <w:rPr>
                <w:lang w:eastAsia="en-AU"/>
              </w:rPr>
            </w:pPr>
            <w:r w:rsidRPr="00D82439">
              <w:rPr>
                <w:lang w:eastAsia="en-AU"/>
              </w:rPr>
              <w:t>C</w:t>
            </w:r>
            <w:r>
              <w:rPr>
                <w:lang w:eastAsia="en-AU"/>
              </w:rPr>
              <w:t>ritical identification element u</w:t>
            </w:r>
            <w:r w:rsidRPr="00D82439">
              <w:rPr>
                <w:lang w:eastAsia="en-AU"/>
              </w:rPr>
              <w:t xml:space="preserve">sed with other identifiers to uniquely identify individuals </w:t>
            </w:r>
            <w:r w:rsidRPr="00C52797">
              <w:rPr>
                <w:lang w:eastAsia="en-AU"/>
              </w:rPr>
              <w:t>involved in patient care.</w:t>
            </w:r>
          </w:p>
          <w:p w:rsidR="00C36524" w:rsidRPr="00C52797" w:rsidRDefault="00C36524" w:rsidP="00C36524">
            <w:pPr>
              <w:pStyle w:val="ListParagraph"/>
              <w:numPr>
                <w:ilvl w:val="0"/>
                <w:numId w:val="7"/>
              </w:numPr>
              <w:spacing w:before="120" w:after="240" w:line="240" w:lineRule="auto"/>
              <w:ind w:left="357" w:hanging="357"/>
              <w:contextualSpacing w:val="0"/>
              <w:rPr>
                <w:lang w:eastAsia="en-AU"/>
              </w:rPr>
            </w:pPr>
            <w:r w:rsidRPr="00C52797">
              <w:rPr>
                <w:lang w:eastAsia="en-AU"/>
              </w:rPr>
              <w:t xml:space="preserve">To enable notification of initial and continuing authorisation approval to the appropriate </w:t>
            </w:r>
            <w:r w:rsidR="00E746F3" w:rsidRPr="00F868B6">
              <w:rPr>
                <w:rFonts w:asciiTheme="minorHAnsi" w:eastAsia="Times New Roman" w:hAnsiTheme="minorHAnsi"/>
                <w:lang w:val="en-GB" w:eastAsia="en-AU"/>
              </w:rPr>
              <w:t xml:space="preserve">clinicians </w:t>
            </w:r>
            <w:r w:rsidRPr="00C52797">
              <w:rPr>
                <w:lang w:eastAsia="en-AU"/>
              </w:rPr>
              <w:t>involved in patient care.</w:t>
            </w:r>
          </w:p>
        </w:tc>
        <w:tc>
          <w:tcPr>
            <w:tcW w:w="2733" w:type="dxa"/>
            <w:shd w:val="clear" w:color="auto" w:fill="auto"/>
          </w:tcPr>
          <w:p w:rsidR="00C36524" w:rsidRDefault="00C36524" w:rsidP="00C36524">
            <w:pPr>
              <w:pStyle w:val="ListParagraph"/>
              <w:numPr>
                <w:ilvl w:val="0"/>
                <w:numId w:val="7"/>
              </w:numPr>
              <w:spacing w:before="120" w:after="240" w:line="240" w:lineRule="auto"/>
              <w:ind w:left="357" w:hanging="357"/>
              <w:contextualSpacing w:val="0"/>
              <w:rPr>
                <w:lang w:eastAsia="en-AU"/>
              </w:rPr>
            </w:pPr>
            <w:r>
              <w:rPr>
                <w:lang w:eastAsia="en-AU"/>
              </w:rPr>
              <w:t xml:space="preserve">Patient safety risk if notifications are not provided to the appropriate </w:t>
            </w:r>
            <w:r w:rsidR="00FB4EB5">
              <w:rPr>
                <w:lang w:eastAsia="en-AU"/>
              </w:rPr>
              <w:t xml:space="preserve">clinicians </w:t>
            </w:r>
            <w:r>
              <w:rPr>
                <w:lang w:eastAsia="en-AU"/>
              </w:rPr>
              <w:t>involved in patient care.</w:t>
            </w:r>
          </w:p>
        </w:tc>
      </w:tr>
      <w:tr w:rsidR="00C36524" w:rsidRPr="00BB2FE9" w:rsidTr="005C74BF">
        <w:tc>
          <w:tcPr>
            <w:tcW w:w="2376" w:type="dxa"/>
            <w:shd w:val="clear" w:color="auto" w:fill="auto"/>
          </w:tcPr>
          <w:p w:rsidR="00C36524" w:rsidRPr="00C52797" w:rsidRDefault="00C36524" w:rsidP="00BB2FE9">
            <w:pPr>
              <w:spacing w:before="120" w:after="120" w:line="240" w:lineRule="auto"/>
              <w:rPr>
                <w:lang w:eastAsia="en-AU"/>
              </w:rPr>
            </w:pPr>
            <w:r w:rsidRPr="00C52797">
              <w:rPr>
                <w:lang w:eastAsia="en-AU"/>
              </w:rPr>
              <w:t>Given name</w:t>
            </w:r>
          </w:p>
        </w:tc>
        <w:tc>
          <w:tcPr>
            <w:tcW w:w="4133" w:type="dxa"/>
            <w:shd w:val="clear" w:color="auto" w:fill="auto"/>
          </w:tcPr>
          <w:p w:rsidR="00C36524" w:rsidRDefault="00C36524" w:rsidP="00C36524">
            <w:pPr>
              <w:pStyle w:val="ListParagraph"/>
              <w:numPr>
                <w:ilvl w:val="0"/>
                <w:numId w:val="7"/>
              </w:numPr>
              <w:spacing w:before="120" w:after="240" w:line="240" w:lineRule="auto"/>
              <w:ind w:left="357" w:hanging="357"/>
              <w:contextualSpacing w:val="0"/>
              <w:rPr>
                <w:lang w:eastAsia="en-AU"/>
              </w:rPr>
            </w:pPr>
            <w:r w:rsidRPr="00D82439">
              <w:rPr>
                <w:lang w:eastAsia="en-AU"/>
              </w:rPr>
              <w:t>C</w:t>
            </w:r>
            <w:r>
              <w:rPr>
                <w:lang w:eastAsia="en-AU"/>
              </w:rPr>
              <w:t>ritical identification element u</w:t>
            </w:r>
            <w:r w:rsidRPr="00D82439">
              <w:rPr>
                <w:lang w:eastAsia="en-AU"/>
              </w:rPr>
              <w:t xml:space="preserve">sed with other identifiers to uniquely identify individuals </w:t>
            </w:r>
            <w:r w:rsidRPr="00C52797">
              <w:rPr>
                <w:lang w:eastAsia="en-AU"/>
              </w:rPr>
              <w:t>involved in patient care.</w:t>
            </w:r>
          </w:p>
          <w:p w:rsidR="00C36524" w:rsidRPr="00C52797" w:rsidRDefault="00C36524" w:rsidP="00C36524">
            <w:pPr>
              <w:pStyle w:val="ListParagraph"/>
              <w:numPr>
                <w:ilvl w:val="0"/>
                <w:numId w:val="7"/>
              </w:numPr>
              <w:spacing w:before="120" w:after="240" w:line="240" w:lineRule="auto"/>
              <w:ind w:left="357" w:hanging="357"/>
              <w:contextualSpacing w:val="0"/>
              <w:rPr>
                <w:lang w:eastAsia="en-AU"/>
              </w:rPr>
            </w:pPr>
            <w:r w:rsidRPr="00C52797">
              <w:rPr>
                <w:lang w:eastAsia="en-AU"/>
              </w:rPr>
              <w:t xml:space="preserve">To enable notification </w:t>
            </w:r>
            <w:r>
              <w:rPr>
                <w:lang w:eastAsia="en-AU"/>
              </w:rPr>
              <w:t xml:space="preserve">(where registered </w:t>
            </w:r>
            <w:proofErr w:type="spellStart"/>
            <w:r w:rsidR="00F02F94">
              <w:rPr>
                <w:lang w:eastAsia="en-AU"/>
              </w:rPr>
              <w:t>BloodSTAR</w:t>
            </w:r>
            <w:proofErr w:type="spellEnd"/>
            <w:r w:rsidR="00F02F94">
              <w:rPr>
                <w:lang w:eastAsia="en-AU"/>
              </w:rPr>
              <w:t xml:space="preserve"> </w:t>
            </w:r>
            <w:r>
              <w:rPr>
                <w:lang w:eastAsia="en-AU"/>
              </w:rPr>
              <w:t xml:space="preserve">user) </w:t>
            </w:r>
            <w:r w:rsidRPr="00C52797">
              <w:rPr>
                <w:lang w:eastAsia="en-AU"/>
              </w:rPr>
              <w:t xml:space="preserve">of initial and continuing authorisation approval to the appropriate </w:t>
            </w:r>
            <w:r w:rsidR="00E746F3" w:rsidRPr="00F868B6">
              <w:rPr>
                <w:rFonts w:asciiTheme="minorHAnsi" w:eastAsia="Times New Roman" w:hAnsiTheme="minorHAnsi"/>
                <w:lang w:val="en-GB" w:eastAsia="en-AU"/>
              </w:rPr>
              <w:t xml:space="preserve">clinicians </w:t>
            </w:r>
            <w:r w:rsidRPr="00C52797">
              <w:rPr>
                <w:lang w:eastAsia="en-AU"/>
              </w:rPr>
              <w:t>involved in patient care.</w:t>
            </w:r>
          </w:p>
          <w:p w:rsidR="00C36524" w:rsidRPr="00C52797" w:rsidRDefault="00C36524" w:rsidP="00F02F94">
            <w:pPr>
              <w:pStyle w:val="ListParagraph"/>
              <w:numPr>
                <w:ilvl w:val="0"/>
                <w:numId w:val="7"/>
              </w:numPr>
              <w:spacing w:before="120" w:after="240" w:line="240" w:lineRule="auto"/>
              <w:ind w:left="357" w:hanging="357"/>
              <w:contextualSpacing w:val="0"/>
              <w:rPr>
                <w:lang w:eastAsia="en-AU"/>
              </w:rPr>
            </w:pPr>
            <w:r w:rsidRPr="00C52797">
              <w:rPr>
                <w:lang w:eastAsia="en-AU"/>
              </w:rPr>
              <w:t>To enable notification</w:t>
            </w:r>
            <w:r>
              <w:rPr>
                <w:lang w:eastAsia="en-AU"/>
              </w:rPr>
              <w:t xml:space="preserve"> (where registered </w:t>
            </w:r>
            <w:proofErr w:type="spellStart"/>
            <w:r w:rsidR="00F02F94">
              <w:rPr>
                <w:lang w:eastAsia="en-AU"/>
              </w:rPr>
              <w:t>BloodSTAR</w:t>
            </w:r>
            <w:proofErr w:type="spellEnd"/>
            <w:r>
              <w:rPr>
                <w:lang w:eastAsia="en-AU"/>
              </w:rPr>
              <w:t xml:space="preserve"> user) </w:t>
            </w:r>
            <w:r w:rsidRPr="00C52797">
              <w:rPr>
                <w:lang w:eastAsia="en-AU"/>
              </w:rPr>
              <w:t xml:space="preserve">of </w:t>
            </w:r>
            <w:r>
              <w:rPr>
                <w:lang w:eastAsia="en-AU"/>
              </w:rPr>
              <w:t xml:space="preserve">patient treatment </w:t>
            </w:r>
            <w:r w:rsidRPr="00C52797">
              <w:rPr>
                <w:lang w:eastAsia="en-AU"/>
              </w:rPr>
              <w:t xml:space="preserve">review to the appropriate </w:t>
            </w:r>
            <w:r w:rsidR="00E746F3" w:rsidRPr="00F868B6">
              <w:rPr>
                <w:rFonts w:asciiTheme="minorHAnsi" w:eastAsia="Times New Roman" w:hAnsiTheme="minorHAnsi"/>
                <w:lang w:val="en-GB" w:eastAsia="en-AU"/>
              </w:rPr>
              <w:t xml:space="preserve">clinicians </w:t>
            </w:r>
            <w:r w:rsidRPr="00C52797">
              <w:rPr>
                <w:lang w:eastAsia="en-AU"/>
              </w:rPr>
              <w:t>involved in patient care.</w:t>
            </w:r>
          </w:p>
        </w:tc>
        <w:tc>
          <w:tcPr>
            <w:tcW w:w="2733" w:type="dxa"/>
            <w:shd w:val="clear" w:color="auto" w:fill="auto"/>
          </w:tcPr>
          <w:p w:rsidR="00C36524" w:rsidRDefault="00C36524" w:rsidP="00C36524">
            <w:pPr>
              <w:pStyle w:val="ListParagraph"/>
              <w:numPr>
                <w:ilvl w:val="0"/>
                <w:numId w:val="7"/>
              </w:numPr>
              <w:spacing w:before="120" w:after="240" w:line="240" w:lineRule="auto"/>
              <w:ind w:left="357" w:hanging="357"/>
              <w:contextualSpacing w:val="0"/>
              <w:rPr>
                <w:lang w:eastAsia="en-AU"/>
              </w:rPr>
            </w:pPr>
            <w:r>
              <w:rPr>
                <w:lang w:eastAsia="en-AU"/>
              </w:rPr>
              <w:t xml:space="preserve">Patient safety risk if notifications are not provided to the appropriate </w:t>
            </w:r>
            <w:r w:rsidR="00FB4EB5">
              <w:rPr>
                <w:lang w:eastAsia="en-AU"/>
              </w:rPr>
              <w:t xml:space="preserve">clinicians </w:t>
            </w:r>
            <w:r>
              <w:rPr>
                <w:lang w:eastAsia="en-AU"/>
              </w:rPr>
              <w:t>involved in patient care.</w:t>
            </w:r>
          </w:p>
        </w:tc>
      </w:tr>
      <w:tr w:rsidR="00C36524" w:rsidRPr="00BB2FE9" w:rsidTr="005C74BF">
        <w:tc>
          <w:tcPr>
            <w:tcW w:w="2376" w:type="dxa"/>
            <w:shd w:val="clear" w:color="auto" w:fill="auto"/>
          </w:tcPr>
          <w:p w:rsidR="00C36524" w:rsidRPr="00C52797" w:rsidRDefault="00C36524" w:rsidP="00BB2FE9">
            <w:pPr>
              <w:spacing w:before="120" w:after="120" w:line="240" w:lineRule="auto"/>
              <w:rPr>
                <w:lang w:eastAsia="en-AU"/>
              </w:rPr>
            </w:pPr>
            <w:r w:rsidRPr="00C52797">
              <w:rPr>
                <w:lang w:eastAsia="en-AU"/>
              </w:rPr>
              <w:t>Facility</w:t>
            </w:r>
          </w:p>
        </w:tc>
        <w:tc>
          <w:tcPr>
            <w:tcW w:w="4133" w:type="dxa"/>
            <w:shd w:val="clear" w:color="auto" w:fill="auto"/>
          </w:tcPr>
          <w:p w:rsidR="00C36524" w:rsidRPr="00C52797" w:rsidRDefault="00C36524" w:rsidP="00C36524">
            <w:pPr>
              <w:pStyle w:val="ListParagraph"/>
              <w:numPr>
                <w:ilvl w:val="0"/>
                <w:numId w:val="7"/>
              </w:numPr>
              <w:spacing w:before="120" w:after="240" w:line="240" w:lineRule="auto"/>
              <w:ind w:left="357" w:hanging="357"/>
              <w:contextualSpacing w:val="0"/>
              <w:rPr>
                <w:lang w:eastAsia="en-AU"/>
              </w:rPr>
            </w:pPr>
            <w:r w:rsidRPr="00C52797">
              <w:rPr>
                <w:lang w:eastAsia="en-AU"/>
              </w:rPr>
              <w:t xml:space="preserve">To ensure appropriate disclosure of patient information to relevant </w:t>
            </w:r>
            <w:r w:rsidR="00E746F3" w:rsidRPr="00F868B6">
              <w:rPr>
                <w:rFonts w:asciiTheme="minorHAnsi" w:eastAsia="Times New Roman" w:hAnsiTheme="minorHAnsi"/>
                <w:lang w:val="en-GB" w:eastAsia="en-AU"/>
              </w:rPr>
              <w:t xml:space="preserve">clinicians </w:t>
            </w:r>
            <w:r>
              <w:rPr>
                <w:lang w:eastAsia="en-AU"/>
              </w:rPr>
              <w:t xml:space="preserve">at a </w:t>
            </w:r>
            <w:r>
              <w:rPr>
                <w:lang w:eastAsia="en-AU"/>
              </w:rPr>
              <w:lastRenderedPageBreak/>
              <w:t xml:space="preserve">facility </w:t>
            </w:r>
            <w:r w:rsidRPr="00C52797">
              <w:rPr>
                <w:lang w:eastAsia="en-AU"/>
              </w:rPr>
              <w:t>involved in patient care.</w:t>
            </w:r>
          </w:p>
          <w:p w:rsidR="00C36524" w:rsidRPr="00C52797" w:rsidRDefault="00C36524" w:rsidP="00C36524">
            <w:pPr>
              <w:pStyle w:val="ListParagraph"/>
              <w:numPr>
                <w:ilvl w:val="0"/>
                <w:numId w:val="7"/>
              </w:numPr>
              <w:spacing w:before="120" w:after="240" w:line="240" w:lineRule="auto"/>
              <w:ind w:left="357" w:hanging="357"/>
              <w:contextualSpacing w:val="0"/>
              <w:rPr>
                <w:lang w:eastAsia="en-AU"/>
              </w:rPr>
            </w:pPr>
            <w:r w:rsidRPr="00C52797">
              <w:rPr>
                <w:lang w:eastAsia="en-AU"/>
              </w:rPr>
              <w:t xml:space="preserve">To enable notification of initial and continuing authorisation approval to the appropriate </w:t>
            </w:r>
            <w:r w:rsidR="00E746F3" w:rsidRPr="00F868B6">
              <w:rPr>
                <w:rFonts w:asciiTheme="minorHAnsi" w:eastAsia="Times New Roman" w:hAnsiTheme="minorHAnsi"/>
                <w:lang w:val="en-GB" w:eastAsia="en-AU"/>
              </w:rPr>
              <w:t xml:space="preserve">clinicians </w:t>
            </w:r>
            <w:r w:rsidRPr="00C52797">
              <w:rPr>
                <w:lang w:eastAsia="en-AU"/>
              </w:rPr>
              <w:t>involved in patient care.</w:t>
            </w:r>
          </w:p>
        </w:tc>
        <w:tc>
          <w:tcPr>
            <w:tcW w:w="2733" w:type="dxa"/>
            <w:shd w:val="clear" w:color="auto" w:fill="auto"/>
          </w:tcPr>
          <w:p w:rsidR="00C36524" w:rsidRDefault="00C36524" w:rsidP="00C36524">
            <w:pPr>
              <w:pStyle w:val="ListParagraph"/>
              <w:numPr>
                <w:ilvl w:val="0"/>
                <w:numId w:val="7"/>
              </w:numPr>
              <w:spacing w:before="120" w:after="240" w:line="240" w:lineRule="auto"/>
              <w:ind w:left="357" w:hanging="357"/>
              <w:contextualSpacing w:val="0"/>
              <w:rPr>
                <w:lang w:eastAsia="en-AU"/>
              </w:rPr>
            </w:pPr>
            <w:r>
              <w:rPr>
                <w:lang w:eastAsia="en-AU"/>
              </w:rPr>
              <w:lastRenderedPageBreak/>
              <w:t xml:space="preserve">Patient safety risk if notifications are not provided to the </w:t>
            </w:r>
            <w:r>
              <w:rPr>
                <w:lang w:eastAsia="en-AU"/>
              </w:rPr>
              <w:lastRenderedPageBreak/>
              <w:t xml:space="preserve">appropriate </w:t>
            </w:r>
            <w:r w:rsidR="00FB4EB5">
              <w:rPr>
                <w:lang w:eastAsia="en-AU"/>
              </w:rPr>
              <w:t xml:space="preserve">clinicians </w:t>
            </w:r>
            <w:r>
              <w:rPr>
                <w:lang w:eastAsia="en-AU"/>
              </w:rPr>
              <w:t>involved in patient care.</w:t>
            </w:r>
          </w:p>
        </w:tc>
      </w:tr>
      <w:tr w:rsidR="00C36524" w:rsidRPr="009F25AD" w:rsidTr="005C74BF">
        <w:tc>
          <w:tcPr>
            <w:tcW w:w="2376" w:type="dxa"/>
            <w:shd w:val="clear" w:color="auto" w:fill="auto"/>
          </w:tcPr>
          <w:p w:rsidR="00C36524" w:rsidRPr="00C52797" w:rsidRDefault="00C36524" w:rsidP="00BB2FE9">
            <w:pPr>
              <w:spacing w:before="120" w:after="120" w:line="240" w:lineRule="auto"/>
              <w:rPr>
                <w:lang w:eastAsia="en-AU"/>
              </w:rPr>
            </w:pPr>
            <w:r w:rsidRPr="00C52797">
              <w:rPr>
                <w:lang w:eastAsia="en-AU"/>
              </w:rPr>
              <w:lastRenderedPageBreak/>
              <w:t>Contact details (phone/page)</w:t>
            </w:r>
          </w:p>
        </w:tc>
        <w:tc>
          <w:tcPr>
            <w:tcW w:w="4133" w:type="dxa"/>
            <w:shd w:val="clear" w:color="auto" w:fill="auto"/>
          </w:tcPr>
          <w:p w:rsidR="00C36524" w:rsidRPr="00C52797" w:rsidRDefault="00C36524" w:rsidP="00197335">
            <w:pPr>
              <w:pStyle w:val="ListParagraph"/>
              <w:numPr>
                <w:ilvl w:val="0"/>
                <w:numId w:val="7"/>
              </w:numPr>
              <w:spacing w:before="120" w:after="240" w:line="240" w:lineRule="auto"/>
              <w:ind w:left="357" w:hanging="357"/>
              <w:contextualSpacing w:val="0"/>
              <w:rPr>
                <w:sz w:val="22"/>
                <w:szCs w:val="22"/>
                <w:lang w:eastAsia="en-AU"/>
              </w:rPr>
            </w:pPr>
            <w:r w:rsidRPr="00C52797">
              <w:rPr>
                <w:lang w:eastAsia="en-AU"/>
              </w:rPr>
              <w:t xml:space="preserve">To </w:t>
            </w:r>
            <w:r>
              <w:rPr>
                <w:lang w:eastAsia="en-AU"/>
              </w:rPr>
              <w:t xml:space="preserve">enable communication with </w:t>
            </w:r>
            <w:r w:rsidRPr="00C52797">
              <w:rPr>
                <w:lang w:eastAsia="en-AU"/>
              </w:rPr>
              <w:t xml:space="preserve">appropriate </w:t>
            </w:r>
            <w:r w:rsidR="00E746F3" w:rsidRPr="00F868B6">
              <w:rPr>
                <w:rFonts w:asciiTheme="minorHAnsi" w:eastAsia="Times New Roman" w:hAnsiTheme="minorHAnsi"/>
                <w:lang w:val="en-GB" w:eastAsia="en-AU"/>
              </w:rPr>
              <w:t>c</w:t>
            </w:r>
            <w:r w:rsidR="00E746F3">
              <w:rPr>
                <w:rFonts w:asciiTheme="minorHAnsi" w:eastAsia="Times New Roman" w:hAnsiTheme="minorHAnsi"/>
                <w:lang w:val="en-GB" w:eastAsia="en-AU"/>
              </w:rPr>
              <w:t xml:space="preserve">linician </w:t>
            </w:r>
            <w:r>
              <w:rPr>
                <w:lang w:eastAsia="en-AU"/>
              </w:rPr>
              <w:t>involved in patient care</w:t>
            </w:r>
            <w:r w:rsidR="000F5173">
              <w:rPr>
                <w:lang w:eastAsia="en-AU"/>
              </w:rPr>
              <w:t xml:space="preserve"> (only displayed to Authoriser</w:t>
            </w:r>
            <w:r w:rsidR="007E6E70">
              <w:rPr>
                <w:lang w:eastAsia="en-AU"/>
              </w:rPr>
              <w:t>, NBA</w:t>
            </w:r>
            <w:r w:rsidR="000F5173">
              <w:rPr>
                <w:lang w:eastAsia="en-AU"/>
              </w:rPr>
              <w:t>)</w:t>
            </w:r>
            <w:r>
              <w:rPr>
                <w:lang w:eastAsia="en-AU"/>
              </w:rPr>
              <w:t>.</w:t>
            </w:r>
          </w:p>
        </w:tc>
        <w:tc>
          <w:tcPr>
            <w:tcW w:w="2733" w:type="dxa"/>
            <w:shd w:val="clear" w:color="auto" w:fill="auto"/>
          </w:tcPr>
          <w:p w:rsidR="00C36524" w:rsidRDefault="00C36524" w:rsidP="00C36524">
            <w:pPr>
              <w:pStyle w:val="ListParagraph"/>
              <w:numPr>
                <w:ilvl w:val="0"/>
                <w:numId w:val="7"/>
              </w:numPr>
              <w:spacing w:before="120" w:after="240" w:line="240" w:lineRule="auto"/>
              <w:ind w:left="357" w:hanging="357"/>
              <w:contextualSpacing w:val="0"/>
              <w:rPr>
                <w:lang w:eastAsia="en-AU"/>
              </w:rPr>
            </w:pPr>
            <w:r>
              <w:rPr>
                <w:lang w:eastAsia="en-AU"/>
              </w:rPr>
              <w:t xml:space="preserve">Patient safety risk if notifications are not provided to the appropriate </w:t>
            </w:r>
            <w:r w:rsidR="00FB4EB5">
              <w:rPr>
                <w:lang w:eastAsia="en-AU"/>
              </w:rPr>
              <w:t xml:space="preserve">clinicians </w:t>
            </w:r>
            <w:r>
              <w:rPr>
                <w:lang w:eastAsia="en-AU"/>
              </w:rPr>
              <w:t>involved in patient care.</w:t>
            </w:r>
          </w:p>
        </w:tc>
      </w:tr>
      <w:tr w:rsidR="00C52797" w:rsidRPr="00C36524" w:rsidTr="00AA5CF9">
        <w:tc>
          <w:tcPr>
            <w:tcW w:w="9242" w:type="dxa"/>
            <w:gridSpan w:val="3"/>
            <w:shd w:val="clear" w:color="auto" w:fill="DBE5F1" w:themeFill="accent1" w:themeFillTint="33"/>
          </w:tcPr>
          <w:p w:rsidR="00C52797" w:rsidRPr="00C36524" w:rsidRDefault="00C52797" w:rsidP="00BB2FE9">
            <w:pPr>
              <w:spacing w:before="120" w:after="120" w:line="240" w:lineRule="auto"/>
              <w:jc w:val="center"/>
              <w:rPr>
                <w:lang w:eastAsia="en-AU"/>
              </w:rPr>
            </w:pPr>
            <w:r w:rsidRPr="00C36524">
              <w:rPr>
                <w:lang w:eastAsia="en-AU"/>
              </w:rPr>
              <w:t>Personal identifying information (treating medical specialist)</w:t>
            </w:r>
          </w:p>
        </w:tc>
      </w:tr>
      <w:tr w:rsidR="00C36524" w:rsidRPr="00C36524" w:rsidTr="00AA5CF9">
        <w:tc>
          <w:tcPr>
            <w:tcW w:w="2376" w:type="dxa"/>
            <w:shd w:val="clear" w:color="auto" w:fill="auto"/>
          </w:tcPr>
          <w:p w:rsidR="00C36524" w:rsidRPr="00C36524" w:rsidRDefault="00C36524" w:rsidP="00AA5CF9">
            <w:pPr>
              <w:spacing w:before="120" w:after="120" w:line="240" w:lineRule="auto"/>
              <w:rPr>
                <w:lang w:eastAsia="en-AU"/>
              </w:rPr>
            </w:pPr>
            <w:r w:rsidRPr="00C36524">
              <w:rPr>
                <w:lang w:eastAsia="en-AU"/>
              </w:rPr>
              <w:t>Family name</w:t>
            </w:r>
          </w:p>
        </w:tc>
        <w:tc>
          <w:tcPr>
            <w:tcW w:w="4133" w:type="dxa"/>
            <w:shd w:val="clear" w:color="auto" w:fill="auto"/>
          </w:tcPr>
          <w:p w:rsidR="00C36524" w:rsidRPr="00C36524" w:rsidRDefault="00C36524" w:rsidP="00C36524">
            <w:pPr>
              <w:pStyle w:val="ListParagraph"/>
              <w:numPr>
                <w:ilvl w:val="0"/>
                <w:numId w:val="7"/>
              </w:numPr>
              <w:spacing w:before="120" w:after="240" w:line="240" w:lineRule="auto"/>
              <w:ind w:left="357" w:hanging="357"/>
              <w:contextualSpacing w:val="0"/>
              <w:rPr>
                <w:lang w:eastAsia="en-AU"/>
              </w:rPr>
            </w:pPr>
            <w:r w:rsidRPr="00C36524">
              <w:rPr>
                <w:lang w:eastAsia="en-AU"/>
              </w:rPr>
              <w:t xml:space="preserve">Critical identification element used with other identifiers to uniquely identify </w:t>
            </w:r>
            <w:r w:rsidR="00E746F3" w:rsidRPr="00F868B6">
              <w:rPr>
                <w:rFonts w:asciiTheme="minorHAnsi" w:eastAsia="Times New Roman" w:hAnsiTheme="minorHAnsi"/>
                <w:lang w:val="en-GB" w:eastAsia="en-AU"/>
              </w:rPr>
              <w:t xml:space="preserve">clinicians </w:t>
            </w:r>
            <w:r w:rsidRPr="00C36524">
              <w:rPr>
                <w:lang w:eastAsia="en-AU"/>
              </w:rPr>
              <w:t>involved in patient care.</w:t>
            </w:r>
          </w:p>
          <w:p w:rsidR="00C36524" w:rsidRPr="00C36524" w:rsidRDefault="00C36524" w:rsidP="00C36524">
            <w:pPr>
              <w:pStyle w:val="ListParagraph"/>
              <w:numPr>
                <w:ilvl w:val="0"/>
                <w:numId w:val="7"/>
              </w:numPr>
              <w:spacing w:before="120" w:after="240" w:line="240" w:lineRule="auto"/>
              <w:ind w:left="357" w:hanging="357"/>
              <w:contextualSpacing w:val="0"/>
              <w:rPr>
                <w:lang w:eastAsia="en-AU"/>
              </w:rPr>
            </w:pPr>
            <w:r w:rsidRPr="00C36524">
              <w:rPr>
                <w:lang w:eastAsia="en-AU"/>
              </w:rPr>
              <w:t xml:space="preserve">To enable notification of initial and continuing authorisation approval to the appropriate </w:t>
            </w:r>
            <w:r w:rsidR="00E746F3" w:rsidRPr="00F868B6">
              <w:rPr>
                <w:rFonts w:asciiTheme="minorHAnsi" w:eastAsia="Times New Roman" w:hAnsiTheme="minorHAnsi"/>
                <w:lang w:val="en-GB" w:eastAsia="en-AU"/>
              </w:rPr>
              <w:t xml:space="preserve">clinicians </w:t>
            </w:r>
            <w:r w:rsidRPr="00C36524">
              <w:rPr>
                <w:lang w:eastAsia="en-AU"/>
              </w:rPr>
              <w:t>involved in patient care.</w:t>
            </w:r>
          </w:p>
        </w:tc>
        <w:tc>
          <w:tcPr>
            <w:tcW w:w="2733" w:type="dxa"/>
            <w:shd w:val="clear" w:color="auto" w:fill="auto"/>
          </w:tcPr>
          <w:p w:rsidR="00C36524" w:rsidRDefault="00C36524" w:rsidP="00C36524">
            <w:pPr>
              <w:pStyle w:val="ListParagraph"/>
              <w:numPr>
                <w:ilvl w:val="0"/>
                <w:numId w:val="7"/>
              </w:numPr>
              <w:spacing w:before="120" w:after="240" w:line="240" w:lineRule="auto"/>
              <w:ind w:left="357" w:hanging="357"/>
              <w:contextualSpacing w:val="0"/>
              <w:rPr>
                <w:lang w:eastAsia="en-AU"/>
              </w:rPr>
            </w:pPr>
            <w:r>
              <w:rPr>
                <w:lang w:eastAsia="en-AU"/>
              </w:rPr>
              <w:t xml:space="preserve">Patient safety risk if notifications are not provided to the appropriate </w:t>
            </w:r>
            <w:r w:rsidR="00FB4EB5">
              <w:rPr>
                <w:lang w:eastAsia="en-AU"/>
              </w:rPr>
              <w:t>clinicians</w:t>
            </w:r>
            <w:r>
              <w:rPr>
                <w:lang w:eastAsia="en-AU"/>
              </w:rPr>
              <w:t xml:space="preserve"> involved in patient care.</w:t>
            </w:r>
          </w:p>
        </w:tc>
      </w:tr>
      <w:tr w:rsidR="00C36524" w:rsidRPr="00C36524" w:rsidTr="00AA5CF9">
        <w:tc>
          <w:tcPr>
            <w:tcW w:w="2376" w:type="dxa"/>
            <w:shd w:val="clear" w:color="auto" w:fill="auto"/>
          </w:tcPr>
          <w:p w:rsidR="00C36524" w:rsidRPr="00C36524" w:rsidRDefault="00C36524" w:rsidP="00AA5CF9">
            <w:pPr>
              <w:spacing w:before="120" w:after="120" w:line="240" w:lineRule="auto"/>
              <w:rPr>
                <w:lang w:eastAsia="en-AU"/>
              </w:rPr>
            </w:pPr>
            <w:r w:rsidRPr="00C36524">
              <w:rPr>
                <w:lang w:eastAsia="en-AU"/>
              </w:rPr>
              <w:t>Given name</w:t>
            </w:r>
          </w:p>
        </w:tc>
        <w:tc>
          <w:tcPr>
            <w:tcW w:w="4133" w:type="dxa"/>
            <w:shd w:val="clear" w:color="auto" w:fill="auto"/>
          </w:tcPr>
          <w:p w:rsidR="00C36524" w:rsidRPr="00C36524" w:rsidRDefault="00C36524" w:rsidP="00C36524">
            <w:pPr>
              <w:pStyle w:val="ListParagraph"/>
              <w:numPr>
                <w:ilvl w:val="0"/>
                <w:numId w:val="7"/>
              </w:numPr>
              <w:spacing w:before="120" w:after="240" w:line="240" w:lineRule="auto"/>
              <w:ind w:left="357" w:hanging="357"/>
              <w:contextualSpacing w:val="0"/>
              <w:rPr>
                <w:lang w:eastAsia="en-AU"/>
              </w:rPr>
            </w:pPr>
            <w:r w:rsidRPr="00C36524">
              <w:rPr>
                <w:lang w:eastAsia="en-AU"/>
              </w:rPr>
              <w:t>Critical identification element used with other identifiers to uniquely identify individuals involved in patient care.</w:t>
            </w:r>
          </w:p>
        </w:tc>
        <w:tc>
          <w:tcPr>
            <w:tcW w:w="2733" w:type="dxa"/>
            <w:shd w:val="clear" w:color="auto" w:fill="auto"/>
          </w:tcPr>
          <w:p w:rsidR="00C36524" w:rsidRDefault="00C36524" w:rsidP="00154ADF">
            <w:pPr>
              <w:pStyle w:val="ListParagraph"/>
              <w:numPr>
                <w:ilvl w:val="0"/>
                <w:numId w:val="7"/>
              </w:numPr>
              <w:spacing w:before="120" w:after="240" w:line="240" w:lineRule="auto"/>
              <w:ind w:left="357" w:hanging="357"/>
              <w:contextualSpacing w:val="0"/>
              <w:rPr>
                <w:lang w:eastAsia="en-AU"/>
              </w:rPr>
            </w:pPr>
            <w:r>
              <w:rPr>
                <w:lang w:eastAsia="en-AU"/>
              </w:rPr>
              <w:t xml:space="preserve">Patient safety risk if notifications are not provided to the appropriate </w:t>
            </w:r>
            <w:r w:rsidR="00154ADF">
              <w:rPr>
                <w:lang w:eastAsia="en-AU"/>
              </w:rPr>
              <w:t xml:space="preserve">clinicians </w:t>
            </w:r>
            <w:r>
              <w:rPr>
                <w:lang w:eastAsia="en-AU"/>
              </w:rPr>
              <w:t>involved in patient care.</w:t>
            </w:r>
          </w:p>
        </w:tc>
      </w:tr>
      <w:tr w:rsidR="00C36524" w:rsidRPr="00C36524" w:rsidTr="00AA5CF9">
        <w:tc>
          <w:tcPr>
            <w:tcW w:w="2376" w:type="dxa"/>
            <w:shd w:val="clear" w:color="auto" w:fill="auto"/>
          </w:tcPr>
          <w:p w:rsidR="00C36524" w:rsidRPr="00C36524" w:rsidRDefault="00C36524" w:rsidP="00AA5CF9">
            <w:pPr>
              <w:spacing w:before="120" w:after="120" w:line="240" w:lineRule="auto"/>
              <w:rPr>
                <w:lang w:eastAsia="en-AU"/>
              </w:rPr>
            </w:pPr>
            <w:r w:rsidRPr="00C36524">
              <w:rPr>
                <w:lang w:eastAsia="en-AU"/>
              </w:rPr>
              <w:t>Facility</w:t>
            </w:r>
          </w:p>
        </w:tc>
        <w:tc>
          <w:tcPr>
            <w:tcW w:w="4133" w:type="dxa"/>
            <w:shd w:val="clear" w:color="auto" w:fill="auto"/>
          </w:tcPr>
          <w:p w:rsidR="00C36524" w:rsidRPr="00C36524" w:rsidRDefault="00C36524" w:rsidP="00C36524">
            <w:pPr>
              <w:pStyle w:val="ListParagraph"/>
              <w:numPr>
                <w:ilvl w:val="0"/>
                <w:numId w:val="7"/>
              </w:numPr>
              <w:spacing w:before="120" w:after="240" w:line="240" w:lineRule="auto"/>
              <w:ind w:left="357" w:hanging="357"/>
              <w:contextualSpacing w:val="0"/>
              <w:rPr>
                <w:lang w:eastAsia="en-AU"/>
              </w:rPr>
            </w:pPr>
            <w:r w:rsidRPr="00C36524">
              <w:rPr>
                <w:lang w:eastAsia="en-AU"/>
              </w:rPr>
              <w:t xml:space="preserve">To ensure appropriate disclosure of patient information to relevant </w:t>
            </w:r>
            <w:r w:rsidR="00E746F3" w:rsidRPr="00F868B6">
              <w:rPr>
                <w:rFonts w:asciiTheme="minorHAnsi" w:eastAsia="Times New Roman" w:hAnsiTheme="minorHAnsi"/>
                <w:lang w:val="en-GB" w:eastAsia="en-AU"/>
              </w:rPr>
              <w:t xml:space="preserve">clinicians </w:t>
            </w:r>
            <w:r w:rsidRPr="00C36524">
              <w:rPr>
                <w:lang w:eastAsia="en-AU"/>
              </w:rPr>
              <w:t>at a facility involved in patient care.</w:t>
            </w:r>
          </w:p>
          <w:p w:rsidR="00C36524" w:rsidRPr="00C36524" w:rsidRDefault="00C36524" w:rsidP="00C36524">
            <w:pPr>
              <w:pStyle w:val="ListParagraph"/>
              <w:numPr>
                <w:ilvl w:val="0"/>
                <w:numId w:val="7"/>
              </w:numPr>
              <w:spacing w:before="120" w:after="240" w:line="240" w:lineRule="auto"/>
              <w:ind w:left="357" w:hanging="357"/>
              <w:contextualSpacing w:val="0"/>
              <w:rPr>
                <w:lang w:eastAsia="en-AU"/>
              </w:rPr>
            </w:pPr>
            <w:r w:rsidRPr="00C36524">
              <w:rPr>
                <w:lang w:eastAsia="en-AU"/>
              </w:rPr>
              <w:t xml:space="preserve">To enable notification of initial and continuing authorisation approval to the appropriate </w:t>
            </w:r>
            <w:r w:rsidR="00E746F3" w:rsidRPr="00F868B6">
              <w:rPr>
                <w:rFonts w:asciiTheme="minorHAnsi" w:eastAsia="Times New Roman" w:hAnsiTheme="minorHAnsi"/>
                <w:lang w:val="en-GB" w:eastAsia="en-AU"/>
              </w:rPr>
              <w:t xml:space="preserve">clinicians </w:t>
            </w:r>
            <w:r w:rsidRPr="00C36524">
              <w:rPr>
                <w:lang w:eastAsia="en-AU"/>
              </w:rPr>
              <w:t>involved in patient care.</w:t>
            </w:r>
          </w:p>
        </w:tc>
        <w:tc>
          <w:tcPr>
            <w:tcW w:w="2733" w:type="dxa"/>
            <w:shd w:val="clear" w:color="auto" w:fill="auto"/>
          </w:tcPr>
          <w:p w:rsidR="00C36524" w:rsidRDefault="00C36524" w:rsidP="00FB4EB5">
            <w:pPr>
              <w:pStyle w:val="ListParagraph"/>
              <w:numPr>
                <w:ilvl w:val="0"/>
                <w:numId w:val="7"/>
              </w:numPr>
              <w:spacing w:before="120" w:after="240" w:line="240" w:lineRule="auto"/>
              <w:ind w:left="357" w:hanging="357"/>
              <w:contextualSpacing w:val="0"/>
              <w:rPr>
                <w:lang w:eastAsia="en-AU"/>
              </w:rPr>
            </w:pPr>
            <w:r>
              <w:rPr>
                <w:lang w:eastAsia="en-AU"/>
              </w:rPr>
              <w:t xml:space="preserve">Patient safety risk if notifications are not provided to the appropriate </w:t>
            </w:r>
            <w:r w:rsidR="00FB4EB5">
              <w:rPr>
                <w:lang w:eastAsia="en-AU"/>
              </w:rPr>
              <w:t xml:space="preserve">clinicians </w:t>
            </w:r>
            <w:r>
              <w:rPr>
                <w:lang w:eastAsia="en-AU"/>
              </w:rPr>
              <w:t>involved in patient care.</w:t>
            </w:r>
          </w:p>
        </w:tc>
      </w:tr>
      <w:tr w:rsidR="00C36524" w:rsidRPr="009F25AD" w:rsidTr="00AA5CF9">
        <w:tc>
          <w:tcPr>
            <w:tcW w:w="2376" w:type="dxa"/>
            <w:shd w:val="clear" w:color="auto" w:fill="auto"/>
          </w:tcPr>
          <w:p w:rsidR="00C36524" w:rsidRPr="00C36524" w:rsidRDefault="00C36524" w:rsidP="00AA5CF9">
            <w:pPr>
              <w:spacing w:before="120" w:after="120" w:line="240" w:lineRule="auto"/>
              <w:rPr>
                <w:lang w:eastAsia="en-AU"/>
              </w:rPr>
            </w:pPr>
            <w:r w:rsidRPr="00C36524">
              <w:rPr>
                <w:lang w:eastAsia="en-AU"/>
              </w:rPr>
              <w:t>Contact details (phone/page)</w:t>
            </w:r>
          </w:p>
        </w:tc>
        <w:tc>
          <w:tcPr>
            <w:tcW w:w="4133" w:type="dxa"/>
            <w:shd w:val="clear" w:color="auto" w:fill="auto"/>
          </w:tcPr>
          <w:p w:rsidR="00C36524" w:rsidRPr="00C36524" w:rsidRDefault="00C36524" w:rsidP="00C36524">
            <w:pPr>
              <w:pStyle w:val="ListParagraph"/>
              <w:numPr>
                <w:ilvl w:val="0"/>
                <w:numId w:val="7"/>
              </w:numPr>
              <w:spacing w:before="120" w:after="240" w:line="240" w:lineRule="auto"/>
              <w:ind w:left="357" w:hanging="357"/>
              <w:contextualSpacing w:val="0"/>
              <w:rPr>
                <w:lang w:eastAsia="en-AU"/>
              </w:rPr>
            </w:pPr>
            <w:r w:rsidRPr="00C36524">
              <w:rPr>
                <w:lang w:eastAsia="en-AU"/>
              </w:rPr>
              <w:t>To enable communication with appropriate individual involved in patient care</w:t>
            </w:r>
            <w:r w:rsidR="000F5173">
              <w:rPr>
                <w:lang w:eastAsia="en-AU"/>
              </w:rPr>
              <w:t xml:space="preserve"> (only displayed to Authoriser</w:t>
            </w:r>
            <w:r w:rsidR="00C62EA2">
              <w:rPr>
                <w:lang w:eastAsia="en-AU"/>
              </w:rPr>
              <w:t>, NBA</w:t>
            </w:r>
            <w:r w:rsidR="000F5173">
              <w:rPr>
                <w:lang w:eastAsia="en-AU"/>
              </w:rPr>
              <w:t>)</w:t>
            </w:r>
            <w:r w:rsidRPr="00C36524">
              <w:rPr>
                <w:lang w:eastAsia="en-AU"/>
              </w:rPr>
              <w:t>.</w:t>
            </w:r>
          </w:p>
        </w:tc>
        <w:tc>
          <w:tcPr>
            <w:tcW w:w="2733" w:type="dxa"/>
            <w:shd w:val="clear" w:color="auto" w:fill="auto"/>
          </w:tcPr>
          <w:p w:rsidR="00C36524" w:rsidRDefault="00C36524" w:rsidP="00FB4EB5">
            <w:pPr>
              <w:pStyle w:val="ListParagraph"/>
              <w:numPr>
                <w:ilvl w:val="0"/>
                <w:numId w:val="7"/>
              </w:numPr>
              <w:spacing w:before="120" w:after="240" w:line="240" w:lineRule="auto"/>
              <w:ind w:left="357" w:hanging="357"/>
              <w:contextualSpacing w:val="0"/>
              <w:rPr>
                <w:lang w:eastAsia="en-AU"/>
              </w:rPr>
            </w:pPr>
            <w:r>
              <w:rPr>
                <w:lang w:eastAsia="en-AU"/>
              </w:rPr>
              <w:t xml:space="preserve">Patient safety risk if notifications are not provided to the appropriate </w:t>
            </w:r>
            <w:r w:rsidR="00FB4EB5">
              <w:rPr>
                <w:lang w:eastAsia="en-AU"/>
              </w:rPr>
              <w:t xml:space="preserve">clinicians </w:t>
            </w:r>
            <w:r>
              <w:rPr>
                <w:lang w:eastAsia="en-AU"/>
              </w:rPr>
              <w:t>involved in patient care.</w:t>
            </w:r>
          </w:p>
        </w:tc>
      </w:tr>
      <w:tr w:rsidR="00C36524" w:rsidRPr="005C74BF" w:rsidTr="005C74BF">
        <w:tc>
          <w:tcPr>
            <w:tcW w:w="9242" w:type="dxa"/>
            <w:gridSpan w:val="3"/>
            <w:shd w:val="clear" w:color="auto" w:fill="DBE5F1" w:themeFill="accent1" w:themeFillTint="33"/>
          </w:tcPr>
          <w:p w:rsidR="00C36524" w:rsidRDefault="00C36524" w:rsidP="005C74BF">
            <w:pPr>
              <w:spacing w:before="120" w:after="120" w:line="240" w:lineRule="auto"/>
              <w:jc w:val="center"/>
              <w:rPr>
                <w:lang w:eastAsia="en-AU"/>
              </w:rPr>
            </w:pPr>
          </w:p>
        </w:tc>
      </w:tr>
    </w:tbl>
    <w:p w:rsidR="008026CE" w:rsidRDefault="008026CE" w:rsidP="008026CE">
      <w:pPr>
        <w:pStyle w:val="Default"/>
        <w:rPr>
          <w:rFonts w:asciiTheme="minorHAnsi" w:hAnsiTheme="minorHAnsi" w:cstheme="minorHAnsi"/>
          <w:sz w:val="22"/>
          <w:szCs w:val="22"/>
        </w:rPr>
      </w:pPr>
    </w:p>
    <w:p w:rsidR="00EA06E6" w:rsidRPr="008026CE" w:rsidRDefault="00EA06E6" w:rsidP="002B7E38">
      <w:r w:rsidRPr="008026CE">
        <w:t xml:space="preserve">A detailed table of all data elements in </w:t>
      </w:r>
      <w:proofErr w:type="spellStart"/>
      <w:r w:rsidR="001D735F">
        <w:t>BloodSTAR</w:t>
      </w:r>
      <w:proofErr w:type="spellEnd"/>
      <w:r w:rsidRPr="008026CE">
        <w:t xml:space="preserve"> is provided at</w:t>
      </w:r>
      <w:r w:rsidR="00F4453E" w:rsidRPr="008026CE">
        <w:t xml:space="preserve"> </w:t>
      </w:r>
      <w:r w:rsidR="00F4453E" w:rsidRPr="008026CE">
        <w:fldChar w:fldCharType="begin"/>
      </w:r>
      <w:r w:rsidR="00F4453E" w:rsidRPr="008026CE">
        <w:instrText xml:space="preserve"> REF _Ref413167020 \h  \* MERGEFORMAT </w:instrText>
      </w:r>
      <w:r w:rsidR="00F4453E" w:rsidRPr="008026CE">
        <w:fldChar w:fldCharType="separate"/>
      </w:r>
      <w:r w:rsidR="007C3A85">
        <w:t xml:space="preserve">Attachment D – </w:t>
      </w:r>
      <w:r w:rsidR="007C3A85" w:rsidRPr="001519D5">
        <w:t>Patient Record Data Dictionary</w:t>
      </w:r>
      <w:r w:rsidR="00F4453E" w:rsidRPr="008026CE">
        <w:fldChar w:fldCharType="end"/>
      </w:r>
      <w:r w:rsidRPr="008026CE">
        <w:t>.</w:t>
      </w:r>
    </w:p>
    <w:p w:rsidR="002B7E38" w:rsidRDefault="001D735F" w:rsidP="002B7E38">
      <w:proofErr w:type="spellStart"/>
      <w:r>
        <w:rPr>
          <w:color w:val="000000"/>
          <w:lang w:eastAsia="en-AU"/>
        </w:rPr>
        <w:lastRenderedPageBreak/>
        <w:t>BloodSTAR</w:t>
      </w:r>
      <w:proofErr w:type="spellEnd"/>
      <w:r w:rsidR="00E329EE" w:rsidRPr="002B7E38">
        <w:rPr>
          <w:color w:val="000000"/>
          <w:lang w:eastAsia="en-AU"/>
        </w:rPr>
        <w:t xml:space="preserve"> initial and continuing</w:t>
      </w:r>
      <w:r w:rsidR="003A70AC" w:rsidRPr="002B7E38">
        <w:rPr>
          <w:color w:val="000000"/>
          <w:lang w:eastAsia="en-AU"/>
        </w:rPr>
        <w:t xml:space="preserve"> authorisation request form</w:t>
      </w:r>
      <w:r w:rsidR="00E329EE" w:rsidRPr="002B7E38">
        <w:rPr>
          <w:color w:val="000000"/>
          <w:lang w:eastAsia="en-AU"/>
        </w:rPr>
        <w:t>s</w:t>
      </w:r>
      <w:r w:rsidR="003A70AC" w:rsidRPr="002B7E38">
        <w:rPr>
          <w:color w:val="000000"/>
          <w:lang w:eastAsia="en-AU"/>
        </w:rPr>
        <w:t xml:space="preserve"> </w:t>
      </w:r>
      <w:r w:rsidR="00534CFA" w:rsidRPr="002B7E38">
        <w:rPr>
          <w:color w:val="000000"/>
          <w:lang w:eastAsia="en-AU"/>
        </w:rPr>
        <w:t xml:space="preserve">also </w:t>
      </w:r>
      <w:r w:rsidR="003A70AC" w:rsidRPr="002B7E38">
        <w:rPr>
          <w:color w:val="000000"/>
          <w:lang w:eastAsia="en-AU"/>
        </w:rPr>
        <w:t>contain free text fields</w:t>
      </w:r>
      <w:r w:rsidR="00534CFA" w:rsidRPr="002B7E38">
        <w:rPr>
          <w:color w:val="000000"/>
          <w:lang w:eastAsia="en-AU"/>
        </w:rPr>
        <w:t xml:space="preserve">, which will allow </w:t>
      </w:r>
      <w:r w:rsidR="002B7E38">
        <w:rPr>
          <w:color w:val="000000"/>
          <w:lang w:eastAsia="en-AU"/>
        </w:rPr>
        <w:t>clinicians</w:t>
      </w:r>
      <w:r w:rsidR="00534CFA" w:rsidRPr="002B7E38">
        <w:rPr>
          <w:color w:val="000000"/>
          <w:lang w:eastAsia="en-AU"/>
        </w:rPr>
        <w:t xml:space="preserve"> to </w:t>
      </w:r>
      <w:r w:rsidR="00E329EE" w:rsidRPr="002B7E38">
        <w:rPr>
          <w:color w:val="000000"/>
          <w:lang w:eastAsia="en-AU"/>
        </w:rPr>
        <w:t xml:space="preserve">include </w:t>
      </w:r>
      <w:r w:rsidR="00534CFA" w:rsidRPr="002B7E38">
        <w:rPr>
          <w:color w:val="000000"/>
          <w:lang w:eastAsia="en-AU"/>
        </w:rPr>
        <w:t xml:space="preserve">additional </w:t>
      </w:r>
      <w:r w:rsidR="00733200" w:rsidRPr="002B7E38">
        <w:rPr>
          <w:color w:val="000000"/>
          <w:lang w:eastAsia="en-AU"/>
        </w:rPr>
        <w:t>information</w:t>
      </w:r>
      <w:r w:rsidR="00534CFA" w:rsidRPr="002B7E38">
        <w:rPr>
          <w:color w:val="000000"/>
          <w:lang w:eastAsia="en-AU"/>
        </w:rPr>
        <w:t xml:space="preserve"> </w:t>
      </w:r>
      <w:r w:rsidR="00E329EE" w:rsidRPr="002B7E38">
        <w:rPr>
          <w:color w:val="000000"/>
          <w:lang w:eastAsia="en-AU"/>
        </w:rPr>
        <w:t xml:space="preserve">in order to </w:t>
      </w:r>
      <w:r w:rsidR="00733200" w:rsidRPr="002B7E38">
        <w:rPr>
          <w:color w:val="000000"/>
          <w:lang w:eastAsia="en-AU"/>
        </w:rPr>
        <w:t>substantiate</w:t>
      </w:r>
      <w:r w:rsidR="00534CFA" w:rsidRPr="002B7E38">
        <w:rPr>
          <w:color w:val="000000"/>
          <w:lang w:eastAsia="en-AU"/>
        </w:rPr>
        <w:t xml:space="preserve"> a claim </w:t>
      </w:r>
      <w:r w:rsidR="00733200" w:rsidRPr="002B7E38">
        <w:rPr>
          <w:color w:val="000000"/>
          <w:lang w:eastAsia="en-AU"/>
        </w:rPr>
        <w:t>against</w:t>
      </w:r>
      <w:r w:rsidR="00534CFA" w:rsidRPr="002B7E38">
        <w:rPr>
          <w:color w:val="000000"/>
          <w:lang w:eastAsia="en-AU"/>
        </w:rPr>
        <w:t xml:space="preserve"> either a qualifying criteria or review criteria concerning a </w:t>
      </w:r>
      <w:r w:rsidR="00733200" w:rsidRPr="002B7E38">
        <w:rPr>
          <w:color w:val="000000"/>
          <w:lang w:eastAsia="en-AU"/>
        </w:rPr>
        <w:t>patient’s</w:t>
      </w:r>
      <w:r w:rsidR="00534CFA" w:rsidRPr="002B7E38">
        <w:rPr>
          <w:color w:val="000000"/>
          <w:lang w:eastAsia="en-AU"/>
        </w:rPr>
        <w:t xml:space="preserve"> medical condition</w:t>
      </w:r>
      <w:r w:rsidR="00E329EE" w:rsidRPr="002B7E38">
        <w:rPr>
          <w:color w:val="000000"/>
          <w:lang w:eastAsia="en-AU"/>
        </w:rPr>
        <w:t xml:space="preserve"> and their eligibility </w:t>
      </w:r>
      <w:r w:rsidR="002F0B0B">
        <w:rPr>
          <w:color w:val="000000"/>
          <w:lang w:eastAsia="en-AU"/>
        </w:rPr>
        <w:t xml:space="preserve">to </w:t>
      </w:r>
      <w:r w:rsidR="00E329EE" w:rsidRPr="002B7E38">
        <w:rPr>
          <w:color w:val="000000"/>
          <w:lang w:eastAsia="en-AU"/>
        </w:rPr>
        <w:t>access product under the Criteria</w:t>
      </w:r>
      <w:r w:rsidR="00EA06E6" w:rsidRPr="002B7E38">
        <w:rPr>
          <w:color w:val="000000"/>
          <w:lang w:eastAsia="en-AU"/>
        </w:rPr>
        <w:t xml:space="preserve">.  These fields may </w:t>
      </w:r>
      <w:r w:rsidR="003A70AC" w:rsidRPr="002B7E38">
        <w:rPr>
          <w:color w:val="000000"/>
          <w:lang w:eastAsia="en-AU"/>
        </w:rPr>
        <w:t xml:space="preserve">present a risk to the collection of unsolicited third party information.  To minimise the collection of unsolicited third party information, guidance will be provided to end users.  </w:t>
      </w:r>
      <w:r w:rsidR="0078604F" w:rsidRPr="002B7E38">
        <w:rPr>
          <w:color w:val="000000"/>
          <w:lang w:eastAsia="en-AU"/>
        </w:rPr>
        <w:t xml:space="preserve">Additionally, regular auditing of these fields will be undertaken </w:t>
      </w:r>
      <w:r w:rsidR="00533B79" w:rsidRPr="002B7E38">
        <w:rPr>
          <w:color w:val="000000"/>
          <w:lang w:eastAsia="en-AU"/>
        </w:rPr>
        <w:t xml:space="preserve">on a </w:t>
      </w:r>
      <w:r w:rsidR="002F0B0B">
        <w:rPr>
          <w:color w:val="000000"/>
          <w:lang w:eastAsia="en-AU"/>
        </w:rPr>
        <w:t>weekly</w:t>
      </w:r>
      <w:r w:rsidR="002F0B0B" w:rsidRPr="002B7E38">
        <w:rPr>
          <w:color w:val="000000"/>
          <w:lang w:eastAsia="en-AU"/>
        </w:rPr>
        <w:t xml:space="preserve"> </w:t>
      </w:r>
      <w:r w:rsidR="00533B79" w:rsidRPr="002B7E38">
        <w:rPr>
          <w:color w:val="000000"/>
          <w:lang w:eastAsia="en-AU"/>
        </w:rPr>
        <w:t xml:space="preserve">basis by NBA support staff, </w:t>
      </w:r>
      <w:r w:rsidR="0078604F" w:rsidRPr="002B7E38">
        <w:rPr>
          <w:color w:val="000000"/>
          <w:lang w:eastAsia="en-AU"/>
        </w:rPr>
        <w:t xml:space="preserve">in accordance with Australian Government Protective Security Policy Framework to identify and remove content that does not meet the necessity test. Audit logging transactions will be retained in accordance with the Commonwealth Archives Act 1983 and relevant </w:t>
      </w:r>
      <w:r w:rsidR="007C3A85">
        <w:rPr>
          <w:color w:val="000000"/>
          <w:lang w:eastAsia="en-AU"/>
        </w:rPr>
        <w:t>state/territory</w:t>
      </w:r>
      <w:r w:rsidR="0078604F" w:rsidRPr="002B7E38">
        <w:rPr>
          <w:color w:val="000000"/>
          <w:lang w:eastAsia="en-AU"/>
        </w:rPr>
        <w:t xml:space="preserve"> legislation</w:t>
      </w:r>
      <w:r w:rsidR="003A70AC" w:rsidRPr="002B7E38">
        <w:rPr>
          <w:color w:val="000000"/>
          <w:lang w:eastAsia="en-AU"/>
        </w:rPr>
        <w:t>.</w:t>
      </w:r>
      <w:bookmarkStart w:id="45" w:name="_Ref412812857"/>
    </w:p>
    <w:p w:rsidR="002C1F45" w:rsidRDefault="002C1F45" w:rsidP="002B7E38">
      <w:pPr>
        <w:pStyle w:val="Heading2"/>
      </w:pPr>
      <w:bookmarkStart w:id="46" w:name="_Toc434574643"/>
      <w:r>
        <w:t xml:space="preserve">Disclosure of personal </w:t>
      </w:r>
      <w:r w:rsidR="00733149">
        <w:t xml:space="preserve">and sensitive </w:t>
      </w:r>
      <w:r>
        <w:t>information</w:t>
      </w:r>
      <w:bookmarkEnd w:id="45"/>
      <w:bookmarkEnd w:id="46"/>
    </w:p>
    <w:p w:rsidR="00733149" w:rsidRDefault="00215333" w:rsidP="00733149">
      <w:pPr>
        <w:pStyle w:val="ListNumber"/>
        <w:numPr>
          <w:ilvl w:val="0"/>
          <w:numId w:val="0"/>
        </w:numPr>
        <w:rPr>
          <w:lang w:eastAsia="en-AU"/>
        </w:rPr>
      </w:pPr>
      <w:r w:rsidRPr="00215333">
        <w:t xml:space="preserve">The National Blood Authority </w:t>
      </w:r>
      <w:r w:rsidR="00364BD2">
        <w:t xml:space="preserve">will </w:t>
      </w:r>
      <w:r w:rsidRPr="00215333">
        <w:t xml:space="preserve">manage the security </w:t>
      </w:r>
      <w:r>
        <w:t>of</w:t>
      </w:r>
      <w:r w:rsidRPr="00215333">
        <w:t xml:space="preserve"> </w:t>
      </w:r>
      <w:proofErr w:type="spellStart"/>
      <w:r w:rsidR="001D735F">
        <w:t>BloodSTAR</w:t>
      </w:r>
      <w:proofErr w:type="spellEnd"/>
      <w:r w:rsidRPr="00215333">
        <w:t xml:space="preserve"> so that only authorised users will be able to access data via a secure log in</w:t>
      </w:r>
      <w:r>
        <w:t xml:space="preserve"> process</w:t>
      </w:r>
      <w:r w:rsidR="006072A8">
        <w:t xml:space="preserve"> for the purpose of </w:t>
      </w:r>
      <w:r w:rsidR="003B0A55">
        <w:t>undertaking</w:t>
      </w:r>
      <w:r w:rsidR="006072A8">
        <w:t xml:space="preserve"> their role in the </w:t>
      </w:r>
      <w:r w:rsidR="008321AF">
        <w:t>management of authorised patients</w:t>
      </w:r>
      <w:r w:rsidRPr="00215333">
        <w:t xml:space="preserve">.  </w:t>
      </w:r>
    </w:p>
    <w:p w:rsidR="00A82D21" w:rsidRDefault="00A82D21" w:rsidP="00733149">
      <w:pPr>
        <w:pStyle w:val="ListNumber"/>
        <w:numPr>
          <w:ilvl w:val="0"/>
          <w:numId w:val="0"/>
        </w:numPr>
        <w:rPr>
          <w:lang w:eastAsia="en-AU"/>
        </w:rPr>
      </w:pPr>
    </w:p>
    <w:p w:rsidR="00733149" w:rsidRDefault="00FB4EB5" w:rsidP="00733149">
      <w:pPr>
        <w:pStyle w:val="ListNumber"/>
        <w:numPr>
          <w:ilvl w:val="0"/>
          <w:numId w:val="0"/>
        </w:numPr>
        <w:rPr>
          <w:lang w:eastAsia="en-AU"/>
        </w:rPr>
      </w:pPr>
      <w:r>
        <w:rPr>
          <w:lang w:eastAsia="en-AU"/>
        </w:rPr>
        <w:t>Clinicians</w:t>
      </w:r>
      <w:r w:rsidR="00733149">
        <w:rPr>
          <w:lang w:eastAsia="en-AU"/>
        </w:rPr>
        <w:t xml:space="preserve"> will be required to have a unique username and password</w:t>
      </w:r>
      <w:r w:rsidR="00FA06E6">
        <w:rPr>
          <w:lang w:eastAsia="en-AU"/>
        </w:rPr>
        <w:t xml:space="preserve">, approved by a facility administrator who can attest to their employment in their facility, </w:t>
      </w:r>
      <w:r w:rsidR="00733149">
        <w:rPr>
          <w:lang w:eastAsia="en-AU"/>
        </w:rPr>
        <w:t xml:space="preserve">to access </w:t>
      </w:r>
      <w:proofErr w:type="spellStart"/>
      <w:r w:rsidR="001D735F">
        <w:rPr>
          <w:lang w:eastAsia="en-AU"/>
        </w:rPr>
        <w:t>BloodSTAR</w:t>
      </w:r>
      <w:proofErr w:type="spellEnd"/>
      <w:r w:rsidR="00FA06E6">
        <w:rPr>
          <w:lang w:eastAsia="en-AU"/>
        </w:rPr>
        <w:t xml:space="preserve">.  This will enable users to </w:t>
      </w:r>
      <w:r w:rsidR="00733149">
        <w:rPr>
          <w:lang w:eastAsia="en-AU"/>
        </w:rPr>
        <w:t xml:space="preserve">complete and submit an initial </w:t>
      </w:r>
      <w:r w:rsidR="00FA06E6">
        <w:rPr>
          <w:lang w:eastAsia="en-AU"/>
        </w:rPr>
        <w:t xml:space="preserve">or continuing </w:t>
      </w:r>
      <w:r w:rsidR="00733149">
        <w:rPr>
          <w:lang w:eastAsia="en-AU"/>
        </w:rPr>
        <w:t xml:space="preserve">authorisation request form </w:t>
      </w:r>
      <w:r w:rsidR="00FA06E6">
        <w:rPr>
          <w:lang w:eastAsia="en-AU"/>
        </w:rPr>
        <w:t xml:space="preserve">resulting from </w:t>
      </w:r>
      <w:r w:rsidR="00733149">
        <w:rPr>
          <w:lang w:eastAsia="en-AU"/>
        </w:rPr>
        <w:t xml:space="preserve">the </w:t>
      </w:r>
      <w:r w:rsidR="00FA06E6">
        <w:rPr>
          <w:lang w:eastAsia="en-AU"/>
        </w:rPr>
        <w:t xml:space="preserve">clinical assessment and </w:t>
      </w:r>
      <w:r w:rsidR="00733149">
        <w:rPr>
          <w:lang w:eastAsia="en-AU"/>
        </w:rPr>
        <w:t>patient treatment review process</w:t>
      </w:r>
      <w:r w:rsidR="00E31153">
        <w:rPr>
          <w:lang w:eastAsia="en-AU"/>
        </w:rPr>
        <w:t>e</w:t>
      </w:r>
      <w:r w:rsidR="00FA06E6">
        <w:rPr>
          <w:lang w:eastAsia="en-AU"/>
        </w:rPr>
        <w:t>s</w:t>
      </w:r>
      <w:r w:rsidR="00733149">
        <w:rPr>
          <w:lang w:eastAsia="en-AU"/>
        </w:rPr>
        <w:t>.</w:t>
      </w:r>
    </w:p>
    <w:p w:rsidR="00E31153" w:rsidRDefault="00E31153" w:rsidP="002B7E38">
      <w:pPr>
        <w:pStyle w:val="Heading3"/>
        <w:rPr>
          <w:lang w:eastAsia="en-AU"/>
        </w:rPr>
      </w:pPr>
      <w:bookmarkStart w:id="47" w:name="_Ref417492083"/>
      <w:r>
        <w:rPr>
          <w:lang w:eastAsia="en-AU"/>
        </w:rPr>
        <w:t xml:space="preserve">Patient Search </w:t>
      </w:r>
      <w:r w:rsidR="00B94FEE">
        <w:rPr>
          <w:lang w:eastAsia="en-AU"/>
        </w:rPr>
        <w:t xml:space="preserve">Scope </w:t>
      </w:r>
      <w:r>
        <w:rPr>
          <w:lang w:eastAsia="en-AU"/>
        </w:rPr>
        <w:t>Features</w:t>
      </w:r>
      <w:bookmarkEnd w:id="47"/>
    </w:p>
    <w:p w:rsidR="00E31153" w:rsidRDefault="00E31153" w:rsidP="00725D51">
      <w:r>
        <w:t xml:space="preserve">Patient search features </w:t>
      </w:r>
      <w:r w:rsidR="00D739F6">
        <w:t xml:space="preserve">include </w:t>
      </w:r>
      <w:r>
        <w:t>t</w:t>
      </w:r>
      <w:r w:rsidR="00725D51">
        <w:t xml:space="preserve">he </w:t>
      </w:r>
      <w:r w:rsidR="00D739F6">
        <w:t xml:space="preserve">default </w:t>
      </w:r>
      <w:r w:rsidR="006C5228">
        <w:t xml:space="preserve">search </w:t>
      </w:r>
      <w:r>
        <w:t xml:space="preserve">scope specific to each </w:t>
      </w:r>
      <w:r w:rsidR="00D739F6">
        <w:t>user profile</w:t>
      </w:r>
      <w:r>
        <w:t xml:space="preserve">.  </w:t>
      </w:r>
      <w:r w:rsidR="00D739F6">
        <w:t>The</w:t>
      </w:r>
      <w:r>
        <w:t xml:space="preserve"> search scope </w:t>
      </w:r>
      <w:r w:rsidR="00E66547">
        <w:t xml:space="preserve">aims to limit the patients available to a user based on the strength of the relationship that can be established from the patient’s treatment arrangements and the users approved access at the facilities where the treatment is to be provided.  The default search scope </w:t>
      </w:r>
      <w:r>
        <w:t>is set when the search features are initiated</w:t>
      </w:r>
      <w:r w:rsidR="00D739F6">
        <w:t xml:space="preserve"> and </w:t>
      </w:r>
      <w:r w:rsidR="00E66547">
        <w:t xml:space="preserve">apply </w:t>
      </w:r>
      <w:r w:rsidR="00D739F6">
        <w:t xml:space="preserve">the following </w:t>
      </w:r>
      <w:r w:rsidR="00E66547">
        <w:t>rules</w:t>
      </w:r>
      <w:r>
        <w:t>:</w:t>
      </w:r>
    </w:p>
    <w:p w:rsidR="00E31153" w:rsidRDefault="00E31153" w:rsidP="002B7E38">
      <w:pPr>
        <w:ind w:left="720"/>
      </w:pPr>
      <w:r>
        <w:t>My Patients</w:t>
      </w:r>
    </w:p>
    <w:p w:rsidR="00E31153" w:rsidRDefault="00E31153" w:rsidP="002B7E38">
      <w:pPr>
        <w:pStyle w:val="ListParagraph"/>
        <w:numPr>
          <w:ilvl w:val="0"/>
          <w:numId w:val="46"/>
        </w:numPr>
      </w:pPr>
      <w:proofErr w:type="gramStart"/>
      <w:r>
        <w:t>where</w:t>
      </w:r>
      <w:proofErr w:type="gramEnd"/>
      <w:r>
        <w:t xml:space="preserve"> the user is recorded as the </w:t>
      </w:r>
      <w:r>
        <w:rPr>
          <w:lang w:eastAsia="en-AU"/>
        </w:rPr>
        <w:t>Treating Medical Specialist or Registered Medical Officer in an authorisation or authorisation request.</w:t>
      </w:r>
    </w:p>
    <w:p w:rsidR="00E31153" w:rsidRDefault="00E31153" w:rsidP="00E31153">
      <w:pPr>
        <w:ind w:left="720"/>
      </w:pPr>
      <w:r>
        <w:t>My Hospital</w:t>
      </w:r>
      <w:r w:rsidR="00D739F6">
        <w:t>/Facility</w:t>
      </w:r>
    </w:p>
    <w:p w:rsidR="00E31153" w:rsidRDefault="00E31153" w:rsidP="00E31153">
      <w:pPr>
        <w:pStyle w:val="ListParagraph"/>
        <w:numPr>
          <w:ilvl w:val="0"/>
          <w:numId w:val="46"/>
        </w:numPr>
      </w:pPr>
      <w:proofErr w:type="gramStart"/>
      <w:r>
        <w:t>where</w:t>
      </w:r>
      <w:proofErr w:type="gramEnd"/>
      <w:r>
        <w:t xml:space="preserve"> the user is approved to access patient records at the facility they are logged on at.  If the user has access to more than one facility, they must select the facility they are working from in the logon process.</w:t>
      </w:r>
    </w:p>
    <w:p w:rsidR="00E31153" w:rsidRDefault="007C3A85" w:rsidP="00E31153">
      <w:pPr>
        <w:ind w:left="720"/>
      </w:pPr>
      <w:r>
        <w:t>State/territory</w:t>
      </w:r>
    </w:p>
    <w:p w:rsidR="00E31153" w:rsidRDefault="00D739F6" w:rsidP="00E31153">
      <w:pPr>
        <w:pStyle w:val="ListParagraph"/>
        <w:numPr>
          <w:ilvl w:val="0"/>
          <w:numId w:val="46"/>
        </w:numPr>
      </w:pPr>
      <w:proofErr w:type="gramStart"/>
      <w:r>
        <w:t>defaults</w:t>
      </w:r>
      <w:proofErr w:type="gramEnd"/>
      <w:r>
        <w:t xml:space="preserve"> to the </w:t>
      </w:r>
      <w:r w:rsidR="007C3A85">
        <w:t>state/territory</w:t>
      </w:r>
      <w:r>
        <w:t xml:space="preserve"> nominated by the user when registering to access the system.</w:t>
      </w:r>
    </w:p>
    <w:p w:rsidR="00D739F6" w:rsidRDefault="00D739F6" w:rsidP="00E31153">
      <w:pPr>
        <w:pStyle w:val="ListParagraph"/>
        <w:numPr>
          <w:ilvl w:val="0"/>
          <w:numId w:val="46"/>
        </w:numPr>
      </w:pPr>
      <w:proofErr w:type="gramStart"/>
      <w:r>
        <w:t>the</w:t>
      </w:r>
      <w:proofErr w:type="gramEnd"/>
      <w:r>
        <w:t xml:space="preserve"> user must record a reason to search beyond their Hospital/Facility before results are presented.</w:t>
      </w:r>
    </w:p>
    <w:p w:rsidR="00E31153" w:rsidRDefault="00D739F6" w:rsidP="00E31153">
      <w:pPr>
        <w:ind w:left="720"/>
      </w:pPr>
      <w:r>
        <w:t>National</w:t>
      </w:r>
    </w:p>
    <w:p w:rsidR="00E31153" w:rsidRDefault="00D739F6" w:rsidP="00E31153">
      <w:pPr>
        <w:pStyle w:val="ListParagraph"/>
        <w:numPr>
          <w:ilvl w:val="0"/>
          <w:numId w:val="46"/>
        </w:numPr>
      </w:pPr>
      <w:r>
        <w:lastRenderedPageBreak/>
        <w:t>All patients</w:t>
      </w:r>
      <w:r w:rsidR="00E31153">
        <w:rPr>
          <w:lang w:eastAsia="en-AU"/>
        </w:rPr>
        <w:t>.</w:t>
      </w:r>
    </w:p>
    <w:p w:rsidR="00D739F6" w:rsidRDefault="00D739F6" w:rsidP="00D739F6">
      <w:pPr>
        <w:pStyle w:val="ListParagraph"/>
        <w:numPr>
          <w:ilvl w:val="0"/>
          <w:numId w:val="46"/>
        </w:numPr>
      </w:pPr>
      <w:proofErr w:type="gramStart"/>
      <w:r>
        <w:t>the</w:t>
      </w:r>
      <w:proofErr w:type="gramEnd"/>
      <w:r>
        <w:t xml:space="preserve"> user must record a reason to search beyond their </w:t>
      </w:r>
      <w:r w:rsidR="007C3A85">
        <w:t>state/territory</w:t>
      </w:r>
      <w:r>
        <w:t xml:space="preserve"> before results are presented.</w:t>
      </w:r>
    </w:p>
    <w:p w:rsidR="00725D51" w:rsidRDefault="00E31153" w:rsidP="00E31153">
      <w:r>
        <w:t xml:space="preserve">Application of the </w:t>
      </w:r>
      <w:r w:rsidR="00D739F6">
        <w:t>search scope</w:t>
      </w:r>
      <w:r>
        <w:t xml:space="preserve"> rules</w:t>
      </w:r>
      <w:r w:rsidR="00D739F6">
        <w:t xml:space="preserve"> by User Profile</w:t>
      </w:r>
      <w:r>
        <w:t xml:space="preserve"> are </w:t>
      </w:r>
      <w:r w:rsidR="00E87330">
        <w:t>described below.</w:t>
      </w:r>
    </w:p>
    <w:p w:rsidR="00725D51" w:rsidRDefault="00725D51" w:rsidP="00F64AD1">
      <w:pPr>
        <w:spacing w:after="120"/>
        <w:ind w:left="360"/>
        <w:rPr>
          <w:b/>
          <w:bCs/>
        </w:rPr>
      </w:pPr>
      <w:r>
        <w:rPr>
          <w:b/>
          <w:bCs/>
        </w:rPr>
        <w:t>Medical Officer</w:t>
      </w:r>
    </w:p>
    <w:p w:rsidR="00725D51" w:rsidRDefault="00725D51" w:rsidP="00817CDC">
      <w:pPr>
        <w:pStyle w:val="ListParagraph"/>
        <w:numPr>
          <w:ilvl w:val="0"/>
          <w:numId w:val="8"/>
        </w:numPr>
        <w:spacing w:after="0" w:line="240" w:lineRule="auto"/>
        <w:ind w:left="720"/>
        <w:contextualSpacing w:val="0"/>
      </w:pPr>
      <w:r>
        <w:t>My Patients</w:t>
      </w:r>
    </w:p>
    <w:p w:rsidR="00725D51" w:rsidRDefault="00725D51" w:rsidP="00817CDC">
      <w:pPr>
        <w:pStyle w:val="ListParagraph"/>
        <w:numPr>
          <w:ilvl w:val="0"/>
          <w:numId w:val="8"/>
        </w:numPr>
        <w:spacing w:after="0" w:line="240" w:lineRule="auto"/>
        <w:ind w:left="720"/>
        <w:contextualSpacing w:val="0"/>
      </w:pPr>
      <w:r>
        <w:t>My Hospital</w:t>
      </w:r>
    </w:p>
    <w:p w:rsidR="00725D51" w:rsidRDefault="007C3A85" w:rsidP="00817CDC">
      <w:pPr>
        <w:pStyle w:val="ListParagraph"/>
        <w:numPr>
          <w:ilvl w:val="0"/>
          <w:numId w:val="8"/>
        </w:numPr>
        <w:spacing w:after="0" w:line="240" w:lineRule="auto"/>
        <w:ind w:left="720"/>
        <w:contextualSpacing w:val="0"/>
      </w:pPr>
      <w:r>
        <w:t>State/territory</w:t>
      </w:r>
    </w:p>
    <w:p w:rsidR="00725D51" w:rsidRDefault="00725D51" w:rsidP="00817CDC">
      <w:pPr>
        <w:pStyle w:val="ListParagraph"/>
        <w:numPr>
          <w:ilvl w:val="0"/>
          <w:numId w:val="8"/>
        </w:numPr>
        <w:spacing w:after="0" w:line="240" w:lineRule="auto"/>
        <w:ind w:left="720"/>
        <w:contextualSpacing w:val="0"/>
      </w:pPr>
      <w:r>
        <w:t>National</w:t>
      </w:r>
    </w:p>
    <w:p w:rsidR="008F63F2" w:rsidRDefault="008F63F2" w:rsidP="008F63F2">
      <w:pPr>
        <w:spacing w:after="0" w:line="240" w:lineRule="auto"/>
        <w:ind w:left="360"/>
      </w:pPr>
    </w:p>
    <w:p w:rsidR="00725D51" w:rsidRDefault="00725D51" w:rsidP="00F64AD1">
      <w:pPr>
        <w:spacing w:after="120"/>
        <w:ind w:left="360"/>
        <w:rPr>
          <w:b/>
          <w:bCs/>
        </w:rPr>
      </w:pPr>
      <w:r>
        <w:rPr>
          <w:b/>
          <w:bCs/>
        </w:rPr>
        <w:t>Nurse</w:t>
      </w:r>
      <w:r w:rsidR="00D71A18">
        <w:rPr>
          <w:b/>
          <w:bCs/>
        </w:rPr>
        <w:t xml:space="preserve"> </w:t>
      </w:r>
      <w:r w:rsidR="00310EB3">
        <w:rPr>
          <w:b/>
          <w:bCs/>
        </w:rPr>
        <w:t>/</w:t>
      </w:r>
      <w:r w:rsidR="00D71A18">
        <w:rPr>
          <w:b/>
          <w:bCs/>
        </w:rPr>
        <w:t xml:space="preserve"> </w:t>
      </w:r>
      <w:r w:rsidR="00310EB3">
        <w:rPr>
          <w:b/>
          <w:bCs/>
        </w:rPr>
        <w:t>Midwife</w:t>
      </w:r>
    </w:p>
    <w:p w:rsidR="00725D51" w:rsidRDefault="00725D51" w:rsidP="00817CDC">
      <w:pPr>
        <w:pStyle w:val="ListParagraph"/>
        <w:numPr>
          <w:ilvl w:val="0"/>
          <w:numId w:val="9"/>
        </w:numPr>
        <w:spacing w:after="0" w:line="240" w:lineRule="auto"/>
        <w:ind w:left="720"/>
        <w:contextualSpacing w:val="0"/>
      </w:pPr>
      <w:r>
        <w:t xml:space="preserve">My Hospital </w:t>
      </w:r>
    </w:p>
    <w:p w:rsidR="00725D51" w:rsidRDefault="007C3A85" w:rsidP="00817CDC">
      <w:pPr>
        <w:pStyle w:val="ListParagraph"/>
        <w:numPr>
          <w:ilvl w:val="0"/>
          <w:numId w:val="9"/>
        </w:numPr>
        <w:spacing w:after="0" w:line="240" w:lineRule="auto"/>
        <w:ind w:left="720"/>
        <w:contextualSpacing w:val="0"/>
      </w:pPr>
      <w:r>
        <w:t>State/territory</w:t>
      </w:r>
    </w:p>
    <w:p w:rsidR="00725D51" w:rsidRDefault="00725D51" w:rsidP="00817CDC">
      <w:pPr>
        <w:pStyle w:val="ListParagraph"/>
        <w:numPr>
          <w:ilvl w:val="0"/>
          <w:numId w:val="9"/>
        </w:numPr>
        <w:spacing w:after="0" w:line="240" w:lineRule="auto"/>
        <w:ind w:left="720"/>
        <w:contextualSpacing w:val="0"/>
      </w:pPr>
      <w:r>
        <w:t>National</w:t>
      </w:r>
    </w:p>
    <w:p w:rsidR="008F63F2" w:rsidRDefault="008F63F2" w:rsidP="008F63F2">
      <w:pPr>
        <w:pStyle w:val="ListParagraph"/>
        <w:spacing w:after="0" w:line="240" w:lineRule="auto"/>
        <w:contextualSpacing w:val="0"/>
      </w:pPr>
    </w:p>
    <w:p w:rsidR="00725D51" w:rsidRPr="003B0A55" w:rsidRDefault="00725D51" w:rsidP="00F64AD1">
      <w:pPr>
        <w:spacing w:after="120"/>
        <w:ind w:left="360"/>
        <w:rPr>
          <w:b/>
          <w:bCs/>
        </w:rPr>
      </w:pPr>
      <w:r w:rsidRPr="00E87330">
        <w:rPr>
          <w:b/>
          <w:bCs/>
        </w:rPr>
        <w:t>Dispenser</w:t>
      </w:r>
    </w:p>
    <w:p w:rsidR="00E87330" w:rsidRPr="00E87330" w:rsidRDefault="00725D51" w:rsidP="00F64AD1">
      <w:pPr>
        <w:ind w:left="360"/>
      </w:pPr>
      <w:r w:rsidRPr="00E87330">
        <w:t xml:space="preserve">Important note: dispensers will have visibility of Patient information via features that will be integrated with </w:t>
      </w:r>
      <w:proofErr w:type="spellStart"/>
      <w:r w:rsidRPr="00E87330">
        <w:t>BloodNet</w:t>
      </w:r>
      <w:proofErr w:type="spellEnd"/>
      <w:r w:rsidRPr="00E87330">
        <w:t xml:space="preserve"> and therefore will not be expressly acknowledged as users of </w:t>
      </w:r>
      <w:proofErr w:type="spellStart"/>
      <w:r w:rsidR="008F63F2">
        <w:t>BloodSTAR</w:t>
      </w:r>
      <w:proofErr w:type="spellEnd"/>
      <w:r w:rsidRPr="00E87330">
        <w:t xml:space="preserve">.  </w:t>
      </w:r>
      <w:r w:rsidR="00FA06E6">
        <w:t xml:space="preserve">  Existing </w:t>
      </w:r>
      <w:proofErr w:type="spellStart"/>
      <w:r w:rsidR="00FA06E6">
        <w:t>BloodNet</w:t>
      </w:r>
      <w:proofErr w:type="spellEnd"/>
      <w:r w:rsidR="00FA06E6">
        <w:t xml:space="preserve"> processes conform to the security and access controls described in this document in relation to </w:t>
      </w:r>
      <w:proofErr w:type="spellStart"/>
      <w:r w:rsidR="008F63F2">
        <w:t>BloodSTAR</w:t>
      </w:r>
      <w:proofErr w:type="spellEnd"/>
      <w:r w:rsidR="00FA06E6">
        <w:t>.</w:t>
      </w:r>
    </w:p>
    <w:p w:rsidR="00725D51" w:rsidRPr="00E87330" w:rsidRDefault="00725D51" w:rsidP="00817CDC">
      <w:pPr>
        <w:pStyle w:val="ListParagraph"/>
        <w:numPr>
          <w:ilvl w:val="0"/>
          <w:numId w:val="10"/>
        </w:numPr>
        <w:spacing w:after="0" w:line="240" w:lineRule="auto"/>
        <w:ind w:left="720"/>
        <w:contextualSpacing w:val="0"/>
      </w:pPr>
      <w:r w:rsidRPr="00E87330">
        <w:t xml:space="preserve">My Hospital </w:t>
      </w:r>
    </w:p>
    <w:p w:rsidR="00725D51" w:rsidRPr="00E87330" w:rsidRDefault="007C3A85" w:rsidP="00817CDC">
      <w:pPr>
        <w:pStyle w:val="ListParagraph"/>
        <w:numPr>
          <w:ilvl w:val="0"/>
          <w:numId w:val="10"/>
        </w:numPr>
        <w:spacing w:after="0" w:line="240" w:lineRule="auto"/>
        <w:ind w:left="720"/>
        <w:contextualSpacing w:val="0"/>
      </w:pPr>
      <w:r>
        <w:t>State/territory</w:t>
      </w:r>
    </w:p>
    <w:p w:rsidR="00725D51" w:rsidRDefault="00725D51" w:rsidP="00817CDC">
      <w:pPr>
        <w:pStyle w:val="ListParagraph"/>
        <w:numPr>
          <w:ilvl w:val="0"/>
          <w:numId w:val="10"/>
        </w:numPr>
        <w:spacing w:after="0" w:line="240" w:lineRule="auto"/>
        <w:ind w:left="720"/>
        <w:contextualSpacing w:val="0"/>
      </w:pPr>
      <w:r w:rsidRPr="00E87330">
        <w:t>National</w:t>
      </w:r>
    </w:p>
    <w:p w:rsidR="008F63F2" w:rsidRPr="00E87330" w:rsidRDefault="008F63F2" w:rsidP="008F63F2">
      <w:pPr>
        <w:spacing w:after="0" w:line="240" w:lineRule="auto"/>
        <w:ind w:left="360"/>
      </w:pPr>
    </w:p>
    <w:p w:rsidR="00725D51" w:rsidRDefault="00725D51" w:rsidP="00F64AD1">
      <w:pPr>
        <w:spacing w:after="120"/>
        <w:ind w:left="360"/>
        <w:rPr>
          <w:b/>
          <w:bCs/>
        </w:rPr>
      </w:pPr>
      <w:r>
        <w:rPr>
          <w:b/>
          <w:bCs/>
        </w:rPr>
        <w:t>Authoriser</w:t>
      </w:r>
    </w:p>
    <w:p w:rsidR="00D739F6" w:rsidRDefault="00D739F6" w:rsidP="002B7E38">
      <w:pPr>
        <w:ind w:left="360"/>
      </w:pPr>
      <w:r>
        <w:t>Patient details will be summarised to age and gender for the information of the Authoriser.  Where more information about the patient is required, the Authoriser will take a discreet action to reveal patient name and date of birth.  This feature will not be applied during the transition phase.</w:t>
      </w:r>
    </w:p>
    <w:p w:rsidR="00725D51" w:rsidRDefault="007C3A85" w:rsidP="00817CDC">
      <w:pPr>
        <w:pStyle w:val="ListParagraph"/>
        <w:numPr>
          <w:ilvl w:val="0"/>
          <w:numId w:val="11"/>
        </w:numPr>
        <w:spacing w:after="0" w:line="240" w:lineRule="auto"/>
        <w:ind w:left="720"/>
        <w:contextualSpacing w:val="0"/>
      </w:pPr>
      <w:r>
        <w:t>State/territory</w:t>
      </w:r>
      <w:r w:rsidR="00725D51">
        <w:t xml:space="preserve"> – Authorisation Jurisdiction</w:t>
      </w:r>
    </w:p>
    <w:p w:rsidR="00725D51" w:rsidRDefault="00725D51" w:rsidP="008F63F2">
      <w:pPr>
        <w:pStyle w:val="ListParagraph"/>
        <w:numPr>
          <w:ilvl w:val="0"/>
          <w:numId w:val="11"/>
        </w:numPr>
        <w:spacing w:after="0" w:line="240" w:lineRule="auto"/>
        <w:ind w:left="720"/>
        <w:contextualSpacing w:val="0"/>
      </w:pPr>
      <w:r>
        <w:t>National</w:t>
      </w:r>
    </w:p>
    <w:p w:rsidR="008F63F2" w:rsidRDefault="008F63F2" w:rsidP="008F63F2">
      <w:pPr>
        <w:spacing w:after="0" w:line="240" w:lineRule="auto"/>
        <w:ind w:left="360"/>
      </w:pPr>
    </w:p>
    <w:p w:rsidR="0040232B" w:rsidRDefault="0023655C" w:rsidP="0023655C">
      <w:r>
        <w:t>P</w:t>
      </w:r>
      <w:r w:rsidR="00725D51">
        <w:t>atien</w:t>
      </w:r>
      <w:r>
        <w:t xml:space="preserve">t searches can be </w:t>
      </w:r>
      <w:r w:rsidR="00E66547">
        <w:t xml:space="preserve">initiated </w:t>
      </w:r>
      <w:r>
        <w:t>from a</w:t>
      </w:r>
      <w:r w:rsidR="00725D51">
        <w:t xml:space="preserve"> user’s Home Page constrained by </w:t>
      </w:r>
      <w:r w:rsidR="00FA06E6">
        <w:t xml:space="preserve">the </w:t>
      </w:r>
      <w:r w:rsidR="00725D51">
        <w:t xml:space="preserve">Search Scope </w:t>
      </w:r>
      <w:r w:rsidR="00FA06E6">
        <w:t xml:space="preserve">for each </w:t>
      </w:r>
      <w:r w:rsidR="00725D51">
        <w:t>user profile</w:t>
      </w:r>
      <w:r>
        <w:t>.  Additionally, patient searches can be executed from the</w:t>
      </w:r>
      <w:r w:rsidR="00F64AD1">
        <w:t xml:space="preserve"> P</w:t>
      </w:r>
      <w:r w:rsidR="00725D51">
        <w:t>atient selector in a</w:t>
      </w:r>
      <w:r w:rsidR="00E87330">
        <w:t>n initial authorisation request</w:t>
      </w:r>
      <w:r w:rsidRPr="00F628AB">
        <w:t xml:space="preserve">.  To minimise the possibility of creating duplicate patient records, </w:t>
      </w:r>
      <w:r w:rsidR="00F64AD1" w:rsidRPr="00F628AB">
        <w:t xml:space="preserve">the search scope </w:t>
      </w:r>
      <w:r w:rsidRPr="00F628AB">
        <w:t xml:space="preserve">for the patient selector </w:t>
      </w:r>
      <w:r w:rsidR="00F64AD1" w:rsidRPr="00F628AB">
        <w:t>will be broadened to be a national search</w:t>
      </w:r>
      <w:r w:rsidR="00733149" w:rsidRPr="00F628AB">
        <w:t xml:space="preserve">, however at least </w:t>
      </w:r>
      <w:r w:rsidR="001A4E5A">
        <w:t>two</w:t>
      </w:r>
      <w:r w:rsidR="00733149" w:rsidRPr="00F628AB">
        <w:t xml:space="preserve"> points of identification will be required to undertake a national search, to maximise result</w:t>
      </w:r>
      <w:r w:rsidR="003F040B" w:rsidRPr="00F628AB">
        <w:t xml:space="preserve"> matches</w:t>
      </w:r>
      <w:r w:rsidR="00733149" w:rsidRPr="00F628AB">
        <w:t xml:space="preserve"> and minimise </w:t>
      </w:r>
      <w:r w:rsidR="003F040B" w:rsidRPr="00F628AB">
        <w:t>the number of returned results.</w:t>
      </w:r>
    </w:p>
    <w:p w:rsidR="00310EB3" w:rsidRDefault="00310EB3" w:rsidP="00310EB3">
      <w:pPr>
        <w:pStyle w:val="Heading3"/>
        <w:rPr>
          <w:lang w:eastAsia="en-AU"/>
        </w:rPr>
      </w:pPr>
      <w:r>
        <w:rPr>
          <w:lang w:eastAsia="en-AU"/>
        </w:rPr>
        <w:t xml:space="preserve">View </w:t>
      </w:r>
      <w:r w:rsidR="000905DD">
        <w:rPr>
          <w:lang w:eastAsia="en-AU"/>
        </w:rPr>
        <w:t>Patient Record</w:t>
      </w:r>
      <w:r w:rsidR="00E81B64">
        <w:rPr>
          <w:lang w:eastAsia="en-AU"/>
        </w:rPr>
        <w:t xml:space="preserve"> Permissions</w:t>
      </w:r>
    </w:p>
    <w:p w:rsidR="00310EB3" w:rsidRDefault="00AD0ED5" w:rsidP="0023655C">
      <w:r>
        <w:t>The v</w:t>
      </w:r>
      <w:r w:rsidR="00310EB3">
        <w:t>iew</w:t>
      </w:r>
      <w:r w:rsidR="00A70462">
        <w:t xml:space="preserve"> </w:t>
      </w:r>
      <w:r w:rsidR="00310EB3">
        <w:t xml:space="preserve">patient record </w:t>
      </w:r>
      <w:r w:rsidR="00F9319C">
        <w:t>permissions are</w:t>
      </w:r>
      <w:r w:rsidR="00310EB3">
        <w:t xml:space="preserve"> specific for each user profile.  A user is permitted to view </w:t>
      </w:r>
      <w:r w:rsidR="00A70462">
        <w:t xml:space="preserve">patient records </w:t>
      </w:r>
      <w:r w:rsidR="0071337D">
        <w:t>as described below</w:t>
      </w:r>
      <w:r w:rsidR="00310EB3">
        <w:t>:</w:t>
      </w:r>
    </w:p>
    <w:p w:rsidR="00CD2C0A" w:rsidRPr="00564D53" w:rsidRDefault="00310EB3" w:rsidP="00197335">
      <w:pPr>
        <w:pStyle w:val="ListParagraph"/>
        <w:numPr>
          <w:ilvl w:val="0"/>
          <w:numId w:val="50"/>
        </w:numPr>
        <w:spacing w:line="240" w:lineRule="auto"/>
      </w:pPr>
      <w:r w:rsidRPr="00564D53">
        <w:lastRenderedPageBreak/>
        <w:t xml:space="preserve">Medical Officer – </w:t>
      </w:r>
    </w:p>
    <w:p w:rsidR="00CE025F" w:rsidRPr="00564D53" w:rsidRDefault="00CE025F" w:rsidP="00197335">
      <w:pPr>
        <w:pStyle w:val="ListParagraph"/>
        <w:numPr>
          <w:ilvl w:val="1"/>
          <w:numId w:val="50"/>
        </w:numPr>
        <w:spacing w:line="240" w:lineRule="auto"/>
      </w:pPr>
      <w:r w:rsidRPr="00564D53">
        <w:t>where they are the Treating Medical Specialist or Requesting Medical Officer named in the authorisation request</w:t>
      </w:r>
      <w:r w:rsidR="00F9319C" w:rsidRPr="00564D53">
        <w:t xml:space="preserve"> and the relationship is current</w:t>
      </w:r>
    </w:p>
    <w:p w:rsidR="00310EB3" w:rsidRPr="00564D53" w:rsidRDefault="00310EB3" w:rsidP="00197335">
      <w:pPr>
        <w:pStyle w:val="ListParagraph"/>
        <w:numPr>
          <w:ilvl w:val="1"/>
          <w:numId w:val="50"/>
        </w:numPr>
        <w:spacing w:line="240" w:lineRule="auto"/>
      </w:pPr>
      <w:r w:rsidRPr="00564D53">
        <w:t>where the patient has an authorisation</w:t>
      </w:r>
      <w:r w:rsidR="002F6419" w:rsidRPr="00564D53">
        <w:t>**</w:t>
      </w:r>
      <w:r w:rsidRPr="00564D53">
        <w:t xml:space="preserve"> with either the Treating or Administering Facility matching any of the facilities for which the user holds a Medical Officer Role and the relationship is current</w:t>
      </w:r>
    </w:p>
    <w:p w:rsidR="00310EB3" w:rsidRPr="00C62EA2" w:rsidRDefault="005C582B" w:rsidP="00197335">
      <w:pPr>
        <w:pStyle w:val="ListParagraph"/>
        <w:numPr>
          <w:ilvl w:val="1"/>
          <w:numId w:val="50"/>
        </w:numPr>
        <w:spacing w:line="240" w:lineRule="auto"/>
      </w:pPr>
      <w:r>
        <w:t xml:space="preserve">where </w:t>
      </w:r>
      <w:r w:rsidR="00AD0ED5">
        <w:t xml:space="preserve">the user </w:t>
      </w:r>
      <w:r>
        <w:t xml:space="preserve">is required to </w:t>
      </w:r>
      <w:r w:rsidR="00AD0ED5">
        <w:t>record a reason</w:t>
      </w:r>
      <w:r>
        <w:t>,</w:t>
      </w:r>
      <w:r w:rsidR="00AD0ED5">
        <w:t xml:space="preserve"> to view </w:t>
      </w:r>
      <w:r>
        <w:t xml:space="preserve">the </w:t>
      </w:r>
      <w:r w:rsidR="00AD0ED5">
        <w:t>record of a patient beyond their facility</w:t>
      </w:r>
      <w:r>
        <w:t xml:space="preserve"> or where a relationship is not current in their facility,</w:t>
      </w:r>
      <w:r w:rsidR="00AD0ED5">
        <w:t xml:space="preserve"> before the </w:t>
      </w:r>
      <w:r w:rsidR="00A70462">
        <w:t xml:space="preserve">patient record </w:t>
      </w:r>
      <w:r w:rsidR="00AD0ED5">
        <w:t>can be viewed</w:t>
      </w:r>
      <w:r w:rsidR="00A70462">
        <w:t>.</w:t>
      </w:r>
      <w:r w:rsidR="00C63F5B">
        <w:t>*</w:t>
      </w:r>
    </w:p>
    <w:p w:rsidR="00FA4E03" w:rsidRPr="00C62EA2" w:rsidRDefault="00FA4E03" w:rsidP="00197335">
      <w:pPr>
        <w:pStyle w:val="ListParagraph"/>
        <w:spacing w:line="240" w:lineRule="auto"/>
        <w:ind w:left="1440"/>
      </w:pPr>
    </w:p>
    <w:p w:rsidR="00AD0ED5" w:rsidRPr="00C62EA2" w:rsidRDefault="00310EB3" w:rsidP="00310EB3">
      <w:pPr>
        <w:pStyle w:val="ListParagraph"/>
        <w:numPr>
          <w:ilvl w:val="0"/>
          <w:numId w:val="50"/>
        </w:numPr>
        <w:spacing w:line="240" w:lineRule="auto"/>
      </w:pPr>
      <w:r w:rsidRPr="00C62EA2">
        <w:t xml:space="preserve">Nurse / Midwife – </w:t>
      </w:r>
    </w:p>
    <w:p w:rsidR="000660E4" w:rsidRPr="00197335" w:rsidRDefault="00310EB3" w:rsidP="00197335">
      <w:pPr>
        <w:pStyle w:val="ListParagraph"/>
        <w:numPr>
          <w:ilvl w:val="1"/>
          <w:numId w:val="50"/>
        </w:numPr>
        <w:spacing w:line="240" w:lineRule="auto"/>
      </w:pPr>
      <w:proofErr w:type="gramStart"/>
      <w:r w:rsidRPr="00197335">
        <w:t>where</w:t>
      </w:r>
      <w:proofErr w:type="gramEnd"/>
      <w:r w:rsidRPr="00197335">
        <w:t xml:space="preserve"> the patient has an authorisation</w:t>
      </w:r>
      <w:r w:rsidR="000660E4">
        <w:t>*</w:t>
      </w:r>
      <w:r w:rsidR="00C63F5B">
        <w:t>*</w:t>
      </w:r>
      <w:r w:rsidR="00A70462" w:rsidRPr="00197335">
        <w:t xml:space="preserve"> </w:t>
      </w:r>
      <w:r w:rsidRPr="00197335">
        <w:t>with either the Treating or Administering facility matching the facility at which the user is logged in</w:t>
      </w:r>
      <w:r w:rsidR="00CE025F" w:rsidRPr="00197335">
        <w:t xml:space="preserve"> and the relationship is current</w:t>
      </w:r>
      <w:r w:rsidRPr="00197335">
        <w:t>.</w:t>
      </w:r>
      <w:r w:rsidR="000660E4" w:rsidRPr="00197335">
        <w:t xml:space="preserve"> </w:t>
      </w:r>
    </w:p>
    <w:p w:rsidR="00AD0ED5" w:rsidRPr="00C62EA2" w:rsidRDefault="002F6419" w:rsidP="00AD0ED5">
      <w:pPr>
        <w:pStyle w:val="ListParagraph"/>
        <w:numPr>
          <w:ilvl w:val="1"/>
          <w:numId w:val="50"/>
        </w:numPr>
        <w:spacing w:line="240" w:lineRule="auto"/>
      </w:pPr>
      <w:r>
        <w:t>where the</w:t>
      </w:r>
      <w:r w:rsidR="00AD0ED5">
        <w:t xml:space="preserve"> user </w:t>
      </w:r>
      <w:r>
        <w:t xml:space="preserve">is required </w:t>
      </w:r>
      <w:r w:rsidR="004B0E4F">
        <w:t xml:space="preserve">to </w:t>
      </w:r>
      <w:r w:rsidR="00AD0ED5">
        <w:t>record a reason</w:t>
      </w:r>
      <w:r>
        <w:t>,</w:t>
      </w:r>
      <w:r w:rsidR="00AD0ED5">
        <w:t xml:space="preserve"> to view </w:t>
      </w:r>
      <w:r>
        <w:t xml:space="preserve">the </w:t>
      </w:r>
      <w:r w:rsidR="00AD0ED5">
        <w:t xml:space="preserve">record of a patient beyond their facility </w:t>
      </w:r>
      <w:r>
        <w:t>or where a relationship is not current in their facility,</w:t>
      </w:r>
      <w:r w:rsidR="00AD0ED5">
        <w:t xml:space="preserve"> </w:t>
      </w:r>
      <w:r>
        <w:t xml:space="preserve">before </w:t>
      </w:r>
      <w:r w:rsidR="00AD0ED5">
        <w:t>the record can be viewed.</w:t>
      </w:r>
      <w:r w:rsidR="003A461D">
        <w:t>*</w:t>
      </w:r>
    </w:p>
    <w:p w:rsidR="00FA4E03" w:rsidRPr="00C62EA2" w:rsidRDefault="002F6419" w:rsidP="00197335">
      <w:pPr>
        <w:pStyle w:val="ListParagraph"/>
        <w:tabs>
          <w:tab w:val="left" w:pos="2576"/>
        </w:tabs>
        <w:spacing w:line="240" w:lineRule="auto"/>
        <w:ind w:left="1440"/>
      </w:pPr>
      <w:r w:rsidRPr="00C62EA2">
        <w:tab/>
      </w:r>
    </w:p>
    <w:p w:rsidR="000660E4" w:rsidRPr="00C62EA2" w:rsidRDefault="00A70462" w:rsidP="000660E4">
      <w:pPr>
        <w:pStyle w:val="ListParagraph"/>
        <w:numPr>
          <w:ilvl w:val="0"/>
          <w:numId w:val="50"/>
        </w:numPr>
        <w:spacing w:line="240" w:lineRule="auto"/>
      </w:pPr>
      <w:r w:rsidRPr="00C62EA2">
        <w:t>Dispenser</w:t>
      </w:r>
      <w:r w:rsidR="000660E4" w:rsidRPr="00C62EA2">
        <w:t xml:space="preserve"> – </w:t>
      </w:r>
    </w:p>
    <w:p w:rsidR="003A461D" w:rsidRPr="00C62EA2" w:rsidRDefault="00A70462" w:rsidP="003A461D">
      <w:pPr>
        <w:pStyle w:val="ListParagraph"/>
        <w:numPr>
          <w:ilvl w:val="1"/>
          <w:numId w:val="50"/>
        </w:numPr>
        <w:spacing w:line="240" w:lineRule="auto"/>
      </w:pPr>
      <w:proofErr w:type="gramStart"/>
      <w:r w:rsidRPr="00C62EA2">
        <w:t>where</w:t>
      </w:r>
      <w:proofErr w:type="gramEnd"/>
      <w:r w:rsidRPr="00C62EA2">
        <w:t xml:space="preserve"> the patient has an authorisation</w:t>
      </w:r>
      <w:r w:rsidR="002F6419" w:rsidRPr="00C62EA2" w:rsidDel="002F6419">
        <w:t xml:space="preserve"> </w:t>
      </w:r>
      <w:r w:rsidR="000660E4" w:rsidRPr="00C62EA2">
        <w:t>*</w:t>
      </w:r>
      <w:r w:rsidR="00C63F5B" w:rsidRPr="00C62EA2">
        <w:t>*</w:t>
      </w:r>
      <w:r w:rsidRPr="00C62EA2">
        <w:t xml:space="preserve"> with either the Treating or Administering facility matching the facility at which the user is logged in</w:t>
      </w:r>
      <w:r w:rsidR="002F6419" w:rsidRPr="00C62EA2">
        <w:t xml:space="preserve"> and the relationship is current</w:t>
      </w:r>
      <w:r w:rsidRPr="00C62EA2">
        <w:t>.</w:t>
      </w:r>
      <w:r w:rsidR="000660E4" w:rsidRPr="00C62EA2">
        <w:t xml:space="preserve"> </w:t>
      </w:r>
    </w:p>
    <w:p w:rsidR="00A70462" w:rsidRPr="00C62EA2" w:rsidRDefault="002F6419" w:rsidP="003A461D">
      <w:pPr>
        <w:pStyle w:val="ListParagraph"/>
        <w:numPr>
          <w:ilvl w:val="1"/>
          <w:numId w:val="50"/>
        </w:numPr>
        <w:spacing w:line="240" w:lineRule="auto"/>
      </w:pPr>
      <w:r>
        <w:t xml:space="preserve">where </w:t>
      </w:r>
      <w:r w:rsidR="00A70462">
        <w:t xml:space="preserve">the user </w:t>
      </w:r>
      <w:r w:rsidR="004B0E4F">
        <w:t xml:space="preserve">is required to </w:t>
      </w:r>
      <w:r w:rsidR="00A70462">
        <w:t>record a reason</w:t>
      </w:r>
      <w:r w:rsidR="004B0E4F">
        <w:t>,</w:t>
      </w:r>
      <w:r w:rsidR="00A70462">
        <w:t xml:space="preserve"> to view a patient record of a patient beyond their facility</w:t>
      </w:r>
      <w:r w:rsidR="004B0E4F">
        <w:t xml:space="preserve"> or where a relationship is not current in their facility,</w:t>
      </w:r>
      <w:r w:rsidR="00A70462">
        <w:t xml:space="preserve"> before the record can be viewed.</w:t>
      </w:r>
      <w:r w:rsidR="003A461D">
        <w:t>*</w:t>
      </w:r>
    </w:p>
    <w:p w:rsidR="00FA4E03" w:rsidRPr="00C62EA2" w:rsidRDefault="00FA4E03" w:rsidP="00C62EA2">
      <w:pPr>
        <w:pStyle w:val="ListParagraph"/>
        <w:spacing w:line="240" w:lineRule="auto"/>
        <w:ind w:left="1440"/>
      </w:pPr>
    </w:p>
    <w:p w:rsidR="00310EB3" w:rsidRPr="00C62EA2" w:rsidRDefault="00310EB3" w:rsidP="00310EB3">
      <w:pPr>
        <w:pStyle w:val="ListParagraph"/>
        <w:numPr>
          <w:ilvl w:val="0"/>
          <w:numId w:val="50"/>
        </w:numPr>
        <w:spacing w:line="240" w:lineRule="auto"/>
      </w:pPr>
      <w:r w:rsidRPr="00C62EA2">
        <w:t xml:space="preserve">System Administrator – </w:t>
      </w:r>
      <w:r w:rsidR="000660E4" w:rsidRPr="00C62EA2">
        <w:t xml:space="preserve">a qualification reason </w:t>
      </w:r>
      <w:r w:rsidR="003A461D" w:rsidRPr="00C62EA2">
        <w:t>will be</w:t>
      </w:r>
      <w:r w:rsidRPr="00C62EA2">
        <w:t xml:space="preserve"> required in all circumstances.</w:t>
      </w:r>
    </w:p>
    <w:p w:rsidR="00FA4E03" w:rsidRPr="00C62EA2" w:rsidRDefault="00FA4E03" w:rsidP="00197335">
      <w:pPr>
        <w:pStyle w:val="ListParagraph"/>
        <w:spacing w:line="240" w:lineRule="auto"/>
      </w:pPr>
    </w:p>
    <w:p w:rsidR="00F27002" w:rsidRPr="00C62EA2" w:rsidRDefault="00F27002" w:rsidP="00F27002">
      <w:pPr>
        <w:pStyle w:val="ListParagraph"/>
        <w:numPr>
          <w:ilvl w:val="0"/>
          <w:numId w:val="50"/>
        </w:numPr>
        <w:spacing w:line="240" w:lineRule="auto"/>
      </w:pPr>
      <w:r w:rsidRPr="00C62EA2">
        <w:t xml:space="preserve">Authoriser – </w:t>
      </w:r>
    </w:p>
    <w:p w:rsidR="0065762C" w:rsidRPr="00C62EA2" w:rsidRDefault="0065762C" w:rsidP="00197335">
      <w:pPr>
        <w:pStyle w:val="ListParagraph"/>
        <w:numPr>
          <w:ilvl w:val="1"/>
          <w:numId w:val="50"/>
        </w:numPr>
        <w:spacing w:line="240" w:lineRule="auto"/>
      </w:pPr>
      <w:proofErr w:type="gramStart"/>
      <w:r w:rsidRPr="00C62EA2">
        <w:t>where</w:t>
      </w:r>
      <w:proofErr w:type="gramEnd"/>
      <w:r w:rsidRPr="00C62EA2">
        <w:t xml:space="preserve"> the patient has an authorisation request in the state of the authorisers facility and the relationship is current.</w:t>
      </w:r>
    </w:p>
    <w:p w:rsidR="00675EFA" w:rsidRPr="00C62EA2" w:rsidRDefault="00F27002" w:rsidP="00197335">
      <w:pPr>
        <w:pStyle w:val="ListParagraph"/>
        <w:numPr>
          <w:ilvl w:val="1"/>
          <w:numId w:val="50"/>
        </w:numPr>
        <w:spacing w:line="240" w:lineRule="auto"/>
      </w:pPr>
      <w:proofErr w:type="gramStart"/>
      <w:r>
        <w:t>the</w:t>
      </w:r>
      <w:proofErr w:type="gramEnd"/>
      <w:r>
        <w:t xml:space="preserve"> user will not be able to view patient </w:t>
      </w:r>
      <w:r w:rsidR="0071337D">
        <w:t>identifying details once STARS has been decommissioned</w:t>
      </w:r>
      <w:r w:rsidR="00C63F5B">
        <w:t xml:space="preserve"> without recording </w:t>
      </w:r>
      <w:r>
        <w:t xml:space="preserve">a </w:t>
      </w:r>
      <w:r w:rsidR="00C63F5B">
        <w:t xml:space="preserve">qualification </w:t>
      </w:r>
      <w:r>
        <w:t>reason</w:t>
      </w:r>
      <w:r w:rsidRPr="00C62EA2">
        <w:t>.</w:t>
      </w:r>
      <w:r w:rsidR="00C63F5B" w:rsidRPr="00C62EA2">
        <w:t xml:space="preserve"> *</w:t>
      </w:r>
    </w:p>
    <w:p w:rsidR="0065762C" w:rsidRPr="00C62EA2" w:rsidRDefault="0065762C" w:rsidP="0065762C">
      <w:pPr>
        <w:pStyle w:val="ListParagraph"/>
        <w:numPr>
          <w:ilvl w:val="1"/>
          <w:numId w:val="50"/>
        </w:numPr>
        <w:spacing w:line="240" w:lineRule="auto"/>
      </w:pPr>
      <w:r>
        <w:t>where the user is required to record a reason, to view a patient record of a patient beyond their facility or where a relationship is not current in their facility, before the record can be viewed.*</w:t>
      </w:r>
    </w:p>
    <w:p w:rsidR="00F27002" w:rsidRPr="00C62EA2" w:rsidRDefault="00F27002" w:rsidP="00197335">
      <w:pPr>
        <w:pStyle w:val="ListParagraph"/>
        <w:numPr>
          <w:ilvl w:val="1"/>
          <w:numId w:val="50"/>
        </w:numPr>
        <w:spacing w:line="240" w:lineRule="auto"/>
      </w:pPr>
      <w:r>
        <w:t>Authorisers will not be required to provide a qualification reason to view patient identifying information</w:t>
      </w:r>
      <w:r w:rsidR="00CE574D">
        <w:t xml:space="preserve"> in the state of their facility</w:t>
      </w:r>
      <w:r>
        <w:t xml:space="preserve"> during the </w:t>
      </w:r>
      <w:r w:rsidR="00CE574D">
        <w:t xml:space="preserve">period of </w:t>
      </w:r>
      <w:r>
        <w:t xml:space="preserve">transition from STARS to </w:t>
      </w:r>
      <w:proofErr w:type="spellStart"/>
      <w:r>
        <w:t>BloodSTAR</w:t>
      </w:r>
      <w:proofErr w:type="spellEnd"/>
      <w:r w:rsidR="00CE574D">
        <w:t>, nominally defined as the 2016 calendar year</w:t>
      </w:r>
      <w:r>
        <w:t>.</w:t>
      </w:r>
    </w:p>
    <w:p w:rsidR="009A1497" w:rsidRDefault="00C63F5B" w:rsidP="002F6419">
      <w:pPr>
        <w:spacing w:line="240" w:lineRule="auto"/>
      </w:pPr>
      <w:r>
        <w:t xml:space="preserve">* </w:t>
      </w:r>
      <w:r w:rsidRPr="0041174F">
        <w:t xml:space="preserve">A user is permitted to view patient identifying information and patient records up to 7* days after providing </w:t>
      </w:r>
      <w:r>
        <w:t xml:space="preserve">a </w:t>
      </w:r>
      <w:r w:rsidRPr="0041174F">
        <w:t>qualification reason for viewing</w:t>
      </w:r>
      <w:r>
        <w:t xml:space="preserve"> the record</w:t>
      </w:r>
      <w:r w:rsidRPr="0041174F">
        <w:t>.</w:t>
      </w:r>
    </w:p>
    <w:p w:rsidR="00310EB3" w:rsidRDefault="00C63F5B" w:rsidP="002F6419">
      <w:pPr>
        <w:spacing w:line="240" w:lineRule="auto"/>
      </w:pPr>
      <w:r>
        <w:t>*</w:t>
      </w:r>
      <w:r w:rsidR="003A461D">
        <w:t>* A</w:t>
      </w:r>
      <w:r w:rsidR="003A461D" w:rsidRPr="001E0CCB">
        <w:t>n authorisation request status will be displayed</w:t>
      </w:r>
      <w:r>
        <w:t xml:space="preserve"> so that the user is aware of its existence</w:t>
      </w:r>
      <w:r w:rsidR="003A461D" w:rsidRPr="001E0CCB">
        <w:t>, but the content of the authorisation request</w:t>
      </w:r>
      <w:r>
        <w:t xml:space="preserve"> will not be displayed</w:t>
      </w:r>
      <w:r w:rsidR="003A461D" w:rsidRPr="001E0CCB">
        <w:t>.</w:t>
      </w:r>
    </w:p>
    <w:p w:rsidR="00CE574D" w:rsidRPr="00197335" w:rsidRDefault="00675EFA" w:rsidP="002F6419">
      <w:pPr>
        <w:spacing w:line="240" w:lineRule="auto"/>
      </w:pPr>
      <w:r>
        <w:t xml:space="preserve">The </w:t>
      </w:r>
      <w:r w:rsidR="00D04B70">
        <w:t xml:space="preserve">Patient Record </w:t>
      </w:r>
      <w:r w:rsidR="00C63F5B">
        <w:t>Security</w:t>
      </w:r>
      <w:r>
        <w:t xml:space="preserve"> Matrix </w:t>
      </w:r>
      <w:r w:rsidR="00F9319C">
        <w:t xml:space="preserve">at </w:t>
      </w:r>
      <w:r w:rsidR="00CE574D">
        <w:t>S</w:t>
      </w:r>
      <w:r w:rsidR="00F9319C">
        <w:t xml:space="preserve">ection </w:t>
      </w:r>
      <w:r w:rsidR="00F9319C">
        <w:fldChar w:fldCharType="begin"/>
      </w:r>
      <w:r w:rsidR="00F9319C">
        <w:instrText xml:space="preserve"> REF _Ref427223972 \r \h </w:instrText>
      </w:r>
      <w:r w:rsidR="00F9319C">
        <w:fldChar w:fldCharType="separate"/>
      </w:r>
      <w:r w:rsidR="00F9319C">
        <w:t>8.5</w:t>
      </w:r>
      <w:r w:rsidR="00F9319C">
        <w:fldChar w:fldCharType="end"/>
      </w:r>
      <w:r w:rsidR="00F9319C">
        <w:t xml:space="preserve"> illustrates</w:t>
      </w:r>
      <w:r>
        <w:t xml:space="preserve"> user </w:t>
      </w:r>
      <w:r w:rsidR="00F9319C">
        <w:t>permissions to view patient records.</w:t>
      </w:r>
      <w:r w:rsidR="00CE574D">
        <w:t xml:space="preserve"> </w:t>
      </w:r>
    </w:p>
    <w:p w:rsidR="002C1F45" w:rsidRDefault="002C1F45" w:rsidP="00524CC3">
      <w:pPr>
        <w:pStyle w:val="Heading2"/>
      </w:pPr>
      <w:bookmarkStart w:id="48" w:name="_Toc427236182"/>
      <w:bookmarkStart w:id="49" w:name="_Toc427236239"/>
      <w:bookmarkStart w:id="50" w:name="_Toc427238624"/>
      <w:bookmarkStart w:id="51" w:name="_Toc427238665"/>
      <w:bookmarkStart w:id="52" w:name="_Toc427238748"/>
      <w:bookmarkStart w:id="53" w:name="_Toc434574644"/>
      <w:bookmarkEnd w:id="48"/>
      <w:bookmarkEnd w:id="49"/>
      <w:bookmarkEnd w:id="50"/>
      <w:bookmarkEnd w:id="51"/>
      <w:bookmarkEnd w:id="52"/>
      <w:r>
        <w:lastRenderedPageBreak/>
        <w:t>Correction of personal information</w:t>
      </w:r>
      <w:bookmarkEnd w:id="53"/>
    </w:p>
    <w:p w:rsidR="009F25AD" w:rsidRDefault="002C6F7F" w:rsidP="0023655C">
      <w:pPr>
        <w:spacing w:after="240"/>
        <w:rPr>
          <w:lang w:eastAsia="en-AU"/>
        </w:rPr>
      </w:pPr>
      <w:r>
        <w:rPr>
          <w:lang w:eastAsia="en-AU"/>
        </w:rPr>
        <w:t xml:space="preserve">Authorised users will have permission to access and edit patient records to correct personal identifying information, such as misspelt </w:t>
      </w:r>
      <w:r w:rsidR="009F25AD">
        <w:rPr>
          <w:lang w:eastAsia="en-AU"/>
        </w:rPr>
        <w:t xml:space="preserve">names, date of birth errors, or </w:t>
      </w:r>
      <w:r w:rsidR="00A75CAB">
        <w:rPr>
          <w:lang w:eastAsia="en-AU"/>
        </w:rPr>
        <w:t>amendment/</w:t>
      </w:r>
      <w:r w:rsidR="009F25AD">
        <w:rPr>
          <w:lang w:eastAsia="en-AU"/>
        </w:rPr>
        <w:t>addition of hospital identifiers</w:t>
      </w:r>
      <w:r>
        <w:rPr>
          <w:lang w:eastAsia="en-AU"/>
        </w:rPr>
        <w:t>.</w:t>
      </w:r>
    </w:p>
    <w:p w:rsidR="000B5539" w:rsidRPr="006D3B39" w:rsidRDefault="009F25AD" w:rsidP="00197335">
      <w:pPr>
        <w:spacing w:after="240"/>
      </w:pPr>
      <w:r>
        <w:rPr>
          <w:lang w:eastAsia="en-AU"/>
        </w:rPr>
        <w:t>Patients</w:t>
      </w:r>
      <w:r w:rsidR="0023655C" w:rsidRPr="0023655C">
        <w:rPr>
          <w:lang w:eastAsia="en-AU"/>
        </w:rPr>
        <w:t xml:space="preserve"> </w:t>
      </w:r>
      <w:r w:rsidR="000B5539">
        <w:rPr>
          <w:lang w:eastAsia="en-AU"/>
        </w:rPr>
        <w:t xml:space="preserve">will </w:t>
      </w:r>
      <w:r w:rsidR="0023655C" w:rsidRPr="0023655C">
        <w:rPr>
          <w:lang w:eastAsia="en-AU"/>
        </w:rPr>
        <w:t xml:space="preserve">have the right to access and seek correction of </w:t>
      </w:r>
      <w:r w:rsidR="0023655C">
        <w:rPr>
          <w:lang w:eastAsia="en-AU"/>
        </w:rPr>
        <w:t>their</w:t>
      </w:r>
      <w:r w:rsidR="0023655C" w:rsidRPr="0023655C">
        <w:rPr>
          <w:lang w:eastAsia="en-AU"/>
        </w:rPr>
        <w:t xml:space="preserve"> personal information </w:t>
      </w:r>
      <w:r>
        <w:rPr>
          <w:lang w:eastAsia="en-AU"/>
        </w:rPr>
        <w:t>held in</w:t>
      </w:r>
      <w:r w:rsidR="0023655C" w:rsidRPr="0023655C">
        <w:rPr>
          <w:lang w:eastAsia="en-AU"/>
        </w:rPr>
        <w:t xml:space="preserve"> </w:t>
      </w:r>
      <w:proofErr w:type="spellStart"/>
      <w:r w:rsidR="001D735F">
        <w:rPr>
          <w:lang w:eastAsia="en-AU"/>
        </w:rPr>
        <w:t>BloodSTAR</w:t>
      </w:r>
      <w:proofErr w:type="spellEnd"/>
      <w:r w:rsidR="0023655C" w:rsidRPr="0023655C">
        <w:rPr>
          <w:lang w:eastAsia="en-AU"/>
        </w:rPr>
        <w:t>, in accordance with privacy laws.</w:t>
      </w:r>
      <w:r>
        <w:rPr>
          <w:lang w:eastAsia="en-AU"/>
        </w:rPr>
        <w:t xml:space="preserve"> </w:t>
      </w:r>
      <w:r w:rsidR="0023655C" w:rsidRPr="0023655C">
        <w:rPr>
          <w:lang w:eastAsia="en-AU"/>
        </w:rPr>
        <w:t xml:space="preserve"> </w:t>
      </w:r>
      <w:r w:rsidR="0023655C">
        <w:rPr>
          <w:lang w:eastAsia="en-AU"/>
        </w:rPr>
        <w:t xml:space="preserve">In order to access and correct information about themselves, they </w:t>
      </w:r>
      <w:r w:rsidR="000B5539">
        <w:rPr>
          <w:lang w:eastAsia="en-AU"/>
        </w:rPr>
        <w:t>will need to</w:t>
      </w:r>
      <w:r w:rsidR="0023655C">
        <w:rPr>
          <w:lang w:eastAsia="en-AU"/>
        </w:rPr>
        <w:t xml:space="preserve"> contact their</w:t>
      </w:r>
      <w:r w:rsidR="0023655C" w:rsidRPr="0023655C">
        <w:rPr>
          <w:lang w:eastAsia="en-AU"/>
        </w:rPr>
        <w:t xml:space="preserve"> regular place of treatment to </w:t>
      </w:r>
      <w:r w:rsidR="000D4AB5">
        <w:rPr>
          <w:lang w:eastAsia="en-AU"/>
        </w:rPr>
        <w:t>assess information held about them</w:t>
      </w:r>
      <w:r w:rsidR="000D4AB5" w:rsidRPr="0023655C">
        <w:rPr>
          <w:lang w:eastAsia="en-AU"/>
        </w:rPr>
        <w:t xml:space="preserve"> </w:t>
      </w:r>
      <w:r w:rsidR="0023655C" w:rsidRPr="0023655C">
        <w:rPr>
          <w:lang w:eastAsia="en-AU"/>
        </w:rPr>
        <w:t xml:space="preserve">and seek changes </w:t>
      </w:r>
      <w:r w:rsidR="000D4AB5">
        <w:rPr>
          <w:lang w:eastAsia="en-AU"/>
        </w:rPr>
        <w:t>as required</w:t>
      </w:r>
      <w:r w:rsidR="0023655C" w:rsidRPr="0023655C">
        <w:rPr>
          <w:lang w:eastAsia="en-AU"/>
        </w:rPr>
        <w:t xml:space="preserve">. </w:t>
      </w:r>
      <w:r w:rsidR="001D3BFA">
        <w:rPr>
          <w:lang w:eastAsia="en-AU"/>
        </w:rPr>
        <w:br/>
        <w:t xml:space="preserve">A </w:t>
      </w:r>
      <w:proofErr w:type="spellStart"/>
      <w:r w:rsidR="001D3BFA">
        <w:rPr>
          <w:lang w:eastAsia="en-AU"/>
        </w:rPr>
        <w:t>BloodSTAR</w:t>
      </w:r>
      <w:proofErr w:type="spellEnd"/>
      <w:r w:rsidR="001D3BFA">
        <w:rPr>
          <w:lang w:eastAsia="en-AU"/>
        </w:rPr>
        <w:t xml:space="preserve"> user will be able to provide patients with information, limited to their user permissions. </w:t>
      </w:r>
      <w:r w:rsidR="0023655C" w:rsidRPr="0023655C">
        <w:rPr>
          <w:lang w:eastAsia="en-AU"/>
        </w:rPr>
        <w:t xml:space="preserve">If </w:t>
      </w:r>
      <w:r w:rsidR="001D3BFA">
        <w:rPr>
          <w:lang w:eastAsia="en-AU"/>
        </w:rPr>
        <w:t xml:space="preserve">a patient is </w:t>
      </w:r>
      <w:r w:rsidR="0023655C" w:rsidRPr="0023655C">
        <w:rPr>
          <w:lang w:eastAsia="en-AU"/>
        </w:rPr>
        <w:t xml:space="preserve">unhappy with the response </w:t>
      </w:r>
      <w:r w:rsidR="0023655C">
        <w:rPr>
          <w:lang w:eastAsia="en-AU"/>
        </w:rPr>
        <w:t>they</w:t>
      </w:r>
      <w:r w:rsidR="0023655C" w:rsidRPr="0023655C">
        <w:rPr>
          <w:lang w:eastAsia="en-AU"/>
        </w:rPr>
        <w:t xml:space="preserve"> receive, </w:t>
      </w:r>
      <w:r w:rsidR="0023655C">
        <w:rPr>
          <w:lang w:eastAsia="en-AU"/>
        </w:rPr>
        <w:t>individuals</w:t>
      </w:r>
      <w:r w:rsidR="0023655C" w:rsidRPr="0023655C">
        <w:rPr>
          <w:lang w:eastAsia="en-AU"/>
        </w:rPr>
        <w:t xml:space="preserve"> </w:t>
      </w:r>
      <w:r w:rsidR="000B5539">
        <w:rPr>
          <w:lang w:eastAsia="en-AU"/>
        </w:rPr>
        <w:t>will be able to</w:t>
      </w:r>
      <w:r w:rsidR="0023655C" w:rsidRPr="0023655C">
        <w:rPr>
          <w:lang w:eastAsia="en-AU"/>
        </w:rPr>
        <w:t xml:space="preserve"> contact the privacy commissioner in </w:t>
      </w:r>
      <w:r w:rsidR="0023655C">
        <w:rPr>
          <w:lang w:eastAsia="en-AU"/>
        </w:rPr>
        <w:t>their</w:t>
      </w:r>
      <w:r w:rsidR="00C10E87">
        <w:rPr>
          <w:lang w:eastAsia="en-AU"/>
        </w:rPr>
        <w:t xml:space="preserve"> </w:t>
      </w:r>
      <w:r w:rsidR="00913AFC">
        <w:rPr>
          <w:lang w:eastAsia="en-AU"/>
        </w:rPr>
        <w:t>s</w:t>
      </w:r>
      <w:r w:rsidR="007C3A85">
        <w:rPr>
          <w:lang w:eastAsia="en-AU"/>
        </w:rPr>
        <w:t>tate/territory</w:t>
      </w:r>
      <w:r w:rsidR="0023655C" w:rsidRPr="0023655C">
        <w:rPr>
          <w:lang w:eastAsia="en-AU"/>
        </w:rPr>
        <w:t xml:space="preserve">. </w:t>
      </w:r>
      <w:r w:rsidR="0023655C">
        <w:rPr>
          <w:lang w:eastAsia="en-AU"/>
        </w:rPr>
        <w:t>They</w:t>
      </w:r>
      <w:r w:rsidR="0023655C" w:rsidRPr="0023655C">
        <w:rPr>
          <w:lang w:eastAsia="en-AU"/>
        </w:rPr>
        <w:t xml:space="preserve"> may also contact the NBA at </w:t>
      </w:r>
      <w:hyperlink r:id="rId18" w:history="1">
        <w:r w:rsidR="0023655C" w:rsidRPr="0023655C">
          <w:rPr>
            <w:lang w:eastAsia="en-AU"/>
          </w:rPr>
          <w:t>privacy@blood.gov.au</w:t>
        </w:r>
      </w:hyperlink>
      <w:r w:rsidR="0023655C" w:rsidRPr="0023655C">
        <w:rPr>
          <w:lang w:eastAsia="en-AU"/>
        </w:rPr>
        <w:t xml:space="preserve">. </w:t>
      </w:r>
    </w:p>
    <w:p w:rsidR="00A82D21" w:rsidRDefault="00A82D21" w:rsidP="00197335">
      <w:pPr>
        <w:pStyle w:val="Heading2"/>
      </w:pPr>
      <w:bookmarkStart w:id="54" w:name="_Toc434574645"/>
      <w:r>
        <w:t>Security</w:t>
      </w:r>
      <w:bookmarkEnd w:id="54"/>
    </w:p>
    <w:p w:rsidR="000D4AB5" w:rsidRDefault="001D735F" w:rsidP="009F25AD">
      <w:pPr>
        <w:spacing w:after="240"/>
        <w:rPr>
          <w:lang w:eastAsia="en-AU"/>
        </w:rPr>
      </w:pPr>
      <w:proofErr w:type="spellStart"/>
      <w:r>
        <w:rPr>
          <w:lang w:eastAsia="en-AU"/>
        </w:rPr>
        <w:t>BloodSTAR</w:t>
      </w:r>
      <w:proofErr w:type="spellEnd"/>
      <w:r>
        <w:rPr>
          <w:lang w:eastAsia="en-AU"/>
        </w:rPr>
        <w:t xml:space="preserve"> </w:t>
      </w:r>
      <w:r w:rsidR="001E113D" w:rsidRPr="009F25AD">
        <w:rPr>
          <w:lang w:eastAsia="en-AU"/>
        </w:rPr>
        <w:t xml:space="preserve">management and operation will be tightly controlled.  </w:t>
      </w:r>
      <w:r w:rsidR="00DB5E04">
        <w:rPr>
          <w:lang w:eastAsia="en-AU"/>
        </w:rPr>
        <w:t xml:space="preserve">The </w:t>
      </w:r>
      <w:r w:rsidR="001E113D" w:rsidRPr="009F25AD">
        <w:rPr>
          <w:lang w:eastAsia="en-AU"/>
        </w:rPr>
        <w:t xml:space="preserve">NBA </w:t>
      </w:r>
      <w:r w:rsidR="00DB5E04">
        <w:rPr>
          <w:lang w:eastAsia="en-AU"/>
        </w:rPr>
        <w:t>has</w:t>
      </w:r>
      <w:r w:rsidR="001E113D" w:rsidRPr="009F25AD">
        <w:rPr>
          <w:lang w:eastAsia="en-AU"/>
        </w:rPr>
        <w:t xml:space="preserve"> </w:t>
      </w:r>
      <w:r w:rsidR="00DB5E04">
        <w:rPr>
          <w:lang w:eastAsia="en-AU"/>
        </w:rPr>
        <w:t>implemented</w:t>
      </w:r>
      <w:r w:rsidR="00F628AB">
        <w:rPr>
          <w:lang w:eastAsia="en-AU"/>
        </w:rPr>
        <w:t xml:space="preserve"> </w:t>
      </w:r>
      <w:r w:rsidR="001E113D" w:rsidRPr="009F25AD">
        <w:rPr>
          <w:lang w:eastAsia="en-AU"/>
        </w:rPr>
        <w:t>the highest levels of security available in Australia</w:t>
      </w:r>
      <w:r w:rsidR="00DB5E04">
        <w:rPr>
          <w:lang w:eastAsia="en-AU"/>
        </w:rPr>
        <w:t xml:space="preserve"> for its systems</w:t>
      </w:r>
      <w:r w:rsidR="001E113D" w:rsidRPr="009F25AD">
        <w:rPr>
          <w:lang w:eastAsia="en-AU"/>
        </w:rPr>
        <w:t xml:space="preserve">, housed in a highly secure data centre in Canberra.  Stringent security protocols will be built into the system to control access to personal information.  </w:t>
      </w:r>
      <w:r w:rsidR="007D28E7" w:rsidRPr="009F25AD">
        <w:rPr>
          <w:lang w:eastAsia="en-AU"/>
        </w:rPr>
        <w:t xml:space="preserve">All reasonable steps will be taken to protect personal information from misuse, interference and loss, and from unauthorised access, modification or disclosure.  </w:t>
      </w:r>
      <w:r w:rsidR="00C72E08" w:rsidRPr="009F25AD">
        <w:rPr>
          <w:lang w:eastAsia="en-AU"/>
        </w:rPr>
        <w:t xml:space="preserve">Personal </w:t>
      </w:r>
      <w:r w:rsidR="002431ED" w:rsidRPr="009F25AD">
        <w:rPr>
          <w:lang w:eastAsia="en-AU"/>
        </w:rPr>
        <w:t xml:space="preserve">and sensitive </w:t>
      </w:r>
      <w:r w:rsidR="00C72E08" w:rsidRPr="009F25AD">
        <w:rPr>
          <w:lang w:eastAsia="en-AU"/>
        </w:rPr>
        <w:t xml:space="preserve">information will only be stored on a password protected ICT system which complies with the Australian Government Protective Security Policy Framework. This includes ensuring that information is only accessed by authorised users that require access to undertake their official functions and roles. </w:t>
      </w:r>
      <w:r w:rsidR="00273BDC" w:rsidRPr="009F25AD">
        <w:rPr>
          <w:lang w:eastAsia="en-AU"/>
        </w:rPr>
        <w:t xml:space="preserve"> </w:t>
      </w:r>
    </w:p>
    <w:p w:rsidR="00A82D21" w:rsidRDefault="00273BDC" w:rsidP="00A82D21">
      <w:pPr>
        <w:pStyle w:val="ListNumber"/>
        <w:numPr>
          <w:ilvl w:val="0"/>
          <w:numId w:val="0"/>
        </w:numPr>
      </w:pPr>
      <w:r w:rsidRPr="009F25AD">
        <w:rPr>
          <w:lang w:eastAsia="en-AU"/>
        </w:rPr>
        <w:t xml:space="preserve">Users of </w:t>
      </w:r>
      <w:proofErr w:type="spellStart"/>
      <w:r w:rsidR="001D735F">
        <w:rPr>
          <w:lang w:eastAsia="en-AU"/>
        </w:rPr>
        <w:t>BloodSTAR</w:t>
      </w:r>
      <w:proofErr w:type="spellEnd"/>
      <w:r w:rsidRPr="009F25AD">
        <w:rPr>
          <w:lang w:eastAsia="en-AU"/>
        </w:rPr>
        <w:t xml:space="preserve"> will therefore </w:t>
      </w:r>
      <w:r w:rsidR="000D4AB5">
        <w:rPr>
          <w:lang w:eastAsia="en-AU"/>
        </w:rPr>
        <w:t>be required to use</w:t>
      </w:r>
      <w:r w:rsidR="000D4AB5" w:rsidRPr="009F25AD">
        <w:rPr>
          <w:lang w:eastAsia="en-AU"/>
        </w:rPr>
        <w:t xml:space="preserve"> </w:t>
      </w:r>
      <w:r w:rsidRPr="009F25AD">
        <w:rPr>
          <w:lang w:eastAsia="en-AU"/>
        </w:rPr>
        <w:t xml:space="preserve">unique </w:t>
      </w:r>
      <w:r w:rsidR="00B94FEE">
        <w:rPr>
          <w:lang w:eastAsia="en-AU"/>
        </w:rPr>
        <w:t>user credentials</w:t>
      </w:r>
      <w:r w:rsidR="005A7F8B" w:rsidRPr="009F25AD">
        <w:rPr>
          <w:lang w:eastAsia="en-AU"/>
        </w:rPr>
        <w:t xml:space="preserve"> for logging in to the system</w:t>
      </w:r>
      <w:r w:rsidRPr="009F25AD">
        <w:rPr>
          <w:lang w:eastAsia="en-AU"/>
        </w:rPr>
        <w:t xml:space="preserve">.  </w:t>
      </w:r>
      <w:r w:rsidR="00A82D21" w:rsidRPr="009F25AD">
        <w:rPr>
          <w:lang w:eastAsia="en-AU"/>
        </w:rPr>
        <w:t xml:space="preserve">The NBA combines the use of </w:t>
      </w:r>
      <w:r w:rsidR="00B94FEE">
        <w:rPr>
          <w:lang w:eastAsia="en-AU"/>
        </w:rPr>
        <w:t xml:space="preserve">a </w:t>
      </w:r>
      <w:r w:rsidR="00A82D21" w:rsidRPr="009F25AD">
        <w:rPr>
          <w:lang w:eastAsia="en-AU"/>
        </w:rPr>
        <w:t xml:space="preserve">unique user </w:t>
      </w:r>
      <w:r w:rsidR="00B94FEE">
        <w:rPr>
          <w:lang w:eastAsia="en-AU"/>
        </w:rPr>
        <w:t xml:space="preserve">name </w:t>
      </w:r>
      <w:r w:rsidR="00A82D21" w:rsidRPr="009F25AD">
        <w:rPr>
          <w:lang w:eastAsia="en-AU"/>
        </w:rPr>
        <w:t xml:space="preserve">and password as a means of identifying and authenticating users.  </w:t>
      </w:r>
      <w:r w:rsidR="00A82D21">
        <w:t>A</w:t>
      </w:r>
      <w:r w:rsidR="00A82D21" w:rsidRPr="00215333">
        <w:t xml:space="preserve">uthorised users </w:t>
      </w:r>
      <w:r w:rsidR="00A82D21">
        <w:t xml:space="preserve">will be authenticated at the location at which they carry out their usual responsibilities.  </w:t>
      </w:r>
      <w:r w:rsidR="00A82D21" w:rsidRPr="003B0A55">
        <w:t xml:space="preserve">An audit log </w:t>
      </w:r>
      <w:r w:rsidR="00A82D21">
        <w:t>will be</w:t>
      </w:r>
      <w:r w:rsidR="00A82D21" w:rsidRPr="003B0A55">
        <w:t xml:space="preserve"> </w:t>
      </w:r>
      <w:r w:rsidR="00A82D21">
        <w:t>monitored</w:t>
      </w:r>
      <w:r w:rsidR="00A82D21" w:rsidRPr="003B0A55">
        <w:t xml:space="preserve"> to ensure </w:t>
      </w:r>
      <w:r w:rsidR="00B94FEE">
        <w:t xml:space="preserve">the </w:t>
      </w:r>
      <w:r w:rsidR="00A82D21" w:rsidRPr="003B0A55">
        <w:t xml:space="preserve">appropriate use of </w:t>
      </w:r>
      <w:proofErr w:type="spellStart"/>
      <w:r w:rsidR="00A82D21">
        <w:t>BloodSTAR</w:t>
      </w:r>
      <w:proofErr w:type="spellEnd"/>
      <w:r w:rsidR="00A82D21" w:rsidRPr="003B0A55">
        <w:t xml:space="preserve"> and so </w:t>
      </w:r>
      <w:r w:rsidR="00A82D21">
        <w:t>that the NBA</w:t>
      </w:r>
      <w:r w:rsidR="00A82D21" w:rsidRPr="003B0A55">
        <w:t xml:space="preserve"> can identify unauthorised behaviour. </w:t>
      </w:r>
      <w:r w:rsidR="00A82D21">
        <w:t xml:space="preserve"> </w:t>
      </w:r>
      <w:proofErr w:type="spellStart"/>
      <w:r w:rsidR="00A82D21">
        <w:t>BloodSTAR</w:t>
      </w:r>
      <w:proofErr w:type="spellEnd"/>
      <w:r w:rsidR="00A82D21" w:rsidRPr="003B0A55">
        <w:t xml:space="preserve"> </w:t>
      </w:r>
      <w:r w:rsidR="00A82D21">
        <w:t>will be</w:t>
      </w:r>
      <w:r w:rsidR="00A82D21" w:rsidRPr="003B0A55">
        <w:t xml:space="preserve"> physically located in a secure data centre in Australia. </w:t>
      </w:r>
      <w:r w:rsidR="00A82D21">
        <w:t>The NBA</w:t>
      </w:r>
      <w:r w:rsidR="00A82D21" w:rsidRPr="003B0A55">
        <w:t xml:space="preserve"> will not pass on personal information to anyone without consent, unless the law permits </w:t>
      </w:r>
      <w:r w:rsidR="00A82D21">
        <w:t>or requires it to do so</w:t>
      </w:r>
      <w:r w:rsidR="00A82D21" w:rsidRPr="003B0A55">
        <w:t xml:space="preserve">. These procedures protect information from unauthorised access, interference, alteration, </w:t>
      </w:r>
      <w:r w:rsidR="00A82D21">
        <w:t xml:space="preserve">or </w:t>
      </w:r>
      <w:r w:rsidR="00A82D21" w:rsidRPr="003B0A55">
        <w:t>loss or disclosure</w:t>
      </w:r>
      <w:r w:rsidR="00A82D21">
        <w:t>, or misuse</w:t>
      </w:r>
      <w:r w:rsidR="00A82D21" w:rsidRPr="003B0A55">
        <w:t xml:space="preserve">. </w:t>
      </w:r>
    </w:p>
    <w:p w:rsidR="005A7F8B" w:rsidRPr="009F25AD" w:rsidRDefault="005A7F8B" w:rsidP="009F25AD">
      <w:pPr>
        <w:spacing w:after="240"/>
        <w:rPr>
          <w:lang w:eastAsia="en-AU"/>
        </w:rPr>
      </w:pPr>
      <w:r w:rsidRPr="009F25AD">
        <w:rPr>
          <w:lang w:eastAsia="en-AU"/>
        </w:rPr>
        <w:t xml:space="preserve">Consistent with Information Security Manual (ISM) requirements the NBA applies password selection and management mechanisms, such as using change cycles and prescribing password length and complexity. </w:t>
      </w:r>
      <w:r w:rsidR="00B15FC3">
        <w:rPr>
          <w:lang w:eastAsia="en-AU"/>
        </w:rPr>
        <w:t xml:space="preserve">Password changes will be enforced every 180 days. </w:t>
      </w:r>
      <w:r w:rsidRPr="009F25AD">
        <w:rPr>
          <w:lang w:eastAsia="en-AU"/>
        </w:rPr>
        <w:t xml:space="preserve">Password length must be a minimum of nine (9) characters, consisting of at least one (1) character from at least three (3) of the following character sets: </w:t>
      </w:r>
    </w:p>
    <w:p w:rsidR="005A7F8B" w:rsidRPr="005A7F8B" w:rsidRDefault="005A7F8B" w:rsidP="00817CDC">
      <w:pPr>
        <w:pStyle w:val="ListParagraph"/>
        <w:numPr>
          <w:ilvl w:val="0"/>
          <w:numId w:val="13"/>
        </w:numPr>
        <w:autoSpaceDE w:val="0"/>
        <w:autoSpaceDN w:val="0"/>
        <w:adjustRightInd w:val="0"/>
        <w:spacing w:after="0" w:line="240" w:lineRule="auto"/>
        <w:rPr>
          <w:lang w:eastAsia="en-AU"/>
        </w:rPr>
      </w:pPr>
      <w:proofErr w:type="gramStart"/>
      <w:r w:rsidRPr="005A7F8B">
        <w:rPr>
          <w:lang w:eastAsia="en-AU"/>
        </w:rPr>
        <w:t>lower</w:t>
      </w:r>
      <w:proofErr w:type="gramEnd"/>
      <w:r w:rsidRPr="005A7F8B">
        <w:rPr>
          <w:lang w:eastAsia="en-AU"/>
        </w:rPr>
        <w:t xml:space="preserve"> case characters (a-z). </w:t>
      </w:r>
    </w:p>
    <w:p w:rsidR="005A7F8B" w:rsidRPr="005A7F8B" w:rsidRDefault="005A7F8B" w:rsidP="00817CDC">
      <w:pPr>
        <w:pStyle w:val="ListParagraph"/>
        <w:numPr>
          <w:ilvl w:val="0"/>
          <w:numId w:val="13"/>
        </w:numPr>
        <w:autoSpaceDE w:val="0"/>
        <w:autoSpaceDN w:val="0"/>
        <w:adjustRightInd w:val="0"/>
        <w:spacing w:after="0" w:line="240" w:lineRule="auto"/>
        <w:rPr>
          <w:lang w:eastAsia="en-AU"/>
        </w:rPr>
      </w:pPr>
      <w:proofErr w:type="gramStart"/>
      <w:r w:rsidRPr="005A7F8B">
        <w:rPr>
          <w:lang w:eastAsia="en-AU"/>
        </w:rPr>
        <w:t>uppercase</w:t>
      </w:r>
      <w:proofErr w:type="gramEnd"/>
      <w:r w:rsidRPr="005A7F8B">
        <w:rPr>
          <w:lang w:eastAsia="en-AU"/>
        </w:rPr>
        <w:t xml:space="preserve"> characters (A-Z). </w:t>
      </w:r>
    </w:p>
    <w:p w:rsidR="005A7F8B" w:rsidRPr="005A7F8B" w:rsidRDefault="005A7F8B" w:rsidP="00817CDC">
      <w:pPr>
        <w:pStyle w:val="ListParagraph"/>
        <w:numPr>
          <w:ilvl w:val="0"/>
          <w:numId w:val="13"/>
        </w:numPr>
        <w:autoSpaceDE w:val="0"/>
        <w:autoSpaceDN w:val="0"/>
        <w:adjustRightInd w:val="0"/>
        <w:spacing w:after="0" w:line="240" w:lineRule="auto"/>
        <w:rPr>
          <w:lang w:eastAsia="en-AU"/>
        </w:rPr>
      </w:pPr>
      <w:proofErr w:type="gramStart"/>
      <w:r w:rsidRPr="005A7F8B">
        <w:rPr>
          <w:lang w:eastAsia="en-AU"/>
        </w:rPr>
        <w:t>digits</w:t>
      </w:r>
      <w:proofErr w:type="gramEnd"/>
      <w:r w:rsidRPr="005A7F8B">
        <w:rPr>
          <w:lang w:eastAsia="en-AU"/>
        </w:rPr>
        <w:t xml:space="preserve"> (0-9). </w:t>
      </w:r>
    </w:p>
    <w:p w:rsidR="005A7F8B" w:rsidRDefault="005A7F8B" w:rsidP="00817CDC">
      <w:pPr>
        <w:pStyle w:val="ListParagraph"/>
        <w:numPr>
          <w:ilvl w:val="0"/>
          <w:numId w:val="13"/>
        </w:numPr>
        <w:autoSpaceDE w:val="0"/>
        <w:autoSpaceDN w:val="0"/>
        <w:adjustRightInd w:val="0"/>
        <w:spacing w:after="0" w:line="240" w:lineRule="auto"/>
        <w:rPr>
          <w:lang w:eastAsia="en-AU"/>
        </w:rPr>
      </w:pPr>
      <w:proofErr w:type="gramStart"/>
      <w:r w:rsidRPr="005A7F8B">
        <w:rPr>
          <w:lang w:eastAsia="en-AU"/>
        </w:rPr>
        <w:t>punctuation</w:t>
      </w:r>
      <w:proofErr w:type="gramEnd"/>
      <w:r w:rsidRPr="005A7F8B">
        <w:rPr>
          <w:lang w:eastAsia="en-AU"/>
        </w:rPr>
        <w:t xml:space="preserve"> and special c</w:t>
      </w:r>
      <w:r>
        <w:rPr>
          <w:lang w:eastAsia="en-AU"/>
        </w:rPr>
        <w:t>haracters (</w:t>
      </w:r>
      <w:r w:rsidR="00B15FC3">
        <w:rPr>
          <w:lang w:eastAsia="en-AU"/>
        </w:rPr>
        <w:t>e.g.</w:t>
      </w:r>
      <w:r>
        <w:rPr>
          <w:lang w:eastAsia="en-AU"/>
        </w:rPr>
        <w:t xml:space="preserve"> ! @ # $ % ^ &amp; *).</w:t>
      </w:r>
    </w:p>
    <w:p w:rsidR="008F63F2" w:rsidRDefault="008F63F2" w:rsidP="008F63F2">
      <w:pPr>
        <w:autoSpaceDE w:val="0"/>
        <w:autoSpaceDN w:val="0"/>
        <w:adjustRightInd w:val="0"/>
        <w:spacing w:after="0" w:line="240" w:lineRule="auto"/>
        <w:rPr>
          <w:lang w:eastAsia="en-AU"/>
        </w:rPr>
      </w:pPr>
    </w:p>
    <w:p w:rsidR="007D28E7" w:rsidRPr="009F25AD" w:rsidRDefault="00C72E08" w:rsidP="009F25AD">
      <w:pPr>
        <w:spacing w:after="240"/>
        <w:rPr>
          <w:lang w:eastAsia="en-AU"/>
        </w:rPr>
      </w:pPr>
      <w:r w:rsidRPr="009F25AD">
        <w:rPr>
          <w:lang w:eastAsia="en-AU"/>
        </w:rPr>
        <w:lastRenderedPageBreak/>
        <w:t>Personal</w:t>
      </w:r>
      <w:r w:rsidR="00273BDC" w:rsidRPr="009F25AD">
        <w:rPr>
          <w:lang w:eastAsia="en-AU"/>
        </w:rPr>
        <w:t xml:space="preserve"> and sensitive</w:t>
      </w:r>
      <w:r w:rsidRPr="009F25AD">
        <w:rPr>
          <w:lang w:eastAsia="en-AU"/>
        </w:rPr>
        <w:t xml:space="preserve"> information will only be stored within Australia and will not be stored in a </w:t>
      </w:r>
      <w:r w:rsidR="00164DFE">
        <w:rPr>
          <w:lang w:eastAsia="en-AU"/>
        </w:rPr>
        <w:t>C</w:t>
      </w:r>
      <w:r w:rsidRPr="009F25AD">
        <w:rPr>
          <w:lang w:eastAsia="en-AU"/>
        </w:rPr>
        <w:t xml:space="preserve">loud.  </w:t>
      </w:r>
      <w:r w:rsidR="007D28E7" w:rsidRPr="009F25AD">
        <w:rPr>
          <w:lang w:eastAsia="en-AU"/>
        </w:rPr>
        <w:t>Weekly back-ups of data will be encrypted and held off-site by a provider that is endorsed by the Australian Signals Directorate.  All technical support staff approved to have access to the system will be security cleared by the government agency that provides security clearances for the Department of Defence</w:t>
      </w:r>
      <w:r w:rsidR="000F5173">
        <w:rPr>
          <w:lang w:eastAsia="en-AU"/>
        </w:rPr>
        <w:t xml:space="preserve"> and will undergo formal Privacy Training</w:t>
      </w:r>
      <w:r w:rsidR="007D28E7" w:rsidRPr="009F25AD">
        <w:rPr>
          <w:lang w:eastAsia="en-AU"/>
        </w:rPr>
        <w:t>.</w:t>
      </w:r>
    </w:p>
    <w:p w:rsidR="001E113D" w:rsidRPr="009F25AD" w:rsidRDefault="001E113D" w:rsidP="009F25AD">
      <w:pPr>
        <w:spacing w:after="240"/>
        <w:rPr>
          <w:lang w:eastAsia="en-AU"/>
        </w:rPr>
      </w:pPr>
      <w:r w:rsidRPr="009F25AD">
        <w:rPr>
          <w:lang w:eastAsia="en-AU"/>
        </w:rPr>
        <w:t xml:space="preserve">The ICT production environment for the </w:t>
      </w:r>
      <w:r w:rsidR="007D28E7" w:rsidRPr="009F25AD">
        <w:rPr>
          <w:lang w:eastAsia="en-AU"/>
        </w:rPr>
        <w:t>system</w:t>
      </w:r>
      <w:r w:rsidRPr="009F25AD">
        <w:rPr>
          <w:lang w:eastAsia="en-AU"/>
        </w:rPr>
        <w:t xml:space="preserve"> is hosted by the </w:t>
      </w:r>
      <w:r w:rsidR="007D28E7" w:rsidRPr="009F25AD">
        <w:rPr>
          <w:lang w:eastAsia="en-AU"/>
        </w:rPr>
        <w:t>NBA</w:t>
      </w:r>
      <w:r w:rsidRPr="009F25AD">
        <w:rPr>
          <w:lang w:eastAsia="en-AU"/>
        </w:rPr>
        <w:t xml:space="preserve"> in a highly secure data centre in Canberra which has been certified by both the Defence Signals Directorate (who provide ICT security services for the Australian Government) and the Australian Security Intelligence Organisation (</w:t>
      </w:r>
      <w:proofErr w:type="spellStart"/>
      <w:r w:rsidRPr="009F25AD">
        <w:rPr>
          <w:lang w:eastAsia="en-AU"/>
        </w:rPr>
        <w:t>ASIO</w:t>
      </w:r>
      <w:proofErr w:type="spellEnd"/>
      <w:r w:rsidRPr="009F25AD">
        <w:rPr>
          <w:lang w:eastAsia="en-AU"/>
        </w:rPr>
        <w:t xml:space="preserve">, T4 Branch). The same data centre hosts a range of other government agencies including the </w:t>
      </w:r>
      <w:r w:rsidR="00B15FC3">
        <w:rPr>
          <w:lang w:eastAsia="en-AU"/>
        </w:rPr>
        <w:t>Australian Federal Policy</w:t>
      </w:r>
      <w:r w:rsidR="00B15FC3" w:rsidRPr="009F25AD">
        <w:rPr>
          <w:lang w:eastAsia="en-AU"/>
        </w:rPr>
        <w:t xml:space="preserve"> </w:t>
      </w:r>
      <w:r w:rsidRPr="009F25AD">
        <w:rPr>
          <w:lang w:eastAsia="en-AU"/>
        </w:rPr>
        <w:t xml:space="preserve">and the Department of Human Services (i.e. Medicare, Centrelink, Family Assistance Office </w:t>
      </w:r>
      <w:proofErr w:type="spellStart"/>
      <w:r w:rsidRPr="009F25AD">
        <w:rPr>
          <w:lang w:eastAsia="en-AU"/>
        </w:rPr>
        <w:t>etc</w:t>
      </w:r>
      <w:proofErr w:type="spellEnd"/>
      <w:r w:rsidRPr="009F25AD">
        <w:rPr>
          <w:lang w:eastAsia="en-AU"/>
        </w:rPr>
        <w:t>).</w:t>
      </w:r>
    </w:p>
    <w:p w:rsidR="001E113D" w:rsidRPr="009F25AD" w:rsidRDefault="001E113D" w:rsidP="009F25AD">
      <w:pPr>
        <w:spacing w:after="240"/>
        <w:rPr>
          <w:lang w:eastAsia="en-AU"/>
        </w:rPr>
      </w:pPr>
      <w:r w:rsidRPr="009F25AD">
        <w:rPr>
          <w:lang w:eastAsia="en-AU"/>
        </w:rPr>
        <w:t xml:space="preserve">The ICT development environment and online replica of all database data is hosted in the NBA’s secure offices inside a triple-layer access controlled area which exceeds the relevant </w:t>
      </w:r>
      <w:proofErr w:type="spellStart"/>
      <w:r w:rsidRPr="009F25AD">
        <w:rPr>
          <w:lang w:eastAsia="en-AU"/>
        </w:rPr>
        <w:t>ASIO</w:t>
      </w:r>
      <w:proofErr w:type="spellEnd"/>
      <w:r w:rsidRPr="009F25AD">
        <w:rPr>
          <w:lang w:eastAsia="en-AU"/>
        </w:rPr>
        <w:t xml:space="preserve"> T4 branch requirements.  Off-site back-ups of the </w:t>
      </w:r>
      <w:r w:rsidR="00C72E08" w:rsidRPr="009F25AD">
        <w:rPr>
          <w:lang w:eastAsia="en-AU"/>
        </w:rPr>
        <w:t>system</w:t>
      </w:r>
      <w:r w:rsidRPr="009F25AD">
        <w:rPr>
          <w:lang w:eastAsia="en-AU"/>
        </w:rPr>
        <w:t xml:space="preserve"> on magnetic tape are produced weekly and held off-site by an </w:t>
      </w:r>
      <w:proofErr w:type="spellStart"/>
      <w:r w:rsidRPr="009F25AD">
        <w:rPr>
          <w:lang w:eastAsia="en-AU"/>
        </w:rPr>
        <w:t>ASIO</w:t>
      </w:r>
      <w:proofErr w:type="spellEnd"/>
      <w:r w:rsidRPr="009F25AD">
        <w:rPr>
          <w:lang w:eastAsia="en-AU"/>
        </w:rPr>
        <w:t xml:space="preserve"> T4 endorsed provider with all tape contents encrypted at 256 bits.</w:t>
      </w:r>
    </w:p>
    <w:p w:rsidR="001E113D" w:rsidRPr="009F25AD" w:rsidRDefault="001E113D" w:rsidP="009F25AD">
      <w:pPr>
        <w:spacing w:after="240"/>
        <w:rPr>
          <w:lang w:eastAsia="en-AU"/>
        </w:rPr>
      </w:pPr>
      <w:r w:rsidRPr="009F25AD">
        <w:rPr>
          <w:lang w:eastAsia="en-AU"/>
        </w:rPr>
        <w:t>The National Blood Authority’s ICT systems, including the arrangements for the registry, meet or exceed the mandatory requirements for an UNCLASSIFIED (G) system in the Australian Signals Directorate’s Information Security Manual (ISM).</w:t>
      </w:r>
    </w:p>
    <w:p w:rsidR="001E113D" w:rsidRPr="009F25AD" w:rsidRDefault="001E113D" w:rsidP="009F25AD">
      <w:pPr>
        <w:spacing w:after="240"/>
        <w:rPr>
          <w:lang w:eastAsia="en-AU"/>
        </w:rPr>
      </w:pPr>
      <w:r w:rsidRPr="009F25AD">
        <w:rPr>
          <w:lang w:eastAsia="en-AU"/>
        </w:rPr>
        <w:t xml:space="preserve">All </w:t>
      </w:r>
      <w:r w:rsidR="00C72E08" w:rsidRPr="009F25AD">
        <w:rPr>
          <w:lang w:eastAsia="en-AU"/>
        </w:rPr>
        <w:t xml:space="preserve">NBA </w:t>
      </w:r>
      <w:r w:rsidRPr="009F25AD">
        <w:rPr>
          <w:lang w:eastAsia="en-AU"/>
        </w:rPr>
        <w:t>users with privileged access (</w:t>
      </w:r>
      <w:proofErr w:type="spellStart"/>
      <w:r w:rsidRPr="009F25AD">
        <w:rPr>
          <w:lang w:eastAsia="en-AU"/>
        </w:rPr>
        <w:t>ie</w:t>
      </w:r>
      <w:proofErr w:type="spellEnd"/>
      <w:r w:rsidRPr="009F25AD">
        <w:rPr>
          <w:lang w:eastAsia="en-AU"/>
        </w:rPr>
        <w:t xml:space="preserve"> system administrators, ICT support staff and software developers) have security clearances at or above ‘Negative Vetting, Level 1’ issued by the Australian Government Security Vetting Agency.</w:t>
      </w:r>
    </w:p>
    <w:p w:rsidR="00C72E08" w:rsidRDefault="00C72E08" w:rsidP="009F25AD">
      <w:pPr>
        <w:spacing w:after="240"/>
        <w:rPr>
          <w:lang w:eastAsia="en-AU"/>
        </w:rPr>
      </w:pPr>
      <w:r w:rsidRPr="009F25AD">
        <w:rPr>
          <w:lang w:eastAsia="en-AU"/>
        </w:rPr>
        <w:t>A series of firewalls and associated security devices protect the data and the primary firewalls are monitored 24/7 real-time by the Defence Signals Directorate’s Cyber Security Operations Centre (</w:t>
      </w:r>
      <w:proofErr w:type="spellStart"/>
      <w:r w:rsidRPr="009F25AD">
        <w:rPr>
          <w:lang w:eastAsia="en-AU"/>
        </w:rPr>
        <w:t>CSOC</w:t>
      </w:r>
      <w:proofErr w:type="spellEnd"/>
      <w:r w:rsidRPr="009F25AD">
        <w:rPr>
          <w:lang w:eastAsia="en-AU"/>
        </w:rPr>
        <w:t xml:space="preserve">).   The database and reporting servers sit behind the primary and secondary fire-walls and so the </w:t>
      </w:r>
      <w:r w:rsidR="00B15FC3">
        <w:rPr>
          <w:lang w:eastAsia="en-AU"/>
        </w:rPr>
        <w:t>likelihood</w:t>
      </w:r>
      <w:r w:rsidR="00B15FC3" w:rsidRPr="009F25AD">
        <w:rPr>
          <w:lang w:eastAsia="en-AU"/>
        </w:rPr>
        <w:t xml:space="preserve"> </w:t>
      </w:r>
      <w:r w:rsidRPr="009F25AD">
        <w:rPr>
          <w:lang w:eastAsia="en-AU"/>
        </w:rPr>
        <w:t>of an intruder to compromise the system and reporting servers is very low.</w:t>
      </w:r>
    </w:p>
    <w:p w:rsidR="00554127" w:rsidRPr="009F25AD" w:rsidRDefault="00B8154D" w:rsidP="009F25AD">
      <w:pPr>
        <w:spacing w:after="240"/>
        <w:rPr>
          <w:lang w:eastAsia="en-AU"/>
        </w:rPr>
      </w:pPr>
      <w:r>
        <w:rPr>
          <w:lang w:eastAsia="en-AU"/>
        </w:rPr>
        <w:t>Information identifying patients in alerts to clinicians can only be sent as an encrypted message external to the system’s firewalls where decryption by the recipient is possible.  The NBA will leverage Opportunistic TLS capability to improve the dissemination of information to clinicians into the future.</w:t>
      </w:r>
    </w:p>
    <w:p w:rsidR="007D28E7" w:rsidRDefault="007D28E7" w:rsidP="009F25AD">
      <w:pPr>
        <w:spacing w:after="240"/>
        <w:rPr>
          <w:lang w:eastAsia="en-AU"/>
        </w:rPr>
      </w:pPr>
      <w:r w:rsidRPr="009A1497">
        <w:rPr>
          <w:lang w:eastAsia="en-AU"/>
        </w:rPr>
        <w:t xml:space="preserve">If there is a security breach, </w:t>
      </w:r>
      <w:r w:rsidR="000D4F27" w:rsidRPr="009A1497">
        <w:rPr>
          <w:lang w:eastAsia="en-AU"/>
        </w:rPr>
        <w:t xml:space="preserve">the NBA will respond in accordance with </w:t>
      </w:r>
      <w:r w:rsidR="00EE4013" w:rsidRPr="009A1497">
        <w:rPr>
          <w:lang w:eastAsia="en-AU"/>
        </w:rPr>
        <w:t xml:space="preserve">the NBA’s Data </w:t>
      </w:r>
      <w:r w:rsidR="00861BD9" w:rsidRPr="009A1497">
        <w:rPr>
          <w:lang w:eastAsia="en-AU"/>
        </w:rPr>
        <w:t xml:space="preserve">and Information </w:t>
      </w:r>
      <w:r w:rsidR="00EE4013" w:rsidRPr="009A1497">
        <w:rPr>
          <w:lang w:eastAsia="en-AU"/>
        </w:rPr>
        <w:t>Governance Framework</w:t>
      </w:r>
      <w:r w:rsidR="00861BD9" w:rsidRPr="009A1497">
        <w:rPr>
          <w:lang w:eastAsia="en-AU"/>
        </w:rPr>
        <w:t>.</w:t>
      </w:r>
      <w:r w:rsidR="00EE4013" w:rsidRPr="009A1497">
        <w:rPr>
          <w:lang w:eastAsia="en-AU"/>
        </w:rPr>
        <w:t xml:space="preserve"> </w:t>
      </w:r>
      <w:r w:rsidR="00A82D21" w:rsidRPr="009A1497">
        <w:rPr>
          <w:lang w:eastAsia="en-AU"/>
        </w:rPr>
        <w:t xml:space="preserve">Investigation of a suspected security breach will be initiated </w:t>
      </w:r>
      <w:r w:rsidR="00781FC0" w:rsidRPr="009A1497">
        <w:rPr>
          <w:lang w:eastAsia="en-AU"/>
        </w:rPr>
        <w:t>as</w:t>
      </w:r>
      <w:r w:rsidR="00781FC0">
        <w:rPr>
          <w:lang w:eastAsia="en-AU"/>
        </w:rPr>
        <w:t xml:space="preserve"> </w:t>
      </w:r>
      <w:r w:rsidR="00A82D21">
        <w:rPr>
          <w:lang w:eastAsia="en-AU"/>
        </w:rPr>
        <w:t xml:space="preserve">close </w:t>
      </w:r>
      <w:r w:rsidR="00781FC0">
        <w:rPr>
          <w:lang w:eastAsia="en-AU"/>
        </w:rPr>
        <w:t xml:space="preserve">as possible </w:t>
      </w:r>
      <w:r w:rsidR="00A82D21">
        <w:rPr>
          <w:lang w:eastAsia="en-AU"/>
        </w:rPr>
        <w:t xml:space="preserve">to the </w:t>
      </w:r>
      <w:r w:rsidR="00781FC0">
        <w:rPr>
          <w:lang w:eastAsia="en-AU"/>
        </w:rPr>
        <w:t xml:space="preserve">time that the suspected security breach was discovered. </w:t>
      </w:r>
    </w:p>
    <w:p w:rsidR="00F12985" w:rsidRPr="003E46F6" w:rsidRDefault="00F12985" w:rsidP="00F12985">
      <w:r>
        <w:t xml:space="preserve">The retention of data in </w:t>
      </w:r>
      <w:proofErr w:type="spellStart"/>
      <w:r w:rsidR="001D735F">
        <w:t>BloodSTAR</w:t>
      </w:r>
      <w:proofErr w:type="spellEnd"/>
      <w:r>
        <w:t xml:space="preserve"> will be determined in accordance with the requirements of the </w:t>
      </w:r>
      <w:r>
        <w:rPr>
          <w:i/>
        </w:rPr>
        <w:t>Archives Act 1983</w:t>
      </w:r>
      <w:r>
        <w:t xml:space="preserve"> which applies to the NBA as a Commonwealth government agency</w:t>
      </w:r>
      <w:r w:rsidR="00B15FC3">
        <w:t>.</w:t>
      </w:r>
    </w:p>
    <w:p w:rsidR="000B5539" w:rsidRDefault="000B5539" w:rsidP="00524CC3">
      <w:pPr>
        <w:pStyle w:val="Heading2"/>
      </w:pPr>
      <w:bookmarkStart w:id="55" w:name="_Toc434574646"/>
      <w:r>
        <w:t>Data Quality</w:t>
      </w:r>
      <w:bookmarkEnd w:id="55"/>
    </w:p>
    <w:p w:rsidR="00495D67" w:rsidRPr="009F25AD" w:rsidRDefault="00495D67" w:rsidP="009F25AD">
      <w:pPr>
        <w:spacing w:after="240"/>
        <w:rPr>
          <w:lang w:eastAsia="en-AU"/>
        </w:rPr>
      </w:pPr>
      <w:r w:rsidRPr="009F25AD">
        <w:rPr>
          <w:lang w:eastAsia="en-AU"/>
        </w:rPr>
        <w:t xml:space="preserve">Information collected about a patient at the point of the initial authorisation request </w:t>
      </w:r>
      <w:r w:rsidR="007A2C32" w:rsidRPr="009F25AD">
        <w:rPr>
          <w:lang w:eastAsia="en-AU"/>
        </w:rPr>
        <w:t>may</w:t>
      </w:r>
      <w:r w:rsidRPr="009F25AD">
        <w:rPr>
          <w:lang w:eastAsia="en-AU"/>
        </w:rPr>
        <w:t xml:space="preserve"> be updated at the point of a continuing authorisation request.  Importantly, the patient weight </w:t>
      </w:r>
      <w:r w:rsidR="007A2C32" w:rsidRPr="009F25AD">
        <w:rPr>
          <w:lang w:eastAsia="en-AU"/>
        </w:rPr>
        <w:t>may</w:t>
      </w:r>
      <w:r w:rsidRPr="009F25AD">
        <w:rPr>
          <w:lang w:eastAsia="en-AU"/>
        </w:rPr>
        <w:t xml:space="preserve"> be </w:t>
      </w:r>
      <w:r w:rsidRPr="009F25AD">
        <w:rPr>
          <w:lang w:eastAsia="en-AU"/>
        </w:rPr>
        <w:lastRenderedPageBreak/>
        <w:t xml:space="preserve">updated to ensure the appropriate dose is prescribed for the patient.  The onus will be on the </w:t>
      </w:r>
      <w:r w:rsidR="00FB4EB5">
        <w:rPr>
          <w:lang w:eastAsia="en-AU"/>
        </w:rPr>
        <w:t xml:space="preserve">clinicians </w:t>
      </w:r>
      <w:r w:rsidRPr="009F25AD">
        <w:rPr>
          <w:lang w:eastAsia="en-AU"/>
        </w:rPr>
        <w:t xml:space="preserve">to ensure the currency of information held about a patient to enable the assessment of their eligibility for access to product for their treatment.  </w:t>
      </w:r>
      <w:r w:rsidRPr="004E66E5">
        <w:rPr>
          <w:lang w:eastAsia="en-AU"/>
        </w:rPr>
        <w:t xml:space="preserve">The interface between the hospital laboratory information system (LIS) and </w:t>
      </w:r>
      <w:proofErr w:type="spellStart"/>
      <w:r w:rsidR="001D735F" w:rsidRPr="004E66E5">
        <w:rPr>
          <w:lang w:eastAsia="en-AU"/>
        </w:rPr>
        <w:t>BloodSTAR</w:t>
      </w:r>
      <w:proofErr w:type="spellEnd"/>
      <w:r w:rsidRPr="004E66E5">
        <w:rPr>
          <w:lang w:eastAsia="en-AU"/>
        </w:rPr>
        <w:t xml:space="preserve"> </w:t>
      </w:r>
      <w:r w:rsidR="008A4649" w:rsidRPr="004E66E5">
        <w:rPr>
          <w:lang w:eastAsia="en-AU"/>
        </w:rPr>
        <w:t xml:space="preserve">via integration with </w:t>
      </w:r>
      <w:proofErr w:type="spellStart"/>
      <w:r w:rsidR="008A4649" w:rsidRPr="004E66E5">
        <w:rPr>
          <w:lang w:eastAsia="en-AU"/>
        </w:rPr>
        <w:t>BloodNet</w:t>
      </w:r>
      <w:proofErr w:type="spellEnd"/>
      <w:r w:rsidR="008A4649" w:rsidRPr="004E66E5">
        <w:rPr>
          <w:lang w:eastAsia="en-AU"/>
        </w:rPr>
        <w:t xml:space="preserve"> </w:t>
      </w:r>
      <w:r w:rsidRPr="004E66E5">
        <w:rPr>
          <w:lang w:eastAsia="en-AU"/>
        </w:rPr>
        <w:t xml:space="preserve">will </w:t>
      </w:r>
      <w:r w:rsidR="007A2C32" w:rsidRPr="004E66E5">
        <w:rPr>
          <w:lang w:eastAsia="en-AU"/>
        </w:rPr>
        <w:t>ensure</w:t>
      </w:r>
      <w:r w:rsidRPr="004E66E5">
        <w:rPr>
          <w:lang w:eastAsia="en-AU"/>
        </w:rPr>
        <w:t xml:space="preserve"> t</w:t>
      </w:r>
      <w:r w:rsidR="007A2C32" w:rsidRPr="004E66E5">
        <w:rPr>
          <w:lang w:eastAsia="en-AU"/>
        </w:rPr>
        <w:t>he currency of product dispense events</w:t>
      </w:r>
      <w:r w:rsidRPr="004E66E5">
        <w:rPr>
          <w:lang w:eastAsia="en-AU"/>
        </w:rPr>
        <w:t xml:space="preserve"> </w:t>
      </w:r>
      <w:r w:rsidR="008A4649" w:rsidRPr="004E66E5">
        <w:rPr>
          <w:lang w:eastAsia="en-AU"/>
        </w:rPr>
        <w:t>and automate the reconciliation for authorised patients</w:t>
      </w:r>
      <w:r w:rsidRPr="004E66E5">
        <w:rPr>
          <w:lang w:eastAsia="en-AU"/>
        </w:rPr>
        <w:t>.</w:t>
      </w:r>
      <w:r w:rsidR="007A2C32" w:rsidRPr="009A1497">
        <w:rPr>
          <w:lang w:eastAsia="en-AU"/>
        </w:rPr>
        <w:t xml:space="preserve">  The patient’s hospital </w:t>
      </w:r>
      <w:r w:rsidR="008A4649" w:rsidRPr="004E66E5">
        <w:rPr>
          <w:lang w:eastAsia="en-AU"/>
        </w:rPr>
        <w:t xml:space="preserve">identifier (e.g. </w:t>
      </w:r>
      <w:r w:rsidR="007A2C32" w:rsidRPr="004E66E5">
        <w:rPr>
          <w:lang w:eastAsia="en-AU"/>
        </w:rPr>
        <w:t>Medical Record Number</w:t>
      </w:r>
      <w:r w:rsidR="008A4649" w:rsidRPr="004E66E5">
        <w:rPr>
          <w:lang w:eastAsia="en-AU"/>
        </w:rPr>
        <w:t>)</w:t>
      </w:r>
      <w:r w:rsidR="007A2C32" w:rsidRPr="004E66E5">
        <w:rPr>
          <w:lang w:eastAsia="en-AU"/>
        </w:rPr>
        <w:t xml:space="preserve"> will need to be correctly recorded to enable th</w:t>
      </w:r>
      <w:r w:rsidR="008A4649" w:rsidRPr="004E66E5">
        <w:rPr>
          <w:lang w:eastAsia="en-AU"/>
        </w:rPr>
        <w:t>is</w:t>
      </w:r>
      <w:r w:rsidR="007A2C32" w:rsidRPr="004E66E5">
        <w:rPr>
          <w:lang w:eastAsia="en-AU"/>
        </w:rPr>
        <w:t xml:space="preserve"> exchange of information.</w:t>
      </w:r>
    </w:p>
    <w:p w:rsidR="007A2C32" w:rsidRPr="009F25AD" w:rsidRDefault="007A2C32" w:rsidP="009F25AD">
      <w:pPr>
        <w:spacing w:after="240"/>
        <w:rPr>
          <w:lang w:eastAsia="en-AU"/>
        </w:rPr>
      </w:pPr>
      <w:r w:rsidRPr="009F25AD">
        <w:rPr>
          <w:lang w:eastAsia="en-AU"/>
        </w:rPr>
        <w:t xml:space="preserve">The risks to </w:t>
      </w:r>
      <w:r w:rsidR="008A4649">
        <w:rPr>
          <w:lang w:eastAsia="en-AU"/>
        </w:rPr>
        <w:t xml:space="preserve">patient safety are increased </w:t>
      </w:r>
      <w:r w:rsidRPr="009F25AD">
        <w:rPr>
          <w:lang w:eastAsia="en-AU"/>
        </w:rPr>
        <w:t>if the informatio</w:t>
      </w:r>
      <w:r w:rsidR="009F25AD" w:rsidRPr="009F25AD">
        <w:rPr>
          <w:lang w:eastAsia="en-AU"/>
        </w:rPr>
        <w:t>n is not accurate or up to date</w:t>
      </w:r>
      <w:r w:rsidR="0040215F">
        <w:rPr>
          <w:lang w:eastAsia="en-AU"/>
        </w:rPr>
        <w:t xml:space="preserve">. </w:t>
      </w:r>
    </w:p>
    <w:p w:rsidR="007A2C32" w:rsidRDefault="007A2C32" w:rsidP="009F25AD">
      <w:pPr>
        <w:spacing w:after="240"/>
        <w:rPr>
          <w:lang w:eastAsia="en-AU"/>
        </w:rPr>
      </w:pPr>
      <w:r w:rsidRPr="009F25AD">
        <w:rPr>
          <w:lang w:eastAsia="en-AU"/>
        </w:rPr>
        <w:t xml:space="preserve">Where a </w:t>
      </w:r>
      <w:r w:rsidR="009D60F6" w:rsidRPr="009F25AD">
        <w:rPr>
          <w:lang w:eastAsia="en-AU"/>
        </w:rPr>
        <w:t xml:space="preserve">patient </w:t>
      </w:r>
      <w:r w:rsidRPr="009F25AD">
        <w:rPr>
          <w:lang w:eastAsia="en-AU"/>
        </w:rPr>
        <w:t xml:space="preserve">record has been </w:t>
      </w:r>
      <w:r w:rsidR="009D60F6" w:rsidRPr="009F25AD">
        <w:rPr>
          <w:lang w:eastAsia="en-AU"/>
        </w:rPr>
        <w:t>updated at any point in time</w:t>
      </w:r>
      <w:r w:rsidRPr="009F25AD">
        <w:rPr>
          <w:lang w:eastAsia="en-AU"/>
        </w:rPr>
        <w:t xml:space="preserve">, the information will be made available for the information of those with a role in the </w:t>
      </w:r>
      <w:r w:rsidR="00650796" w:rsidRPr="009F25AD">
        <w:rPr>
          <w:lang w:eastAsia="en-AU"/>
        </w:rPr>
        <w:t xml:space="preserve">management of </w:t>
      </w:r>
      <w:r w:rsidR="008321AF">
        <w:rPr>
          <w:lang w:eastAsia="en-AU"/>
        </w:rPr>
        <w:t xml:space="preserve">an authorised </w:t>
      </w:r>
      <w:r w:rsidR="00650796" w:rsidRPr="009F25AD">
        <w:rPr>
          <w:lang w:eastAsia="en-AU"/>
        </w:rPr>
        <w:t>patient’s treatment</w:t>
      </w:r>
      <w:r w:rsidR="00076E54" w:rsidRPr="009F25AD">
        <w:rPr>
          <w:lang w:eastAsia="en-AU"/>
        </w:rPr>
        <w:t>.  C</w:t>
      </w:r>
      <w:r w:rsidRPr="009F25AD">
        <w:rPr>
          <w:lang w:eastAsia="en-AU"/>
        </w:rPr>
        <w:t xml:space="preserve">hanges to a patient record will not initiate any alert or notification to any person that has previously accessed the patient’s record for the purposes of carrying out their role </w:t>
      </w:r>
      <w:r w:rsidR="008321AF">
        <w:t>in the management of authorised patients</w:t>
      </w:r>
      <w:r w:rsidRPr="009F25AD">
        <w:rPr>
          <w:lang w:eastAsia="en-AU"/>
        </w:rPr>
        <w:t>.</w:t>
      </w:r>
    </w:p>
    <w:p w:rsidR="004B4329" w:rsidRPr="00642688" w:rsidRDefault="004B4329" w:rsidP="002B7E38">
      <w:pPr>
        <w:pStyle w:val="Heading2"/>
      </w:pPr>
      <w:bookmarkStart w:id="56" w:name="_Toc434574647"/>
      <w:r w:rsidRPr="00642688">
        <w:t>Data Retention</w:t>
      </w:r>
      <w:bookmarkEnd w:id="56"/>
    </w:p>
    <w:p w:rsidR="00286A78" w:rsidRPr="00642688" w:rsidRDefault="00966AFA" w:rsidP="00495D67">
      <w:pPr>
        <w:spacing w:after="0" w:line="336" w:lineRule="atLeast"/>
        <w:rPr>
          <w:rFonts w:asciiTheme="minorHAnsi" w:hAnsiTheme="minorHAnsi" w:cstheme="minorHAnsi"/>
        </w:rPr>
      </w:pPr>
      <w:proofErr w:type="spellStart"/>
      <w:r>
        <w:rPr>
          <w:rFonts w:asciiTheme="minorHAnsi" w:hAnsiTheme="minorHAnsi" w:cstheme="minorHAnsi"/>
        </w:rPr>
        <w:t>BloodSTAR</w:t>
      </w:r>
      <w:proofErr w:type="spellEnd"/>
      <w:r w:rsidR="00286A78" w:rsidRPr="00642688">
        <w:rPr>
          <w:rFonts w:asciiTheme="minorHAnsi" w:hAnsiTheme="minorHAnsi" w:cstheme="minorHAnsi"/>
        </w:rPr>
        <w:t xml:space="preserve"> patient records will be retained for a period of </w:t>
      </w:r>
      <w:r w:rsidR="002B7E38" w:rsidRPr="00642688">
        <w:rPr>
          <w:rFonts w:asciiTheme="minorHAnsi" w:hAnsiTheme="minorHAnsi" w:cstheme="minorHAnsi"/>
        </w:rPr>
        <w:t>20 years in accordance with the Commonwealth Archives Act 1983 and National Pathology Accredited Advisory Council (</w:t>
      </w:r>
      <w:proofErr w:type="spellStart"/>
      <w:r w:rsidR="002B7E38" w:rsidRPr="00642688">
        <w:rPr>
          <w:rFonts w:asciiTheme="minorHAnsi" w:hAnsiTheme="minorHAnsi" w:cstheme="minorHAnsi"/>
        </w:rPr>
        <w:t>NPAAC</w:t>
      </w:r>
      <w:proofErr w:type="spellEnd"/>
      <w:r w:rsidR="002B7E38" w:rsidRPr="00642688">
        <w:rPr>
          <w:rFonts w:asciiTheme="minorHAnsi" w:hAnsiTheme="minorHAnsi" w:cstheme="minorHAnsi"/>
        </w:rPr>
        <w:t>) requirements.</w:t>
      </w:r>
    </w:p>
    <w:p w:rsidR="00286A78" w:rsidRPr="00642688" w:rsidRDefault="00286A78" w:rsidP="00495D67">
      <w:pPr>
        <w:spacing w:after="0" w:line="336" w:lineRule="atLeast"/>
        <w:rPr>
          <w:rFonts w:asciiTheme="minorHAnsi" w:hAnsiTheme="minorHAnsi" w:cstheme="minorHAnsi"/>
        </w:rPr>
      </w:pPr>
    </w:p>
    <w:p w:rsidR="00286A78" w:rsidRPr="00642688" w:rsidRDefault="00966AFA" w:rsidP="00495D67">
      <w:pPr>
        <w:spacing w:after="0" w:line="336" w:lineRule="atLeast"/>
        <w:rPr>
          <w:rFonts w:asciiTheme="minorHAnsi" w:hAnsiTheme="minorHAnsi" w:cstheme="minorHAnsi"/>
        </w:rPr>
      </w:pPr>
      <w:r>
        <w:rPr>
          <w:rFonts w:asciiTheme="minorHAnsi" w:hAnsiTheme="minorHAnsi" w:cstheme="minorHAnsi"/>
        </w:rPr>
        <w:t>P</w:t>
      </w:r>
      <w:r w:rsidR="00286A78" w:rsidRPr="00642688">
        <w:rPr>
          <w:rFonts w:asciiTheme="minorHAnsi" w:hAnsiTheme="minorHAnsi" w:cstheme="minorHAnsi"/>
        </w:rPr>
        <w:t xml:space="preserve">atient records which are inactive as a result of withdrawn consent will be kept for a period of </w:t>
      </w:r>
      <w:r w:rsidR="00642688" w:rsidRPr="00642688">
        <w:rPr>
          <w:rFonts w:asciiTheme="minorHAnsi" w:hAnsiTheme="minorHAnsi" w:cstheme="minorHAnsi"/>
        </w:rPr>
        <w:t>20</w:t>
      </w:r>
      <w:r w:rsidR="00286A78" w:rsidRPr="00642688">
        <w:rPr>
          <w:rFonts w:asciiTheme="minorHAnsi" w:hAnsiTheme="minorHAnsi" w:cstheme="minorHAnsi"/>
        </w:rPr>
        <w:t xml:space="preserve"> </w:t>
      </w:r>
      <w:r w:rsidR="00642688" w:rsidRPr="00642688">
        <w:rPr>
          <w:rFonts w:asciiTheme="minorHAnsi" w:hAnsiTheme="minorHAnsi" w:cstheme="minorHAnsi"/>
        </w:rPr>
        <w:t>years to enable a record to be re-activated if the individual chooses to provide consent at a later date.</w:t>
      </w:r>
    </w:p>
    <w:p w:rsidR="00286A78" w:rsidRPr="00642688" w:rsidRDefault="00286A78" w:rsidP="00495D67">
      <w:pPr>
        <w:spacing w:after="0" w:line="336" w:lineRule="atLeast"/>
        <w:rPr>
          <w:rFonts w:asciiTheme="minorHAnsi" w:hAnsiTheme="minorHAnsi" w:cstheme="minorHAnsi"/>
        </w:rPr>
      </w:pPr>
    </w:p>
    <w:p w:rsidR="00495D67" w:rsidRPr="00642688" w:rsidRDefault="00286A78" w:rsidP="00495D67">
      <w:pPr>
        <w:spacing w:after="0" w:line="336" w:lineRule="atLeast"/>
        <w:rPr>
          <w:rFonts w:asciiTheme="minorHAnsi" w:hAnsiTheme="minorHAnsi" w:cstheme="minorHAnsi"/>
        </w:rPr>
      </w:pPr>
      <w:r w:rsidRPr="00642688">
        <w:rPr>
          <w:rFonts w:asciiTheme="minorHAnsi" w:hAnsiTheme="minorHAnsi" w:cstheme="minorHAnsi"/>
        </w:rPr>
        <w:t>Audit logging transactions will be retained for seven years in accordance with minimum retention periods for Commonwealth records defined by the National Archives of Australia’s Administrative Functions Disposal Authority.</w:t>
      </w:r>
      <w:r w:rsidRPr="00642688">
        <w:rPr>
          <w:rFonts w:asciiTheme="minorHAnsi" w:hAnsiTheme="minorHAnsi" w:cstheme="minorHAnsi"/>
          <w:vertAlign w:val="superscript"/>
        </w:rPr>
        <w:footnoteReference w:id="6"/>
      </w:r>
      <w:r w:rsidRPr="00642688">
        <w:rPr>
          <w:rFonts w:asciiTheme="minorHAnsi" w:hAnsiTheme="minorHAnsi" w:cstheme="minorHAnsi"/>
          <w:vertAlign w:val="superscript"/>
        </w:rPr>
        <w:t xml:space="preserve"> </w:t>
      </w:r>
      <w:r w:rsidRPr="00642688">
        <w:rPr>
          <w:rFonts w:asciiTheme="minorHAnsi" w:hAnsiTheme="minorHAnsi" w:cstheme="minorHAnsi"/>
        </w:rPr>
        <w:t xml:space="preserve"> </w:t>
      </w:r>
    </w:p>
    <w:p w:rsidR="00286A78" w:rsidRPr="00642688" w:rsidRDefault="00286A78" w:rsidP="00223E55"/>
    <w:p w:rsidR="000423FA" w:rsidRPr="00642688" w:rsidRDefault="000B5539">
      <w:pPr>
        <w:pStyle w:val="Heading2"/>
      </w:pPr>
      <w:bookmarkStart w:id="57" w:name="_Toc434574648"/>
      <w:r w:rsidRPr="00642688">
        <w:t>Identity Management</w:t>
      </w:r>
      <w:bookmarkEnd w:id="57"/>
    </w:p>
    <w:p w:rsidR="000423FA" w:rsidRDefault="000423FA" w:rsidP="000423FA">
      <w:pPr>
        <w:spacing w:after="240"/>
        <w:rPr>
          <w:lang w:eastAsia="en-AU"/>
        </w:rPr>
      </w:pPr>
      <w:r>
        <w:rPr>
          <w:lang w:eastAsia="en-AU"/>
        </w:rPr>
        <w:t>According to The National Safety and Quality Health Service Standards (</w:t>
      </w:r>
      <w:proofErr w:type="spellStart"/>
      <w:r>
        <w:rPr>
          <w:lang w:eastAsia="en-AU"/>
        </w:rPr>
        <w:t>NSQHS</w:t>
      </w:r>
      <w:proofErr w:type="spellEnd"/>
      <w:r>
        <w:rPr>
          <w:lang w:eastAsia="en-AU"/>
        </w:rPr>
        <w:t>), Standard 5 Patient Identification and Procedure Matching, at least three approved patient identifiers are used when providing care, therapy or services in the hospital setting. These may include:</w:t>
      </w:r>
    </w:p>
    <w:p w:rsidR="000423FA" w:rsidRDefault="000423FA" w:rsidP="00BB2FE9">
      <w:pPr>
        <w:pStyle w:val="ListParagraph"/>
        <w:numPr>
          <w:ilvl w:val="0"/>
          <w:numId w:val="7"/>
        </w:numPr>
        <w:spacing w:after="240"/>
        <w:rPr>
          <w:lang w:eastAsia="en-AU"/>
        </w:rPr>
      </w:pPr>
      <w:r>
        <w:rPr>
          <w:lang w:eastAsia="en-AU"/>
        </w:rPr>
        <w:t>Name</w:t>
      </w:r>
      <w:r w:rsidR="007146E6">
        <w:rPr>
          <w:lang w:eastAsia="en-AU"/>
        </w:rPr>
        <w:t>;</w:t>
      </w:r>
    </w:p>
    <w:p w:rsidR="000423FA" w:rsidRDefault="000423FA" w:rsidP="00BB2FE9">
      <w:pPr>
        <w:pStyle w:val="ListParagraph"/>
        <w:numPr>
          <w:ilvl w:val="0"/>
          <w:numId w:val="7"/>
        </w:numPr>
        <w:spacing w:after="240"/>
        <w:rPr>
          <w:lang w:eastAsia="en-AU"/>
        </w:rPr>
      </w:pPr>
      <w:r>
        <w:rPr>
          <w:lang w:eastAsia="en-AU"/>
        </w:rPr>
        <w:t>Date of birth</w:t>
      </w:r>
      <w:r w:rsidR="007146E6">
        <w:rPr>
          <w:lang w:eastAsia="en-AU"/>
        </w:rPr>
        <w:t>;</w:t>
      </w:r>
    </w:p>
    <w:p w:rsidR="000423FA" w:rsidRDefault="006E2501" w:rsidP="00BB2FE9">
      <w:pPr>
        <w:pStyle w:val="ListParagraph"/>
        <w:numPr>
          <w:ilvl w:val="0"/>
          <w:numId w:val="7"/>
        </w:numPr>
        <w:spacing w:after="240"/>
        <w:rPr>
          <w:lang w:eastAsia="en-AU"/>
        </w:rPr>
      </w:pPr>
      <w:r>
        <w:rPr>
          <w:lang w:eastAsia="en-AU"/>
        </w:rPr>
        <w:t>Sex</w:t>
      </w:r>
      <w:r w:rsidR="007146E6">
        <w:rPr>
          <w:lang w:eastAsia="en-AU"/>
        </w:rPr>
        <w:t>;</w:t>
      </w:r>
    </w:p>
    <w:p w:rsidR="000423FA" w:rsidRDefault="000423FA" w:rsidP="00BB2FE9">
      <w:pPr>
        <w:pStyle w:val="ListParagraph"/>
        <w:numPr>
          <w:ilvl w:val="0"/>
          <w:numId w:val="7"/>
        </w:numPr>
        <w:spacing w:after="240"/>
        <w:rPr>
          <w:lang w:eastAsia="en-AU"/>
        </w:rPr>
      </w:pPr>
      <w:r>
        <w:rPr>
          <w:lang w:eastAsia="en-AU"/>
        </w:rPr>
        <w:t>Address</w:t>
      </w:r>
      <w:r w:rsidR="007146E6">
        <w:rPr>
          <w:lang w:eastAsia="en-AU"/>
        </w:rPr>
        <w:t>;</w:t>
      </w:r>
    </w:p>
    <w:p w:rsidR="000423FA" w:rsidRDefault="00232C88" w:rsidP="00BB2FE9">
      <w:pPr>
        <w:pStyle w:val="ListParagraph"/>
        <w:numPr>
          <w:ilvl w:val="0"/>
          <w:numId w:val="7"/>
        </w:numPr>
        <w:spacing w:after="240"/>
        <w:rPr>
          <w:lang w:eastAsia="en-AU"/>
        </w:rPr>
      </w:pPr>
      <w:r>
        <w:rPr>
          <w:lang w:eastAsia="en-AU"/>
        </w:rPr>
        <w:t>Hospital Identifiers (</w:t>
      </w:r>
      <w:r w:rsidR="000423FA">
        <w:rPr>
          <w:lang w:eastAsia="en-AU"/>
        </w:rPr>
        <w:t>Medical record number</w:t>
      </w:r>
      <w:r>
        <w:rPr>
          <w:lang w:eastAsia="en-AU"/>
        </w:rPr>
        <w:t>)</w:t>
      </w:r>
      <w:r w:rsidR="007146E6">
        <w:rPr>
          <w:lang w:eastAsia="en-AU"/>
        </w:rPr>
        <w:t>; and</w:t>
      </w:r>
    </w:p>
    <w:p w:rsidR="000423FA" w:rsidRDefault="000423FA" w:rsidP="00BB2FE9">
      <w:pPr>
        <w:pStyle w:val="ListParagraph"/>
        <w:numPr>
          <w:ilvl w:val="0"/>
          <w:numId w:val="7"/>
        </w:numPr>
        <w:spacing w:after="240"/>
        <w:rPr>
          <w:lang w:eastAsia="en-AU"/>
        </w:rPr>
      </w:pPr>
      <w:r>
        <w:rPr>
          <w:lang w:eastAsia="en-AU"/>
        </w:rPr>
        <w:t xml:space="preserve">Individual </w:t>
      </w:r>
      <w:r w:rsidR="00F120F2">
        <w:rPr>
          <w:lang w:eastAsia="en-AU"/>
        </w:rPr>
        <w:t>H</w:t>
      </w:r>
      <w:r>
        <w:rPr>
          <w:lang w:eastAsia="en-AU"/>
        </w:rPr>
        <w:t>ealth</w:t>
      </w:r>
      <w:r w:rsidR="00F120F2">
        <w:rPr>
          <w:lang w:eastAsia="en-AU"/>
        </w:rPr>
        <w:t>care</w:t>
      </w:r>
      <w:r>
        <w:rPr>
          <w:lang w:eastAsia="en-AU"/>
        </w:rPr>
        <w:t xml:space="preserve"> identifier</w:t>
      </w:r>
      <w:r w:rsidR="00F120F2">
        <w:rPr>
          <w:lang w:eastAsia="en-AU"/>
        </w:rPr>
        <w:t xml:space="preserve"> (</w:t>
      </w:r>
      <w:proofErr w:type="spellStart"/>
      <w:r w:rsidR="00F120F2">
        <w:rPr>
          <w:lang w:eastAsia="en-AU"/>
        </w:rPr>
        <w:t>IHI</w:t>
      </w:r>
      <w:proofErr w:type="spellEnd"/>
      <w:r w:rsidR="00F120F2">
        <w:rPr>
          <w:lang w:eastAsia="en-AU"/>
        </w:rPr>
        <w:t>)</w:t>
      </w:r>
      <w:r>
        <w:rPr>
          <w:lang w:eastAsia="en-AU"/>
        </w:rPr>
        <w:t>.</w:t>
      </w:r>
    </w:p>
    <w:p w:rsidR="007146E6" w:rsidRDefault="000423FA" w:rsidP="000423FA">
      <w:pPr>
        <w:spacing w:after="240"/>
        <w:rPr>
          <w:lang w:eastAsia="en-AU"/>
        </w:rPr>
      </w:pPr>
      <w:r>
        <w:rPr>
          <w:lang w:eastAsia="en-AU"/>
        </w:rPr>
        <w:lastRenderedPageBreak/>
        <w:t xml:space="preserve">All of the above personal identifiers, other than address, are collected in </w:t>
      </w:r>
      <w:proofErr w:type="spellStart"/>
      <w:r w:rsidR="001D735F">
        <w:rPr>
          <w:lang w:eastAsia="en-AU"/>
        </w:rPr>
        <w:t>BloodSTAR</w:t>
      </w:r>
      <w:proofErr w:type="spellEnd"/>
      <w:r>
        <w:rPr>
          <w:lang w:eastAsia="en-AU"/>
        </w:rPr>
        <w:t xml:space="preserve"> to facilitate patient identification and procedure matching</w:t>
      </w:r>
      <w:r w:rsidR="00232C88">
        <w:rPr>
          <w:lang w:eastAsia="en-AU"/>
        </w:rPr>
        <w:t xml:space="preserve">, the limitations are </w:t>
      </w:r>
      <w:proofErr w:type="spellStart"/>
      <w:r w:rsidR="00232C88">
        <w:rPr>
          <w:lang w:eastAsia="en-AU"/>
        </w:rPr>
        <w:t>IHI</w:t>
      </w:r>
      <w:proofErr w:type="spellEnd"/>
      <w:r w:rsidR="00232C88">
        <w:rPr>
          <w:lang w:eastAsia="en-AU"/>
        </w:rPr>
        <w:t xml:space="preserve"> is opt</w:t>
      </w:r>
      <w:r w:rsidR="00DB5E04">
        <w:rPr>
          <w:lang w:eastAsia="en-AU"/>
        </w:rPr>
        <w:t xml:space="preserve">ional and in some circumstances, such as the </w:t>
      </w:r>
      <w:r w:rsidR="00232C88">
        <w:rPr>
          <w:lang w:eastAsia="en-AU"/>
        </w:rPr>
        <w:t>private setting</w:t>
      </w:r>
      <w:r w:rsidR="00DB5E04">
        <w:rPr>
          <w:lang w:eastAsia="en-AU"/>
        </w:rPr>
        <w:t>,</w:t>
      </w:r>
      <w:r w:rsidR="00232C88">
        <w:rPr>
          <w:lang w:eastAsia="en-AU"/>
        </w:rPr>
        <w:t xml:space="preserve"> hospital identifiers </w:t>
      </w:r>
      <w:r w:rsidR="00DB5E04">
        <w:rPr>
          <w:lang w:eastAsia="en-AU"/>
        </w:rPr>
        <w:t xml:space="preserve">may not be </w:t>
      </w:r>
      <w:r w:rsidR="00232C88">
        <w:rPr>
          <w:lang w:eastAsia="en-AU"/>
        </w:rPr>
        <w:t>used</w:t>
      </w:r>
      <w:r>
        <w:rPr>
          <w:lang w:eastAsia="en-AU"/>
        </w:rPr>
        <w:t xml:space="preserve">.  </w:t>
      </w:r>
      <w:r w:rsidR="007146E6">
        <w:rPr>
          <w:lang w:eastAsia="en-AU"/>
        </w:rPr>
        <w:t xml:space="preserve">Phase 1 implementation of the system will not include collecting the address of the patient as it is not required due to therapy being administered either within the hospital setting or product being dispensed at the hospital for home treatment.  </w:t>
      </w:r>
    </w:p>
    <w:p w:rsidR="00AC5890" w:rsidRPr="000423FA" w:rsidRDefault="007146E6" w:rsidP="000423FA">
      <w:pPr>
        <w:spacing w:after="240"/>
        <w:rPr>
          <w:lang w:eastAsia="en-AU"/>
        </w:rPr>
      </w:pPr>
      <w:r>
        <w:rPr>
          <w:lang w:eastAsia="en-AU"/>
        </w:rPr>
        <w:t xml:space="preserve">The minimum amount of identifiable information is being collected </w:t>
      </w:r>
      <w:r w:rsidR="00AC5890" w:rsidRPr="009F25AD">
        <w:rPr>
          <w:lang w:eastAsia="en-AU"/>
        </w:rPr>
        <w:t xml:space="preserve">to ensure </w:t>
      </w:r>
      <w:r w:rsidR="00CE16A3" w:rsidRPr="009F25AD">
        <w:rPr>
          <w:lang w:eastAsia="en-AU"/>
        </w:rPr>
        <w:t>that an individual</w:t>
      </w:r>
      <w:r w:rsidR="00AC5890" w:rsidRPr="009F25AD">
        <w:rPr>
          <w:lang w:eastAsia="en-AU"/>
        </w:rPr>
        <w:t xml:space="preserve"> can be verified </w:t>
      </w:r>
      <w:r w:rsidR="00491C73" w:rsidRPr="009F25AD">
        <w:rPr>
          <w:lang w:eastAsia="en-AU"/>
        </w:rPr>
        <w:t>by the end user</w:t>
      </w:r>
      <w:r w:rsidR="00232C88">
        <w:rPr>
          <w:lang w:eastAsia="en-AU"/>
        </w:rPr>
        <w:t xml:space="preserve">.  Verification of identification is achieved by a </w:t>
      </w:r>
      <w:r w:rsidR="00CE16A3" w:rsidRPr="009F25AD">
        <w:rPr>
          <w:lang w:eastAsia="en-AU"/>
        </w:rPr>
        <w:t xml:space="preserve">combination of the search </w:t>
      </w:r>
      <w:r w:rsidR="009A77E7" w:rsidRPr="009F25AD">
        <w:rPr>
          <w:lang w:eastAsia="en-AU"/>
        </w:rPr>
        <w:t xml:space="preserve">terms </w:t>
      </w:r>
      <w:r w:rsidR="00491C73" w:rsidRPr="009F25AD">
        <w:rPr>
          <w:lang w:eastAsia="en-AU"/>
        </w:rPr>
        <w:t xml:space="preserve">when accessing </w:t>
      </w:r>
      <w:proofErr w:type="spellStart"/>
      <w:r w:rsidR="001D735F">
        <w:rPr>
          <w:lang w:eastAsia="en-AU"/>
        </w:rPr>
        <w:t>BloodSTAR</w:t>
      </w:r>
      <w:proofErr w:type="spellEnd"/>
      <w:r w:rsidR="00491C73" w:rsidRPr="009F25AD">
        <w:rPr>
          <w:lang w:eastAsia="en-AU"/>
        </w:rPr>
        <w:t xml:space="preserve"> for the purpose of </w:t>
      </w:r>
      <w:r w:rsidR="00CE16A3" w:rsidRPr="009F25AD">
        <w:rPr>
          <w:lang w:eastAsia="en-AU"/>
        </w:rPr>
        <w:t xml:space="preserve">creating a new patient record </w:t>
      </w:r>
      <w:r w:rsidR="00232C88">
        <w:rPr>
          <w:lang w:eastAsia="en-AU"/>
        </w:rPr>
        <w:t xml:space="preserve">in an </w:t>
      </w:r>
      <w:r w:rsidR="00CE16A3" w:rsidRPr="009F25AD">
        <w:rPr>
          <w:lang w:eastAsia="en-AU"/>
        </w:rPr>
        <w:t>initial authorisation</w:t>
      </w:r>
      <w:r w:rsidR="00232C88">
        <w:rPr>
          <w:lang w:eastAsia="en-AU"/>
        </w:rPr>
        <w:t xml:space="preserve"> request</w:t>
      </w:r>
      <w:r w:rsidR="00CE16A3" w:rsidRPr="009F25AD">
        <w:rPr>
          <w:lang w:eastAsia="en-AU"/>
        </w:rPr>
        <w:t xml:space="preserve">, </w:t>
      </w:r>
      <w:r w:rsidR="00491C73" w:rsidRPr="009F25AD">
        <w:rPr>
          <w:lang w:eastAsia="en-AU"/>
        </w:rPr>
        <w:t xml:space="preserve">continuing </w:t>
      </w:r>
      <w:r w:rsidR="00232C88">
        <w:rPr>
          <w:lang w:eastAsia="en-AU"/>
        </w:rPr>
        <w:t>authorisation request</w:t>
      </w:r>
      <w:r w:rsidR="00491C73" w:rsidRPr="009F25AD">
        <w:rPr>
          <w:lang w:eastAsia="en-AU"/>
        </w:rPr>
        <w:t xml:space="preserve">, </w:t>
      </w:r>
      <w:r w:rsidR="00232C88">
        <w:rPr>
          <w:lang w:eastAsia="en-AU"/>
        </w:rPr>
        <w:t xml:space="preserve">ceasing </w:t>
      </w:r>
      <w:r w:rsidR="00491C73" w:rsidRPr="009F25AD">
        <w:rPr>
          <w:lang w:eastAsia="en-AU"/>
        </w:rPr>
        <w:t>treatment, or recording clinical outcomes</w:t>
      </w:r>
      <w:r w:rsidR="00E057EA">
        <w:rPr>
          <w:lang w:eastAsia="en-AU"/>
        </w:rPr>
        <w:t xml:space="preserve">.  This is </w:t>
      </w:r>
      <w:r w:rsidR="00AC5890" w:rsidRPr="009F25AD">
        <w:rPr>
          <w:lang w:eastAsia="en-AU"/>
        </w:rPr>
        <w:t>to ensure the appropriate dispense of product to patient</w:t>
      </w:r>
      <w:r w:rsidR="00232C88">
        <w:rPr>
          <w:lang w:eastAsia="en-AU"/>
        </w:rPr>
        <w:t>s</w:t>
      </w:r>
      <w:r w:rsidR="00AC5890" w:rsidRPr="009F25AD">
        <w:rPr>
          <w:lang w:eastAsia="en-AU"/>
        </w:rPr>
        <w:t xml:space="preserve"> based on the </w:t>
      </w:r>
      <w:r w:rsidR="00E057EA">
        <w:rPr>
          <w:lang w:eastAsia="en-AU"/>
        </w:rPr>
        <w:t xml:space="preserve">prescribed and </w:t>
      </w:r>
      <w:r w:rsidR="00AC5890" w:rsidRPr="009F25AD">
        <w:rPr>
          <w:lang w:eastAsia="en-AU"/>
        </w:rPr>
        <w:t xml:space="preserve">authorised treatment.  </w:t>
      </w:r>
    </w:p>
    <w:p w:rsidR="009A77E7" w:rsidRDefault="009A77E7" w:rsidP="009A77E7">
      <w:pPr>
        <w:pStyle w:val="CommentText"/>
        <w:rPr>
          <w:rFonts w:eastAsia="Times New Roman" w:cs="Arial"/>
          <w:sz w:val="22"/>
          <w:szCs w:val="24"/>
          <w:lang w:eastAsia="en-AU"/>
        </w:rPr>
      </w:pPr>
      <w:r w:rsidRPr="00E057EA">
        <w:rPr>
          <w:rFonts w:eastAsia="Times New Roman" w:cs="Arial"/>
          <w:sz w:val="22"/>
          <w:szCs w:val="24"/>
          <w:lang w:eastAsia="en-AU"/>
        </w:rPr>
        <w:t xml:space="preserve">The patient search scope is detailed in </w:t>
      </w:r>
      <w:r w:rsidR="00232C88">
        <w:rPr>
          <w:rFonts w:eastAsia="Times New Roman" w:cs="Arial"/>
          <w:sz w:val="22"/>
          <w:szCs w:val="24"/>
          <w:lang w:eastAsia="en-AU"/>
        </w:rPr>
        <w:t xml:space="preserve">section </w:t>
      </w:r>
      <w:r w:rsidR="00BD5C67">
        <w:rPr>
          <w:rFonts w:eastAsia="Times New Roman" w:cs="Arial"/>
          <w:sz w:val="22"/>
          <w:szCs w:val="24"/>
          <w:lang w:eastAsia="en-AU"/>
        </w:rPr>
        <w:fldChar w:fldCharType="begin"/>
      </w:r>
      <w:r w:rsidR="00BD5C67">
        <w:rPr>
          <w:rFonts w:eastAsia="Times New Roman" w:cs="Arial"/>
          <w:sz w:val="22"/>
          <w:szCs w:val="24"/>
          <w:lang w:eastAsia="en-AU"/>
        </w:rPr>
        <w:instrText xml:space="preserve"> REF _Ref417492083 \r \h </w:instrText>
      </w:r>
      <w:r w:rsidR="00BD5C67">
        <w:rPr>
          <w:rFonts w:eastAsia="Times New Roman" w:cs="Arial"/>
          <w:sz w:val="22"/>
          <w:szCs w:val="24"/>
          <w:lang w:eastAsia="en-AU"/>
        </w:rPr>
      </w:r>
      <w:r w:rsidR="00BD5C67">
        <w:rPr>
          <w:rFonts w:eastAsia="Times New Roman" w:cs="Arial"/>
          <w:sz w:val="22"/>
          <w:szCs w:val="24"/>
          <w:lang w:eastAsia="en-AU"/>
        </w:rPr>
        <w:fldChar w:fldCharType="separate"/>
      </w:r>
      <w:r w:rsidR="00BD5C67">
        <w:rPr>
          <w:rFonts w:eastAsia="Times New Roman" w:cs="Arial"/>
          <w:sz w:val="22"/>
          <w:szCs w:val="24"/>
          <w:lang w:eastAsia="en-AU"/>
        </w:rPr>
        <w:t>5.3.1</w:t>
      </w:r>
      <w:r w:rsidR="00BD5C67">
        <w:rPr>
          <w:rFonts w:eastAsia="Times New Roman" w:cs="Arial"/>
          <w:sz w:val="22"/>
          <w:szCs w:val="24"/>
          <w:lang w:eastAsia="en-AU"/>
        </w:rPr>
        <w:fldChar w:fldCharType="end"/>
      </w:r>
      <w:r w:rsidR="00BD5C67">
        <w:rPr>
          <w:rFonts w:eastAsia="Times New Roman" w:cs="Arial"/>
          <w:sz w:val="22"/>
          <w:szCs w:val="24"/>
          <w:lang w:eastAsia="en-AU"/>
        </w:rPr>
        <w:t>.</w:t>
      </w:r>
    </w:p>
    <w:p w:rsidR="00C55687" w:rsidRPr="00E057EA" w:rsidRDefault="001D735F" w:rsidP="009A77E7">
      <w:pPr>
        <w:pStyle w:val="CommentText"/>
        <w:rPr>
          <w:rFonts w:eastAsia="Times New Roman" w:cs="Arial"/>
          <w:sz w:val="22"/>
          <w:szCs w:val="24"/>
          <w:lang w:eastAsia="en-AU"/>
        </w:rPr>
      </w:pPr>
      <w:proofErr w:type="spellStart"/>
      <w:r>
        <w:rPr>
          <w:rFonts w:eastAsia="Times New Roman" w:cs="Arial"/>
          <w:sz w:val="22"/>
          <w:szCs w:val="24"/>
          <w:lang w:eastAsia="en-AU"/>
        </w:rPr>
        <w:t>BloodSTAR</w:t>
      </w:r>
      <w:proofErr w:type="spellEnd"/>
      <w:r w:rsidR="00C55687">
        <w:rPr>
          <w:rFonts w:eastAsia="Times New Roman" w:cs="Arial"/>
          <w:sz w:val="22"/>
          <w:szCs w:val="24"/>
          <w:lang w:eastAsia="en-AU"/>
        </w:rPr>
        <w:t xml:space="preserve"> will generate a unique identifier in the </w:t>
      </w:r>
      <w:proofErr w:type="gramStart"/>
      <w:r w:rsidR="00C55687">
        <w:rPr>
          <w:rFonts w:eastAsia="Times New Roman" w:cs="Arial"/>
          <w:sz w:val="22"/>
          <w:szCs w:val="24"/>
          <w:lang w:eastAsia="en-AU"/>
        </w:rPr>
        <w:t>registry,</w:t>
      </w:r>
      <w:proofErr w:type="gramEnd"/>
      <w:r w:rsidR="00C55687">
        <w:rPr>
          <w:rFonts w:eastAsia="Times New Roman" w:cs="Arial"/>
          <w:sz w:val="22"/>
          <w:szCs w:val="24"/>
          <w:lang w:eastAsia="en-AU"/>
        </w:rPr>
        <w:t xml:space="preserve"> however this identifier is not used or displayed to system users.</w:t>
      </w:r>
    </w:p>
    <w:p w:rsidR="00A3370E" w:rsidRPr="00F4453E" w:rsidRDefault="00A3370E" w:rsidP="00A23C5C">
      <w:pPr>
        <w:pStyle w:val="Heading3"/>
      </w:pPr>
      <w:r w:rsidRPr="00F4453E">
        <w:t>Pseudonym</w:t>
      </w:r>
      <w:r w:rsidR="007D39DF">
        <w:t>ity</w:t>
      </w:r>
      <w:r w:rsidRPr="00F4453E">
        <w:t xml:space="preserve"> and anonymous options</w:t>
      </w:r>
    </w:p>
    <w:p w:rsidR="00AC5890" w:rsidRPr="009F25AD" w:rsidRDefault="00B36983" w:rsidP="009F25AD">
      <w:pPr>
        <w:spacing w:after="240"/>
        <w:rPr>
          <w:lang w:eastAsia="en-AU"/>
        </w:rPr>
      </w:pPr>
      <w:r w:rsidRPr="009F25AD">
        <w:rPr>
          <w:lang w:eastAsia="en-AU"/>
        </w:rPr>
        <w:t xml:space="preserve">Under APP 2 an individual must have the option of dealing with the NBA anonymously or by pseudonym as a default starting point. </w:t>
      </w:r>
      <w:r w:rsidR="00650796" w:rsidRPr="009F25AD">
        <w:rPr>
          <w:lang w:eastAsia="en-AU"/>
        </w:rPr>
        <w:t>However, t</w:t>
      </w:r>
      <w:r w:rsidRPr="009F25AD">
        <w:rPr>
          <w:lang w:eastAsia="en-AU"/>
        </w:rPr>
        <w:t>he NBA is not required to provide those options where the entity is required or authorised by law to deal with identified individuals or it is impracticable for the entity to deal with individuals that have not identified themselves. A patient may receive Ig product authorisation for treatment for a number of different conditions over time, via different hospitals, in different locations with different record management capabilities.</w:t>
      </w:r>
      <w:r w:rsidR="00650796" w:rsidRPr="009F25AD">
        <w:rPr>
          <w:lang w:eastAsia="en-AU"/>
        </w:rPr>
        <w:t xml:space="preserve">  Patients may have authorisation for the treatment of concurrent conditions.  </w:t>
      </w:r>
      <w:r w:rsidRPr="009F25AD">
        <w:rPr>
          <w:lang w:eastAsia="en-AU"/>
        </w:rPr>
        <w:t>Given the importance of identifying patients</w:t>
      </w:r>
      <w:r w:rsidR="00AC5890" w:rsidRPr="009F25AD">
        <w:rPr>
          <w:lang w:eastAsia="en-AU"/>
        </w:rPr>
        <w:t xml:space="preserve"> and understanding </w:t>
      </w:r>
      <w:r w:rsidR="00650796" w:rsidRPr="009F25AD">
        <w:rPr>
          <w:lang w:eastAsia="en-AU"/>
        </w:rPr>
        <w:t>t</w:t>
      </w:r>
      <w:r w:rsidRPr="009F25AD">
        <w:rPr>
          <w:lang w:eastAsia="en-AU"/>
        </w:rPr>
        <w:t xml:space="preserve">heir past </w:t>
      </w:r>
      <w:r w:rsidR="00AC5890" w:rsidRPr="009F25AD">
        <w:rPr>
          <w:lang w:eastAsia="en-AU"/>
        </w:rPr>
        <w:t>treatments</w:t>
      </w:r>
      <w:r w:rsidRPr="009F25AD">
        <w:rPr>
          <w:lang w:eastAsia="en-AU"/>
        </w:rPr>
        <w:t xml:space="preserve"> it may be </w:t>
      </w:r>
      <w:r w:rsidR="00650796" w:rsidRPr="009F25AD">
        <w:rPr>
          <w:lang w:eastAsia="en-AU"/>
        </w:rPr>
        <w:t xml:space="preserve">a patient safety risk and </w:t>
      </w:r>
      <w:r w:rsidRPr="009F25AD">
        <w:rPr>
          <w:lang w:eastAsia="en-AU"/>
        </w:rPr>
        <w:t>impracticable to link pseudonym</w:t>
      </w:r>
      <w:r w:rsidR="001D3BFA">
        <w:rPr>
          <w:lang w:eastAsia="en-AU"/>
        </w:rPr>
        <w:t>ity</w:t>
      </w:r>
      <w:r w:rsidR="00650796" w:rsidRPr="009F25AD">
        <w:rPr>
          <w:lang w:eastAsia="en-AU"/>
        </w:rPr>
        <w:t xml:space="preserve"> and anonymous</w:t>
      </w:r>
      <w:r w:rsidRPr="009F25AD">
        <w:rPr>
          <w:lang w:eastAsia="en-AU"/>
        </w:rPr>
        <w:t xml:space="preserve"> records with the actual patient record. </w:t>
      </w:r>
      <w:r w:rsidR="00AC5890" w:rsidRPr="009F25AD">
        <w:rPr>
          <w:lang w:eastAsia="en-AU"/>
        </w:rPr>
        <w:t xml:space="preserve"> A patient’s response to previous treatments including reactions </w:t>
      </w:r>
      <w:r w:rsidR="00F46714">
        <w:rPr>
          <w:lang w:eastAsia="en-AU"/>
        </w:rPr>
        <w:t xml:space="preserve">to some products </w:t>
      </w:r>
      <w:r w:rsidR="00AC5890" w:rsidRPr="009F25AD">
        <w:rPr>
          <w:lang w:eastAsia="en-AU"/>
        </w:rPr>
        <w:t xml:space="preserve">will impact on the decisions made by </w:t>
      </w:r>
      <w:r w:rsidR="00FB4EB5">
        <w:rPr>
          <w:lang w:eastAsia="en-AU"/>
        </w:rPr>
        <w:t>clinicians</w:t>
      </w:r>
      <w:r w:rsidR="00AC5890" w:rsidRPr="009F25AD">
        <w:rPr>
          <w:lang w:eastAsia="en-AU"/>
        </w:rPr>
        <w:t xml:space="preserve"> and authorisers, for continuing treatment for patient</w:t>
      </w:r>
      <w:r w:rsidR="00F46714">
        <w:rPr>
          <w:lang w:eastAsia="en-AU"/>
        </w:rPr>
        <w:t>s</w:t>
      </w:r>
      <w:r w:rsidR="00AC5890" w:rsidRPr="009F25AD">
        <w:rPr>
          <w:lang w:eastAsia="en-AU"/>
        </w:rPr>
        <w:t>.</w:t>
      </w:r>
    </w:p>
    <w:p w:rsidR="0075462F" w:rsidRDefault="0075462F" w:rsidP="009F25AD">
      <w:pPr>
        <w:spacing w:after="240"/>
        <w:rPr>
          <w:lang w:eastAsia="en-AU"/>
        </w:rPr>
      </w:pPr>
      <w:r>
        <w:rPr>
          <w:lang w:eastAsia="en-AU"/>
        </w:rPr>
        <w:t xml:space="preserve">When </w:t>
      </w:r>
      <w:proofErr w:type="spellStart"/>
      <w:r w:rsidR="002331D1">
        <w:rPr>
          <w:lang w:eastAsia="en-AU"/>
        </w:rPr>
        <w:t>BloodSTAR</w:t>
      </w:r>
      <w:proofErr w:type="spellEnd"/>
      <w:r>
        <w:rPr>
          <w:lang w:eastAsia="en-AU"/>
        </w:rPr>
        <w:t xml:space="preserve"> is introduced, it is expected that home delivery of product will become </w:t>
      </w:r>
      <w:r w:rsidR="009F15A7">
        <w:rPr>
          <w:lang w:eastAsia="en-AU"/>
        </w:rPr>
        <w:t>available</w:t>
      </w:r>
      <w:r>
        <w:rPr>
          <w:lang w:eastAsia="en-AU"/>
        </w:rPr>
        <w:t xml:space="preserve">.  </w:t>
      </w:r>
      <w:r w:rsidR="00B94FEE">
        <w:rPr>
          <w:lang w:eastAsia="en-AU"/>
        </w:rPr>
        <w:t>However, it</w:t>
      </w:r>
      <w:r w:rsidR="00B36983" w:rsidRPr="009F25AD">
        <w:rPr>
          <w:lang w:eastAsia="en-AU"/>
        </w:rPr>
        <w:t xml:space="preserve"> is also impracticable to provide pseudonym</w:t>
      </w:r>
      <w:r w:rsidR="001D3BFA">
        <w:rPr>
          <w:lang w:eastAsia="en-AU"/>
        </w:rPr>
        <w:t>ity</w:t>
      </w:r>
      <w:r w:rsidR="00B36983" w:rsidRPr="009F25AD">
        <w:rPr>
          <w:lang w:eastAsia="en-AU"/>
        </w:rPr>
        <w:t xml:space="preserve"> and anonymous options to patients who in the future may receive product by home delivery as </w:t>
      </w:r>
      <w:r w:rsidR="000764B3">
        <w:rPr>
          <w:lang w:eastAsia="en-AU"/>
        </w:rPr>
        <w:t>a</w:t>
      </w:r>
      <w:r w:rsidR="00B36983" w:rsidRPr="009F25AD">
        <w:rPr>
          <w:lang w:eastAsia="en-AU"/>
        </w:rPr>
        <w:t xml:space="preserve"> name and address is required to deliver the product</w:t>
      </w:r>
      <w:r w:rsidR="000764B3">
        <w:rPr>
          <w:lang w:eastAsia="en-AU"/>
        </w:rPr>
        <w:t xml:space="preserve"> to the authorised individual</w:t>
      </w:r>
      <w:r w:rsidR="00B36983" w:rsidRPr="009F25AD">
        <w:rPr>
          <w:lang w:eastAsia="en-AU"/>
        </w:rPr>
        <w:t xml:space="preserve">. </w:t>
      </w:r>
    </w:p>
    <w:p w:rsidR="00A23C5C" w:rsidRDefault="00650796" w:rsidP="009F25AD">
      <w:pPr>
        <w:spacing w:after="240"/>
        <w:rPr>
          <w:lang w:eastAsia="en-AU"/>
        </w:rPr>
      </w:pPr>
      <w:r w:rsidRPr="009F25AD">
        <w:rPr>
          <w:lang w:eastAsia="en-AU"/>
        </w:rPr>
        <w:t xml:space="preserve">The use of pseudonym and anonymous names would be ineffective where </w:t>
      </w:r>
      <w:r w:rsidR="00A23C5C">
        <w:rPr>
          <w:lang w:eastAsia="en-AU"/>
        </w:rPr>
        <w:t xml:space="preserve">other </w:t>
      </w:r>
      <w:r w:rsidRPr="009F25AD">
        <w:rPr>
          <w:lang w:eastAsia="en-AU"/>
        </w:rPr>
        <w:t xml:space="preserve">elements contained within the record </w:t>
      </w:r>
      <w:r w:rsidR="000764B3">
        <w:rPr>
          <w:lang w:eastAsia="en-AU"/>
        </w:rPr>
        <w:t xml:space="preserve">could </w:t>
      </w:r>
      <w:r w:rsidR="00A23C5C">
        <w:rPr>
          <w:lang w:eastAsia="en-AU"/>
        </w:rPr>
        <w:t>re-</w:t>
      </w:r>
      <w:r w:rsidR="000764B3">
        <w:rPr>
          <w:lang w:eastAsia="en-AU"/>
        </w:rPr>
        <w:t>identify the individual.</w:t>
      </w:r>
      <w:r w:rsidR="00A23C5C">
        <w:rPr>
          <w:lang w:eastAsia="en-AU"/>
        </w:rPr>
        <w:t xml:space="preserve">  </w:t>
      </w:r>
      <w:r w:rsidR="0075462F">
        <w:rPr>
          <w:lang w:eastAsia="en-AU"/>
        </w:rPr>
        <w:t>For example, t</w:t>
      </w:r>
      <w:r w:rsidR="0075462F" w:rsidRPr="009F25AD">
        <w:rPr>
          <w:lang w:eastAsia="en-AU"/>
        </w:rPr>
        <w:t xml:space="preserve">he patient Medical Record Number is an identifiable element of the patient record, used </w:t>
      </w:r>
      <w:r w:rsidR="0075462F">
        <w:rPr>
          <w:lang w:eastAsia="en-AU"/>
        </w:rPr>
        <w:t xml:space="preserve">as a critical personal identifier and </w:t>
      </w:r>
      <w:r w:rsidR="0075462F" w:rsidRPr="009F25AD">
        <w:rPr>
          <w:lang w:eastAsia="en-AU"/>
        </w:rPr>
        <w:t xml:space="preserve">to facilitate the exchange of data between the hospital laboratory information system and </w:t>
      </w:r>
      <w:proofErr w:type="spellStart"/>
      <w:r w:rsidR="0075462F" w:rsidRPr="009F25AD">
        <w:rPr>
          <w:lang w:eastAsia="en-AU"/>
        </w:rPr>
        <w:t>BloodNet</w:t>
      </w:r>
      <w:proofErr w:type="spellEnd"/>
      <w:r w:rsidR="0075462F" w:rsidRPr="009F25AD">
        <w:rPr>
          <w:lang w:eastAsia="en-AU"/>
        </w:rPr>
        <w:t xml:space="preserve">.  </w:t>
      </w:r>
      <w:r w:rsidR="00A23C5C">
        <w:rPr>
          <w:lang w:eastAsia="en-AU"/>
        </w:rPr>
        <w:t xml:space="preserve">Where we are unable to make any guarantee of not </w:t>
      </w:r>
      <w:r w:rsidR="0075462F">
        <w:rPr>
          <w:lang w:eastAsia="en-AU"/>
        </w:rPr>
        <w:t>being able to re-</w:t>
      </w:r>
      <w:r w:rsidR="00A23C5C">
        <w:rPr>
          <w:lang w:eastAsia="en-AU"/>
        </w:rPr>
        <w:t>identify an individual, a privacy consent form would still need to be provided</w:t>
      </w:r>
      <w:r w:rsidR="0075462F">
        <w:rPr>
          <w:lang w:eastAsia="en-AU"/>
        </w:rPr>
        <w:t xml:space="preserve"> by the patient</w:t>
      </w:r>
      <w:r w:rsidR="00A23C5C">
        <w:rPr>
          <w:lang w:eastAsia="en-AU"/>
        </w:rPr>
        <w:t xml:space="preserve">. </w:t>
      </w:r>
      <w:r w:rsidR="0075462F">
        <w:rPr>
          <w:lang w:eastAsia="en-AU"/>
        </w:rPr>
        <w:t>The use of hospital identifiers without other identification elements, such as name and date of birth would present a patient safety risk for patient identification and matching appropriate treatment.</w:t>
      </w:r>
    </w:p>
    <w:p w:rsidR="00A23C5C" w:rsidRPr="00DB5E04" w:rsidRDefault="00A23C5C" w:rsidP="00A23C5C">
      <w:pPr>
        <w:pStyle w:val="Heading3"/>
      </w:pPr>
      <w:r w:rsidRPr="00DB5E04">
        <w:t>Removal of name and use of hospital identifier for patient records</w:t>
      </w:r>
    </w:p>
    <w:p w:rsidR="00102DED" w:rsidRDefault="00A23C5C" w:rsidP="009F25AD">
      <w:pPr>
        <w:spacing w:after="240"/>
        <w:rPr>
          <w:lang w:eastAsia="en-AU"/>
        </w:rPr>
      </w:pPr>
      <w:r w:rsidRPr="00DB5E04">
        <w:rPr>
          <w:lang w:eastAsia="en-AU"/>
        </w:rPr>
        <w:lastRenderedPageBreak/>
        <w:t xml:space="preserve">Western Australia </w:t>
      </w:r>
      <w:r w:rsidR="006C79AD" w:rsidRPr="00DB5E04">
        <w:rPr>
          <w:lang w:eastAsia="en-AU"/>
        </w:rPr>
        <w:t xml:space="preserve">Department of </w:t>
      </w:r>
      <w:r w:rsidRPr="00DB5E04">
        <w:rPr>
          <w:lang w:eastAsia="en-AU"/>
        </w:rPr>
        <w:t xml:space="preserve">Health has suggested using the hospital identifier in the place of the patient name. In WA, a hospital identifier is unique to the patient and is transportable across hospitals. </w:t>
      </w:r>
      <w:r w:rsidR="00A23A51" w:rsidRPr="00DB5E04">
        <w:rPr>
          <w:lang w:eastAsia="en-AU"/>
        </w:rPr>
        <w:t xml:space="preserve">This is not the case in other </w:t>
      </w:r>
      <w:r w:rsidR="00913AFC">
        <w:rPr>
          <w:lang w:eastAsia="en-AU"/>
        </w:rPr>
        <w:t>s</w:t>
      </w:r>
      <w:r w:rsidR="00A23A51" w:rsidRPr="00DB5E04">
        <w:rPr>
          <w:lang w:eastAsia="en-AU"/>
        </w:rPr>
        <w:t>tates</w:t>
      </w:r>
      <w:r w:rsidR="00913AFC">
        <w:rPr>
          <w:lang w:eastAsia="en-AU"/>
        </w:rPr>
        <w:t>/t</w:t>
      </w:r>
      <w:r w:rsidR="00A23A51" w:rsidRPr="00DB5E04">
        <w:rPr>
          <w:lang w:eastAsia="en-AU"/>
        </w:rPr>
        <w:t>erritories where a single patient may have many hospital identifiers, including multiple hospital identifiers which relate to the same hospital.</w:t>
      </w:r>
      <w:r w:rsidR="00DB5E04">
        <w:rPr>
          <w:lang w:eastAsia="en-AU"/>
        </w:rPr>
        <w:t xml:space="preserve">  The private setting also presents a challenge, as hospital identifiers may not </w:t>
      </w:r>
      <w:r w:rsidR="00F120F2">
        <w:rPr>
          <w:lang w:eastAsia="en-AU"/>
        </w:rPr>
        <w:t xml:space="preserve">exist and would not </w:t>
      </w:r>
      <w:r w:rsidR="00DB5E04">
        <w:rPr>
          <w:lang w:eastAsia="en-AU"/>
        </w:rPr>
        <w:t>be transferrable.</w:t>
      </w:r>
    </w:p>
    <w:p w:rsidR="00A23A51" w:rsidRDefault="00A23A51" w:rsidP="009F25AD">
      <w:pPr>
        <w:spacing w:after="240"/>
        <w:rPr>
          <w:lang w:eastAsia="en-AU"/>
        </w:rPr>
      </w:pPr>
      <w:r>
        <w:rPr>
          <w:lang w:eastAsia="en-AU"/>
        </w:rPr>
        <w:t xml:space="preserve">The risk of utilising a hospital identifier as a point of </w:t>
      </w:r>
      <w:r w:rsidR="006E2501">
        <w:rPr>
          <w:lang w:eastAsia="en-AU"/>
        </w:rPr>
        <w:t>identification</w:t>
      </w:r>
      <w:r>
        <w:rPr>
          <w:lang w:eastAsia="en-AU"/>
        </w:rPr>
        <w:t xml:space="preserve"> is </w:t>
      </w:r>
      <w:r w:rsidR="00801A0D">
        <w:rPr>
          <w:lang w:eastAsia="en-AU"/>
        </w:rPr>
        <w:t xml:space="preserve">the lack of confidence in establishing the identity of a patient on an </w:t>
      </w:r>
      <w:r w:rsidR="003A78E3">
        <w:rPr>
          <w:lang w:eastAsia="en-AU"/>
        </w:rPr>
        <w:t>identifier</w:t>
      </w:r>
      <w:r w:rsidR="00801A0D">
        <w:rPr>
          <w:lang w:eastAsia="en-AU"/>
        </w:rPr>
        <w:t xml:space="preserve"> alone, parti</w:t>
      </w:r>
      <w:r w:rsidR="003A78E3">
        <w:rPr>
          <w:lang w:eastAsia="en-AU"/>
        </w:rPr>
        <w:t xml:space="preserve">cularly if the patient travels interstate and requires treatment with authorised product.  </w:t>
      </w:r>
      <w:r w:rsidR="00DB5E04">
        <w:rPr>
          <w:lang w:eastAsia="en-AU"/>
        </w:rPr>
        <w:t>There is current expectation that a patient can receive one or more infusions under a current authorisation in any facility Australia</w:t>
      </w:r>
      <w:r w:rsidR="007D39DF">
        <w:rPr>
          <w:lang w:eastAsia="en-AU"/>
        </w:rPr>
        <w:t>-</w:t>
      </w:r>
      <w:r w:rsidR="00DB5E04">
        <w:rPr>
          <w:lang w:eastAsia="en-AU"/>
        </w:rPr>
        <w:t>wide.</w:t>
      </w:r>
    </w:p>
    <w:p w:rsidR="00A23C5C" w:rsidRPr="006D3B39" w:rsidRDefault="00A23A51" w:rsidP="00A23A51">
      <w:pPr>
        <w:pStyle w:val="Heading2"/>
      </w:pPr>
      <w:bookmarkStart w:id="58" w:name="_Ref417407334"/>
      <w:bookmarkStart w:id="59" w:name="_Toc434574649"/>
      <w:r w:rsidRPr="006D3B39">
        <w:t>Privacy Survey</w:t>
      </w:r>
      <w:bookmarkEnd w:id="58"/>
      <w:bookmarkEnd w:id="59"/>
    </w:p>
    <w:p w:rsidR="00350B62" w:rsidRDefault="00350B62" w:rsidP="00350B62">
      <w:pPr>
        <w:pStyle w:val="Heading3"/>
      </w:pPr>
      <w:r>
        <w:t>Introduction</w:t>
      </w:r>
    </w:p>
    <w:p w:rsidR="00350B62" w:rsidRDefault="00350B62" w:rsidP="00350B62">
      <w:pPr>
        <w:spacing w:after="240"/>
        <w:rPr>
          <w:lang w:eastAsia="en-AU"/>
        </w:rPr>
      </w:pPr>
      <w:r w:rsidRPr="000E7741">
        <w:t xml:space="preserve">The National Blood Authority (NBA) conducted an Immunoglobulin (Ig) System Privacy Survey as part of the Ig </w:t>
      </w:r>
      <w:r>
        <w:t xml:space="preserve">Governance and </w:t>
      </w:r>
      <w:r w:rsidRPr="000E7741">
        <w:t>System Development Project</w:t>
      </w:r>
      <w:r>
        <w:t>s</w:t>
      </w:r>
      <w:r w:rsidRPr="000E7741">
        <w:t>. The survey</w:t>
      </w:r>
      <w:r>
        <w:t>’s</w:t>
      </w:r>
      <w:r w:rsidRPr="000E7741">
        <w:t xml:space="preserve"> aim</w:t>
      </w:r>
      <w:r>
        <w:t xml:space="preserve"> was</w:t>
      </w:r>
      <w:r w:rsidRPr="000E7741">
        <w:t xml:space="preserve"> to gain more detailed insight into users expectations on </w:t>
      </w:r>
      <w:r>
        <w:t>levels of access v</w:t>
      </w:r>
      <w:r w:rsidR="009617EB">
        <w:t>er</w:t>
      </w:r>
      <w:r>
        <w:t>s</w:t>
      </w:r>
      <w:r w:rsidR="009617EB">
        <w:t>us</w:t>
      </w:r>
      <w:r>
        <w:t xml:space="preserve"> privacy constraints in </w:t>
      </w:r>
      <w:r w:rsidRPr="000E7741">
        <w:t>system design</w:t>
      </w:r>
      <w:r>
        <w:t xml:space="preserve"> and capability</w:t>
      </w:r>
      <w:r w:rsidRPr="000E7741">
        <w:t>.</w:t>
      </w:r>
      <w:r w:rsidR="00D207C9">
        <w:t xml:space="preserve">  While the system has been named </w:t>
      </w:r>
      <w:proofErr w:type="spellStart"/>
      <w:r w:rsidR="00D207C9">
        <w:t>BloodSTAR</w:t>
      </w:r>
      <w:proofErr w:type="spellEnd"/>
      <w:r w:rsidR="00D207C9">
        <w:t>, Ig System has been retained in this section to maintain consistency with the terminology at the time the survey was circulated.</w:t>
      </w:r>
    </w:p>
    <w:p w:rsidR="00350B62" w:rsidRDefault="00350B62" w:rsidP="00350B62">
      <w:pPr>
        <w:spacing w:after="240"/>
        <w:rPr>
          <w:lang w:eastAsia="en-AU"/>
        </w:rPr>
      </w:pPr>
      <w:r>
        <w:rPr>
          <w:lang w:eastAsia="en-AU"/>
        </w:rPr>
        <w:t xml:space="preserve">Initial circulation of the survey went to 66 participants who were members of </w:t>
      </w:r>
      <w:r w:rsidR="001D735F">
        <w:rPr>
          <w:lang w:eastAsia="en-AU"/>
        </w:rPr>
        <w:t>the Ig System</w:t>
      </w:r>
      <w:r>
        <w:rPr>
          <w:lang w:eastAsia="en-AU"/>
        </w:rPr>
        <w:t xml:space="preserve"> User Reference Groups.  Subsequently, the Blood Service, on behalf of the NBA, circulated the survey to an additional 1236 stakeholders.</w:t>
      </w:r>
    </w:p>
    <w:p w:rsidR="009617EB" w:rsidRDefault="00350B62" w:rsidP="00350B62">
      <w:pPr>
        <w:spacing w:after="240"/>
        <w:rPr>
          <w:lang w:eastAsia="en-AU"/>
        </w:rPr>
      </w:pPr>
      <w:r>
        <w:rPr>
          <w:lang w:eastAsia="en-AU"/>
        </w:rPr>
        <w:t>The survey consisted of 25 questions, and included</w:t>
      </w:r>
      <w:r w:rsidR="009617EB">
        <w:rPr>
          <w:lang w:eastAsia="en-AU"/>
        </w:rPr>
        <w:t>:</w:t>
      </w:r>
    </w:p>
    <w:p w:rsidR="009617EB" w:rsidRDefault="00350B62" w:rsidP="002B7E38">
      <w:pPr>
        <w:pStyle w:val="ListParagraph"/>
        <w:numPr>
          <w:ilvl w:val="0"/>
          <w:numId w:val="41"/>
        </w:numPr>
        <w:spacing w:after="240"/>
        <w:rPr>
          <w:lang w:eastAsia="en-AU"/>
        </w:rPr>
      </w:pPr>
      <w:r>
        <w:rPr>
          <w:lang w:eastAsia="en-AU"/>
        </w:rPr>
        <w:t>descriptions of Survey Purpose (the Preamble)</w:t>
      </w:r>
      <w:r w:rsidR="009617EB">
        <w:rPr>
          <w:lang w:eastAsia="en-AU"/>
        </w:rPr>
        <w:t>;</w:t>
      </w:r>
    </w:p>
    <w:p w:rsidR="009617EB" w:rsidRDefault="00350B62" w:rsidP="002B7E38">
      <w:pPr>
        <w:pStyle w:val="ListParagraph"/>
        <w:numPr>
          <w:ilvl w:val="0"/>
          <w:numId w:val="41"/>
        </w:numPr>
        <w:spacing w:after="240"/>
        <w:rPr>
          <w:lang w:eastAsia="en-AU"/>
        </w:rPr>
      </w:pPr>
      <w:r>
        <w:rPr>
          <w:lang w:eastAsia="en-AU"/>
        </w:rPr>
        <w:t>make-up of the patient record held in the patient registry</w:t>
      </w:r>
      <w:r w:rsidR="009617EB">
        <w:rPr>
          <w:lang w:eastAsia="en-AU"/>
        </w:rPr>
        <w:t>;</w:t>
      </w:r>
    </w:p>
    <w:p w:rsidR="009617EB" w:rsidRDefault="00350B62" w:rsidP="002B7E38">
      <w:pPr>
        <w:pStyle w:val="ListParagraph"/>
        <w:numPr>
          <w:ilvl w:val="0"/>
          <w:numId w:val="41"/>
        </w:numPr>
        <w:spacing w:after="240"/>
        <w:rPr>
          <w:lang w:eastAsia="en-AU"/>
        </w:rPr>
      </w:pPr>
      <w:r>
        <w:rPr>
          <w:lang w:eastAsia="en-AU"/>
        </w:rPr>
        <w:t>a range of assumptions</w:t>
      </w:r>
      <w:r w:rsidR="009617EB">
        <w:rPr>
          <w:lang w:eastAsia="en-AU"/>
        </w:rPr>
        <w:t>;</w:t>
      </w:r>
      <w:r>
        <w:rPr>
          <w:lang w:eastAsia="en-AU"/>
        </w:rPr>
        <w:t xml:space="preserve"> and </w:t>
      </w:r>
    </w:p>
    <w:p w:rsidR="00E66547" w:rsidRDefault="00350B62" w:rsidP="002B7E38">
      <w:pPr>
        <w:pStyle w:val="ListParagraph"/>
        <w:numPr>
          <w:ilvl w:val="0"/>
          <w:numId w:val="41"/>
        </w:numPr>
        <w:spacing w:after="240"/>
        <w:rPr>
          <w:lang w:eastAsia="en-AU"/>
        </w:rPr>
      </w:pPr>
      <w:r>
        <w:rPr>
          <w:lang w:eastAsia="en-AU"/>
        </w:rPr>
        <w:t xml:space="preserve">19 questions describing scenarios in which a system user would need to search for patient records and the level of patient information available to them.  The scenarios were specific to individual roles within the system; </w:t>
      </w:r>
    </w:p>
    <w:p w:rsidR="00E66547" w:rsidRDefault="00350B62" w:rsidP="002B7E38">
      <w:pPr>
        <w:pStyle w:val="ListParagraph"/>
        <w:numPr>
          <w:ilvl w:val="1"/>
          <w:numId w:val="41"/>
        </w:numPr>
        <w:spacing w:after="240"/>
        <w:rPr>
          <w:lang w:eastAsia="en-AU"/>
        </w:rPr>
      </w:pPr>
      <w:r>
        <w:rPr>
          <w:lang w:eastAsia="en-AU"/>
        </w:rPr>
        <w:t>Prescriber (8)</w:t>
      </w:r>
      <w:r w:rsidR="00E66547">
        <w:rPr>
          <w:lang w:eastAsia="en-AU"/>
        </w:rPr>
        <w:t>:</w:t>
      </w:r>
      <w:r>
        <w:rPr>
          <w:lang w:eastAsia="en-AU"/>
        </w:rPr>
        <w:t xml:space="preserve"> </w:t>
      </w:r>
    </w:p>
    <w:p w:rsidR="00E66547" w:rsidRDefault="00350B62" w:rsidP="002B7E38">
      <w:pPr>
        <w:pStyle w:val="ListParagraph"/>
        <w:numPr>
          <w:ilvl w:val="1"/>
          <w:numId w:val="41"/>
        </w:numPr>
        <w:spacing w:after="240"/>
        <w:rPr>
          <w:lang w:eastAsia="en-AU"/>
        </w:rPr>
      </w:pPr>
      <w:r>
        <w:rPr>
          <w:lang w:eastAsia="en-AU"/>
        </w:rPr>
        <w:t>Authoriser (5)</w:t>
      </w:r>
      <w:r w:rsidR="00E66547">
        <w:rPr>
          <w:lang w:eastAsia="en-AU"/>
        </w:rPr>
        <w:t>:</w:t>
      </w:r>
      <w:r>
        <w:rPr>
          <w:lang w:eastAsia="en-AU"/>
        </w:rPr>
        <w:t xml:space="preserve"> </w:t>
      </w:r>
    </w:p>
    <w:p w:rsidR="00E66547" w:rsidRDefault="00350B62" w:rsidP="002B7E38">
      <w:pPr>
        <w:pStyle w:val="ListParagraph"/>
        <w:numPr>
          <w:ilvl w:val="1"/>
          <w:numId w:val="41"/>
        </w:numPr>
        <w:spacing w:after="240"/>
        <w:rPr>
          <w:lang w:eastAsia="en-AU"/>
        </w:rPr>
      </w:pPr>
      <w:r>
        <w:rPr>
          <w:lang w:eastAsia="en-AU"/>
        </w:rPr>
        <w:t>Nurse (3)</w:t>
      </w:r>
      <w:r w:rsidR="00E66547">
        <w:rPr>
          <w:lang w:eastAsia="en-AU"/>
        </w:rPr>
        <w:t>;</w:t>
      </w:r>
      <w:r>
        <w:rPr>
          <w:lang w:eastAsia="en-AU"/>
        </w:rPr>
        <w:t xml:space="preserve"> and </w:t>
      </w:r>
    </w:p>
    <w:p w:rsidR="00350B62" w:rsidRDefault="00350B62" w:rsidP="002B7E38">
      <w:pPr>
        <w:pStyle w:val="ListParagraph"/>
        <w:numPr>
          <w:ilvl w:val="1"/>
          <w:numId w:val="41"/>
        </w:numPr>
        <w:spacing w:after="240"/>
        <w:rPr>
          <w:lang w:eastAsia="en-AU"/>
        </w:rPr>
      </w:pPr>
      <w:r>
        <w:rPr>
          <w:lang w:eastAsia="en-AU"/>
        </w:rPr>
        <w:t>Dispenser (3).</w:t>
      </w:r>
    </w:p>
    <w:p w:rsidR="00350B62" w:rsidRDefault="00350B62" w:rsidP="00350B62">
      <w:pPr>
        <w:pStyle w:val="Heading3"/>
      </w:pPr>
      <w:r>
        <w:t xml:space="preserve">Analysis on Survey Results </w:t>
      </w:r>
    </w:p>
    <w:p w:rsidR="00350B62" w:rsidRDefault="00350B62" w:rsidP="00350B62">
      <w:pPr>
        <w:spacing w:after="240"/>
        <w:rPr>
          <w:lang w:eastAsia="en-AU"/>
        </w:rPr>
      </w:pPr>
      <w:r>
        <w:rPr>
          <w:lang w:eastAsia="en-AU"/>
        </w:rPr>
        <w:t>The survey closed on 28 February 2015 with 204 resp</w:t>
      </w:r>
      <w:r w:rsidR="00913AFC">
        <w:rPr>
          <w:lang w:eastAsia="en-AU"/>
        </w:rPr>
        <w:t>ondents across the s</w:t>
      </w:r>
      <w:r>
        <w:rPr>
          <w:lang w:eastAsia="en-AU"/>
        </w:rPr>
        <w:t xml:space="preserve">tates and </w:t>
      </w:r>
      <w:r w:rsidR="00913AFC">
        <w:rPr>
          <w:lang w:eastAsia="en-AU"/>
        </w:rPr>
        <w:t>t</w:t>
      </w:r>
      <w:r>
        <w:rPr>
          <w:lang w:eastAsia="en-AU"/>
        </w:rPr>
        <w:t xml:space="preserve">erritories and five key stakeholder (role) groups, a breakdown of survey respondents is listed in </w:t>
      </w:r>
      <w:r>
        <w:rPr>
          <w:lang w:eastAsia="en-AU"/>
        </w:rPr>
        <w:fldChar w:fldCharType="begin"/>
      </w:r>
      <w:r>
        <w:rPr>
          <w:lang w:eastAsia="en-AU"/>
        </w:rPr>
        <w:instrText xml:space="preserve"> REF _Ref413082020 \h </w:instrText>
      </w:r>
      <w:r>
        <w:rPr>
          <w:lang w:eastAsia="en-AU"/>
        </w:rPr>
      </w:r>
      <w:r>
        <w:rPr>
          <w:lang w:eastAsia="en-AU"/>
        </w:rPr>
        <w:fldChar w:fldCharType="separate"/>
      </w:r>
      <w:r w:rsidR="007C3A85">
        <w:t xml:space="preserve">Table </w:t>
      </w:r>
      <w:r w:rsidR="007C3A85">
        <w:rPr>
          <w:noProof/>
        </w:rPr>
        <w:t>2</w:t>
      </w:r>
      <w:r>
        <w:rPr>
          <w:lang w:eastAsia="en-AU"/>
        </w:rPr>
        <w:fldChar w:fldCharType="end"/>
      </w:r>
      <w:r>
        <w:rPr>
          <w:lang w:eastAsia="en-AU"/>
        </w:rPr>
        <w:t xml:space="preserve">.   The number of Ig System users performing one of the five roles, as listed in </w:t>
      </w:r>
      <w:r>
        <w:rPr>
          <w:lang w:eastAsia="en-AU"/>
        </w:rPr>
        <w:fldChar w:fldCharType="begin"/>
      </w:r>
      <w:r>
        <w:rPr>
          <w:lang w:eastAsia="en-AU"/>
        </w:rPr>
        <w:instrText xml:space="preserve"> REF _Ref413082020 \h </w:instrText>
      </w:r>
      <w:r>
        <w:rPr>
          <w:lang w:eastAsia="en-AU"/>
        </w:rPr>
      </w:r>
      <w:r>
        <w:rPr>
          <w:lang w:eastAsia="en-AU"/>
        </w:rPr>
        <w:fldChar w:fldCharType="separate"/>
      </w:r>
      <w:r w:rsidR="007C3A85">
        <w:t xml:space="preserve">Table </w:t>
      </w:r>
      <w:r w:rsidR="007C3A85">
        <w:rPr>
          <w:noProof/>
        </w:rPr>
        <w:t>2</w:t>
      </w:r>
      <w:r>
        <w:rPr>
          <w:lang w:eastAsia="en-AU"/>
        </w:rPr>
        <w:fldChar w:fldCharType="end"/>
      </w:r>
      <w:r>
        <w:rPr>
          <w:lang w:eastAsia="en-AU"/>
        </w:rPr>
        <w:t xml:space="preserve">, is anticipated to be 1500; the number of respondents represents 14% of the cohort. </w:t>
      </w:r>
    </w:p>
    <w:p w:rsidR="00350B62" w:rsidRDefault="00350B62" w:rsidP="00350B62">
      <w:pPr>
        <w:pStyle w:val="Caption"/>
        <w:keepNext/>
      </w:pPr>
      <w:bookmarkStart w:id="60" w:name="_Ref413082020"/>
      <w:r>
        <w:lastRenderedPageBreak/>
        <w:t xml:space="preserve">Table </w:t>
      </w:r>
      <w:r w:rsidR="00FD40F1">
        <w:fldChar w:fldCharType="begin"/>
      </w:r>
      <w:r w:rsidR="00FD40F1">
        <w:instrText xml:space="preserve"> SEQ Table \* ARABIC </w:instrText>
      </w:r>
      <w:r w:rsidR="00FD40F1">
        <w:fldChar w:fldCharType="separate"/>
      </w:r>
      <w:r w:rsidR="007C3A85">
        <w:rPr>
          <w:noProof/>
        </w:rPr>
        <w:t>2</w:t>
      </w:r>
      <w:r w:rsidR="00FD40F1">
        <w:rPr>
          <w:noProof/>
        </w:rPr>
        <w:fldChar w:fldCharType="end"/>
      </w:r>
      <w:bookmarkEnd w:id="60"/>
      <w:r>
        <w:t xml:space="preserve">: Survey Respondents by </w:t>
      </w:r>
      <w:r w:rsidR="00913AFC">
        <w:t>S</w:t>
      </w:r>
      <w:r>
        <w:t>tate and Role (Q1 &amp; Q2)</w:t>
      </w:r>
    </w:p>
    <w:tbl>
      <w:tblPr>
        <w:tblW w:w="6585" w:type="dxa"/>
        <w:tblInd w:w="93" w:type="dxa"/>
        <w:tblLook w:val="04A0" w:firstRow="1" w:lastRow="0" w:firstColumn="1" w:lastColumn="0" w:noHBand="0" w:noVBand="1"/>
      </w:tblPr>
      <w:tblGrid>
        <w:gridCol w:w="1307"/>
        <w:gridCol w:w="617"/>
        <w:gridCol w:w="700"/>
        <w:gridCol w:w="483"/>
        <w:gridCol w:w="628"/>
        <w:gridCol w:w="483"/>
        <w:gridCol w:w="606"/>
        <w:gridCol w:w="550"/>
        <w:gridCol w:w="539"/>
        <w:gridCol w:w="672"/>
      </w:tblGrid>
      <w:tr w:rsidR="00350B62" w:rsidRPr="000C40A2" w:rsidTr="009617EB">
        <w:trPr>
          <w:trHeight w:val="255"/>
        </w:trPr>
        <w:tc>
          <w:tcPr>
            <w:tcW w:w="1307" w:type="dxa"/>
            <w:tcBorders>
              <w:top w:val="single" w:sz="4" w:space="0" w:color="808080"/>
              <w:left w:val="single" w:sz="4" w:space="0" w:color="808080"/>
              <w:bottom w:val="single" w:sz="4" w:space="0" w:color="808080"/>
              <w:right w:val="single" w:sz="4" w:space="0" w:color="808080"/>
            </w:tcBorders>
            <w:shd w:val="clear" w:color="000000" w:fill="808080"/>
            <w:noWrap/>
            <w:vAlign w:val="bottom"/>
            <w:hideMark/>
          </w:tcPr>
          <w:p w:rsidR="00350B62" w:rsidRPr="000C40A2" w:rsidRDefault="00350B62" w:rsidP="009617EB">
            <w:pPr>
              <w:spacing w:after="0" w:line="240" w:lineRule="auto"/>
              <w:rPr>
                <w:rFonts w:ascii="Microsoft Sans Serif" w:eastAsia="Times New Roman" w:hAnsi="Microsoft Sans Serif" w:cs="Microsoft Sans Serif"/>
                <w:b/>
                <w:bCs/>
                <w:sz w:val="20"/>
                <w:szCs w:val="20"/>
                <w:lang w:eastAsia="en-AU"/>
              </w:rPr>
            </w:pPr>
            <w:r w:rsidRPr="000C40A2">
              <w:rPr>
                <w:rFonts w:ascii="Microsoft Sans Serif" w:eastAsia="Times New Roman" w:hAnsi="Microsoft Sans Serif" w:cs="Microsoft Sans Serif"/>
                <w:b/>
                <w:bCs/>
                <w:sz w:val="20"/>
                <w:szCs w:val="20"/>
                <w:lang w:eastAsia="en-AU"/>
              </w:rPr>
              <w:t> </w:t>
            </w:r>
          </w:p>
        </w:tc>
        <w:tc>
          <w:tcPr>
            <w:tcW w:w="5278" w:type="dxa"/>
            <w:gridSpan w:val="9"/>
            <w:tcBorders>
              <w:top w:val="single" w:sz="4" w:space="0" w:color="808080"/>
              <w:left w:val="nil"/>
              <w:bottom w:val="single" w:sz="4" w:space="0" w:color="808080"/>
              <w:right w:val="single" w:sz="4" w:space="0" w:color="808080"/>
            </w:tcBorders>
            <w:shd w:val="clear" w:color="000000" w:fill="FFC000"/>
            <w:noWrap/>
            <w:hideMark/>
          </w:tcPr>
          <w:p w:rsidR="00350B62" w:rsidRPr="000C40A2" w:rsidRDefault="00350B62" w:rsidP="009617EB">
            <w:pPr>
              <w:spacing w:after="0" w:line="240" w:lineRule="auto"/>
              <w:rPr>
                <w:rFonts w:ascii="Microsoft Sans Serif" w:eastAsia="Times New Roman" w:hAnsi="Microsoft Sans Serif" w:cs="Microsoft Sans Serif"/>
                <w:b/>
                <w:bCs/>
                <w:sz w:val="20"/>
                <w:szCs w:val="20"/>
                <w:lang w:eastAsia="en-AU"/>
              </w:rPr>
            </w:pPr>
            <w:r w:rsidRPr="000C40A2">
              <w:rPr>
                <w:rFonts w:ascii="Microsoft Sans Serif" w:eastAsia="Times New Roman" w:hAnsi="Microsoft Sans Serif" w:cs="Microsoft Sans Serif"/>
                <w:b/>
                <w:bCs/>
                <w:sz w:val="20"/>
                <w:szCs w:val="20"/>
                <w:lang w:eastAsia="en-AU"/>
              </w:rPr>
              <w:t>State</w:t>
            </w:r>
          </w:p>
        </w:tc>
      </w:tr>
      <w:tr w:rsidR="00350B62" w:rsidRPr="000C40A2" w:rsidTr="009617EB">
        <w:trPr>
          <w:trHeight w:val="255"/>
        </w:trPr>
        <w:tc>
          <w:tcPr>
            <w:tcW w:w="1307" w:type="dxa"/>
            <w:tcBorders>
              <w:top w:val="nil"/>
              <w:left w:val="single" w:sz="4" w:space="0" w:color="808080"/>
              <w:bottom w:val="single" w:sz="4" w:space="0" w:color="808080"/>
              <w:right w:val="single" w:sz="4" w:space="0" w:color="808080"/>
            </w:tcBorders>
            <w:shd w:val="clear" w:color="000000" w:fill="FFC000"/>
            <w:noWrap/>
            <w:vAlign w:val="bottom"/>
            <w:hideMark/>
          </w:tcPr>
          <w:p w:rsidR="00350B62" w:rsidRPr="000C40A2" w:rsidRDefault="00350B62" w:rsidP="009617EB">
            <w:pPr>
              <w:spacing w:after="0" w:line="240" w:lineRule="auto"/>
              <w:rPr>
                <w:rFonts w:ascii="Microsoft Sans Serif" w:eastAsia="Times New Roman" w:hAnsi="Microsoft Sans Serif" w:cs="Microsoft Sans Serif"/>
                <w:b/>
                <w:bCs/>
                <w:sz w:val="20"/>
                <w:szCs w:val="20"/>
                <w:lang w:eastAsia="en-AU"/>
              </w:rPr>
            </w:pPr>
            <w:r w:rsidRPr="000C40A2">
              <w:rPr>
                <w:rFonts w:ascii="Microsoft Sans Serif" w:eastAsia="Times New Roman" w:hAnsi="Microsoft Sans Serif" w:cs="Microsoft Sans Serif"/>
                <w:b/>
                <w:bCs/>
                <w:sz w:val="20"/>
                <w:szCs w:val="20"/>
                <w:lang w:eastAsia="en-AU"/>
              </w:rPr>
              <w:t>Role</w:t>
            </w:r>
          </w:p>
        </w:tc>
        <w:tc>
          <w:tcPr>
            <w:tcW w:w="617" w:type="dxa"/>
            <w:tcBorders>
              <w:top w:val="nil"/>
              <w:left w:val="nil"/>
              <w:bottom w:val="single" w:sz="4" w:space="0" w:color="808080"/>
              <w:right w:val="single" w:sz="4" w:space="0" w:color="808080"/>
            </w:tcBorders>
            <w:shd w:val="clear" w:color="000000" w:fill="FFC000"/>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b/>
                <w:bCs/>
                <w:sz w:val="20"/>
                <w:szCs w:val="20"/>
                <w:lang w:eastAsia="en-AU"/>
              </w:rPr>
            </w:pPr>
            <w:r w:rsidRPr="000C40A2">
              <w:rPr>
                <w:rFonts w:ascii="Microsoft Sans Serif" w:eastAsia="Times New Roman" w:hAnsi="Microsoft Sans Serif" w:cs="Microsoft Sans Serif"/>
                <w:b/>
                <w:bCs/>
                <w:sz w:val="20"/>
                <w:szCs w:val="20"/>
                <w:lang w:eastAsia="en-AU"/>
              </w:rPr>
              <w:t>ACT</w:t>
            </w:r>
          </w:p>
        </w:tc>
        <w:tc>
          <w:tcPr>
            <w:tcW w:w="700" w:type="dxa"/>
            <w:tcBorders>
              <w:top w:val="nil"/>
              <w:left w:val="nil"/>
              <w:bottom w:val="single" w:sz="4" w:space="0" w:color="808080"/>
              <w:right w:val="single" w:sz="4" w:space="0" w:color="808080"/>
            </w:tcBorders>
            <w:shd w:val="clear" w:color="000000" w:fill="FFC000"/>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b/>
                <w:bCs/>
                <w:sz w:val="20"/>
                <w:szCs w:val="20"/>
                <w:lang w:eastAsia="en-AU"/>
              </w:rPr>
            </w:pPr>
            <w:r w:rsidRPr="000C40A2">
              <w:rPr>
                <w:rFonts w:ascii="Microsoft Sans Serif" w:eastAsia="Times New Roman" w:hAnsi="Microsoft Sans Serif" w:cs="Microsoft Sans Serif"/>
                <w:b/>
                <w:bCs/>
                <w:sz w:val="20"/>
                <w:szCs w:val="20"/>
                <w:lang w:eastAsia="en-AU"/>
              </w:rPr>
              <w:t>NSW</w:t>
            </w:r>
          </w:p>
        </w:tc>
        <w:tc>
          <w:tcPr>
            <w:tcW w:w="483" w:type="dxa"/>
            <w:tcBorders>
              <w:top w:val="nil"/>
              <w:left w:val="nil"/>
              <w:bottom w:val="single" w:sz="4" w:space="0" w:color="808080"/>
              <w:right w:val="single" w:sz="4" w:space="0" w:color="808080"/>
            </w:tcBorders>
            <w:shd w:val="clear" w:color="000000" w:fill="FFC000"/>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b/>
                <w:bCs/>
                <w:sz w:val="20"/>
                <w:szCs w:val="20"/>
                <w:lang w:eastAsia="en-AU"/>
              </w:rPr>
            </w:pPr>
            <w:r w:rsidRPr="000C40A2">
              <w:rPr>
                <w:rFonts w:ascii="Microsoft Sans Serif" w:eastAsia="Times New Roman" w:hAnsi="Microsoft Sans Serif" w:cs="Microsoft Sans Serif"/>
                <w:b/>
                <w:bCs/>
                <w:sz w:val="20"/>
                <w:szCs w:val="20"/>
                <w:lang w:eastAsia="en-AU"/>
              </w:rPr>
              <w:t>NT</w:t>
            </w:r>
          </w:p>
        </w:tc>
        <w:tc>
          <w:tcPr>
            <w:tcW w:w="628" w:type="dxa"/>
            <w:tcBorders>
              <w:top w:val="nil"/>
              <w:left w:val="nil"/>
              <w:bottom w:val="single" w:sz="4" w:space="0" w:color="808080"/>
              <w:right w:val="single" w:sz="4" w:space="0" w:color="808080"/>
            </w:tcBorders>
            <w:shd w:val="clear" w:color="000000" w:fill="FFC000"/>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b/>
                <w:bCs/>
                <w:sz w:val="20"/>
                <w:szCs w:val="20"/>
                <w:lang w:eastAsia="en-AU"/>
              </w:rPr>
            </w:pPr>
            <w:r w:rsidRPr="000C40A2">
              <w:rPr>
                <w:rFonts w:ascii="Microsoft Sans Serif" w:eastAsia="Times New Roman" w:hAnsi="Microsoft Sans Serif" w:cs="Microsoft Sans Serif"/>
                <w:b/>
                <w:bCs/>
                <w:sz w:val="20"/>
                <w:szCs w:val="20"/>
                <w:lang w:eastAsia="en-AU"/>
              </w:rPr>
              <w:t>QLD</w:t>
            </w:r>
          </w:p>
        </w:tc>
        <w:tc>
          <w:tcPr>
            <w:tcW w:w="483" w:type="dxa"/>
            <w:tcBorders>
              <w:top w:val="nil"/>
              <w:left w:val="nil"/>
              <w:bottom w:val="single" w:sz="4" w:space="0" w:color="808080"/>
              <w:right w:val="single" w:sz="4" w:space="0" w:color="808080"/>
            </w:tcBorders>
            <w:shd w:val="clear" w:color="000000" w:fill="FFC000"/>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b/>
                <w:bCs/>
                <w:sz w:val="20"/>
                <w:szCs w:val="20"/>
                <w:lang w:eastAsia="en-AU"/>
              </w:rPr>
            </w:pPr>
            <w:r w:rsidRPr="000C40A2">
              <w:rPr>
                <w:rFonts w:ascii="Microsoft Sans Serif" w:eastAsia="Times New Roman" w:hAnsi="Microsoft Sans Serif" w:cs="Microsoft Sans Serif"/>
                <w:b/>
                <w:bCs/>
                <w:sz w:val="20"/>
                <w:szCs w:val="20"/>
                <w:lang w:eastAsia="en-AU"/>
              </w:rPr>
              <w:t>SA</w:t>
            </w:r>
          </w:p>
        </w:tc>
        <w:tc>
          <w:tcPr>
            <w:tcW w:w="606" w:type="dxa"/>
            <w:tcBorders>
              <w:top w:val="nil"/>
              <w:left w:val="nil"/>
              <w:bottom w:val="single" w:sz="4" w:space="0" w:color="808080"/>
              <w:right w:val="single" w:sz="4" w:space="0" w:color="808080"/>
            </w:tcBorders>
            <w:shd w:val="clear" w:color="000000" w:fill="FFC000"/>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b/>
                <w:bCs/>
                <w:sz w:val="20"/>
                <w:szCs w:val="20"/>
                <w:lang w:eastAsia="en-AU"/>
              </w:rPr>
            </w:pPr>
            <w:r w:rsidRPr="000C40A2">
              <w:rPr>
                <w:rFonts w:ascii="Microsoft Sans Serif" w:eastAsia="Times New Roman" w:hAnsi="Microsoft Sans Serif" w:cs="Microsoft Sans Serif"/>
                <w:b/>
                <w:bCs/>
                <w:sz w:val="20"/>
                <w:szCs w:val="20"/>
                <w:lang w:eastAsia="en-AU"/>
              </w:rPr>
              <w:t>TAS</w:t>
            </w:r>
          </w:p>
        </w:tc>
        <w:tc>
          <w:tcPr>
            <w:tcW w:w="550" w:type="dxa"/>
            <w:tcBorders>
              <w:top w:val="nil"/>
              <w:left w:val="nil"/>
              <w:bottom w:val="single" w:sz="4" w:space="0" w:color="808080"/>
              <w:right w:val="single" w:sz="4" w:space="0" w:color="808080"/>
            </w:tcBorders>
            <w:shd w:val="clear" w:color="000000" w:fill="FFC000"/>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b/>
                <w:bCs/>
                <w:sz w:val="20"/>
                <w:szCs w:val="20"/>
                <w:lang w:eastAsia="en-AU"/>
              </w:rPr>
            </w:pPr>
            <w:r w:rsidRPr="000C40A2">
              <w:rPr>
                <w:rFonts w:ascii="Microsoft Sans Serif" w:eastAsia="Times New Roman" w:hAnsi="Microsoft Sans Serif" w:cs="Microsoft Sans Serif"/>
                <w:b/>
                <w:bCs/>
                <w:sz w:val="20"/>
                <w:szCs w:val="20"/>
                <w:lang w:eastAsia="en-AU"/>
              </w:rPr>
              <w:t>VIC</w:t>
            </w:r>
          </w:p>
        </w:tc>
        <w:tc>
          <w:tcPr>
            <w:tcW w:w="539" w:type="dxa"/>
            <w:tcBorders>
              <w:top w:val="nil"/>
              <w:left w:val="nil"/>
              <w:bottom w:val="single" w:sz="4" w:space="0" w:color="808080"/>
              <w:right w:val="single" w:sz="4" w:space="0" w:color="808080"/>
            </w:tcBorders>
            <w:shd w:val="clear" w:color="000000" w:fill="FFC000"/>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b/>
                <w:bCs/>
                <w:sz w:val="20"/>
                <w:szCs w:val="20"/>
                <w:lang w:eastAsia="en-AU"/>
              </w:rPr>
            </w:pPr>
            <w:r w:rsidRPr="000C40A2">
              <w:rPr>
                <w:rFonts w:ascii="Microsoft Sans Serif" w:eastAsia="Times New Roman" w:hAnsi="Microsoft Sans Serif" w:cs="Microsoft Sans Serif"/>
                <w:b/>
                <w:bCs/>
                <w:sz w:val="20"/>
                <w:szCs w:val="20"/>
                <w:lang w:eastAsia="en-AU"/>
              </w:rPr>
              <w:t>WA</w:t>
            </w:r>
          </w:p>
        </w:tc>
        <w:tc>
          <w:tcPr>
            <w:tcW w:w="672" w:type="dxa"/>
            <w:tcBorders>
              <w:top w:val="nil"/>
              <w:left w:val="nil"/>
              <w:bottom w:val="single" w:sz="4" w:space="0" w:color="808080"/>
              <w:right w:val="single" w:sz="4" w:space="0" w:color="808080"/>
            </w:tcBorders>
            <w:shd w:val="clear" w:color="000000" w:fill="FFC000"/>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b/>
                <w:bCs/>
                <w:sz w:val="20"/>
                <w:szCs w:val="20"/>
                <w:lang w:eastAsia="en-AU"/>
              </w:rPr>
            </w:pPr>
            <w:r w:rsidRPr="000C40A2">
              <w:rPr>
                <w:rFonts w:ascii="Microsoft Sans Serif" w:eastAsia="Times New Roman" w:hAnsi="Microsoft Sans Serif" w:cs="Microsoft Sans Serif"/>
                <w:b/>
                <w:bCs/>
                <w:sz w:val="20"/>
                <w:szCs w:val="20"/>
                <w:lang w:eastAsia="en-AU"/>
              </w:rPr>
              <w:t>Total</w:t>
            </w:r>
          </w:p>
        </w:tc>
      </w:tr>
      <w:tr w:rsidR="00350B62" w:rsidRPr="000C40A2" w:rsidTr="009617EB">
        <w:trPr>
          <w:trHeight w:val="255"/>
        </w:trPr>
        <w:tc>
          <w:tcPr>
            <w:tcW w:w="1307" w:type="dxa"/>
            <w:tcBorders>
              <w:top w:val="nil"/>
              <w:left w:val="single" w:sz="4" w:space="0" w:color="808080"/>
              <w:bottom w:val="single" w:sz="4" w:space="0" w:color="808080"/>
              <w:right w:val="single" w:sz="4" w:space="0" w:color="808080"/>
            </w:tcBorders>
            <w:shd w:val="clear" w:color="000000" w:fill="FFC000"/>
            <w:noWrap/>
            <w:vAlign w:val="bottom"/>
            <w:hideMark/>
          </w:tcPr>
          <w:p w:rsidR="00350B62" w:rsidRPr="000C40A2" w:rsidRDefault="00350B62" w:rsidP="009617EB">
            <w:pPr>
              <w:spacing w:after="0" w:line="240" w:lineRule="auto"/>
              <w:rPr>
                <w:rFonts w:ascii="Microsoft Sans Serif" w:eastAsia="Times New Roman" w:hAnsi="Microsoft Sans Serif" w:cs="Microsoft Sans Serif"/>
                <w:b/>
                <w:bCs/>
                <w:sz w:val="20"/>
                <w:szCs w:val="20"/>
                <w:lang w:eastAsia="en-AU"/>
              </w:rPr>
            </w:pPr>
            <w:r w:rsidRPr="000C40A2">
              <w:rPr>
                <w:rFonts w:ascii="Microsoft Sans Serif" w:eastAsia="Times New Roman" w:hAnsi="Microsoft Sans Serif" w:cs="Microsoft Sans Serif"/>
                <w:b/>
                <w:bCs/>
                <w:sz w:val="20"/>
                <w:szCs w:val="20"/>
                <w:lang w:eastAsia="en-AU"/>
              </w:rPr>
              <w:t>Authoriser</w:t>
            </w:r>
          </w:p>
        </w:tc>
        <w:tc>
          <w:tcPr>
            <w:tcW w:w="617"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 </w:t>
            </w:r>
          </w:p>
        </w:tc>
        <w:tc>
          <w:tcPr>
            <w:tcW w:w="700"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5</w:t>
            </w:r>
          </w:p>
        </w:tc>
        <w:tc>
          <w:tcPr>
            <w:tcW w:w="483"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 </w:t>
            </w:r>
          </w:p>
        </w:tc>
        <w:tc>
          <w:tcPr>
            <w:tcW w:w="628"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5</w:t>
            </w:r>
          </w:p>
        </w:tc>
        <w:tc>
          <w:tcPr>
            <w:tcW w:w="483"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2</w:t>
            </w:r>
          </w:p>
        </w:tc>
        <w:tc>
          <w:tcPr>
            <w:tcW w:w="606"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 </w:t>
            </w:r>
          </w:p>
        </w:tc>
        <w:tc>
          <w:tcPr>
            <w:tcW w:w="550"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7</w:t>
            </w:r>
          </w:p>
        </w:tc>
        <w:tc>
          <w:tcPr>
            <w:tcW w:w="539"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1</w:t>
            </w:r>
          </w:p>
        </w:tc>
        <w:tc>
          <w:tcPr>
            <w:tcW w:w="672"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20</w:t>
            </w:r>
          </w:p>
        </w:tc>
      </w:tr>
      <w:tr w:rsidR="00350B62" w:rsidRPr="000C40A2" w:rsidTr="009617EB">
        <w:trPr>
          <w:trHeight w:val="255"/>
        </w:trPr>
        <w:tc>
          <w:tcPr>
            <w:tcW w:w="1307" w:type="dxa"/>
            <w:tcBorders>
              <w:top w:val="nil"/>
              <w:left w:val="single" w:sz="4" w:space="0" w:color="808080"/>
              <w:bottom w:val="single" w:sz="4" w:space="0" w:color="808080"/>
              <w:right w:val="single" w:sz="4" w:space="0" w:color="808080"/>
            </w:tcBorders>
            <w:shd w:val="clear" w:color="000000" w:fill="FFC000"/>
            <w:noWrap/>
            <w:vAlign w:val="bottom"/>
            <w:hideMark/>
          </w:tcPr>
          <w:p w:rsidR="00350B62" w:rsidRPr="000C40A2" w:rsidRDefault="00350B62" w:rsidP="009617EB">
            <w:pPr>
              <w:spacing w:after="0" w:line="240" w:lineRule="auto"/>
              <w:rPr>
                <w:rFonts w:ascii="Microsoft Sans Serif" w:eastAsia="Times New Roman" w:hAnsi="Microsoft Sans Serif" w:cs="Microsoft Sans Serif"/>
                <w:b/>
                <w:bCs/>
                <w:sz w:val="20"/>
                <w:szCs w:val="20"/>
                <w:lang w:eastAsia="en-AU"/>
              </w:rPr>
            </w:pPr>
            <w:r w:rsidRPr="000C40A2">
              <w:rPr>
                <w:rFonts w:ascii="Microsoft Sans Serif" w:eastAsia="Times New Roman" w:hAnsi="Microsoft Sans Serif" w:cs="Microsoft Sans Serif"/>
                <w:b/>
                <w:bCs/>
                <w:sz w:val="20"/>
                <w:szCs w:val="20"/>
                <w:lang w:eastAsia="en-AU"/>
              </w:rPr>
              <w:t>Dispenser</w:t>
            </w:r>
          </w:p>
        </w:tc>
        <w:tc>
          <w:tcPr>
            <w:tcW w:w="617"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1</w:t>
            </w:r>
          </w:p>
        </w:tc>
        <w:tc>
          <w:tcPr>
            <w:tcW w:w="700"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18</w:t>
            </w:r>
          </w:p>
        </w:tc>
        <w:tc>
          <w:tcPr>
            <w:tcW w:w="483"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2</w:t>
            </w:r>
          </w:p>
        </w:tc>
        <w:tc>
          <w:tcPr>
            <w:tcW w:w="628"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12</w:t>
            </w:r>
          </w:p>
        </w:tc>
        <w:tc>
          <w:tcPr>
            <w:tcW w:w="483"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3</w:t>
            </w:r>
          </w:p>
        </w:tc>
        <w:tc>
          <w:tcPr>
            <w:tcW w:w="606"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3</w:t>
            </w:r>
          </w:p>
        </w:tc>
        <w:tc>
          <w:tcPr>
            <w:tcW w:w="550"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25</w:t>
            </w:r>
          </w:p>
        </w:tc>
        <w:tc>
          <w:tcPr>
            <w:tcW w:w="539"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 </w:t>
            </w:r>
          </w:p>
        </w:tc>
        <w:tc>
          <w:tcPr>
            <w:tcW w:w="672"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64</w:t>
            </w:r>
          </w:p>
        </w:tc>
      </w:tr>
      <w:tr w:rsidR="00350B62" w:rsidRPr="000C40A2" w:rsidTr="009617EB">
        <w:trPr>
          <w:trHeight w:val="255"/>
        </w:trPr>
        <w:tc>
          <w:tcPr>
            <w:tcW w:w="1307" w:type="dxa"/>
            <w:tcBorders>
              <w:top w:val="nil"/>
              <w:left w:val="single" w:sz="4" w:space="0" w:color="808080"/>
              <w:bottom w:val="single" w:sz="4" w:space="0" w:color="808080"/>
              <w:right w:val="single" w:sz="4" w:space="0" w:color="808080"/>
            </w:tcBorders>
            <w:shd w:val="clear" w:color="000000" w:fill="FFC000"/>
            <w:noWrap/>
            <w:vAlign w:val="bottom"/>
            <w:hideMark/>
          </w:tcPr>
          <w:p w:rsidR="00350B62" w:rsidRPr="000C40A2" w:rsidRDefault="00350B62" w:rsidP="009617EB">
            <w:pPr>
              <w:spacing w:after="0" w:line="240" w:lineRule="auto"/>
              <w:rPr>
                <w:rFonts w:ascii="Microsoft Sans Serif" w:eastAsia="Times New Roman" w:hAnsi="Microsoft Sans Serif" w:cs="Microsoft Sans Serif"/>
                <w:b/>
                <w:bCs/>
                <w:sz w:val="20"/>
                <w:szCs w:val="20"/>
                <w:lang w:eastAsia="en-AU"/>
              </w:rPr>
            </w:pPr>
            <w:r w:rsidRPr="000C40A2">
              <w:rPr>
                <w:rFonts w:ascii="Microsoft Sans Serif" w:eastAsia="Times New Roman" w:hAnsi="Microsoft Sans Serif" w:cs="Microsoft Sans Serif"/>
                <w:b/>
                <w:bCs/>
                <w:sz w:val="20"/>
                <w:szCs w:val="20"/>
                <w:lang w:eastAsia="en-AU"/>
              </w:rPr>
              <w:t>Governance</w:t>
            </w:r>
          </w:p>
        </w:tc>
        <w:tc>
          <w:tcPr>
            <w:tcW w:w="617"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4</w:t>
            </w:r>
          </w:p>
        </w:tc>
        <w:tc>
          <w:tcPr>
            <w:tcW w:w="700"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4</w:t>
            </w:r>
          </w:p>
        </w:tc>
        <w:tc>
          <w:tcPr>
            <w:tcW w:w="483"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 </w:t>
            </w:r>
          </w:p>
        </w:tc>
        <w:tc>
          <w:tcPr>
            <w:tcW w:w="628"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2</w:t>
            </w:r>
          </w:p>
        </w:tc>
        <w:tc>
          <w:tcPr>
            <w:tcW w:w="483"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5</w:t>
            </w:r>
          </w:p>
        </w:tc>
        <w:tc>
          <w:tcPr>
            <w:tcW w:w="606"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 </w:t>
            </w:r>
          </w:p>
        </w:tc>
        <w:tc>
          <w:tcPr>
            <w:tcW w:w="550"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5</w:t>
            </w:r>
          </w:p>
        </w:tc>
        <w:tc>
          <w:tcPr>
            <w:tcW w:w="539"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 </w:t>
            </w:r>
          </w:p>
        </w:tc>
        <w:tc>
          <w:tcPr>
            <w:tcW w:w="672"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20</w:t>
            </w:r>
          </w:p>
        </w:tc>
      </w:tr>
      <w:tr w:rsidR="00350B62" w:rsidRPr="000C40A2" w:rsidTr="009617EB">
        <w:trPr>
          <w:trHeight w:val="255"/>
        </w:trPr>
        <w:tc>
          <w:tcPr>
            <w:tcW w:w="1307" w:type="dxa"/>
            <w:tcBorders>
              <w:top w:val="nil"/>
              <w:left w:val="single" w:sz="4" w:space="0" w:color="808080"/>
              <w:bottom w:val="single" w:sz="4" w:space="0" w:color="808080"/>
              <w:right w:val="single" w:sz="4" w:space="0" w:color="808080"/>
            </w:tcBorders>
            <w:shd w:val="clear" w:color="000000" w:fill="FFC000"/>
            <w:noWrap/>
            <w:vAlign w:val="bottom"/>
            <w:hideMark/>
          </w:tcPr>
          <w:p w:rsidR="00350B62" w:rsidRPr="000C40A2" w:rsidRDefault="00350B62" w:rsidP="009617EB">
            <w:pPr>
              <w:spacing w:after="0" w:line="240" w:lineRule="auto"/>
              <w:rPr>
                <w:rFonts w:ascii="Microsoft Sans Serif" w:eastAsia="Times New Roman" w:hAnsi="Microsoft Sans Serif" w:cs="Microsoft Sans Serif"/>
                <w:b/>
                <w:bCs/>
                <w:sz w:val="20"/>
                <w:szCs w:val="20"/>
                <w:lang w:eastAsia="en-AU"/>
              </w:rPr>
            </w:pPr>
            <w:r w:rsidRPr="000C40A2">
              <w:rPr>
                <w:rFonts w:ascii="Microsoft Sans Serif" w:eastAsia="Times New Roman" w:hAnsi="Microsoft Sans Serif" w:cs="Microsoft Sans Serif"/>
                <w:b/>
                <w:bCs/>
                <w:sz w:val="20"/>
                <w:szCs w:val="20"/>
                <w:lang w:eastAsia="en-AU"/>
              </w:rPr>
              <w:t>Nurse</w:t>
            </w:r>
          </w:p>
        </w:tc>
        <w:tc>
          <w:tcPr>
            <w:tcW w:w="617"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1</w:t>
            </w:r>
          </w:p>
        </w:tc>
        <w:tc>
          <w:tcPr>
            <w:tcW w:w="700"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9</w:t>
            </w:r>
          </w:p>
        </w:tc>
        <w:tc>
          <w:tcPr>
            <w:tcW w:w="483"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1</w:t>
            </w:r>
          </w:p>
        </w:tc>
        <w:tc>
          <w:tcPr>
            <w:tcW w:w="628"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13</w:t>
            </w:r>
          </w:p>
        </w:tc>
        <w:tc>
          <w:tcPr>
            <w:tcW w:w="483"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3</w:t>
            </w:r>
          </w:p>
        </w:tc>
        <w:tc>
          <w:tcPr>
            <w:tcW w:w="606"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1</w:t>
            </w:r>
          </w:p>
        </w:tc>
        <w:tc>
          <w:tcPr>
            <w:tcW w:w="550"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20</w:t>
            </w:r>
          </w:p>
        </w:tc>
        <w:tc>
          <w:tcPr>
            <w:tcW w:w="539"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2</w:t>
            </w:r>
          </w:p>
        </w:tc>
        <w:tc>
          <w:tcPr>
            <w:tcW w:w="672"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50</w:t>
            </w:r>
          </w:p>
        </w:tc>
      </w:tr>
      <w:tr w:rsidR="00350B62" w:rsidRPr="000C40A2" w:rsidTr="009617EB">
        <w:trPr>
          <w:trHeight w:val="255"/>
        </w:trPr>
        <w:tc>
          <w:tcPr>
            <w:tcW w:w="1307" w:type="dxa"/>
            <w:tcBorders>
              <w:top w:val="nil"/>
              <w:left w:val="single" w:sz="4" w:space="0" w:color="808080"/>
              <w:bottom w:val="single" w:sz="4" w:space="0" w:color="808080"/>
              <w:right w:val="single" w:sz="4" w:space="0" w:color="808080"/>
            </w:tcBorders>
            <w:shd w:val="clear" w:color="000000" w:fill="FFC000"/>
            <w:noWrap/>
            <w:vAlign w:val="bottom"/>
            <w:hideMark/>
          </w:tcPr>
          <w:p w:rsidR="00350B62" w:rsidRPr="000C40A2" w:rsidRDefault="00350B62" w:rsidP="009617EB">
            <w:pPr>
              <w:spacing w:after="0" w:line="240" w:lineRule="auto"/>
              <w:rPr>
                <w:rFonts w:ascii="Microsoft Sans Serif" w:eastAsia="Times New Roman" w:hAnsi="Microsoft Sans Serif" w:cs="Microsoft Sans Serif"/>
                <w:b/>
                <w:bCs/>
                <w:sz w:val="20"/>
                <w:szCs w:val="20"/>
                <w:lang w:eastAsia="en-AU"/>
              </w:rPr>
            </w:pPr>
            <w:r w:rsidRPr="000C40A2">
              <w:rPr>
                <w:rFonts w:ascii="Microsoft Sans Serif" w:eastAsia="Times New Roman" w:hAnsi="Microsoft Sans Serif" w:cs="Microsoft Sans Serif"/>
                <w:b/>
                <w:bCs/>
                <w:sz w:val="20"/>
                <w:szCs w:val="20"/>
                <w:lang w:eastAsia="en-AU"/>
              </w:rPr>
              <w:t>Prescriber</w:t>
            </w:r>
          </w:p>
        </w:tc>
        <w:tc>
          <w:tcPr>
            <w:tcW w:w="617"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 </w:t>
            </w:r>
          </w:p>
        </w:tc>
        <w:tc>
          <w:tcPr>
            <w:tcW w:w="700"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13</w:t>
            </w:r>
          </w:p>
        </w:tc>
        <w:tc>
          <w:tcPr>
            <w:tcW w:w="483"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 </w:t>
            </w:r>
          </w:p>
        </w:tc>
        <w:tc>
          <w:tcPr>
            <w:tcW w:w="628"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10</w:t>
            </w:r>
          </w:p>
        </w:tc>
        <w:tc>
          <w:tcPr>
            <w:tcW w:w="483"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3</w:t>
            </w:r>
          </w:p>
        </w:tc>
        <w:tc>
          <w:tcPr>
            <w:tcW w:w="606"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3</w:t>
            </w:r>
          </w:p>
        </w:tc>
        <w:tc>
          <w:tcPr>
            <w:tcW w:w="550"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16</w:t>
            </w:r>
          </w:p>
        </w:tc>
        <w:tc>
          <w:tcPr>
            <w:tcW w:w="539"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5</w:t>
            </w:r>
          </w:p>
        </w:tc>
        <w:tc>
          <w:tcPr>
            <w:tcW w:w="672"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50</w:t>
            </w:r>
          </w:p>
        </w:tc>
      </w:tr>
      <w:tr w:rsidR="00350B62" w:rsidRPr="000C40A2" w:rsidTr="009617EB">
        <w:trPr>
          <w:trHeight w:val="255"/>
        </w:trPr>
        <w:tc>
          <w:tcPr>
            <w:tcW w:w="1307" w:type="dxa"/>
            <w:tcBorders>
              <w:top w:val="nil"/>
              <w:left w:val="single" w:sz="4" w:space="0" w:color="808080"/>
              <w:bottom w:val="single" w:sz="4" w:space="0" w:color="808080"/>
              <w:right w:val="single" w:sz="4" w:space="0" w:color="808080"/>
            </w:tcBorders>
            <w:shd w:val="clear" w:color="000000" w:fill="FFC000"/>
            <w:noWrap/>
            <w:vAlign w:val="bottom"/>
            <w:hideMark/>
          </w:tcPr>
          <w:p w:rsidR="00350B62" w:rsidRPr="000C40A2" w:rsidRDefault="00350B62" w:rsidP="009617EB">
            <w:pPr>
              <w:spacing w:after="0" w:line="240" w:lineRule="auto"/>
              <w:rPr>
                <w:rFonts w:ascii="Microsoft Sans Serif" w:eastAsia="Times New Roman" w:hAnsi="Microsoft Sans Serif" w:cs="Microsoft Sans Serif"/>
                <w:b/>
                <w:bCs/>
                <w:sz w:val="20"/>
                <w:szCs w:val="20"/>
                <w:lang w:eastAsia="en-AU"/>
              </w:rPr>
            </w:pPr>
            <w:r w:rsidRPr="000C40A2">
              <w:rPr>
                <w:rFonts w:ascii="Microsoft Sans Serif" w:eastAsia="Times New Roman" w:hAnsi="Microsoft Sans Serif" w:cs="Microsoft Sans Serif"/>
                <w:b/>
                <w:bCs/>
                <w:sz w:val="20"/>
                <w:szCs w:val="20"/>
                <w:lang w:eastAsia="en-AU"/>
              </w:rPr>
              <w:t>Total</w:t>
            </w:r>
          </w:p>
        </w:tc>
        <w:tc>
          <w:tcPr>
            <w:tcW w:w="617"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6</w:t>
            </w:r>
          </w:p>
        </w:tc>
        <w:tc>
          <w:tcPr>
            <w:tcW w:w="700"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49</w:t>
            </w:r>
          </w:p>
        </w:tc>
        <w:tc>
          <w:tcPr>
            <w:tcW w:w="483"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3</w:t>
            </w:r>
          </w:p>
        </w:tc>
        <w:tc>
          <w:tcPr>
            <w:tcW w:w="628"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42</w:t>
            </w:r>
          </w:p>
        </w:tc>
        <w:tc>
          <w:tcPr>
            <w:tcW w:w="483"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16</w:t>
            </w:r>
          </w:p>
        </w:tc>
        <w:tc>
          <w:tcPr>
            <w:tcW w:w="606"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7</w:t>
            </w:r>
          </w:p>
        </w:tc>
        <w:tc>
          <w:tcPr>
            <w:tcW w:w="550"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73</w:t>
            </w:r>
          </w:p>
        </w:tc>
        <w:tc>
          <w:tcPr>
            <w:tcW w:w="539"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8</w:t>
            </w:r>
          </w:p>
        </w:tc>
        <w:tc>
          <w:tcPr>
            <w:tcW w:w="672" w:type="dxa"/>
            <w:tcBorders>
              <w:top w:val="nil"/>
              <w:left w:val="nil"/>
              <w:bottom w:val="single" w:sz="4" w:space="0" w:color="808080"/>
              <w:right w:val="single" w:sz="4" w:space="0" w:color="808080"/>
            </w:tcBorders>
            <w:shd w:val="clear" w:color="auto" w:fill="auto"/>
            <w:noWrap/>
            <w:vAlign w:val="bottom"/>
            <w:hideMark/>
          </w:tcPr>
          <w:p w:rsidR="00350B62" w:rsidRPr="000C40A2" w:rsidRDefault="00350B62" w:rsidP="009617EB">
            <w:pPr>
              <w:spacing w:after="0" w:line="240" w:lineRule="auto"/>
              <w:jc w:val="center"/>
              <w:rPr>
                <w:rFonts w:ascii="Microsoft Sans Serif" w:eastAsia="Times New Roman" w:hAnsi="Microsoft Sans Serif" w:cs="Microsoft Sans Serif"/>
                <w:sz w:val="20"/>
                <w:szCs w:val="20"/>
                <w:lang w:eastAsia="en-AU"/>
              </w:rPr>
            </w:pPr>
            <w:r w:rsidRPr="000C40A2">
              <w:rPr>
                <w:rFonts w:ascii="Microsoft Sans Serif" w:eastAsia="Times New Roman" w:hAnsi="Microsoft Sans Serif" w:cs="Microsoft Sans Serif"/>
                <w:sz w:val="20"/>
                <w:szCs w:val="20"/>
                <w:lang w:eastAsia="en-AU"/>
              </w:rPr>
              <w:t>204</w:t>
            </w:r>
          </w:p>
        </w:tc>
      </w:tr>
    </w:tbl>
    <w:p w:rsidR="00350B62" w:rsidRDefault="00350B62" w:rsidP="00350B62"/>
    <w:p w:rsidR="00350B62" w:rsidRDefault="00350B62" w:rsidP="00350B62">
      <w:pPr>
        <w:pStyle w:val="Heading3"/>
      </w:pPr>
      <w:r>
        <w:t>Comments</w:t>
      </w:r>
    </w:p>
    <w:p w:rsidR="00350B62" w:rsidRDefault="00350B62" w:rsidP="00350B62">
      <w:r>
        <w:t xml:space="preserve">A total of 1229 comments were made by survey respondents across the range of questions and scenarios.  These comments provide insight into current clinical practice, justification for users to access patient records held in </w:t>
      </w:r>
      <w:r w:rsidR="001D735F">
        <w:t>the Ig System</w:t>
      </w:r>
      <w:r>
        <w:t>, propose new system requirements and raise a number of concerns for the project team to consider.  In addition the comments indicate a strong desire for the system to provide an electronic</w:t>
      </w:r>
      <w:r w:rsidR="00E66547">
        <w:t>,</w:t>
      </w:r>
      <w:r>
        <w:t xml:space="preserve"> paperless business process that facilitates the delivery of care to patients across the </w:t>
      </w:r>
      <w:r w:rsidR="00E66547">
        <w:t>treatment spectrum</w:t>
      </w:r>
      <w:r>
        <w:t>.</w:t>
      </w:r>
    </w:p>
    <w:p w:rsidR="00350B62" w:rsidRDefault="00350B62" w:rsidP="00350B62">
      <w:r>
        <w:t xml:space="preserve">Overall respondents see </w:t>
      </w:r>
      <w:r w:rsidR="001D735F">
        <w:t xml:space="preserve">the Ig System </w:t>
      </w:r>
      <w:r>
        <w:t>as a mechanism to improve and manage patient safety while delivering health services but they expect to see access to patient records reserved for those system users that have a genuine need.  In an environment where the patient-facility-</w:t>
      </w:r>
      <w:r w:rsidR="00F868B6">
        <w:t>clinician</w:t>
      </w:r>
      <w:r>
        <w:t>-relationship is ever changing this is a significant technical challenge that carries facility administrator overheads.  However, the patient search scope has been designed to leverage known relationships.</w:t>
      </w:r>
      <w:r w:rsidR="00E66547">
        <w:t xml:space="preserve">  The patient search scope is described in Section </w:t>
      </w:r>
      <w:r w:rsidR="00E66547">
        <w:fldChar w:fldCharType="begin"/>
      </w:r>
      <w:r w:rsidR="00E66547">
        <w:instrText xml:space="preserve"> REF _Ref417492083 \r \h </w:instrText>
      </w:r>
      <w:r w:rsidR="00E66547">
        <w:fldChar w:fldCharType="separate"/>
      </w:r>
      <w:r w:rsidR="007C3A85">
        <w:t>5.3.1</w:t>
      </w:r>
      <w:r w:rsidR="00E66547">
        <w:fldChar w:fldCharType="end"/>
      </w:r>
      <w:r w:rsidR="00E66547">
        <w:t>.</w:t>
      </w:r>
      <w:r>
        <w:t xml:space="preserve"> </w:t>
      </w:r>
    </w:p>
    <w:p w:rsidR="008723F8" w:rsidRDefault="008723F8" w:rsidP="00350B62">
      <w:r>
        <w:t xml:space="preserve">Generally the results of the survey support the assumptions made in system design </w:t>
      </w:r>
      <w:r w:rsidR="00516590">
        <w:t>further</w:t>
      </w:r>
      <w:r>
        <w:t xml:space="preserve"> supported by analysis </w:t>
      </w:r>
      <w:r w:rsidR="00516590">
        <w:t xml:space="preserve">on </w:t>
      </w:r>
      <w:r>
        <w:t>the measures described in this PIA to treat risks associated to patient privacy. The greatest challenge is the management of traveling patients by nurses.</w:t>
      </w:r>
    </w:p>
    <w:p w:rsidR="00350B62" w:rsidRDefault="00350B62" w:rsidP="00350B62">
      <w:pPr>
        <w:pStyle w:val="Heading3"/>
      </w:pPr>
      <w:r>
        <w:t xml:space="preserve">Survey Questions and Responses </w:t>
      </w:r>
    </w:p>
    <w:p w:rsidR="00350B62" w:rsidRPr="00350B62" w:rsidRDefault="00350B62" w:rsidP="00350B62">
      <w:pPr>
        <w:rPr>
          <w:b/>
        </w:rPr>
      </w:pPr>
      <w:r w:rsidRPr="00350B62">
        <w:rPr>
          <w:b/>
        </w:rPr>
        <w:t>Preamble</w:t>
      </w:r>
    </w:p>
    <w:p w:rsidR="00350B62" w:rsidRPr="000F7991" w:rsidRDefault="00350B62" w:rsidP="000F7991">
      <w:r w:rsidRPr="000F7991">
        <w:t xml:space="preserve">The primary objective of the Immunoglobulin (Ig) System is delivering core capability to meet the requirements of the “Immunoglobulin (Ig) Governance: National Policy: Access to government funded Ig products”. This includes assisting stakeholders to meet the key areas of accountability under the policy including establishing the </w:t>
      </w:r>
      <w:proofErr w:type="spellStart"/>
      <w:r w:rsidRPr="000F7991">
        <w:t>IVIg</w:t>
      </w:r>
      <w:proofErr w:type="spellEnd"/>
      <w:r w:rsidRPr="000F7991">
        <w:t xml:space="preserve"> / </w:t>
      </w:r>
      <w:proofErr w:type="spellStart"/>
      <w:r w:rsidRPr="000F7991">
        <w:t>SCIg</w:t>
      </w:r>
      <w:proofErr w:type="spellEnd"/>
      <w:r w:rsidRPr="000F7991">
        <w:t xml:space="preserve"> authorisation arrangements, promoting appropriate practice and quality health outcomes, maintaining and monitoring data information management for the authorisation process, performance improvement and knowledge development to support better clinical practice. To deliver this, supplementary capability in </w:t>
      </w:r>
      <w:r w:rsidR="001D735F">
        <w:t>the Ig System</w:t>
      </w:r>
      <w:r w:rsidR="001D735F" w:rsidRPr="000F7991">
        <w:t xml:space="preserve"> </w:t>
      </w:r>
      <w:r w:rsidRPr="000F7991">
        <w:t>including, but not limited to, a patient registry, Prescriber registry, user profile management and search features are required.</w:t>
      </w:r>
    </w:p>
    <w:p w:rsidR="00350B62" w:rsidRPr="000F7991" w:rsidRDefault="00350B62" w:rsidP="000F7991">
      <w:r w:rsidRPr="000F7991">
        <w:t xml:space="preserve">While protecting the privacy of Patient and Prescriber details is paramount, </w:t>
      </w:r>
      <w:r w:rsidR="001D735F">
        <w:t>the Ig System</w:t>
      </w:r>
      <w:r w:rsidR="001D735F" w:rsidRPr="000F7991">
        <w:t xml:space="preserve"> </w:t>
      </w:r>
      <w:r w:rsidRPr="000F7991">
        <w:t xml:space="preserve">Project Team is challenged with balancing system utility with privacy obligations. One of the key aspects of the Australian Privacy Principles (Commonwealth Legislation) is a requirement to demonstrate that there is a necessity to capture personal information considering the functions and activities of the agency or organisation concerned. An individual that provides a health service and holds any health </w:t>
      </w:r>
      <w:r w:rsidRPr="000F7991">
        <w:lastRenderedPageBreak/>
        <w:t>information is required to meet the Australian Privacy Principles including the requirement to demonstrate this necessity for the collection of personal information. The proposed uses and disclosures of personal information inform the necessity of that collection.</w:t>
      </w:r>
    </w:p>
    <w:p w:rsidR="00350B62" w:rsidRPr="000F7991" w:rsidRDefault="00350B62" w:rsidP="000F7991">
      <w:r w:rsidRPr="000F7991">
        <w:t xml:space="preserve">This survey is designed to gain your insight on how personal information that may be collected in </w:t>
      </w:r>
      <w:r w:rsidR="001D735F">
        <w:t>the Ig System</w:t>
      </w:r>
      <w:r w:rsidR="001D735F" w:rsidRPr="000F7991">
        <w:t xml:space="preserve"> </w:t>
      </w:r>
      <w:r w:rsidRPr="000F7991">
        <w:t>should be accessed, used and disclosed in different clinical scenarios. Your insight will help formulate the arguments for data capture by feeding into the privacy assessment. It will also assist to determine system features to facilitate required access, use and disclosure of that information.</w:t>
      </w:r>
    </w:p>
    <w:p w:rsidR="00350B62" w:rsidRPr="000F7991" w:rsidRDefault="00350B62" w:rsidP="000F7991">
      <w:r w:rsidRPr="000F7991">
        <w:t>The Ig Governance Team may use results of this survey and any specific comments you make to assist in the privacy assessment process and for other purposes. Your participation, results and comments will remain anonymous unless you expressly agree otherwise on completion of the survey.</w:t>
      </w:r>
    </w:p>
    <w:p w:rsidR="00350B62" w:rsidRPr="00BD4476" w:rsidRDefault="00350B62" w:rsidP="00350B62">
      <w:pPr>
        <w:spacing w:after="0" w:line="240" w:lineRule="auto"/>
        <w:rPr>
          <w:rFonts w:eastAsia="Times New Roman" w:cs="Microsoft Sans Serif"/>
          <w:lang w:eastAsia="en-AU"/>
        </w:rPr>
      </w:pPr>
    </w:p>
    <w:p w:rsidR="00350B62" w:rsidRPr="00BD4476" w:rsidRDefault="00350B62" w:rsidP="00350B62">
      <w:pPr>
        <w:spacing w:after="0" w:line="240" w:lineRule="auto"/>
        <w:rPr>
          <w:rFonts w:eastAsia="Times New Roman" w:cs="Microsoft Sans Serif"/>
          <w:lang w:eastAsia="en-AU"/>
        </w:rPr>
      </w:pPr>
      <w:r w:rsidRPr="00BD4476">
        <w:rPr>
          <w:rFonts w:eastAsia="Times New Roman" w:cs="Microsoft Sans Serif"/>
          <w:lang w:eastAsia="en-AU"/>
        </w:rPr>
        <w:t xml:space="preserve">The scenarios are not intended to be exhaustive; rather they represent some common circumstances occurring in hospitals today based on </w:t>
      </w:r>
      <w:r w:rsidR="001D735F">
        <w:t>the Ig System</w:t>
      </w:r>
      <w:r w:rsidR="001D735F" w:rsidRPr="00BD4476">
        <w:rPr>
          <w:rFonts w:eastAsia="Times New Roman" w:cs="Microsoft Sans Serif"/>
          <w:lang w:eastAsia="en-AU"/>
        </w:rPr>
        <w:t xml:space="preserve"> </w:t>
      </w:r>
      <w:r w:rsidRPr="00BD4476">
        <w:rPr>
          <w:rFonts w:eastAsia="Times New Roman" w:cs="Microsoft Sans Serif"/>
          <w:lang w:eastAsia="en-AU"/>
        </w:rPr>
        <w:t>Project Teams’ current understanding – we would love to know more!!</w:t>
      </w:r>
    </w:p>
    <w:p w:rsidR="00350B62" w:rsidRDefault="00350B62" w:rsidP="00350B62"/>
    <w:tbl>
      <w:tblPr>
        <w:tblW w:w="8804" w:type="dxa"/>
        <w:tblInd w:w="93" w:type="dxa"/>
        <w:tblLook w:val="04A0" w:firstRow="1" w:lastRow="0" w:firstColumn="1" w:lastColumn="0" w:noHBand="0" w:noVBand="1"/>
      </w:tblPr>
      <w:tblGrid>
        <w:gridCol w:w="1149"/>
        <w:gridCol w:w="7655"/>
      </w:tblGrid>
      <w:tr w:rsidR="00350B62" w:rsidRPr="00487585" w:rsidTr="00350B62">
        <w:trPr>
          <w:trHeight w:val="255"/>
          <w:tblHeader/>
        </w:trPr>
        <w:tc>
          <w:tcPr>
            <w:tcW w:w="1149" w:type="dxa"/>
            <w:tcBorders>
              <w:top w:val="single" w:sz="4" w:space="0" w:color="808080"/>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Question</w:t>
            </w:r>
          </w:p>
        </w:tc>
        <w:tc>
          <w:tcPr>
            <w:tcW w:w="7655" w:type="dxa"/>
            <w:tcBorders>
              <w:top w:val="single" w:sz="4" w:space="0" w:color="808080"/>
              <w:left w:val="nil"/>
              <w:bottom w:val="single" w:sz="4" w:space="0" w:color="808080"/>
              <w:right w:val="single" w:sz="4" w:space="0" w:color="808080"/>
            </w:tcBorders>
            <w:shd w:val="clear" w:color="auto" w:fill="FFC000"/>
            <w:noWrap/>
            <w:hideMark/>
          </w:tcPr>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Question / Scenario</w:t>
            </w:r>
          </w:p>
        </w:tc>
      </w:tr>
      <w:tr w:rsidR="00350B62" w:rsidRPr="00487585" w:rsidTr="00350B62">
        <w:trPr>
          <w:trHeight w:val="419"/>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1</w:t>
            </w:r>
          </w:p>
        </w:tc>
        <w:tc>
          <w:tcPr>
            <w:tcW w:w="7655" w:type="dxa"/>
            <w:tcBorders>
              <w:top w:val="nil"/>
              <w:left w:val="nil"/>
              <w:bottom w:val="single" w:sz="4" w:space="0" w:color="808080"/>
              <w:right w:val="single" w:sz="4" w:space="0" w:color="808080"/>
            </w:tcBorders>
            <w:shd w:val="clear" w:color="auto" w:fill="auto"/>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Role</w:t>
            </w:r>
          </w:p>
          <w:p w:rsidR="00350B62" w:rsidRPr="00487585" w:rsidRDefault="00350B62" w:rsidP="00350B62">
            <w:pPr>
              <w:pStyle w:val="ListParagraph"/>
              <w:numPr>
                <w:ilvl w:val="0"/>
                <w:numId w:val="36"/>
              </w:num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Authoriser</w:t>
            </w:r>
          </w:p>
          <w:p w:rsidR="00350B62" w:rsidRPr="00487585" w:rsidRDefault="00350B62" w:rsidP="00350B62">
            <w:pPr>
              <w:pStyle w:val="ListParagraph"/>
              <w:numPr>
                <w:ilvl w:val="0"/>
                <w:numId w:val="36"/>
              </w:num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Dispenser</w:t>
            </w:r>
          </w:p>
          <w:p w:rsidR="00350B62" w:rsidRPr="00487585" w:rsidRDefault="00350B62" w:rsidP="00350B62">
            <w:pPr>
              <w:pStyle w:val="ListParagraph"/>
              <w:numPr>
                <w:ilvl w:val="0"/>
                <w:numId w:val="36"/>
              </w:num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Governance</w:t>
            </w:r>
          </w:p>
          <w:p w:rsidR="00350B62" w:rsidRPr="00487585" w:rsidRDefault="00350B62" w:rsidP="00350B62">
            <w:pPr>
              <w:pStyle w:val="ListParagraph"/>
              <w:numPr>
                <w:ilvl w:val="0"/>
                <w:numId w:val="36"/>
              </w:num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Nurse</w:t>
            </w:r>
          </w:p>
          <w:p w:rsidR="00350B62" w:rsidRPr="00487585" w:rsidRDefault="00350B62" w:rsidP="00350B62">
            <w:pPr>
              <w:pStyle w:val="ListParagraph"/>
              <w:numPr>
                <w:ilvl w:val="0"/>
                <w:numId w:val="36"/>
              </w:num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Prescriber</w:t>
            </w:r>
          </w:p>
        </w:tc>
      </w:tr>
      <w:tr w:rsidR="00350B62" w:rsidRPr="00487585" w:rsidTr="00350B62">
        <w:trPr>
          <w:trHeight w:val="271"/>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p w:rsidR="00350B62" w:rsidRPr="00487585" w:rsidRDefault="00350B62" w:rsidP="009617EB">
            <w:pPr>
              <w:spacing w:after="0" w:line="240" w:lineRule="auto"/>
              <w:rPr>
                <w:rFonts w:asciiTheme="minorHAnsi" w:eastAsia="Times New Roman" w:hAnsiTheme="minorHAnsi" w:cs="Microsoft Sans Serif"/>
                <w:lang w:eastAsia="en-AU"/>
              </w:rPr>
            </w:pPr>
          </w:p>
          <w:tbl>
            <w:tblPr>
              <w:tblW w:w="3080" w:type="dxa"/>
              <w:tblLook w:val="04A0" w:firstRow="1" w:lastRow="0" w:firstColumn="1" w:lastColumn="0" w:noHBand="0" w:noVBand="1"/>
            </w:tblPr>
            <w:tblGrid>
              <w:gridCol w:w="1560"/>
              <w:gridCol w:w="1520"/>
            </w:tblGrid>
            <w:tr w:rsidR="00350B62" w:rsidRPr="00487585" w:rsidTr="009617EB">
              <w:trPr>
                <w:trHeight w:val="255"/>
              </w:trPr>
              <w:tc>
                <w:tcPr>
                  <w:tcW w:w="15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350B62" w:rsidRPr="00487585" w:rsidRDefault="00350B62" w:rsidP="009617EB">
                  <w:pPr>
                    <w:spacing w:after="0" w:line="240" w:lineRule="auto"/>
                    <w:rPr>
                      <w:rFonts w:asciiTheme="minorHAnsi" w:eastAsia="Times New Roman" w:hAnsiTheme="minorHAnsi" w:cs="Microsoft Sans Serif"/>
                      <w:b/>
                      <w:lang w:eastAsia="en-AU"/>
                    </w:rPr>
                  </w:pPr>
                  <w:r w:rsidRPr="00487585">
                    <w:rPr>
                      <w:rFonts w:asciiTheme="minorHAnsi" w:eastAsia="Times New Roman" w:hAnsiTheme="minorHAnsi" w:cs="Microsoft Sans Serif"/>
                      <w:b/>
                      <w:lang w:eastAsia="en-AU"/>
                    </w:rPr>
                    <w:t>Role</w:t>
                  </w:r>
                </w:p>
              </w:tc>
              <w:tc>
                <w:tcPr>
                  <w:tcW w:w="1520" w:type="dxa"/>
                  <w:tcBorders>
                    <w:top w:val="single" w:sz="4" w:space="0" w:color="808080"/>
                    <w:left w:val="nil"/>
                    <w:bottom w:val="single" w:sz="4" w:space="0" w:color="808080"/>
                    <w:right w:val="single" w:sz="4" w:space="0" w:color="808080"/>
                  </w:tcBorders>
                  <w:shd w:val="clear" w:color="000000" w:fill="FFC000"/>
                  <w:noWrap/>
                  <w:vAlign w:val="bottom"/>
                  <w:hideMark/>
                </w:tcPr>
                <w:p w:rsidR="00350B62" w:rsidRPr="00487585" w:rsidRDefault="00350B62" w:rsidP="009617EB">
                  <w:pPr>
                    <w:spacing w:after="0" w:line="240" w:lineRule="auto"/>
                    <w:rPr>
                      <w:rFonts w:asciiTheme="minorHAnsi" w:eastAsia="Times New Roman" w:hAnsiTheme="minorHAnsi" w:cs="Microsoft Sans Serif"/>
                      <w:b/>
                      <w:lang w:eastAsia="en-AU"/>
                    </w:rPr>
                  </w:pPr>
                  <w:r w:rsidRPr="00487585">
                    <w:rPr>
                      <w:rFonts w:asciiTheme="minorHAnsi" w:eastAsia="Times New Roman" w:hAnsiTheme="minorHAnsi" w:cs="Microsoft Sans Serif"/>
                      <w:b/>
                      <w:lang w:eastAsia="en-AU"/>
                    </w:rPr>
                    <w:t>Respondents</w:t>
                  </w:r>
                </w:p>
              </w:tc>
            </w:tr>
            <w:tr w:rsidR="00350B62" w:rsidRPr="00487585" w:rsidTr="009617EB">
              <w:trPr>
                <w:trHeight w:val="255"/>
              </w:trPr>
              <w:tc>
                <w:tcPr>
                  <w:tcW w:w="1560" w:type="dxa"/>
                  <w:tcBorders>
                    <w:top w:val="nil"/>
                    <w:left w:val="single" w:sz="4" w:space="0" w:color="808080"/>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Authoriser</w:t>
                  </w:r>
                </w:p>
              </w:tc>
              <w:tc>
                <w:tcPr>
                  <w:tcW w:w="1520" w:type="dxa"/>
                  <w:tcBorders>
                    <w:top w:val="nil"/>
                    <w:left w:val="nil"/>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jc w:val="right"/>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20</w:t>
                  </w:r>
                </w:p>
              </w:tc>
            </w:tr>
            <w:tr w:rsidR="00350B62" w:rsidRPr="00487585" w:rsidTr="009617EB">
              <w:trPr>
                <w:trHeight w:val="255"/>
              </w:trPr>
              <w:tc>
                <w:tcPr>
                  <w:tcW w:w="1560" w:type="dxa"/>
                  <w:tcBorders>
                    <w:top w:val="nil"/>
                    <w:left w:val="single" w:sz="4" w:space="0" w:color="808080"/>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Dispenser</w:t>
                  </w:r>
                </w:p>
              </w:tc>
              <w:tc>
                <w:tcPr>
                  <w:tcW w:w="1520" w:type="dxa"/>
                  <w:tcBorders>
                    <w:top w:val="nil"/>
                    <w:left w:val="nil"/>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jc w:val="right"/>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64</w:t>
                  </w:r>
                </w:p>
              </w:tc>
            </w:tr>
            <w:tr w:rsidR="00350B62" w:rsidRPr="00487585" w:rsidTr="009617EB">
              <w:trPr>
                <w:trHeight w:val="255"/>
              </w:trPr>
              <w:tc>
                <w:tcPr>
                  <w:tcW w:w="1560" w:type="dxa"/>
                  <w:tcBorders>
                    <w:top w:val="nil"/>
                    <w:left w:val="single" w:sz="4" w:space="0" w:color="808080"/>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Governance</w:t>
                  </w:r>
                </w:p>
              </w:tc>
              <w:tc>
                <w:tcPr>
                  <w:tcW w:w="1520" w:type="dxa"/>
                  <w:tcBorders>
                    <w:top w:val="nil"/>
                    <w:left w:val="nil"/>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jc w:val="right"/>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20</w:t>
                  </w:r>
                </w:p>
              </w:tc>
            </w:tr>
            <w:tr w:rsidR="00350B62" w:rsidRPr="00487585" w:rsidTr="009617EB">
              <w:trPr>
                <w:trHeight w:val="255"/>
              </w:trPr>
              <w:tc>
                <w:tcPr>
                  <w:tcW w:w="1560" w:type="dxa"/>
                  <w:tcBorders>
                    <w:top w:val="nil"/>
                    <w:left w:val="single" w:sz="4" w:space="0" w:color="808080"/>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Nurse</w:t>
                  </w:r>
                </w:p>
              </w:tc>
              <w:tc>
                <w:tcPr>
                  <w:tcW w:w="1520" w:type="dxa"/>
                  <w:tcBorders>
                    <w:top w:val="nil"/>
                    <w:left w:val="nil"/>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jc w:val="right"/>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50</w:t>
                  </w:r>
                </w:p>
              </w:tc>
            </w:tr>
            <w:tr w:rsidR="00350B62" w:rsidRPr="00487585" w:rsidTr="009617EB">
              <w:trPr>
                <w:trHeight w:val="255"/>
              </w:trPr>
              <w:tc>
                <w:tcPr>
                  <w:tcW w:w="1560" w:type="dxa"/>
                  <w:tcBorders>
                    <w:top w:val="nil"/>
                    <w:left w:val="single" w:sz="4" w:space="0" w:color="808080"/>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Prescriber</w:t>
                  </w:r>
                </w:p>
              </w:tc>
              <w:tc>
                <w:tcPr>
                  <w:tcW w:w="1520" w:type="dxa"/>
                  <w:tcBorders>
                    <w:top w:val="nil"/>
                    <w:left w:val="nil"/>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jc w:val="right"/>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50</w:t>
                  </w:r>
                </w:p>
              </w:tc>
            </w:tr>
            <w:tr w:rsidR="00350B62" w:rsidRPr="00487585" w:rsidTr="009617EB">
              <w:trPr>
                <w:trHeight w:val="255"/>
              </w:trPr>
              <w:tc>
                <w:tcPr>
                  <w:tcW w:w="1560" w:type="dxa"/>
                  <w:tcBorders>
                    <w:top w:val="nil"/>
                    <w:left w:val="single" w:sz="4" w:space="0" w:color="808080"/>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Total</w:t>
                  </w:r>
                </w:p>
              </w:tc>
              <w:tc>
                <w:tcPr>
                  <w:tcW w:w="1520" w:type="dxa"/>
                  <w:tcBorders>
                    <w:top w:val="nil"/>
                    <w:left w:val="nil"/>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jc w:val="right"/>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204</w:t>
                  </w:r>
                </w:p>
              </w:tc>
            </w:tr>
          </w:tbl>
          <w:p w:rsidR="00350B62" w:rsidRPr="00487585" w:rsidRDefault="00350B62" w:rsidP="009617EB">
            <w:pPr>
              <w:spacing w:after="0" w:line="240" w:lineRule="auto"/>
              <w:rPr>
                <w:rFonts w:asciiTheme="minorHAnsi" w:eastAsia="Times New Roman" w:hAnsiTheme="minorHAnsi" w:cs="Microsoft Sans Serif"/>
                <w:lang w:eastAsia="en-AU"/>
              </w:rPr>
            </w:pPr>
          </w:p>
        </w:tc>
      </w:tr>
      <w:tr w:rsidR="00350B62" w:rsidRPr="00487585" w:rsidTr="00350B62">
        <w:trPr>
          <w:trHeight w:val="271"/>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2</w:t>
            </w:r>
          </w:p>
        </w:tc>
        <w:tc>
          <w:tcPr>
            <w:tcW w:w="7655" w:type="dxa"/>
            <w:tcBorders>
              <w:top w:val="nil"/>
              <w:left w:val="nil"/>
              <w:bottom w:val="single" w:sz="4" w:space="0" w:color="808080"/>
              <w:right w:val="single" w:sz="4" w:space="0" w:color="808080"/>
            </w:tcBorders>
            <w:shd w:val="clear" w:color="auto" w:fill="auto"/>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State</w:t>
            </w:r>
          </w:p>
          <w:p w:rsidR="00350B62" w:rsidRPr="00487585" w:rsidRDefault="00350B62" w:rsidP="00350B62">
            <w:pPr>
              <w:pStyle w:val="ListParagraph"/>
              <w:numPr>
                <w:ilvl w:val="0"/>
                <w:numId w:val="37"/>
              </w:num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ACT</w:t>
            </w:r>
          </w:p>
          <w:p w:rsidR="00350B62" w:rsidRPr="00487585" w:rsidRDefault="00350B62" w:rsidP="00350B62">
            <w:pPr>
              <w:pStyle w:val="ListParagraph"/>
              <w:numPr>
                <w:ilvl w:val="0"/>
                <w:numId w:val="37"/>
              </w:num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NSW</w:t>
            </w:r>
          </w:p>
          <w:p w:rsidR="00350B62" w:rsidRPr="00487585" w:rsidRDefault="00350B62" w:rsidP="00350B62">
            <w:pPr>
              <w:pStyle w:val="ListParagraph"/>
              <w:numPr>
                <w:ilvl w:val="0"/>
                <w:numId w:val="37"/>
              </w:num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NT</w:t>
            </w:r>
          </w:p>
          <w:p w:rsidR="00350B62" w:rsidRPr="00487585" w:rsidRDefault="00350B62" w:rsidP="00350B62">
            <w:pPr>
              <w:pStyle w:val="ListParagraph"/>
              <w:numPr>
                <w:ilvl w:val="0"/>
                <w:numId w:val="37"/>
              </w:num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QLD</w:t>
            </w:r>
          </w:p>
          <w:p w:rsidR="00350B62" w:rsidRPr="00487585" w:rsidRDefault="00350B62" w:rsidP="00350B62">
            <w:pPr>
              <w:pStyle w:val="ListParagraph"/>
              <w:numPr>
                <w:ilvl w:val="0"/>
                <w:numId w:val="37"/>
              </w:num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SA</w:t>
            </w:r>
          </w:p>
          <w:p w:rsidR="00350B62" w:rsidRPr="00487585" w:rsidRDefault="00350B62" w:rsidP="00350B62">
            <w:pPr>
              <w:pStyle w:val="ListParagraph"/>
              <w:numPr>
                <w:ilvl w:val="0"/>
                <w:numId w:val="37"/>
              </w:num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TAS</w:t>
            </w:r>
          </w:p>
          <w:p w:rsidR="00350B62" w:rsidRPr="00487585" w:rsidRDefault="00350B62" w:rsidP="00350B62">
            <w:pPr>
              <w:pStyle w:val="ListParagraph"/>
              <w:numPr>
                <w:ilvl w:val="0"/>
                <w:numId w:val="37"/>
              </w:num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VIC</w:t>
            </w:r>
          </w:p>
          <w:p w:rsidR="00350B62" w:rsidRPr="00487585" w:rsidRDefault="00350B62" w:rsidP="00350B62">
            <w:pPr>
              <w:pStyle w:val="ListParagraph"/>
              <w:numPr>
                <w:ilvl w:val="0"/>
                <w:numId w:val="37"/>
              </w:num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WA</w:t>
            </w:r>
          </w:p>
        </w:tc>
      </w:tr>
      <w:tr w:rsidR="00350B62" w:rsidRPr="00487585" w:rsidTr="00350B62">
        <w:trPr>
          <w:trHeight w:val="392"/>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p w:rsidR="00350B62" w:rsidRPr="00487585" w:rsidRDefault="00350B62" w:rsidP="009617EB">
            <w:pPr>
              <w:spacing w:after="0" w:line="240" w:lineRule="auto"/>
              <w:rPr>
                <w:rFonts w:asciiTheme="minorHAnsi" w:eastAsia="Times New Roman" w:hAnsiTheme="minorHAnsi" w:cs="Microsoft Sans Serif"/>
                <w:lang w:eastAsia="en-AU"/>
              </w:rPr>
            </w:pPr>
          </w:p>
          <w:tbl>
            <w:tblPr>
              <w:tblW w:w="3120" w:type="dxa"/>
              <w:tblLook w:val="04A0" w:firstRow="1" w:lastRow="0" w:firstColumn="1" w:lastColumn="0" w:noHBand="0" w:noVBand="1"/>
            </w:tblPr>
            <w:tblGrid>
              <w:gridCol w:w="1560"/>
              <w:gridCol w:w="1560"/>
            </w:tblGrid>
            <w:tr w:rsidR="00350B62" w:rsidRPr="00487585" w:rsidTr="009617EB">
              <w:trPr>
                <w:trHeight w:val="255"/>
              </w:trPr>
              <w:tc>
                <w:tcPr>
                  <w:tcW w:w="15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State</w:t>
                  </w:r>
                </w:p>
              </w:tc>
              <w:tc>
                <w:tcPr>
                  <w:tcW w:w="1560" w:type="dxa"/>
                  <w:tcBorders>
                    <w:top w:val="single" w:sz="4" w:space="0" w:color="808080"/>
                    <w:left w:val="nil"/>
                    <w:bottom w:val="single" w:sz="4" w:space="0" w:color="808080"/>
                    <w:right w:val="single" w:sz="4" w:space="0" w:color="808080"/>
                  </w:tcBorders>
                  <w:shd w:val="clear" w:color="000000" w:fill="FFC000"/>
                  <w:noWrap/>
                  <w:vAlign w:val="bottom"/>
                  <w:hideMark/>
                </w:tcPr>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Respondents</w:t>
                  </w:r>
                </w:p>
              </w:tc>
            </w:tr>
            <w:tr w:rsidR="00350B62" w:rsidRPr="00487585" w:rsidTr="009617EB">
              <w:trPr>
                <w:trHeight w:val="255"/>
              </w:trPr>
              <w:tc>
                <w:tcPr>
                  <w:tcW w:w="1560" w:type="dxa"/>
                  <w:tcBorders>
                    <w:top w:val="nil"/>
                    <w:left w:val="single" w:sz="4" w:space="0" w:color="808080"/>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ACT</w:t>
                  </w:r>
                </w:p>
              </w:tc>
              <w:tc>
                <w:tcPr>
                  <w:tcW w:w="1560" w:type="dxa"/>
                  <w:tcBorders>
                    <w:top w:val="nil"/>
                    <w:left w:val="nil"/>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jc w:val="right"/>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6</w:t>
                  </w:r>
                </w:p>
              </w:tc>
            </w:tr>
            <w:tr w:rsidR="00350B62" w:rsidRPr="00487585" w:rsidTr="009617EB">
              <w:trPr>
                <w:trHeight w:val="255"/>
              </w:trPr>
              <w:tc>
                <w:tcPr>
                  <w:tcW w:w="1560" w:type="dxa"/>
                  <w:tcBorders>
                    <w:top w:val="nil"/>
                    <w:left w:val="single" w:sz="4" w:space="0" w:color="808080"/>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NSW</w:t>
                  </w:r>
                </w:p>
              </w:tc>
              <w:tc>
                <w:tcPr>
                  <w:tcW w:w="1560" w:type="dxa"/>
                  <w:tcBorders>
                    <w:top w:val="nil"/>
                    <w:left w:val="nil"/>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jc w:val="right"/>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49</w:t>
                  </w:r>
                </w:p>
              </w:tc>
            </w:tr>
            <w:tr w:rsidR="00350B62" w:rsidRPr="00487585" w:rsidTr="009617EB">
              <w:trPr>
                <w:trHeight w:val="255"/>
              </w:trPr>
              <w:tc>
                <w:tcPr>
                  <w:tcW w:w="1560" w:type="dxa"/>
                  <w:tcBorders>
                    <w:top w:val="nil"/>
                    <w:left w:val="single" w:sz="4" w:space="0" w:color="808080"/>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NT</w:t>
                  </w:r>
                </w:p>
              </w:tc>
              <w:tc>
                <w:tcPr>
                  <w:tcW w:w="1560" w:type="dxa"/>
                  <w:tcBorders>
                    <w:top w:val="nil"/>
                    <w:left w:val="nil"/>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jc w:val="right"/>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3</w:t>
                  </w:r>
                </w:p>
              </w:tc>
            </w:tr>
            <w:tr w:rsidR="00350B62" w:rsidRPr="00487585" w:rsidTr="009617EB">
              <w:trPr>
                <w:trHeight w:val="255"/>
              </w:trPr>
              <w:tc>
                <w:tcPr>
                  <w:tcW w:w="1560" w:type="dxa"/>
                  <w:tcBorders>
                    <w:top w:val="nil"/>
                    <w:left w:val="single" w:sz="4" w:space="0" w:color="808080"/>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lastRenderedPageBreak/>
                    <w:t>QLD</w:t>
                  </w:r>
                </w:p>
              </w:tc>
              <w:tc>
                <w:tcPr>
                  <w:tcW w:w="1560" w:type="dxa"/>
                  <w:tcBorders>
                    <w:top w:val="nil"/>
                    <w:left w:val="nil"/>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jc w:val="right"/>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42</w:t>
                  </w:r>
                </w:p>
              </w:tc>
            </w:tr>
            <w:tr w:rsidR="00350B62" w:rsidRPr="00487585" w:rsidTr="009617EB">
              <w:trPr>
                <w:trHeight w:val="255"/>
              </w:trPr>
              <w:tc>
                <w:tcPr>
                  <w:tcW w:w="1560" w:type="dxa"/>
                  <w:tcBorders>
                    <w:top w:val="nil"/>
                    <w:left w:val="single" w:sz="4" w:space="0" w:color="808080"/>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SA</w:t>
                  </w:r>
                </w:p>
              </w:tc>
              <w:tc>
                <w:tcPr>
                  <w:tcW w:w="1560" w:type="dxa"/>
                  <w:tcBorders>
                    <w:top w:val="nil"/>
                    <w:left w:val="nil"/>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jc w:val="right"/>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16</w:t>
                  </w:r>
                </w:p>
              </w:tc>
            </w:tr>
            <w:tr w:rsidR="00350B62" w:rsidRPr="00487585" w:rsidTr="009617EB">
              <w:trPr>
                <w:trHeight w:val="255"/>
              </w:trPr>
              <w:tc>
                <w:tcPr>
                  <w:tcW w:w="1560" w:type="dxa"/>
                  <w:tcBorders>
                    <w:top w:val="nil"/>
                    <w:left w:val="single" w:sz="4" w:space="0" w:color="808080"/>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TAS</w:t>
                  </w:r>
                </w:p>
              </w:tc>
              <w:tc>
                <w:tcPr>
                  <w:tcW w:w="1560" w:type="dxa"/>
                  <w:tcBorders>
                    <w:top w:val="nil"/>
                    <w:left w:val="nil"/>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jc w:val="right"/>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7</w:t>
                  </w:r>
                </w:p>
              </w:tc>
            </w:tr>
            <w:tr w:rsidR="00350B62" w:rsidRPr="00487585" w:rsidTr="009617EB">
              <w:trPr>
                <w:trHeight w:val="255"/>
              </w:trPr>
              <w:tc>
                <w:tcPr>
                  <w:tcW w:w="1560" w:type="dxa"/>
                  <w:tcBorders>
                    <w:top w:val="nil"/>
                    <w:left w:val="single" w:sz="4" w:space="0" w:color="808080"/>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VIC</w:t>
                  </w:r>
                </w:p>
              </w:tc>
              <w:tc>
                <w:tcPr>
                  <w:tcW w:w="1560" w:type="dxa"/>
                  <w:tcBorders>
                    <w:top w:val="nil"/>
                    <w:left w:val="nil"/>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jc w:val="right"/>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73</w:t>
                  </w:r>
                </w:p>
              </w:tc>
            </w:tr>
            <w:tr w:rsidR="00350B62" w:rsidRPr="00487585" w:rsidTr="009617EB">
              <w:trPr>
                <w:trHeight w:val="255"/>
              </w:trPr>
              <w:tc>
                <w:tcPr>
                  <w:tcW w:w="1560" w:type="dxa"/>
                  <w:tcBorders>
                    <w:top w:val="nil"/>
                    <w:left w:val="single" w:sz="4" w:space="0" w:color="808080"/>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WA</w:t>
                  </w:r>
                </w:p>
              </w:tc>
              <w:tc>
                <w:tcPr>
                  <w:tcW w:w="1560" w:type="dxa"/>
                  <w:tcBorders>
                    <w:top w:val="nil"/>
                    <w:left w:val="nil"/>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jc w:val="right"/>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8</w:t>
                  </w:r>
                </w:p>
              </w:tc>
            </w:tr>
            <w:tr w:rsidR="00350B62" w:rsidRPr="00487585" w:rsidTr="009617EB">
              <w:trPr>
                <w:trHeight w:val="255"/>
              </w:trPr>
              <w:tc>
                <w:tcPr>
                  <w:tcW w:w="1560" w:type="dxa"/>
                  <w:tcBorders>
                    <w:top w:val="nil"/>
                    <w:left w:val="single" w:sz="4" w:space="0" w:color="808080"/>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Total</w:t>
                  </w:r>
                </w:p>
              </w:tc>
              <w:tc>
                <w:tcPr>
                  <w:tcW w:w="1560" w:type="dxa"/>
                  <w:tcBorders>
                    <w:top w:val="nil"/>
                    <w:left w:val="nil"/>
                    <w:bottom w:val="single" w:sz="4" w:space="0" w:color="808080"/>
                    <w:right w:val="single" w:sz="4" w:space="0" w:color="808080"/>
                  </w:tcBorders>
                  <w:shd w:val="clear" w:color="auto" w:fill="FFFFFF" w:themeFill="background1"/>
                  <w:noWrap/>
                  <w:vAlign w:val="bottom"/>
                  <w:hideMark/>
                </w:tcPr>
                <w:p w:rsidR="00350B62" w:rsidRPr="00487585" w:rsidRDefault="00350B62" w:rsidP="009617EB">
                  <w:pPr>
                    <w:spacing w:after="0" w:line="240" w:lineRule="auto"/>
                    <w:jc w:val="right"/>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204</w:t>
                  </w:r>
                </w:p>
              </w:tc>
            </w:tr>
          </w:tbl>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b/>
                <w:lang w:eastAsia="en-AU"/>
              </w:rPr>
            </w:pPr>
            <w:r w:rsidRPr="00487585">
              <w:rPr>
                <w:rFonts w:asciiTheme="minorHAnsi" w:eastAsia="Times New Roman" w:hAnsiTheme="minorHAnsi" w:cs="Microsoft Sans Serif"/>
                <w:b/>
                <w:lang w:eastAsia="en-AU"/>
              </w:rPr>
              <w:t>Remarks</w:t>
            </w: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In all states and territories the percentage of survey respondents is equivalent within 1%-2% of the population and anticipated number of users (1500).  The exception is in NSW where survey respondents were down 8% on the anticipated number of users in that state, and WA where survey respondents were down 11% on the anticipated number of users, due to WA Health concerns with implementing the National Policy and associated System.</w:t>
            </w:r>
          </w:p>
          <w:p w:rsidR="00350B62" w:rsidRPr="00487585" w:rsidRDefault="00350B62" w:rsidP="009617EB">
            <w:pPr>
              <w:spacing w:after="0" w:line="240" w:lineRule="auto"/>
              <w:rPr>
                <w:rFonts w:asciiTheme="minorHAnsi" w:eastAsia="Times New Roman" w:hAnsiTheme="minorHAnsi" w:cs="Microsoft Sans Serif"/>
                <w:lang w:eastAsia="en-AU"/>
              </w:rPr>
            </w:pPr>
          </w:p>
        </w:tc>
      </w:tr>
      <w:tr w:rsidR="00350B62" w:rsidRPr="00487585" w:rsidTr="00350B62">
        <w:trPr>
          <w:trHeight w:val="392"/>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lastRenderedPageBreak/>
              <w:t>3</w:t>
            </w:r>
          </w:p>
        </w:tc>
        <w:tc>
          <w:tcPr>
            <w:tcW w:w="7655" w:type="dxa"/>
            <w:tcBorders>
              <w:top w:val="nil"/>
              <w:left w:val="nil"/>
              <w:bottom w:val="single" w:sz="4" w:space="0" w:color="808080"/>
              <w:right w:val="single" w:sz="4" w:space="0" w:color="808080"/>
            </w:tcBorders>
            <w:shd w:val="clear" w:color="auto" w:fill="auto"/>
          </w:tcPr>
          <w:p w:rsidR="00350B62" w:rsidRPr="00487585" w:rsidRDefault="00350B62" w:rsidP="009617EB">
            <w:pPr>
              <w:spacing w:before="100" w:beforeAutospacing="1" w:after="100" w:afterAutospacing="1"/>
              <w:rPr>
                <w:rFonts w:asciiTheme="minorHAnsi" w:hAnsiTheme="minorHAnsi"/>
                <w:lang w:val="en" w:eastAsia="en-AU"/>
              </w:rPr>
            </w:pPr>
            <w:r w:rsidRPr="00487585">
              <w:rPr>
                <w:rFonts w:asciiTheme="minorHAnsi" w:hAnsiTheme="minorHAnsi"/>
                <w:lang w:val="en" w:eastAsia="en-AU"/>
              </w:rPr>
              <w:t xml:space="preserve">The questions in this survey are separated into scenarios for Prescribers (Doctor/Medical Officer), </w:t>
            </w:r>
            <w:proofErr w:type="spellStart"/>
            <w:r w:rsidRPr="00487585">
              <w:rPr>
                <w:rFonts w:asciiTheme="minorHAnsi" w:hAnsiTheme="minorHAnsi"/>
                <w:lang w:val="en" w:eastAsia="en-AU"/>
              </w:rPr>
              <w:t>Authorisers</w:t>
            </w:r>
            <w:proofErr w:type="spellEnd"/>
            <w:r w:rsidRPr="00487585">
              <w:rPr>
                <w:rFonts w:asciiTheme="minorHAnsi" w:hAnsiTheme="minorHAnsi"/>
                <w:lang w:val="en" w:eastAsia="en-AU"/>
              </w:rPr>
              <w:t>, Nurses and Dispensers. Please respond to each question regardless of your role; your expectation on the role of others involved in the delivery of health care services to patients is integral to Ig System design.</w:t>
            </w:r>
            <w:r w:rsidRPr="00487585">
              <w:rPr>
                <w:rFonts w:asciiTheme="minorHAnsi" w:hAnsiTheme="minorHAnsi"/>
                <w:lang w:val="en" w:eastAsia="en-AU"/>
              </w:rPr>
              <w:br/>
            </w:r>
            <w:r w:rsidRPr="00487585">
              <w:rPr>
                <w:rFonts w:asciiTheme="minorHAnsi" w:hAnsiTheme="minorHAnsi"/>
                <w:lang w:val="en" w:eastAsia="en-AU"/>
              </w:rPr>
              <w:br/>
              <w:t>Assumptions that apply to all of the scenarios in this survey are:</w:t>
            </w:r>
          </w:p>
          <w:p w:rsidR="00350B62" w:rsidRPr="00487585" w:rsidRDefault="00350B62" w:rsidP="009617EB">
            <w:pPr>
              <w:spacing w:before="100" w:beforeAutospacing="1" w:after="100" w:afterAutospacing="1"/>
              <w:ind w:left="720"/>
              <w:rPr>
                <w:rFonts w:asciiTheme="minorHAnsi" w:hAnsiTheme="minorHAnsi"/>
                <w:lang w:val="en" w:eastAsia="en-AU"/>
              </w:rPr>
            </w:pPr>
            <w:r w:rsidRPr="00487585">
              <w:rPr>
                <w:rFonts w:asciiTheme="minorHAnsi" w:hAnsiTheme="minorHAnsi"/>
                <w:b/>
                <w:lang w:val="en" w:eastAsia="en-AU"/>
              </w:rPr>
              <w:t>I.</w:t>
            </w:r>
            <w:r w:rsidRPr="00487585">
              <w:rPr>
                <w:rFonts w:asciiTheme="minorHAnsi" w:hAnsiTheme="minorHAnsi"/>
                <w:lang w:val="en" w:eastAsia="en-AU"/>
              </w:rPr>
              <w:t xml:space="preserve"> the Prescriber, </w:t>
            </w:r>
            <w:proofErr w:type="spellStart"/>
            <w:r w:rsidRPr="00487585">
              <w:rPr>
                <w:rFonts w:asciiTheme="minorHAnsi" w:hAnsiTheme="minorHAnsi"/>
                <w:lang w:val="en" w:eastAsia="en-AU"/>
              </w:rPr>
              <w:t>Authoriser</w:t>
            </w:r>
            <w:proofErr w:type="spellEnd"/>
            <w:r w:rsidRPr="00487585">
              <w:rPr>
                <w:rFonts w:asciiTheme="minorHAnsi" w:hAnsiTheme="minorHAnsi"/>
                <w:lang w:val="en" w:eastAsia="en-AU"/>
              </w:rPr>
              <w:t xml:space="preserve">, Nurse or Dispenser is a registered user of </w:t>
            </w:r>
            <w:r w:rsidR="001D735F">
              <w:t>the Ig System</w:t>
            </w:r>
            <w:r w:rsidRPr="00487585">
              <w:rPr>
                <w:rFonts w:asciiTheme="minorHAnsi" w:hAnsiTheme="minorHAnsi"/>
                <w:lang w:val="en" w:eastAsia="en-AU"/>
              </w:rPr>
              <w:t xml:space="preserve">, and has agreed to the terms and conditions of use (to be defined); </w:t>
            </w:r>
            <w:r w:rsidRPr="00487585">
              <w:rPr>
                <w:rFonts w:asciiTheme="minorHAnsi" w:hAnsiTheme="minorHAnsi"/>
                <w:lang w:val="en" w:eastAsia="en-AU"/>
              </w:rPr>
              <w:br/>
            </w:r>
            <w:r w:rsidRPr="00487585">
              <w:rPr>
                <w:rFonts w:asciiTheme="minorHAnsi" w:hAnsiTheme="minorHAnsi"/>
                <w:b/>
                <w:lang w:val="en" w:eastAsia="en-AU"/>
              </w:rPr>
              <w:t>AND</w:t>
            </w:r>
            <w:r w:rsidRPr="00487585">
              <w:rPr>
                <w:rFonts w:asciiTheme="minorHAnsi" w:hAnsiTheme="minorHAnsi"/>
                <w:lang w:val="en" w:eastAsia="en-AU"/>
              </w:rPr>
              <w:br/>
            </w:r>
            <w:r w:rsidRPr="00487585">
              <w:rPr>
                <w:rFonts w:asciiTheme="minorHAnsi" w:hAnsiTheme="minorHAnsi"/>
                <w:b/>
                <w:lang w:val="en" w:eastAsia="en-AU"/>
              </w:rPr>
              <w:t>II.</w:t>
            </w:r>
            <w:r w:rsidRPr="00487585">
              <w:rPr>
                <w:rFonts w:asciiTheme="minorHAnsi" w:hAnsiTheme="minorHAnsi"/>
                <w:lang w:val="en" w:eastAsia="en-AU"/>
              </w:rPr>
              <w:t xml:space="preserve"> </w:t>
            </w:r>
            <w:proofErr w:type="gramStart"/>
            <w:r w:rsidRPr="00487585">
              <w:rPr>
                <w:rFonts w:asciiTheme="minorHAnsi" w:hAnsiTheme="minorHAnsi"/>
                <w:lang w:val="en" w:eastAsia="en-AU"/>
              </w:rPr>
              <w:t>all</w:t>
            </w:r>
            <w:proofErr w:type="gramEnd"/>
            <w:r w:rsidRPr="00487585">
              <w:rPr>
                <w:rFonts w:asciiTheme="minorHAnsi" w:hAnsiTheme="minorHAnsi"/>
                <w:lang w:val="en" w:eastAsia="en-AU"/>
              </w:rPr>
              <w:t xml:space="preserve"> patients have expressly consented to having their health information recorded in </w:t>
            </w:r>
            <w:r w:rsidR="001D735F">
              <w:t>the Ig System</w:t>
            </w:r>
            <w:r w:rsidR="001D735F" w:rsidRPr="00487585">
              <w:rPr>
                <w:rFonts w:asciiTheme="minorHAnsi" w:hAnsiTheme="minorHAnsi"/>
                <w:lang w:val="en" w:eastAsia="en-AU"/>
              </w:rPr>
              <w:t xml:space="preserve"> </w:t>
            </w:r>
            <w:r w:rsidRPr="00487585">
              <w:rPr>
                <w:rFonts w:asciiTheme="minorHAnsi" w:hAnsiTheme="minorHAnsi"/>
                <w:lang w:val="en" w:eastAsia="en-AU"/>
              </w:rPr>
              <w:t xml:space="preserve">for the purpose of managing their access to government funded immunoglobulin products and directly related purposes, including to </w:t>
            </w:r>
            <w:proofErr w:type="spellStart"/>
            <w:r w:rsidRPr="00487585">
              <w:rPr>
                <w:rFonts w:asciiTheme="minorHAnsi" w:hAnsiTheme="minorHAnsi"/>
                <w:lang w:val="en" w:eastAsia="en-AU"/>
              </w:rPr>
              <w:t>optimise</w:t>
            </w:r>
            <w:proofErr w:type="spellEnd"/>
            <w:r w:rsidRPr="00487585">
              <w:rPr>
                <w:rFonts w:asciiTheme="minorHAnsi" w:hAnsiTheme="minorHAnsi"/>
                <w:lang w:val="en" w:eastAsia="en-AU"/>
              </w:rPr>
              <w:t xml:space="preserve"> patient safety and improve clinical practice; </w:t>
            </w:r>
            <w:r w:rsidRPr="00487585">
              <w:rPr>
                <w:rFonts w:asciiTheme="minorHAnsi" w:hAnsiTheme="minorHAnsi"/>
                <w:lang w:val="en" w:eastAsia="en-AU"/>
              </w:rPr>
              <w:br/>
            </w:r>
            <w:r w:rsidRPr="00487585">
              <w:rPr>
                <w:rFonts w:asciiTheme="minorHAnsi" w:hAnsiTheme="minorHAnsi"/>
                <w:b/>
                <w:lang w:val="en" w:eastAsia="en-AU"/>
              </w:rPr>
              <w:t>AND</w:t>
            </w:r>
            <w:r w:rsidRPr="00487585">
              <w:rPr>
                <w:rFonts w:asciiTheme="minorHAnsi" w:hAnsiTheme="minorHAnsi"/>
                <w:lang w:val="en" w:eastAsia="en-AU"/>
              </w:rPr>
              <w:br/>
            </w:r>
            <w:r w:rsidRPr="00487585">
              <w:rPr>
                <w:rFonts w:asciiTheme="minorHAnsi" w:hAnsiTheme="minorHAnsi"/>
                <w:b/>
                <w:lang w:val="en" w:eastAsia="en-AU"/>
              </w:rPr>
              <w:t>III.</w:t>
            </w:r>
            <w:r w:rsidRPr="00487585">
              <w:rPr>
                <w:rFonts w:asciiTheme="minorHAnsi" w:hAnsiTheme="minorHAnsi"/>
                <w:lang w:val="en" w:eastAsia="en-AU"/>
              </w:rPr>
              <w:t xml:space="preserve"> </w:t>
            </w:r>
            <w:proofErr w:type="gramStart"/>
            <w:r w:rsidRPr="00487585">
              <w:rPr>
                <w:rFonts w:asciiTheme="minorHAnsi" w:hAnsiTheme="minorHAnsi"/>
                <w:lang w:val="en" w:eastAsia="en-AU"/>
              </w:rPr>
              <w:t>all</w:t>
            </w:r>
            <w:proofErr w:type="gramEnd"/>
            <w:r w:rsidRPr="00487585">
              <w:rPr>
                <w:rFonts w:asciiTheme="minorHAnsi" w:hAnsiTheme="minorHAnsi"/>
                <w:lang w:val="en" w:eastAsia="en-AU"/>
              </w:rPr>
              <w:t xml:space="preserve"> patients will have been the subject of an </w:t>
            </w:r>
            <w:proofErr w:type="spellStart"/>
            <w:r w:rsidRPr="00487585">
              <w:rPr>
                <w:rFonts w:asciiTheme="minorHAnsi" w:hAnsiTheme="minorHAnsi"/>
                <w:lang w:val="en" w:eastAsia="en-AU"/>
              </w:rPr>
              <w:t>IVIg</w:t>
            </w:r>
            <w:proofErr w:type="spellEnd"/>
            <w:r w:rsidRPr="00487585">
              <w:rPr>
                <w:rFonts w:asciiTheme="minorHAnsi" w:hAnsiTheme="minorHAnsi"/>
                <w:lang w:val="en" w:eastAsia="en-AU"/>
              </w:rPr>
              <w:t>/</w:t>
            </w:r>
            <w:proofErr w:type="spellStart"/>
            <w:r w:rsidRPr="00487585">
              <w:rPr>
                <w:rFonts w:asciiTheme="minorHAnsi" w:hAnsiTheme="minorHAnsi"/>
                <w:lang w:val="en" w:eastAsia="en-AU"/>
              </w:rPr>
              <w:t>SCIg</w:t>
            </w:r>
            <w:proofErr w:type="spellEnd"/>
            <w:r w:rsidRPr="00487585">
              <w:rPr>
                <w:rFonts w:asciiTheme="minorHAnsi" w:hAnsiTheme="minorHAnsi"/>
                <w:lang w:val="en" w:eastAsia="en-AU"/>
              </w:rPr>
              <w:t xml:space="preserve"> </w:t>
            </w:r>
            <w:proofErr w:type="spellStart"/>
            <w:r w:rsidRPr="00487585">
              <w:rPr>
                <w:rFonts w:asciiTheme="minorHAnsi" w:hAnsiTheme="minorHAnsi"/>
                <w:lang w:val="en" w:eastAsia="en-AU"/>
              </w:rPr>
              <w:t>authorisation</w:t>
            </w:r>
            <w:proofErr w:type="spellEnd"/>
            <w:r w:rsidRPr="00487585">
              <w:rPr>
                <w:rFonts w:asciiTheme="minorHAnsi" w:hAnsiTheme="minorHAnsi"/>
                <w:lang w:val="en" w:eastAsia="en-AU"/>
              </w:rPr>
              <w:t xml:space="preserve"> request (in </w:t>
            </w:r>
            <w:r w:rsidR="001D735F">
              <w:t>the Ig System</w:t>
            </w:r>
            <w:r w:rsidRPr="00487585">
              <w:rPr>
                <w:rFonts w:asciiTheme="minorHAnsi" w:hAnsiTheme="minorHAnsi"/>
                <w:lang w:val="en" w:eastAsia="en-AU"/>
              </w:rPr>
              <w:t>, not any other system), irrespective of its current status;</w:t>
            </w:r>
            <w:r w:rsidRPr="00487585">
              <w:rPr>
                <w:rFonts w:asciiTheme="minorHAnsi" w:hAnsiTheme="minorHAnsi"/>
                <w:lang w:val="en" w:eastAsia="en-AU"/>
              </w:rPr>
              <w:br/>
            </w:r>
            <w:r w:rsidRPr="00487585">
              <w:rPr>
                <w:rFonts w:asciiTheme="minorHAnsi" w:hAnsiTheme="minorHAnsi"/>
                <w:b/>
                <w:lang w:val="en" w:eastAsia="en-AU"/>
              </w:rPr>
              <w:t>AND</w:t>
            </w:r>
            <w:r w:rsidRPr="00487585">
              <w:rPr>
                <w:rFonts w:asciiTheme="minorHAnsi" w:hAnsiTheme="minorHAnsi"/>
                <w:lang w:val="en" w:eastAsia="en-AU"/>
              </w:rPr>
              <w:br/>
            </w:r>
            <w:r w:rsidRPr="00487585">
              <w:rPr>
                <w:rFonts w:asciiTheme="minorHAnsi" w:hAnsiTheme="minorHAnsi"/>
                <w:b/>
                <w:lang w:val="en" w:eastAsia="en-AU"/>
              </w:rPr>
              <w:t>IV.</w:t>
            </w:r>
            <w:r w:rsidRPr="00487585">
              <w:rPr>
                <w:rFonts w:asciiTheme="minorHAnsi" w:hAnsiTheme="minorHAnsi"/>
                <w:lang w:val="en" w:eastAsia="en-AU"/>
              </w:rPr>
              <w:t xml:space="preserve"> </w:t>
            </w:r>
            <w:proofErr w:type="gramStart"/>
            <w:r w:rsidRPr="00487585">
              <w:rPr>
                <w:rFonts w:asciiTheme="minorHAnsi" w:hAnsiTheme="minorHAnsi"/>
                <w:lang w:val="en" w:eastAsia="en-AU"/>
              </w:rPr>
              <w:t>the</w:t>
            </w:r>
            <w:proofErr w:type="gramEnd"/>
            <w:r w:rsidRPr="00487585">
              <w:rPr>
                <w:rFonts w:asciiTheme="minorHAnsi" w:hAnsiTheme="minorHAnsi"/>
                <w:lang w:val="en" w:eastAsia="en-AU"/>
              </w:rPr>
              <w:t xml:space="preserve"> hospital/facility from where </w:t>
            </w:r>
            <w:r w:rsidR="001D735F">
              <w:t>the Ig System</w:t>
            </w:r>
            <w:r w:rsidR="001D735F" w:rsidRPr="00487585">
              <w:rPr>
                <w:rFonts w:asciiTheme="minorHAnsi" w:hAnsiTheme="minorHAnsi"/>
                <w:lang w:val="en" w:eastAsia="en-AU"/>
              </w:rPr>
              <w:t xml:space="preserve"> </w:t>
            </w:r>
            <w:r w:rsidRPr="00487585">
              <w:rPr>
                <w:rFonts w:asciiTheme="minorHAnsi" w:hAnsiTheme="minorHAnsi"/>
                <w:lang w:val="en" w:eastAsia="en-AU"/>
              </w:rPr>
              <w:t xml:space="preserve">search is being conducted is the location where Treatment for the particular patient is prescribed, treatment is Administered (may be different to the hospital where the treatment is prescribed) or where arrangements are made for product Dispensing (e.g. </w:t>
            </w:r>
            <w:proofErr w:type="spellStart"/>
            <w:r w:rsidRPr="00487585">
              <w:rPr>
                <w:rFonts w:asciiTheme="minorHAnsi" w:hAnsiTheme="minorHAnsi"/>
                <w:lang w:val="en" w:eastAsia="en-AU"/>
              </w:rPr>
              <w:t>SCIg</w:t>
            </w:r>
            <w:proofErr w:type="spellEnd"/>
            <w:r w:rsidRPr="00487585">
              <w:rPr>
                <w:rFonts w:asciiTheme="minorHAnsi" w:hAnsiTheme="minorHAnsi"/>
                <w:lang w:val="en" w:eastAsia="en-AU"/>
              </w:rPr>
              <w:t xml:space="preserve"> Home Therapy). Refer to definitions below for additional detail.</w:t>
            </w:r>
            <w:r w:rsidRPr="00487585">
              <w:rPr>
                <w:rFonts w:asciiTheme="minorHAnsi" w:hAnsiTheme="minorHAnsi"/>
                <w:lang w:val="en" w:eastAsia="en-AU"/>
              </w:rPr>
              <w:br/>
            </w:r>
            <w:r w:rsidRPr="00487585">
              <w:rPr>
                <w:rFonts w:asciiTheme="minorHAnsi" w:hAnsiTheme="minorHAnsi"/>
                <w:b/>
                <w:lang w:val="en" w:eastAsia="en-AU"/>
              </w:rPr>
              <w:t>AND</w:t>
            </w:r>
            <w:r w:rsidRPr="00487585">
              <w:rPr>
                <w:rFonts w:asciiTheme="minorHAnsi" w:hAnsiTheme="minorHAnsi"/>
                <w:lang w:val="en" w:eastAsia="en-AU"/>
              </w:rPr>
              <w:br/>
            </w:r>
            <w:r w:rsidRPr="00487585">
              <w:rPr>
                <w:rFonts w:asciiTheme="minorHAnsi" w:hAnsiTheme="minorHAnsi"/>
                <w:b/>
                <w:lang w:val="en" w:eastAsia="en-AU"/>
              </w:rPr>
              <w:t>V.</w:t>
            </w:r>
            <w:r w:rsidRPr="00487585">
              <w:rPr>
                <w:rFonts w:asciiTheme="minorHAnsi" w:hAnsiTheme="minorHAnsi"/>
                <w:lang w:val="en" w:eastAsia="en-AU"/>
              </w:rPr>
              <w:t xml:space="preserve"> all page views, searches and updates performed by registered system users are recorded in an audit log and are used for reporting and to detect </w:t>
            </w:r>
            <w:r w:rsidRPr="00487585">
              <w:rPr>
                <w:rFonts w:asciiTheme="minorHAnsi" w:hAnsiTheme="minorHAnsi"/>
                <w:lang w:val="en" w:eastAsia="en-AU"/>
              </w:rPr>
              <w:lastRenderedPageBreak/>
              <w:t>privacy breaches.</w:t>
            </w:r>
          </w:p>
          <w:p w:rsidR="00350B62" w:rsidRPr="00487585" w:rsidRDefault="00350B62" w:rsidP="009617EB">
            <w:pPr>
              <w:spacing w:before="100" w:beforeAutospacing="1" w:after="100" w:afterAutospacing="1"/>
              <w:rPr>
                <w:rFonts w:asciiTheme="minorHAnsi" w:hAnsiTheme="minorHAnsi"/>
                <w:lang w:val="en" w:eastAsia="en-AU"/>
              </w:rPr>
            </w:pPr>
            <w:r w:rsidRPr="00487585">
              <w:rPr>
                <w:rFonts w:asciiTheme="minorHAnsi" w:hAnsiTheme="minorHAnsi"/>
                <w:lang w:val="en" w:eastAsia="en-AU"/>
              </w:rPr>
              <w:t>Definitions for hospitals and facilities involved in delivering health services</w:t>
            </w:r>
          </w:p>
          <w:p w:rsidR="00350B62" w:rsidRPr="00487585" w:rsidRDefault="00350B62" w:rsidP="009617EB">
            <w:pPr>
              <w:spacing w:before="100" w:beforeAutospacing="1" w:after="100" w:afterAutospacing="1"/>
              <w:ind w:left="720"/>
              <w:rPr>
                <w:rFonts w:asciiTheme="minorHAnsi" w:hAnsiTheme="minorHAnsi"/>
                <w:lang w:val="en" w:eastAsia="en-AU"/>
              </w:rPr>
            </w:pPr>
            <w:r w:rsidRPr="00487585">
              <w:rPr>
                <w:rFonts w:asciiTheme="minorHAnsi" w:hAnsiTheme="minorHAnsi"/>
                <w:b/>
                <w:lang w:val="en" w:eastAsia="en-AU"/>
              </w:rPr>
              <w:t>Treatment Hospital/ Facility</w:t>
            </w:r>
            <w:proofErr w:type="gramStart"/>
            <w:r w:rsidRPr="00487585">
              <w:rPr>
                <w:rFonts w:asciiTheme="minorHAnsi" w:hAnsiTheme="minorHAnsi"/>
                <w:b/>
                <w:lang w:val="en" w:eastAsia="en-AU"/>
              </w:rPr>
              <w:t>:</w:t>
            </w:r>
            <w:proofErr w:type="gramEnd"/>
            <w:r w:rsidRPr="00487585">
              <w:rPr>
                <w:rFonts w:asciiTheme="minorHAnsi" w:hAnsiTheme="minorHAnsi"/>
                <w:b/>
                <w:lang w:val="en" w:eastAsia="en-AU"/>
              </w:rPr>
              <w:br/>
            </w:r>
            <w:r w:rsidRPr="00487585">
              <w:rPr>
                <w:rFonts w:asciiTheme="minorHAnsi" w:hAnsiTheme="minorHAnsi"/>
                <w:lang w:val="en" w:eastAsia="en-AU"/>
              </w:rPr>
              <w:t>The hospital that is responsible for the management of a patient’s diagnosed medical condition.</w:t>
            </w:r>
            <w:r w:rsidRPr="00487585">
              <w:rPr>
                <w:rFonts w:asciiTheme="minorHAnsi" w:hAnsiTheme="minorHAnsi"/>
                <w:lang w:val="en" w:eastAsia="en-AU"/>
              </w:rPr>
              <w:br/>
            </w:r>
            <w:r w:rsidRPr="00487585">
              <w:rPr>
                <w:rFonts w:asciiTheme="minorHAnsi" w:hAnsiTheme="minorHAnsi"/>
                <w:b/>
                <w:lang w:val="en" w:eastAsia="en-AU"/>
              </w:rPr>
              <w:t>Administering Hospital/Facility</w:t>
            </w:r>
            <w:r w:rsidRPr="00487585">
              <w:rPr>
                <w:rFonts w:asciiTheme="minorHAnsi" w:hAnsiTheme="minorHAnsi"/>
                <w:b/>
                <w:lang w:val="en" w:eastAsia="en-AU"/>
              </w:rPr>
              <w:br/>
            </w:r>
            <w:r w:rsidRPr="00487585">
              <w:rPr>
                <w:rFonts w:asciiTheme="minorHAnsi" w:hAnsiTheme="minorHAnsi"/>
                <w:lang w:val="en" w:eastAsia="en-AU"/>
              </w:rPr>
              <w:t>The hospital at which a patient has immunoglobulin treatment administered. This may differ from the hospital that is responsible for the management of the medical condition. For example a patient may be managed at a city hospital but may present at a regional hospital for the purpose of having an infusion.</w:t>
            </w:r>
            <w:r w:rsidRPr="00487585">
              <w:rPr>
                <w:rFonts w:asciiTheme="minorHAnsi" w:hAnsiTheme="minorHAnsi"/>
                <w:lang w:val="en" w:eastAsia="en-AU"/>
              </w:rPr>
              <w:br/>
            </w:r>
            <w:r w:rsidRPr="00487585">
              <w:rPr>
                <w:rFonts w:asciiTheme="minorHAnsi" w:hAnsiTheme="minorHAnsi"/>
                <w:b/>
                <w:lang w:val="en" w:eastAsia="en-AU"/>
              </w:rPr>
              <w:t>Dispensing Hospital/Facility</w:t>
            </w:r>
            <w:r w:rsidRPr="00487585">
              <w:rPr>
                <w:rFonts w:asciiTheme="minorHAnsi" w:hAnsiTheme="minorHAnsi"/>
                <w:b/>
                <w:lang w:val="en" w:eastAsia="en-AU"/>
              </w:rPr>
              <w:br/>
            </w:r>
            <w:r w:rsidRPr="00487585">
              <w:rPr>
                <w:rFonts w:asciiTheme="minorHAnsi" w:hAnsiTheme="minorHAnsi"/>
                <w:lang w:val="en" w:eastAsia="en-AU"/>
              </w:rPr>
              <w:t xml:space="preserve">The lab or pharmacy at which a product dispensing arrangement is made for a patient’s treatment. This may be different from the Treatment hospital and or Administering hospital. A dispensing facility is generally relevant in </w:t>
            </w:r>
            <w:proofErr w:type="spellStart"/>
            <w:r w:rsidRPr="00487585">
              <w:rPr>
                <w:rFonts w:asciiTheme="minorHAnsi" w:hAnsiTheme="minorHAnsi"/>
                <w:lang w:val="en" w:eastAsia="en-AU"/>
              </w:rPr>
              <w:t>SCIg</w:t>
            </w:r>
            <w:proofErr w:type="spellEnd"/>
            <w:r w:rsidRPr="00487585">
              <w:rPr>
                <w:rFonts w:asciiTheme="minorHAnsi" w:hAnsiTheme="minorHAnsi"/>
                <w:lang w:val="en" w:eastAsia="en-AU"/>
              </w:rPr>
              <w:t xml:space="preserve"> scenarios where a patient collects product from a hospital that is different to where their treatment is managed.</w:t>
            </w: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 xml:space="preserve">Do you have any comments to make on these assumptions? </w:t>
            </w:r>
          </w:p>
          <w:p w:rsidR="00350B62" w:rsidRPr="00487585" w:rsidRDefault="00350B62" w:rsidP="009617EB">
            <w:pPr>
              <w:spacing w:after="0" w:line="240" w:lineRule="auto"/>
              <w:rPr>
                <w:rFonts w:asciiTheme="minorHAnsi" w:eastAsia="Times New Roman" w:hAnsiTheme="minorHAnsi" w:cs="Microsoft Sans Serif"/>
                <w:lang w:eastAsia="en-AU"/>
              </w:rPr>
            </w:pPr>
          </w:p>
        </w:tc>
      </w:tr>
      <w:tr w:rsidR="00350B62" w:rsidRPr="00487585" w:rsidTr="00350B62">
        <w:trPr>
          <w:trHeight w:val="561"/>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lastRenderedPageBreak/>
              <w:t xml:space="preserve">Response </w:t>
            </w:r>
          </w:p>
        </w:tc>
        <w:tc>
          <w:tcPr>
            <w:tcW w:w="7655" w:type="dxa"/>
            <w:tcBorders>
              <w:top w:val="nil"/>
              <w:left w:val="nil"/>
              <w:bottom w:val="single" w:sz="4" w:space="0" w:color="808080"/>
              <w:right w:val="single" w:sz="4" w:space="0" w:color="808080"/>
            </w:tcBorders>
            <w:shd w:val="clear" w:color="auto" w:fill="auto"/>
          </w:tcPr>
          <w:tbl>
            <w:tblPr>
              <w:tblW w:w="4604" w:type="dxa"/>
              <w:tblLook w:val="04A0" w:firstRow="1" w:lastRow="0" w:firstColumn="1" w:lastColumn="0" w:noHBand="0" w:noVBand="1"/>
            </w:tblPr>
            <w:tblGrid>
              <w:gridCol w:w="764"/>
              <w:gridCol w:w="960"/>
              <w:gridCol w:w="1054"/>
              <w:gridCol w:w="960"/>
              <w:gridCol w:w="960"/>
            </w:tblGrid>
            <w:tr w:rsidR="00FC2BA4" w:rsidRPr="00487585" w:rsidTr="00FC2BA4">
              <w:trPr>
                <w:trHeight w:val="255"/>
              </w:trPr>
              <w:tc>
                <w:tcPr>
                  <w:tcW w:w="764"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FC2BA4">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FC2BA4">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FC2BA4">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FC2BA4">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FC2BA4">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FC2BA4">
              <w:trPr>
                <w:trHeight w:val="255"/>
              </w:trPr>
              <w:tc>
                <w:tcPr>
                  <w:tcW w:w="764"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FC2BA4">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FC2BA4">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26</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FC2BA4">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178</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FC2BA4">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36</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FC2BA4">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142</w:t>
                  </w:r>
                </w:p>
              </w:tc>
            </w:tr>
            <w:tr w:rsidR="00FC2BA4" w:rsidRPr="00487585" w:rsidTr="00FC2BA4">
              <w:trPr>
                <w:trHeight w:val="255"/>
              </w:trPr>
              <w:tc>
                <w:tcPr>
                  <w:tcW w:w="764"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FC2BA4">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FC2BA4">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13%</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FC2BA4">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87%</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FC2BA4">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20%</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FC2BA4">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80%</w:t>
                  </w:r>
                </w:p>
              </w:tc>
            </w:tr>
          </w:tbl>
          <w:p w:rsidR="00350B62" w:rsidRPr="00487585" w:rsidRDefault="00350B62" w:rsidP="009617EB">
            <w:pPr>
              <w:rPr>
                <w:rFonts w:asciiTheme="minorHAnsi" w:eastAsia="Times New Roman" w:hAnsiTheme="minorHAnsi" w:cs="Microsoft Sans Serif"/>
                <w:b/>
                <w:lang w:eastAsia="en-AU"/>
              </w:rPr>
            </w:pPr>
          </w:p>
          <w:p w:rsidR="00350B62" w:rsidRPr="00487585" w:rsidRDefault="00350B62" w:rsidP="009617EB">
            <w:pPr>
              <w:rPr>
                <w:rFonts w:asciiTheme="minorHAnsi" w:eastAsia="Times New Roman" w:hAnsiTheme="minorHAnsi" w:cs="Microsoft Sans Serif"/>
                <w:b/>
                <w:lang w:eastAsia="en-AU"/>
              </w:rPr>
            </w:pPr>
            <w:r w:rsidRPr="00487585">
              <w:rPr>
                <w:rFonts w:asciiTheme="minorHAnsi" w:eastAsia="Times New Roman" w:hAnsiTheme="minorHAnsi" w:cs="Microsoft Sans Serif"/>
                <w:b/>
                <w:lang w:eastAsia="en-AU"/>
              </w:rPr>
              <w:t>Remarks</w:t>
            </w:r>
          </w:p>
          <w:p w:rsidR="00350B62" w:rsidRPr="00487585" w:rsidRDefault="00350B62" w:rsidP="009617EB">
            <w:pPr>
              <w:rPr>
                <w:rFonts w:asciiTheme="minorHAnsi" w:hAnsiTheme="minorHAnsi"/>
              </w:rPr>
            </w:pPr>
            <w:r w:rsidRPr="00487585">
              <w:rPr>
                <w:rFonts w:asciiTheme="minorHAnsi" w:hAnsiTheme="minorHAnsi"/>
              </w:rPr>
              <w:t xml:space="preserve">A high response to ‘No’ in this question indicates that respondents do not have any concerns with the assumptions. </w:t>
            </w:r>
          </w:p>
          <w:p w:rsidR="00350B62" w:rsidRPr="00487585" w:rsidRDefault="00350B62" w:rsidP="009617EB">
            <w:pPr>
              <w:rPr>
                <w:rFonts w:asciiTheme="minorHAnsi" w:hAnsiTheme="minorHAnsi"/>
              </w:rPr>
            </w:pPr>
            <w:r w:rsidRPr="00487585">
              <w:rPr>
                <w:rFonts w:asciiTheme="minorHAnsi" w:hAnsiTheme="minorHAnsi"/>
              </w:rPr>
              <w:t>Of the ‘Yes’ responders, 27 provided comments which indicate they were seeking further clarification on the assumptions including the definitions on facility types and therefore do not indicate significant concern with the assumptions.</w:t>
            </w:r>
          </w:p>
          <w:p w:rsidR="00350B62" w:rsidRPr="00487585" w:rsidRDefault="00350B62" w:rsidP="009617EB">
            <w:pPr>
              <w:rPr>
                <w:rFonts w:asciiTheme="minorHAnsi" w:hAnsiTheme="minorHAnsi"/>
              </w:rPr>
            </w:pPr>
            <w:r w:rsidRPr="00487585">
              <w:rPr>
                <w:rFonts w:asciiTheme="minorHAnsi" w:hAnsiTheme="minorHAnsi"/>
              </w:rPr>
              <w:t xml:space="preserve">Further comments raise concern around the logistics of gaining consent and registering to access </w:t>
            </w:r>
            <w:r w:rsidR="001D735F">
              <w:t>the Ig System</w:t>
            </w:r>
            <w:r w:rsidR="001D735F" w:rsidRPr="00487585">
              <w:rPr>
                <w:rFonts w:asciiTheme="minorHAnsi" w:hAnsiTheme="minorHAnsi"/>
              </w:rPr>
              <w:t xml:space="preserve"> </w:t>
            </w:r>
            <w:r w:rsidRPr="00487585">
              <w:rPr>
                <w:rFonts w:asciiTheme="minorHAnsi" w:hAnsiTheme="minorHAnsi"/>
              </w:rPr>
              <w:t>in order to prescribe.</w:t>
            </w:r>
          </w:p>
        </w:tc>
      </w:tr>
      <w:tr w:rsidR="00350B62" w:rsidRPr="00487585" w:rsidTr="00350B62">
        <w:trPr>
          <w:trHeight w:val="561"/>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4</w:t>
            </w:r>
          </w:p>
        </w:tc>
        <w:tc>
          <w:tcPr>
            <w:tcW w:w="7655" w:type="dxa"/>
            <w:tcBorders>
              <w:top w:val="nil"/>
              <w:left w:val="nil"/>
              <w:bottom w:val="single" w:sz="4" w:space="0" w:color="808080"/>
              <w:right w:val="single" w:sz="4" w:space="0" w:color="808080"/>
            </w:tcBorders>
            <w:shd w:val="clear" w:color="auto" w:fill="auto"/>
          </w:tcPr>
          <w:p w:rsidR="00350B62" w:rsidRPr="00487585" w:rsidRDefault="00350B62" w:rsidP="009617EB">
            <w:pPr>
              <w:rPr>
                <w:rFonts w:asciiTheme="minorHAnsi" w:hAnsiTheme="minorHAnsi"/>
                <w:lang w:val="en"/>
              </w:rPr>
            </w:pPr>
            <w:r w:rsidRPr="00487585">
              <w:rPr>
                <w:rFonts w:asciiTheme="minorHAnsi" w:hAnsiTheme="minorHAnsi"/>
                <w:lang w:val="en"/>
              </w:rPr>
              <w:t>For the purposes of this survey the “</w:t>
            </w:r>
            <w:r w:rsidRPr="00487585">
              <w:rPr>
                <w:rStyle w:val="Emphasis"/>
                <w:rFonts w:asciiTheme="minorHAnsi" w:eastAsia="Times New Roman" w:hAnsiTheme="minorHAnsi"/>
                <w:b/>
                <w:bCs/>
                <w:lang w:val="en"/>
              </w:rPr>
              <w:t>Ig System record</w:t>
            </w:r>
            <w:r w:rsidRPr="00487585">
              <w:rPr>
                <w:rFonts w:asciiTheme="minorHAnsi" w:hAnsiTheme="minorHAnsi"/>
                <w:lang w:val="en"/>
              </w:rPr>
              <w:t>” for the patient is made up of identifying information including:</w:t>
            </w:r>
          </w:p>
          <w:p w:rsidR="00350B62" w:rsidRPr="00487585" w:rsidRDefault="00350B62" w:rsidP="00350B62">
            <w:pPr>
              <w:pStyle w:val="ListParagraph"/>
              <w:numPr>
                <w:ilvl w:val="0"/>
                <w:numId w:val="39"/>
              </w:numPr>
              <w:spacing w:line="240" w:lineRule="auto"/>
              <w:rPr>
                <w:rFonts w:asciiTheme="minorHAnsi" w:hAnsiTheme="minorHAnsi"/>
                <w:lang w:val="en"/>
              </w:rPr>
            </w:pPr>
            <w:r w:rsidRPr="00487585">
              <w:rPr>
                <w:rFonts w:asciiTheme="minorHAnsi" w:hAnsiTheme="minorHAnsi"/>
                <w:lang w:val="en"/>
              </w:rPr>
              <w:t>name, sex and date of birth;</w:t>
            </w:r>
          </w:p>
          <w:p w:rsidR="00350B62" w:rsidRPr="00487585" w:rsidRDefault="00350B62" w:rsidP="00350B62">
            <w:pPr>
              <w:pStyle w:val="ListParagraph"/>
              <w:numPr>
                <w:ilvl w:val="0"/>
                <w:numId w:val="39"/>
              </w:numPr>
              <w:spacing w:line="240" w:lineRule="auto"/>
              <w:rPr>
                <w:rFonts w:asciiTheme="minorHAnsi" w:hAnsiTheme="minorHAnsi"/>
                <w:lang w:val="en"/>
              </w:rPr>
            </w:pPr>
            <w:r w:rsidRPr="00487585">
              <w:rPr>
                <w:rFonts w:asciiTheme="minorHAnsi" w:hAnsiTheme="minorHAnsi"/>
                <w:lang w:val="en"/>
              </w:rPr>
              <w:t xml:space="preserve">past and present </w:t>
            </w:r>
            <w:proofErr w:type="spellStart"/>
            <w:r w:rsidRPr="00487585">
              <w:rPr>
                <w:rFonts w:asciiTheme="minorHAnsi" w:hAnsiTheme="minorHAnsi"/>
                <w:lang w:val="en"/>
              </w:rPr>
              <w:t>IVIg</w:t>
            </w:r>
            <w:proofErr w:type="spellEnd"/>
            <w:r w:rsidRPr="00487585">
              <w:rPr>
                <w:rFonts w:asciiTheme="minorHAnsi" w:hAnsiTheme="minorHAnsi"/>
                <w:lang w:val="en"/>
              </w:rPr>
              <w:t>/</w:t>
            </w:r>
            <w:proofErr w:type="spellStart"/>
            <w:r w:rsidRPr="00487585">
              <w:rPr>
                <w:rFonts w:asciiTheme="minorHAnsi" w:hAnsiTheme="minorHAnsi"/>
                <w:lang w:val="en"/>
              </w:rPr>
              <w:t>SCIg</w:t>
            </w:r>
            <w:proofErr w:type="spellEnd"/>
            <w:r w:rsidRPr="00487585">
              <w:rPr>
                <w:rFonts w:asciiTheme="minorHAnsi" w:hAnsiTheme="minorHAnsi"/>
                <w:lang w:val="en"/>
              </w:rPr>
              <w:t xml:space="preserve"> </w:t>
            </w:r>
            <w:proofErr w:type="spellStart"/>
            <w:r w:rsidRPr="00487585">
              <w:rPr>
                <w:rFonts w:asciiTheme="minorHAnsi" w:hAnsiTheme="minorHAnsi"/>
                <w:lang w:val="en"/>
              </w:rPr>
              <w:t>authorisation</w:t>
            </w:r>
            <w:proofErr w:type="spellEnd"/>
            <w:r w:rsidRPr="00487585">
              <w:rPr>
                <w:rFonts w:asciiTheme="minorHAnsi" w:hAnsiTheme="minorHAnsi"/>
                <w:lang w:val="en"/>
              </w:rPr>
              <w:t xml:space="preserve"> requests;</w:t>
            </w:r>
          </w:p>
          <w:p w:rsidR="00350B62" w:rsidRPr="00487585" w:rsidRDefault="00350B62" w:rsidP="00350B62">
            <w:pPr>
              <w:pStyle w:val="ListParagraph"/>
              <w:numPr>
                <w:ilvl w:val="0"/>
                <w:numId w:val="39"/>
              </w:numPr>
              <w:spacing w:line="240" w:lineRule="auto"/>
              <w:rPr>
                <w:rFonts w:asciiTheme="minorHAnsi" w:hAnsiTheme="minorHAnsi"/>
                <w:lang w:val="en"/>
              </w:rPr>
            </w:pPr>
            <w:r w:rsidRPr="00487585">
              <w:rPr>
                <w:rFonts w:asciiTheme="minorHAnsi" w:hAnsiTheme="minorHAnsi"/>
                <w:lang w:val="en"/>
              </w:rPr>
              <w:t xml:space="preserve">previous treatments relevant to an </w:t>
            </w:r>
            <w:proofErr w:type="spellStart"/>
            <w:r w:rsidRPr="00487585">
              <w:rPr>
                <w:rFonts w:asciiTheme="minorHAnsi" w:hAnsiTheme="minorHAnsi"/>
                <w:lang w:val="en"/>
              </w:rPr>
              <w:t>authorisation</w:t>
            </w:r>
            <w:proofErr w:type="spellEnd"/>
            <w:r w:rsidRPr="00487585">
              <w:rPr>
                <w:rFonts w:asciiTheme="minorHAnsi" w:hAnsiTheme="minorHAnsi"/>
                <w:lang w:val="en"/>
              </w:rPr>
              <w:t>;</w:t>
            </w:r>
          </w:p>
          <w:p w:rsidR="00350B62" w:rsidRPr="00487585" w:rsidRDefault="00350B62" w:rsidP="00350B62">
            <w:pPr>
              <w:pStyle w:val="ListParagraph"/>
              <w:numPr>
                <w:ilvl w:val="0"/>
                <w:numId w:val="39"/>
              </w:numPr>
              <w:spacing w:line="240" w:lineRule="auto"/>
              <w:rPr>
                <w:rFonts w:asciiTheme="minorHAnsi" w:hAnsiTheme="minorHAnsi"/>
                <w:lang w:val="en"/>
              </w:rPr>
            </w:pPr>
            <w:r w:rsidRPr="00487585">
              <w:rPr>
                <w:rFonts w:asciiTheme="minorHAnsi" w:hAnsiTheme="minorHAnsi"/>
                <w:lang w:val="en"/>
              </w:rPr>
              <w:t>treatment duration and review;</w:t>
            </w:r>
          </w:p>
          <w:p w:rsidR="00350B62" w:rsidRPr="00487585" w:rsidRDefault="00350B62" w:rsidP="00350B62">
            <w:pPr>
              <w:pStyle w:val="ListParagraph"/>
              <w:numPr>
                <w:ilvl w:val="0"/>
                <w:numId w:val="39"/>
              </w:numPr>
              <w:spacing w:line="240" w:lineRule="auto"/>
              <w:rPr>
                <w:rFonts w:asciiTheme="minorHAnsi" w:hAnsiTheme="minorHAnsi"/>
                <w:lang w:val="en"/>
              </w:rPr>
            </w:pPr>
            <w:r w:rsidRPr="00487585">
              <w:rPr>
                <w:rFonts w:asciiTheme="minorHAnsi" w:hAnsiTheme="minorHAnsi"/>
                <w:lang w:val="en"/>
              </w:rPr>
              <w:t>treating medical specialist details;</w:t>
            </w:r>
          </w:p>
          <w:p w:rsidR="00350B62" w:rsidRPr="00487585" w:rsidRDefault="00350B62" w:rsidP="00350B62">
            <w:pPr>
              <w:pStyle w:val="ListParagraph"/>
              <w:numPr>
                <w:ilvl w:val="0"/>
                <w:numId w:val="39"/>
              </w:numPr>
              <w:spacing w:line="240" w:lineRule="auto"/>
              <w:rPr>
                <w:rFonts w:asciiTheme="minorHAnsi" w:hAnsiTheme="minorHAnsi"/>
                <w:lang w:val="en"/>
              </w:rPr>
            </w:pPr>
            <w:r w:rsidRPr="00487585">
              <w:rPr>
                <w:rFonts w:asciiTheme="minorHAnsi" w:hAnsiTheme="minorHAnsi"/>
                <w:lang w:val="en"/>
              </w:rPr>
              <w:lastRenderedPageBreak/>
              <w:t>medical condition and indication;</w:t>
            </w:r>
          </w:p>
          <w:p w:rsidR="00350B62" w:rsidRPr="00487585" w:rsidRDefault="00350B62" w:rsidP="00350B62">
            <w:pPr>
              <w:pStyle w:val="ListParagraph"/>
              <w:numPr>
                <w:ilvl w:val="0"/>
                <w:numId w:val="39"/>
              </w:numPr>
              <w:spacing w:line="240" w:lineRule="auto"/>
              <w:rPr>
                <w:rFonts w:asciiTheme="minorHAnsi" w:hAnsiTheme="minorHAnsi"/>
                <w:lang w:val="en"/>
              </w:rPr>
            </w:pPr>
            <w:r w:rsidRPr="00487585">
              <w:rPr>
                <w:rFonts w:asciiTheme="minorHAnsi" w:hAnsiTheme="minorHAnsi"/>
                <w:lang w:val="en"/>
              </w:rPr>
              <w:t>patient characteristics (weight);</w:t>
            </w:r>
          </w:p>
          <w:p w:rsidR="00350B62" w:rsidRPr="00487585" w:rsidRDefault="00350B62" w:rsidP="00350B62">
            <w:pPr>
              <w:pStyle w:val="ListParagraph"/>
              <w:numPr>
                <w:ilvl w:val="0"/>
                <w:numId w:val="39"/>
              </w:numPr>
              <w:spacing w:line="240" w:lineRule="auto"/>
              <w:rPr>
                <w:rFonts w:asciiTheme="minorHAnsi" w:hAnsiTheme="minorHAnsi"/>
                <w:lang w:val="en"/>
              </w:rPr>
            </w:pPr>
            <w:proofErr w:type="gramStart"/>
            <w:r w:rsidRPr="00487585">
              <w:rPr>
                <w:rFonts w:asciiTheme="minorHAnsi" w:hAnsiTheme="minorHAnsi"/>
                <w:lang w:val="en"/>
              </w:rPr>
              <w:t>dosage</w:t>
            </w:r>
            <w:proofErr w:type="gramEnd"/>
            <w:r w:rsidRPr="00487585">
              <w:rPr>
                <w:rFonts w:asciiTheme="minorHAnsi" w:hAnsiTheme="minorHAnsi"/>
                <w:lang w:val="en"/>
              </w:rPr>
              <w:t>, product and reason for product choice as well as do not prescribe advisories. </w:t>
            </w:r>
          </w:p>
          <w:p w:rsidR="00350B62" w:rsidRPr="00487585" w:rsidRDefault="00350B62" w:rsidP="009617EB">
            <w:pPr>
              <w:rPr>
                <w:rFonts w:asciiTheme="minorHAnsi" w:hAnsiTheme="minorHAnsi"/>
                <w:lang w:val="en"/>
              </w:rPr>
            </w:pPr>
            <w:r w:rsidRPr="00487585">
              <w:rPr>
                <w:rFonts w:asciiTheme="minorHAnsi" w:hAnsiTheme="minorHAnsi"/>
                <w:lang w:val="en"/>
              </w:rPr>
              <w:t>It may also include:</w:t>
            </w:r>
          </w:p>
          <w:p w:rsidR="00350B62" w:rsidRPr="00487585" w:rsidRDefault="00350B62" w:rsidP="00350B62">
            <w:pPr>
              <w:pStyle w:val="ListParagraph"/>
              <w:numPr>
                <w:ilvl w:val="0"/>
                <w:numId w:val="39"/>
              </w:numPr>
              <w:spacing w:line="240" w:lineRule="auto"/>
              <w:rPr>
                <w:rFonts w:asciiTheme="minorHAnsi" w:hAnsiTheme="minorHAnsi"/>
                <w:lang w:val="en"/>
              </w:rPr>
            </w:pPr>
            <w:r w:rsidRPr="00487585">
              <w:rPr>
                <w:rFonts w:asciiTheme="minorHAnsi" w:hAnsiTheme="minorHAnsi"/>
                <w:lang w:val="en"/>
              </w:rPr>
              <w:t>  </w:t>
            </w:r>
            <w:proofErr w:type="gramStart"/>
            <w:r w:rsidRPr="00487585">
              <w:rPr>
                <w:rFonts w:asciiTheme="minorHAnsi" w:hAnsiTheme="minorHAnsi"/>
                <w:lang w:val="en"/>
              </w:rPr>
              <w:t>particular</w:t>
            </w:r>
            <w:proofErr w:type="gramEnd"/>
            <w:r w:rsidRPr="00487585">
              <w:rPr>
                <w:rFonts w:asciiTheme="minorHAnsi" w:hAnsiTheme="minorHAnsi"/>
                <w:lang w:val="en"/>
              </w:rPr>
              <w:t xml:space="preserve"> infusions and reactions to those infusions. </w:t>
            </w:r>
          </w:p>
          <w:p w:rsidR="00350B62" w:rsidRPr="00487585" w:rsidRDefault="00350B62" w:rsidP="009617EB">
            <w:pPr>
              <w:rPr>
                <w:rFonts w:asciiTheme="minorHAnsi" w:hAnsiTheme="minorHAnsi"/>
                <w:lang w:val="en"/>
              </w:rPr>
            </w:pPr>
            <w:r w:rsidRPr="00487585">
              <w:rPr>
                <w:rFonts w:asciiTheme="minorHAnsi" w:hAnsiTheme="minorHAnsi"/>
                <w:lang w:val="en"/>
              </w:rPr>
              <w:t>Additionally, the outcomes of Immunoglobulin Therapy will be captured at each review for the purpose of assessing efficacy and continuing access to Immunoglobulin Therapy.</w:t>
            </w:r>
            <w:r w:rsidRPr="00487585">
              <w:rPr>
                <w:rFonts w:asciiTheme="minorHAnsi" w:hAnsiTheme="minorHAnsi"/>
                <w:lang w:val="en"/>
              </w:rPr>
              <w:br/>
            </w:r>
            <w:r w:rsidRPr="00487585">
              <w:rPr>
                <w:rFonts w:asciiTheme="minorHAnsi" w:hAnsiTheme="minorHAnsi"/>
                <w:lang w:val="en"/>
              </w:rPr>
              <w:br/>
            </w:r>
            <w:r w:rsidRPr="00487585">
              <w:rPr>
                <w:rStyle w:val="Strong"/>
                <w:rFonts w:asciiTheme="minorHAnsi" w:eastAsia="Times New Roman" w:hAnsiTheme="minorHAnsi"/>
                <w:lang w:val="en"/>
              </w:rPr>
              <w:t>IMPORTANT NOTE:</w:t>
            </w:r>
            <w:r w:rsidRPr="00487585">
              <w:rPr>
                <w:rFonts w:asciiTheme="minorHAnsi" w:hAnsiTheme="minorHAnsi"/>
                <w:lang w:val="en"/>
              </w:rPr>
              <w:t xml:space="preserve"> </w:t>
            </w:r>
            <w:r w:rsidR="001D735F">
              <w:t>the Ig System</w:t>
            </w:r>
            <w:r w:rsidR="001D735F" w:rsidRPr="00487585">
              <w:rPr>
                <w:rStyle w:val="Emphasis"/>
                <w:rFonts w:asciiTheme="minorHAnsi" w:eastAsia="Times New Roman" w:hAnsiTheme="minorHAnsi"/>
                <w:b/>
                <w:bCs/>
                <w:lang w:val="en"/>
              </w:rPr>
              <w:t xml:space="preserve"> </w:t>
            </w:r>
            <w:r w:rsidRPr="00487585">
              <w:rPr>
                <w:rStyle w:val="Emphasis"/>
                <w:rFonts w:asciiTheme="minorHAnsi" w:eastAsia="Times New Roman" w:hAnsiTheme="minorHAnsi"/>
                <w:b/>
                <w:bCs/>
                <w:lang w:val="en"/>
              </w:rPr>
              <w:t>record</w:t>
            </w:r>
            <w:r w:rsidRPr="00487585">
              <w:rPr>
                <w:rFonts w:asciiTheme="minorHAnsi" w:hAnsiTheme="minorHAnsi"/>
                <w:lang w:val="en"/>
              </w:rPr>
              <w:t xml:space="preserve"> is not a copy of the patient’s medical record nor is it a clinical registry.  It is therefore important to understand that in many scenarios the Ig System is unlikely contain more detailed information about the patient than the patient record at the hospital/facility at which they're receiving treatment.</w:t>
            </w:r>
          </w:p>
          <w:p w:rsidR="00350B62" w:rsidRPr="00487585" w:rsidRDefault="00350B62" w:rsidP="009617EB">
            <w:pPr>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Do you have any comments to make on the proposed make-up of the 'Ig System record'?</w:t>
            </w:r>
          </w:p>
        </w:tc>
      </w:tr>
      <w:tr w:rsidR="00350B62" w:rsidRPr="00487585" w:rsidTr="00350B62">
        <w:trPr>
          <w:trHeight w:val="255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lastRenderedPageBreak/>
              <w:t xml:space="preserve">Response </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33</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171</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39</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132</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16%</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84%</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23%</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77%</w:t>
                  </w:r>
                </w:p>
              </w:tc>
            </w:tr>
          </w:tbl>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b/>
                <w:lang w:eastAsia="en-AU"/>
              </w:rPr>
            </w:pPr>
            <w:r w:rsidRPr="00487585">
              <w:rPr>
                <w:rFonts w:asciiTheme="minorHAnsi" w:eastAsia="Times New Roman" w:hAnsiTheme="minorHAnsi" w:cs="Microsoft Sans Serif"/>
                <w:b/>
                <w:lang w:eastAsia="en-AU"/>
              </w:rPr>
              <w:t>Remarks</w:t>
            </w:r>
          </w:p>
          <w:p w:rsidR="00350B62" w:rsidRPr="00487585" w:rsidRDefault="00350B62" w:rsidP="009617EB">
            <w:pPr>
              <w:rPr>
                <w:rFonts w:asciiTheme="minorHAnsi" w:hAnsiTheme="minorHAnsi"/>
              </w:rPr>
            </w:pPr>
            <w:r w:rsidRPr="00487585">
              <w:rPr>
                <w:rFonts w:asciiTheme="minorHAnsi" w:hAnsiTheme="minorHAnsi"/>
              </w:rPr>
              <w:t>A high response to ‘No’ in these questions indicates that respondents do not have any concerns with the make-up of the Ig System patient record.</w:t>
            </w:r>
          </w:p>
          <w:p w:rsidR="00350B62" w:rsidRPr="00487585" w:rsidRDefault="00350B62" w:rsidP="009617EB">
            <w:pPr>
              <w:spacing w:after="0" w:line="240" w:lineRule="auto"/>
              <w:rPr>
                <w:rFonts w:asciiTheme="minorHAnsi" w:hAnsiTheme="minorHAnsi"/>
              </w:rPr>
            </w:pPr>
            <w:r w:rsidRPr="00487585">
              <w:rPr>
                <w:rFonts w:asciiTheme="minorHAnsi" w:hAnsiTheme="minorHAnsi"/>
              </w:rPr>
              <w:t xml:space="preserve">Of the ‘Yes’ responders, 33 provided comments which indicates support for the decision to replace the current process to fax forms with an electronic system.  Comments also indicate an understanding around the difficulties of uniquely identifying patients and suggesting additional information that could be useful if captured. </w:t>
            </w:r>
          </w:p>
          <w:p w:rsidR="00350B62" w:rsidRPr="00487585" w:rsidRDefault="00350B62" w:rsidP="009617EB">
            <w:pPr>
              <w:spacing w:after="0" w:line="240" w:lineRule="auto"/>
              <w:rPr>
                <w:rFonts w:asciiTheme="minorHAnsi" w:hAnsiTheme="minorHAnsi"/>
              </w:rPr>
            </w:pPr>
          </w:p>
          <w:p w:rsidR="00350B62" w:rsidRPr="00487585" w:rsidRDefault="00350B62" w:rsidP="009617EB">
            <w:pPr>
              <w:spacing w:after="0" w:line="240" w:lineRule="auto"/>
              <w:rPr>
                <w:rFonts w:asciiTheme="minorHAnsi" w:hAnsiTheme="minorHAnsi"/>
              </w:rPr>
            </w:pPr>
            <w:r w:rsidRPr="00487585">
              <w:rPr>
                <w:rFonts w:asciiTheme="minorHAnsi" w:hAnsiTheme="minorHAnsi"/>
              </w:rPr>
              <w:t>In addition a number of comments raise an interest in research and the value of the system for this purpose.  It was evident that there was a level of confusion between the consent for treatment of biological product and separate consent to record personal and sensitive patient data in system.</w:t>
            </w:r>
          </w:p>
          <w:p w:rsidR="00350B62" w:rsidRPr="00487585" w:rsidRDefault="00350B62" w:rsidP="009617EB">
            <w:pPr>
              <w:spacing w:after="0" w:line="240" w:lineRule="auto"/>
              <w:rPr>
                <w:rFonts w:asciiTheme="minorHAnsi" w:hAnsiTheme="minorHAnsi"/>
              </w:rPr>
            </w:pPr>
          </w:p>
          <w:p w:rsidR="00350B62" w:rsidRPr="00487585" w:rsidRDefault="00350B62" w:rsidP="009617EB">
            <w:pPr>
              <w:spacing w:after="0" w:line="240" w:lineRule="auto"/>
              <w:rPr>
                <w:rFonts w:asciiTheme="minorHAnsi" w:hAnsiTheme="minorHAnsi"/>
              </w:rPr>
            </w:pPr>
            <w:r w:rsidRPr="00487585">
              <w:rPr>
                <w:rFonts w:asciiTheme="minorHAnsi" w:hAnsiTheme="minorHAnsi"/>
              </w:rPr>
              <w:t>And further there is concern around the system increasing workload and an interest in defining relationships between groups of doctors and a single patient.</w:t>
            </w:r>
          </w:p>
          <w:p w:rsidR="00350B62" w:rsidRPr="00487585" w:rsidRDefault="00350B62" w:rsidP="009617EB">
            <w:pPr>
              <w:spacing w:after="0" w:line="240" w:lineRule="auto"/>
              <w:rPr>
                <w:rFonts w:asciiTheme="minorHAnsi" w:eastAsia="Times New Roman" w:hAnsiTheme="minorHAnsi" w:cs="Microsoft Sans Serif"/>
                <w:lang w:eastAsia="en-AU"/>
              </w:rPr>
            </w:pPr>
          </w:p>
        </w:tc>
      </w:tr>
      <w:tr w:rsidR="00350B62" w:rsidRPr="00487585" w:rsidTr="00350B62">
        <w:trPr>
          <w:trHeight w:val="1058"/>
        </w:trPr>
        <w:tc>
          <w:tcPr>
            <w:tcW w:w="1149" w:type="dxa"/>
            <w:tcBorders>
              <w:top w:val="nil"/>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5</w:t>
            </w:r>
          </w:p>
        </w:tc>
        <w:tc>
          <w:tcPr>
            <w:tcW w:w="7655" w:type="dxa"/>
            <w:tcBorders>
              <w:top w:val="nil"/>
              <w:left w:val="nil"/>
              <w:bottom w:val="single" w:sz="4" w:space="0" w:color="808080"/>
              <w:right w:val="single" w:sz="4" w:space="0" w:color="808080"/>
            </w:tcBorders>
            <w:shd w:val="clear" w:color="auto" w:fill="auto"/>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lang w:eastAsia="en-AU"/>
              </w:rPr>
              <w:t>Searching for a patient – Prescriber</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 xml:space="preserve">The Prescribers default search is all patients that the Prescriber already has, or could reasonably be assumed to have, a relationship with. </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 xml:space="preserve">We believe the following Scenario represents the minimum requirement for </w:t>
            </w:r>
            <w:r w:rsidRPr="00487585">
              <w:rPr>
                <w:rFonts w:asciiTheme="minorHAnsi" w:eastAsia="Times New Roman" w:hAnsiTheme="minorHAnsi" w:cs="Microsoft Sans Serif"/>
                <w:lang w:eastAsia="en-AU"/>
              </w:rPr>
              <w:lastRenderedPageBreak/>
              <w:t>system capability when a Prescriber is searching for patient details.</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b/>
                <w:bCs/>
                <w:lang w:eastAsia="en-AU"/>
              </w:rPr>
              <w:t>SCENARIO:</w:t>
            </w:r>
            <w:r w:rsidRPr="00487585">
              <w:rPr>
                <w:rFonts w:asciiTheme="minorHAnsi" w:eastAsia="Times New Roman" w:hAnsiTheme="minorHAnsi" w:cs="Microsoft Sans Serif"/>
                <w:lang w:eastAsia="en-AU"/>
              </w:rPr>
              <w:t xml:space="preserve"> Patient currently receiving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 patient returns for a consultation with the same prescriber at the same hospital. </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 xml:space="preserve">The Prescriber searches for the patient and the patient's Ig System record can be seen. This also applies to any patients of the Prescriber who may have previously received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treatment.</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Do you agree?</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lastRenderedPageBreak/>
              <w:t>Response</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56</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148</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132</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16</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27%</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73%</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89%</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11%</w:t>
                  </w:r>
                </w:p>
              </w:tc>
            </w:tr>
          </w:tbl>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 xml:space="preserve">Remarks </w:t>
            </w:r>
          </w:p>
          <w:p w:rsidR="00350B62" w:rsidRPr="00487585" w:rsidRDefault="00350B62" w:rsidP="009617EB">
            <w:pPr>
              <w:rPr>
                <w:rFonts w:asciiTheme="minorHAnsi" w:hAnsiTheme="minorHAnsi"/>
              </w:rPr>
            </w:pPr>
            <w:r w:rsidRPr="00487585">
              <w:rPr>
                <w:rFonts w:asciiTheme="minorHAnsi" w:hAnsiTheme="minorHAnsi"/>
              </w:rPr>
              <w:t xml:space="preserve">A high response to ‘Yes’ in this question indicates that, in principle, respondents agree that where the patient is being treated by the nominated prescriber a prescriber in their hospital, or there is shared care of a patient, the patients record should be available.  </w:t>
            </w:r>
          </w:p>
          <w:p w:rsidR="00350B62" w:rsidRPr="00487585" w:rsidRDefault="00350B62" w:rsidP="009617EB">
            <w:pPr>
              <w:rPr>
                <w:rFonts w:asciiTheme="minorHAnsi" w:hAnsiTheme="minorHAnsi"/>
              </w:rPr>
            </w:pPr>
            <w:r w:rsidRPr="00487585">
              <w:rPr>
                <w:rFonts w:asciiTheme="minorHAnsi" w:hAnsiTheme="minorHAnsi"/>
              </w:rPr>
              <w:t>Of the ‘No’ responders, 16 made comments some of which indicate an understanding of the tenuous relationship between doctor and patient and the need to search for patients when the care of the patient changes hands.</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6</w:t>
            </w:r>
          </w:p>
        </w:tc>
        <w:tc>
          <w:tcPr>
            <w:tcW w:w="7655" w:type="dxa"/>
            <w:tcBorders>
              <w:top w:val="nil"/>
              <w:left w:val="nil"/>
              <w:bottom w:val="single" w:sz="4" w:space="0" w:color="808080"/>
              <w:right w:val="single" w:sz="4" w:space="0" w:color="808080"/>
            </w:tcBorders>
            <w:shd w:val="clear" w:color="auto" w:fill="auto"/>
            <w:hideMark/>
          </w:tcPr>
          <w:p w:rsidR="00350B62" w:rsidRPr="00487585" w:rsidRDefault="00350B62" w:rsidP="009617EB">
            <w:pPr>
              <w:spacing w:after="0" w:line="240" w:lineRule="auto"/>
              <w:rPr>
                <w:rFonts w:asciiTheme="minorHAnsi" w:eastAsia="Times New Roman" w:hAnsiTheme="minorHAnsi" w:cs="Microsoft Sans Serif"/>
                <w:b/>
                <w:lang w:eastAsia="en-AU"/>
              </w:rPr>
            </w:pPr>
            <w:r w:rsidRPr="00487585">
              <w:rPr>
                <w:rFonts w:asciiTheme="minorHAnsi" w:eastAsia="Times New Roman" w:hAnsiTheme="minorHAnsi" w:cs="Microsoft Sans Serif"/>
                <w:b/>
                <w:lang w:eastAsia="en-AU"/>
              </w:rPr>
              <w:t>Searching for a patient – Prescriber</w:t>
            </w:r>
          </w:p>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bCs/>
                <w:lang w:eastAsia="en-AU"/>
              </w:rPr>
              <w:t>SCENARIO:</w:t>
            </w:r>
            <w:r w:rsidRPr="00487585">
              <w:rPr>
                <w:rFonts w:asciiTheme="minorHAnsi" w:eastAsia="Times New Roman" w:hAnsiTheme="minorHAnsi" w:cs="Microsoft Sans Serif"/>
                <w:lang w:eastAsia="en-AU"/>
              </w:rPr>
              <w:t xml:space="preserve"> Patient currently receiving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 Different Prescriber – Same Hospital</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A patient presents at hospital for a consultation, the Prescriber they usually see at the hospital is not available so they are seen by a different Prescriber who searches for the patient.</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When searching, should the different Prescriber be able to see the patient's 'Ig System record'?</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57</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147</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143</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4</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28%</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72%</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97%</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w:t>
                  </w:r>
                </w:p>
              </w:tc>
            </w:tr>
          </w:tbl>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Remarks</w:t>
            </w:r>
          </w:p>
          <w:p w:rsidR="00350B62" w:rsidRPr="00487585" w:rsidRDefault="00350B62" w:rsidP="009617EB">
            <w:pPr>
              <w:rPr>
                <w:rFonts w:asciiTheme="minorHAnsi" w:hAnsiTheme="minorHAnsi"/>
              </w:rPr>
            </w:pPr>
            <w:r w:rsidRPr="00487585">
              <w:rPr>
                <w:rFonts w:asciiTheme="minorHAnsi" w:hAnsiTheme="minorHAnsi"/>
              </w:rPr>
              <w:t xml:space="preserve">A high response to ‘Yes’ in this question indicates that, in principle, respondents agree that where the patient is being treated by the nominated prescriber a prescriber in their hospital, or there is shared care of a patient, the patients record should be available.  </w:t>
            </w:r>
          </w:p>
          <w:p w:rsidR="00350B62" w:rsidRPr="00487585" w:rsidRDefault="00350B62" w:rsidP="009617EB">
            <w:pPr>
              <w:spacing w:after="0" w:line="240" w:lineRule="auto"/>
              <w:rPr>
                <w:rFonts w:asciiTheme="minorHAnsi" w:hAnsiTheme="minorHAnsi"/>
              </w:rPr>
            </w:pPr>
            <w:r w:rsidRPr="00487585">
              <w:rPr>
                <w:rFonts w:asciiTheme="minorHAnsi" w:hAnsiTheme="minorHAnsi"/>
              </w:rPr>
              <w:t>All four of the ‘No’ responders made comments indicating:</w:t>
            </w:r>
          </w:p>
          <w:p w:rsidR="00350B62" w:rsidRPr="00487585" w:rsidRDefault="00350B62" w:rsidP="00350B62">
            <w:pPr>
              <w:pStyle w:val="ListParagraph"/>
              <w:numPr>
                <w:ilvl w:val="0"/>
                <w:numId w:val="39"/>
              </w:numPr>
              <w:spacing w:after="0" w:line="240" w:lineRule="auto"/>
              <w:rPr>
                <w:rFonts w:asciiTheme="minorHAnsi" w:eastAsia="Times New Roman" w:hAnsiTheme="minorHAnsi" w:cs="Microsoft Sans Serif"/>
                <w:b/>
                <w:bCs/>
                <w:lang w:eastAsia="en-AU"/>
              </w:rPr>
            </w:pPr>
            <w:r w:rsidRPr="00487585">
              <w:rPr>
                <w:rFonts w:asciiTheme="minorHAnsi" w:hAnsiTheme="minorHAnsi"/>
              </w:rPr>
              <w:t>that it would only be appropriate to do so if the doctor and or patient consented; or</w:t>
            </w:r>
          </w:p>
          <w:p w:rsidR="00350B62" w:rsidRPr="00487585" w:rsidRDefault="00350B62" w:rsidP="00350B62">
            <w:pPr>
              <w:pStyle w:val="ListParagraph"/>
              <w:numPr>
                <w:ilvl w:val="0"/>
                <w:numId w:val="39"/>
              </w:numPr>
              <w:spacing w:after="0" w:line="240" w:lineRule="auto"/>
              <w:rPr>
                <w:rFonts w:asciiTheme="minorHAnsi" w:eastAsia="Times New Roman" w:hAnsiTheme="minorHAnsi" w:cs="Microsoft Sans Serif"/>
                <w:b/>
                <w:bCs/>
                <w:lang w:eastAsia="en-AU"/>
              </w:rPr>
            </w:pPr>
            <w:proofErr w:type="gramStart"/>
            <w:r w:rsidRPr="00487585">
              <w:rPr>
                <w:rFonts w:asciiTheme="minorHAnsi" w:hAnsiTheme="minorHAnsi"/>
              </w:rPr>
              <w:t>suggesting</w:t>
            </w:r>
            <w:proofErr w:type="gramEnd"/>
            <w:r w:rsidRPr="00487585">
              <w:rPr>
                <w:rFonts w:asciiTheme="minorHAnsi" w:hAnsiTheme="minorHAnsi"/>
              </w:rPr>
              <w:t xml:space="preserve"> that the information should be available in the Medical Record.</w:t>
            </w:r>
          </w:p>
          <w:p w:rsidR="00350B62" w:rsidRPr="00487585" w:rsidRDefault="00350B62" w:rsidP="009617EB">
            <w:pPr>
              <w:spacing w:after="0"/>
              <w:rPr>
                <w:rFonts w:asciiTheme="minorHAnsi" w:eastAsia="Times New Roman" w:hAnsiTheme="minorHAnsi" w:cs="Microsoft Sans Serif"/>
                <w:b/>
                <w:bCs/>
                <w:lang w:eastAsia="en-AU"/>
              </w:rPr>
            </w:pPr>
          </w:p>
          <w:p w:rsidR="00350B62" w:rsidRPr="00487585" w:rsidRDefault="00350B62" w:rsidP="009617EB">
            <w:pPr>
              <w:spacing w:after="0"/>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 xml:space="preserve">These comments suggest there is some misunderstanding of the purpose of the Ig System, it is to provide information on a </w:t>
            </w:r>
            <w:proofErr w:type="gramStart"/>
            <w:r w:rsidRPr="00487585">
              <w:rPr>
                <w:rFonts w:asciiTheme="minorHAnsi" w:eastAsia="Times New Roman" w:hAnsiTheme="minorHAnsi" w:cs="Microsoft Sans Serif"/>
                <w:bCs/>
                <w:lang w:eastAsia="en-AU"/>
              </w:rPr>
              <w:t>patients</w:t>
            </w:r>
            <w:proofErr w:type="gramEnd"/>
            <w:r w:rsidRPr="00487585">
              <w:rPr>
                <w:rFonts w:asciiTheme="minorHAnsi" w:eastAsia="Times New Roman" w:hAnsiTheme="minorHAnsi" w:cs="Microsoft Sans Serif"/>
                <w:bCs/>
                <w:lang w:eastAsia="en-AU"/>
              </w:rPr>
              <w:t xml:space="preserve"> authorisation status to access funded immunoglobulin products, not provide a detailed medical record.</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lastRenderedPageBreak/>
              <w:t>7</w:t>
            </w:r>
          </w:p>
        </w:tc>
        <w:tc>
          <w:tcPr>
            <w:tcW w:w="7655" w:type="dxa"/>
            <w:tcBorders>
              <w:top w:val="nil"/>
              <w:left w:val="nil"/>
              <w:bottom w:val="single" w:sz="4" w:space="0" w:color="808080"/>
              <w:right w:val="single" w:sz="4" w:space="0" w:color="808080"/>
            </w:tcBorders>
            <w:shd w:val="clear" w:color="auto" w:fill="auto"/>
            <w:hideMark/>
          </w:tcPr>
          <w:p w:rsidR="00350B62" w:rsidRPr="00487585" w:rsidRDefault="00350B62" w:rsidP="009617EB">
            <w:pPr>
              <w:spacing w:after="0" w:line="240" w:lineRule="auto"/>
              <w:rPr>
                <w:rFonts w:asciiTheme="minorHAnsi" w:eastAsia="Times New Roman" w:hAnsiTheme="minorHAnsi" w:cs="Microsoft Sans Serif"/>
                <w:b/>
                <w:lang w:eastAsia="en-AU"/>
              </w:rPr>
            </w:pPr>
            <w:r w:rsidRPr="00487585">
              <w:rPr>
                <w:rFonts w:asciiTheme="minorHAnsi" w:eastAsia="Times New Roman" w:hAnsiTheme="minorHAnsi" w:cs="Microsoft Sans Serif"/>
                <w:b/>
                <w:lang w:eastAsia="en-AU"/>
              </w:rPr>
              <w:t xml:space="preserve">Searching for a patient – Prescriber </w:t>
            </w: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 xml:space="preserve"> </w:t>
            </w: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bCs/>
                <w:lang w:eastAsia="en-AU"/>
              </w:rPr>
              <w:t>SCENARIO:</w:t>
            </w:r>
            <w:r w:rsidRPr="00487585">
              <w:rPr>
                <w:rFonts w:asciiTheme="minorHAnsi" w:eastAsia="Times New Roman" w:hAnsiTheme="minorHAnsi" w:cs="Microsoft Sans Serif"/>
                <w:lang w:eastAsia="en-AU"/>
              </w:rPr>
              <w:t xml:space="preserve"> Patient previously (but no longer) on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 Different Prescriber – Same Hospital</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 xml:space="preserve">The patient presents to a Prescriber at the hospital and advises that they previously had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under the care of a different Prescriber at that hospital.</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When searching, should the new Prescriber be able to see the patient's 'Ig System record'?</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60</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144</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139</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5</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29%</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71%</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97%</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w:t>
                  </w:r>
                </w:p>
              </w:tc>
            </w:tr>
          </w:tbl>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Remarks</w:t>
            </w:r>
          </w:p>
          <w:p w:rsidR="00350B62" w:rsidRPr="00487585" w:rsidRDefault="00350B62" w:rsidP="009617EB">
            <w:pPr>
              <w:rPr>
                <w:rFonts w:asciiTheme="minorHAnsi" w:hAnsiTheme="minorHAnsi"/>
              </w:rPr>
            </w:pPr>
            <w:r w:rsidRPr="00487585">
              <w:rPr>
                <w:rFonts w:asciiTheme="minorHAnsi" w:hAnsiTheme="minorHAnsi"/>
              </w:rPr>
              <w:t xml:space="preserve">A high response to ‘Yes’ in this question indicates that, in principle, respondents agree that where the patient is being treated by the nominated prescriber a prescriber in their hospital, or there is shared care of a patient, the patients record should be available.  </w:t>
            </w: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hAnsiTheme="minorHAnsi"/>
              </w:rPr>
              <w:t>All five of the ‘No’ responders made the same comments as Question 6 with the additional clarification that patient information should only be available where the authorisation for the patient is current.</w:t>
            </w:r>
          </w:p>
          <w:p w:rsidR="00350B62" w:rsidRPr="00487585" w:rsidRDefault="00350B62" w:rsidP="009617EB">
            <w:pPr>
              <w:spacing w:after="0" w:line="240" w:lineRule="auto"/>
              <w:rPr>
                <w:rFonts w:asciiTheme="minorHAnsi" w:eastAsia="Times New Roman" w:hAnsiTheme="minorHAnsi" w:cs="Microsoft Sans Serif"/>
                <w:b/>
                <w:bCs/>
                <w:lang w:eastAsia="en-AU"/>
              </w:rPr>
            </w:pP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8</w:t>
            </w:r>
          </w:p>
        </w:tc>
        <w:tc>
          <w:tcPr>
            <w:tcW w:w="7655" w:type="dxa"/>
            <w:tcBorders>
              <w:top w:val="nil"/>
              <w:left w:val="nil"/>
              <w:bottom w:val="single" w:sz="4" w:space="0" w:color="808080"/>
              <w:right w:val="single" w:sz="4" w:space="0" w:color="808080"/>
            </w:tcBorders>
            <w:shd w:val="clear" w:color="auto" w:fill="auto"/>
            <w:hideMark/>
          </w:tcPr>
          <w:p w:rsidR="00350B62" w:rsidRPr="00487585" w:rsidRDefault="00350B62" w:rsidP="009617EB">
            <w:pPr>
              <w:spacing w:after="0" w:line="240" w:lineRule="auto"/>
              <w:rPr>
                <w:rFonts w:asciiTheme="minorHAnsi" w:eastAsia="Times New Roman" w:hAnsiTheme="minorHAnsi" w:cs="Microsoft Sans Serif"/>
                <w:b/>
                <w:lang w:eastAsia="en-AU"/>
              </w:rPr>
            </w:pPr>
            <w:r w:rsidRPr="00487585">
              <w:rPr>
                <w:rFonts w:asciiTheme="minorHAnsi" w:eastAsia="Times New Roman" w:hAnsiTheme="minorHAnsi" w:cs="Microsoft Sans Serif"/>
                <w:b/>
                <w:lang w:eastAsia="en-AU"/>
              </w:rPr>
              <w:t xml:space="preserve">Searching for a patient – Prescriber </w:t>
            </w:r>
          </w:p>
          <w:p w:rsidR="00350B62" w:rsidRPr="00487585" w:rsidRDefault="00350B62" w:rsidP="009617EB">
            <w:pPr>
              <w:spacing w:after="0" w:line="240" w:lineRule="auto"/>
              <w:rPr>
                <w:rFonts w:asciiTheme="minorHAnsi" w:eastAsia="Times New Roman" w:hAnsiTheme="minorHAnsi" w:cs="Microsoft Sans Serif"/>
                <w:bCs/>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bCs/>
                <w:lang w:eastAsia="en-AU"/>
              </w:rPr>
              <w:t>SCENARIO:</w:t>
            </w:r>
            <w:r w:rsidRPr="00487585">
              <w:rPr>
                <w:rFonts w:asciiTheme="minorHAnsi" w:eastAsia="Times New Roman" w:hAnsiTheme="minorHAnsi" w:cs="Microsoft Sans Serif"/>
                <w:lang w:eastAsia="en-AU"/>
              </w:rPr>
              <w:t xml:space="preserve"> Patient previously (but no longer) on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 Different Prescriber – Different Hospital – Same State</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 xml:space="preserve">A patient presents to a Prescriber in a hospital and advises that they previously had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under the care of a different Prescriber at a different hospital.</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When searching, should the Prescriber be able to see the patient's 'Ig System record'?</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63</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141</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121</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20</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31%</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69%</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86%</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14%</w:t>
                  </w:r>
                </w:p>
              </w:tc>
            </w:tr>
          </w:tbl>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Remarks</w:t>
            </w: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While there is still a high ‘Yes’ response it has decreased with a higher proportion of respondents answering ‘No’. Overall there is still a consensus that the patient’s record should be available in this scenario.</w:t>
            </w:r>
          </w:p>
          <w:p w:rsidR="00350B62" w:rsidRPr="00487585" w:rsidRDefault="00350B62" w:rsidP="009617EB">
            <w:pPr>
              <w:spacing w:after="0" w:line="240" w:lineRule="auto"/>
              <w:rPr>
                <w:rFonts w:asciiTheme="minorHAnsi" w:eastAsia="Times New Roman" w:hAnsiTheme="minorHAnsi" w:cs="Microsoft Sans Serif"/>
                <w:bCs/>
                <w:lang w:eastAsia="en-AU"/>
              </w:rPr>
            </w:pP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 xml:space="preserve">‘Yes’ responders agree based on patient consent and cite problems with patients not always being able to provide good past history of treatment regimens.  </w:t>
            </w:r>
            <w:r w:rsidRPr="00487585">
              <w:rPr>
                <w:rFonts w:asciiTheme="minorHAnsi" w:eastAsia="Times New Roman" w:hAnsiTheme="minorHAnsi" w:cs="Microsoft Sans Serif"/>
                <w:bCs/>
                <w:lang w:eastAsia="en-AU"/>
              </w:rPr>
              <w:lastRenderedPageBreak/>
              <w:t xml:space="preserve">Currently prescribers rely on the </w:t>
            </w:r>
            <w:proofErr w:type="spellStart"/>
            <w:r w:rsidRPr="00487585">
              <w:rPr>
                <w:rFonts w:asciiTheme="minorHAnsi" w:eastAsia="Times New Roman" w:hAnsiTheme="minorHAnsi" w:cs="Microsoft Sans Serif"/>
                <w:bCs/>
                <w:lang w:eastAsia="en-AU"/>
              </w:rPr>
              <w:t>ARCBS</w:t>
            </w:r>
            <w:proofErr w:type="spellEnd"/>
            <w:r w:rsidRPr="00487585">
              <w:rPr>
                <w:rFonts w:asciiTheme="minorHAnsi" w:eastAsia="Times New Roman" w:hAnsiTheme="minorHAnsi" w:cs="Microsoft Sans Serif"/>
                <w:bCs/>
                <w:lang w:eastAsia="en-AU"/>
              </w:rPr>
              <w:t xml:space="preserve"> for current information on a patient’s authorisation status which is helpful in those circumstances where the medical records are not up to date.</w:t>
            </w:r>
          </w:p>
          <w:p w:rsidR="00350B62" w:rsidRPr="00487585" w:rsidRDefault="00350B62" w:rsidP="009617EB">
            <w:pPr>
              <w:spacing w:after="0" w:line="240" w:lineRule="auto"/>
              <w:rPr>
                <w:rFonts w:asciiTheme="minorHAnsi" w:eastAsia="Times New Roman" w:hAnsiTheme="minorHAnsi" w:cs="Microsoft Sans Serif"/>
                <w:bCs/>
                <w:lang w:eastAsia="en-AU"/>
              </w:rPr>
            </w:pP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 xml:space="preserve">18 of the ‘No’ responders provided a justification for their answer suggesting that the transfer of information should occur between prescribers or from the medical records at the original hospital.  </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lastRenderedPageBreak/>
              <w:t>9</w:t>
            </w:r>
          </w:p>
        </w:tc>
        <w:tc>
          <w:tcPr>
            <w:tcW w:w="7655" w:type="dxa"/>
            <w:tcBorders>
              <w:top w:val="nil"/>
              <w:left w:val="nil"/>
              <w:bottom w:val="single" w:sz="4" w:space="0" w:color="808080"/>
              <w:right w:val="single" w:sz="4" w:space="0" w:color="808080"/>
            </w:tcBorders>
            <w:shd w:val="clear" w:color="auto" w:fill="auto"/>
            <w:hideMark/>
          </w:tcPr>
          <w:p w:rsidR="00350B62" w:rsidRPr="00487585" w:rsidRDefault="00350B62" w:rsidP="009617EB">
            <w:pPr>
              <w:spacing w:after="0" w:line="240" w:lineRule="auto"/>
              <w:rPr>
                <w:rFonts w:asciiTheme="minorHAnsi" w:eastAsia="Times New Roman" w:hAnsiTheme="minorHAnsi" w:cs="Microsoft Sans Serif"/>
                <w:b/>
                <w:lang w:eastAsia="en-AU"/>
              </w:rPr>
            </w:pPr>
            <w:r w:rsidRPr="00487585">
              <w:rPr>
                <w:rFonts w:asciiTheme="minorHAnsi" w:eastAsia="Times New Roman" w:hAnsiTheme="minorHAnsi" w:cs="Microsoft Sans Serif"/>
                <w:b/>
                <w:lang w:eastAsia="en-AU"/>
              </w:rPr>
              <w:t xml:space="preserve">Searching for a patient – Prescriber </w:t>
            </w:r>
          </w:p>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bCs/>
                <w:lang w:eastAsia="en-AU"/>
              </w:rPr>
              <w:t>SCENARIO:</w:t>
            </w:r>
            <w:r w:rsidRPr="00487585">
              <w:rPr>
                <w:rFonts w:asciiTheme="minorHAnsi" w:eastAsia="Times New Roman" w:hAnsiTheme="minorHAnsi" w:cs="Microsoft Sans Serif"/>
                <w:lang w:eastAsia="en-AU"/>
              </w:rPr>
              <w:t xml:space="preserve"> Patient currently receiving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 After Hours On-Call Prescriber – Different Hospital – Same State</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 xml:space="preserve">A patient presents to the emergency department in a regional hospital (e.g.: Orange, NSW) and advises they are currently receiving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at the Outpatient Clinic but their regular Prescriber is at a different hospital (e.g.: Westmead, NSW)</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When searching, should the Prescriber in Orange be able to see the patient's 'Ig System record'?</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67</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137</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118</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19</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33%</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67%</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86%</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14%</w:t>
                  </w:r>
                </w:p>
              </w:tc>
            </w:tr>
          </w:tbl>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Remarks</w:t>
            </w: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While there is still a high ‘Yes’ response, 33% of respondents skipped the question. Overall the consensus remains that the patient’s record should be available in this scenario.</w:t>
            </w:r>
          </w:p>
          <w:p w:rsidR="00350B62" w:rsidRPr="00487585" w:rsidRDefault="00350B62" w:rsidP="009617EB">
            <w:pPr>
              <w:spacing w:after="0" w:line="240" w:lineRule="auto"/>
              <w:rPr>
                <w:rFonts w:asciiTheme="minorHAnsi" w:eastAsia="Times New Roman" w:hAnsiTheme="minorHAnsi" w:cs="Microsoft Sans Serif"/>
                <w:bCs/>
                <w:lang w:eastAsia="en-AU"/>
              </w:rPr>
            </w:pP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‘Yes’ responders are cognisant of the potential to duplicate records which flows on to inefficiencies when product orders are also duplicated leading to poor inventory management practices.</w:t>
            </w:r>
          </w:p>
          <w:p w:rsidR="00350B62" w:rsidRPr="00487585" w:rsidRDefault="00350B62" w:rsidP="009617EB">
            <w:pPr>
              <w:spacing w:after="0" w:line="240" w:lineRule="auto"/>
              <w:rPr>
                <w:rFonts w:asciiTheme="minorHAnsi" w:eastAsia="Times New Roman" w:hAnsiTheme="minorHAnsi" w:cs="Microsoft Sans Serif"/>
                <w:bCs/>
                <w:lang w:eastAsia="en-AU"/>
              </w:rPr>
            </w:pP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16 ‘No’ responders commented with the sentiments largely consistent with question 8.</w:t>
            </w:r>
          </w:p>
          <w:p w:rsidR="00350B62" w:rsidRPr="00487585" w:rsidRDefault="00350B62" w:rsidP="009617EB">
            <w:pPr>
              <w:spacing w:after="0" w:line="240" w:lineRule="auto"/>
              <w:rPr>
                <w:rFonts w:asciiTheme="minorHAnsi" w:eastAsia="Times New Roman" w:hAnsiTheme="minorHAnsi" w:cs="Microsoft Sans Serif"/>
                <w:b/>
                <w:bCs/>
                <w:lang w:eastAsia="en-AU"/>
              </w:rPr>
            </w:pPr>
          </w:p>
        </w:tc>
      </w:tr>
      <w:tr w:rsidR="00350B62" w:rsidRPr="00487585" w:rsidTr="00350B62">
        <w:trPr>
          <w:trHeight w:val="1275"/>
        </w:trPr>
        <w:tc>
          <w:tcPr>
            <w:tcW w:w="1149" w:type="dxa"/>
            <w:tcBorders>
              <w:top w:val="nil"/>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10</w:t>
            </w:r>
          </w:p>
        </w:tc>
        <w:tc>
          <w:tcPr>
            <w:tcW w:w="7655" w:type="dxa"/>
            <w:tcBorders>
              <w:top w:val="nil"/>
              <w:left w:val="nil"/>
              <w:bottom w:val="single" w:sz="4" w:space="0" w:color="808080"/>
              <w:right w:val="single" w:sz="4" w:space="0" w:color="808080"/>
            </w:tcBorders>
            <w:shd w:val="clear" w:color="auto" w:fill="auto"/>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lang w:eastAsia="en-AU"/>
              </w:rPr>
              <w:t xml:space="preserve">Searching for a patient – Prescriber </w:t>
            </w:r>
            <w:r w:rsidRPr="00487585">
              <w:rPr>
                <w:rFonts w:asciiTheme="minorHAnsi" w:eastAsia="Times New Roman" w:hAnsiTheme="minorHAnsi" w:cs="Microsoft Sans Serif"/>
                <w:lang w:eastAsia="en-AU"/>
              </w:rPr>
              <w:t xml:space="preserve">  </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bCs/>
                <w:lang w:eastAsia="en-AU"/>
              </w:rPr>
              <w:t>SCENARIO:</w:t>
            </w:r>
            <w:r w:rsidRPr="00487585">
              <w:rPr>
                <w:rFonts w:asciiTheme="minorHAnsi" w:eastAsia="Times New Roman" w:hAnsiTheme="minorHAnsi" w:cs="Microsoft Sans Serif"/>
                <w:lang w:eastAsia="en-AU"/>
              </w:rPr>
              <w:t xml:space="preserve"> Patient currently receiving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 After Hours On Call Prescriber - Different Hospital - Different State</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 xml:space="preserve">A patient presents to the emergency department in a regional hospital (e.g.: Byron Bay, NSW) and advises that they are currently receiving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at the Outpatient Clinic but their regular Prescriber is at a different hospital in a different state (e.g.: Royal Brisbane and Women's Hospital, Qld)</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When searching, should the Prescriber in Byron Bay be able to see the patient's 'Ig System record' that was created at the Royal Brisbane and Women's Hospital?</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69</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135</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115</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20</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34%</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66%</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85%</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15%</w:t>
                  </w:r>
                </w:p>
              </w:tc>
            </w:tr>
          </w:tbl>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lastRenderedPageBreak/>
              <w:t>Remarks</w:t>
            </w: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The ‘Yes’ response rate is still high</w:t>
            </w:r>
            <w:r w:rsidR="00487585">
              <w:rPr>
                <w:rFonts w:asciiTheme="minorHAnsi" w:eastAsia="Times New Roman" w:hAnsiTheme="minorHAnsi" w:cs="Microsoft Sans Serif"/>
                <w:bCs/>
                <w:lang w:eastAsia="en-AU"/>
              </w:rPr>
              <w:t xml:space="preserve">, however there is </w:t>
            </w:r>
            <w:r w:rsidRPr="00487585">
              <w:rPr>
                <w:rFonts w:asciiTheme="minorHAnsi" w:eastAsia="Times New Roman" w:hAnsiTheme="minorHAnsi" w:cs="Microsoft Sans Serif"/>
                <w:bCs/>
                <w:lang w:eastAsia="en-AU"/>
              </w:rPr>
              <w:t>an increase in both the rate of respondents answering ‘No’ and skipping the question.</w:t>
            </w:r>
          </w:p>
          <w:p w:rsidR="00350B62" w:rsidRPr="00487585" w:rsidRDefault="00350B62" w:rsidP="009617EB">
            <w:pPr>
              <w:spacing w:after="0" w:line="240" w:lineRule="auto"/>
              <w:rPr>
                <w:rFonts w:asciiTheme="minorHAnsi" w:eastAsia="Times New Roman" w:hAnsiTheme="minorHAnsi" w:cs="Microsoft Sans Serif"/>
                <w:bCs/>
                <w:lang w:eastAsia="en-AU"/>
              </w:rPr>
            </w:pP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The sentiments of the 15 ‘No’ responders who commented are consistent with Question 8.</w:t>
            </w:r>
          </w:p>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The majority of ‘Yes’ responders who commented feel that access to this information improves the quality of care to the patient and minimises patient safety risks.</w:t>
            </w:r>
          </w:p>
        </w:tc>
      </w:tr>
      <w:tr w:rsidR="00350B62" w:rsidRPr="00487585" w:rsidTr="00350B62">
        <w:trPr>
          <w:trHeight w:val="255"/>
        </w:trPr>
        <w:tc>
          <w:tcPr>
            <w:tcW w:w="1149" w:type="dxa"/>
            <w:tcBorders>
              <w:top w:val="nil"/>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lastRenderedPageBreak/>
              <w:t>11</w:t>
            </w:r>
          </w:p>
        </w:tc>
        <w:tc>
          <w:tcPr>
            <w:tcW w:w="7655" w:type="dxa"/>
            <w:tcBorders>
              <w:top w:val="nil"/>
              <w:left w:val="nil"/>
              <w:bottom w:val="single" w:sz="4" w:space="0" w:color="808080"/>
              <w:right w:val="single" w:sz="4" w:space="0" w:color="808080"/>
            </w:tcBorders>
            <w:shd w:val="clear" w:color="auto" w:fill="auto"/>
            <w:noWrap/>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lang w:eastAsia="en-AU"/>
              </w:rPr>
              <w:t xml:space="preserve">Searching for a patient – Prescriber </w:t>
            </w:r>
            <w:r w:rsidRPr="00487585">
              <w:rPr>
                <w:rFonts w:asciiTheme="minorHAnsi" w:eastAsia="Times New Roman" w:hAnsiTheme="minorHAnsi" w:cs="Microsoft Sans Serif"/>
                <w:lang w:eastAsia="en-AU"/>
              </w:rPr>
              <w:t xml:space="preserve"> </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bCs/>
                <w:lang w:eastAsia="en-AU"/>
              </w:rPr>
              <w:t>SCENARIO:</w:t>
            </w:r>
            <w:r w:rsidRPr="00487585">
              <w:rPr>
                <w:rFonts w:asciiTheme="minorHAnsi" w:eastAsia="Times New Roman" w:hAnsiTheme="minorHAnsi" w:cs="Microsoft Sans Serif"/>
                <w:lang w:eastAsia="en-AU"/>
              </w:rPr>
              <w:t xml:space="preserve"> Same Scenario as described in the previous Question (10) except on this occasion it is not an after-hours emergency.</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When searching, should the Prescriber be able to see the patient's 'Ig System record'?</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69</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135</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110</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25</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34%</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66%</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81%</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19%</w:t>
                  </w:r>
                </w:p>
              </w:tc>
            </w:tr>
          </w:tbl>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Remarks</w:t>
            </w: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 xml:space="preserve">Comments on this question indicate that the changing scenarios may not have been understood.  However, </w:t>
            </w:r>
            <w:r w:rsidR="00487585">
              <w:rPr>
                <w:rFonts w:asciiTheme="minorHAnsi" w:eastAsia="Times New Roman" w:hAnsiTheme="minorHAnsi" w:cs="Microsoft Sans Serif"/>
                <w:bCs/>
                <w:lang w:eastAsia="en-AU"/>
              </w:rPr>
              <w:t xml:space="preserve">while </w:t>
            </w:r>
            <w:r w:rsidRPr="00487585">
              <w:rPr>
                <w:rFonts w:asciiTheme="minorHAnsi" w:eastAsia="Times New Roman" w:hAnsiTheme="minorHAnsi" w:cs="Microsoft Sans Serif"/>
                <w:bCs/>
                <w:lang w:eastAsia="en-AU"/>
              </w:rPr>
              <w:t xml:space="preserve">the ‘Yes’ response rate is still </w:t>
            </w:r>
            <w:r w:rsidR="00487585">
              <w:rPr>
                <w:rFonts w:asciiTheme="minorHAnsi" w:eastAsia="Times New Roman" w:hAnsiTheme="minorHAnsi" w:cs="Microsoft Sans Serif"/>
                <w:bCs/>
                <w:lang w:eastAsia="en-AU"/>
              </w:rPr>
              <w:t xml:space="preserve">there is a further </w:t>
            </w:r>
            <w:r w:rsidRPr="00487585">
              <w:rPr>
                <w:rFonts w:asciiTheme="minorHAnsi" w:eastAsia="Times New Roman" w:hAnsiTheme="minorHAnsi" w:cs="Microsoft Sans Serif"/>
                <w:bCs/>
                <w:lang w:eastAsia="en-AU"/>
              </w:rPr>
              <w:t xml:space="preserve">increase in skipped questions to 34%, only </w:t>
            </w:r>
            <w:r w:rsidR="00487585" w:rsidRPr="00487585">
              <w:rPr>
                <w:rFonts w:asciiTheme="minorHAnsi" w:eastAsia="Times New Roman" w:hAnsiTheme="minorHAnsi" w:cs="Microsoft Sans Serif"/>
                <w:bCs/>
                <w:lang w:eastAsia="en-AU"/>
              </w:rPr>
              <w:t>1</w:t>
            </w:r>
            <w:r w:rsidR="00487585">
              <w:rPr>
                <w:rFonts w:asciiTheme="minorHAnsi" w:eastAsia="Times New Roman" w:hAnsiTheme="minorHAnsi" w:cs="Microsoft Sans Serif"/>
                <w:bCs/>
                <w:lang w:eastAsia="en-AU"/>
              </w:rPr>
              <w:t>9</w:t>
            </w:r>
            <w:r w:rsidRPr="00487585">
              <w:rPr>
                <w:rFonts w:asciiTheme="minorHAnsi" w:eastAsia="Times New Roman" w:hAnsiTheme="minorHAnsi" w:cs="Microsoft Sans Serif"/>
                <w:bCs/>
                <w:lang w:eastAsia="en-AU"/>
              </w:rPr>
              <w:t xml:space="preserve">% </w:t>
            </w:r>
            <w:r w:rsidR="00487585">
              <w:rPr>
                <w:rFonts w:asciiTheme="minorHAnsi" w:eastAsia="Times New Roman" w:hAnsiTheme="minorHAnsi" w:cs="Microsoft Sans Serif"/>
                <w:bCs/>
                <w:lang w:eastAsia="en-AU"/>
              </w:rPr>
              <w:t xml:space="preserve">of the respondents answering the question </w:t>
            </w:r>
            <w:r w:rsidRPr="00487585">
              <w:rPr>
                <w:rFonts w:asciiTheme="minorHAnsi" w:eastAsia="Times New Roman" w:hAnsiTheme="minorHAnsi" w:cs="Microsoft Sans Serif"/>
                <w:bCs/>
                <w:lang w:eastAsia="en-AU"/>
              </w:rPr>
              <w:t>have said ‘No’.</w:t>
            </w:r>
          </w:p>
          <w:p w:rsidR="00350B62" w:rsidRPr="00487585" w:rsidRDefault="00350B62" w:rsidP="009617EB">
            <w:pPr>
              <w:spacing w:after="0" w:line="240" w:lineRule="auto"/>
              <w:rPr>
                <w:rFonts w:asciiTheme="minorHAnsi" w:eastAsia="Times New Roman" w:hAnsiTheme="minorHAnsi" w:cs="Microsoft Sans Serif"/>
                <w:bCs/>
                <w:lang w:eastAsia="en-AU"/>
              </w:rPr>
            </w:pP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Many of the comments refer to those made on previous questions, as per Questions 8 – 10.</w:t>
            </w:r>
          </w:p>
          <w:p w:rsidR="00350B62" w:rsidRPr="00487585" w:rsidRDefault="00350B62" w:rsidP="009617EB">
            <w:pPr>
              <w:spacing w:after="0" w:line="240" w:lineRule="auto"/>
              <w:rPr>
                <w:rFonts w:asciiTheme="minorHAnsi" w:eastAsia="Times New Roman" w:hAnsiTheme="minorHAnsi" w:cs="Microsoft Sans Serif"/>
                <w:bCs/>
                <w:lang w:eastAsia="en-AU"/>
              </w:rPr>
            </w:pP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Similarly, with comments made by the ‘Yes responders are consistent with those recorded in remarks for Question 10.</w:t>
            </w:r>
          </w:p>
          <w:p w:rsidR="00350B62" w:rsidRPr="00487585" w:rsidRDefault="00350B62" w:rsidP="009617EB">
            <w:pPr>
              <w:spacing w:after="0" w:line="240" w:lineRule="auto"/>
              <w:rPr>
                <w:rFonts w:asciiTheme="minorHAnsi" w:eastAsia="Times New Roman" w:hAnsiTheme="minorHAnsi" w:cs="Microsoft Sans Serif"/>
                <w:b/>
                <w:bCs/>
                <w:lang w:eastAsia="en-AU"/>
              </w:rPr>
            </w:pP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12</w:t>
            </w:r>
          </w:p>
        </w:tc>
        <w:tc>
          <w:tcPr>
            <w:tcW w:w="7655" w:type="dxa"/>
            <w:tcBorders>
              <w:top w:val="nil"/>
              <w:left w:val="nil"/>
              <w:bottom w:val="single" w:sz="4" w:space="0" w:color="808080"/>
              <w:right w:val="single" w:sz="4" w:space="0" w:color="808080"/>
            </w:tcBorders>
            <w:shd w:val="clear" w:color="auto" w:fill="auto"/>
            <w:hideMark/>
          </w:tcPr>
          <w:p w:rsidR="00350B62" w:rsidRPr="00487585" w:rsidRDefault="00350B62" w:rsidP="009617EB">
            <w:pPr>
              <w:spacing w:after="0" w:line="240" w:lineRule="auto"/>
              <w:rPr>
                <w:rFonts w:asciiTheme="minorHAnsi" w:eastAsia="Times New Roman" w:hAnsiTheme="minorHAnsi" w:cs="Microsoft Sans Serif"/>
                <w:b/>
                <w:lang w:eastAsia="en-AU"/>
              </w:rPr>
            </w:pPr>
            <w:r w:rsidRPr="00487585">
              <w:rPr>
                <w:rFonts w:asciiTheme="minorHAnsi" w:eastAsia="Times New Roman" w:hAnsiTheme="minorHAnsi" w:cs="Microsoft Sans Serif"/>
                <w:b/>
                <w:lang w:eastAsia="en-AU"/>
              </w:rPr>
              <w:t xml:space="preserve">Searching for a patient – Prescriber </w:t>
            </w:r>
          </w:p>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bCs/>
                <w:lang w:eastAsia="en-AU"/>
              </w:rPr>
              <w:t>SCENARIO:</w:t>
            </w:r>
            <w:r w:rsidRPr="00487585">
              <w:rPr>
                <w:rFonts w:asciiTheme="minorHAnsi" w:eastAsia="Times New Roman" w:hAnsiTheme="minorHAnsi" w:cs="Microsoft Sans Serif"/>
                <w:lang w:eastAsia="en-AU"/>
              </w:rPr>
              <w:t xml:space="preserve"> Many patients currently receiving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 Same Prescriber – Treats patients at many locations</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While logged on at a Hospital (Location A), the Prescriber requires information about a patient that he treats at a different Hospital or Private Medical Centre (Location B).</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When searching, should the Prescriber be able to see the patient's 'Ig System record' from Location B when logged on at Location A?</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73</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131</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123</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36%</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64%</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94%</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w:t>
                  </w:r>
                </w:p>
              </w:tc>
            </w:tr>
          </w:tbl>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Remarks</w:t>
            </w:r>
          </w:p>
          <w:p w:rsidR="00350B62" w:rsidRPr="00487585" w:rsidRDefault="00350B62" w:rsidP="009617EB">
            <w:pPr>
              <w:rPr>
                <w:rFonts w:asciiTheme="minorHAnsi" w:hAnsiTheme="minorHAnsi"/>
              </w:rPr>
            </w:pPr>
            <w:r w:rsidRPr="00487585">
              <w:rPr>
                <w:rFonts w:asciiTheme="minorHAnsi" w:hAnsiTheme="minorHAnsi"/>
              </w:rPr>
              <w:t xml:space="preserve">A </w:t>
            </w:r>
            <w:r w:rsidR="00487585">
              <w:rPr>
                <w:rFonts w:asciiTheme="minorHAnsi" w:hAnsiTheme="minorHAnsi"/>
              </w:rPr>
              <w:t>94</w:t>
            </w:r>
            <w:r w:rsidRPr="00487585">
              <w:rPr>
                <w:rFonts w:asciiTheme="minorHAnsi" w:hAnsiTheme="minorHAnsi"/>
              </w:rPr>
              <w:t xml:space="preserve">% response to ‘Yes’ </w:t>
            </w:r>
            <w:r w:rsidR="000F2E71">
              <w:rPr>
                <w:rFonts w:asciiTheme="minorHAnsi" w:hAnsiTheme="minorHAnsi"/>
              </w:rPr>
              <w:t xml:space="preserve">form </w:t>
            </w:r>
            <w:r w:rsidR="00487585">
              <w:rPr>
                <w:rFonts w:asciiTheme="minorHAnsi" w:hAnsiTheme="minorHAnsi"/>
              </w:rPr>
              <w:t xml:space="preserve">respondents answering this question </w:t>
            </w:r>
            <w:r w:rsidRPr="00487585">
              <w:rPr>
                <w:rFonts w:asciiTheme="minorHAnsi" w:hAnsiTheme="minorHAnsi"/>
              </w:rPr>
              <w:t xml:space="preserve">indicates, in </w:t>
            </w:r>
            <w:r w:rsidRPr="00487585">
              <w:rPr>
                <w:rFonts w:asciiTheme="minorHAnsi" w:hAnsiTheme="minorHAnsi"/>
              </w:rPr>
              <w:lastRenderedPageBreak/>
              <w:t xml:space="preserve">principle, respondents agree that where a prescriber is managing many patients across a number of locations, the patients record should be available in a way that provides efficiencies to the prescriber.  </w:t>
            </w: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 xml:space="preserve">36% of respondents skipped the </w:t>
            </w:r>
            <w:proofErr w:type="gramStart"/>
            <w:r w:rsidRPr="00487585">
              <w:rPr>
                <w:rFonts w:asciiTheme="minorHAnsi" w:eastAsia="Times New Roman" w:hAnsiTheme="minorHAnsi" w:cs="Microsoft Sans Serif"/>
                <w:bCs/>
                <w:lang w:eastAsia="en-AU"/>
              </w:rPr>
              <w:t xml:space="preserve">question </w:t>
            </w:r>
            <w:r w:rsidR="000F2E71">
              <w:rPr>
                <w:rFonts w:asciiTheme="minorHAnsi" w:eastAsia="Times New Roman" w:hAnsiTheme="minorHAnsi" w:cs="Microsoft Sans Serif"/>
                <w:bCs/>
                <w:lang w:eastAsia="en-AU"/>
              </w:rPr>
              <w:t>.</w:t>
            </w:r>
            <w:proofErr w:type="gramEnd"/>
            <w:r w:rsidR="000F2E71">
              <w:rPr>
                <w:rFonts w:asciiTheme="minorHAnsi" w:eastAsia="Times New Roman" w:hAnsiTheme="minorHAnsi" w:cs="Microsoft Sans Serif"/>
                <w:bCs/>
                <w:lang w:eastAsia="en-AU"/>
              </w:rPr>
              <w:t xml:space="preserve">  One </w:t>
            </w:r>
            <w:r w:rsidRPr="00487585">
              <w:rPr>
                <w:rFonts w:asciiTheme="minorHAnsi" w:eastAsia="Times New Roman" w:hAnsiTheme="minorHAnsi" w:cs="Microsoft Sans Serif"/>
                <w:bCs/>
                <w:lang w:eastAsia="en-AU"/>
              </w:rPr>
              <w:t>of the three respondents who left comments indicated the logistics of connecting information is likely to be problematic.</w:t>
            </w:r>
          </w:p>
          <w:p w:rsidR="00350B62" w:rsidRPr="00487585" w:rsidRDefault="00350B62" w:rsidP="009617EB">
            <w:pPr>
              <w:spacing w:after="0" w:line="240" w:lineRule="auto"/>
              <w:rPr>
                <w:rFonts w:asciiTheme="minorHAnsi" w:eastAsia="Times New Roman" w:hAnsiTheme="minorHAnsi" w:cs="Microsoft Sans Serif"/>
                <w:bCs/>
                <w:lang w:eastAsia="en-AU"/>
              </w:rPr>
            </w:pP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lastRenderedPageBreak/>
              <w:t>13</w:t>
            </w:r>
          </w:p>
        </w:tc>
        <w:tc>
          <w:tcPr>
            <w:tcW w:w="7655" w:type="dxa"/>
            <w:tcBorders>
              <w:top w:val="nil"/>
              <w:left w:val="nil"/>
              <w:bottom w:val="single" w:sz="4" w:space="0" w:color="808080"/>
              <w:right w:val="single" w:sz="4" w:space="0" w:color="808080"/>
            </w:tcBorders>
            <w:shd w:val="clear" w:color="auto" w:fill="auto"/>
            <w:hideMark/>
          </w:tcPr>
          <w:p w:rsidR="00350B62" w:rsidRPr="00487585" w:rsidRDefault="00350B62" w:rsidP="009617EB">
            <w:pPr>
              <w:spacing w:after="0" w:line="240" w:lineRule="auto"/>
              <w:rPr>
                <w:rFonts w:asciiTheme="minorHAnsi" w:eastAsia="Times New Roman" w:hAnsiTheme="minorHAnsi" w:cs="Microsoft Sans Serif"/>
                <w:b/>
                <w:lang w:eastAsia="en-AU"/>
              </w:rPr>
            </w:pPr>
            <w:r w:rsidRPr="00487585">
              <w:rPr>
                <w:rFonts w:asciiTheme="minorHAnsi" w:eastAsia="Times New Roman" w:hAnsiTheme="minorHAnsi" w:cs="Microsoft Sans Serif"/>
                <w:b/>
                <w:lang w:eastAsia="en-AU"/>
              </w:rPr>
              <w:t xml:space="preserve">Searching for a patient – Authoriser </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i/>
                <w:iCs/>
                <w:lang w:eastAsia="en-AU"/>
              </w:rPr>
            </w:pPr>
            <w:r w:rsidRPr="00487585">
              <w:rPr>
                <w:rFonts w:asciiTheme="minorHAnsi" w:eastAsia="Times New Roman" w:hAnsiTheme="minorHAnsi" w:cs="Microsoft Sans Serif"/>
                <w:lang w:eastAsia="en-AU"/>
              </w:rPr>
              <w:t>As an Authoriser the default search is all patients in their State or area of Authorisation (e.g. NSW / ACT).</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i/>
                <w:iCs/>
                <w:lang w:eastAsia="en-AU"/>
              </w:rPr>
              <w:t>Note: The Australian Red Cross Blood Service</w:t>
            </w:r>
            <w:r w:rsidR="000F2E71">
              <w:rPr>
                <w:rFonts w:asciiTheme="minorHAnsi" w:eastAsia="Times New Roman" w:hAnsiTheme="minorHAnsi" w:cs="Microsoft Sans Serif"/>
                <w:i/>
                <w:iCs/>
                <w:lang w:eastAsia="en-AU"/>
              </w:rPr>
              <w:t>, Blood Service,</w:t>
            </w:r>
            <w:r w:rsidRPr="00487585">
              <w:rPr>
                <w:rFonts w:asciiTheme="minorHAnsi" w:eastAsia="Times New Roman" w:hAnsiTheme="minorHAnsi" w:cs="Microsoft Sans Serif"/>
                <w:i/>
                <w:iCs/>
                <w:lang w:eastAsia="en-AU"/>
              </w:rPr>
              <w:t xml:space="preserve"> is the contracted service provider for assessing authorisation requests, other than in South Australia where this is also done at some hospitals.</w:t>
            </w:r>
          </w:p>
          <w:p w:rsidR="00350B62" w:rsidRPr="00487585" w:rsidRDefault="00350B62" w:rsidP="009617EB">
            <w:pPr>
              <w:spacing w:after="0" w:line="240" w:lineRule="auto"/>
              <w:rPr>
                <w:rFonts w:asciiTheme="minorHAnsi" w:eastAsia="Times New Roman" w:hAnsiTheme="minorHAnsi" w:cs="Microsoft Sans Serif"/>
                <w:i/>
                <w:iCs/>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Do you agree with this default position?</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72</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132</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97</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35</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35%</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65%</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73%</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27%</w:t>
                  </w:r>
                </w:p>
              </w:tc>
            </w:tr>
          </w:tbl>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 xml:space="preserve">Remarks </w:t>
            </w:r>
          </w:p>
          <w:p w:rsidR="00350B62" w:rsidRPr="00487585" w:rsidRDefault="000F2E71" w:rsidP="009617EB">
            <w:pPr>
              <w:spacing w:after="0" w:line="240" w:lineRule="auto"/>
              <w:rPr>
                <w:rFonts w:asciiTheme="minorHAnsi" w:eastAsia="Times New Roman" w:hAnsiTheme="minorHAnsi" w:cs="Microsoft Sans Serif"/>
                <w:bCs/>
                <w:lang w:eastAsia="en-AU"/>
              </w:rPr>
            </w:pPr>
            <w:r>
              <w:rPr>
                <w:rFonts w:asciiTheme="minorHAnsi" w:eastAsia="Times New Roman" w:hAnsiTheme="minorHAnsi" w:cs="Microsoft Sans Serif"/>
                <w:bCs/>
                <w:lang w:eastAsia="en-AU"/>
              </w:rPr>
              <w:t>97</w:t>
            </w:r>
            <w:r w:rsidR="00350B62" w:rsidRPr="00487585">
              <w:rPr>
                <w:rFonts w:asciiTheme="minorHAnsi" w:eastAsia="Times New Roman" w:hAnsiTheme="minorHAnsi" w:cs="Microsoft Sans Serif"/>
                <w:bCs/>
                <w:lang w:eastAsia="en-AU"/>
              </w:rPr>
              <w:t>% of respondents answer</w:t>
            </w:r>
            <w:r>
              <w:rPr>
                <w:rFonts w:asciiTheme="minorHAnsi" w:eastAsia="Times New Roman" w:hAnsiTheme="minorHAnsi" w:cs="Microsoft Sans Serif"/>
                <w:bCs/>
                <w:lang w:eastAsia="en-AU"/>
              </w:rPr>
              <w:t xml:space="preserve">ing the question </w:t>
            </w:r>
            <w:proofErr w:type="gramStart"/>
            <w:r>
              <w:rPr>
                <w:rFonts w:asciiTheme="minorHAnsi" w:eastAsia="Times New Roman" w:hAnsiTheme="minorHAnsi" w:cs="Microsoft Sans Serif"/>
                <w:bCs/>
                <w:lang w:eastAsia="en-AU"/>
              </w:rPr>
              <w:t xml:space="preserve">responded </w:t>
            </w:r>
            <w:r w:rsidR="00350B62" w:rsidRPr="00487585">
              <w:rPr>
                <w:rFonts w:asciiTheme="minorHAnsi" w:eastAsia="Times New Roman" w:hAnsiTheme="minorHAnsi" w:cs="Microsoft Sans Serif"/>
                <w:bCs/>
                <w:lang w:eastAsia="en-AU"/>
              </w:rPr>
              <w:t xml:space="preserve"> ‘Yes’</w:t>
            </w:r>
            <w:proofErr w:type="gramEnd"/>
            <w:r w:rsidR="00350B62" w:rsidRPr="00487585">
              <w:rPr>
                <w:rFonts w:asciiTheme="minorHAnsi" w:eastAsia="Times New Roman" w:hAnsiTheme="minorHAnsi" w:cs="Microsoft Sans Serif"/>
                <w:bCs/>
                <w:lang w:eastAsia="en-AU"/>
              </w:rPr>
              <w:t xml:space="preserve"> </w:t>
            </w:r>
            <w:r>
              <w:rPr>
                <w:rFonts w:asciiTheme="minorHAnsi" w:eastAsia="Times New Roman" w:hAnsiTheme="minorHAnsi" w:cs="Microsoft Sans Serif"/>
                <w:bCs/>
                <w:lang w:eastAsia="en-AU"/>
              </w:rPr>
              <w:t xml:space="preserve">with </w:t>
            </w:r>
            <w:r w:rsidR="00350B62" w:rsidRPr="00487585">
              <w:rPr>
                <w:rFonts w:asciiTheme="minorHAnsi" w:eastAsia="Times New Roman" w:hAnsiTheme="minorHAnsi" w:cs="Microsoft Sans Serif"/>
                <w:bCs/>
                <w:lang w:eastAsia="en-AU"/>
              </w:rPr>
              <w:t>35% of respondents skipp</w:t>
            </w:r>
            <w:r>
              <w:rPr>
                <w:rFonts w:asciiTheme="minorHAnsi" w:eastAsia="Times New Roman" w:hAnsiTheme="minorHAnsi" w:cs="Microsoft Sans Serif"/>
                <w:bCs/>
                <w:lang w:eastAsia="en-AU"/>
              </w:rPr>
              <w:t>ing</w:t>
            </w:r>
            <w:r w:rsidR="00350B62" w:rsidRPr="00487585">
              <w:rPr>
                <w:rFonts w:asciiTheme="minorHAnsi" w:eastAsia="Times New Roman" w:hAnsiTheme="minorHAnsi" w:cs="Microsoft Sans Serif"/>
                <w:bCs/>
                <w:lang w:eastAsia="en-AU"/>
              </w:rPr>
              <w:t xml:space="preserve"> the question.  There are a range of comments indicating that responsibility should rest with the </w:t>
            </w:r>
            <w:r>
              <w:rPr>
                <w:rFonts w:asciiTheme="minorHAnsi" w:eastAsia="Times New Roman" w:hAnsiTheme="minorHAnsi" w:cs="Microsoft Sans Serif"/>
                <w:bCs/>
                <w:lang w:eastAsia="en-AU"/>
              </w:rPr>
              <w:t xml:space="preserve">Blood Service </w:t>
            </w:r>
            <w:r w:rsidR="00350B62" w:rsidRPr="00487585">
              <w:rPr>
                <w:rFonts w:asciiTheme="minorHAnsi" w:eastAsia="Times New Roman" w:hAnsiTheme="minorHAnsi" w:cs="Microsoft Sans Serif"/>
                <w:bCs/>
                <w:lang w:eastAsia="en-AU"/>
              </w:rPr>
              <w:t>and other</w:t>
            </w:r>
            <w:r>
              <w:rPr>
                <w:rFonts w:asciiTheme="minorHAnsi" w:eastAsia="Times New Roman" w:hAnsiTheme="minorHAnsi" w:cs="Microsoft Sans Serif"/>
                <w:bCs/>
                <w:lang w:eastAsia="en-AU"/>
              </w:rPr>
              <w:t>s</w:t>
            </w:r>
            <w:r w:rsidR="00350B62" w:rsidRPr="00487585">
              <w:rPr>
                <w:rFonts w:asciiTheme="minorHAnsi" w:eastAsia="Times New Roman" w:hAnsiTheme="minorHAnsi" w:cs="Microsoft Sans Serif"/>
                <w:bCs/>
                <w:lang w:eastAsia="en-AU"/>
              </w:rPr>
              <w:t xml:space="preserve"> that suggest removing </w:t>
            </w:r>
            <w:r>
              <w:rPr>
                <w:rFonts w:asciiTheme="minorHAnsi" w:eastAsia="Times New Roman" w:hAnsiTheme="minorHAnsi" w:cs="Microsoft Sans Serif"/>
                <w:bCs/>
                <w:lang w:eastAsia="en-AU"/>
              </w:rPr>
              <w:t>access to patient details</w:t>
            </w:r>
            <w:r w:rsidRPr="00487585">
              <w:rPr>
                <w:rFonts w:asciiTheme="minorHAnsi" w:eastAsia="Times New Roman" w:hAnsiTheme="minorHAnsi" w:cs="Microsoft Sans Serif"/>
                <w:bCs/>
                <w:lang w:eastAsia="en-AU"/>
              </w:rPr>
              <w:t xml:space="preserve"> </w:t>
            </w:r>
            <w:r w:rsidR="00350B62" w:rsidRPr="00487585">
              <w:rPr>
                <w:rFonts w:asciiTheme="minorHAnsi" w:eastAsia="Times New Roman" w:hAnsiTheme="minorHAnsi" w:cs="Microsoft Sans Serif"/>
                <w:bCs/>
                <w:lang w:eastAsia="en-AU"/>
              </w:rPr>
              <w:t>from them.</w:t>
            </w:r>
          </w:p>
          <w:p w:rsidR="00350B62" w:rsidRPr="00487585" w:rsidRDefault="00350B62" w:rsidP="009617EB">
            <w:pPr>
              <w:spacing w:after="0" w:line="240" w:lineRule="auto"/>
              <w:rPr>
                <w:rFonts w:asciiTheme="minorHAnsi" w:eastAsia="Times New Roman" w:hAnsiTheme="minorHAnsi" w:cs="Microsoft Sans Serif"/>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Cs/>
                <w:lang w:eastAsia="en-AU"/>
              </w:rPr>
              <w:t xml:space="preserve">The broad sentiment indicates a dependency on the Blood Service to facilitate the flow of information to meet the rules set out in the </w:t>
            </w:r>
            <w:r w:rsidRPr="00487585">
              <w:rPr>
                <w:rFonts w:asciiTheme="minorHAnsi" w:eastAsia="Times New Roman" w:hAnsiTheme="minorHAnsi" w:cs="Microsoft Sans Serif"/>
                <w:bCs/>
                <w:i/>
                <w:lang w:eastAsia="en-AU"/>
              </w:rPr>
              <w:t>Criteria</w:t>
            </w:r>
            <w:r w:rsidRPr="00487585">
              <w:rPr>
                <w:rFonts w:asciiTheme="minorHAnsi" w:eastAsia="Times New Roman" w:hAnsiTheme="minorHAnsi" w:cs="Microsoft Sans Serif"/>
                <w:bCs/>
                <w:lang w:eastAsia="en-AU"/>
              </w:rPr>
              <w:t>.  Standardisation across the states and territories features in the comments.</w:t>
            </w:r>
          </w:p>
          <w:p w:rsidR="00350B62" w:rsidRPr="00487585" w:rsidRDefault="00350B62" w:rsidP="009617EB">
            <w:pPr>
              <w:spacing w:after="0" w:line="240" w:lineRule="auto"/>
              <w:rPr>
                <w:rFonts w:asciiTheme="minorHAnsi" w:eastAsia="Times New Roman" w:hAnsiTheme="minorHAnsi" w:cs="Microsoft Sans Serif"/>
                <w:b/>
                <w:bCs/>
                <w:lang w:eastAsia="en-AU"/>
              </w:rPr>
            </w:pP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14</w:t>
            </w:r>
          </w:p>
        </w:tc>
        <w:tc>
          <w:tcPr>
            <w:tcW w:w="7655" w:type="dxa"/>
            <w:tcBorders>
              <w:top w:val="nil"/>
              <w:left w:val="nil"/>
              <w:bottom w:val="single" w:sz="4" w:space="0" w:color="808080"/>
              <w:right w:val="single" w:sz="4" w:space="0" w:color="808080"/>
            </w:tcBorders>
            <w:shd w:val="clear" w:color="auto" w:fill="auto"/>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lang w:eastAsia="en-AU"/>
              </w:rPr>
              <w:t xml:space="preserve">Searching for a patient – Authoriser </w:t>
            </w:r>
          </w:p>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bCs/>
                <w:lang w:eastAsia="en-AU"/>
              </w:rPr>
              <w:t>SCENARIO:</w:t>
            </w:r>
            <w:r w:rsidRPr="00487585">
              <w:rPr>
                <w:rFonts w:asciiTheme="minorHAnsi" w:eastAsia="Times New Roman" w:hAnsiTheme="minorHAnsi" w:cs="Microsoft Sans Serif"/>
                <w:lang w:eastAsia="en-AU"/>
              </w:rPr>
              <w:t xml:space="preserve"> Patient currently receiving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 Same State as Authoriser</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A patient presents to their regular Prescriber for a routine clinic, the Prescriber calls the Blood Service for background details on current authorisation.</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When searching, should the Blood Service staff member be able to see the patient's 'Ig System record' to assist the Prescriber?</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75</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129</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120</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9</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37%</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63%</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93%</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7%</w:t>
                  </w:r>
                </w:p>
              </w:tc>
            </w:tr>
          </w:tbl>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 xml:space="preserve">Remarks </w:t>
            </w:r>
          </w:p>
          <w:p w:rsidR="00350B62" w:rsidRPr="00487585" w:rsidRDefault="000F2E71" w:rsidP="009617EB">
            <w:pPr>
              <w:spacing w:after="0" w:line="240" w:lineRule="auto"/>
              <w:rPr>
                <w:rFonts w:asciiTheme="minorHAnsi" w:eastAsia="Times New Roman" w:hAnsiTheme="minorHAnsi" w:cs="Microsoft Sans Serif"/>
                <w:bCs/>
                <w:lang w:eastAsia="en-AU"/>
              </w:rPr>
            </w:pPr>
            <w:r>
              <w:rPr>
                <w:rFonts w:asciiTheme="minorHAnsi" w:eastAsia="Times New Roman" w:hAnsiTheme="minorHAnsi" w:cs="Microsoft Sans Serif"/>
                <w:bCs/>
                <w:lang w:eastAsia="en-AU"/>
              </w:rPr>
              <w:t>93</w:t>
            </w:r>
            <w:r w:rsidR="00350B62" w:rsidRPr="00487585">
              <w:rPr>
                <w:rFonts w:asciiTheme="minorHAnsi" w:eastAsia="Times New Roman" w:hAnsiTheme="minorHAnsi" w:cs="Microsoft Sans Serif"/>
                <w:bCs/>
                <w:lang w:eastAsia="en-AU"/>
              </w:rPr>
              <w:t xml:space="preserve">% of respondents </w:t>
            </w:r>
            <w:r>
              <w:rPr>
                <w:rFonts w:asciiTheme="minorHAnsi" w:eastAsia="Times New Roman" w:hAnsiTheme="minorHAnsi" w:cs="Microsoft Sans Serif"/>
                <w:bCs/>
                <w:lang w:eastAsia="en-AU"/>
              </w:rPr>
              <w:t>answering the question responded</w:t>
            </w:r>
            <w:r w:rsidRPr="00487585">
              <w:rPr>
                <w:rFonts w:asciiTheme="minorHAnsi" w:eastAsia="Times New Roman" w:hAnsiTheme="minorHAnsi" w:cs="Microsoft Sans Serif"/>
                <w:bCs/>
                <w:lang w:eastAsia="en-AU"/>
              </w:rPr>
              <w:t xml:space="preserve"> </w:t>
            </w:r>
            <w:r w:rsidR="00350B62" w:rsidRPr="00487585">
              <w:rPr>
                <w:rFonts w:asciiTheme="minorHAnsi" w:eastAsia="Times New Roman" w:hAnsiTheme="minorHAnsi" w:cs="Microsoft Sans Serif"/>
                <w:bCs/>
                <w:lang w:eastAsia="en-AU"/>
              </w:rPr>
              <w:t>‘Yes’ and 35% of respondents skipped the question.  This indicates a strong sentiment for the Blood Service to remain active in managing information associated to patient</w:t>
            </w:r>
            <w:r>
              <w:rPr>
                <w:rFonts w:asciiTheme="minorHAnsi" w:eastAsia="Times New Roman" w:hAnsiTheme="minorHAnsi" w:cs="Microsoft Sans Serif"/>
                <w:bCs/>
                <w:lang w:eastAsia="en-AU"/>
              </w:rPr>
              <w:t>s</w:t>
            </w:r>
            <w:r w:rsidR="00350B62" w:rsidRPr="00487585">
              <w:rPr>
                <w:rFonts w:asciiTheme="minorHAnsi" w:eastAsia="Times New Roman" w:hAnsiTheme="minorHAnsi" w:cs="Microsoft Sans Serif"/>
                <w:bCs/>
                <w:lang w:eastAsia="en-AU"/>
              </w:rPr>
              <w:t>.</w:t>
            </w:r>
          </w:p>
          <w:p w:rsidR="00350B62" w:rsidRPr="00487585" w:rsidRDefault="00350B62" w:rsidP="009617EB">
            <w:pPr>
              <w:spacing w:after="0" w:line="240" w:lineRule="auto"/>
              <w:rPr>
                <w:rFonts w:asciiTheme="minorHAnsi" w:eastAsia="Times New Roman" w:hAnsiTheme="minorHAnsi" w:cs="Microsoft Sans Serif"/>
                <w:b/>
                <w:bCs/>
                <w:lang w:eastAsia="en-AU"/>
              </w:rPr>
            </w:pPr>
          </w:p>
        </w:tc>
      </w:tr>
      <w:tr w:rsidR="00350B62" w:rsidRPr="00487585" w:rsidTr="00350B62">
        <w:trPr>
          <w:trHeight w:val="1530"/>
        </w:trPr>
        <w:tc>
          <w:tcPr>
            <w:tcW w:w="1149" w:type="dxa"/>
            <w:tcBorders>
              <w:top w:val="nil"/>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lastRenderedPageBreak/>
              <w:t>15</w:t>
            </w:r>
          </w:p>
        </w:tc>
        <w:tc>
          <w:tcPr>
            <w:tcW w:w="7655" w:type="dxa"/>
            <w:tcBorders>
              <w:top w:val="nil"/>
              <w:left w:val="nil"/>
              <w:bottom w:val="single" w:sz="4" w:space="0" w:color="808080"/>
              <w:right w:val="single" w:sz="4" w:space="0" w:color="808080"/>
            </w:tcBorders>
            <w:shd w:val="clear" w:color="auto" w:fill="auto"/>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lang w:eastAsia="en-AU"/>
              </w:rPr>
              <w:t xml:space="preserve">Searching for a patient – Authoriser </w:t>
            </w:r>
          </w:p>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SCENARIO:</w:t>
            </w:r>
            <w:r w:rsidRPr="00487585">
              <w:rPr>
                <w:rFonts w:asciiTheme="minorHAnsi" w:eastAsia="Times New Roman" w:hAnsiTheme="minorHAnsi" w:cs="Microsoft Sans Serif"/>
                <w:lang w:eastAsia="en-AU"/>
              </w:rPr>
              <w:t xml:space="preserve"> Patient currently receiving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 After Hours On-Call Prescriber – Same State</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 xml:space="preserve">A patient presents to the emergency department in a regional hospital (e.g.: Orange, NSW) and advises they are currently receiving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at the Outpatient Clinic but their regular Prescriber is at a different hospital (e.g.: Westmead, NSW). </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The On-Call Prescriber calls the Blood Service for advice on the patient’s authorisation.</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When searching, should the Blood Service staff member be able to see the patient's 'Ig System record' to assist the Prescriber?</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79</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125</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117</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39%</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61%</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94%</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w:t>
                  </w:r>
                </w:p>
              </w:tc>
            </w:tr>
          </w:tbl>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Remarks</w:t>
            </w:r>
          </w:p>
          <w:p w:rsidR="00350B62" w:rsidRPr="00487585" w:rsidRDefault="000F2E71" w:rsidP="009617EB">
            <w:pPr>
              <w:spacing w:after="0" w:line="240" w:lineRule="auto"/>
              <w:rPr>
                <w:rFonts w:asciiTheme="minorHAnsi" w:eastAsia="Times New Roman" w:hAnsiTheme="minorHAnsi" w:cs="Microsoft Sans Serif"/>
                <w:bCs/>
                <w:lang w:eastAsia="en-AU"/>
              </w:rPr>
            </w:pPr>
            <w:r>
              <w:rPr>
                <w:rFonts w:asciiTheme="minorHAnsi" w:eastAsia="Times New Roman" w:hAnsiTheme="minorHAnsi" w:cs="Microsoft Sans Serif"/>
                <w:bCs/>
                <w:lang w:eastAsia="en-AU"/>
              </w:rPr>
              <w:t>94</w:t>
            </w:r>
            <w:r w:rsidR="00350B62" w:rsidRPr="00487585">
              <w:rPr>
                <w:rFonts w:asciiTheme="minorHAnsi" w:eastAsia="Times New Roman" w:hAnsiTheme="minorHAnsi" w:cs="Microsoft Sans Serif"/>
                <w:bCs/>
                <w:lang w:eastAsia="en-AU"/>
              </w:rPr>
              <w:t>% of respondents answer</w:t>
            </w:r>
            <w:r>
              <w:rPr>
                <w:rFonts w:asciiTheme="minorHAnsi" w:eastAsia="Times New Roman" w:hAnsiTheme="minorHAnsi" w:cs="Microsoft Sans Serif"/>
                <w:bCs/>
                <w:lang w:eastAsia="en-AU"/>
              </w:rPr>
              <w:t>ing the question responded</w:t>
            </w:r>
            <w:r w:rsidR="00350B62" w:rsidRPr="00487585">
              <w:rPr>
                <w:rFonts w:asciiTheme="minorHAnsi" w:eastAsia="Times New Roman" w:hAnsiTheme="minorHAnsi" w:cs="Microsoft Sans Serif"/>
                <w:bCs/>
                <w:lang w:eastAsia="en-AU"/>
              </w:rPr>
              <w:t xml:space="preserve"> ‘Yes’ and 39% of respondents skipped the question.  While respondents in principle agree the Blood Service should have access to the patient record, there is also a sentiment for the information to be communicated from prescriber to prescriber.</w:t>
            </w:r>
          </w:p>
          <w:p w:rsidR="00350B62" w:rsidRPr="00487585" w:rsidRDefault="00350B62" w:rsidP="009617EB">
            <w:pPr>
              <w:spacing w:after="0" w:line="240" w:lineRule="auto"/>
              <w:rPr>
                <w:rFonts w:asciiTheme="minorHAnsi" w:eastAsia="Times New Roman" w:hAnsiTheme="minorHAnsi" w:cs="Microsoft Sans Serif"/>
                <w:b/>
                <w:bCs/>
                <w:lang w:eastAsia="en-AU"/>
              </w:rPr>
            </w:pP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16</w:t>
            </w:r>
          </w:p>
        </w:tc>
        <w:tc>
          <w:tcPr>
            <w:tcW w:w="7655" w:type="dxa"/>
            <w:tcBorders>
              <w:top w:val="nil"/>
              <w:left w:val="nil"/>
              <w:bottom w:val="single" w:sz="4" w:space="0" w:color="808080"/>
              <w:right w:val="single" w:sz="4" w:space="0" w:color="808080"/>
            </w:tcBorders>
            <w:shd w:val="clear" w:color="auto" w:fill="auto"/>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lang w:eastAsia="en-AU"/>
              </w:rPr>
              <w:t xml:space="preserve">Searching for a patient – Authoriser </w:t>
            </w:r>
          </w:p>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bCs/>
                <w:lang w:eastAsia="en-AU"/>
              </w:rPr>
              <w:t>SCENARIO:</w:t>
            </w:r>
            <w:r w:rsidRPr="00487585">
              <w:rPr>
                <w:rFonts w:asciiTheme="minorHAnsi" w:eastAsia="Times New Roman" w:hAnsiTheme="minorHAnsi" w:cs="Microsoft Sans Serif"/>
                <w:lang w:eastAsia="en-AU"/>
              </w:rPr>
              <w:t xml:space="preserve"> Patient currently receiving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 Different State or area of Authorisation to the Authoriser</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A patient on holidays interstate presents at a Hospital for treatment, the Prescriber calls the Blood Service for advice on the patient’s current authorisation.</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When searching, should the Blood Service staff member be able to see the patient's 'Ig System record' to assist the Prescriber?</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80</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124</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111</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13</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39%</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61%</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90%</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10%</w:t>
                  </w:r>
                </w:p>
              </w:tc>
            </w:tr>
          </w:tbl>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Remarks</w:t>
            </w:r>
          </w:p>
          <w:p w:rsidR="00350B62" w:rsidRPr="00487585" w:rsidRDefault="000F2E71" w:rsidP="009617EB">
            <w:pPr>
              <w:spacing w:after="0" w:line="240" w:lineRule="auto"/>
              <w:rPr>
                <w:rFonts w:asciiTheme="minorHAnsi" w:eastAsia="Times New Roman" w:hAnsiTheme="minorHAnsi" w:cs="Microsoft Sans Serif"/>
                <w:bCs/>
                <w:lang w:eastAsia="en-AU"/>
              </w:rPr>
            </w:pPr>
            <w:r>
              <w:rPr>
                <w:rFonts w:asciiTheme="minorHAnsi" w:eastAsia="Times New Roman" w:hAnsiTheme="minorHAnsi" w:cs="Microsoft Sans Serif"/>
                <w:bCs/>
                <w:lang w:eastAsia="en-AU"/>
              </w:rPr>
              <w:t>90</w:t>
            </w:r>
            <w:r w:rsidR="00350B62" w:rsidRPr="00487585">
              <w:rPr>
                <w:rFonts w:asciiTheme="minorHAnsi" w:eastAsia="Times New Roman" w:hAnsiTheme="minorHAnsi" w:cs="Microsoft Sans Serif"/>
                <w:bCs/>
                <w:lang w:eastAsia="en-AU"/>
              </w:rPr>
              <w:t>% of respondents answer</w:t>
            </w:r>
            <w:r>
              <w:rPr>
                <w:rFonts w:asciiTheme="minorHAnsi" w:eastAsia="Times New Roman" w:hAnsiTheme="minorHAnsi" w:cs="Microsoft Sans Serif"/>
                <w:bCs/>
                <w:lang w:eastAsia="en-AU"/>
              </w:rPr>
              <w:t>ing the quested responded</w:t>
            </w:r>
            <w:r w:rsidR="00350B62" w:rsidRPr="00487585">
              <w:rPr>
                <w:rFonts w:asciiTheme="minorHAnsi" w:eastAsia="Times New Roman" w:hAnsiTheme="minorHAnsi" w:cs="Microsoft Sans Serif"/>
                <w:bCs/>
                <w:lang w:eastAsia="en-AU"/>
              </w:rPr>
              <w:t xml:space="preserve"> ‘Yes’ and 39% of respondents skipped the question.  While respondents in principle agree the Blood Service should have access to the patient record, there is also a sentiment for the information to be communicated from prescriber to prescriber via letter arranged by the patient before travelling.</w:t>
            </w:r>
          </w:p>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Continuity of treatment to the patient is cited as reason to provide the Authoriser with access to the patient records.</w:t>
            </w:r>
          </w:p>
        </w:tc>
      </w:tr>
      <w:tr w:rsidR="00350B62" w:rsidRPr="00487585" w:rsidTr="00350B62">
        <w:trPr>
          <w:trHeight w:val="1530"/>
        </w:trPr>
        <w:tc>
          <w:tcPr>
            <w:tcW w:w="1149" w:type="dxa"/>
            <w:tcBorders>
              <w:top w:val="nil"/>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lastRenderedPageBreak/>
              <w:t>17</w:t>
            </w:r>
          </w:p>
        </w:tc>
        <w:tc>
          <w:tcPr>
            <w:tcW w:w="7655" w:type="dxa"/>
            <w:tcBorders>
              <w:top w:val="nil"/>
              <w:left w:val="nil"/>
              <w:bottom w:val="single" w:sz="4" w:space="0" w:color="808080"/>
              <w:right w:val="single" w:sz="4" w:space="0" w:color="808080"/>
            </w:tcBorders>
            <w:shd w:val="clear" w:color="auto" w:fill="auto"/>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lang w:eastAsia="en-AU"/>
              </w:rPr>
              <w:t xml:space="preserve">Searching for a patient – Authoriser </w:t>
            </w:r>
          </w:p>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bCs/>
                <w:lang w:eastAsia="en-AU"/>
              </w:rPr>
              <w:t>SCENARIO:</w:t>
            </w:r>
            <w:r w:rsidRPr="00487585">
              <w:rPr>
                <w:rFonts w:asciiTheme="minorHAnsi" w:eastAsia="Times New Roman" w:hAnsiTheme="minorHAnsi" w:cs="Microsoft Sans Serif"/>
                <w:lang w:eastAsia="en-AU"/>
              </w:rPr>
              <w:t xml:space="preserve"> Patient currently receiving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 After Hours On-Call Prescriber – Different State</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 xml:space="preserve">A patient presents to the emergency department in a regional hospital (e.g.: Byron Bay, NSW) and advises that they are currently receiving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at the Outpatient Clinic but their regular Prescriber is at a different hospital (e.g.: Royal Brisbane and Women’s Hospital, Qld). </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The On-Call Prescriber calls the Blood Service for advice on the patient’s authorisation.</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When searching, should the Blood Service staff member be able to see the patient's 'Ig System record' outside of their State or area of authorisation to assist the Prescriber?</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2B7E38">
              <w:trPr>
                <w:trHeight w:val="255"/>
              </w:trPr>
              <w:tc>
                <w:tcPr>
                  <w:tcW w:w="960" w:type="dxa"/>
                  <w:tcBorders>
                    <w:top w:val="nil"/>
                    <w:left w:val="single" w:sz="4" w:space="0" w:color="808080"/>
                    <w:bottom w:val="single" w:sz="4" w:space="0" w:color="808080"/>
                    <w:right w:val="single" w:sz="4" w:space="0" w:color="808080"/>
                  </w:tcBorders>
                  <w:shd w:val="clear" w:color="auto"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79</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125</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107</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18</w:t>
                  </w:r>
                </w:p>
              </w:tc>
            </w:tr>
            <w:tr w:rsidR="00FC2BA4" w:rsidRPr="00487585" w:rsidTr="002B7E38">
              <w:trPr>
                <w:trHeight w:val="255"/>
              </w:trPr>
              <w:tc>
                <w:tcPr>
                  <w:tcW w:w="960" w:type="dxa"/>
                  <w:tcBorders>
                    <w:top w:val="nil"/>
                    <w:left w:val="single" w:sz="4" w:space="0" w:color="808080"/>
                    <w:bottom w:val="single" w:sz="4" w:space="0" w:color="808080"/>
                    <w:right w:val="single" w:sz="4" w:space="0" w:color="808080"/>
                  </w:tcBorders>
                  <w:shd w:val="clear" w:color="auto"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39%</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61%</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86%</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14%</w:t>
                  </w:r>
                </w:p>
              </w:tc>
            </w:tr>
          </w:tbl>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Remarks</w:t>
            </w:r>
          </w:p>
          <w:p w:rsidR="00350B62" w:rsidRPr="00487585" w:rsidRDefault="000F2E71" w:rsidP="009617EB">
            <w:pPr>
              <w:spacing w:after="0" w:line="240" w:lineRule="auto"/>
              <w:rPr>
                <w:rFonts w:asciiTheme="minorHAnsi" w:eastAsia="Times New Roman" w:hAnsiTheme="minorHAnsi" w:cs="Microsoft Sans Serif"/>
                <w:bCs/>
                <w:lang w:eastAsia="en-AU"/>
              </w:rPr>
            </w:pPr>
            <w:r>
              <w:rPr>
                <w:rFonts w:asciiTheme="minorHAnsi" w:eastAsia="Times New Roman" w:hAnsiTheme="minorHAnsi" w:cs="Microsoft Sans Serif"/>
                <w:bCs/>
                <w:lang w:eastAsia="en-AU"/>
              </w:rPr>
              <w:t>86</w:t>
            </w:r>
            <w:r w:rsidR="00350B62" w:rsidRPr="00487585">
              <w:rPr>
                <w:rFonts w:asciiTheme="minorHAnsi" w:eastAsia="Times New Roman" w:hAnsiTheme="minorHAnsi" w:cs="Microsoft Sans Serif"/>
                <w:bCs/>
                <w:lang w:eastAsia="en-AU"/>
              </w:rPr>
              <w:t>% of respondents answer</w:t>
            </w:r>
            <w:r>
              <w:rPr>
                <w:rFonts w:asciiTheme="minorHAnsi" w:eastAsia="Times New Roman" w:hAnsiTheme="minorHAnsi" w:cs="Microsoft Sans Serif"/>
                <w:bCs/>
                <w:lang w:eastAsia="en-AU"/>
              </w:rPr>
              <w:t>ing the quested respond</w:t>
            </w:r>
            <w:r w:rsidR="00350B62" w:rsidRPr="00487585">
              <w:rPr>
                <w:rFonts w:asciiTheme="minorHAnsi" w:eastAsia="Times New Roman" w:hAnsiTheme="minorHAnsi" w:cs="Microsoft Sans Serif"/>
                <w:bCs/>
                <w:lang w:eastAsia="en-AU"/>
              </w:rPr>
              <w:t>ed ‘Yes’ and 39% of respondents skipped the question.  While respondents in principle agree the Blood Service should have access to the patient record, there is also a sentiment for the information to be communicated from prescriber.</w:t>
            </w:r>
          </w:p>
          <w:p w:rsidR="00350B62" w:rsidRPr="00487585" w:rsidRDefault="00350B62" w:rsidP="009617EB">
            <w:pPr>
              <w:spacing w:after="0" w:line="240" w:lineRule="auto"/>
              <w:rPr>
                <w:rFonts w:asciiTheme="minorHAnsi" w:eastAsia="Times New Roman" w:hAnsiTheme="minorHAnsi" w:cs="Microsoft Sans Serif"/>
                <w:bCs/>
                <w:lang w:eastAsia="en-AU"/>
              </w:rPr>
            </w:pP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The importance of accessing a patient’s record to assess a request for expensive product based on previous periods of authorisation is seen to be critical.</w:t>
            </w:r>
          </w:p>
          <w:p w:rsidR="00350B62" w:rsidRPr="00487585" w:rsidRDefault="00350B62" w:rsidP="009617EB">
            <w:pPr>
              <w:spacing w:after="0" w:line="240" w:lineRule="auto"/>
              <w:rPr>
                <w:rFonts w:asciiTheme="minorHAnsi" w:eastAsia="Times New Roman" w:hAnsiTheme="minorHAnsi" w:cs="Microsoft Sans Serif"/>
                <w:b/>
                <w:bCs/>
                <w:lang w:eastAsia="en-AU"/>
              </w:rPr>
            </w:pPr>
          </w:p>
        </w:tc>
      </w:tr>
      <w:tr w:rsidR="00350B62" w:rsidRPr="00487585" w:rsidTr="00350B62">
        <w:trPr>
          <w:trHeight w:val="2550"/>
        </w:trPr>
        <w:tc>
          <w:tcPr>
            <w:tcW w:w="1149" w:type="dxa"/>
            <w:tcBorders>
              <w:top w:val="nil"/>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18</w:t>
            </w:r>
          </w:p>
        </w:tc>
        <w:tc>
          <w:tcPr>
            <w:tcW w:w="7655" w:type="dxa"/>
            <w:tcBorders>
              <w:top w:val="nil"/>
              <w:left w:val="nil"/>
              <w:bottom w:val="single" w:sz="4" w:space="0" w:color="808080"/>
              <w:right w:val="single" w:sz="4" w:space="0" w:color="808080"/>
            </w:tcBorders>
            <w:shd w:val="clear" w:color="auto" w:fill="auto"/>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lang w:eastAsia="en-AU"/>
              </w:rPr>
              <w:t>Searching for a patient – Nurse</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As a Nurse the default search is all patients that have a relationship with the hospital or hospitals where the Nurse works.</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We believe the following scenario is the minimum requirements for system capability when a Nurse is searching for patient details:</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b/>
                <w:bCs/>
                <w:lang w:eastAsia="en-AU"/>
              </w:rPr>
              <w:t>SCENARIO:</w:t>
            </w:r>
            <w:r w:rsidRPr="00487585">
              <w:rPr>
                <w:rFonts w:asciiTheme="minorHAnsi" w:eastAsia="Times New Roman" w:hAnsiTheme="minorHAnsi" w:cs="Microsoft Sans Serif"/>
                <w:lang w:eastAsia="en-AU"/>
              </w:rPr>
              <w:t xml:space="preserve"> Patient currently receiving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 Nurse – Same Hospital</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A patient presents for treatment where the Treating or Administering hospital or the Dispensing Facility is the same as the hospital where the Nurse is logged on to the Ig System.</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The Nurse searches for the patient and can see their Ig System record.</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Do you agree?</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80</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124</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112</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12</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39%</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61%</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90%</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10%</w:t>
                  </w:r>
                </w:p>
              </w:tc>
            </w:tr>
          </w:tbl>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lastRenderedPageBreak/>
              <w:t>Remarks</w:t>
            </w:r>
          </w:p>
          <w:p w:rsidR="00350B62" w:rsidRPr="00487585" w:rsidRDefault="00FC2BA4"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90% of respondents answering the question answered ‘</w:t>
            </w:r>
            <w:r w:rsidR="00350B62" w:rsidRPr="00487585">
              <w:rPr>
                <w:rFonts w:asciiTheme="minorHAnsi" w:eastAsia="Times New Roman" w:hAnsiTheme="minorHAnsi" w:cs="Microsoft Sans Serif"/>
                <w:bCs/>
                <w:lang w:eastAsia="en-AU"/>
              </w:rPr>
              <w:t>yes</w:t>
            </w:r>
            <w:r w:rsidRPr="00487585">
              <w:rPr>
                <w:rFonts w:asciiTheme="minorHAnsi" w:eastAsia="Times New Roman" w:hAnsiTheme="minorHAnsi" w:cs="Microsoft Sans Serif"/>
                <w:bCs/>
                <w:lang w:eastAsia="en-AU"/>
              </w:rPr>
              <w:t>’</w:t>
            </w:r>
            <w:r w:rsidR="00350B62" w:rsidRPr="00487585">
              <w:rPr>
                <w:rFonts w:asciiTheme="minorHAnsi" w:eastAsia="Times New Roman" w:hAnsiTheme="minorHAnsi" w:cs="Microsoft Sans Serif"/>
                <w:bCs/>
                <w:lang w:eastAsia="en-AU"/>
              </w:rPr>
              <w:t>, while 39% skipped the question.  Continuity of care and an understanding of a patient</w:t>
            </w:r>
            <w:r w:rsidRPr="00487585">
              <w:rPr>
                <w:rFonts w:asciiTheme="minorHAnsi" w:eastAsia="Times New Roman" w:hAnsiTheme="minorHAnsi" w:cs="Microsoft Sans Serif"/>
                <w:bCs/>
                <w:lang w:eastAsia="en-AU"/>
              </w:rPr>
              <w:t>’</w:t>
            </w:r>
            <w:r w:rsidR="00350B62" w:rsidRPr="00487585">
              <w:rPr>
                <w:rFonts w:asciiTheme="minorHAnsi" w:eastAsia="Times New Roman" w:hAnsiTheme="minorHAnsi" w:cs="Microsoft Sans Serif"/>
                <w:bCs/>
                <w:lang w:eastAsia="en-AU"/>
              </w:rPr>
              <w:t xml:space="preserve">s authorisation status </w:t>
            </w:r>
            <w:proofErr w:type="gramStart"/>
            <w:r w:rsidR="00350B62" w:rsidRPr="00487585">
              <w:rPr>
                <w:rFonts w:asciiTheme="minorHAnsi" w:eastAsia="Times New Roman" w:hAnsiTheme="minorHAnsi" w:cs="Microsoft Sans Serif"/>
                <w:bCs/>
                <w:lang w:eastAsia="en-AU"/>
              </w:rPr>
              <w:t>is</w:t>
            </w:r>
            <w:proofErr w:type="gramEnd"/>
            <w:r w:rsidR="00350B62" w:rsidRPr="00487585">
              <w:rPr>
                <w:rFonts w:asciiTheme="minorHAnsi" w:eastAsia="Times New Roman" w:hAnsiTheme="minorHAnsi" w:cs="Microsoft Sans Serif"/>
                <w:bCs/>
                <w:lang w:eastAsia="en-AU"/>
              </w:rPr>
              <w:t xml:space="preserve"> critical as the nurse is part of the treating team.  The </w:t>
            </w:r>
            <w:r w:rsidRPr="00487585">
              <w:rPr>
                <w:rFonts w:asciiTheme="minorHAnsi" w:eastAsia="Times New Roman" w:hAnsiTheme="minorHAnsi" w:cs="Microsoft Sans Serif"/>
                <w:bCs/>
                <w:lang w:eastAsia="en-AU"/>
              </w:rPr>
              <w:t>10</w:t>
            </w:r>
            <w:r w:rsidR="00350B62" w:rsidRPr="00487585">
              <w:rPr>
                <w:rFonts w:asciiTheme="minorHAnsi" w:eastAsia="Times New Roman" w:hAnsiTheme="minorHAnsi" w:cs="Microsoft Sans Serif"/>
                <w:bCs/>
                <w:lang w:eastAsia="en-AU"/>
              </w:rPr>
              <w:t xml:space="preserve">% </w:t>
            </w:r>
            <w:r w:rsidRPr="00487585">
              <w:rPr>
                <w:rFonts w:asciiTheme="minorHAnsi" w:eastAsia="Times New Roman" w:hAnsiTheme="minorHAnsi" w:cs="Microsoft Sans Serif"/>
                <w:bCs/>
                <w:lang w:eastAsia="en-AU"/>
              </w:rPr>
              <w:t xml:space="preserve">of respondents answering </w:t>
            </w:r>
            <w:r w:rsidR="00350B62" w:rsidRPr="00487585">
              <w:rPr>
                <w:rFonts w:asciiTheme="minorHAnsi" w:eastAsia="Times New Roman" w:hAnsiTheme="minorHAnsi" w:cs="Microsoft Sans Serif"/>
                <w:bCs/>
                <w:lang w:eastAsia="en-AU"/>
              </w:rPr>
              <w:t>No indicate</w:t>
            </w:r>
            <w:r w:rsidRPr="00487585">
              <w:rPr>
                <w:rFonts w:asciiTheme="minorHAnsi" w:eastAsia="Times New Roman" w:hAnsiTheme="minorHAnsi" w:cs="Microsoft Sans Serif"/>
                <w:bCs/>
                <w:lang w:eastAsia="en-AU"/>
              </w:rPr>
              <w:t>s</w:t>
            </w:r>
            <w:r w:rsidR="00350B62" w:rsidRPr="00487585">
              <w:rPr>
                <w:rFonts w:asciiTheme="minorHAnsi" w:eastAsia="Times New Roman" w:hAnsiTheme="minorHAnsi" w:cs="Microsoft Sans Serif"/>
                <w:bCs/>
                <w:lang w:eastAsia="en-AU"/>
              </w:rPr>
              <w:t xml:space="preserve"> that medical records should be relied on for this purpose.</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lastRenderedPageBreak/>
              <w:t>19</w:t>
            </w:r>
          </w:p>
        </w:tc>
        <w:tc>
          <w:tcPr>
            <w:tcW w:w="7655" w:type="dxa"/>
            <w:tcBorders>
              <w:top w:val="nil"/>
              <w:left w:val="nil"/>
              <w:bottom w:val="single" w:sz="4" w:space="0" w:color="808080"/>
              <w:right w:val="single" w:sz="4" w:space="0" w:color="808080"/>
            </w:tcBorders>
            <w:shd w:val="clear" w:color="auto" w:fill="auto"/>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lang w:eastAsia="en-AU"/>
              </w:rPr>
              <w:t>Searching for a patient – Nurse</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bCs/>
                <w:lang w:eastAsia="en-AU"/>
              </w:rPr>
              <w:t>SCENARIO:</w:t>
            </w:r>
            <w:r w:rsidRPr="00487585">
              <w:rPr>
                <w:rFonts w:asciiTheme="minorHAnsi" w:eastAsia="Times New Roman" w:hAnsiTheme="minorHAnsi" w:cs="Microsoft Sans Serif"/>
                <w:lang w:eastAsia="en-AU"/>
              </w:rPr>
              <w:t xml:space="preserve"> Patient currently receiving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 Nurse – Different Hospital – Same State</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 xml:space="preserve">A patient presents for treatment where the Treating or Administering hospital or the Dispensing Facility is NOT the same as the hospital where the Nurse is logged on to the Ig System at but it is in the same State. </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When searching, should the Nurse be able to see the patient's 'Ig System record'?</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80</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124</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81</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43</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39%</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61%</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65%</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35%</w:t>
                  </w:r>
                </w:p>
              </w:tc>
            </w:tr>
          </w:tbl>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Remarks</w:t>
            </w:r>
          </w:p>
          <w:p w:rsidR="00350B62" w:rsidRDefault="000F2E71" w:rsidP="009617EB">
            <w:pPr>
              <w:spacing w:after="0" w:line="240" w:lineRule="auto"/>
              <w:rPr>
                <w:rFonts w:asciiTheme="minorHAnsi" w:eastAsia="Times New Roman" w:hAnsiTheme="minorHAnsi" w:cs="Microsoft Sans Serif"/>
                <w:bCs/>
                <w:lang w:eastAsia="en-AU"/>
              </w:rPr>
            </w:pPr>
            <w:r>
              <w:rPr>
                <w:rFonts w:asciiTheme="minorHAnsi" w:eastAsia="Times New Roman" w:hAnsiTheme="minorHAnsi" w:cs="Microsoft Sans Serif"/>
                <w:bCs/>
                <w:lang w:eastAsia="en-AU"/>
              </w:rPr>
              <w:t xml:space="preserve">65% </w:t>
            </w:r>
            <w:r w:rsidRPr="00487585">
              <w:rPr>
                <w:rFonts w:asciiTheme="minorHAnsi" w:eastAsia="Times New Roman" w:hAnsiTheme="minorHAnsi" w:cs="Microsoft Sans Serif"/>
                <w:bCs/>
                <w:lang w:eastAsia="en-AU"/>
              </w:rPr>
              <w:t>of respondents answer</w:t>
            </w:r>
            <w:r>
              <w:rPr>
                <w:rFonts w:asciiTheme="minorHAnsi" w:eastAsia="Times New Roman" w:hAnsiTheme="minorHAnsi" w:cs="Microsoft Sans Serif"/>
                <w:bCs/>
                <w:lang w:eastAsia="en-AU"/>
              </w:rPr>
              <w:t>ing the quested respond</w:t>
            </w:r>
            <w:r w:rsidRPr="00487585">
              <w:rPr>
                <w:rFonts w:asciiTheme="minorHAnsi" w:eastAsia="Times New Roman" w:hAnsiTheme="minorHAnsi" w:cs="Microsoft Sans Serif"/>
                <w:bCs/>
                <w:lang w:eastAsia="en-AU"/>
              </w:rPr>
              <w:t xml:space="preserve">ed </w:t>
            </w:r>
            <w:r>
              <w:rPr>
                <w:rFonts w:asciiTheme="minorHAnsi" w:eastAsia="Times New Roman" w:hAnsiTheme="minorHAnsi" w:cs="Microsoft Sans Serif"/>
                <w:bCs/>
                <w:lang w:eastAsia="en-AU"/>
              </w:rPr>
              <w:t xml:space="preserve">yes and </w:t>
            </w:r>
            <w:r w:rsidR="00350B62" w:rsidRPr="00487585">
              <w:rPr>
                <w:rFonts w:asciiTheme="minorHAnsi" w:eastAsia="Times New Roman" w:hAnsiTheme="minorHAnsi" w:cs="Microsoft Sans Serif"/>
                <w:bCs/>
                <w:lang w:eastAsia="en-AU"/>
              </w:rPr>
              <w:t>39% skipped the question.</w:t>
            </w:r>
          </w:p>
          <w:p w:rsidR="000F2E71" w:rsidRPr="00487585" w:rsidRDefault="000F2E71" w:rsidP="009617EB">
            <w:pPr>
              <w:spacing w:after="0" w:line="240" w:lineRule="auto"/>
              <w:rPr>
                <w:rFonts w:asciiTheme="minorHAnsi" w:eastAsia="Times New Roman" w:hAnsiTheme="minorHAnsi" w:cs="Microsoft Sans Serif"/>
                <w:bCs/>
                <w:lang w:eastAsia="en-AU"/>
              </w:rPr>
            </w:pP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The lower percentage of Yes responses</w:t>
            </w:r>
            <w:r w:rsidR="000F2E71">
              <w:rPr>
                <w:rFonts w:asciiTheme="minorHAnsi" w:eastAsia="Times New Roman" w:hAnsiTheme="minorHAnsi" w:cs="Microsoft Sans Serif"/>
                <w:bCs/>
                <w:lang w:eastAsia="en-AU"/>
              </w:rPr>
              <w:t>, compared to previous questions,</w:t>
            </w:r>
            <w:r w:rsidRPr="00487585">
              <w:rPr>
                <w:rFonts w:asciiTheme="minorHAnsi" w:eastAsia="Times New Roman" w:hAnsiTheme="minorHAnsi" w:cs="Microsoft Sans Serif"/>
                <w:bCs/>
                <w:lang w:eastAsia="en-AU"/>
              </w:rPr>
              <w:t xml:space="preserve"> indicates there is a shift in the need for a nurse to access patient records.  The Yes responses indicate that the success in delivery of care to patients rests with the nursing staff.</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20</w:t>
            </w:r>
          </w:p>
        </w:tc>
        <w:tc>
          <w:tcPr>
            <w:tcW w:w="7655" w:type="dxa"/>
            <w:tcBorders>
              <w:top w:val="nil"/>
              <w:left w:val="nil"/>
              <w:bottom w:val="single" w:sz="4" w:space="0" w:color="808080"/>
              <w:right w:val="single" w:sz="4" w:space="0" w:color="808080"/>
            </w:tcBorders>
            <w:shd w:val="clear" w:color="auto" w:fill="auto"/>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lang w:eastAsia="en-AU"/>
              </w:rPr>
              <w:t>Searching for a patient – Nurse</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bCs/>
                <w:lang w:eastAsia="en-AU"/>
              </w:rPr>
              <w:t>SCENARIO:</w:t>
            </w:r>
            <w:r w:rsidRPr="00487585">
              <w:rPr>
                <w:rFonts w:asciiTheme="minorHAnsi" w:eastAsia="Times New Roman" w:hAnsiTheme="minorHAnsi" w:cs="Microsoft Sans Serif"/>
                <w:lang w:eastAsia="en-AU"/>
              </w:rPr>
              <w:t xml:space="preserve"> Patient currently receiving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 Nurse – Different Hospital – Different State</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 xml:space="preserve">A patient presents for treatment where the Treating or Administering hospital or the Dispensing Facility is NOT the same as the hospital or the State where the Nurse is logged onto the Ig System (Grey Nomad Scenario). </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When searching, should the Nurse be able to see the patient's 'Ig System record'?</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80</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124</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81</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43</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39%</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61%</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65%</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35%</w:t>
                  </w:r>
                </w:p>
              </w:tc>
            </w:tr>
          </w:tbl>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Remarks</w:t>
            </w: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The trend in responses on the Nursing scenarios is consistent, with fewer respondents answering Yes than those scenarios cited for Prescribers and Authorisers.</w:t>
            </w:r>
          </w:p>
          <w:p w:rsidR="00350B62" w:rsidRPr="00487585" w:rsidRDefault="00350B62" w:rsidP="009617EB">
            <w:pPr>
              <w:spacing w:after="0" w:line="240" w:lineRule="auto"/>
              <w:rPr>
                <w:rFonts w:asciiTheme="minorHAnsi" w:eastAsia="Times New Roman" w:hAnsiTheme="minorHAnsi" w:cs="Microsoft Sans Serif"/>
                <w:bCs/>
                <w:lang w:eastAsia="en-AU"/>
              </w:rPr>
            </w:pP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Comments provided on this question are consistent with Questions 18 and 19.</w:t>
            </w:r>
          </w:p>
          <w:p w:rsidR="00350B62" w:rsidRPr="00487585" w:rsidRDefault="00350B62" w:rsidP="009617EB">
            <w:pPr>
              <w:spacing w:after="0" w:line="240" w:lineRule="auto"/>
              <w:rPr>
                <w:rFonts w:asciiTheme="minorHAnsi" w:eastAsia="Times New Roman" w:hAnsiTheme="minorHAnsi" w:cs="Microsoft Sans Serif"/>
                <w:b/>
                <w:bCs/>
                <w:lang w:eastAsia="en-AU"/>
              </w:rPr>
            </w:pPr>
          </w:p>
        </w:tc>
      </w:tr>
      <w:tr w:rsidR="00350B62" w:rsidRPr="00487585" w:rsidTr="00350B62">
        <w:trPr>
          <w:trHeight w:val="3315"/>
        </w:trPr>
        <w:tc>
          <w:tcPr>
            <w:tcW w:w="1149" w:type="dxa"/>
            <w:tcBorders>
              <w:top w:val="nil"/>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lastRenderedPageBreak/>
              <w:t>21</w:t>
            </w:r>
          </w:p>
        </w:tc>
        <w:tc>
          <w:tcPr>
            <w:tcW w:w="7655" w:type="dxa"/>
            <w:tcBorders>
              <w:top w:val="nil"/>
              <w:left w:val="nil"/>
              <w:bottom w:val="single" w:sz="4" w:space="0" w:color="808080"/>
              <w:right w:val="single" w:sz="4" w:space="0" w:color="808080"/>
            </w:tcBorders>
            <w:shd w:val="clear" w:color="auto" w:fill="auto"/>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lang w:eastAsia="en-AU"/>
              </w:rPr>
              <w:t>Searching for a patient – Dispenser</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 xml:space="preserve">As a Dispenser the default search is all patients that have a relationship with the hospital or hospitals where the Dispenser is logged on to </w:t>
            </w:r>
            <w:proofErr w:type="spellStart"/>
            <w:r w:rsidRPr="00487585">
              <w:rPr>
                <w:rFonts w:asciiTheme="minorHAnsi" w:eastAsia="Times New Roman" w:hAnsiTheme="minorHAnsi" w:cs="Microsoft Sans Serif"/>
                <w:lang w:eastAsia="en-AU"/>
              </w:rPr>
              <w:t>BloodNet</w:t>
            </w:r>
            <w:proofErr w:type="spellEnd"/>
            <w:r w:rsidRPr="00487585">
              <w:rPr>
                <w:rFonts w:asciiTheme="minorHAnsi" w:eastAsia="Times New Roman" w:hAnsiTheme="minorHAnsi" w:cs="Microsoft Sans Serif"/>
                <w:lang w:eastAsia="en-AU"/>
              </w:rPr>
              <w:t xml:space="preserve">.  </w:t>
            </w:r>
            <w:proofErr w:type="spellStart"/>
            <w:r w:rsidRPr="00487585">
              <w:rPr>
                <w:rFonts w:asciiTheme="minorHAnsi" w:eastAsia="Times New Roman" w:hAnsiTheme="minorHAnsi" w:cs="Microsoft Sans Serif"/>
                <w:lang w:eastAsia="en-AU"/>
              </w:rPr>
              <w:t>BloodNet</w:t>
            </w:r>
            <w:proofErr w:type="spellEnd"/>
            <w:r w:rsidRPr="00487585">
              <w:rPr>
                <w:rFonts w:asciiTheme="minorHAnsi" w:eastAsia="Times New Roman" w:hAnsiTheme="minorHAnsi" w:cs="Microsoft Sans Serif"/>
                <w:lang w:eastAsia="en-AU"/>
              </w:rPr>
              <w:t xml:space="preserve"> is the NBAs electronic blood and blood products ordering system allowing hospitals to communicate directly with the Blood Service.  All Ig System capability developed for Dispensers will be delivered within </w:t>
            </w:r>
            <w:proofErr w:type="spellStart"/>
            <w:r w:rsidRPr="00487585">
              <w:rPr>
                <w:rFonts w:asciiTheme="minorHAnsi" w:eastAsia="Times New Roman" w:hAnsiTheme="minorHAnsi" w:cs="Microsoft Sans Serif"/>
                <w:lang w:eastAsia="en-AU"/>
              </w:rPr>
              <w:t>BloodNet</w:t>
            </w:r>
            <w:proofErr w:type="spellEnd"/>
            <w:r w:rsidRPr="00487585">
              <w:rPr>
                <w:rFonts w:asciiTheme="minorHAnsi" w:eastAsia="Times New Roman" w:hAnsiTheme="minorHAnsi" w:cs="Microsoft Sans Serif"/>
                <w:lang w:eastAsia="en-AU"/>
              </w:rPr>
              <w:t>.</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 xml:space="preserve">We believe the following scenario is the minimum requirement for Ig System capability when a Dispenser is searching for patient details. </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b/>
                <w:bCs/>
                <w:lang w:eastAsia="en-AU"/>
              </w:rPr>
              <w:t>SCENARIO:</w:t>
            </w:r>
            <w:r w:rsidRPr="00487585">
              <w:rPr>
                <w:rFonts w:asciiTheme="minorHAnsi" w:eastAsia="Times New Roman" w:hAnsiTheme="minorHAnsi" w:cs="Microsoft Sans Serif"/>
                <w:lang w:eastAsia="en-AU"/>
              </w:rPr>
              <w:t xml:space="preserve"> Patient currently receiving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 Dispenser – Same Hospital – Same State</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 xml:space="preserve">A patient presents for treatment and the Dispenser </w:t>
            </w:r>
            <w:proofErr w:type="gramStart"/>
            <w:r w:rsidRPr="00487585">
              <w:rPr>
                <w:rFonts w:asciiTheme="minorHAnsi" w:eastAsia="Times New Roman" w:hAnsiTheme="minorHAnsi" w:cs="Microsoft Sans Serif"/>
                <w:lang w:eastAsia="en-AU"/>
              </w:rPr>
              <w:t>is</w:t>
            </w:r>
            <w:proofErr w:type="gramEnd"/>
            <w:r w:rsidRPr="00487585">
              <w:rPr>
                <w:rFonts w:asciiTheme="minorHAnsi" w:eastAsia="Times New Roman" w:hAnsiTheme="minorHAnsi" w:cs="Microsoft Sans Serif"/>
                <w:lang w:eastAsia="en-AU"/>
              </w:rPr>
              <w:t xml:space="preserve"> logged onto </w:t>
            </w:r>
            <w:proofErr w:type="spellStart"/>
            <w:r w:rsidRPr="00487585">
              <w:rPr>
                <w:rFonts w:asciiTheme="minorHAnsi" w:eastAsia="Times New Roman" w:hAnsiTheme="minorHAnsi" w:cs="Microsoft Sans Serif"/>
                <w:lang w:eastAsia="en-AU"/>
              </w:rPr>
              <w:t>BloodNet</w:t>
            </w:r>
            <w:proofErr w:type="spellEnd"/>
            <w:r w:rsidRPr="00487585">
              <w:rPr>
                <w:rFonts w:asciiTheme="minorHAnsi" w:eastAsia="Times New Roman" w:hAnsiTheme="minorHAnsi" w:cs="Microsoft Sans Serif"/>
                <w:lang w:eastAsia="en-AU"/>
              </w:rPr>
              <w:t xml:space="preserve"> at the Treating or Administering hospital or Dispensing Facility for the patient.</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The Dispenser searches for the patient.  As the patient’s authorisation has the same hospital recorded as either the Treating or Administering hospital or the Dispensing Facility as the Dispenser's, the Ig System record can be seen.</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Do you agree?</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86</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118</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111</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7</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42%</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58%</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94%</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6%</w:t>
                  </w:r>
                </w:p>
              </w:tc>
            </w:tr>
          </w:tbl>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Remarks</w:t>
            </w:r>
          </w:p>
          <w:p w:rsidR="00350B62" w:rsidRPr="00487585" w:rsidRDefault="00B86771" w:rsidP="009617EB">
            <w:pPr>
              <w:spacing w:after="0" w:line="240" w:lineRule="auto"/>
              <w:rPr>
                <w:rFonts w:asciiTheme="minorHAnsi" w:eastAsia="Times New Roman" w:hAnsiTheme="minorHAnsi" w:cs="Microsoft Sans Serif"/>
                <w:bCs/>
                <w:lang w:eastAsia="en-AU"/>
              </w:rPr>
            </w:pPr>
            <w:r>
              <w:rPr>
                <w:rFonts w:asciiTheme="minorHAnsi" w:eastAsia="Times New Roman" w:hAnsiTheme="minorHAnsi" w:cs="Microsoft Sans Serif"/>
                <w:bCs/>
                <w:lang w:eastAsia="en-AU"/>
              </w:rPr>
              <w:t>9</w:t>
            </w:r>
            <w:r w:rsidRPr="00487585">
              <w:rPr>
                <w:rFonts w:asciiTheme="minorHAnsi" w:eastAsia="Times New Roman" w:hAnsiTheme="minorHAnsi" w:cs="Microsoft Sans Serif"/>
                <w:bCs/>
                <w:lang w:eastAsia="en-AU"/>
              </w:rPr>
              <w:t>4</w:t>
            </w:r>
            <w:r w:rsidR="00350B62" w:rsidRPr="00487585">
              <w:rPr>
                <w:rFonts w:asciiTheme="minorHAnsi" w:eastAsia="Times New Roman" w:hAnsiTheme="minorHAnsi" w:cs="Microsoft Sans Serif"/>
                <w:bCs/>
                <w:lang w:eastAsia="en-AU"/>
              </w:rPr>
              <w:t>% of respondents answer</w:t>
            </w:r>
            <w:r>
              <w:rPr>
                <w:rFonts w:asciiTheme="minorHAnsi" w:eastAsia="Times New Roman" w:hAnsiTheme="minorHAnsi" w:cs="Microsoft Sans Serif"/>
                <w:bCs/>
                <w:lang w:eastAsia="en-AU"/>
              </w:rPr>
              <w:t>ing the quested respond</w:t>
            </w:r>
            <w:r w:rsidR="00350B62" w:rsidRPr="00487585">
              <w:rPr>
                <w:rFonts w:asciiTheme="minorHAnsi" w:eastAsia="Times New Roman" w:hAnsiTheme="minorHAnsi" w:cs="Microsoft Sans Serif"/>
                <w:bCs/>
                <w:lang w:eastAsia="en-AU"/>
              </w:rPr>
              <w:t>ed</w:t>
            </w:r>
            <w:r>
              <w:rPr>
                <w:rFonts w:asciiTheme="minorHAnsi" w:eastAsia="Times New Roman" w:hAnsiTheme="minorHAnsi" w:cs="Microsoft Sans Serif"/>
                <w:bCs/>
                <w:lang w:eastAsia="en-AU"/>
              </w:rPr>
              <w:t xml:space="preserve"> </w:t>
            </w:r>
            <w:r w:rsidR="00350B62" w:rsidRPr="00487585">
              <w:rPr>
                <w:rFonts w:asciiTheme="minorHAnsi" w:eastAsia="Times New Roman" w:hAnsiTheme="minorHAnsi" w:cs="Microsoft Sans Serif"/>
                <w:bCs/>
                <w:lang w:eastAsia="en-AU"/>
              </w:rPr>
              <w:t>‘Yes’, however the high proportion of skipped responses indicates that those who responded agreed that Dispensers must have access to the patient record.</w:t>
            </w:r>
          </w:p>
          <w:p w:rsidR="00350B62" w:rsidRPr="00487585" w:rsidRDefault="00350B62" w:rsidP="009617EB">
            <w:pPr>
              <w:spacing w:after="0" w:line="240" w:lineRule="auto"/>
              <w:rPr>
                <w:rFonts w:asciiTheme="minorHAnsi" w:eastAsia="Times New Roman" w:hAnsiTheme="minorHAnsi" w:cs="Microsoft Sans Serif"/>
                <w:b/>
                <w:bCs/>
                <w:lang w:eastAsia="en-AU"/>
              </w:rPr>
            </w:pP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22</w:t>
            </w:r>
          </w:p>
        </w:tc>
        <w:tc>
          <w:tcPr>
            <w:tcW w:w="7655" w:type="dxa"/>
            <w:tcBorders>
              <w:top w:val="nil"/>
              <w:left w:val="nil"/>
              <w:bottom w:val="single" w:sz="4" w:space="0" w:color="808080"/>
              <w:right w:val="single" w:sz="4" w:space="0" w:color="808080"/>
            </w:tcBorders>
            <w:shd w:val="clear" w:color="auto" w:fill="auto"/>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lang w:eastAsia="en-AU"/>
              </w:rPr>
              <w:t>Searching for a patient – Dispenser</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bCs/>
                <w:lang w:eastAsia="en-AU"/>
              </w:rPr>
              <w:t>SCENARIO:</w:t>
            </w:r>
            <w:r w:rsidRPr="00487585">
              <w:rPr>
                <w:rFonts w:asciiTheme="minorHAnsi" w:eastAsia="Times New Roman" w:hAnsiTheme="minorHAnsi" w:cs="Microsoft Sans Serif"/>
                <w:lang w:eastAsia="en-AU"/>
              </w:rPr>
              <w:t xml:space="preserve"> Patient currently receiving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 Dispenser – Different Hospital – Same State</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 xml:space="preserve">A patient presents for treatment where the Treating or Administering hospital or the Dispensing Facility is NOT the same as the hospital/facility where the Dispenser is logged on at but is in the same State. </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When searching, should the Dispenser be able to see the patient's 'Ig System record'?</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87</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117</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91</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26</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43%</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57%</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78%</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22%</w:t>
                  </w:r>
                </w:p>
              </w:tc>
            </w:tr>
          </w:tbl>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Remarks</w:t>
            </w:r>
          </w:p>
          <w:p w:rsidR="00B86771" w:rsidRPr="00487585" w:rsidRDefault="00B86771" w:rsidP="00B86771">
            <w:pPr>
              <w:spacing w:after="0" w:line="240" w:lineRule="auto"/>
              <w:rPr>
                <w:rFonts w:asciiTheme="minorHAnsi" w:eastAsia="Times New Roman" w:hAnsiTheme="minorHAnsi" w:cs="Microsoft Sans Serif"/>
                <w:bCs/>
                <w:lang w:eastAsia="en-AU"/>
              </w:rPr>
            </w:pPr>
            <w:r>
              <w:rPr>
                <w:rFonts w:asciiTheme="minorHAnsi" w:eastAsia="Times New Roman" w:hAnsiTheme="minorHAnsi" w:cs="Microsoft Sans Serif"/>
                <w:bCs/>
                <w:lang w:eastAsia="en-AU"/>
              </w:rPr>
              <w:t>98</w:t>
            </w:r>
            <w:r w:rsidRPr="00487585">
              <w:rPr>
                <w:rFonts w:asciiTheme="minorHAnsi" w:eastAsia="Times New Roman" w:hAnsiTheme="minorHAnsi" w:cs="Microsoft Sans Serif"/>
                <w:bCs/>
                <w:lang w:eastAsia="en-AU"/>
              </w:rPr>
              <w:t>% of respondents answer</w:t>
            </w:r>
            <w:r>
              <w:rPr>
                <w:rFonts w:asciiTheme="minorHAnsi" w:eastAsia="Times New Roman" w:hAnsiTheme="minorHAnsi" w:cs="Microsoft Sans Serif"/>
                <w:bCs/>
                <w:lang w:eastAsia="en-AU"/>
              </w:rPr>
              <w:t>ing the quested respond</w:t>
            </w:r>
            <w:r w:rsidRPr="00487585">
              <w:rPr>
                <w:rFonts w:asciiTheme="minorHAnsi" w:eastAsia="Times New Roman" w:hAnsiTheme="minorHAnsi" w:cs="Microsoft Sans Serif"/>
                <w:bCs/>
                <w:lang w:eastAsia="en-AU"/>
              </w:rPr>
              <w:t>ed</w:t>
            </w:r>
            <w:r>
              <w:rPr>
                <w:rFonts w:asciiTheme="minorHAnsi" w:eastAsia="Times New Roman" w:hAnsiTheme="minorHAnsi" w:cs="Microsoft Sans Serif"/>
                <w:bCs/>
                <w:lang w:eastAsia="en-AU"/>
              </w:rPr>
              <w:t xml:space="preserve"> </w:t>
            </w:r>
            <w:r w:rsidRPr="00487585">
              <w:rPr>
                <w:rFonts w:asciiTheme="minorHAnsi" w:eastAsia="Times New Roman" w:hAnsiTheme="minorHAnsi" w:cs="Microsoft Sans Serif"/>
                <w:bCs/>
                <w:lang w:eastAsia="en-AU"/>
              </w:rPr>
              <w:t>‘Yes’, however the high proportion of skipped responses indicates that those who responded agreed that Dispensers must have access to the patient record.</w:t>
            </w:r>
          </w:p>
          <w:p w:rsidR="00350B62" w:rsidRPr="00487585" w:rsidRDefault="00350B62" w:rsidP="009617EB">
            <w:pPr>
              <w:spacing w:after="0" w:line="240" w:lineRule="auto"/>
              <w:rPr>
                <w:rFonts w:asciiTheme="minorHAnsi" w:eastAsia="Times New Roman" w:hAnsiTheme="minorHAnsi" w:cs="Microsoft Sans Serif"/>
                <w:b/>
                <w:bCs/>
                <w:lang w:eastAsia="en-AU"/>
              </w:rPr>
            </w:pP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hideMark/>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lastRenderedPageBreak/>
              <w:t>23</w:t>
            </w:r>
          </w:p>
        </w:tc>
        <w:tc>
          <w:tcPr>
            <w:tcW w:w="7655" w:type="dxa"/>
            <w:tcBorders>
              <w:top w:val="nil"/>
              <w:left w:val="nil"/>
              <w:bottom w:val="single" w:sz="4" w:space="0" w:color="808080"/>
              <w:right w:val="single" w:sz="4" w:space="0" w:color="808080"/>
            </w:tcBorders>
            <w:shd w:val="clear" w:color="auto" w:fill="auto"/>
            <w:hideMark/>
          </w:tcPr>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lang w:eastAsia="en-AU"/>
              </w:rPr>
              <w:t>Searching for a patient – Dispenser</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b/>
                <w:bCs/>
                <w:lang w:eastAsia="en-AU"/>
              </w:rPr>
              <w:t>SCENARIO:</w:t>
            </w:r>
            <w:r w:rsidRPr="00487585">
              <w:rPr>
                <w:rFonts w:asciiTheme="minorHAnsi" w:eastAsia="Times New Roman" w:hAnsiTheme="minorHAnsi" w:cs="Microsoft Sans Serif"/>
                <w:lang w:eastAsia="en-AU"/>
              </w:rPr>
              <w:t xml:space="preserve"> Patient currently receiving </w:t>
            </w:r>
            <w:proofErr w:type="spellStart"/>
            <w:r w:rsidRPr="00487585">
              <w:rPr>
                <w:rFonts w:asciiTheme="minorHAnsi" w:eastAsia="Times New Roman" w:hAnsiTheme="minorHAnsi" w:cs="Microsoft Sans Serif"/>
                <w:lang w:eastAsia="en-AU"/>
              </w:rPr>
              <w:t>IVIg</w:t>
            </w:r>
            <w:proofErr w:type="spellEnd"/>
            <w:r w:rsidRPr="00487585">
              <w:rPr>
                <w:rFonts w:asciiTheme="minorHAnsi" w:eastAsia="Times New Roman" w:hAnsiTheme="minorHAnsi" w:cs="Microsoft Sans Serif"/>
                <w:lang w:eastAsia="en-AU"/>
              </w:rPr>
              <w:t>/</w:t>
            </w:r>
            <w:proofErr w:type="spellStart"/>
            <w:r w:rsidRPr="00487585">
              <w:rPr>
                <w:rFonts w:asciiTheme="minorHAnsi" w:eastAsia="Times New Roman" w:hAnsiTheme="minorHAnsi" w:cs="Microsoft Sans Serif"/>
                <w:lang w:eastAsia="en-AU"/>
              </w:rPr>
              <w:t>SCIg</w:t>
            </w:r>
            <w:proofErr w:type="spellEnd"/>
            <w:r w:rsidRPr="00487585">
              <w:rPr>
                <w:rFonts w:asciiTheme="minorHAnsi" w:eastAsia="Times New Roman" w:hAnsiTheme="minorHAnsi" w:cs="Microsoft Sans Serif"/>
                <w:lang w:eastAsia="en-AU"/>
              </w:rPr>
              <w:t xml:space="preserve"> – Dispenser – Different Hospital – Different State</w:t>
            </w:r>
            <w:r w:rsidRPr="00487585">
              <w:rPr>
                <w:rFonts w:asciiTheme="minorHAnsi" w:eastAsia="Times New Roman" w:hAnsiTheme="minorHAnsi" w:cs="Microsoft Sans Serif"/>
                <w:lang w:eastAsia="en-AU"/>
              </w:rPr>
              <w:br/>
            </w:r>
            <w:r w:rsidRPr="00487585">
              <w:rPr>
                <w:rFonts w:asciiTheme="minorHAnsi" w:eastAsia="Times New Roman" w:hAnsiTheme="minorHAnsi" w:cs="Microsoft Sans Serif"/>
                <w:lang w:eastAsia="en-AU"/>
              </w:rPr>
              <w:br/>
              <w:t xml:space="preserve">A patient presents for treatment where the Treating or Administering hospital or the Dispensing Facility is NOT the same as the hospital/facility where the Dispenser is logged on at and NOT in the same State (Grey Nomad Scenario). </w:t>
            </w:r>
          </w:p>
          <w:p w:rsidR="00350B62" w:rsidRPr="00487585" w:rsidRDefault="00350B62" w:rsidP="009617EB">
            <w:pPr>
              <w:spacing w:after="0" w:line="240" w:lineRule="auto"/>
              <w:rPr>
                <w:rFonts w:asciiTheme="minorHAnsi" w:eastAsia="Times New Roman" w:hAnsiTheme="minorHAnsi" w:cs="Microsoft Sans Serif"/>
                <w:lang w:eastAsia="en-AU"/>
              </w:rPr>
            </w:pPr>
          </w:p>
          <w:p w:rsidR="00350B62" w:rsidRPr="00487585" w:rsidRDefault="00350B62" w:rsidP="009617EB">
            <w:pPr>
              <w:spacing w:after="0" w:line="240" w:lineRule="auto"/>
              <w:rPr>
                <w:rFonts w:asciiTheme="minorHAnsi" w:eastAsia="Times New Roman" w:hAnsiTheme="minorHAnsi" w:cs="Microsoft Sans Serif"/>
                <w:lang w:eastAsia="en-AU"/>
              </w:rPr>
            </w:pPr>
            <w:r w:rsidRPr="00487585">
              <w:rPr>
                <w:rFonts w:asciiTheme="minorHAnsi" w:eastAsia="Times New Roman" w:hAnsiTheme="minorHAnsi" w:cs="Microsoft Sans Serif"/>
                <w:lang w:eastAsia="en-AU"/>
              </w:rPr>
              <w:t>When searching, should the Dispenser be able to see the patient's 'Ig System record'?</w:t>
            </w:r>
          </w:p>
        </w:tc>
      </w:tr>
      <w:tr w:rsidR="00350B62" w:rsidRPr="00487585" w:rsidTr="00350B62">
        <w:trPr>
          <w:trHeight w:val="1020"/>
        </w:trPr>
        <w:tc>
          <w:tcPr>
            <w:tcW w:w="1149" w:type="dxa"/>
            <w:tcBorders>
              <w:top w:val="nil"/>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nil"/>
              <w:left w:val="nil"/>
              <w:bottom w:val="single" w:sz="4" w:space="0" w:color="808080"/>
              <w:right w:val="single" w:sz="4" w:space="0" w:color="808080"/>
            </w:tcBorders>
            <w:shd w:val="clear" w:color="auto" w:fill="auto"/>
          </w:tcPr>
          <w:tbl>
            <w:tblPr>
              <w:tblW w:w="4800" w:type="dxa"/>
              <w:tblLook w:val="04A0" w:firstRow="1" w:lastRow="0" w:firstColumn="1" w:lastColumn="0" w:noHBand="0" w:noVBand="1"/>
            </w:tblPr>
            <w:tblGrid>
              <w:gridCol w:w="960"/>
              <w:gridCol w:w="960"/>
              <w:gridCol w:w="1054"/>
              <w:gridCol w:w="960"/>
              <w:gridCol w:w="960"/>
            </w:tblGrid>
            <w:tr w:rsidR="00FC2BA4" w:rsidRPr="00487585" w:rsidTr="009617EB">
              <w:trPr>
                <w:trHeight w:val="255"/>
              </w:trPr>
              <w:tc>
                <w:tcPr>
                  <w:tcW w:w="96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Skipped</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 xml:space="preserve">Answered </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Yes</w:t>
                  </w:r>
                </w:p>
              </w:tc>
              <w:tc>
                <w:tcPr>
                  <w:tcW w:w="96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No</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Count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90</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114</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80</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34</w:t>
                  </w:r>
                </w:p>
              </w:tc>
            </w:tr>
            <w:tr w:rsidR="00FC2BA4" w:rsidRPr="00487585" w:rsidTr="009617EB">
              <w:trPr>
                <w:trHeight w:val="255"/>
              </w:trPr>
              <w:tc>
                <w:tcPr>
                  <w:tcW w:w="96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487585">
                  <w:pPr>
                    <w:spacing w:after="0" w:line="240" w:lineRule="auto"/>
                    <w:jc w:val="center"/>
                    <w:rPr>
                      <w:rFonts w:asciiTheme="minorHAnsi" w:hAnsiTheme="minorHAnsi" w:cs="Microsoft Sans Serif"/>
                      <w:b/>
                      <w:bCs/>
                      <w:sz w:val="20"/>
                      <w:szCs w:val="20"/>
                    </w:rPr>
                  </w:pPr>
                  <w:r w:rsidRPr="00487585">
                    <w:rPr>
                      <w:rFonts w:asciiTheme="minorHAnsi" w:hAnsiTheme="minorHAnsi" w:cs="Microsoft Sans Serif"/>
                      <w:b/>
                      <w:bCs/>
                      <w:sz w:val="20"/>
                      <w:szCs w:val="20"/>
                    </w:rPr>
                    <w:t>%</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44%</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56%</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70%</w:t>
                  </w:r>
                </w:p>
              </w:tc>
              <w:tc>
                <w:tcPr>
                  <w:tcW w:w="960" w:type="dxa"/>
                  <w:tcBorders>
                    <w:top w:val="nil"/>
                    <w:left w:val="nil"/>
                    <w:bottom w:val="single" w:sz="4" w:space="0" w:color="808080"/>
                    <w:right w:val="single" w:sz="4" w:space="0" w:color="808080"/>
                  </w:tcBorders>
                  <w:shd w:val="clear" w:color="auto" w:fill="FFFFFF" w:themeFill="background1"/>
                  <w:noWrap/>
                  <w:vAlign w:val="bottom"/>
                  <w:hideMark/>
                </w:tcPr>
                <w:p w:rsidR="00FC2BA4" w:rsidRPr="00487585" w:rsidRDefault="00FC2BA4" w:rsidP="00487585">
                  <w:pPr>
                    <w:spacing w:after="0" w:line="240" w:lineRule="auto"/>
                    <w:jc w:val="center"/>
                    <w:rPr>
                      <w:rFonts w:asciiTheme="minorHAnsi" w:hAnsiTheme="minorHAnsi" w:cs="Microsoft Sans Serif"/>
                      <w:sz w:val="20"/>
                      <w:szCs w:val="20"/>
                    </w:rPr>
                  </w:pPr>
                  <w:r w:rsidRPr="00487585">
                    <w:rPr>
                      <w:rFonts w:asciiTheme="minorHAnsi" w:hAnsiTheme="minorHAnsi" w:cs="Microsoft Sans Serif"/>
                      <w:sz w:val="20"/>
                      <w:szCs w:val="20"/>
                    </w:rPr>
                    <w:t>30%</w:t>
                  </w:r>
                </w:p>
              </w:tc>
            </w:tr>
          </w:tbl>
          <w:p w:rsidR="00350B62" w:rsidRPr="00487585" w:rsidRDefault="00350B62" w:rsidP="009617EB">
            <w:pPr>
              <w:spacing w:after="0" w:line="240" w:lineRule="auto"/>
              <w:rPr>
                <w:rFonts w:asciiTheme="minorHAnsi" w:eastAsia="Times New Roman" w:hAnsiTheme="minorHAnsi" w:cs="Microsoft Sans Serif"/>
                <w:b/>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Remarks</w:t>
            </w: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 xml:space="preserve">Then number of respondents answering ‘Yes’ dropped to </w:t>
            </w:r>
            <w:r w:rsidR="00B86771">
              <w:rPr>
                <w:rFonts w:asciiTheme="minorHAnsi" w:eastAsia="Times New Roman" w:hAnsiTheme="minorHAnsi" w:cs="Microsoft Sans Serif"/>
                <w:bCs/>
                <w:lang w:eastAsia="en-AU"/>
              </w:rPr>
              <w:t>70</w:t>
            </w:r>
            <w:r w:rsidRPr="00487585">
              <w:rPr>
                <w:rFonts w:asciiTheme="minorHAnsi" w:eastAsia="Times New Roman" w:hAnsiTheme="minorHAnsi" w:cs="Microsoft Sans Serif"/>
                <w:bCs/>
                <w:lang w:eastAsia="en-AU"/>
              </w:rPr>
              <w:t>%, however the high proportion of skipped responses indicates that those who responded agreed that Dispensers must have access to the patient record in order to ensure that the correct dose and product is dispensed.  As with other scenarios where patients are travelling, comments indicate that patients are likely to experience delays in receiving treatment if dispensers don’t have access to the information.</w:t>
            </w:r>
          </w:p>
          <w:p w:rsidR="00350B62" w:rsidRPr="00487585" w:rsidRDefault="00350B62" w:rsidP="009617EB">
            <w:pPr>
              <w:spacing w:after="0" w:line="240" w:lineRule="auto"/>
              <w:rPr>
                <w:rFonts w:asciiTheme="minorHAnsi" w:eastAsia="Times New Roman" w:hAnsiTheme="minorHAnsi" w:cs="Microsoft Sans Serif"/>
                <w:b/>
                <w:bCs/>
                <w:lang w:eastAsia="en-AU"/>
              </w:rPr>
            </w:pPr>
          </w:p>
        </w:tc>
      </w:tr>
      <w:tr w:rsidR="00350B62" w:rsidRPr="00487585" w:rsidTr="00350B62">
        <w:trPr>
          <w:trHeight w:val="1020"/>
        </w:trPr>
        <w:tc>
          <w:tcPr>
            <w:tcW w:w="1149" w:type="dxa"/>
            <w:tcBorders>
              <w:top w:val="single" w:sz="4" w:space="0" w:color="808080"/>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24</w:t>
            </w:r>
          </w:p>
        </w:tc>
        <w:tc>
          <w:tcPr>
            <w:tcW w:w="7655" w:type="dxa"/>
            <w:tcBorders>
              <w:top w:val="single" w:sz="4" w:space="0" w:color="808080"/>
              <w:left w:val="nil"/>
              <w:bottom w:val="single" w:sz="4" w:space="0" w:color="808080"/>
              <w:right w:val="single" w:sz="4" w:space="0" w:color="808080"/>
            </w:tcBorders>
            <w:shd w:val="clear" w:color="auto" w:fill="auto"/>
          </w:tcPr>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Do you have any other scenarios, privacy (confidentiality or other) or legal concerns that are not covered in the survey that you would like considered in Ig System design?</w:t>
            </w: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Cs/>
                <w:lang w:eastAsia="en-AU"/>
              </w:rPr>
              <w:t>If so, please provide details:</w:t>
            </w:r>
          </w:p>
        </w:tc>
      </w:tr>
      <w:tr w:rsidR="00350B62" w:rsidRPr="00487585" w:rsidTr="00350B62">
        <w:trPr>
          <w:trHeight w:val="1020"/>
        </w:trPr>
        <w:tc>
          <w:tcPr>
            <w:tcW w:w="1149" w:type="dxa"/>
            <w:tcBorders>
              <w:top w:val="single" w:sz="4" w:space="0" w:color="808080"/>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Response</w:t>
            </w:r>
          </w:p>
        </w:tc>
        <w:tc>
          <w:tcPr>
            <w:tcW w:w="7655" w:type="dxa"/>
            <w:tcBorders>
              <w:top w:val="single" w:sz="4" w:space="0" w:color="808080"/>
              <w:left w:val="nil"/>
              <w:bottom w:val="single" w:sz="4" w:space="0" w:color="808080"/>
              <w:right w:val="single" w:sz="4" w:space="0" w:color="808080"/>
            </w:tcBorders>
            <w:shd w:val="clear" w:color="auto" w:fill="auto"/>
          </w:tcPr>
          <w:tbl>
            <w:tblPr>
              <w:tblW w:w="484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80"/>
              <w:gridCol w:w="1020"/>
              <w:gridCol w:w="1106"/>
              <w:gridCol w:w="992"/>
              <w:gridCol w:w="851"/>
            </w:tblGrid>
            <w:tr w:rsidR="00FC2BA4" w:rsidRPr="00487585" w:rsidTr="00487585">
              <w:trPr>
                <w:trHeight w:val="255"/>
              </w:trPr>
              <w:tc>
                <w:tcPr>
                  <w:tcW w:w="880" w:type="dxa"/>
                  <w:shd w:val="clear" w:color="000000" w:fill="FFC000"/>
                  <w:noWrap/>
                  <w:vAlign w:val="bottom"/>
                  <w:hideMark/>
                </w:tcPr>
                <w:p w:rsidR="00FC2BA4" w:rsidRPr="00487585" w:rsidRDefault="00FC2BA4" w:rsidP="00487585">
                  <w:pPr>
                    <w:spacing w:after="0" w:line="240" w:lineRule="auto"/>
                    <w:jc w:val="center"/>
                    <w:rPr>
                      <w:rFonts w:asciiTheme="minorHAnsi" w:eastAsia="Times New Roman" w:hAnsiTheme="minorHAnsi" w:cs="Microsoft Sans Serif"/>
                      <w:b/>
                      <w:bCs/>
                      <w:sz w:val="20"/>
                      <w:szCs w:val="20"/>
                      <w:lang w:eastAsia="en-AU"/>
                    </w:rPr>
                  </w:pPr>
                  <w:r w:rsidRPr="00487585">
                    <w:rPr>
                      <w:rFonts w:asciiTheme="minorHAnsi" w:eastAsia="Times New Roman" w:hAnsiTheme="minorHAnsi" w:cs="Microsoft Sans Serif"/>
                      <w:b/>
                      <w:bCs/>
                      <w:sz w:val="20"/>
                      <w:szCs w:val="20"/>
                      <w:lang w:eastAsia="en-AU"/>
                    </w:rPr>
                    <w:t> </w:t>
                  </w:r>
                </w:p>
              </w:tc>
              <w:tc>
                <w:tcPr>
                  <w:tcW w:w="1020" w:type="dxa"/>
                  <w:shd w:val="clear" w:color="000000" w:fill="FFC000"/>
                  <w:noWrap/>
                  <w:vAlign w:val="bottom"/>
                  <w:hideMark/>
                </w:tcPr>
                <w:p w:rsidR="00FC2BA4" w:rsidRPr="00487585" w:rsidRDefault="00FC2BA4" w:rsidP="00487585">
                  <w:pPr>
                    <w:spacing w:after="0" w:line="240" w:lineRule="auto"/>
                    <w:jc w:val="center"/>
                    <w:rPr>
                      <w:rFonts w:asciiTheme="minorHAnsi" w:eastAsia="Times New Roman" w:hAnsiTheme="minorHAnsi" w:cs="Microsoft Sans Serif"/>
                      <w:b/>
                      <w:bCs/>
                      <w:sz w:val="20"/>
                      <w:szCs w:val="20"/>
                      <w:lang w:eastAsia="en-AU"/>
                    </w:rPr>
                  </w:pPr>
                  <w:r w:rsidRPr="00487585">
                    <w:rPr>
                      <w:rFonts w:asciiTheme="minorHAnsi" w:eastAsia="Times New Roman" w:hAnsiTheme="minorHAnsi" w:cs="Microsoft Sans Serif"/>
                      <w:b/>
                      <w:bCs/>
                      <w:sz w:val="20"/>
                      <w:szCs w:val="20"/>
                      <w:lang w:eastAsia="en-AU"/>
                    </w:rPr>
                    <w:t>Skipped</w:t>
                  </w:r>
                </w:p>
              </w:tc>
              <w:tc>
                <w:tcPr>
                  <w:tcW w:w="1106" w:type="dxa"/>
                  <w:shd w:val="clear" w:color="000000" w:fill="FFC000"/>
                  <w:noWrap/>
                  <w:vAlign w:val="bottom"/>
                  <w:hideMark/>
                </w:tcPr>
                <w:p w:rsidR="00FC2BA4" w:rsidRPr="00487585" w:rsidRDefault="00FC2BA4" w:rsidP="00487585">
                  <w:pPr>
                    <w:spacing w:after="0" w:line="240" w:lineRule="auto"/>
                    <w:jc w:val="center"/>
                    <w:rPr>
                      <w:rFonts w:asciiTheme="minorHAnsi" w:eastAsia="Times New Roman" w:hAnsiTheme="minorHAnsi" w:cs="Microsoft Sans Serif"/>
                      <w:b/>
                      <w:bCs/>
                      <w:sz w:val="20"/>
                      <w:szCs w:val="20"/>
                      <w:lang w:eastAsia="en-AU"/>
                    </w:rPr>
                  </w:pPr>
                  <w:r w:rsidRPr="00487585">
                    <w:rPr>
                      <w:rFonts w:asciiTheme="minorHAnsi" w:eastAsia="Times New Roman" w:hAnsiTheme="minorHAnsi" w:cs="Microsoft Sans Serif"/>
                      <w:b/>
                      <w:bCs/>
                      <w:sz w:val="20"/>
                      <w:szCs w:val="20"/>
                      <w:lang w:eastAsia="en-AU"/>
                    </w:rPr>
                    <w:t xml:space="preserve">Answered </w:t>
                  </w:r>
                </w:p>
              </w:tc>
              <w:tc>
                <w:tcPr>
                  <w:tcW w:w="992" w:type="dxa"/>
                  <w:shd w:val="clear" w:color="000000" w:fill="FFC000"/>
                  <w:noWrap/>
                  <w:vAlign w:val="bottom"/>
                  <w:hideMark/>
                </w:tcPr>
                <w:p w:rsidR="00FC2BA4" w:rsidRPr="00487585" w:rsidRDefault="00FC2BA4" w:rsidP="00487585">
                  <w:pPr>
                    <w:spacing w:after="0" w:line="240" w:lineRule="auto"/>
                    <w:jc w:val="center"/>
                    <w:rPr>
                      <w:rFonts w:asciiTheme="minorHAnsi" w:eastAsia="Times New Roman" w:hAnsiTheme="minorHAnsi" w:cs="Microsoft Sans Serif"/>
                      <w:b/>
                      <w:bCs/>
                      <w:sz w:val="20"/>
                      <w:szCs w:val="20"/>
                      <w:lang w:eastAsia="en-AU"/>
                    </w:rPr>
                  </w:pPr>
                  <w:r w:rsidRPr="00487585">
                    <w:rPr>
                      <w:rFonts w:asciiTheme="minorHAnsi" w:eastAsia="Times New Roman" w:hAnsiTheme="minorHAnsi" w:cs="Microsoft Sans Serif"/>
                      <w:b/>
                      <w:bCs/>
                      <w:sz w:val="20"/>
                      <w:szCs w:val="20"/>
                      <w:lang w:eastAsia="en-AU"/>
                    </w:rPr>
                    <w:t>Yes</w:t>
                  </w:r>
                </w:p>
              </w:tc>
              <w:tc>
                <w:tcPr>
                  <w:tcW w:w="851" w:type="dxa"/>
                  <w:shd w:val="clear" w:color="000000" w:fill="FFC000"/>
                  <w:noWrap/>
                  <w:vAlign w:val="bottom"/>
                  <w:hideMark/>
                </w:tcPr>
                <w:p w:rsidR="00FC2BA4" w:rsidRPr="00487585" w:rsidRDefault="00FC2BA4" w:rsidP="00487585">
                  <w:pPr>
                    <w:spacing w:after="0" w:line="240" w:lineRule="auto"/>
                    <w:jc w:val="center"/>
                    <w:rPr>
                      <w:rFonts w:asciiTheme="minorHAnsi" w:eastAsia="Times New Roman" w:hAnsiTheme="minorHAnsi" w:cs="Microsoft Sans Serif"/>
                      <w:b/>
                      <w:bCs/>
                      <w:sz w:val="20"/>
                      <w:szCs w:val="20"/>
                      <w:lang w:eastAsia="en-AU"/>
                    </w:rPr>
                  </w:pPr>
                  <w:r w:rsidRPr="00487585">
                    <w:rPr>
                      <w:rFonts w:asciiTheme="minorHAnsi" w:eastAsia="Times New Roman" w:hAnsiTheme="minorHAnsi" w:cs="Microsoft Sans Serif"/>
                      <w:b/>
                      <w:bCs/>
                      <w:sz w:val="20"/>
                      <w:szCs w:val="20"/>
                      <w:lang w:eastAsia="en-AU"/>
                    </w:rPr>
                    <w:t>No</w:t>
                  </w:r>
                </w:p>
              </w:tc>
            </w:tr>
            <w:tr w:rsidR="00FC2BA4" w:rsidRPr="00487585" w:rsidTr="00487585">
              <w:trPr>
                <w:trHeight w:val="255"/>
              </w:trPr>
              <w:tc>
                <w:tcPr>
                  <w:tcW w:w="880" w:type="dxa"/>
                  <w:shd w:val="clear" w:color="000000" w:fill="FFC000"/>
                  <w:noWrap/>
                  <w:vAlign w:val="bottom"/>
                  <w:hideMark/>
                </w:tcPr>
                <w:p w:rsidR="00FC2BA4" w:rsidRPr="00487585" w:rsidRDefault="00FC2BA4" w:rsidP="00487585">
                  <w:pPr>
                    <w:spacing w:after="0" w:line="240" w:lineRule="auto"/>
                    <w:jc w:val="center"/>
                    <w:rPr>
                      <w:rFonts w:asciiTheme="minorHAnsi" w:eastAsia="Times New Roman" w:hAnsiTheme="minorHAnsi" w:cs="Microsoft Sans Serif"/>
                      <w:b/>
                      <w:bCs/>
                      <w:sz w:val="20"/>
                      <w:szCs w:val="20"/>
                      <w:lang w:eastAsia="en-AU"/>
                    </w:rPr>
                  </w:pPr>
                  <w:r w:rsidRPr="00487585">
                    <w:rPr>
                      <w:rFonts w:asciiTheme="minorHAnsi" w:eastAsia="Times New Roman" w:hAnsiTheme="minorHAnsi" w:cs="Microsoft Sans Serif"/>
                      <w:b/>
                      <w:bCs/>
                      <w:sz w:val="20"/>
                      <w:szCs w:val="20"/>
                      <w:lang w:eastAsia="en-AU"/>
                    </w:rPr>
                    <w:t>Count</w:t>
                  </w:r>
                </w:p>
              </w:tc>
              <w:tc>
                <w:tcPr>
                  <w:tcW w:w="1020" w:type="dxa"/>
                  <w:shd w:val="clear" w:color="auto" w:fill="auto"/>
                  <w:noWrap/>
                  <w:vAlign w:val="bottom"/>
                  <w:hideMark/>
                </w:tcPr>
                <w:p w:rsidR="00FC2BA4" w:rsidRPr="00487585" w:rsidRDefault="00FC2BA4" w:rsidP="00487585">
                  <w:pPr>
                    <w:spacing w:after="0" w:line="240" w:lineRule="auto"/>
                    <w:jc w:val="center"/>
                    <w:rPr>
                      <w:rFonts w:asciiTheme="minorHAnsi" w:eastAsia="Times New Roman" w:hAnsiTheme="minorHAnsi" w:cs="Microsoft Sans Serif"/>
                      <w:sz w:val="20"/>
                      <w:szCs w:val="20"/>
                      <w:lang w:eastAsia="en-AU"/>
                    </w:rPr>
                  </w:pPr>
                  <w:r w:rsidRPr="00487585">
                    <w:rPr>
                      <w:rFonts w:asciiTheme="minorHAnsi" w:eastAsia="Times New Roman" w:hAnsiTheme="minorHAnsi" w:cs="Microsoft Sans Serif"/>
                      <w:sz w:val="20"/>
                      <w:szCs w:val="20"/>
                      <w:lang w:eastAsia="en-AU"/>
                    </w:rPr>
                    <w:t>172</w:t>
                  </w:r>
                </w:p>
              </w:tc>
              <w:tc>
                <w:tcPr>
                  <w:tcW w:w="1106" w:type="dxa"/>
                  <w:shd w:val="clear" w:color="auto" w:fill="auto"/>
                  <w:noWrap/>
                  <w:vAlign w:val="bottom"/>
                  <w:hideMark/>
                </w:tcPr>
                <w:p w:rsidR="00FC2BA4" w:rsidRPr="00487585" w:rsidRDefault="00FC2BA4" w:rsidP="00487585">
                  <w:pPr>
                    <w:spacing w:after="0" w:line="240" w:lineRule="auto"/>
                    <w:jc w:val="center"/>
                    <w:rPr>
                      <w:rFonts w:asciiTheme="minorHAnsi" w:eastAsia="Times New Roman" w:hAnsiTheme="minorHAnsi" w:cs="Microsoft Sans Serif"/>
                      <w:sz w:val="20"/>
                      <w:szCs w:val="20"/>
                      <w:lang w:eastAsia="en-AU"/>
                    </w:rPr>
                  </w:pPr>
                  <w:r w:rsidRPr="00487585">
                    <w:rPr>
                      <w:rFonts w:asciiTheme="minorHAnsi" w:eastAsia="Times New Roman" w:hAnsiTheme="minorHAnsi" w:cs="Microsoft Sans Serif"/>
                      <w:sz w:val="20"/>
                      <w:szCs w:val="20"/>
                      <w:lang w:eastAsia="en-AU"/>
                    </w:rPr>
                    <w:t>32</w:t>
                  </w:r>
                </w:p>
              </w:tc>
              <w:tc>
                <w:tcPr>
                  <w:tcW w:w="992" w:type="dxa"/>
                  <w:shd w:val="clear" w:color="auto" w:fill="auto"/>
                  <w:noWrap/>
                  <w:vAlign w:val="bottom"/>
                  <w:hideMark/>
                </w:tcPr>
                <w:p w:rsidR="00FC2BA4" w:rsidRPr="00487585" w:rsidRDefault="00FC2BA4" w:rsidP="00487585">
                  <w:pPr>
                    <w:spacing w:after="0" w:line="240" w:lineRule="auto"/>
                    <w:jc w:val="center"/>
                    <w:rPr>
                      <w:rFonts w:asciiTheme="minorHAnsi" w:eastAsia="Times New Roman" w:hAnsiTheme="minorHAnsi" w:cs="Microsoft Sans Serif"/>
                      <w:sz w:val="20"/>
                      <w:szCs w:val="20"/>
                      <w:lang w:eastAsia="en-AU"/>
                    </w:rPr>
                  </w:pPr>
                  <w:r w:rsidRPr="00487585">
                    <w:rPr>
                      <w:rFonts w:asciiTheme="minorHAnsi" w:eastAsia="Times New Roman" w:hAnsiTheme="minorHAnsi" w:cs="Microsoft Sans Serif"/>
                      <w:sz w:val="20"/>
                      <w:szCs w:val="20"/>
                      <w:lang w:eastAsia="en-AU"/>
                    </w:rPr>
                    <w:t>32</w:t>
                  </w:r>
                </w:p>
              </w:tc>
              <w:tc>
                <w:tcPr>
                  <w:tcW w:w="851" w:type="dxa"/>
                  <w:shd w:val="clear" w:color="auto" w:fill="auto"/>
                  <w:noWrap/>
                  <w:vAlign w:val="bottom"/>
                  <w:hideMark/>
                </w:tcPr>
                <w:p w:rsidR="00FC2BA4" w:rsidRPr="00487585" w:rsidRDefault="00FC2BA4" w:rsidP="00487585">
                  <w:pPr>
                    <w:spacing w:after="0" w:line="240" w:lineRule="auto"/>
                    <w:jc w:val="center"/>
                    <w:rPr>
                      <w:rFonts w:asciiTheme="minorHAnsi" w:eastAsia="Times New Roman" w:hAnsiTheme="minorHAnsi" w:cs="Microsoft Sans Serif"/>
                      <w:sz w:val="20"/>
                      <w:szCs w:val="20"/>
                      <w:lang w:eastAsia="en-AU"/>
                    </w:rPr>
                  </w:pPr>
                  <w:r w:rsidRPr="00487585">
                    <w:rPr>
                      <w:rFonts w:asciiTheme="minorHAnsi" w:eastAsia="Times New Roman" w:hAnsiTheme="minorHAnsi" w:cs="Microsoft Sans Serif"/>
                      <w:sz w:val="20"/>
                      <w:szCs w:val="20"/>
                      <w:lang w:eastAsia="en-AU"/>
                    </w:rPr>
                    <w:t>0</w:t>
                  </w:r>
                </w:p>
              </w:tc>
            </w:tr>
            <w:tr w:rsidR="00FC2BA4" w:rsidRPr="00487585" w:rsidTr="00487585">
              <w:trPr>
                <w:trHeight w:val="255"/>
              </w:trPr>
              <w:tc>
                <w:tcPr>
                  <w:tcW w:w="880" w:type="dxa"/>
                  <w:shd w:val="clear" w:color="000000" w:fill="FFC000"/>
                  <w:noWrap/>
                  <w:vAlign w:val="bottom"/>
                  <w:hideMark/>
                </w:tcPr>
                <w:p w:rsidR="00FC2BA4" w:rsidRPr="00487585" w:rsidRDefault="00FC2BA4" w:rsidP="00487585">
                  <w:pPr>
                    <w:spacing w:after="0" w:line="240" w:lineRule="auto"/>
                    <w:jc w:val="center"/>
                    <w:rPr>
                      <w:rFonts w:asciiTheme="minorHAnsi" w:eastAsia="Times New Roman" w:hAnsiTheme="minorHAnsi" w:cs="Microsoft Sans Serif"/>
                      <w:b/>
                      <w:bCs/>
                      <w:sz w:val="20"/>
                      <w:szCs w:val="20"/>
                      <w:lang w:eastAsia="en-AU"/>
                    </w:rPr>
                  </w:pPr>
                  <w:r w:rsidRPr="00487585">
                    <w:rPr>
                      <w:rFonts w:asciiTheme="minorHAnsi" w:eastAsia="Times New Roman" w:hAnsiTheme="minorHAnsi" w:cs="Microsoft Sans Serif"/>
                      <w:b/>
                      <w:bCs/>
                      <w:sz w:val="20"/>
                      <w:szCs w:val="20"/>
                      <w:lang w:eastAsia="en-AU"/>
                    </w:rPr>
                    <w:t>%</w:t>
                  </w:r>
                </w:p>
              </w:tc>
              <w:tc>
                <w:tcPr>
                  <w:tcW w:w="1020" w:type="dxa"/>
                  <w:shd w:val="clear" w:color="auto" w:fill="auto"/>
                  <w:noWrap/>
                  <w:vAlign w:val="bottom"/>
                  <w:hideMark/>
                </w:tcPr>
                <w:p w:rsidR="00FC2BA4" w:rsidRPr="00487585" w:rsidRDefault="00FC2BA4" w:rsidP="00487585">
                  <w:pPr>
                    <w:spacing w:after="0" w:line="240" w:lineRule="auto"/>
                    <w:jc w:val="center"/>
                    <w:rPr>
                      <w:rFonts w:asciiTheme="minorHAnsi" w:eastAsia="Times New Roman" w:hAnsiTheme="minorHAnsi" w:cs="Microsoft Sans Serif"/>
                      <w:sz w:val="20"/>
                      <w:szCs w:val="20"/>
                      <w:lang w:eastAsia="en-AU"/>
                    </w:rPr>
                  </w:pPr>
                  <w:r w:rsidRPr="00487585">
                    <w:rPr>
                      <w:rFonts w:asciiTheme="minorHAnsi" w:eastAsia="Times New Roman" w:hAnsiTheme="minorHAnsi" w:cs="Microsoft Sans Serif"/>
                      <w:sz w:val="20"/>
                      <w:szCs w:val="20"/>
                      <w:lang w:eastAsia="en-AU"/>
                    </w:rPr>
                    <w:t>84%</w:t>
                  </w:r>
                </w:p>
              </w:tc>
              <w:tc>
                <w:tcPr>
                  <w:tcW w:w="1106" w:type="dxa"/>
                  <w:shd w:val="clear" w:color="auto" w:fill="auto"/>
                  <w:noWrap/>
                  <w:vAlign w:val="bottom"/>
                  <w:hideMark/>
                </w:tcPr>
                <w:p w:rsidR="00FC2BA4" w:rsidRPr="00487585" w:rsidRDefault="00FC2BA4" w:rsidP="00487585">
                  <w:pPr>
                    <w:spacing w:after="0" w:line="240" w:lineRule="auto"/>
                    <w:jc w:val="center"/>
                    <w:rPr>
                      <w:rFonts w:asciiTheme="minorHAnsi" w:eastAsia="Times New Roman" w:hAnsiTheme="minorHAnsi" w:cs="Microsoft Sans Serif"/>
                      <w:sz w:val="20"/>
                      <w:szCs w:val="20"/>
                      <w:lang w:eastAsia="en-AU"/>
                    </w:rPr>
                  </w:pPr>
                  <w:r w:rsidRPr="00487585">
                    <w:rPr>
                      <w:rFonts w:asciiTheme="minorHAnsi" w:eastAsia="Times New Roman" w:hAnsiTheme="minorHAnsi" w:cs="Microsoft Sans Serif"/>
                      <w:sz w:val="20"/>
                      <w:szCs w:val="20"/>
                      <w:lang w:eastAsia="en-AU"/>
                    </w:rPr>
                    <w:t>16%</w:t>
                  </w:r>
                </w:p>
              </w:tc>
              <w:tc>
                <w:tcPr>
                  <w:tcW w:w="992" w:type="dxa"/>
                  <w:shd w:val="clear" w:color="auto" w:fill="auto"/>
                  <w:noWrap/>
                  <w:vAlign w:val="bottom"/>
                  <w:hideMark/>
                </w:tcPr>
                <w:p w:rsidR="00FC2BA4" w:rsidRPr="00487585" w:rsidRDefault="00FC2BA4" w:rsidP="00487585">
                  <w:pPr>
                    <w:spacing w:after="0" w:line="240" w:lineRule="auto"/>
                    <w:jc w:val="center"/>
                    <w:rPr>
                      <w:rFonts w:asciiTheme="minorHAnsi" w:eastAsia="Times New Roman" w:hAnsiTheme="minorHAnsi" w:cs="Microsoft Sans Serif"/>
                      <w:sz w:val="20"/>
                      <w:szCs w:val="20"/>
                      <w:lang w:eastAsia="en-AU"/>
                    </w:rPr>
                  </w:pPr>
                  <w:r w:rsidRPr="00487585">
                    <w:rPr>
                      <w:rFonts w:asciiTheme="minorHAnsi" w:eastAsia="Times New Roman" w:hAnsiTheme="minorHAnsi" w:cs="Microsoft Sans Serif"/>
                      <w:sz w:val="20"/>
                      <w:szCs w:val="20"/>
                      <w:lang w:eastAsia="en-AU"/>
                    </w:rPr>
                    <w:t>100%</w:t>
                  </w:r>
                </w:p>
              </w:tc>
              <w:tc>
                <w:tcPr>
                  <w:tcW w:w="851" w:type="dxa"/>
                  <w:shd w:val="clear" w:color="auto" w:fill="auto"/>
                  <w:noWrap/>
                  <w:vAlign w:val="bottom"/>
                  <w:hideMark/>
                </w:tcPr>
                <w:p w:rsidR="00FC2BA4" w:rsidRPr="00487585" w:rsidRDefault="00FC2BA4" w:rsidP="00487585">
                  <w:pPr>
                    <w:spacing w:after="0" w:line="240" w:lineRule="auto"/>
                    <w:jc w:val="center"/>
                    <w:rPr>
                      <w:rFonts w:asciiTheme="minorHAnsi" w:eastAsia="Times New Roman" w:hAnsiTheme="minorHAnsi" w:cs="Microsoft Sans Serif"/>
                      <w:sz w:val="20"/>
                      <w:szCs w:val="20"/>
                      <w:lang w:eastAsia="en-AU"/>
                    </w:rPr>
                  </w:pPr>
                  <w:r w:rsidRPr="00487585">
                    <w:rPr>
                      <w:rFonts w:asciiTheme="minorHAnsi" w:eastAsia="Times New Roman" w:hAnsiTheme="minorHAnsi" w:cs="Microsoft Sans Serif"/>
                      <w:sz w:val="20"/>
                      <w:szCs w:val="20"/>
                      <w:lang w:eastAsia="en-AU"/>
                    </w:rPr>
                    <w:t>0%</w:t>
                  </w:r>
                </w:p>
              </w:tc>
            </w:tr>
          </w:tbl>
          <w:p w:rsidR="00350B62" w:rsidRPr="00487585" w:rsidRDefault="00350B62" w:rsidP="009617EB">
            <w:pPr>
              <w:spacing w:after="0" w:line="240" w:lineRule="auto"/>
              <w:rPr>
                <w:rFonts w:asciiTheme="minorHAnsi" w:eastAsia="Times New Roman" w:hAnsiTheme="minorHAnsi" w:cs="Microsoft Sans Serif"/>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Remarks</w:t>
            </w:r>
          </w:p>
          <w:p w:rsidR="00350B62" w:rsidRPr="00487585" w:rsidRDefault="00350B62" w:rsidP="009617EB">
            <w:pPr>
              <w:rPr>
                <w:rFonts w:asciiTheme="minorHAnsi" w:hAnsiTheme="minorHAnsi"/>
              </w:rPr>
            </w:pPr>
            <w:r w:rsidRPr="00487585">
              <w:rPr>
                <w:rFonts w:asciiTheme="minorHAnsi" w:hAnsiTheme="minorHAnsi"/>
              </w:rPr>
              <w:t xml:space="preserve">When asked whether any other scenarios or topics not covered in the survey should be considered system design only 13% of respondents made a comment. </w:t>
            </w:r>
          </w:p>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hAnsiTheme="minorHAnsi"/>
              </w:rPr>
              <w:t xml:space="preserve">The themes raised in the comments are related to a patient’s access to </w:t>
            </w:r>
            <w:proofErr w:type="spellStart"/>
            <w:r w:rsidRPr="00487585">
              <w:rPr>
                <w:rFonts w:asciiTheme="minorHAnsi" w:hAnsiTheme="minorHAnsi"/>
              </w:rPr>
              <w:t>IVIg</w:t>
            </w:r>
            <w:proofErr w:type="spellEnd"/>
            <w:r w:rsidRPr="00487585">
              <w:rPr>
                <w:rFonts w:asciiTheme="minorHAnsi" w:hAnsiTheme="minorHAnsi"/>
              </w:rPr>
              <w:t xml:space="preserve"> including alternative avenues, privacy, ethics and legal aspects.  The content of the Privacy Impact Assessment Report addresses the legal aspects </w:t>
            </w:r>
            <w:r w:rsidR="00487585" w:rsidRPr="00487585">
              <w:rPr>
                <w:rFonts w:asciiTheme="minorHAnsi" w:hAnsiTheme="minorHAnsi"/>
              </w:rPr>
              <w:t xml:space="preserve">of these concerns </w:t>
            </w:r>
            <w:r w:rsidRPr="00487585">
              <w:rPr>
                <w:rFonts w:asciiTheme="minorHAnsi" w:hAnsiTheme="minorHAnsi"/>
              </w:rPr>
              <w:t>by detailing the</w:t>
            </w:r>
            <w:r w:rsidR="00487585" w:rsidRPr="00487585">
              <w:rPr>
                <w:rFonts w:asciiTheme="minorHAnsi" w:hAnsiTheme="minorHAnsi"/>
              </w:rPr>
              <w:t xml:space="preserve"> content of the</w:t>
            </w:r>
            <w:r w:rsidRPr="00487585">
              <w:rPr>
                <w:rFonts w:asciiTheme="minorHAnsi" w:hAnsiTheme="minorHAnsi"/>
              </w:rPr>
              <w:t xml:space="preserve"> privacy collection notice, consent declarations and user terms and conditions.  Had these documents been available to survey respondents it is likely their concerns would have been </w:t>
            </w:r>
            <w:proofErr w:type="gramStart"/>
            <w:r w:rsidRPr="00487585">
              <w:rPr>
                <w:rFonts w:asciiTheme="minorHAnsi" w:hAnsiTheme="minorHAnsi"/>
              </w:rPr>
              <w:t>alleviated.</w:t>
            </w:r>
            <w:proofErr w:type="gramEnd"/>
          </w:p>
        </w:tc>
      </w:tr>
      <w:tr w:rsidR="00350B62" w:rsidRPr="00487585" w:rsidTr="00350B62">
        <w:trPr>
          <w:trHeight w:val="1020"/>
        </w:trPr>
        <w:tc>
          <w:tcPr>
            <w:tcW w:w="1149" w:type="dxa"/>
            <w:tcBorders>
              <w:top w:val="single" w:sz="4" w:space="0" w:color="808080"/>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25</w:t>
            </w:r>
          </w:p>
        </w:tc>
        <w:tc>
          <w:tcPr>
            <w:tcW w:w="7655" w:type="dxa"/>
            <w:tcBorders>
              <w:top w:val="single" w:sz="4" w:space="0" w:color="808080"/>
              <w:left w:val="nil"/>
              <w:bottom w:val="single" w:sz="4" w:space="0" w:color="808080"/>
              <w:right w:val="single" w:sz="4" w:space="0" w:color="808080"/>
            </w:tcBorders>
            <w:shd w:val="clear" w:color="auto" w:fill="auto"/>
          </w:tcPr>
          <w:p w:rsidR="00350B62" w:rsidRPr="00487585" w:rsidRDefault="00350B62" w:rsidP="009617EB">
            <w:p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Your participation in this survey is anonymous however, if you’d prefer to be contacted to provide further comment on this survey or you wold be comfortable with the NBA’s Ig System Development Project Team contacting you to discuss your response, please provide your name and best contact details.</w:t>
            </w:r>
          </w:p>
          <w:p w:rsidR="00350B62" w:rsidRPr="00487585" w:rsidRDefault="00350B62" w:rsidP="00350B62">
            <w:pPr>
              <w:pStyle w:val="ListParagraph"/>
              <w:numPr>
                <w:ilvl w:val="0"/>
                <w:numId w:val="38"/>
              </w:num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Name</w:t>
            </w:r>
          </w:p>
          <w:p w:rsidR="00350B62" w:rsidRPr="00487585" w:rsidRDefault="00350B62" w:rsidP="00350B62">
            <w:pPr>
              <w:pStyle w:val="ListParagraph"/>
              <w:numPr>
                <w:ilvl w:val="0"/>
                <w:numId w:val="38"/>
              </w:num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lastRenderedPageBreak/>
              <w:t>Mobile/Phone</w:t>
            </w:r>
          </w:p>
          <w:p w:rsidR="00350B62" w:rsidRPr="00487585" w:rsidRDefault="00350B62" w:rsidP="00350B62">
            <w:pPr>
              <w:pStyle w:val="ListParagraph"/>
              <w:numPr>
                <w:ilvl w:val="0"/>
                <w:numId w:val="38"/>
              </w:num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Email</w:t>
            </w:r>
          </w:p>
          <w:p w:rsidR="00350B62" w:rsidRPr="00487585" w:rsidRDefault="00350B62" w:rsidP="00350B62">
            <w:pPr>
              <w:pStyle w:val="ListParagraph"/>
              <w:numPr>
                <w:ilvl w:val="0"/>
                <w:numId w:val="38"/>
              </w:numPr>
              <w:spacing w:after="0" w:line="240" w:lineRule="auto"/>
              <w:rPr>
                <w:rFonts w:asciiTheme="minorHAnsi" w:eastAsia="Times New Roman" w:hAnsiTheme="minorHAnsi" w:cs="Microsoft Sans Serif"/>
                <w:bCs/>
                <w:lang w:eastAsia="en-AU"/>
              </w:rPr>
            </w:pPr>
            <w:r w:rsidRPr="00487585">
              <w:rPr>
                <w:rFonts w:asciiTheme="minorHAnsi" w:eastAsia="Times New Roman" w:hAnsiTheme="minorHAnsi" w:cs="Microsoft Sans Serif"/>
                <w:bCs/>
                <w:lang w:eastAsia="en-AU"/>
              </w:rPr>
              <w:t>Specific comment/requirement</w:t>
            </w:r>
          </w:p>
        </w:tc>
      </w:tr>
      <w:tr w:rsidR="00350B62" w:rsidRPr="00487585" w:rsidTr="00350B62">
        <w:trPr>
          <w:trHeight w:val="1020"/>
        </w:trPr>
        <w:tc>
          <w:tcPr>
            <w:tcW w:w="1149" w:type="dxa"/>
            <w:tcBorders>
              <w:top w:val="single" w:sz="4" w:space="0" w:color="808080"/>
              <w:left w:val="single" w:sz="4" w:space="0" w:color="808080"/>
              <w:bottom w:val="single" w:sz="4" w:space="0" w:color="808080"/>
              <w:right w:val="single" w:sz="4" w:space="0" w:color="808080"/>
            </w:tcBorders>
            <w:shd w:val="clear" w:color="000000" w:fill="FFC000"/>
            <w:noWrap/>
          </w:tcPr>
          <w:p w:rsidR="00350B62" w:rsidRPr="00487585" w:rsidRDefault="00350B62" w:rsidP="009617EB">
            <w:pPr>
              <w:spacing w:after="0" w:line="240" w:lineRule="auto"/>
              <w:jc w:val="center"/>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lastRenderedPageBreak/>
              <w:t>Response</w:t>
            </w:r>
          </w:p>
        </w:tc>
        <w:tc>
          <w:tcPr>
            <w:tcW w:w="7655" w:type="dxa"/>
            <w:tcBorders>
              <w:top w:val="single" w:sz="4" w:space="0" w:color="808080"/>
              <w:left w:val="nil"/>
              <w:bottom w:val="single" w:sz="4" w:space="0" w:color="808080"/>
              <w:right w:val="single" w:sz="4" w:space="0" w:color="808080"/>
            </w:tcBorders>
            <w:shd w:val="clear" w:color="auto" w:fill="auto"/>
          </w:tcPr>
          <w:tbl>
            <w:tblPr>
              <w:tblW w:w="4849" w:type="dxa"/>
              <w:tblLook w:val="04A0" w:firstRow="1" w:lastRow="0" w:firstColumn="1" w:lastColumn="0" w:noHBand="0" w:noVBand="1"/>
            </w:tblPr>
            <w:tblGrid>
              <w:gridCol w:w="880"/>
              <w:gridCol w:w="1020"/>
              <w:gridCol w:w="1106"/>
              <w:gridCol w:w="992"/>
              <w:gridCol w:w="851"/>
            </w:tblGrid>
            <w:tr w:rsidR="00FC2BA4" w:rsidRPr="00487585" w:rsidTr="00487585">
              <w:trPr>
                <w:trHeight w:val="255"/>
              </w:trPr>
              <w:tc>
                <w:tcPr>
                  <w:tcW w:w="880" w:type="dxa"/>
                  <w:tcBorders>
                    <w:top w:val="single" w:sz="4" w:space="0" w:color="808080"/>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FC2BA4">
                  <w:pPr>
                    <w:spacing w:after="0" w:line="240" w:lineRule="auto"/>
                    <w:jc w:val="center"/>
                    <w:rPr>
                      <w:rFonts w:asciiTheme="minorHAnsi" w:eastAsia="Times New Roman" w:hAnsiTheme="minorHAnsi" w:cs="Microsoft Sans Serif"/>
                      <w:b/>
                      <w:bCs/>
                      <w:sz w:val="20"/>
                      <w:szCs w:val="20"/>
                      <w:lang w:eastAsia="en-AU"/>
                    </w:rPr>
                  </w:pPr>
                  <w:r w:rsidRPr="00487585">
                    <w:rPr>
                      <w:rFonts w:asciiTheme="minorHAnsi" w:eastAsia="Times New Roman" w:hAnsiTheme="minorHAnsi" w:cs="Microsoft Sans Serif"/>
                      <w:b/>
                      <w:bCs/>
                      <w:sz w:val="20"/>
                      <w:szCs w:val="20"/>
                      <w:lang w:eastAsia="en-AU"/>
                    </w:rPr>
                    <w:t> </w:t>
                  </w:r>
                </w:p>
              </w:tc>
              <w:tc>
                <w:tcPr>
                  <w:tcW w:w="1020"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FC2BA4">
                  <w:pPr>
                    <w:spacing w:after="0" w:line="240" w:lineRule="auto"/>
                    <w:jc w:val="center"/>
                    <w:rPr>
                      <w:rFonts w:asciiTheme="minorHAnsi" w:eastAsia="Times New Roman" w:hAnsiTheme="minorHAnsi" w:cs="Microsoft Sans Serif"/>
                      <w:b/>
                      <w:bCs/>
                      <w:sz w:val="20"/>
                      <w:szCs w:val="20"/>
                      <w:lang w:eastAsia="en-AU"/>
                    </w:rPr>
                  </w:pPr>
                  <w:r w:rsidRPr="00487585">
                    <w:rPr>
                      <w:rFonts w:asciiTheme="minorHAnsi" w:eastAsia="Times New Roman" w:hAnsiTheme="minorHAnsi" w:cs="Microsoft Sans Serif"/>
                      <w:b/>
                      <w:bCs/>
                      <w:sz w:val="20"/>
                      <w:szCs w:val="20"/>
                      <w:lang w:eastAsia="en-AU"/>
                    </w:rPr>
                    <w:t>Skipped</w:t>
                  </w:r>
                </w:p>
              </w:tc>
              <w:tc>
                <w:tcPr>
                  <w:tcW w:w="1106"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FC2BA4">
                  <w:pPr>
                    <w:spacing w:after="0" w:line="240" w:lineRule="auto"/>
                    <w:jc w:val="center"/>
                    <w:rPr>
                      <w:rFonts w:asciiTheme="minorHAnsi" w:eastAsia="Times New Roman" w:hAnsiTheme="minorHAnsi" w:cs="Microsoft Sans Serif"/>
                      <w:b/>
                      <w:bCs/>
                      <w:sz w:val="20"/>
                      <w:szCs w:val="20"/>
                      <w:lang w:eastAsia="en-AU"/>
                    </w:rPr>
                  </w:pPr>
                  <w:r w:rsidRPr="00487585">
                    <w:rPr>
                      <w:rFonts w:asciiTheme="minorHAnsi" w:eastAsia="Times New Roman" w:hAnsiTheme="minorHAnsi" w:cs="Microsoft Sans Serif"/>
                      <w:b/>
                      <w:bCs/>
                      <w:sz w:val="20"/>
                      <w:szCs w:val="20"/>
                      <w:lang w:eastAsia="en-AU"/>
                    </w:rPr>
                    <w:t xml:space="preserve">Answered </w:t>
                  </w:r>
                </w:p>
              </w:tc>
              <w:tc>
                <w:tcPr>
                  <w:tcW w:w="992"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FC2BA4">
                  <w:pPr>
                    <w:spacing w:after="0" w:line="240" w:lineRule="auto"/>
                    <w:jc w:val="center"/>
                    <w:rPr>
                      <w:rFonts w:asciiTheme="minorHAnsi" w:eastAsia="Times New Roman" w:hAnsiTheme="minorHAnsi" w:cs="Microsoft Sans Serif"/>
                      <w:b/>
                      <w:bCs/>
                      <w:sz w:val="20"/>
                      <w:szCs w:val="20"/>
                      <w:lang w:eastAsia="en-AU"/>
                    </w:rPr>
                  </w:pPr>
                  <w:r w:rsidRPr="00487585">
                    <w:rPr>
                      <w:rFonts w:asciiTheme="minorHAnsi" w:eastAsia="Times New Roman" w:hAnsiTheme="minorHAnsi" w:cs="Microsoft Sans Serif"/>
                      <w:b/>
                      <w:bCs/>
                      <w:sz w:val="20"/>
                      <w:szCs w:val="20"/>
                      <w:lang w:eastAsia="en-AU"/>
                    </w:rPr>
                    <w:t>Yes</w:t>
                  </w:r>
                </w:p>
              </w:tc>
              <w:tc>
                <w:tcPr>
                  <w:tcW w:w="851" w:type="dxa"/>
                  <w:tcBorders>
                    <w:top w:val="single" w:sz="4" w:space="0" w:color="808080"/>
                    <w:left w:val="nil"/>
                    <w:bottom w:val="single" w:sz="4" w:space="0" w:color="808080"/>
                    <w:right w:val="single" w:sz="4" w:space="0" w:color="808080"/>
                  </w:tcBorders>
                  <w:shd w:val="clear" w:color="000000" w:fill="FFC000"/>
                  <w:noWrap/>
                  <w:vAlign w:val="bottom"/>
                  <w:hideMark/>
                </w:tcPr>
                <w:p w:rsidR="00FC2BA4" w:rsidRPr="00487585" w:rsidRDefault="00FC2BA4" w:rsidP="00FC2BA4">
                  <w:pPr>
                    <w:spacing w:after="0" w:line="240" w:lineRule="auto"/>
                    <w:jc w:val="center"/>
                    <w:rPr>
                      <w:rFonts w:asciiTheme="minorHAnsi" w:eastAsia="Times New Roman" w:hAnsiTheme="minorHAnsi" w:cs="Microsoft Sans Serif"/>
                      <w:b/>
                      <w:bCs/>
                      <w:sz w:val="20"/>
                      <w:szCs w:val="20"/>
                      <w:lang w:eastAsia="en-AU"/>
                    </w:rPr>
                  </w:pPr>
                  <w:r w:rsidRPr="00487585">
                    <w:rPr>
                      <w:rFonts w:asciiTheme="minorHAnsi" w:eastAsia="Times New Roman" w:hAnsiTheme="minorHAnsi" w:cs="Microsoft Sans Serif"/>
                      <w:b/>
                      <w:bCs/>
                      <w:sz w:val="20"/>
                      <w:szCs w:val="20"/>
                      <w:lang w:eastAsia="en-AU"/>
                    </w:rPr>
                    <w:t>No</w:t>
                  </w:r>
                </w:p>
              </w:tc>
            </w:tr>
            <w:tr w:rsidR="00FC2BA4" w:rsidRPr="00487585" w:rsidTr="00487585">
              <w:trPr>
                <w:trHeight w:val="255"/>
              </w:trPr>
              <w:tc>
                <w:tcPr>
                  <w:tcW w:w="88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FC2BA4">
                  <w:pPr>
                    <w:spacing w:after="0" w:line="240" w:lineRule="auto"/>
                    <w:jc w:val="center"/>
                    <w:rPr>
                      <w:rFonts w:asciiTheme="minorHAnsi" w:eastAsia="Times New Roman" w:hAnsiTheme="minorHAnsi" w:cs="Microsoft Sans Serif"/>
                      <w:b/>
                      <w:bCs/>
                      <w:sz w:val="20"/>
                      <w:szCs w:val="20"/>
                      <w:lang w:eastAsia="en-AU"/>
                    </w:rPr>
                  </w:pPr>
                  <w:r w:rsidRPr="00487585">
                    <w:rPr>
                      <w:rFonts w:asciiTheme="minorHAnsi" w:eastAsia="Times New Roman" w:hAnsiTheme="minorHAnsi" w:cs="Microsoft Sans Serif"/>
                      <w:b/>
                      <w:bCs/>
                      <w:sz w:val="20"/>
                      <w:szCs w:val="20"/>
                      <w:lang w:eastAsia="en-AU"/>
                    </w:rPr>
                    <w:t>Count</w:t>
                  </w:r>
                </w:p>
              </w:tc>
              <w:tc>
                <w:tcPr>
                  <w:tcW w:w="1020" w:type="dxa"/>
                  <w:tcBorders>
                    <w:top w:val="nil"/>
                    <w:left w:val="nil"/>
                    <w:bottom w:val="single" w:sz="4" w:space="0" w:color="808080"/>
                    <w:right w:val="single" w:sz="4" w:space="0" w:color="808080"/>
                  </w:tcBorders>
                  <w:shd w:val="clear" w:color="auto" w:fill="auto"/>
                  <w:noWrap/>
                  <w:vAlign w:val="bottom"/>
                  <w:hideMark/>
                </w:tcPr>
                <w:p w:rsidR="00FC2BA4" w:rsidRPr="00487585" w:rsidRDefault="00FC2BA4" w:rsidP="00FC2BA4">
                  <w:pPr>
                    <w:spacing w:after="0" w:line="240" w:lineRule="auto"/>
                    <w:jc w:val="center"/>
                    <w:rPr>
                      <w:rFonts w:asciiTheme="minorHAnsi" w:eastAsia="Times New Roman" w:hAnsiTheme="minorHAnsi" w:cs="Microsoft Sans Serif"/>
                      <w:sz w:val="20"/>
                      <w:szCs w:val="20"/>
                      <w:lang w:eastAsia="en-AU"/>
                    </w:rPr>
                  </w:pPr>
                  <w:r w:rsidRPr="00487585">
                    <w:rPr>
                      <w:rFonts w:asciiTheme="minorHAnsi" w:eastAsia="Times New Roman" w:hAnsiTheme="minorHAnsi" w:cs="Microsoft Sans Serif"/>
                      <w:sz w:val="20"/>
                      <w:szCs w:val="20"/>
                      <w:lang w:eastAsia="en-AU"/>
                    </w:rPr>
                    <w:t>163</w:t>
                  </w:r>
                </w:p>
              </w:tc>
              <w:tc>
                <w:tcPr>
                  <w:tcW w:w="1106" w:type="dxa"/>
                  <w:tcBorders>
                    <w:top w:val="nil"/>
                    <w:left w:val="nil"/>
                    <w:bottom w:val="single" w:sz="4" w:space="0" w:color="808080"/>
                    <w:right w:val="single" w:sz="4" w:space="0" w:color="808080"/>
                  </w:tcBorders>
                  <w:shd w:val="clear" w:color="auto" w:fill="auto"/>
                  <w:noWrap/>
                  <w:vAlign w:val="bottom"/>
                  <w:hideMark/>
                </w:tcPr>
                <w:p w:rsidR="00FC2BA4" w:rsidRPr="00487585" w:rsidRDefault="00FC2BA4" w:rsidP="00FC2BA4">
                  <w:pPr>
                    <w:spacing w:after="0" w:line="240" w:lineRule="auto"/>
                    <w:jc w:val="center"/>
                    <w:rPr>
                      <w:rFonts w:asciiTheme="minorHAnsi" w:eastAsia="Times New Roman" w:hAnsiTheme="minorHAnsi" w:cs="Microsoft Sans Serif"/>
                      <w:sz w:val="20"/>
                      <w:szCs w:val="20"/>
                      <w:lang w:eastAsia="en-AU"/>
                    </w:rPr>
                  </w:pPr>
                  <w:r w:rsidRPr="00487585">
                    <w:rPr>
                      <w:rFonts w:asciiTheme="minorHAnsi" w:eastAsia="Times New Roman" w:hAnsiTheme="minorHAnsi" w:cs="Microsoft Sans Serif"/>
                      <w:sz w:val="20"/>
                      <w:szCs w:val="20"/>
                      <w:lang w:eastAsia="en-AU"/>
                    </w:rPr>
                    <w:t>41</w:t>
                  </w:r>
                </w:p>
              </w:tc>
              <w:tc>
                <w:tcPr>
                  <w:tcW w:w="992" w:type="dxa"/>
                  <w:tcBorders>
                    <w:top w:val="nil"/>
                    <w:left w:val="nil"/>
                    <w:bottom w:val="single" w:sz="4" w:space="0" w:color="808080"/>
                    <w:right w:val="single" w:sz="4" w:space="0" w:color="808080"/>
                  </w:tcBorders>
                  <w:shd w:val="clear" w:color="auto" w:fill="auto"/>
                  <w:noWrap/>
                  <w:vAlign w:val="bottom"/>
                  <w:hideMark/>
                </w:tcPr>
                <w:p w:rsidR="00FC2BA4" w:rsidRPr="00487585" w:rsidRDefault="00FC2BA4" w:rsidP="00FC2BA4">
                  <w:pPr>
                    <w:spacing w:after="0" w:line="240" w:lineRule="auto"/>
                    <w:jc w:val="center"/>
                    <w:rPr>
                      <w:rFonts w:asciiTheme="minorHAnsi" w:eastAsia="Times New Roman" w:hAnsiTheme="minorHAnsi" w:cs="Microsoft Sans Serif"/>
                      <w:sz w:val="20"/>
                      <w:szCs w:val="20"/>
                      <w:lang w:eastAsia="en-AU"/>
                    </w:rPr>
                  </w:pPr>
                  <w:r w:rsidRPr="00487585">
                    <w:rPr>
                      <w:rFonts w:asciiTheme="minorHAnsi" w:eastAsia="Times New Roman" w:hAnsiTheme="minorHAnsi" w:cs="Microsoft Sans Serif"/>
                      <w:sz w:val="20"/>
                      <w:szCs w:val="20"/>
                      <w:lang w:eastAsia="en-AU"/>
                    </w:rPr>
                    <w:t>41</w:t>
                  </w:r>
                </w:p>
              </w:tc>
              <w:tc>
                <w:tcPr>
                  <w:tcW w:w="851" w:type="dxa"/>
                  <w:tcBorders>
                    <w:top w:val="nil"/>
                    <w:left w:val="nil"/>
                    <w:bottom w:val="single" w:sz="4" w:space="0" w:color="808080"/>
                    <w:right w:val="single" w:sz="4" w:space="0" w:color="808080"/>
                  </w:tcBorders>
                  <w:shd w:val="clear" w:color="auto" w:fill="auto"/>
                  <w:noWrap/>
                  <w:vAlign w:val="bottom"/>
                  <w:hideMark/>
                </w:tcPr>
                <w:p w:rsidR="00FC2BA4" w:rsidRPr="00487585" w:rsidRDefault="00FC2BA4" w:rsidP="00FC2BA4">
                  <w:pPr>
                    <w:spacing w:after="0" w:line="240" w:lineRule="auto"/>
                    <w:jc w:val="center"/>
                    <w:rPr>
                      <w:rFonts w:asciiTheme="minorHAnsi" w:eastAsia="Times New Roman" w:hAnsiTheme="minorHAnsi" w:cs="Microsoft Sans Serif"/>
                      <w:sz w:val="20"/>
                      <w:szCs w:val="20"/>
                      <w:lang w:eastAsia="en-AU"/>
                    </w:rPr>
                  </w:pPr>
                  <w:r w:rsidRPr="00487585">
                    <w:rPr>
                      <w:rFonts w:asciiTheme="minorHAnsi" w:eastAsia="Times New Roman" w:hAnsiTheme="minorHAnsi" w:cs="Microsoft Sans Serif"/>
                      <w:sz w:val="20"/>
                      <w:szCs w:val="20"/>
                      <w:lang w:eastAsia="en-AU"/>
                    </w:rPr>
                    <w:t>0</w:t>
                  </w:r>
                </w:p>
              </w:tc>
            </w:tr>
            <w:tr w:rsidR="00FC2BA4" w:rsidRPr="00487585" w:rsidTr="00487585">
              <w:trPr>
                <w:trHeight w:val="255"/>
              </w:trPr>
              <w:tc>
                <w:tcPr>
                  <w:tcW w:w="880" w:type="dxa"/>
                  <w:tcBorders>
                    <w:top w:val="nil"/>
                    <w:left w:val="single" w:sz="4" w:space="0" w:color="808080"/>
                    <w:bottom w:val="single" w:sz="4" w:space="0" w:color="808080"/>
                    <w:right w:val="single" w:sz="4" w:space="0" w:color="808080"/>
                  </w:tcBorders>
                  <w:shd w:val="clear" w:color="000000" w:fill="FFC000"/>
                  <w:noWrap/>
                  <w:vAlign w:val="bottom"/>
                  <w:hideMark/>
                </w:tcPr>
                <w:p w:rsidR="00FC2BA4" w:rsidRPr="00487585" w:rsidRDefault="00FC2BA4" w:rsidP="00FC2BA4">
                  <w:pPr>
                    <w:spacing w:after="0" w:line="240" w:lineRule="auto"/>
                    <w:jc w:val="center"/>
                    <w:rPr>
                      <w:rFonts w:asciiTheme="minorHAnsi" w:eastAsia="Times New Roman" w:hAnsiTheme="minorHAnsi" w:cs="Microsoft Sans Serif"/>
                      <w:b/>
                      <w:bCs/>
                      <w:sz w:val="20"/>
                      <w:szCs w:val="20"/>
                      <w:lang w:eastAsia="en-AU"/>
                    </w:rPr>
                  </w:pPr>
                  <w:r w:rsidRPr="00487585">
                    <w:rPr>
                      <w:rFonts w:asciiTheme="minorHAnsi" w:eastAsia="Times New Roman" w:hAnsiTheme="minorHAnsi" w:cs="Microsoft Sans Serif"/>
                      <w:b/>
                      <w:bCs/>
                      <w:sz w:val="20"/>
                      <w:szCs w:val="20"/>
                      <w:lang w:eastAsia="en-AU"/>
                    </w:rPr>
                    <w:t>%</w:t>
                  </w:r>
                </w:p>
              </w:tc>
              <w:tc>
                <w:tcPr>
                  <w:tcW w:w="1020" w:type="dxa"/>
                  <w:tcBorders>
                    <w:top w:val="nil"/>
                    <w:left w:val="nil"/>
                    <w:bottom w:val="single" w:sz="4" w:space="0" w:color="808080"/>
                    <w:right w:val="single" w:sz="4" w:space="0" w:color="808080"/>
                  </w:tcBorders>
                  <w:shd w:val="clear" w:color="auto" w:fill="auto"/>
                  <w:noWrap/>
                  <w:vAlign w:val="bottom"/>
                  <w:hideMark/>
                </w:tcPr>
                <w:p w:rsidR="00FC2BA4" w:rsidRPr="00487585" w:rsidRDefault="00FC2BA4" w:rsidP="00FC2BA4">
                  <w:pPr>
                    <w:spacing w:after="0" w:line="240" w:lineRule="auto"/>
                    <w:jc w:val="center"/>
                    <w:rPr>
                      <w:rFonts w:asciiTheme="minorHAnsi" w:eastAsia="Times New Roman" w:hAnsiTheme="minorHAnsi" w:cs="Microsoft Sans Serif"/>
                      <w:sz w:val="20"/>
                      <w:szCs w:val="20"/>
                      <w:lang w:eastAsia="en-AU"/>
                    </w:rPr>
                  </w:pPr>
                  <w:r w:rsidRPr="00487585">
                    <w:rPr>
                      <w:rFonts w:asciiTheme="minorHAnsi" w:eastAsia="Times New Roman" w:hAnsiTheme="minorHAnsi" w:cs="Microsoft Sans Serif"/>
                      <w:sz w:val="20"/>
                      <w:szCs w:val="20"/>
                      <w:lang w:eastAsia="en-AU"/>
                    </w:rPr>
                    <w:t>80%</w:t>
                  </w:r>
                </w:p>
              </w:tc>
              <w:tc>
                <w:tcPr>
                  <w:tcW w:w="1106" w:type="dxa"/>
                  <w:tcBorders>
                    <w:top w:val="nil"/>
                    <w:left w:val="nil"/>
                    <w:bottom w:val="single" w:sz="4" w:space="0" w:color="808080"/>
                    <w:right w:val="single" w:sz="4" w:space="0" w:color="808080"/>
                  </w:tcBorders>
                  <w:shd w:val="clear" w:color="auto" w:fill="auto"/>
                  <w:noWrap/>
                  <w:vAlign w:val="bottom"/>
                  <w:hideMark/>
                </w:tcPr>
                <w:p w:rsidR="00FC2BA4" w:rsidRPr="00487585" w:rsidRDefault="00FC2BA4" w:rsidP="00FC2BA4">
                  <w:pPr>
                    <w:spacing w:after="0" w:line="240" w:lineRule="auto"/>
                    <w:jc w:val="center"/>
                    <w:rPr>
                      <w:rFonts w:asciiTheme="minorHAnsi" w:eastAsia="Times New Roman" w:hAnsiTheme="minorHAnsi" w:cs="Microsoft Sans Serif"/>
                      <w:sz w:val="20"/>
                      <w:szCs w:val="20"/>
                      <w:lang w:eastAsia="en-AU"/>
                    </w:rPr>
                  </w:pPr>
                  <w:r w:rsidRPr="00487585">
                    <w:rPr>
                      <w:rFonts w:asciiTheme="minorHAnsi" w:eastAsia="Times New Roman" w:hAnsiTheme="minorHAnsi" w:cs="Microsoft Sans Serif"/>
                      <w:sz w:val="20"/>
                      <w:szCs w:val="20"/>
                      <w:lang w:eastAsia="en-AU"/>
                    </w:rPr>
                    <w:t>20%</w:t>
                  </w:r>
                </w:p>
              </w:tc>
              <w:tc>
                <w:tcPr>
                  <w:tcW w:w="992" w:type="dxa"/>
                  <w:tcBorders>
                    <w:top w:val="nil"/>
                    <w:left w:val="nil"/>
                    <w:bottom w:val="single" w:sz="4" w:space="0" w:color="808080"/>
                    <w:right w:val="single" w:sz="4" w:space="0" w:color="808080"/>
                  </w:tcBorders>
                  <w:shd w:val="clear" w:color="auto" w:fill="auto"/>
                  <w:noWrap/>
                  <w:vAlign w:val="bottom"/>
                  <w:hideMark/>
                </w:tcPr>
                <w:p w:rsidR="00FC2BA4" w:rsidRPr="00487585" w:rsidRDefault="00FC2BA4" w:rsidP="00FC2BA4">
                  <w:pPr>
                    <w:spacing w:after="0" w:line="240" w:lineRule="auto"/>
                    <w:jc w:val="center"/>
                    <w:rPr>
                      <w:rFonts w:asciiTheme="minorHAnsi" w:eastAsia="Times New Roman" w:hAnsiTheme="minorHAnsi" w:cs="Microsoft Sans Serif"/>
                      <w:sz w:val="20"/>
                      <w:szCs w:val="20"/>
                      <w:lang w:eastAsia="en-AU"/>
                    </w:rPr>
                  </w:pPr>
                  <w:r w:rsidRPr="00487585">
                    <w:rPr>
                      <w:rFonts w:asciiTheme="minorHAnsi" w:eastAsia="Times New Roman" w:hAnsiTheme="minorHAnsi" w:cs="Microsoft Sans Serif"/>
                      <w:sz w:val="20"/>
                      <w:szCs w:val="20"/>
                      <w:lang w:eastAsia="en-AU"/>
                    </w:rPr>
                    <w:t>100%</w:t>
                  </w:r>
                </w:p>
              </w:tc>
              <w:tc>
                <w:tcPr>
                  <w:tcW w:w="851" w:type="dxa"/>
                  <w:tcBorders>
                    <w:top w:val="nil"/>
                    <w:left w:val="nil"/>
                    <w:bottom w:val="single" w:sz="4" w:space="0" w:color="808080"/>
                    <w:right w:val="single" w:sz="4" w:space="0" w:color="808080"/>
                  </w:tcBorders>
                  <w:shd w:val="clear" w:color="auto" w:fill="auto"/>
                  <w:noWrap/>
                  <w:vAlign w:val="bottom"/>
                  <w:hideMark/>
                </w:tcPr>
                <w:p w:rsidR="00FC2BA4" w:rsidRPr="00487585" w:rsidRDefault="00FC2BA4" w:rsidP="00FC2BA4">
                  <w:pPr>
                    <w:spacing w:after="0" w:line="240" w:lineRule="auto"/>
                    <w:jc w:val="center"/>
                    <w:rPr>
                      <w:rFonts w:asciiTheme="minorHAnsi" w:eastAsia="Times New Roman" w:hAnsiTheme="minorHAnsi" w:cs="Microsoft Sans Serif"/>
                      <w:sz w:val="20"/>
                      <w:szCs w:val="20"/>
                      <w:lang w:eastAsia="en-AU"/>
                    </w:rPr>
                  </w:pPr>
                  <w:r w:rsidRPr="00487585">
                    <w:rPr>
                      <w:rFonts w:asciiTheme="minorHAnsi" w:eastAsia="Times New Roman" w:hAnsiTheme="minorHAnsi" w:cs="Microsoft Sans Serif"/>
                      <w:sz w:val="20"/>
                      <w:szCs w:val="20"/>
                      <w:lang w:eastAsia="en-AU"/>
                    </w:rPr>
                    <w:t>0%</w:t>
                  </w:r>
                </w:p>
              </w:tc>
            </w:tr>
          </w:tbl>
          <w:p w:rsidR="00FC2BA4" w:rsidRPr="00487585" w:rsidRDefault="00FC2BA4" w:rsidP="009617EB">
            <w:pPr>
              <w:spacing w:after="0" w:line="240" w:lineRule="auto"/>
              <w:rPr>
                <w:rFonts w:asciiTheme="minorHAnsi" w:eastAsia="Times New Roman" w:hAnsiTheme="minorHAnsi" w:cs="Microsoft Sans Serif"/>
                <w:bCs/>
                <w:lang w:eastAsia="en-AU"/>
              </w:rPr>
            </w:pPr>
          </w:p>
          <w:p w:rsidR="00350B62" w:rsidRPr="00487585" w:rsidRDefault="00350B62" w:rsidP="009617EB">
            <w:pPr>
              <w:spacing w:after="0" w:line="240" w:lineRule="auto"/>
              <w:rPr>
                <w:rFonts w:asciiTheme="minorHAnsi" w:eastAsia="Times New Roman" w:hAnsiTheme="minorHAnsi" w:cs="Microsoft Sans Serif"/>
                <w:b/>
                <w:bCs/>
                <w:lang w:eastAsia="en-AU"/>
              </w:rPr>
            </w:pPr>
            <w:r w:rsidRPr="00487585">
              <w:rPr>
                <w:rFonts w:asciiTheme="minorHAnsi" w:eastAsia="Times New Roman" w:hAnsiTheme="minorHAnsi" w:cs="Microsoft Sans Serif"/>
                <w:b/>
                <w:bCs/>
                <w:lang w:eastAsia="en-AU"/>
              </w:rPr>
              <w:t>Remarks</w:t>
            </w:r>
          </w:p>
          <w:p w:rsidR="00350B62" w:rsidRPr="00487585" w:rsidRDefault="00350B62" w:rsidP="00487585">
            <w:pPr>
              <w:spacing w:after="0" w:line="240" w:lineRule="auto"/>
              <w:rPr>
                <w:rFonts w:asciiTheme="minorHAnsi" w:eastAsia="Times New Roman" w:hAnsiTheme="minorHAnsi" w:cs="Microsoft Sans Serif"/>
                <w:bCs/>
                <w:lang w:eastAsia="en-AU"/>
              </w:rPr>
            </w:pPr>
            <w:r w:rsidRPr="00487585">
              <w:rPr>
                <w:rFonts w:asciiTheme="minorHAnsi" w:hAnsiTheme="minorHAnsi"/>
              </w:rPr>
              <w:t>2</w:t>
            </w:r>
            <w:r w:rsidR="00487585" w:rsidRPr="00487585">
              <w:rPr>
                <w:rFonts w:asciiTheme="minorHAnsi" w:hAnsiTheme="minorHAnsi"/>
              </w:rPr>
              <w:t>0</w:t>
            </w:r>
            <w:r w:rsidRPr="00487585">
              <w:rPr>
                <w:rFonts w:asciiTheme="minorHAnsi" w:hAnsiTheme="minorHAnsi"/>
              </w:rPr>
              <w:t>% of respondents chose to leave their contact details to be more involved in the Ig System Development Project; 17 were already known to the project team and the remaining 25 were added to the Ig System User Reference Group (</w:t>
            </w:r>
            <w:proofErr w:type="spellStart"/>
            <w:r w:rsidRPr="00487585">
              <w:rPr>
                <w:rFonts w:asciiTheme="minorHAnsi" w:hAnsiTheme="minorHAnsi"/>
              </w:rPr>
              <w:t>ISURG</w:t>
            </w:r>
            <w:proofErr w:type="spellEnd"/>
            <w:r w:rsidRPr="00487585">
              <w:rPr>
                <w:rFonts w:asciiTheme="minorHAnsi" w:hAnsiTheme="minorHAnsi"/>
              </w:rPr>
              <w:t>) contact list.  These respondents will be contacted by the project team.</w:t>
            </w:r>
          </w:p>
        </w:tc>
      </w:tr>
    </w:tbl>
    <w:p w:rsidR="00350B62" w:rsidRPr="009F25AD" w:rsidRDefault="00350B62" w:rsidP="009F25AD">
      <w:pPr>
        <w:spacing w:after="240"/>
        <w:rPr>
          <w:lang w:eastAsia="en-AU"/>
        </w:rPr>
        <w:sectPr w:rsidR="00350B62" w:rsidRPr="009F25AD" w:rsidSect="00757CC1">
          <w:footerReference w:type="default" r:id="rId19"/>
          <w:pgSz w:w="11906" w:h="16838"/>
          <w:pgMar w:top="1440" w:right="1440" w:bottom="1440" w:left="1440" w:header="708" w:footer="708" w:gutter="0"/>
          <w:cols w:space="708"/>
          <w:titlePg/>
          <w:docGrid w:linePitch="360"/>
        </w:sectPr>
      </w:pPr>
    </w:p>
    <w:p w:rsidR="004B6648" w:rsidRDefault="004B6648" w:rsidP="00524CC3">
      <w:pPr>
        <w:pStyle w:val="Heading1"/>
      </w:pPr>
      <w:bookmarkStart w:id="61" w:name="_Toc434574650"/>
      <w:r>
        <w:lastRenderedPageBreak/>
        <w:t>Privacy Impact analysis</w:t>
      </w:r>
      <w:bookmarkEnd w:id="61"/>
    </w:p>
    <w:p w:rsidR="00323364" w:rsidRPr="009D7EC9" w:rsidRDefault="00102DED" w:rsidP="00323364">
      <w:r>
        <w:t xml:space="preserve">The following table </w:t>
      </w:r>
      <w:r w:rsidR="00323364" w:rsidRPr="009D7EC9">
        <w:t xml:space="preserve">provides an analysis of the functions and processes </w:t>
      </w:r>
      <w:r w:rsidR="007014E2" w:rsidRPr="009D7EC9">
        <w:t xml:space="preserve">of </w:t>
      </w:r>
      <w:proofErr w:type="spellStart"/>
      <w:r w:rsidR="002331D1">
        <w:t>BloodSTAR</w:t>
      </w:r>
      <w:proofErr w:type="spellEnd"/>
      <w:r w:rsidR="007014E2" w:rsidRPr="009D7EC9">
        <w:t xml:space="preserve"> against the requirements set out in the Australian Privacy Principles (</w:t>
      </w:r>
      <w:proofErr w:type="spellStart"/>
      <w:r w:rsidR="007014E2" w:rsidRPr="009D7EC9">
        <w:t>APPs</w:t>
      </w:r>
      <w:proofErr w:type="spellEnd"/>
      <w:r w:rsidR="007014E2" w:rsidRPr="009D7EC9">
        <w:t>).</w:t>
      </w:r>
    </w:p>
    <w:tbl>
      <w:tblPr>
        <w:tblStyle w:val="TableGrid"/>
        <w:tblW w:w="0" w:type="auto"/>
        <w:jc w:val="center"/>
        <w:tblLook w:val="04A0" w:firstRow="1" w:lastRow="0" w:firstColumn="1" w:lastColumn="0" w:noHBand="0" w:noVBand="1"/>
      </w:tblPr>
      <w:tblGrid>
        <w:gridCol w:w="1809"/>
        <w:gridCol w:w="2344"/>
        <w:gridCol w:w="603"/>
        <w:gridCol w:w="5255"/>
        <w:gridCol w:w="2066"/>
        <w:gridCol w:w="2097"/>
      </w:tblGrid>
      <w:tr w:rsidR="00DA4951" w:rsidRPr="00817CDC" w:rsidTr="00DC2D1B">
        <w:trPr>
          <w:tblHeader/>
          <w:jc w:val="center"/>
        </w:trPr>
        <w:tc>
          <w:tcPr>
            <w:tcW w:w="1809" w:type="dxa"/>
            <w:shd w:val="clear" w:color="auto" w:fill="DBE5F1" w:themeFill="accent1" w:themeFillTint="33"/>
          </w:tcPr>
          <w:p w:rsidR="00DA4951" w:rsidRPr="00817CDC" w:rsidRDefault="00DA4951" w:rsidP="00DA4951">
            <w:pPr>
              <w:pStyle w:val="ListNumber"/>
              <w:numPr>
                <w:ilvl w:val="0"/>
                <w:numId w:val="0"/>
              </w:numPr>
              <w:jc w:val="center"/>
              <w:rPr>
                <w:rFonts w:asciiTheme="minorHAnsi" w:hAnsiTheme="minorHAnsi"/>
                <w:b/>
                <w:lang w:eastAsia="en-AU"/>
              </w:rPr>
            </w:pPr>
            <w:r w:rsidRPr="00817CDC">
              <w:rPr>
                <w:rFonts w:asciiTheme="minorHAnsi" w:hAnsiTheme="minorHAnsi"/>
                <w:b/>
                <w:lang w:eastAsia="en-AU"/>
              </w:rPr>
              <w:t>Australian Privacy Principle</w:t>
            </w:r>
          </w:p>
        </w:tc>
        <w:tc>
          <w:tcPr>
            <w:tcW w:w="2344" w:type="dxa"/>
            <w:shd w:val="clear" w:color="auto" w:fill="DBE5F1" w:themeFill="accent1" w:themeFillTint="33"/>
          </w:tcPr>
          <w:p w:rsidR="00DA4951" w:rsidRPr="00817CDC" w:rsidRDefault="00DA4951" w:rsidP="00DA4951">
            <w:pPr>
              <w:pStyle w:val="ListNumber"/>
              <w:numPr>
                <w:ilvl w:val="0"/>
                <w:numId w:val="0"/>
              </w:numPr>
              <w:jc w:val="center"/>
              <w:rPr>
                <w:rFonts w:asciiTheme="minorHAnsi" w:hAnsiTheme="minorHAnsi"/>
                <w:b/>
                <w:lang w:eastAsia="en-AU"/>
              </w:rPr>
            </w:pPr>
            <w:r w:rsidRPr="00817CDC">
              <w:rPr>
                <w:rFonts w:asciiTheme="minorHAnsi" w:hAnsiTheme="minorHAnsi"/>
                <w:b/>
                <w:lang w:eastAsia="en-AU"/>
              </w:rPr>
              <w:t>Consideration</w:t>
            </w:r>
          </w:p>
        </w:tc>
        <w:tc>
          <w:tcPr>
            <w:tcW w:w="603" w:type="dxa"/>
            <w:shd w:val="clear" w:color="auto" w:fill="DBE5F1" w:themeFill="accent1" w:themeFillTint="33"/>
          </w:tcPr>
          <w:p w:rsidR="00DA4951" w:rsidRPr="00817CDC" w:rsidRDefault="00DA4951" w:rsidP="00DA4951">
            <w:pPr>
              <w:pStyle w:val="ListNumber"/>
              <w:numPr>
                <w:ilvl w:val="0"/>
                <w:numId w:val="0"/>
              </w:numPr>
              <w:jc w:val="center"/>
              <w:rPr>
                <w:rFonts w:asciiTheme="minorHAnsi" w:hAnsiTheme="minorHAnsi"/>
                <w:b/>
                <w:lang w:eastAsia="en-AU"/>
              </w:rPr>
            </w:pPr>
            <w:r w:rsidRPr="00817CDC">
              <w:rPr>
                <w:rFonts w:asciiTheme="minorHAnsi" w:hAnsiTheme="minorHAnsi"/>
                <w:b/>
                <w:lang w:eastAsia="en-AU"/>
              </w:rPr>
              <w:t>Y/N</w:t>
            </w:r>
          </w:p>
        </w:tc>
        <w:tc>
          <w:tcPr>
            <w:tcW w:w="5255" w:type="dxa"/>
            <w:shd w:val="clear" w:color="auto" w:fill="DBE5F1" w:themeFill="accent1" w:themeFillTint="33"/>
          </w:tcPr>
          <w:p w:rsidR="00DA4951" w:rsidRPr="00817CDC" w:rsidRDefault="007A2C32" w:rsidP="007A2C32">
            <w:pPr>
              <w:pStyle w:val="ListNumber"/>
              <w:numPr>
                <w:ilvl w:val="0"/>
                <w:numId w:val="0"/>
              </w:numPr>
              <w:jc w:val="center"/>
              <w:rPr>
                <w:rFonts w:asciiTheme="minorHAnsi" w:hAnsiTheme="minorHAnsi"/>
                <w:b/>
                <w:lang w:eastAsia="en-AU"/>
              </w:rPr>
            </w:pPr>
            <w:r w:rsidRPr="00817CDC">
              <w:rPr>
                <w:rFonts w:asciiTheme="minorHAnsi" w:hAnsiTheme="minorHAnsi"/>
                <w:b/>
                <w:lang w:eastAsia="en-AU"/>
              </w:rPr>
              <w:t>Response</w:t>
            </w:r>
          </w:p>
        </w:tc>
        <w:tc>
          <w:tcPr>
            <w:tcW w:w="2066" w:type="dxa"/>
            <w:shd w:val="clear" w:color="auto" w:fill="DBE5F1" w:themeFill="accent1" w:themeFillTint="33"/>
          </w:tcPr>
          <w:p w:rsidR="00DA4951" w:rsidRPr="00817CDC" w:rsidRDefault="00DA4951" w:rsidP="00DC2D1B">
            <w:pPr>
              <w:pStyle w:val="ListNumber"/>
              <w:numPr>
                <w:ilvl w:val="0"/>
                <w:numId w:val="0"/>
              </w:numPr>
              <w:jc w:val="center"/>
              <w:rPr>
                <w:rFonts w:asciiTheme="minorHAnsi" w:hAnsiTheme="minorHAnsi"/>
                <w:b/>
                <w:lang w:eastAsia="en-AU"/>
              </w:rPr>
            </w:pPr>
            <w:r w:rsidRPr="00817CDC">
              <w:rPr>
                <w:rFonts w:asciiTheme="minorHAnsi" w:hAnsiTheme="minorHAnsi"/>
                <w:b/>
                <w:lang w:eastAsia="en-AU"/>
              </w:rPr>
              <w:t xml:space="preserve">Action required to address </w:t>
            </w:r>
            <w:proofErr w:type="spellStart"/>
            <w:r w:rsidR="00DC2D1B" w:rsidRPr="00817CDC">
              <w:rPr>
                <w:rFonts w:asciiTheme="minorHAnsi" w:hAnsiTheme="minorHAnsi"/>
                <w:b/>
                <w:lang w:eastAsia="en-AU"/>
              </w:rPr>
              <w:t>APPs</w:t>
            </w:r>
            <w:proofErr w:type="spellEnd"/>
          </w:p>
        </w:tc>
        <w:tc>
          <w:tcPr>
            <w:tcW w:w="2097" w:type="dxa"/>
            <w:shd w:val="clear" w:color="auto" w:fill="DBE5F1" w:themeFill="accent1" w:themeFillTint="33"/>
          </w:tcPr>
          <w:p w:rsidR="00DA4951" w:rsidRPr="00817CDC" w:rsidRDefault="007A2C32" w:rsidP="00DA4951">
            <w:pPr>
              <w:pStyle w:val="ListNumber"/>
              <w:numPr>
                <w:ilvl w:val="0"/>
                <w:numId w:val="0"/>
              </w:numPr>
              <w:jc w:val="center"/>
              <w:rPr>
                <w:rFonts w:asciiTheme="minorHAnsi" w:hAnsiTheme="minorHAnsi"/>
                <w:b/>
                <w:lang w:eastAsia="en-AU"/>
              </w:rPr>
            </w:pPr>
            <w:r w:rsidRPr="00817CDC">
              <w:rPr>
                <w:rFonts w:asciiTheme="minorHAnsi" w:hAnsiTheme="minorHAnsi"/>
                <w:b/>
                <w:lang w:eastAsia="en-AU"/>
              </w:rPr>
              <w:t>Gap or compliance evidence</w:t>
            </w:r>
          </w:p>
        </w:tc>
      </w:tr>
      <w:tr w:rsidR="00DC2D1B" w:rsidRPr="00817CDC" w:rsidTr="00DC2D1B">
        <w:trPr>
          <w:jc w:val="center"/>
        </w:trPr>
        <w:tc>
          <w:tcPr>
            <w:tcW w:w="1809" w:type="dxa"/>
            <w:vMerge w:val="restart"/>
          </w:tcPr>
          <w:p w:rsidR="00DC2D1B" w:rsidRPr="00817CDC" w:rsidRDefault="00DC2D1B" w:rsidP="00DA4951">
            <w:pPr>
              <w:pStyle w:val="ListNumber"/>
              <w:numPr>
                <w:ilvl w:val="0"/>
                <w:numId w:val="0"/>
              </w:numPr>
              <w:rPr>
                <w:rFonts w:asciiTheme="minorHAnsi" w:hAnsiTheme="minorHAnsi"/>
                <w:lang w:eastAsia="en-AU"/>
              </w:rPr>
            </w:pPr>
            <w:r w:rsidRPr="00817CDC">
              <w:rPr>
                <w:rFonts w:asciiTheme="minorHAnsi" w:hAnsiTheme="minorHAnsi"/>
                <w:lang w:eastAsia="en-AU"/>
              </w:rPr>
              <w:t>APP 1 — open and transparent management of personal information</w:t>
            </w:r>
          </w:p>
          <w:p w:rsidR="00DC2D1B" w:rsidRPr="00817CDC" w:rsidRDefault="00DC2D1B" w:rsidP="00B732F0">
            <w:pPr>
              <w:pStyle w:val="ListNumber"/>
              <w:numPr>
                <w:ilvl w:val="0"/>
                <w:numId w:val="0"/>
              </w:numPr>
              <w:rPr>
                <w:rFonts w:asciiTheme="minorHAnsi" w:hAnsiTheme="minorHAnsi"/>
                <w:lang w:eastAsia="en-AU"/>
              </w:rPr>
            </w:pPr>
          </w:p>
        </w:tc>
        <w:tc>
          <w:tcPr>
            <w:tcW w:w="2344" w:type="dxa"/>
          </w:tcPr>
          <w:p w:rsidR="00DC2D1B" w:rsidRPr="00817CDC" w:rsidRDefault="00DC2D1B" w:rsidP="00817CDC">
            <w:pPr>
              <w:pStyle w:val="NormalWeb"/>
              <w:numPr>
                <w:ilvl w:val="0"/>
                <w:numId w:val="20"/>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Will personal information or sensitive information be handled? </w:t>
            </w:r>
          </w:p>
        </w:tc>
        <w:tc>
          <w:tcPr>
            <w:tcW w:w="603" w:type="dxa"/>
          </w:tcPr>
          <w:p w:rsidR="00DC2D1B" w:rsidRPr="00817CDC" w:rsidRDefault="00DC2D1B" w:rsidP="00DA4951">
            <w:pPr>
              <w:pStyle w:val="ListNumber"/>
              <w:numPr>
                <w:ilvl w:val="0"/>
                <w:numId w:val="0"/>
              </w:numPr>
              <w:jc w:val="center"/>
              <w:rPr>
                <w:rFonts w:asciiTheme="minorHAnsi" w:hAnsiTheme="minorHAnsi"/>
                <w:lang w:eastAsia="en-AU"/>
              </w:rPr>
            </w:pPr>
            <w:r w:rsidRPr="00817CDC">
              <w:rPr>
                <w:rFonts w:asciiTheme="minorHAnsi" w:hAnsiTheme="minorHAnsi"/>
                <w:lang w:eastAsia="en-AU"/>
              </w:rPr>
              <w:t>Yes</w:t>
            </w:r>
          </w:p>
        </w:tc>
        <w:tc>
          <w:tcPr>
            <w:tcW w:w="5255" w:type="dxa"/>
          </w:tcPr>
          <w:p w:rsidR="00DC2D1B" w:rsidRPr="00817CDC" w:rsidRDefault="00DC2D1B" w:rsidP="00DC2D1B">
            <w:pPr>
              <w:pStyle w:val="NormalWeb"/>
              <w:spacing w:line="336" w:lineRule="auto"/>
              <w:rPr>
                <w:rFonts w:asciiTheme="minorHAnsi" w:hAnsiTheme="minorHAnsi"/>
                <w:b/>
                <w:sz w:val="20"/>
                <w:szCs w:val="20"/>
              </w:rPr>
            </w:pPr>
            <w:r w:rsidRPr="00817CDC">
              <w:rPr>
                <w:rFonts w:asciiTheme="minorHAnsi" w:hAnsiTheme="minorHAnsi"/>
                <w:sz w:val="20"/>
                <w:szCs w:val="20"/>
                <w:lang w:val="en-GB"/>
              </w:rPr>
              <w:t xml:space="preserve">Personal and sensitive information will be collected and used for the purposes of assessing patient eligibility against the qualifying and review criteria specified in the </w:t>
            </w:r>
            <w:r w:rsidRPr="00817CDC">
              <w:rPr>
                <w:rFonts w:asciiTheme="minorHAnsi" w:hAnsiTheme="minorHAnsi"/>
                <w:i/>
                <w:sz w:val="20"/>
                <w:szCs w:val="20"/>
                <w:lang w:val="en-GB"/>
              </w:rPr>
              <w:t>Criteria for the clinical use of intravenous immunoglobulin in Australia</w:t>
            </w:r>
            <w:r w:rsidRPr="00817CDC">
              <w:rPr>
                <w:rFonts w:asciiTheme="minorHAnsi" w:hAnsiTheme="minorHAnsi"/>
                <w:sz w:val="20"/>
                <w:szCs w:val="20"/>
                <w:lang w:val="en-GB"/>
              </w:rPr>
              <w:t xml:space="preserve">.  Consent to the collection, use and usual disclosures of personal sensitive information will be sought and recorded in </w:t>
            </w:r>
            <w:proofErr w:type="spellStart"/>
            <w:r w:rsidR="001D735F">
              <w:rPr>
                <w:rFonts w:asciiTheme="minorHAnsi" w:hAnsiTheme="minorHAnsi"/>
                <w:sz w:val="20"/>
                <w:szCs w:val="20"/>
                <w:lang w:val="en-GB"/>
              </w:rPr>
              <w:t>BloodSTAR</w:t>
            </w:r>
            <w:proofErr w:type="spellEnd"/>
            <w:r w:rsidRPr="00817CDC">
              <w:rPr>
                <w:rFonts w:asciiTheme="minorHAnsi" w:hAnsiTheme="minorHAnsi"/>
                <w:sz w:val="20"/>
                <w:szCs w:val="20"/>
                <w:lang w:val="en-GB"/>
              </w:rPr>
              <w:t>.</w:t>
            </w:r>
          </w:p>
        </w:tc>
        <w:tc>
          <w:tcPr>
            <w:tcW w:w="2066" w:type="dxa"/>
            <w:vMerge w:val="restart"/>
          </w:tcPr>
          <w:p w:rsidR="00DC2D1B" w:rsidRPr="00817CDC" w:rsidRDefault="00DC2D1B" w:rsidP="00817CDC">
            <w:pPr>
              <w:pStyle w:val="NormalWeb"/>
              <w:numPr>
                <w:ilvl w:val="0"/>
                <w:numId w:val="19"/>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Provide </w:t>
            </w:r>
            <w:r w:rsidR="00681A20">
              <w:rPr>
                <w:rFonts w:asciiTheme="minorHAnsi" w:hAnsiTheme="minorHAnsi"/>
                <w:sz w:val="20"/>
                <w:szCs w:val="20"/>
                <w:lang w:val="en-GB"/>
              </w:rPr>
              <w:t>P</w:t>
            </w:r>
            <w:r w:rsidRPr="00817CDC">
              <w:rPr>
                <w:rFonts w:asciiTheme="minorHAnsi" w:hAnsiTheme="minorHAnsi"/>
                <w:sz w:val="20"/>
                <w:szCs w:val="20"/>
                <w:lang w:val="en-GB"/>
              </w:rPr>
              <w:t xml:space="preserve">rivacy </w:t>
            </w:r>
            <w:r w:rsidR="007D39DF">
              <w:rPr>
                <w:rFonts w:asciiTheme="minorHAnsi" w:hAnsiTheme="minorHAnsi"/>
                <w:sz w:val="20"/>
                <w:szCs w:val="20"/>
                <w:lang w:val="en-GB"/>
              </w:rPr>
              <w:t>Statement and No</w:t>
            </w:r>
            <w:r w:rsidRPr="00817CDC">
              <w:rPr>
                <w:rFonts w:asciiTheme="minorHAnsi" w:hAnsiTheme="minorHAnsi"/>
                <w:sz w:val="20"/>
                <w:szCs w:val="20"/>
                <w:lang w:val="en-GB"/>
              </w:rPr>
              <w:t xml:space="preserve">tice for the information of individuals of interest to </w:t>
            </w:r>
            <w:proofErr w:type="spellStart"/>
            <w:r w:rsidR="001D735F">
              <w:rPr>
                <w:rFonts w:asciiTheme="minorHAnsi" w:hAnsiTheme="minorHAnsi"/>
                <w:sz w:val="20"/>
                <w:szCs w:val="20"/>
                <w:lang w:val="en-GB"/>
              </w:rPr>
              <w:t>BloodSTAR</w:t>
            </w:r>
            <w:proofErr w:type="spellEnd"/>
            <w:r w:rsidRPr="00817CDC">
              <w:rPr>
                <w:rFonts w:asciiTheme="minorHAnsi" w:hAnsiTheme="minorHAnsi"/>
                <w:sz w:val="20"/>
                <w:szCs w:val="20"/>
                <w:lang w:val="en-GB"/>
              </w:rPr>
              <w:t>.</w:t>
            </w:r>
          </w:p>
          <w:p w:rsidR="00DC2D1B" w:rsidRPr="00817CDC" w:rsidRDefault="00DC2D1B" w:rsidP="00817CDC">
            <w:pPr>
              <w:pStyle w:val="NormalWeb"/>
              <w:numPr>
                <w:ilvl w:val="0"/>
                <w:numId w:val="19"/>
              </w:numPr>
              <w:spacing w:before="240" w:beforeAutospacing="0" w:line="336" w:lineRule="auto"/>
              <w:ind w:left="357" w:hanging="357"/>
              <w:rPr>
                <w:rFonts w:asciiTheme="minorHAnsi" w:hAnsiTheme="minorHAnsi"/>
                <w:sz w:val="20"/>
                <w:szCs w:val="20"/>
                <w:lang w:val="en-GB"/>
              </w:rPr>
            </w:pPr>
            <w:r w:rsidRPr="00817CDC">
              <w:rPr>
                <w:rFonts w:asciiTheme="minorHAnsi" w:hAnsiTheme="minorHAnsi"/>
                <w:sz w:val="20"/>
                <w:szCs w:val="20"/>
                <w:lang w:val="en-GB"/>
              </w:rPr>
              <w:t xml:space="preserve">Obtain consent from the individuals of interest to </w:t>
            </w:r>
            <w:proofErr w:type="spellStart"/>
            <w:r w:rsidR="001D735F">
              <w:rPr>
                <w:rFonts w:asciiTheme="minorHAnsi" w:hAnsiTheme="minorHAnsi"/>
                <w:sz w:val="20"/>
                <w:szCs w:val="20"/>
                <w:lang w:val="en-GB"/>
              </w:rPr>
              <w:t>BloodSTAR</w:t>
            </w:r>
            <w:proofErr w:type="spellEnd"/>
            <w:r w:rsidRPr="00817CDC">
              <w:rPr>
                <w:rFonts w:asciiTheme="minorHAnsi" w:hAnsiTheme="minorHAnsi"/>
                <w:sz w:val="20"/>
                <w:szCs w:val="20"/>
                <w:lang w:val="en-GB"/>
              </w:rPr>
              <w:t>, and record their consent status in the system.</w:t>
            </w:r>
          </w:p>
          <w:p w:rsidR="00DC2D1B" w:rsidRPr="00817CDC" w:rsidRDefault="00DC2D1B" w:rsidP="00DA4951">
            <w:pPr>
              <w:pStyle w:val="ListNumber"/>
              <w:numPr>
                <w:ilvl w:val="0"/>
                <w:numId w:val="0"/>
              </w:numPr>
              <w:ind w:left="720"/>
              <w:rPr>
                <w:rFonts w:asciiTheme="minorHAnsi" w:eastAsia="Times New Roman" w:hAnsiTheme="minorHAnsi"/>
                <w:lang w:val="en-GB" w:eastAsia="en-AU"/>
              </w:rPr>
            </w:pPr>
          </w:p>
        </w:tc>
        <w:tc>
          <w:tcPr>
            <w:tcW w:w="2097" w:type="dxa"/>
            <w:vMerge w:val="restart"/>
          </w:tcPr>
          <w:p w:rsidR="006E2501" w:rsidRPr="00817CDC" w:rsidRDefault="00DC2D1B" w:rsidP="00817CDC">
            <w:pPr>
              <w:pStyle w:val="NormalWeb"/>
              <w:numPr>
                <w:ilvl w:val="0"/>
                <w:numId w:val="22"/>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Privacy </w:t>
            </w:r>
            <w:r w:rsidR="007D39DF">
              <w:rPr>
                <w:rFonts w:asciiTheme="minorHAnsi" w:hAnsiTheme="minorHAnsi"/>
                <w:sz w:val="20"/>
                <w:szCs w:val="20"/>
                <w:lang w:val="en-GB"/>
              </w:rPr>
              <w:t>Statement and N</w:t>
            </w:r>
            <w:r w:rsidRPr="00817CDC">
              <w:rPr>
                <w:rFonts w:asciiTheme="minorHAnsi" w:hAnsiTheme="minorHAnsi"/>
                <w:sz w:val="20"/>
                <w:szCs w:val="20"/>
                <w:lang w:val="en-GB"/>
              </w:rPr>
              <w:t xml:space="preserve">otice will be made available in </w:t>
            </w:r>
            <w:proofErr w:type="spellStart"/>
            <w:r w:rsidR="001D735F">
              <w:rPr>
                <w:rFonts w:asciiTheme="minorHAnsi" w:hAnsiTheme="minorHAnsi"/>
                <w:sz w:val="20"/>
                <w:szCs w:val="20"/>
                <w:lang w:val="en-GB"/>
              </w:rPr>
              <w:t>BloodSTAR</w:t>
            </w:r>
            <w:proofErr w:type="spellEnd"/>
            <w:r w:rsidRPr="00817CDC">
              <w:rPr>
                <w:rFonts w:asciiTheme="minorHAnsi" w:hAnsiTheme="minorHAnsi"/>
                <w:sz w:val="20"/>
                <w:szCs w:val="20"/>
                <w:lang w:val="en-GB"/>
              </w:rPr>
              <w:t>.</w:t>
            </w:r>
          </w:p>
          <w:p w:rsidR="00DC2D1B" w:rsidRPr="00817CDC" w:rsidRDefault="00DC2D1B" w:rsidP="006E2501">
            <w:pPr>
              <w:pStyle w:val="NormalWeb"/>
              <w:spacing w:line="336" w:lineRule="auto"/>
              <w:ind w:left="360"/>
              <w:rPr>
                <w:rFonts w:asciiTheme="minorHAnsi" w:hAnsiTheme="minorHAnsi"/>
                <w:sz w:val="20"/>
                <w:szCs w:val="20"/>
                <w:lang w:val="en-GB"/>
              </w:rPr>
            </w:pPr>
            <w:r w:rsidRPr="00817CDC">
              <w:rPr>
                <w:rFonts w:asciiTheme="minorHAnsi" w:hAnsiTheme="minorHAnsi"/>
                <w:sz w:val="20"/>
                <w:szCs w:val="20"/>
                <w:lang w:val="en-GB"/>
              </w:rPr>
              <w:t xml:space="preserve"> </w:t>
            </w:r>
            <w:r w:rsidRPr="00817CDC">
              <w:rPr>
                <w:rFonts w:asciiTheme="minorHAnsi" w:hAnsiTheme="minorHAnsi"/>
                <w:b/>
                <w:sz w:val="20"/>
                <w:szCs w:val="20"/>
                <w:lang w:val="en-GB"/>
              </w:rPr>
              <w:t>Compliant</w:t>
            </w:r>
          </w:p>
          <w:p w:rsidR="00DC2D1B" w:rsidRPr="00817CDC" w:rsidRDefault="00DC2D1B" w:rsidP="00817CDC">
            <w:pPr>
              <w:pStyle w:val="NormalWeb"/>
              <w:numPr>
                <w:ilvl w:val="0"/>
                <w:numId w:val="22"/>
              </w:numPr>
              <w:spacing w:before="240" w:beforeAutospacing="0" w:line="336" w:lineRule="auto"/>
              <w:ind w:left="357" w:hanging="357"/>
              <w:rPr>
                <w:rFonts w:asciiTheme="minorHAnsi" w:hAnsiTheme="minorHAnsi"/>
                <w:b/>
                <w:sz w:val="20"/>
                <w:szCs w:val="20"/>
                <w:lang w:val="en-GB"/>
              </w:rPr>
            </w:pPr>
            <w:r w:rsidRPr="00817CDC">
              <w:rPr>
                <w:rFonts w:asciiTheme="minorHAnsi" w:hAnsiTheme="minorHAnsi"/>
                <w:sz w:val="20"/>
                <w:szCs w:val="20"/>
                <w:lang w:val="en-GB"/>
              </w:rPr>
              <w:t xml:space="preserve">Consent form will be made available in </w:t>
            </w:r>
            <w:proofErr w:type="spellStart"/>
            <w:r w:rsidR="001D735F">
              <w:rPr>
                <w:rFonts w:asciiTheme="minorHAnsi" w:hAnsiTheme="minorHAnsi"/>
                <w:sz w:val="20"/>
                <w:szCs w:val="20"/>
                <w:lang w:val="en-GB"/>
              </w:rPr>
              <w:t>BloodSTAR</w:t>
            </w:r>
            <w:proofErr w:type="spellEnd"/>
            <w:r w:rsidRPr="00817CDC">
              <w:rPr>
                <w:rFonts w:asciiTheme="minorHAnsi" w:hAnsiTheme="minorHAnsi"/>
                <w:sz w:val="20"/>
                <w:szCs w:val="20"/>
                <w:lang w:val="en-GB"/>
              </w:rPr>
              <w:t xml:space="preserve">.  </w:t>
            </w:r>
            <w:r w:rsidR="00A23C5C" w:rsidRPr="00817CDC">
              <w:rPr>
                <w:rFonts w:asciiTheme="minorHAnsi" w:hAnsiTheme="minorHAnsi"/>
                <w:sz w:val="20"/>
                <w:szCs w:val="20"/>
                <w:lang w:val="en-GB"/>
              </w:rPr>
              <w:t xml:space="preserve">The consent form will record explicit written or oral consent and can be uploaded to </w:t>
            </w:r>
            <w:proofErr w:type="spellStart"/>
            <w:r w:rsidR="001D735F">
              <w:rPr>
                <w:rFonts w:asciiTheme="minorHAnsi" w:hAnsiTheme="minorHAnsi"/>
                <w:sz w:val="20"/>
                <w:szCs w:val="20"/>
                <w:lang w:val="en-GB"/>
              </w:rPr>
              <w:t>BloodSTAR</w:t>
            </w:r>
            <w:proofErr w:type="spellEnd"/>
            <w:r w:rsidR="00A23C5C" w:rsidRPr="00817CDC">
              <w:rPr>
                <w:rFonts w:asciiTheme="minorHAnsi" w:hAnsiTheme="minorHAnsi"/>
                <w:sz w:val="20"/>
                <w:szCs w:val="20"/>
                <w:lang w:val="en-GB"/>
              </w:rPr>
              <w:t xml:space="preserve"> for record keeping purposes. </w:t>
            </w:r>
            <w:r w:rsidRPr="00817CDC">
              <w:rPr>
                <w:rFonts w:asciiTheme="minorHAnsi" w:hAnsiTheme="minorHAnsi"/>
                <w:b/>
                <w:sz w:val="20"/>
                <w:szCs w:val="20"/>
                <w:lang w:val="en-GB"/>
              </w:rPr>
              <w:t>Compliant</w:t>
            </w:r>
          </w:p>
          <w:p w:rsidR="00DC2D1B" w:rsidRPr="00817CDC" w:rsidRDefault="00DC2D1B" w:rsidP="00DA4951">
            <w:pPr>
              <w:pStyle w:val="NormalWeb"/>
              <w:spacing w:line="336" w:lineRule="auto"/>
              <w:ind w:left="360"/>
              <w:rPr>
                <w:rFonts w:asciiTheme="minorHAnsi" w:hAnsiTheme="minorHAnsi"/>
                <w:sz w:val="20"/>
                <w:szCs w:val="20"/>
                <w:lang w:val="en-GB"/>
              </w:rPr>
            </w:pPr>
          </w:p>
        </w:tc>
      </w:tr>
      <w:tr w:rsidR="00DC2D1B" w:rsidRPr="00817CDC" w:rsidTr="00DC2D1B">
        <w:trPr>
          <w:jc w:val="center"/>
        </w:trPr>
        <w:tc>
          <w:tcPr>
            <w:tcW w:w="1809" w:type="dxa"/>
            <w:vMerge/>
          </w:tcPr>
          <w:p w:rsidR="00DC2D1B" w:rsidRPr="00817CDC" w:rsidRDefault="00DC2D1B" w:rsidP="00DA4951">
            <w:pPr>
              <w:pStyle w:val="ListNumber"/>
              <w:numPr>
                <w:ilvl w:val="0"/>
                <w:numId w:val="0"/>
              </w:numPr>
              <w:rPr>
                <w:rFonts w:asciiTheme="minorHAnsi" w:hAnsiTheme="minorHAnsi"/>
                <w:b/>
                <w:lang w:eastAsia="en-AU"/>
              </w:rPr>
            </w:pPr>
          </w:p>
        </w:tc>
        <w:tc>
          <w:tcPr>
            <w:tcW w:w="2344" w:type="dxa"/>
          </w:tcPr>
          <w:p w:rsidR="00DC2D1B" w:rsidRPr="00817CDC" w:rsidRDefault="00DC2D1B" w:rsidP="00817CDC">
            <w:pPr>
              <w:pStyle w:val="NormalWeb"/>
              <w:numPr>
                <w:ilvl w:val="0"/>
                <w:numId w:val="20"/>
              </w:numPr>
              <w:spacing w:line="336" w:lineRule="auto"/>
              <w:rPr>
                <w:rFonts w:asciiTheme="minorHAnsi" w:hAnsiTheme="minorHAnsi"/>
                <w:sz w:val="20"/>
                <w:szCs w:val="20"/>
                <w:lang w:val="en-GB"/>
              </w:rPr>
            </w:pPr>
            <w:r w:rsidRPr="00817CDC">
              <w:rPr>
                <w:rFonts w:asciiTheme="minorHAnsi" w:hAnsiTheme="minorHAnsi"/>
                <w:sz w:val="20"/>
                <w:szCs w:val="20"/>
                <w:lang w:val="en-GB"/>
              </w:rPr>
              <w:t>Will reasonable steps be taken to tell the individual about the purpose of the collection and usual disclosures?</w:t>
            </w:r>
          </w:p>
        </w:tc>
        <w:tc>
          <w:tcPr>
            <w:tcW w:w="603" w:type="dxa"/>
          </w:tcPr>
          <w:p w:rsidR="00DC2D1B" w:rsidRPr="00817CDC" w:rsidRDefault="00DC2D1B" w:rsidP="00DA4951">
            <w:pPr>
              <w:pStyle w:val="ListNumber"/>
              <w:numPr>
                <w:ilvl w:val="0"/>
                <w:numId w:val="0"/>
              </w:numPr>
              <w:jc w:val="center"/>
              <w:rPr>
                <w:rFonts w:asciiTheme="minorHAnsi" w:hAnsiTheme="minorHAnsi"/>
                <w:lang w:eastAsia="en-AU"/>
              </w:rPr>
            </w:pPr>
            <w:r w:rsidRPr="00817CDC">
              <w:rPr>
                <w:rFonts w:asciiTheme="minorHAnsi" w:hAnsiTheme="minorHAnsi"/>
                <w:lang w:eastAsia="en-AU"/>
              </w:rPr>
              <w:t>Yes</w:t>
            </w:r>
          </w:p>
        </w:tc>
        <w:tc>
          <w:tcPr>
            <w:tcW w:w="5255" w:type="dxa"/>
          </w:tcPr>
          <w:p w:rsidR="00DC2D1B" w:rsidRPr="00817CDC" w:rsidRDefault="00DC2D1B" w:rsidP="00DA4951">
            <w:pPr>
              <w:pStyle w:val="NormalWeb"/>
              <w:spacing w:line="336" w:lineRule="auto"/>
              <w:rPr>
                <w:rFonts w:asciiTheme="minorHAnsi" w:hAnsiTheme="minorHAnsi"/>
                <w:sz w:val="20"/>
                <w:szCs w:val="20"/>
                <w:lang w:val="en-GB"/>
              </w:rPr>
            </w:pPr>
            <w:r w:rsidRPr="00817CDC">
              <w:rPr>
                <w:rFonts w:asciiTheme="minorHAnsi" w:hAnsiTheme="minorHAnsi"/>
                <w:sz w:val="20"/>
                <w:szCs w:val="20"/>
                <w:lang w:val="en-GB"/>
              </w:rPr>
              <w:t xml:space="preserve">A Privacy </w:t>
            </w:r>
            <w:r w:rsidR="007D39DF">
              <w:rPr>
                <w:rFonts w:asciiTheme="minorHAnsi" w:hAnsiTheme="minorHAnsi"/>
                <w:sz w:val="20"/>
                <w:szCs w:val="20"/>
                <w:lang w:val="en-GB"/>
              </w:rPr>
              <w:t>Statement and</w:t>
            </w:r>
            <w:r w:rsidR="007D39DF" w:rsidRPr="00817CDC">
              <w:rPr>
                <w:rFonts w:asciiTheme="minorHAnsi" w:hAnsiTheme="minorHAnsi"/>
                <w:sz w:val="20"/>
                <w:szCs w:val="20"/>
                <w:lang w:val="en-GB"/>
              </w:rPr>
              <w:t xml:space="preserve"> </w:t>
            </w:r>
            <w:r w:rsidRPr="00817CDC">
              <w:rPr>
                <w:rFonts w:asciiTheme="minorHAnsi" w:hAnsiTheme="minorHAnsi"/>
                <w:sz w:val="20"/>
                <w:szCs w:val="20"/>
                <w:lang w:val="en-GB"/>
              </w:rPr>
              <w:t xml:space="preserve">Notice will be provided for the information of individuals who become of interest to </w:t>
            </w:r>
            <w:proofErr w:type="spellStart"/>
            <w:r w:rsidR="001D735F">
              <w:rPr>
                <w:rFonts w:asciiTheme="minorHAnsi" w:hAnsiTheme="minorHAnsi"/>
                <w:sz w:val="20"/>
                <w:szCs w:val="20"/>
                <w:lang w:val="en-GB"/>
              </w:rPr>
              <w:t>BloodSTAR</w:t>
            </w:r>
            <w:proofErr w:type="spellEnd"/>
            <w:r w:rsidRPr="00817CDC">
              <w:rPr>
                <w:rFonts w:asciiTheme="minorHAnsi" w:hAnsiTheme="minorHAnsi"/>
                <w:sz w:val="20"/>
                <w:szCs w:val="20"/>
                <w:lang w:val="en-GB"/>
              </w:rPr>
              <w:t>.  The notice will detail the purpose for the collection of sensitive information, its use, usual disclosures and consent.  The notice will also explain the consequences of not providing consent.</w:t>
            </w:r>
          </w:p>
          <w:p w:rsidR="00DC2D1B" w:rsidRPr="00817CDC" w:rsidRDefault="00DC2D1B" w:rsidP="00DA4951">
            <w:pPr>
              <w:pStyle w:val="NormalWeb"/>
              <w:spacing w:line="336" w:lineRule="auto"/>
              <w:rPr>
                <w:rFonts w:asciiTheme="minorHAnsi" w:hAnsiTheme="minorHAnsi"/>
                <w:sz w:val="20"/>
                <w:szCs w:val="20"/>
                <w:lang w:val="en-GB"/>
              </w:rPr>
            </w:pPr>
          </w:p>
        </w:tc>
        <w:tc>
          <w:tcPr>
            <w:tcW w:w="2066" w:type="dxa"/>
            <w:vMerge/>
          </w:tcPr>
          <w:p w:rsidR="00DC2D1B" w:rsidRPr="00817CDC" w:rsidRDefault="00DC2D1B" w:rsidP="00817CDC">
            <w:pPr>
              <w:pStyle w:val="NormalWeb"/>
              <w:numPr>
                <w:ilvl w:val="0"/>
                <w:numId w:val="21"/>
              </w:numPr>
              <w:spacing w:line="336" w:lineRule="auto"/>
              <w:rPr>
                <w:rFonts w:asciiTheme="minorHAnsi" w:hAnsiTheme="minorHAnsi"/>
                <w:sz w:val="20"/>
                <w:szCs w:val="20"/>
                <w:lang w:val="en-GB"/>
              </w:rPr>
            </w:pPr>
          </w:p>
        </w:tc>
        <w:tc>
          <w:tcPr>
            <w:tcW w:w="2097" w:type="dxa"/>
            <w:vMerge/>
          </w:tcPr>
          <w:p w:rsidR="00DC2D1B" w:rsidRPr="00817CDC" w:rsidRDefault="00DC2D1B" w:rsidP="00817CDC">
            <w:pPr>
              <w:pStyle w:val="NormalWeb"/>
              <w:numPr>
                <w:ilvl w:val="0"/>
                <w:numId w:val="21"/>
              </w:numPr>
              <w:spacing w:line="336" w:lineRule="auto"/>
              <w:rPr>
                <w:rFonts w:asciiTheme="minorHAnsi" w:hAnsiTheme="minorHAnsi"/>
                <w:sz w:val="20"/>
                <w:szCs w:val="20"/>
                <w:lang w:val="en-GB"/>
              </w:rPr>
            </w:pPr>
          </w:p>
        </w:tc>
      </w:tr>
      <w:tr w:rsidR="00DC2D1B" w:rsidRPr="00817CDC" w:rsidTr="00DC2D1B">
        <w:trPr>
          <w:jc w:val="center"/>
        </w:trPr>
        <w:tc>
          <w:tcPr>
            <w:tcW w:w="1809" w:type="dxa"/>
            <w:vMerge/>
          </w:tcPr>
          <w:p w:rsidR="00DC2D1B" w:rsidRPr="00817CDC" w:rsidRDefault="00DC2D1B" w:rsidP="00DA4951">
            <w:pPr>
              <w:pStyle w:val="ListNumber"/>
              <w:numPr>
                <w:ilvl w:val="0"/>
                <w:numId w:val="0"/>
              </w:numPr>
              <w:rPr>
                <w:rFonts w:asciiTheme="minorHAnsi" w:hAnsiTheme="minorHAnsi"/>
                <w:b/>
                <w:lang w:eastAsia="en-AU"/>
              </w:rPr>
            </w:pPr>
          </w:p>
        </w:tc>
        <w:tc>
          <w:tcPr>
            <w:tcW w:w="2344" w:type="dxa"/>
          </w:tcPr>
          <w:p w:rsidR="00DC2D1B" w:rsidRPr="00817CDC" w:rsidRDefault="00DC2D1B" w:rsidP="00817CDC">
            <w:pPr>
              <w:pStyle w:val="NormalWeb"/>
              <w:numPr>
                <w:ilvl w:val="0"/>
                <w:numId w:val="20"/>
              </w:numPr>
              <w:spacing w:line="336" w:lineRule="auto"/>
              <w:rPr>
                <w:rFonts w:asciiTheme="minorHAnsi" w:hAnsiTheme="minorHAnsi"/>
                <w:sz w:val="20"/>
                <w:szCs w:val="20"/>
                <w:lang w:val="en-GB"/>
              </w:rPr>
            </w:pPr>
            <w:r w:rsidRPr="00817CDC">
              <w:rPr>
                <w:rFonts w:asciiTheme="minorHAnsi" w:hAnsiTheme="minorHAnsi"/>
                <w:sz w:val="20"/>
                <w:szCs w:val="20"/>
                <w:lang w:val="en-GB"/>
              </w:rPr>
              <w:t>Will the agency’s privacy policy be available for the information of individuals?</w:t>
            </w:r>
          </w:p>
        </w:tc>
        <w:tc>
          <w:tcPr>
            <w:tcW w:w="603" w:type="dxa"/>
          </w:tcPr>
          <w:p w:rsidR="00DC2D1B" w:rsidRPr="00817CDC" w:rsidRDefault="00DC2D1B" w:rsidP="00DA4951">
            <w:pPr>
              <w:pStyle w:val="ListNumber"/>
              <w:numPr>
                <w:ilvl w:val="0"/>
                <w:numId w:val="0"/>
              </w:numPr>
              <w:jc w:val="center"/>
              <w:rPr>
                <w:rFonts w:asciiTheme="minorHAnsi" w:hAnsiTheme="minorHAnsi"/>
                <w:lang w:eastAsia="en-AU"/>
              </w:rPr>
            </w:pPr>
            <w:r w:rsidRPr="00817CDC">
              <w:rPr>
                <w:rFonts w:asciiTheme="minorHAnsi" w:hAnsiTheme="minorHAnsi"/>
                <w:lang w:eastAsia="en-AU"/>
              </w:rPr>
              <w:t>Yes</w:t>
            </w:r>
          </w:p>
        </w:tc>
        <w:tc>
          <w:tcPr>
            <w:tcW w:w="5255" w:type="dxa"/>
          </w:tcPr>
          <w:p w:rsidR="00DC2D1B" w:rsidRPr="00817CDC" w:rsidRDefault="00DC2D1B" w:rsidP="00DC2D1B">
            <w:pPr>
              <w:pStyle w:val="NormalWeb"/>
              <w:spacing w:line="336" w:lineRule="auto"/>
              <w:rPr>
                <w:rFonts w:asciiTheme="minorHAnsi" w:hAnsiTheme="minorHAnsi"/>
                <w:sz w:val="20"/>
                <w:szCs w:val="20"/>
                <w:lang w:val="en-GB"/>
              </w:rPr>
            </w:pPr>
            <w:r w:rsidRPr="00817CDC">
              <w:rPr>
                <w:rFonts w:asciiTheme="minorHAnsi" w:hAnsiTheme="minorHAnsi"/>
                <w:sz w:val="20"/>
                <w:szCs w:val="20"/>
                <w:lang w:val="en-GB"/>
              </w:rPr>
              <w:t xml:space="preserve">The NBA Privacy Policy is available and published on the NBA website at </w:t>
            </w:r>
            <w:hyperlink r:id="rId20" w:history="1">
              <w:r w:rsidRPr="00817CDC">
                <w:rPr>
                  <w:rFonts w:asciiTheme="minorHAnsi" w:hAnsiTheme="minorHAnsi"/>
                  <w:color w:val="0070C0"/>
                  <w:sz w:val="20"/>
                  <w:szCs w:val="20"/>
                </w:rPr>
                <w:t>h</w:t>
              </w:r>
              <w:r w:rsidRPr="00817CDC">
                <w:rPr>
                  <w:rFonts w:asciiTheme="minorHAnsi" w:hAnsiTheme="minorHAnsi"/>
                  <w:color w:val="0070C0"/>
                  <w:sz w:val="20"/>
                  <w:szCs w:val="20"/>
                  <w:u w:val="single"/>
                  <w:lang w:val="en-GB"/>
                </w:rPr>
                <w:t>ttp://www.blood.gov.au/system/files/documents/nba-privacy-policy_0.pdf</w:t>
              </w:r>
            </w:hyperlink>
            <w:r w:rsidRPr="00817CDC">
              <w:rPr>
                <w:rFonts w:asciiTheme="minorHAnsi" w:hAnsiTheme="minorHAnsi"/>
                <w:sz w:val="20"/>
                <w:szCs w:val="20"/>
                <w:lang w:val="en-GB"/>
              </w:rPr>
              <w:t>.  The NBA privacy policy describes the processes for handling privacy enquiries and complaints.</w:t>
            </w:r>
          </w:p>
          <w:p w:rsidR="00DC2D1B" w:rsidRPr="00817CDC" w:rsidRDefault="00DC2D1B" w:rsidP="00DA4951">
            <w:pPr>
              <w:pStyle w:val="NormalWeb"/>
              <w:spacing w:line="336" w:lineRule="auto"/>
              <w:rPr>
                <w:rFonts w:asciiTheme="minorHAnsi" w:hAnsiTheme="minorHAnsi"/>
                <w:sz w:val="20"/>
                <w:szCs w:val="20"/>
                <w:lang w:val="en-GB"/>
              </w:rPr>
            </w:pPr>
          </w:p>
        </w:tc>
        <w:tc>
          <w:tcPr>
            <w:tcW w:w="2066" w:type="dxa"/>
          </w:tcPr>
          <w:p w:rsidR="00DC2D1B" w:rsidRPr="00817CDC" w:rsidRDefault="00DC2D1B" w:rsidP="00817CDC">
            <w:pPr>
              <w:pStyle w:val="NormalWeb"/>
              <w:numPr>
                <w:ilvl w:val="0"/>
                <w:numId w:val="19"/>
              </w:numPr>
              <w:spacing w:line="336" w:lineRule="auto"/>
              <w:rPr>
                <w:rFonts w:asciiTheme="minorHAnsi" w:hAnsiTheme="minorHAnsi"/>
                <w:sz w:val="20"/>
                <w:szCs w:val="20"/>
                <w:lang w:val="en-GB"/>
              </w:rPr>
            </w:pPr>
            <w:r w:rsidRPr="00817CDC">
              <w:rPr>
                <w:rFonts w:asciiTheme="minorHAnsi" w:hAnsiTheme="minorHAnsi"/>
                <w:sz w:val="20"/>
                <w:szCs w:val="20"/>
                <w:lang w:val="en-GB"/>
              </w:rPr>
              <w:t>Develop and publish NBA Privacy Policy</w:t>
            </w:r>
          </w:p>
        </w:tc>
        <w:tc>
          <w:tcPr>
            <w:tcW w:w="2097" w:type="dxa"/>
          </w:tcPr>
          <w:p w:rsidR="00DC2D1B" w:rsidRPr="00817CDC" w:rsidRDefault="00DC2D1B" w:rsidP="00817CDC">
            <w:pPr>
              <w:pStyle w:val="NormalWeb"/>
              <w:numPr>
                <w:ilvl w:val="0"/>
                <w:numId w:val="22"/>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NBA Privacy Policy is published on the NBA website. </w:t>
            </w:r>
            <w:r w:rsidRPr="00817CDC">
              <w:rPr>
                <w:rFonts w:asciiTheme="minorHAnsi" w:hAnsiTheme="minorHAnsi"/>
                <w:b/>
                <w:sz w:val="20"/>
                <w:szCs w:val="20"/>
                <w:lang w:val="en-GB"/>
              </w:rPr>
              <w:t>Compliant</w:t>
            </w:r>
          </w:p>
        </w:tc>
      </w:tr>
      <w:tr w:rsidR="00DC2D1B" w:rsidRPr="00817CDC" w:rsidTr="00DC2D1B">
        <w:trPr>
          <w:jc w:val="center"/>
        </w:trPr>
        <w:tc>
          <w:tcPr>
            <w:tcW w:w="1809" w:type="dxa"/>
          </w:tcPr>
          <w:p w:rsidR="00DC2D1B" w:rsidRPr="00817CDC" w:rsidRDefault="00DC2D1B" w:rsidP="00DC2D1B">
            <w:pPr>
              <w:pStyle w:val="ListNumber"/>
              <w:numPr>
                <w:ilvl w:val="0"/>
                <w:numId w:val="0"/>
              </w:numPr>
              <w:rPr>
                <w:rFonts w:asciiTheme="minorHAnsi" w:hAnsiTheme="minorHAnsi"/>
                <w:lang w:eastAsia="en-AU"/>
              </w:rPr>
            </w:pPr>
            <w:r w:rsidRPr="00817CDC">
              <w:rPr>
                <w:rFonts w:asciiTheme="minorHAnsi" w:hAnsiTheme="minorHAnsi"/>
                <w:lang w:eastAsia="en-AU"/>
              </w:rPr>
              <w:t>APP 2 — anonymity and pseudonymity</w:t>
            </w:r>
          </w:p>
          <w:p w:rsidR="00DC2D1B" w:rsidRPr="00817CDC" w:rsidRDefault="00DC2D1B" w:rsidP="00DA4951">
            <w:pPr>
              <w:pStyle w:val="ListNumber"/>
              <w:numPr>
                <w:ilvl w:val="0"/>
                <w:numId w:val="0"/>
              </w:numPr>
              <w:rPr>
                <w:rFonts w:asciiTheme="minorHAnsi" w:hAnsiTheme="minorHAnsi"/>
                <w:lang w:eastAsia="en-AU"/>
              </w:rPr>
            </w:pPr>
          </w:p>
        </w:tc>
        <w:tc>
          <w:tcPr>
            <w:tcW w:w="2344" w:type="dxa"/>
          </w:tcPr>
          <w:p w:rsidR="00DC2D1B" w:rsidRPr="00817CDC" w:rsidRDefault="00DC2D1B" w:rsidP="00817CDC">
            <w:pPr>
              <w:pStyle w:val="NormalWeb"/>
              <w:numPr>
                <w:ilvl w:val="0"/>
                <w:numId w:val="20"/>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Will individuals have the option of not identifying themselves? </w:t>
            </w:r>
          </w:p>
          <w:p w:rsidR="00DC2D1B" w:rsidRPr="00817CDC" w:rsidRDefault="00DC2D1B" w:rsidP="00DC2D1B">
            <w:pPr>
              <w:pStyle w:val="NormalWeb"/>
              <w:spacing w:line="336" w:lineRule="auto"/>
              <w:ind w:left="360"/>
              <w:rPr>
                <w:rFonts w:asciiTheme="minorHAnsi" w:hAnsiTheme="minorHAnsi"/>
                <w:sz w:val="20"/>
                <w:szCs w:val="20"/>
                <w:lang w:val="en-GB"/>
              </w:rPr>
            </w:pPr>
          </w:p>
        </w:tc>
        <w:tc>
          <w:tcPr>
            <w:tcW w:w="603" w:type="dxa"/>
          </w:tcPr>
          <w:p w:rsidR="00DC2D1B" w:rsidRPr="00817CDC" w:rsidRDefault="00C41D82" w:rsidP="00C41D82">
            <w:pPr>
              <w:rPr>
                <w:rFonts w:asciiTheme="minorHAnsi" w:hAnsiTheme="minorHAnsi"/>
                <w:lang w:eastAsia="en-AU"/>
              </w:rPr>
            </w:pPr>
            <w:r w:rsidRPr="00817CDC">
              <w:rPr>
                <w:rFonts w:asciiTheme="minorHAnsi" w:hAnsiTheme="minorHAnsi"/>
                <w:lang w:eastAsia="en-AU"/>
              </w:rPr>
              <w:t>No</w:t>
            </w:r>
          </w:p>
        </w:tc>
        <w:tc>
          <w:tcPr>
            <w:tcW w:w="5255" w:type="dxa"/>
          </w:tcPr>
          <w:p w:rsidR="00DC2D1B" w:rsidRPr="00817CDC" w:rsidRDefault="00DC2D1B" w:rsidP="00681A20">
            <w:pPr>
              <w:pStyle w:val="NormalWeb"/>
              <w:spacing w:line="336" w:lineRule="auto"/>
              <w:rPr>
                <w:rFonts w:asciiTheme="minorHAnsi" w:hAnsiTheme="minorHAnsi"/>
                <w:sz w:val="20"/>
                <w:szCs w:val="20"/>
                <w:lang w:val="en-GB"/>
              </w:rPr>
            </w:pPr>
            <w:proofErr w:type="spellStart"/>
            <w:r w:rsidRPr="00817CDC">
              <w:rPr>
                <w:rFonts w:asciiTheme="minorHAnsi" w:hAnsiTheme="minorHAnsi"/>
                <w:sz w:val="20"/>
                <w:szCs w:val="20"/>
                <w:lang w:val="en-GB"/>
              </w:rPr>
              <w:t>Pseudonym</w:t>
            </w:r>
            <w:r w:rsidR="007D39DF">
              <w:rPr>
                <w:rFonts w:asciiTheme="minorHAnsi" w:hAnsiTheme="minorHAnsi"/>
                <w:sz w:val="20"/>
                <w:szCs w:val="20"/>
                <w:lang w:val="en-GB"/>
              </w:rPr>
              <w:t>ity</w:t>
            </w:r>
            <w:proofErr w:type="spellEnd"/>
            <w:r w:rsidRPr="00817CDC">
              <w:rPr>
                <w:rFonts w:asciiTheme="minorHAnsi" w:hAnsiTheme="minorHAnsi"/>
                <w:sz w:val="20"/>
                <w:szCs w:val="20"/>
                <w:lang w:val="en-GB"/>
              </w:rPr>
              <w:t xml:space="preserve"> and anonymous options are impracticable. The primary purpose of collection of personal and sensitive information is to uniquely identify individuals for assessment of authorisation for initial access and continuing access (where relevant) against the </w:t>
            </w:r>
            <w:r w:rsidRPr="00817CDC">
              <w:rPr>
                <w:rFonts w:asciiTheme="minorHAnsi" w:hAnsiTheme="minorHAnsi"/>
                <w:i/>
                <w:sz w:val="20"/>
                <w:szCs w:val="20"/>
                <w:lang w:val="en-GB"/>
              </w:rPr>
              <w:t>Criteria for the clinical use of intravenous immunoglobulin in Australia</w:t>
            </w:r>
            <w:r w:rsidRPr="00817CDC">
              <w:rPr>
                <w:rFonts w:asciiTheme="minorHAnsi" w:hAnsiTheme="minorHAnsi"/>
                <w:sz w:val="20"/>
                <w:szCs w:val="20"/>
                <w:lang w:val="en-GB"/>
              </w:rPr>
              <w:t>, to ensure the appropriate supply of product to that individual for the treatment of their specific medical condition.</w:t>
            </w:r>
            <w:r w:rsidR="0044368A" w:rsidRPr="00817CDC">
              <w:rPr>
                <w:rFonts w:asciiTheme="minorHAnsi" w:hAnsiTheme="minorHAnsi"/>
                <w:sz w:val="20"/>
                <w:szCs w:val="20"/>
                <w:lang w:val="en-GB"/>
              </w:rPr>
              <w:t xml:space="preserve">  The use of multiple hospital identifiers, across and within hospitals, will not enable accurate data matching to minimise the patient risk of receiving treatment for different medical conditions in different hospitals.</w:t>
            </w:r>
          </w:p>
        </w:tc>
        <w:tc>
          <w:tcPr>
            <w:tcW w:w="2066" w:type="dxa"/>
          </w:tcPr>
          <w:p w:rsidR="00DC2D1B" w:rsidRPr="00817CDC" w:rsidRDefault="00DC2D1B" w:rsidP="00817CDC">
            <w:pPr>
              <w:pStyle w:val="NormalWeb"/>
              <w:numPr>
                <w:ilvl w:val="0"/>
                <w:numId w:val="19"/>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Develop information for patients to explain why </w:t>
            </w:r>
            <w:proofErr w:type="spellStart"/>
            <w:r w:rsidRPr="00817CDC">
              <w:rPr>
                <w:rFonts w:asciiTheme="minorHAnsi" w:hAnsiTheme="minorHAnsi"/>
                <w:sz w:val="20"/>
                <w:szCs w:val="20"/>
                <w:lang w:val="en-GB"/>
              </w:rPr>
              <w:t>pseudonym</w:t>
            </w:r>
            <w:r w:rsidR="007D39DF">
              <w:rPr>
                <w:rFonts w:asciiTheme="minorHAnsi" w:hAnsiTheme="minorHAnsi"/>
                <w:sz w:val="20"/>
                <w:szCs w:val="20"/>
                <w:lang w:val="en-GB"/>
              </w:rPr>
              <w:t>ity</w:t>
            </w:r>
            <w:proofErr w:type="spellEnd"/>
            <w:r w:rsidRPr="00817CDC">
              <w:rPr>
                <w:rFonts w:asciiTheme="minorHAnsi" w:hAnsiTheme="minorHAnsi"/>
                <w:sz w:val="20"/>
                <w:szCs w:val="20"/>
                <w:lang w:val="en-GB"/>
              </w:rPr>
              <w:t xml:space="preserve"> and anonymous options are impracticable. </w:t>
            </w:r>
          </w:p>
        </w:tc>
        <w:tc>
          <w:tcPr>
            <w:tcW w:w="2097" w:type="dxa"/>
          </w:tcPr>
          <w:p w:rsidR="006E2501" w:rsidRPr="00817CDC" w:rsidRDefault="00DC2D1B" w:rsidP="00817CDC">
            <w:pPr>
              <w:pStyle w:val="NormalWeb"/>
              <w:numPr>
                <w:ilvl w:val="0"/>
                <w:numId w:val="22"/>
              </w:numPr>
              <w:spacing w:line="336" w:lineRule="auto"/>
              <w:rPr>
                <w:rFonts w:asciiTheme="minorHAnsi" w:hAnsiTheme="minorHAnsi"/>
                <w:b/>
                <w:sz w:val="20"/>
                <w:szCs w:val="20"/>
                <w:lang w:val="en-GB"/>
              </w:rPr>
            </w:pPr>
            <w:r w:rsidRPr="00817CDC">
              <w:rPr>
                <w:rFonts w:asciiTheme="minorHAnsi" w:hAnsiTheme="minorHAnsi"/>
                <w:sz w:val="20"/>
                <w:szCs w:val="20"/>
                <w:lang w:val="en-GB"/>
              </w:rPr>
              <w:t xml:space="preserve">The Privacy </w:t>
            </w:r>
            <w:r w:rsidR="007D39DF">
              <w:rPr>
                <w:rFonts w:asciiTheme="minorHAnsi" w:hAnsiTheme="minorHAnsi"/>
                <w:sz w:val="20"/>
                <w:szCs w:val="20"/>
                <w:lang w:val="en-GB"/>
              </w:rPr>
              <w:t>Statement and N</w:t>
            </w:r>
            <w:r w:rsidRPr="00817CDC">
              <w:rPr>
                <w:rFonts w:asciiTheme="minorHAnsi" w:hAnsiTheme="minorHAnsi"/>
                <w:sz w:val="20"/>
                <w:szCs w:val="20"/>
                <w:lang w:val="en-GB"/>
              </w:rPr>
              <w:t xml:space="preserve">otice </w:t>
            </w:r>
            <w:r w:rsidR="006E2501" w:rsidRPr="00817CDC">
              <w:rPr>
                <w:rFonts w:asciiTheme="minorHAnsi" w:hAnsiTheme="minorHAnsi"/>
                <w:sz w:val="20"/>
                <w:szCs w:val="20"/>
                <w:lang w:val="en-GB"/>
              </w:rPr>
              <w:t xml:space="preserve">will </w:t>
            </w:r>
            <w:r w:rsidRPr="00817CDC">
              <w:rPr>
                <w:rFonts w:asciiTheme="minorHAnsi" w:hAnsiTheme="minorHAnsi"/>
                <w:sz w:val="20"/>
                <w:szCs w:val="20"/>
                <w:lang w:val="en-GB"/>
              </w:rPr>
              <w:t>inc</w:t>
            </w:r>
            <w:r w:rsidR="006E2501" w:rsidRPr="00817CDC">
              <w:rPr>
                <w:rFonts w:asciiTheme="minorHAnsi" w:hAnsiTheme="minorHAnsi"/>
                <w:sz w:val="20"/>
                <w:szCs w:val="20"/>
                <w:lang w:val="en-GB"/>
              </w:rPr>
              <w:t>lude</w:t>
            </w:r>
            <w:r w:rsidR="0044368A" w:rsidRPr="00817CDC">
              <w:rPr>
                <w:rFonts w:asciiTheme="minorHAnsi" w:hAnsiTheme="minorHAnsi"/>
                <w:sz w:val="20"/>
                <w:szCs w:val="20"/>
                <w:lang w:val="en-GB"/>
              </w:rPr>
              <w:t xml:space="preserve"> information for patients</w:t>
            </w:r>
            <w:r w:rsidRPr="00817CDC">
              <w:rPr>
                <w:rFonts w:asciiTheme="minorHAnsi" w:hAnsiTheme="minorHAnsi"/>
                <w:sz w:val="20"/>
                <w:szCs w:val="20"/>
                <w:lang w:val="en-GB"/>
              </w:rPr>
              <w:t xml:space="preserve"> </w:t>
            </w:r>
            <w:r w:rsidR="007A2C32" w:rsidRPr="00817CDC">
              <w:rPr>
                <w:rFonts w:asciiTheme="minorHAnsi" w:hAnsiTheme="minorHAnsi"/>
                <w:sz w:val="20"/>
                <w:szCs w:val="20"/>
                <w:lang w:val="en-GB"/>
              </w:rPr>
              <w:t xml:space="preserve">about the impracticability of </w:t>
            </w:r>
            <w:proofErr w:type="spellStart"/>
            <w:r w:rsidR="007A2C32" w:rsidRPr="00817CDC">
              <w:rPr>
                <w:rFonts w:asciiTheme="minorHAnsi" w:hAnsiTheme="minorHAnsi"/>
                <w:sz w:val="20"/>
                <w:szCs w:val="20"/>
                <w:lang w:val="en-GB"/>
              </w:rPr>
              <w:t>pseudonym</w:t>
            </w:r>
            <w:r w:rsidR="007D39DF">
              <w:rPr>
                <w:rFonts w:asciiTheme="minorHAnsi" w:hAnsiTheme="minorHAnsi"/>
                <w:sz w:val="20"/>
                <w:szCs w:val="20"/>
                <w:lang w:val="en-GB"/>
              </w:rPr>
              <w:t>ity</w:t>
            </w:r>
            <w:proofErr w:type="spellEnd"/>
            <w:r w:rsidR="007A2C32" w:rsidRPr="00817CDC">
              <w:rPr>
                <w:rFonts w:asciiTheme="minorHAnsi" w:hAnsiTheme="minorHAnsi"/>
                <w:sz w:val="20"/>
                <w:szCs w:val="20"/>
                <w:lang w:val="en-GB"/>
              </w:rPr>
              <w:t xml:space="preserve"> and anonymous option</w:t>
            </w:r>
            <w:r w:rsidR="006E2501" w:rsidRPr="00817CDC">
              <w:rPr>
                <w:rFonts w:asciiTheme="minorHAnsi" w:hAnsiTheme="minorHAnsi"/>
                <w:sz w:val="20"/>
                <w:szCs w:val="20"/>
                <w:lang w:val="en-GB"/>
              </w:rPr>
              <w:t>s.</w:t>
            </w:r>
          </w:p>
          <w:p w:rsidR="007A2C32" w:rsidRPr="00817CDC" w:rsidRDefault="007A2C32" w:rsidP="006E2501">
            <w:pPr>
              <w:pStyle w:val="NormalWeb"/>
              <w:spacing w:line="336" w:lineRule="auto"/>
              <w:ind w:left="397"/>
              <w:rPr>
                <w:rFonts w:asciiTheme="minorHAnsi" w:hAnsiTheme="minorHAnsi"/>
                <w:b/>
                <w:sz w:val="20"/>
                <w:szCs w:val="20"/>
                <w:lang w:val="en-GB"/>
              </w:rPr>
            </w:pPr>
            <w:r w:rsidRPr="00817CDC">
              <w:rPr>
                <w:rFonts w:asciiTheme="minorHAnsi" w:hAnsiTheme="minorHAnsi"/>
                <w:b/>
                <w:sz w:val="20"/>
                <w:szCs w:val="20"/>
                <w:lang w:val="en-GB"/>
              </w:rPr>
              <w:t>Compliant</w:t>
            </w:r>
          </w:p>
        </w:tc>
      </w:tr>
      <w:tr w:rsidR="006378A7" w:rsidRPr="00817CDC" w:rsidTr="00DC2D1B">
        <w:trPr>
          <w:jc w:val="center"/>
        </w:trPr>
        <w:tc>
          <w:tcPr>
            <w:tcW w:w="1809" w:type="dxa"/>
            <w:vMerge w:val="restart"/>
          </w:tcPr>
          <w:p w:rsidR="006378A7" w:rsidRPr="00817CDC" w:rsidRDefault="006378A7" w:rsidP="00DC2D1B">
            <w:pPr>
              <w:pStyle w:val="ListNumber"/>
              <w:numPr>
                <w:ilvl w:val="0"/>
                <w:numId w:val="0"/>
              </w:numPr>
              <w:rPr>
                <w:rFonts w:asciiTheme="minorHAnsi" w:hAnsiTheme="minorHAnsi"/>
                <w:lang w:eastAsia="en-AU"/>
              </w:rPr>
            </w:pPr>
            <w:r w:rsidRPr="00817CDC">
              <w:rPr>
                <w:rFonts w:asciiTheme="minorHAnsi" w:hAnsiTheme="minorHAnsi"/>
                <w:lang w:eastAsia="en-AU"/>
              </w:rPr>
              <w:t>APP 3 - collection of solicited personal information</w:t>
            </w:r>
            <w:r w:rsidR="00D061CE" w:rsidRPr="00817CDC">
              <w:rPr>
                <w:rFonts w:asciiTheme="minorHAnsi" w:hAnsiTheme="minorHAnsi"/>
                <w:lang w:eastAsia="en-AU"/>
              </w:rPr>
              <w:t xml:space="preserve"> and</w:t>
            </w:r>
            <w:r w:rsidR="00D061CE" w:rsidRPr="00817CDC">
              <w:rPr>
                <w:rFonts w:asciiTheme="minorHAnsi" w:hAnsiTheme="minorHAnsi"/>
                <w:color w:val="050505"/>
              </w:rPr>
              <w:t xml:space="preserve"> </w:t>
            </w:r>
            <w:r w:rsidR="00D061CE" w:rsidRPr="00817CDC">
              <w:rPr>
                <w:rFonts w:asciiTheme="minorHAnsi" w:hAnsiTheme="minorHAnsi"/>
                <w:color w:val="050505"/>
              </w:rPr>
              <w:lastRenderedPageBreak/>
              <w:t>APP 5 – Notification of collection</w:t>
            </w:r>
          </w:p>
        </w:tc>
        <w:tc>
          <w:tcPr>
            <w:tcW w:w="2344" w:type="dxa"/>
          </w:tcPr>
          <w:p w:rsidR="006378A7" w:rsidRPr="00817CDC" w:rsidRDefault="006378A7" w:rsidP="00817CDC">
            <w:pPr>
              <w:pStyle w:val="NormalWeb"/>
              <w:numPr>
                <w:ilvl w:val="0"/>
                <w:numId w:val="20"/>
              </w:numPr>
              <w:spacing w:line="336" w:lineRule="auto"/>
              <w:rPr>
                <w:rFonts w:asciiTheme="minorHAnsi" w:hAnsiTheme="minorHAnsi"/>
                <w:sz w:val="20"/>
                <w:szCs w:val="20"/>
                <w:lang w:val="en-GB"/>
              </w:rPr>
            </w:pPr>
            <w:r w:rsidRPr="00817CDC">
              <w:rPr>
                <w:rFonts w:asciiTheme="minorHAnsi" w:hAnsiTheme="minorHAnsi"/>
                <w:sz w:val="20"/>
                <w:szCs w:val="20"/>
                <w:lang w:val="en-GB"/>
              </w:rPr>
              <w:lastRenderedPageBreak/>
              <w:t xml:space="preserve">Is personal information collected for a lawful purpose directly related to a </w:t>
            </w:r>
            <w:r w:rsidRPr="00817CDC">
              <w:rPr>
                <w:rFonts w:asciiTheme="minorHAnsi" w:hAnsiTheme="minorHAnsi"/>
                <w:sz w:val="20"/>
                <w:szCs w:val="20"/>
                <w:lang w:val="en-GB"/>
              </w:rPr>
              <w:lastRenderedPageBreak/>
              <w:t xml:space="preserve">function or activity of the agency? </w:t>
            </w:r>
          </w:p>
          <w:p w:rsidR="006378A7" w:rsidRPr="00817CDC" w:rsidRDefault="006378A7" w:rsidP="006378A7">
            <w:pPr>
              <w:pStyle w:val="NormalWeb"/>
              <w:spacing w:line="336" w:lineRule="auto"/>
              <w:rPr>
                <w:rFonts w:asciiTheme="minorHAnsi" w:hAnsiTheme="minorHAnsi"/>
                <w:sz w:val="20"/>
                <w:szCs w:val="20"/>
                <w:highlight w:val="yellow"/>
                <w:lang w:val="en-GB"/>
              </w:rPr>
            </w:pPr>
          </w:p>
        </w:tc>
        <w:tc>
          <w:tcPr>
            <w:tcW w:w="603" w:type="dxa"/>
          </w:tcPr>
          <w:p w:rsidR="006378A7" w:rsidRPr="00817CDC" w:rsidRDefault="006378A7" w:rsidP="00C41D82">
            <w:pPr>
              <w:rPr>
                <w:rFonts w:asciiTheme="minorHAnsi" w:hAnsiTheme="minorHAnsi"/>
                <w:lang w:eastAsia="en-AU"/>
              </w:rPr>
            </w:pPr>
            <w:r w:rsidRPr="00817CDC">
              <w:rPr>
                <w:rFonts w:asciiTheme="minorHAnsi" w:hAnsiTheme="minorHAnsi"/>
                <w:lang w:eastAsia="en-AU"/>
              </w:rPr>
              <w:lastRenderedPageBreak/>
              <w:t>Yes</w:t>
            </w:r>
          </w:p>
        </w:tc>
        <w:tc>
          <w:tcPr>
            <w:tcW w:w="5255" w:type="dxa"/>
          </w:tcPr>
          <w:p w:rsidR="003A78E3" w:rsidRPr="00817CDC" w:rsidRDefault="003A78E3" w:rsidP="003A78E3">
            <w:pPr>
              <w:pStyle w:val="ListNumber"/>
              <w:numPr>
                <w:ilvl w:val="0"/>
                <w:numId w:val="0"/>
              </w:numPr>
              <w:rPr>
                <w:rFonts w:asciiTheme="minorHAnsi" w:hAnsiTheme="minorHAnsi"/>
                <w:lang w:eastAsia="en-AU"/>
              </w:rPr>
            </w:pPr>
            <w:r w:rsidRPr="00817CDC">
              <w:rPr>
                <w:rFonts w:asciiTheme="minorHAnsi" w:hAnsiTheme="minorHAnsi"/>
                <w:lang w:eastAsia="en-AU"/>
              </w:rPr>
              <w:t xml:space="preserve">The key role of the NBA is to: </w:t>
            </w:r>
          </w:p>
          <w:p w:rsidR="003A78E3" w:rsidRPr="00817CDC" w:rsidRDefault="003A78E3" w:rsidP="00817CDC">
            <w:pPr>
              <w:pStyle w:val="ListParagraph"/>
              <w:numPr>
                <w:ilvl w:val="0"/>
                <w:numId w:val="27"/>
              </w:numPr>
              <w:spacing w:before="120" w:after="120" w:line="240" w:lineRule="auto"/>
              <w:rPr>
                <w:rFonts w:asciiTheme="minorHAnsi" w:hAnsiTheme="minorHAnsi"/>
                <w:lang w:eastAsia="en-AU"/>
              </w:rPr>
            </w:pPr>
            <w:r w:rsidRPr="00817CDC">
              <w:rPr>
                <w:rFonts w:asciiTheme="minorHAnsi" w:hAnsiTheme="minorHAnsi"/>
                <w:lang w:eastAsia="en-AU"/>
              </w:rPr>
              <w:t xml:space="preserve">provide an adequate, safe, secure and affordable supply of blood products, blood related products and blood related services, and </w:t>
            </w:r>
          </w:p>
          <w:p w:rsidR="003A78E3" w:rsidRPr="00817CDC" w:rsidRDefault="003A78E3" w:rsidP="00817CDC">
            <w:pPr>
              <w:pStyle w:val="ListParagraph"/>
              <w:numPr>
                <w:ilvl w:val="0"/>
                <w:numId w:val="27"/>
              </w:numPr>
              <w:spacing w:before="120" w:after="120" w:line="240" w:lineRule="auto"/>
              <w:rPr>
                <w:rFonts w:asciiTheme="minorHAnsi" w:hAnsiTheme="minorHAnsi"/>
                <w:lang w:eastAsia="en-AU"/>
              </w:rPr>
            </w:pPr>
            <w:proofErr w:type="gramStart"/>
            <w:r w:rsidRPr="00817CDC">
              <w:rPr>
                <w:rFonts w:asciiTheme="minorHAnsi" w:hAnsiTheme="minorHAnsi"/>
                <w:lang w:eastAsia="en-AU"/>
              </w:rPr>
              <w:lastRenderedPageBreak/>
              <w:t>promote</w:t>
            </w:r>
            <w:proofErr w:type="gramEnd"/>
            <w:r w:rsidRPr="00817CDC">
              <w:rPr>
                <w:rFonts w:asciiTheme="minorHAnsi" w:hAnsiTheme="minorHAnsi"/>
                <w:lang w:eastAsia="en-AU"/>
              </w:rPr>
              <w:t xml:space="preserve"> safe, high quality management and use of blood products, blood related products and blood related services in Australia. </w:t>
            </w:r>
          </w:p>
          <w:p w:rsidR="003A78E3" w:rsidRPr="00817CDC" w:rsidRDefault="003A78E3" w:rsidP="00817CDC">
            <w:pPr>
              <w:pStyle w:val="ListNumber"/>
              <w:numPr>
                <w:ilvl w:val="0"/>
                <w:numId w:val="27"/>
              </w:numPr>
              <w:rPr>
                <w:rFonts w:asciiTheme="minorHAnsi" w:hAnsiTheme="minorHAnsi"/>
                <w:lang w:eastAsia="en-AU"/>
              </w:rPr>
            </w:pPr>
            <w:r w:rsidRPr="00817CDC">
              <w:rPr>
                <w:rFonts w:asciiTheme="minorHAnsi" w:hAnsiTheme="minorHAnsi"/>
                <w:lang w:eastAsia="en-AU"/>
              </w:rPr>
              <w:t xml:space="preserve">Section 8 of the </w:t>
            </w:r>
            <w:r w:rsidRPr="00817CDC">
              <w:rPr>
                <w:rFonts w:asciiTheme="minorHAnsi" w:hAnsiTheme="minorHAnsi"/>
                <w:i/>
                <w:iCs/>
                <w:lang w:eastAsia="en-AU"/>
              </w:rPr>
              <w:t xml:space="preserve">National Blood Authority Act 2003 </w:t>
            </w:r>
            <w:r w:rsidRPr="00817CDC">
              <w:rPr>
                <w:rFonts w:asciiTheme="minorHAnsi" w:hAnsiTheme="minorHAnsi"/>
                <w:lang w:eastAsia="en-AU"/>
              </w:rPr>
              <w:t>(</w:t>
            </w:r>
            <w:proofErr w:type="spellStart"/>
            <w:r w:rsidRPr="00817CDC">
              <w:rPr>
                <w:rFonts w:asciiTheme="minorHAnsi" w:hAnsiTheme="minorHAnsi"/>
                <w:lang w:eastAsia="en-AU"/>
              </w:rPr>
              <w:t>Cth</w:t>
            </w:r>
            <w:proofErr w:type="spellEnd"/>
            <w:r w:rsidRPr="00817CDC">
              <w:rPr>
                <w:rFonts w:asciiTheme="minorHAnsi" w:hAnsiTheme="minorHAnsi"/>
                <w:lang w:eastAsia="en-AU"/>
              </w:rPr>
              <w:t xml:space="preserve">) sets out the various functions of the NBA. </w:t>
            </w:r>
          </w:p>
          <w:p w:rsidR="003A78E3" w:rsidRPr="00817CDC" w:rsidRDefault="003A78E3" w:rsidP="00817CDC">
            <w:pPr>
              <w:pStyle w:val="ListNumber"/>
              <w:numPr>
                <w:ilvl w:val="0"/>
                <w:numId w:val="27"/>
              </w:numPr>
              <w:rPr>
                <w:rFonts w:asciiTheme="minorHAnsi" w:hAnsiTheme="minorHAnsi"/>
                <w:lang w:eastAsia="en-AU"/>
              </w:rPr>
            </w:pPr>
            <w:r w:rsidRPr="00817CDC">
              <w:rPr>
                <w:rFonts w:asciiTheme="minorHAnsi" w:hAnsiTheme="minorHAnsi"/>
                <w:lang w:eastAsia="en-AU"/>
              </w:rPr>
              <w:t xml:space="preserve">Several of the agreed roles of the NBA require the NBA to liaise with and continuously gather blood sector data in order to: </w:t>
            </w:r>
          </w:p>
          <w:p w:rsidR="003A78E3" w:rsidRPr="00817CDC" w:rsidRDefault="003A78E3" w:rsidP="00817CDC">
            <w:pPr>
              <w:pStyle w:val="ListParagraph"/>
              <w:numPr>
                <w:ilvl w:val="1"/>
                <w:numId w:val="27"/>
              </w:numPr>
              <w:spacing w:before="120" w:after="120" w:line="240" w:lineRule="auto"/>
              <w:rPr>
                <w:rFonts w:asciiTheme="minorHAnsi" w:hAnsiTheme="minorHAnsi"/>
                <w:lang w:eastAsia="en-AU"/>
              </w:rPr>
            </w:pPr>
            <w:r w:rsidRPr="00817CDC">
              <w:rPr>
                <w:rFonts w:asciiTheme="minorHAnsi" w:hAnsiTheme="minorHAnsi"/>
                <w:lang w:eastAsia="en-AU"/>
              </w:rPr>
              <w:t xml:space="preserve">monitor the demand for blood and blood products; </w:t>
            </w:r>
          </w:p>
          <w:p w:rsidR="003A78E3" w:rsidRPr="00817CDC" w:rsidRDefault="003A78E3" w:rsidP="00817CDC">
            <w:pPr>
              <w:pStyle w:val="ListParagraph"/>
              <w:numPr>
                <w:ilvl w:val="1"/>
                <w:numId w:val="27"/>
              </w:numPr>
              <w:spacing w:before="120" w:after="120" w:line="240" w:lineRule="auto"/>
              <w:rPr>
                <w:rFonts w:asciiTheme="minorHAnsi" w:hAnsiTheme="minorHAnsi"/>
                <w:lang w:eastAsia="en-AU"/>
              </w:rPr>
            </w:pPr>
            <w:r w:rsidRPr="00817CDC">
              <w:rPr>
                <w:rFonts w:asciiTheme="minorHAnsi" w:hAnsiTheme="minorHAnsi"/>
                <w:lang w:eastAsia="en-AU"/>
              </w:rPr>
              <w:t xml:space="preserve">undertake annual supply and production planning and budgeting; </w:t>
            </w:r>
          </w:p>
          <w:p w:rsidR="003A78E3" w:rsidRPr="00817CDC" w:rsidRDefault="003A78E3" w:rsidP="00817CDC">
            <w:pPr>
              <w:pStyle w:val="ListParagraph"/>
              <w:numPr>
                <w:ilvl w:val="1"/>
                <w:numId w:val="27"/>
              </w:numPr>
              <w:spacing w:before="120" w:after="120" w:line="240" w:lineRule="auto"/>
              <w:rPr>
                <w:rFonts w:asciiTheme="minorHAnsi" w:hAnsiTheme="minorHAnsi"/>
                <w:lang w:eastAsia="en-AU"/>
              </w:rPr>
            </w:pPr>
            <w:proofErr w:type="gramStart"/>
            <w:r w:rsidRPr="00817CDC">
              <w:rPr>
                <w:rFonts w:asciiTheme="minorHAnsi" w:hAnsiTheme="minorHAnsi"/>
                <w:lang w:eastAsia="en-AU"/>
              </w:rPr>
              <w:t>undertake</w:t>
            </w:r>
            <w:proofErr w:type="gramEnd"/>
            <w:r w:rsidRPr="00817CDC">
              <w:rPr>
                <w:rFonts w:asciiTheme="minorHAnsi" w:hAnsiTheme="minorHAnsi"/>
                <w:lang w:eastAsia="en-AU"/>
              </w:rPr>
              <w:t xml:space="preserve"> or facilitate national information management, benchmarking and cost and performance evaluation for the national blood supply. </w:t>
            </w:r>
          </w:p>
          <w:p w:rsidR="006378A7" w:rsidRPr="00817CDC" w:rsidRDefault="006378A7" w:rsidP="00A23C5C">
            <w:pPr>
              <w:spacing w:before="120" w:after="120" w:line="240" w:lineRule="auto"/>
              <w:rPr>
                <w:rFonts w:asciiTheme="minorHAnsi" w:hAnsiTheme="minorHAnsi"/>
                <w:lang w:val="en-GB"/>
              </w:rPr>
            </w:pPr>
          </w:p>
        </w:tc>
        <w:tc>
          <w:tcPr>
            <w:tcW w:w="2066" w:type="dxa"/>
          </w:tcPr>
          <w:p w:rsidR="006378A7" w:rsidRPr="00817CDC" w:rsidRDefault="003A78E3" w:rsidP="00817CDC">
            <w:pPr>
              <w:pStyle w:val="NormalWeb"/>
              <w:numPr>
                <w:ilvl w:val="0"/>
                <w:numId w:val="19"/>
              </w:numPr>
              <w:spacing w:line="336" w:lineRule="auto"/>
              <w:rPr>
                <w:rFonts w:asciiTheme="minorHAnsi" w:hAnsiTheme="minorHAnsi"/>
                <w:sz w:val="20"/>
                <w:szCs w:val="20"/>
                <w:lang w:val="en-GB"/>
              </w:rPr>
            </w:pPr>
            <w:r w:rsidRPr="00817CDC">
              <w:rPr>
                <w:rFonts w:asciiTheme="minorHAnsi" w:hAnsiTheme="minorHAnsi"/>
                <w:sz w:val="20"/>
                <w:szCs w:val="20"/>
                <w:lang w:val="en-GB"/>
              </w:rPr>
              <w:lastRenderedPageBreak/>
              <w:t>None</w:t>
            </w:r>
          </w:p>
        </w:tc>
        <w:tc>
          <w:tcPr>
            <w:tcW w:w="2097" w:type="dxa"/>
          </w:tcPr>
          <w:p w:rsidR="006378A7" w:rsidRPr="00817CDC" w:rsidRDefault="003A78E3" w:rsidP="00817CDC">
            <w:pPr>
              <w:pStyle w:val="NormalWeb"/>
              <w:numPr>
                <w:ilvl w:val="0"/>
                <w:numId w:val="22"/>
              </w:numPr>
              <w:spacing w:line="336" w:lineRule="auto"/>
              <w:rPr>
                <w:rFonts w:asciiTheme="minorHAnsi" w:hAnsiTheme="minorHAnsi"/>
                <w:b/>
                <w:sz w:val="20"/>
                <w:szCs w:val="20"/>
                <w:lang w:val="en-GB"/>
              </w:rPr>
            </w:pPr>
            <w:r w:rsidRPr="00817CDC">
              <w:rPr>
                <w:rFonts w:asciiTheme="minorHAnsi" w:hAnsiTheme="minorHAnsi"/>
                <w:b/>
                <w:sz w:val="20"/>
                <w:szCs w:val="20"/>
                <w:lang w:val="en-GB"/>
              </w:rPr>
              <w:t>Compliant</w:t>
            </w:r>
          </w:p>
        </w:tc>
      </w:tr>
      <w:tr w:rsidR="006378A7" w:rsidRPr="00817CDC" w:rsidTr="00DC2D1B">
        <w:trPr>
          <w:jc w:val="center"/>
        </w:trPr>
        <w:tc>
          <w:tcPr>
            <w:tcW w:w="1809" w:type="dxa"/>
            <w:vMerge/>
          </w:tcPr>
          <w:p w:rsidR="006378A7" w:rsidRPr="00817CDC" w:rsidRDefault="006378A7" w:rsidP="006378A7">
            <w:pPr>
              <w:pStyle w:val="ListNumber"/>
              <w:numPr>
                <w:ilvl w:val="0"/>
                <w:numId w:val="0"/>
              </w:numPr>
              <w:rPr>
                <w:rFonts w:asciiTheme="minorHAnsi" w:hAnsiTheme="minorHAnsi"/>
                <w:lang w:eastAsia="en-AU"/>
              </w:rPr>
            </w:pPr>
          </w:p>
        </w:tc>
        <w:tc>
          <w:tcPr>
            <w:tcW w:w="2344" w:type="dxa"/>
          </w:tcPr>
          <w:p w:rsidR="006378A7" w:rsidRPr="00817CDC" w:rsidRDefault="006378A7" w:rsidP="00817CDC">
            <w:pPr>
              <w:pStyle w:val="NormalWeb"/>
              <w:numPr>
                <w:ilvl w:val="0"/>
                <w:numId w:val="20"/>
              </w:numPr>
              <w:spacing w:line="336" w:lineRule="auto"/>
              <w:rPr>
                <w:rFonts w:asciiTheme="minorHAnsi" w:hAnsiTheme="minorHAnsi"/>
                <w:sz w:val="20"/>
                <w:szCs w:val="20"/>
                <w:lang w:val="en-GB"/>
              </w:rPr>
            </w:pPr>
            <w:r w:rsidRPr="00817CDC">
              <w:rPr>
                <w:rFonts w:asciiTheme="minorHAnsi" w:hAnsiTheme="minorHAnsi"/>
                <w:sz w:val="20"/>
                <w:szCs w:val="20"/>
                <w:lang w:val="en-GB"/>
              </w:rPr>
              <w:t>Will the agency ensure that information is collected in accordance with the higher protections in APP3.3?</w:t>
            </w:r>
          </w:p>
        </w:tc>
        <w:tc>
          <w:tcPr>
            <w:tcW w:w="603" w:type="dxa"/>
          </w:tcPr>
          <w:p w:rsidR="006378A7" w:rsidRPr="00817CDC" w:rsidRDefault="006378A7" w:rsidP="00C41D82">
            <w:pPr>
              <w:rPr>
                <w:rFonts w:asciiTheme="minorHAnsi" w:hAnsiTheme="minorHAnsi"/>
                <w:lang w:eastAsia="en-AU"/>
              </w:rPr>
            </w:pPr>
            <w:r w:rsidRPr="00817CDC">
              <w:rPr>
                <w:rFonts w:asciiTheme="minorHAnsi" w:hAnsiTheme="minorHAnsi"/>
                <w:lang w:eastAsia="en-AU"/>
              </w:rPr>
              <w:t>Yes</w:t>
            </w:r>
          </w:p>
        </w:tc>
        <w:tc>
          <w:tcPr>
            <w:tcW w:w="5255" w:type="dxa"/>
          </w:tcPr>
          <w:p w:rsidR="0001174A" w:rsidRPr="00817CDC" w:rsidRDefault="003A78E3" w:rsidP="003A78E3">
            <w:pPr>
              <w:pStyle w:val="ListNumber"/>
              <w:numPr>
                <w:ilvl w:val="0"/>
                <w:numId w:val="0"/>
              </w:numPr>
              <w:rPr>
                <w:rFonts w:asciiTheme="minorHAnsi" w:hAnsiTheme="minorHAnsi"/>
                <w:lang w:eastAsia="en-AU"/>
              </w:rPr>
            </w:pPr>
            <w:r w:rsidRPr="00817CDC">
              <w:rPr>
                <w:rFonts w:asciiTheme="minorHAnsi" w:hAnsiTheme="minorHAnsi"/>
                <w:lang w:eastAsia="en-AU"/>
              </w:rPr>
              <w:t xml:space="preserve">The protections for sensitive information will be adhered to, in that </w:t>
            </w:r>
            <w:r w:rsidR="0001174A" w:rsidRPr="00817CDC">
              <w:rPr>
                <w:rFonts w:asciiTheme="minorHAnsi" w:hAnsiTheme="minorHAnsi"/>
                <w:lang w:eastAsia="en-AU"/>
              </w:rPr>
              <w:t xml:space="preserve">personal and </w:t>
            </w:r>
            <w:r w:rsidRPr="00817CDC">
              <w:rPr>
                <w:rFonts w:asciiTheme="minorHAnsi" w:hAnsiTheme="minorHAnsi"/>
                <w:lang w:eastAsia="en-AU"/>
              </w:rPr>
              <w:t xml:space="preserve">sensitive information is </w:t>
            </w:r>
            <w:r w:rsidR="0001174A" w:rsidRPr="00817CDC">
              <w:rPr>
                <w:rFonts w:asciiTheme="minorHAnsi" w:hAnsiTheme="minorHAnsi"/>
                <w:lang w:eastAsia="en-AU"/>
              </w:rPr>
              <w:t>reasonably necessary for or directly related to one or more of the NBA’s functions. Consent to that collection will be obtained.</w:t>
            </w:r>
          </w:p>
          <w:p w:rsidR="006378A7" w:rsidRPr="00817CDC" w:rsidRDefault="0001174A" w:rsidP="0001174A">
            <w:pPr>
              <w:pStyle w:val="ListNumber"/>
              <w:numPr>
                <w:ilvl w:val="0"/>
                <w:numId w:val="0"/>
              </w:numPr>
              <w:rPr>
                <w:rFonts w:asciiTheme="minorHAnsi" w:eastAsia="Times New Roman" w:hAnsiTheme="minorHAnsi"/>
                <w:lang w:val="en-GB" w:eastAsia="en-AU"/>
              </w:rPr>
            </w:pPr>
            <w:r w:rsidRPr="00817CDC">
              <w:rPr>
                <w:rFonts w:asciiTheme="minorHAnsi" w:hAnsiTheme="minorHAnsi"/>
                <w:lang w:eastAsia="en-AU"/>
              </w:rPr>
              <w:t xml:space="preserve"> </w:t>
            </w:r>
          </w:p>
        </w:tc>
        <w:tc>
          <w:tcPr>
            <w:tcW w:w="2066" w:type="dxa"/>
          </w:tcPr>
          <w:p w:rsidR="0001174A" w:rsidRPr="00817CDC" w:rsidRDefault="0001174A" w:rsidP="00817CDC">
            <w:pPr>
              <w:pStyle w:val="NormalWeb"/>
              <w:numPr>
                <w:ilvl w:val="0"/>
                <w:numId w:val="19"/>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 Provide </w:t>
            </w:r>
            <w:r w:rsidR="007D39DF">
              <w:rPr>
                <w:rFonts w:asciiTheme="minorHAnsi" w:hAnsiTheme="minorHAnsi"/>
                <w:sz w:val="20"/>
                <w:szCs w:val="20"/>
                <w:lang w:val="en-GB"/>
              </w:rPr>
              <w:t>P</w:t>
            </w:r>
            <w:r w:rsidRPr="00817CDC">
              <w:rPr>
                <w:rFonts w:asciiTheme="minorHAnsi" w:hAnsiTheme="minorHAnsi"/>
                <w:sz w:val="20"/>
                <w:szCs w:val="20"/>
                <w:lang w:val="en-GB"/>
              </w:rPr>
              <w:t xml:space="preserve">rivacy </w:t>
            </w:r>
            <w:r w:rsidR="007D39DF">
              <w:rPr>
                <w:rFonts w:asciiTheme="minorHAnsi" w:hAnsiTheme="minorHAnsi"/>
                <w:sz w:val="20"/>
                <w:szCs w:val="20"/>
                <w:lang w:val="en-GB"/>
              </w:rPr>
              <w:t xml:space="preserve">Statement </w:t>
            </w:r>
            <w:proofErr w:type="gramStart"/>
            <w:r w:rsidR="007D39DF">
              <w:rPr>
                <w:rFonts w:asciiTheme="minorHAnsi" w:hAnsiTheme="minorHAnsi"/>
                <w:sz w:val="20"/>
                <w:szCs w:val="20"/>
                <w:lang w:val="en-GB"/>
              </w:rPr>
              <w:t>and</w:t>
            </w:r>
            <w:r w:rsidR="007D39DF" w:rsidRPr="00817CDC">
              <w:rPr>
                <w:rFonts w:asciiTheme="minorHAnsi" w:hAnsiTheme="minorHAnsi"/>
                <w:sz w:val="20"/>
                <w:szCs w:val="20"/>
                <w:lang w:val="en-GB"/>
              </w:rPr>
              <w:t xml:space="preserve"> </w:t>
            </w:r>
            <w:r w:rsidR="007D39DF">
              <w:rPr>
                <w:rFonts w:asciiTheme="minorHAnsi" w:hAnsiTheme="minorHAnsi"/>
                <w:sz w:val="20"/>
                <w:szCs w:val="20"/>
                <w:lang w:val="en-GB"/>
              </w:rPr>
              <w:t xml:space="preserve"> N</w:t>
            </w:r>
            <w:r w:rsidRPr="00817CDC">
              <w:rPr>
                <w:rFonts w:asciiTheme="minorHAnsi" w:hAnsiTheme="minorHAnsi"/>
                <w:sz w:val="20"/>
                <w:szCs w:val="20"/>
                <w:lang w:val="en-GB"/>
              </w:rPr>
              <w:t>otice</w:t>
            </w:r>
            <w:proofErr w:type="gramEnd"/>
            <w:r w:rsidRPr="00817CDC">
              <w:rPr>
                <w:rFonts w:asciiTheme="minorHAnsi" w:hAnsiTheme="minorHAnsi"/>
                <w:sz w:val="20"/>
                <w:szCs w:val="20"/>
                <w:lang w:val="en-GB"/>
              </w:rPr>
              <w:t xml:space="preserve"> for the information of individuals of interest to </w:t>
            </w:r>
            <w:proofErr w:type="spellStart"/>
            <w:r w:rsidR="001D735F">
              <w:rPr>
                <w:rFonts w:asciiTheme="minorHAnsi" w:hAnsiTheme="minorHAnsi"/>
                <w:sz w:val="20"/>
                <w:szCs w:val="20"/>
                <w:lang w:val="en-GB"/>
              </w:rPr>
              <w:t>BloodSTAR</w:t>
            </w:r>
            <w:proofErr w:type="spellEnd"/>
            <w:r w:rsidRPr="00817CDC">
              <w:rPr>
                <w:rFonts w:asciiTheme="minorHAnsi" w:hAnsiTheme="minorHAnsi"/>
                <w:sz w:val="20"/>
                <w:szCs w:val="20"/>
                <w:lang w:val="en-GB"/>
              </w:rPr>
              <w:t>.</w:t>
            </w:r>
          </w:p>
          <w:p w:rsidR="006378A7" w:rsidRPr="00817CDC" w:rsidRDefault="0001174A" w:rsidP="00817CDC">
            <w:pPr>
              <w:pStyle w:val="NormalWeb"/>
              <w:numPr>
                <w:ilvl w:val="0"/>
                <w:numId w:val="19"/>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Develop a privacy consent form for </w:t>
            </w:r>
            <w:r w:rsidRPr="00817CDC">
              <w:rPr>
                <w:rFonts w:asciiTheme="minorHAnsi" w:hAnsiTheme="minorHAnsi"/>
                <w:sz w:val="20"/>
                <w:szCs w:val="20"/>
                <w:lang w:val="en-GB"/>
              </w:rPr>
              <w:lastRenderedPageBreak/>
              <w:t>recording explicit written or oral</w:t>
            </w:r>
          </w:p>
        </w:tc>
        <w:tc>
          <w:tcPr>
            <w:tcW w:w="2097" w:type="dxa"/>
          </w:tcPr>
          <w:p w:rsidR="0001174A" w:rsidRPr="00817CDC" w:rsidRDefault="0001174A" w:rsidP="00817CDC">
            <w:pPr>
              <w:pStyle w:val="NormalWeb"/>
              <w:numPr>
                <w:ilvl w:val="0"/>
                <w:numId w:val="22"/>
              </w:numPr>
              <w:spacing w:line="336" w:lineRule="auto"/>
              <w:rPr>
                <w:rFonts w:asciiTheme="minorHAnsi" w:hAnsiTheme="minorHAnsi"/>
                <w:sz w:val="20"/>
                <w:szCs w:val="20"/>
                <w:lang w:val="en-GB"/>
              </w:rPr>
            </w:pPr>
            <w:r w:rsidRPr="00817CDC">
              <w:rPr>
                <w:rFonts w:asciiTheme="minorHAnsi" w:hAnsiTheme="minorHAnsi"/>
                <w:sz w:val="20"/>
                <w:szCs w:val="20"/>
                <w:lang w:val="en-GB"/>
              </w:rPr>
              <w:lastRenderedPageBreak/>
              <w:t xml:space="preserve">The Privacy </w:t>
            </w:r>
            <w:r w:rsidR="007D39DF">
              <w:rPr>
                <w:rFonts w:asciiTheme="minorHAnsi" w:hAnsiTheme="minorHAnsi"/>
                <w:sz w:val="20"/>
                <w:szCs w:val="20"/>
                <w:lang w:val="en-GB"/>
              </w:rPr>
              <w:t>Statement and Not</w:t>
            </w:r>
            <w:r w:rsidRPr="00817CDC">
              <w:rPr>
                <w:rFonts w:asciiTheme="minorHAnsi" w:hAnsiTheme="minorHAnsi"/>
                <w:sz w:val="20"/>
                <w:szCs w:val="20"/>
                <w:lang w:val="en-GB"/>
              </w:rPr>
              <w:t xml:space="preserve">ice </w:t>
            </w:r>
            <w:r w:rsidR="006E2501" w:rsidRPr="00817CDC">
              <w:rPr>
                <w:rFonts w:asciiTheme="minorHAnsi" w:hAnsiTheme="minorHAnsi"/>
                <w:sz w:val="20"/>
                <w:szCs w:val="20"/>
                <w:lang w:val="en-GB"/>
              </w:rPr>
              <w:t>will</w:t>
            </w:r>
            <w:r w:rsidRPr="00817CDC">
              <w:rPr>
                <w:rFonts w:asciiTheme="minorHAnsi" w:hAnsiTheme="minorHAnsi"/>
                <w:sz w:val="20"/>
                <w:szCs w:val="20"/>
                <w:lang w:val="en-GB"/>
              </w:rPr>
              <w:t xml:space="preserve"> i</w:t>
            </w:r>
            <w:r w:rsidR="006E2501" w:rsidRPr="00817CDC">
              <w:rPr>
                <w:rFonts w:asciiTheme="minorHAnsi" w:hAnsiTheme="minorHAnsi"/>
                <w:sz w:val="20"/>
                <w:szCs w:val="20"/>
                <w:lang w:val="en-GB"/>
              </w:rPr>
              <w:t>nclude</w:t>
            </w:r>
            <w:r w:rsidRPr="00817CDC">
              <w:rPr>
                <w:rFonts w:asciiTheme="minorHAnsi" w:hAnsiTheme="minorHAnsi"/>
                <w:sz w:val="20"/>
                <w:szCs w:val="20"/>
                <w:lang w:val="en-GB"/>
              </w:rPr>
              <w:t xml:space="preserve"> information for patients about the requirement to provide consent.</w:t>
            </w:r>
          </w:p>
          <w:p w:rsidR="006E2501" w:rsidRPr="00817CDC" w:rsidRDefault="006E2501" w:rsidP="006E2501">
            <w:pPr>
              <w:pStyle w:val="NormalWeb"/>
              <w:spacing w:line="336" w:lineRule="auto"/>
              <w:ind w:left="360"/>
              <w:rPr>
                <w:rFonts w:asciiTheme="minorHAnsi" w:hAnsiTheme="minorHAnsi"/>
                <w:b/>
                <w:sz w:val="20"/>
                <w:szCs w:val="20"/>
                <w:lang w:val="en-GB"/>
              </w:rPr>
            </w:pPr>
            <w:r w:rsidRPr="00817CDC">
              <w:rPr>
                <w:rFonts w:asciiTheme="minorHAnsi" w:hAnsiTheme="minorHAnsi"/>
                <w:b/>
                <w:sz w:val="20"/>
                <w:szCs w:val="20"/>
                <w:lang w:val="en-GB"/>
              </w:rPr>
              <w:t>Compliant</w:t>
            </w:r>
          </w:p>
          <w:p w:rsidR="0001174A" w:rsidRPr="00817CDC" w:rsidRDefault="0001174A" w:rsidP="00817CDC">
            <w:pPr>
              <w:pStyle w:val="NormalWeb"/>
              <w:numPr>
                <w:ilvl w:val="0"/>
                <w:numId w:val="22"/>
              </w:numPr>
              <w:spacing w:line="336" w:lineRule="auto"/>
              <w:rPr>
                <w:rFonts w:asciiTheme="minorHAnsi" w:hAnsiTheme="minorHAnsi"/>
                <w:sz w:val="20"/>
                <w:szCs w:val="20"/>
                <w:lang w:val="en-GB"/>
              </w:rPr>
            </w:pPr>
            <w:r w:rsidRPr="00817CDC">
              <w:rPr>
                <w:rFonts w:asciiTheme="minorHAnsi" w:hAnsiTheme="minorHAnsi"/>
                <w:sz w:val="20"/>
                <w:szCs w:val="20"/>
                <w:lang w:val="en-GB"/>
              </w:rPr>
              <w:lastRenderedPageBreak/>
              <w:t xml:space="preserve">The Consent form </w:t>
            </w:r>
            <w:r w:rsidR="00D111A6" w:rsidRPr="00817CDC">
              <w:rPr>
                <w:rFonts w:asciiTheme="minorHAnsi" w:hAnsiTheme="minorHAnsi"/>
                <w:sz w:val="20"/>
                <w:szCs w:val="20"/>
                <w:lang w:val="en-GB"/>
              </w:rPr>
              <w:t>will include</w:t>
            </w:r>
            <w:r w:rsidRPr="00817CDC">
              <w:rPr>
                <w:rFonts w:asciiTheme="minorHAnsi" w:hAnsiTheme="minorHAnsi"/>
                <w:sz w:val="20"/>
                <w:szCs w:val="20"/>
                <w:lang w:val="en-GB"/>
              </w:rPr>
              <w:t xml:space="preserve"> both written and oral consent.  This document will be uploaded to </w:t>
            </w:r>
            <w:proofErr w:type="spellStart"/>
            <w:r w:rsidR="001D735F">
              <w:rPr>
                <w:rFonts w:asciiTheme="minorHAnsi" w:hAnsiTheme="minorHAnsi"/>
                <w:sz w:val="20"/>
                <w:szCs w:val="20"/>
                <w:lang w:val="en-GB"/>
              </w:rPr>
              <w:t>BloodSTAR</w:t>
            </w:r>
            <w:proofErr w:type="spellEnd"/>
            <w:r w:rsidRPr="00817CDC">
              <w:rPr>
                <w:rFonts w:asciiTheme="minorHAnsi" w:hAnsiTheme="minorHAnsi"/>
                <w:sz w:val="20"/>
                <w:szCs w:val="20"/>
                <w:lang w:val="en-GB"/>
              </w:rPr>
              <w:t xml:space="preserve"> </w:t>
            </w:r>
            <w:r w:rsidR="00865E47" w:rsidRPr="00817CDC">
              <w:rPr>
                <w:rFonts w:asciiTheme="minorHAnsi" w:hAnsiTheme="minorHAnsi"/>
                <w:sz w:val="20"/>
                <w:szCs w:val="20"/>
                <w:lang w:val="en-GB"/>
              </w:rPr>
              <w:t>for</w:t>
            </w:r>
            <w:r w:rsidRPr="00817CDC">
              <w:rPr>
                <w:rFonts w:asciiTheme="minorHAnsi" w:hAnsiTheme="minorHAnsi"/>
                <w:sz w:val="20"/>
                <w:szCs w:val="20"/>
                <w:lang w:val="en-GB"/>
              </w:rPr>
              <w:t xml:space="preserve"> record keeping purposes.</w:t>
            </w:r>
          </w:p>
          <w:p w:rsidR="006378A7" w:rsidRPr="00817CDC" w:rsidRDefault="0001174A" w:rsidP="001611AE">
            <w:pPr>
              <w:pStyle w:val="NormalWeb"/>
              <w:spacing w:line="336" w:lineRule="auto"/>
              <w:ind w:left="360"/>
              <w:rPr>
                <w:rFonts w:asciiTheme="minorHAnsi" w:hAnsiTheme="minorHAnsi"/>
                <w:sz w:val="20"/>
                <w:szCs w:val="20"/>
                <w:lang w:val="en-GB"/>
              </w:rPr>
            </w:pPr>
            <w:r w:rsidRPr="00817CDC">
              <w:rPr>
                <w:rFonts w:asciiTheme="minorHAnsi" w:hAnsiTheme="minorHAnsi"/>
                <w:b/>
                <w:sz w:val="20"/>
                <w:szCs w:val="20"/>
                <w:lang w:val="en-GB"/>
              </w:rPr>
              <w:t>Compliant</w:t>
            </w:r>
          </w:p>
        </w:tc>
      </w:tr>
      <w:tr w:rsidR="00D061CE" w:rsidRPr="00817CDC" w:rsidTr="00DC2D1B">
        <w:trPr>
          <w:jc w:val="center"/>
        </w:trPr>
        <w:tc>
          <w:tcPr>
            <w:tcW w:w="1809" w:type="dxa"/>
          </w:tcPr>
          <w:p w:rsidR="00D061CE" w:rsidRPr="00817CDC" w:rsidRDefault="00D061CE" w:rsidP="006378A7">
            <w:pPr>
              <w:pStyle w:val="ListNumber"/>
              <w:numPr>
                <w:ilvl w:val="0"/>
                <w:numId w:val="0"/>
              </w:numPr>
              <w:rPr>
                <w:rFonts w:asciiTheme="minorHAnsi" w:hAnsiTheme="minorHAnsi"/>
                <w:lang w:eastAsia="en-AU"/>
              </w:rPr>
            </w:pPr>
          </w:p>
        </w:tc>
        <w:tc>
          <w:tcPr>
            <w:tcW w:w="2344" w:type="dxa"/>
          </w:tcPr>
          <w:p w:rsidR="00D061CE" w:rsidRPr="00817CDC" w:rsidRDefault="00D061CE" w:rsidP="00817CDC">
            <w:pPr>
              <w:pStyle w:val="NormalWeb"/>
              <w:numPr>
                <w:ilvl w:val="0"/>
                <w:numId w:val="20"/>
              </w:numPr>
              <w:spacing w:line="336" w:lineRule="auto"/>
              <w:rPr>
                <w:rFonts w:asciiTheme="minorHAnsi" w:hAnsiTheme="minorHAnsi"/>
                <w:sz w:val="20"/>
                <w:szCs w:val="20"/>
                <w:lang w:val="en-GB"/>
              </w:rPr>
            </w:pPr>
            <w:r w:rsidRPr="00817CDC">
              <w:rPr>
                <w:rFonts w:asciiTheme="minorHAnsi" w:hAnsiTheme="minorHAnsi"/>
                <w:sz w:val="20"/>
                <w:szCs w:val="20"/>
                <w:lang w:val="en-GB"/>
              </w:rPr>
              <w:t>Is express consent sought and recorded for the collection of personal or sensitive information? How is it collected (written or oral)?</w:t>
            </w:r>
          </w:p>
        </w:tc>
        <w:tc>
          <w:tcPr>
            <w:tcW w:w="603" w:type="dxa"/>
          </w:tcPr>
          <w:p w:rsidR="00D061CE" w:rsidRPr="00817CDC" w:rsidRDefault="00D061CE" w:rsidP="00C41D82">
            <w:pPr>
              <w:rPr>
                <w:rFonts w:asciiTheme="minorHAnsi" w:hAnsiTheme="minorHAnsi"/>
                <w:lang w:eastAsia="en-AU"/>
              </w:rPr>
            </w:pPr>
            <w:r w:rsidRPr="00817CDC">
              <w:rPr>
                <w:rFonts w:asciiTheme="minorHAnsi" w:hAnsiTheme="minorHAnsi"/>
                <w:lang w:eastAsia="en-AU"/>
              </w:rPr>
              <w:t>Yes</w:t>
            </w:r>
          </w:p>
        </w:tc>
        <w:tc>
          <w:tcPr>
            <w:tcW w:w="5255" w:type="dxa"/>
          </w:tcPr>
          <w:p w:rsidR="00D061CE" w:rsidRPr="00817CDC" w:rsidRDefault="00D061CE" w:rsidP="007D39DF">
            <w:pPr>
              <w:pStyle w:val="ListNumber"/>
              <w:numPr>
                <w:ilvl w:val="0"/>
                <w:numId w:val="0"/>
              </w:numPr>
              <w:rPr>
                <w:rFonts w:asciiTheme="minorHAnsi" w:eastAsia="Times New Roman" w:hAnsiTheme="minorHAnsi"/>
                <w:lang w:val="en-GB" w:eastAsia="en-AU"/>
              </w:rPr>
            </w:pPr>
            <w:r w:rsidRPr="00817CDC">
              <w:rPr>
                <w:rFonts w:asciiTheme="minorHAnsi" w:eastAsia="Times New Roman" w:hAnsiTheme="minorHAnsi"/>
                <w:lang w:val="en-GB" w:eastAsia="en-AU"/>
              </w:rPr>
              <w:t xml:space="preserve">A patient consent form will be made available in </w:t>
            </w:r>
            <w:proofErr w:type="spellStart"/>
            <w:r w:rsidR="001D735F">
              <w:rPr>
                <w:rFonts w:asciiTheme="minorHAnsi" w:eastAsia="Times New Roman" w:hAnsiTheme="minorHAnsi"/>
                <w:lang w:val="en-GB" w:eastAsia="en-AU"/>
              </w:rPr>
              <w:t>BloodSTAR</w:t>
            </w:r>
            <w:proofErr w:type="spellEnd"/>
            <w:r w:rsidRPr="00817CDC">
              <w:rPr>
                <w:rFonts w:asciiTheme="minorHAnsi" w:eastAsia="Times New Roman" w:hAnsiTheme="minorHAnsi"/>
                <w:lang w:val="en-GB" w:eastAsia="en-AU"/>
              </w:rPr>
              <w:t xml:space="preserve"> for recording written consent.  </w:t>
            </w:r>
            <w:r w:rsidR="007D39DF">
              <w:rPr>
                <w:rFonts w:asciiTheme="minorHAnsi" w:eastAsia="Times New Roman" w:hAnsiTheme="minorHAnsi"/>
                <w:lang w:val="en-GB" w:eastAsia="en-AU"/>
              </w:rPr>
              <w:t>Verbal</w:t>
            </w:r>
            <w:r w:rsidR="007D39DF" w:rsidRPr="00817CDC">
              <w:rPr>
                <w:rFonts w:asciiTheme="minorHAnsi" w:eastAsia="Times New Roman" w:hAnsiTheme="minorHAnsi"/>
                <w:lang w:val="en-GB" w:eastAsia="en-AU"/>
              </w:rPr>
              <w:t xml:space="preserve"> </w:t>
            </w:r>
            <w:r w:rsidRPr="00817CDC">
              <w:rPr>
                <w:rFonts w:asciiTheme="minorHAnsi" w:eastAsia="Times New Roman" w:hAnsiTheme="minorHAnsi"/>
                <w:lang w:val="en-GB" w:eastAsia="en-AU"/>
              </w:rPr>
              <w:t xml:space="preserve">consent can also be recorded in the consent form by the </w:t>
            </w:r>
            <w:r w:rsidR="007D39DF">
              <w:rPr>
                <w:rFonts w:asciiTheme="minorHAnsi" w:eastAsia="Times New Roman" w:hAnsiTheme="minorHAnsi"/>
                <w:lang w:val="en-GB" w:eastAsia="en-AU"/>
              </w:rPr>
              <w:t>clinician</w:t>
            </w:r>
            <w:r w:rsidRPr="00817CDC">
              <w:rPr>
                <w:rFonts w:asciiTheme="minorHAnsi" w:eastAsia="Times New Roman" w:hAnsiTheme="minorHAnsi"/>
                <w:lang w:val="en-GB" w:eastAsia="en-AU"/>
              </w:rPr>
              <w:t xml:space="preserve"> whom has obtained verbal consent from the individual.  The consent form can be uploaded to </w:t>
            </w:r>
            <w:proofErr w:type="spellStart"/>
            <w:r w:rsidR="001D735F">
              <w:rPr>
                <w:rFonts w:asciiTheme="minorHAnsi" w:eastAsia="Times New Roman" w:hAnsiTheme="minorHAnsi"/>
                <w:lang w:val="en-GB" w:eastAsia="en-AU"/>
              </w:rPr>
              <w:t>BloodSTAR</w:t>
            </w:r>
            <w:proofErr w:type="spellEnd"/>
            <w:r w:rsidRPr="00817CDC">
              <w:rPr>
                <w:rFonts w:asciiTheme="minorHAnsi" w:eastAsia="Times New Roman" w:hAnsiTheme="minorHAnsi"/>
                <w:lang w:val="en-GB" w:eastAsia="en-AU"/>
              </w:rPr>
              <w:t xml:space="preserve"> and retained as an attachment to the patient record.</w:t>
            </w:r>
          </w:p>
        </w:tc>
        <w:tc>
          <w:tcPr>
            <w:tcW w:w="2066" w:type="dxa"/>
          </w:tcPr>
          <w:p w:rsidR="000764B3" w:rsidRPr="00817CDC" w:rsidRDefault="000764B3" w:rsidP="00817CDC">
            <w:pPr>
              <w:pStyle w:val="NormalWeb"/>
              <w:numPr>
                <w:ilvl w:val="0"/>
                <w:numId w:val="19"/>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Provide </w:t>
            </w:r>
            <w:r w:rsidR="007D39DF">
              <w:rPr>
                <w:rFonts w:asciiTheme="minorHAnsi" w:hAnsiTheme="minorHAnsi"/>
                <w:sz w:val="20"/>
                <w:szCs w:val="20"/>
                <w:lang w:val="en-GB"/>
              </w:rPr>
              <w:t>P</w:t>
            </w:r>
            <w:r w:rsidRPr="00817CDC">
              <w:rPr>
                <w:rFonts w:asciiTheme="minorHAnsi" w:hAnsiTheme="minorHAnsi"/>
                <w:sz w:val="20"/>
                <w:szCs w:val="20"/>
                <w:lang w:val="en-GB"/>
              </w:rPr>
              <w:t xml:space="preserve">rivacy </w:t>
            </w:r>
            <w:r w:rsidR="007D39DF">
              <w:rPr>
                <w:rFonts w:asciiTheme="minorHAnsi" w:hAnsiTheme="minorHAnsi"/>
                <w:sz w:val="20"/>
                <w:szCs w:val="20"/>
                <w:lang w:val="en-GB"/>
              </w:rPr>
              <w:t>Statement and N</w:t>
            </w:r>
            <w:r w:rsidRPr="00817CDC">
              <w:rPr>
                <w:rFonts w:asciiTheme="minorHAnsi" w:hAnsiTheme="minorHAnsi"/>
                <w:sz w:val="20"/>
                <w:szCs w:val="20"/>
                <w:lang w:val="en-GB"/>
              </w:rPr>
              <w:t xml:space="preserve">otice for the information of individuals of interest to </w:t>
            </w:r>
            <w:proofErr w:type="spellStart"/>
            <w:r w:rsidR="001D735F">
              <w:rPr>
                <w:rFonts w:asciiTheme="minorHAnsi" w:hAnsiTheme="minorHAnsi"/>
                <w:sz w:val="20"/>
                <w:szCs w:val="20"/>
                <w:lang w:val="en-GB"/>
              </w:rPr>
              <w:t>BloodSTAR</w:t>
            </w:r>
            <w:proofErr w:type="spellEnd"/>
            <w:r w:rsidRPr="00817CDC">
              <w:rPr>
                <w:rFonts w:asciiTheme="minorHAnsi" w:hAnsiTheme="minorHAnsi"/>
                <w:sz w:val="20"/>
                <w:szCs w:val="20"/>
                <w:lang w:val="en-GB"/>
              </w:rPr>
              <w:t>.</w:t>
            </w:r>
          </w:p>
          <w:p w:rsidR="00D061CE" w:rsidRPr="00817CDC" w:rsidRDefault="000764B3" w:rsidP="007D39DF">
            <w:pPr>
              <w:pStyle w:val="NormalWeb"/>
              <w:numPr>
                <w:ilvl w:val="0"/>
                <w:numId w:val="19"/>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Develop a privacy consent form for recording explicit written or </w:t>
            </w:r>
            <w:r w:rsidR="007D39DF">
              <w:rPr>
                <w:rFonts w:asciiTheme="minorHAnsi" w:hAnsiTheme="minorHAnsi"/>
                <w:sz w:val="20"/>
                <w:szCs w:val="20"/>
                <w:lang w:val="en-GB"/>
              </w:rPr>
              <w:t>verbal</w:t>
            </w:r>
            <w:r w:rsidR="007D39DF" w:rsidRPr="00817CDC">
              <w:rPr>
                <w:rFonts w:asciiTheme="minorHAnsi" w:hAnsiTheme="minorHAnsi"/>
                <w:sz w:val="20"/>
                <w:szCs w:val="20"/>
                <w:lang w:val="en-GB"/>
              </w:rPr>
              <w:t xml:space="preserve"> </w:t>
            </w:r>
            <w:r w:rsidRPr="00817CDC">
              <w:rPr>
                <w:rFonts w:asciiTheme="minorHAnsi" w:hAnsiTheme="minorHAnsi"/>
                <w:sz w:val="20"/>
                <w:szCs w:val="20"/>
                <w:lang w:val="en-GB"/>
              </w:rPr>
              <w:t>consent</w:t>
            </w:r>
            <w:r w:rsidR="00936CE4" w:rsidRPr="00817CDC">
              <w:rPr>
                <w:rFonts w:asciiTheme="minorHAnsi" w:hAnsiTheme="minorHAnsi"/>
                <w:sz w:val="20"/>
                <w:szCs w:val="20"/>
                <w:lang w:val="en-GB"/>
              </w:rPr>
              <w:t xml:space="preserve"> and make available to the </w:t>
            </w:r>
            <w:r w:rsidR="00936CE4" w:rsidRPr="00817CDC">
              <w:rPr>
                <w:rFonts w:asciiTheme="minorHAnsi" w:hAnsiTheme="minorHAnsi"/>
                <w:sz w:val="20"/>
                <w:szCs w:val="20"/>
                <w:lang w:val="en-GB"/>
              </w:rPr>
              <w:lastRenderedPageBreak/>
              <w:t>general public on NBAs website</w:t>
            </w:r>
            <w:r w:rsidRPr="00817CDC">
              <w:rPr>
                <w:rFonts w:asciiTheme="minorHAnsi" w:hAnsiTheme="minorHAnsi"/>
                <w:sz w:val="20"/>
                <w:szCs w:val="20"/>
                <w:lang w:val="en-GB"/>
              </w:rPr>
              <w:t>.</w:t>
            </w:r>
          </w:p>
        </w:tc>
        <w:tc>
          <w:tcPr>
            <w:tcW w:w="2097" w:type="dxa"/>
          </w:tcPr>
          <w:p w:rsidR="000764B3" w:rsidRPr="00817CDC" w:rsidRDefault="000764B3" w:rsidP="00817CDC">
            <w:pPr>
              <w:pStyle w:val="NormalWeb"/>
              <w:numPr>
                <w:ilvl w:val="0"/>
                <w:numId w:val="22"/>
              </w:numPr>
              <w:spacing w:line="336" w:lineRule="auto"/>
              <w:rPr>
                <w:rFonts w:asciiTheme="minorHAnsi" w:hAnsiTheme="minorHAnsi"/>
                <w:sz w:val="20"/>
                <w:szCs w:val="20"/>
                <w:lang w:val="en-GB"/>
              </w:rPr>
            </w:pPr>
            <w:r w:rsidRPr="00817CDC">
              <w:rPr>
                <w:rFonts w:asciiTheme="minorHAnsi" w:hAnsiTheme="minorHAnsi"/>
                <w:sz w:val="20"/>
                <w:szCs w:val="20"/>
                <w:lang w:val="en-GB"/>
              </w:rPr>
              <w:lastRenderedPageBreak/>
              <w:t xml:space="preserve">The Privacy </w:t>
            </w:r>
            <w:r w:rsidR="007D39DF">
              <w:rPr>
                <w:rFonts w:asciiTheme="minorHAnsi" w:hAnsiTheme="minorHAnsi"/>
                <w:sz w:val="20"/>
                <w:szCs w:val="20"/>
                <w:lang w:val="en-GB"/>
              </w:rPr>
              <w:t>Statement and N</w:t>
            </w:r>
            <w:r w:rsidRPr="00817CDC">
              <w:rPr>
                <w:rFonts w:asciiTheme="minorHAnsi" w:hAnsiTheme="minorHAnsi"/>
                <w:sz w:val="20"/>
                <w:szCs w:val="20"/>
                <w:lang w:val="en-GB"/>
              </w:rPr>
              <w:t xml:space="preserve">otice </w:t>
            </w:r>
            <w:r w:rsidR="006E2501" w:rsidRPr="00817CDC">
              <w:rPr>
                <w:rFonts w:asciiTheme="minorHAnsi" w:hAnsiTheme="minorHAnsi"/>
                <w:sz w:val="20"/>
                <w:szCs w:val="20"/>
                <w:lang w:val="en-GB"/>
              </w:rPr>
              <w:t>will include</w:t>
            </w:r>
            <w:r w:rsidRPr="00817CDC">
              <w:rPr>
                <w:rFonts w:asciiTheme="minorHAnsi" w:hAnsiTheme="minorHAnsi"/>
                <w:sz w:val="20"/>
                <w:szCs w:val="20"/>
                <w:lang w:val="en-GB"/>
              </w:rPr>
              <w:t xml:space="preserve"> information for patients about the requirement to provide consent.</w:t>
            </w:r>
          </w:p>
          <w:p w:rsidR="006E2501" w:rsidRPr="00817CDC" w:rsidRDefault="006E2501" w:rsidP="006E2501">
            <w:pPr>
              <w:pStyle w:val="NormalWeb"/>
              <w:spacing w:line="336" w:lineRule="auto"/>
              <w:ind w:left="360"/>
              <w:rPr>
                <w:rFonts w:asciiTheme="minorHAnsi" w:hAnsiTheme="minorHAnsi"/>
                <w:b/>
                <w:sz w:val="20"/>
                <w:szCs w:val="20"/>
                <w:lang w:val="en-GB"/>
              </w:rPr>
            </w:pPr>
            <w:r w:rsidRPr="00817CDC">
              <w:rPr>
                <w:rFonts w:asciiTheme="minorHAnsi" w:hAnsiTheme="minorHAnsi"/>
                <w:b/>
                <w:sz w:val="20"/>
                <w:szCs w:val="20"/>
                <w:lang w:val="en-GB"/>
              </w:rPr>
              <w:t>Compliant</w:t>
            </w:r>
          </w:p>
          <w:p w:rsidR="00D061CE" w:rsidRPr="00817CDC" w:rsidRDefault="000764B3" w:rsidP="00817CDC">
            <w:pPr>
              <w:pStyle w:val="NormalWeb"/>
              <w:numPr>
                <w:ilvl w:val="0"/>
                <w:numId w:val="22"/>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The Consent form </w:t>
            </w:r>
            <w:r w:rsidR="00865E47" w:rsidRPr="00817CDC">
              <w:rPr>
                <w:rFonts w:asciiTheme="minorHAnsi" w:hAnsiTheme="minorHAnsi"/>
                <w:sz w:val="20"/>
                <w:szCs w:val="20"/>
                <w:lang w:val="en-GB"/>
              </w:rPr>
              <w:t>will</w:t>
            </w:r>
            <w:r w:rsidRPr="00817CDC">
              <w:rPr>
                <w:rFonts w:asciiTheme="minorHAnsi" w:hAnsiTheme="minorHAnsi"/>
                <w:sz w:val="20"/>
                <w:szCs w:val="20"/>
                <w:lang w:val="en-GB"/>
              </w:rPr>
              <w:t xml:space="preserve"> al</w:t>
            </w:r>
            <w:r w:rsidR="00865E47" w:rsidRPr="00817CDC">
              <w:rPr>
                <w:rFonts w:asciiTheme="minorHAnsi" w:hAnsiTheme="minorHAnsi"/>
                <w:sz w:val="20"/>
                <w:szCs w:val="20"/>
                <w:lang w:val="en-GB"/>
              </w:rPr>
              <w:t>low</w:t>
            </w:r>
            <w:r w:rsidRPr="00817CDC">
              <w:rPr>
                <w:rFonts w:asciiTheme="minorHAnsi" w:hAnsiTheme="minorHAnsi"/>
                <w:sz w:val="20"/>
                <w:szCs w:val="20"/>
                <w:lang w:val="en-GB"/>
              </w:rPr>
              <w:t xml:space="preserve"> for both written and </w:t>
            </w:r>
            <w:r w:rsidR="007D39DF">
              <w:rPr>
                <w:rFonts w:asciiTheme="minorHAnsi" w:hAnsiTheme="minorHAnsi"/>
                <w:sz w:val="20"/>
                <w:szCs w:val="20"/>
                <w:lang w:val="en-GB"/>
              </w:rPr>
              <w:t>verbal</w:t>
            </w:r>
            <w:r w:rsidR="007D39DF" w:rsidRPr="00817CDC">
              <w:rPr>
                <w:rFonts w:asciiTheme="minorHAnsi" w:hAnsiTheme="minorHAnsi"/>
                <w:sz w:val="20"/>
                <w:szCs w:val="20"/>
                <w:lang w:val="en-GB"/>
              </w:rPr>
              <w:t xml:space="preserve"> </w:t>
            </w:r>
            <w:r w:rsidRPr="00817CDC">
              <w:rPr>
                <w:rFonts w:asciiTheme="minorHAnsi" w:hAnsiTheme="minorHAnsi"/>
                <w:sz w:val="20"/>
                <w:szCs w:val="20"/>
                <w:lang w:val="en-GB"/>
              </w:rPr>
              <w:lastRenderedPageBreak/>
              <w:t xml:space="preserve">consent to be recorded.  This document will be uploaded to </w:t>
            </w:r>
            <w:proofErr w:type="spellStart"/>
            <w:r w:rsidR="001D735F">
              <w:rPr>
                <w:rFonts w:asciiTheme="minorHAnsi" w:hAnsiTheme="minorHAnsi"/>
                <w:sz w:val="20"/>
                <w:szCs w:val="20"/>
                <w:lang w:val="en-GB"/>
              </w:rPr>
              <w:t>BloodSTAR</w:t>
            </w:r>
            <w:proofErr w:type="spellEnd"/>
            <w:r w:rsidRPr="00817CDC">
              <w:rPr>
                <w:rFonts w:asciiTheme="minorHAnsi" w:hAnsiTheme="minorHAnsi"/>
                <w:sz w:val="20"/>
                <w:szCs w:val="20"/>
                <w:lang w:val="en-GB"/>
              </w:rPr>
              <w:t xml:space="preserve"> </w:t>
            </w:r>
            <w:r w:rsidR="00865E47" w:rsidRPr="00817CDC">
              <w:rPr>
                <w:rFonts w:asciiTheme="minorHAnsi" w:hAnsiTheme="minorHAnsi"/>
                <w:sz w:val="20"/>
                <w:szCs w:val="20"/>
                <w:lang w:val="en-GB"/>
              </w:rPr>
              <w:t>for</w:t>
            </w:r>
            <w:r w:rsidRPr="00817CDC">
              <w:rPr>
                <w:rFonts w:asciiTheme="minorHAnsi" w:hAnsiTheme="minorHAnsi"/>
                <w:sz w:val="20"/>
                <w:szCs w:val="20"/>
                <w:lang w:val="en-GB"/>
              </w:rPr>
              <w:t xml:space="preserve"> record keeping purposes.</w:t>
            </w:r>
          </w:p>
          <w:p w:rsidR="000764B3" w:rsidRPr="00817CDC" w:rsidRDefault="000764B3" w:rsidP="000764B3">
            <w:pPr>
              <w:pStyle w:val="NormalWeb"/>
              <w:spacing w:line="336" w:lineRule="auto"/>
              <w:ind w:left="360"/>
              <w:rPr>
                <w:rFonts w:asciiTheme="minorHAnsi" w:hAnsiTheme="minorHAnsi"/>
                <w:b/>
                <w:sz w:val="20"/>
                <w:szCs w:val="20"/>
                <w:lang w:val="en-GB"/>
              </w:rPr>
            </w:pPr>
            <w:r w:rsidRPr="00817CDC">
              <w:rPr>
                <w:rFonts w:asciiTheme="minorHAnsi" w:hAnsiTheme="minorHAnsi"/>
                <w:b/>
                <w:sz w:val="20"/>
                <w:szCs w:val="20"/>
                <w:lang w:val="en-GB"/>
              </w:rPr>
              <w:t>Compliant</w:t>
            </w:r>
          </w:p>
        </w:tc>
      </w:tr>
      <w:tr w:rsidR="004C48D4" w:rsidRPr="00817CDC" w:rsidTr="00DC2D1B">
        <w:trPr>
          <w:jc w:val="center"/>
        </w:trPr>
        <w:tc>
          <w:tcPr>
            <w:tcW w:w="1809" w:type="dxa"/>
            <w:vMerge w:val="restart"/>
          </w:tcPr>
          <w:p w:rsidR="004C48D4" w:rsidRPr="00817CDC" w:rsidRDefault="004C48D4" w:rsidP="006378A7">
            <w:pPr>
              <w:pStyle w:val="ListNumber"/>
              <w:numPr>
                <w:ilvl w:val="0"/>
                <w:numId w:val="0"/>
              </w:numPr>
              <w:rPr>
                <w:rFonts w:asciiTheme="minorHAnsi" w:hAnsiTheme="minorHAnsi"/>
                <w:lang w:eastAsia="en-AU"/>
              </w:rPr>
            </w:pPr>
            <w:r w:rsidRPr="00817CDC">
              <w:rPr>
                <w:rFonts w:asciiTheme="minorHAnsi" w:hAnsiTheme="minorHAnsi"/>
                <w:color w:val="050505"/>
              </w:rPr>
              <w:lastRenderedPageBreak/>
              <w:t>APP 4 – Dealing with unsolicited personal information</w:t>
            </w:r>
          </w:p>
        </w:tc>
        <w:tc>
          <w:tcPr>
            <w:tcW w:w="2344" w:type="dxa"/>
          </w:tcPr>
          <w:p w:rsidR="004C48D4" w:rsidRPr="00817CDC" w:rsidRDefault="004C48D4" w:rsidP="00560893">
            <w:pPr>
              <w:pStyle w:val="NormalWeb"/>
              <w:numPr>
                <w:ilvl w:val="0"/>
                <w:numId w:val="20"/>
              </w:numPr>
              <w:spacing w:line="336" w:lineRule="auto"/>
              <w:rPr>
                <w:rFonts w:asciiTheme="minorHAnsi" w:hAnsiTheme="minorHAnsi"/>
                <w:sz w:val="20"/>
                <w:szCs w:val="20"/>
                <w:lang w:val="en-GB"/>
              </w:rPr>
            </w:pPr>
            <w:r w:rsidRPr="00817CDC">
              <w:rPr>
                <w:rFonts w:asciiTheme="minorHAnsi" w:hAnsiTheme="minorHAnsi"/>
                <w:color w:val="050505"/>
                <w:sz w:val="20"/>
                <w:szCs w:val="20"/>
              </w:rPr>
              <w:t xml:space="preserve">Will </w:t>
            </w:r>
            <w:r w:rsidR="00560893">
              <w:rPr>
                <w:rFonts w:asciiTheme="minorHAnsi" w:hAnsiTheme="minorHAnsi"/>
                <w:color w:val="050505"/>
                <w:sz w:val="20"/>
                <w:szCs w:val="20"/>
              </w:rPr>
              <w:t>the agency</w:t>
            </w:r>
            <w:r w:rsidRPr="00817CDC">
              <w:rPr>
                <w:rFonts w:asciiTheme="minorHAnsi" w:hAnsiTheme="minorHAnsi"/>
                <w:color w:val="050505"/>
                <w:sz w:val="20"/>
                <w:szCs w:val="20"/>
              </w:rPr>
              <w:t xml:space="preserve"> receive unsolicited personal information?</w:t>
            </w:r>
          </w:p>
        </w:tc>
        <w:tc>
          <w:tcPr>
            <w:tcW w:w="603" w:type="dxa"/>
          </w:tcPr>
          <w:p w:rsidR="004C48D4" w:rsidRPr="00817CDC" w:rsidRDefault="004C48D4" w:rsidP="00C41D82">
            <w:pPr>
              <w:rPr>
                <w:rFonts w:asciiTheme="minorHAnsi" w:hAnsiTheme="minorHAnsi"/>
                <w:lang w:eastAsia="en-AU"/>
              </w:rPr>
            </w:pPr>
            <w:r w:rsidRPr="00817CDC">
              <w:rPr>
                <w:rFonts w:asciiTheme="minorHAnsi" w:hAnsiTheme="minorHAnsi"/>
                <w:lang w:eastAsia="en-AU"/>
              </w:rPr>
              <w:t>Yes</w:t>
            </w:r>
          </w:p>
        </w:tc>
        <w:tc>
          <w:tcPr>
            <w:tcW w:w="5255" w:type="dxa"/>
          </w:tcPr>
          <w:p w:rsidR="004C48D4" w:rsidRPr="00817CDC" w:rsidRDefault="004C48D4" w:rsidP="00F868B6">
            <w:pPr>
              <w:pStyle w:val="ListNumber"/>
              <w:numPr>
                <w:ilvl w:val="0"/>
                <w:numId w:val="0"/>
              </w:numPr>
              <w:rPr>
                <w:rFonts w:asciiTheme="minorHAnsi" w:eastAsia="Times New Roman" w:hAnsiTheme="minorHAnsi"/>
                <w:lang w:val="en-GB" w:eastAsia="en-AU"/>
              </w:rPr>
            </w:pPr>
            <w:r w:rsidRPr="00817CDC">
              <w:rPr>
                <w:rFonts w:asciiTheme="minorHAnsi" w:eastAsia="Times New Roman" w:hAnsiTheme="minorHAnsi"/>
                <w:lang w:val="en-GB" w:eastAsia="en-AU"/>
              </w:rPr>
              <w:t xml:space="preserve">It is a probability that unsolicited information may be obtained from </w:t>
            </w:r>
            <w:r w:rsidR="00F868B6">
              <w:rPr>
                <w:rFonts w:asciiTheme="minorHAnsi" w:eastAsia="Times New Roman" w:hAnsiTheme="minorHAnsi"/>
                <w:lang w:val="en-GB" w:eastAsia="en-AU"/>
              </w:rPr>
              <w:t>clinicians</w:t>
            </w:r>
            <w:r w:rsidRPr="00817CDC">
              <w:rPr>
                <w:rFonts w:asciiTheme="minorHAnsi" w:eastAsia="Times New Roman" w:hAnsiTheme="minorHAnsi"/>
                <w:lang w:val="en-GB" w:eastAsia="en-AU"/>
              </w:rPr>
              <w:t xml:space="preserve"> where they are providing additional information to substantiate a claim </w:t>
            </w:r>
            <w:r w:rsidR="00115344" w:rsidRPr="00817CDC">
              <w:rPr>
                <w:rFonts w:asciiTheme="minorHAnsi" w:eastAsia="Times New Roman" w:hAnsiTheme="minorHAnsi"/>
                <w:lang w:val="en-GB" w:eastAsia="en-AU"/>
              </w:rPr>
              <w:t xml:space="preserve">under the access criteria </w:t>
            </w:r>
            <w:r w:rsidRPr="00817CDC">
              <w:rPr>
                <w:rFonts w:asciiTheme="minorHAnsi" w:eastAsia="Times New Roman" w:hAnsiTheme="minorHAnsi"/>
                <w:lang w:val="en-GB" w:eastAsia="en-AU"/>
              </w:rPr>
              <w:t xml:space="preserve">for access to government funded immunoglobulin products.   This may be information </w:t>
            </w:r>
            <w:r w:rsidR="000764B3" w:rsidRPr="00817CDC">
              <w:rPr>
                <w:rFonts w:asciiTheme="minorHAnsi" w:eastAsia="Times New Roman" w:hAnsiTheme="minorHAnsi"/>
                <w:lang w:val="en-GB" w:eastAsia="en-AU"/>
              </w:rPr>
              <w:t xml:space="preserve">written by clinicians in the free text fields or additional information contained in documents uploaded to </w:t>
            </w:r>
            <w:proofErr w:type="spellStart"/>
            <w:r w:rsidR="001D735F">
              <w:rPr>
                <w:rFonts w:asciiTheme="minorHAnsi" w:eastAsia="Times New Roman" w:hAnsiTheme="minorHAnsi"/>
                <w:lang w:val="en-GB" w:eastAsia="en-AU"/>
              </w:rPr>
              <w:t>BloodSTAR</w:t>
            </w:r>
            <w:proofErr w:type="spellEnd"/>
            <w:r w:rsidR="000764B3" w:rsidRPr="00817CDC">
              <w:rPr>
                <w:rFonts w:asciiTheme="minorHAnsi" w:eastAsia="Times New Roman" w:hAnsiTheme="minorHAnsi"/>
                <w:lang w:val="en-GB" w:eastAsia="en-AU"/>
              </w:rPr>
              <w:t xml:space="preserve">.  Information may be </w:t>
            </w:r>
            <w:r w:rsidRPr="00817CDC">
              <w:rPr>
                <w:rFonts w:asciiTheme="minorHAnsi" w:eastAsia="Times New Roman" w:hAnsiTheme="minorHAnsi"/>
                <w:lang w:val="en-GB" w:eastAsia="en-AU"/>
              </w:rPr>
              <w:t xml:space="preserve">about a next of kin or relative, or a medical test report which contains more information about an individual than is required for the assessment of their eligibility against the access criteria. </w:t>
            </w:r>
          </w:p>
        </w:tc>
        <w:tc>
          <w:tcPr>
            <w:tcW w:w="2066" w:type="dxa"/>
          </w:tcPr>
          <w:p w:rsidR="004C48D4" w:rsidRPr="00817CDC" w:rsidRDefault="004C48D4" w:rsidP="00817CDC">
            <w:pPr>
              <w:pStyle w:val="NormalWeb"/>
              <w:numPr>
                <w:ilvl w:val="0"/>
                <w:numId w:val="19"/>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Provide guidance for </w:t>
            </w:r>
            <w:r w:rsidR="00F868B6" w:rsidRPr="00F868B6">
              <w:rPr>
                <w:rFonts w:asciiTheme="minorHAnsi" w:hAnsiTheme="minorHAnsi"/>
                <w:sz w:val="20"/>
                <w:szCs w:val="20"/>
                <w:lang w:val="en-GB"/>
              </w:rPr>
              <w:t xml:space="preserve">clinicians </w:t>
            </w:r>
            <w:r w:rsidRPr="00817CDC">
              <w:rPr>
                <w:rFonts w:asciiTheme="minorHAnsi" w:hAnsiTheme="minorHAnsi"/>
                <w:sz w:val="20"/>
                <w:szCs w:val="20"/>
                <w:lang w:val="en-GB"/>
              </w:rPr>
              <w:t>and Authorisers to minimise the risk of obtaining unsolicited information.</w:t>
            </w:r>
          </w:p>
          <w:p w:rsidR="004C48D4" w:rsidRPr="00817CDC" w:rsidRDefault="004C48D4" w:rsidP="004C48D4">
            <w:pPr>
              <w:pStyle w:val="NormalWeb"/>
              <w:spacing w:line="336" w:lineRule="auto"/>
              <w:ind w:left="360"/>
              <w:rPr>
                <w:rFonts w:asciiTheme="minorHAnsi" w:hAnsiTheme="minorHAnsi"/>
                <w:b/>
                <w:sz w:val="20"/>
                <w:szCs w:val="20"/>
                <w:lang w:val="en-GB"/>
              </w:rPr>
            </w:pPr>
          </w:p>
        </w:tc>
        <w:tc>
          <w:tcPr>
            <w:tcW w:w="2097" w:type="dxa"/>
          </w:tcPr>
          <w:p w:rsidR="0001174A" w:rsidRPr="00817CDC" w:rsidRDefault="0001174A" w:rsidP="00817CDC">
            <w:pPr>
              <w:pStyle w:val="NormalWeb"/>
              <w:numPr>
                <w:ilvl w:val="0"/>
                <w:numId w:val="22"/>
              </w:numPr>
              <w:spacing w:line="336" w:lineRule="auto"/>
              <w:rPr>
                <w:rFonts w:asciiTheme="minorHAnsi" w:hAnsiTheme="minorHAnsi"/>
                <w:b/>
                <w:sz w:val="20"/>
                <w:szCs w:val="20"/>
                <w:lang w:val="en-GB"/>
              </w:rPr>
            </w:pPr>
            <w:r w:rsidRPr="00817CDC">
              <w:rPr>
                <w:rFonts w:asciiTheme="minorHAnsi" w:hAnsiTheme="minorHAnsi"/>
                <w:sz w:val="20"/>
                <w:szCs w:val="20"/>
                <w:lang w:val="en-GB"/>
              </w:rPr>
              <w:t xml:space="preserve">Guidance will be developed and made available for the information of </w:t>
            </w:r>
            <w:r w:rsidR="00E746F3" w:rsidRPr="00F868B6">
              <w:rPr>
                <w:rFonts w:asciiTheme="minorHAnsi" w:hAnsiTheme="minorHAnsi"/>
                <w:sz w:val="20"/>
                <w:szCs w:val="20"/>
                <w:lang w:val="en-GB"/>
              </w:rPr>
              <w:t>clinicians</w:t>
            </w:r>
            <w:r w:rsidRPr="00817CDC">
              <w:rPr>
                <w:rFonts w:asciiTheme="minorHAnsi" w:hAnsiTheme="minorHAnsi"/>
                <w:sz w:val="20"/>
                <w:szCs w:val="20"/>
                <w:lang w:val="en-GB"/>
              </w:rPr>
              <w:t>. The opportunity to collect unsolicited information will be minimised and where the risk exists, the content of collection will be monitored and removed.</w:t>
            </w:r>
          </w:p>
          <w:p w:rsidR="004C48D4" w:rsidRPr="00817CDC" w:rsidRDefault="0001174A" w:rsidP="001611AE">
            <w:pPr>
              <w:pStyle w:val="NormalWeb"/>
              <w:spacing w:line="336" w:lineRule="auto"/>
              <w:rPr>
                <w:rFonts w:asciiTheme="minorHAnsi" w:hAnsiTheme="minorHAnsi"/>
                <w:b/>
                <w:sz w:val="20"/>
                <w:szCs w:val="20"/>
                <w:lang w:val="en-GB"/>
              </w:rPr>
            </w:pPr>
            <w:r w:rsidRPr="00817CDC">
              <w:rPr>
                <w:rFonts w:asciiTheme="minorHAnsi" w:hAnsiTheme="minorHAnsi"/>
                <w:b/>
                <w:sz w:val="20"/>
                <w:szCs w:val="20"/>
                <w:lang w:val="en-GB"/>
              </w:rPr>
              <w:lastRenderedPageBreak/>
              <w:t>Compliant</w:t>
            </w:r>
            <w:r w:rsidRPr="00817CDC">
              <w:rPr>
                <w:rFonts w:asciiTheme="minorHAnsi" w:hAnsiTheme="minorHAnsi"/>
                <w:sz w:val="20"/>
                <w:szCs w:val="20"/>
                <w:lang w:val="en-GB"/>
              </w:rPr>
              <w:t>.</w:t>
            </w:r>
            <w:r w:rsidRPr="00817CDC">
              <w:rPr>
                <w:rFonts w:asciiTheme="minorHAnsi" w:hAnsiTheme="minorHAnsi"/>
                <w:b/>
                <w:sz w:val="20"/>
                <w:szCs w:val="20"/>
                <w:lang w:val="en-GB"/>
              </w:rPr>
              <w:t xml:space="preserve"> </w:t>
            </w:r>
          </w:p>
        </w:tc>
      </w:tr>
      <w:tr w:rsidR="004C48D4" w:rsidRPr="00817CDC" w:rsidTr="00DC2D1B">
        <w:trPr>
          <w:jc w:val="center"/>
        </w:trPr>
        <w:tc>
          <w:tcPr>
            <w:tcW w:w="1809" w:type="dxa"/>
            <w:vMerge/>
          </w:tcPr>
          <w:p w:rsidR="004C48D4" w:rsidRPr="00817CDC" w:rsidRDefault="004C48D4" w:rsidP="006378A7">
            <w:pPr>
              <w:pStyle w:val="ListNumber"/>
              <w:numPr>
                <w:ilvl w:val="0"/>
                <w:numId w:val="0"/>
              </w:numPr>
              <w:rPr>
                <w:rFonts w:asciiTheme="minorHAnsi" w:hAnsiTheme="minorHAnsi"/>
                <w:lang w:eastAsia="en-AU"/>
              </w:rPr>
            </w:pPr>
          </w:p>
        </w:tc>
        <w:tc>
          <w:tcPr>
            <w:tcW w:w="2344" w:type="dxa"/>
          </w:tcPr>
          <w:p w:rsidR="004C48D4" w:rsidRPr="00817CDC" w:rsidRDefault="004C48D4" w:rsidP="00560893">
            <w:pPr>
              <w:pStyle w:val="NormalWeb"/>
              <w:numPr>
                <w:ilvl w:val="0"/>
                <w:numId w:val="20"/>
              </w:numPr>
              <w:spacing w:line="336" w:lineRule="auto"/>
              <w:rPr>
                <w:rFonts w:asciiTheme="minorHAnsi" w:hAnsiTheme="minorHAnsi"/>
                <w:sz w:val="20"/>
                <w:szCs w:val="20"/>
                <w:lang w:val="en-GB"/>
              </w:rPr>
            </w:pPr>
            <w:r w:rsidRPr="00817CDC">
              <w:rPr>
                <w:rFonts w:asciiTheme="minorHAnsi" w:hAnsiTheme="minorHAnsi"/>
                <w:color w:val="050505"/>
                <w:sz w:val="20"/>
                <w:szCs w:val="20"/>
              </w:rPr>
              <w:t xml:space="preserve">Will </w:t>
            </w:r>
            <w:r w:rsidR="00560893">
              <w:rPr>
                <w:rFonts w:asciiTheme="minorHAnsi" w:hAnsiTheme="minorHAnsi"/>
                <w:color w:val="050505"/>
                <w:sz w:val="20"/>
                <w:szCs w:val="20"/>
              </w:rPr>
              <w:t>the agency</w:t>
            </w:r>
            <w:r w:rsidRPr="00817CDC">
              <w:rPr>
                <w:rFonts w:asciiTheme="minorHAnsi" w:hAnsiTheme="minorHAnsi"/>
                <w:color w:val="050505"/>
                <w:sz w:val="20"/>
                <w:szCs w:val="20"/>
              </w:rPr>
              <w:t xml:space="preserve"> have practices, procedures and systems for dealing with unsolicited information?</w:t>
            </w:r>
          </w:p>
        </w:tc>
        <w:tc>
          <w:tcPr>
            <w:tcW w:w="603" w:type="dxa"/>
          </w:tcPr>
          <w:p w:rsidR="004C48D4" w:rsidRPr="00817CDC" w:rsidRDefault="004C48D4" w:rsidP="00C41D82">
            <w:pPr>
              <w:rPr>
                <w:rFonts w:asciiTheme="minorHAnsi" w:hAnsiTheme="minorHAnsi"/>
                <w:lang w:eastAsia="en-AU"/>
              </w:rPr>
            </w:pPr>
            <w:r w:rsidRPr="00817CDC">
              <w:rPr>
                <w:rFonts w:asciiTheme="minorHAnsi" w:hAnsiTheme="minorHAnsi"/>
                <w:lang w:eastAsia="en-AU"/>
              </w:rPr>
              <w:t>Yes</w:t>
            </w:r>
          </w:p>
        </w:tc>
        <w:tc>
          <w:tcPr>
            <w:tcW w:w="5255" w:type="dxa"/>
          </w:tcPr>
          <w:p w:rsidR="004C48D4" w:rsidRPr="00817CDC" w:rsidRDefault="004C48D4" w:rsidP="00E87F3B">
            <w:pPr>
              <w:pStyle w:val="NormalWeb"/>
              <w:spacing w:line="336" w:lineRule="auto"/>
              <w:rPr>
                <w:rFonts w:asciiTheme="minorHAnsi" w:hAnsiTheme="minorHAnsi"/>
                <w:sz w:val="20"/>
                <w:szCs w:val="20"/>
                <w:lang w:val="en-GB"/>
              </w:rPr>
            </w:pPr>
            <w:r w:rsidRPr="00817CDC">
              <w:rPr>
                <w:rFonts w:asciiTheme="minorHAnsi" w:hAnsiTheme="minorHAnsi"/>
                <w:sz w:val="20"/>
                <w:szCs w:val="20"/>
                <w:lang w:val="en-GB"/>
              </w:rPr>
              <w:t xml:space="preserve">Guidance will be provided to </w:t>
            </w:r>
            <w:r w:rsidR="00F868B6" w:rsidRPr="00F868B6">
              <w:rPr>
                <w:rFonts w:asciiTheme="minorHAnsi" w:hAnsiTheme="minorHAnsi"/>
                <w:sz w:val="20"/>
                <w:szCs w:val="20"/>
                <w:lang w:val="en-GB"/>
              </w:rPr>
              <w:t xml:space="preserve">clinicians </w:t>
            </w:r>
            <w:r w:rsidRPr="00817CDC">
              <w:rPr>
                <w:rFonts w:asciiTheme="minorHAnsi" w:hAnsiTheme="minorHAnsi"/>
                <w:sz w:val="20"/>
                <w:szCs w:val="20"/>
                <w:lang w:val="en-GB"/>
              </w:rPr>
              <w:t>and Authorisers to minimise the risk of obtaining unsolicited information.  Monitoring</w:t>
            </w:r>
            <w:r w:rsidR="00E87F3B" w:rsidRPr="00817CDC">
              <w:rPr>
                <w:rFonts w:asciiTheme="minorHAnsi" w:hAnsiTheme="minorHAnsi"/>
                <w:sz w:val="20"/>
                <w:szCs w:val="20"/>
                <w:lang w:val="en-GB"/>
              </w:rPr>
              <w:t xml:space="preserve"> procedures will be put in place to manage removing or archiving unsolicited information.</w:t>
            </w:r>
          </w:p>
          <w:p w:rsidR="004C48D4" w:rsidRPr="00817CDC" w:rsidRDefault="004C48D4" w:rsidP="002A0D03">
            <w:pPr>
              <w:pStyle w:val="ListNumber"/>
              <w:numPr>
                <w:ilvl w:val="0"/>
                <w:numId w:val="0"/>
              </w:numPr>
              <w:rPr>
                <w:rFonts w:asciiTheme="minorHAnsi" w:eastAsia="Times New Roman" w:hAnsiTheme="minorHAnsi"/>
                <w:lang w:val="en-GB" w:eastAsia="en-AU"/>
              </w:rPr>
            </w:pPr>
          </w:p>
        </w:tc>
        <w:tc>
          <w:tcPr>
            <w:tcW w:w="2066" w:type="dxa"/>
          </w:tcPr>
          <w:p w:rsidR="004C48D4" w:rsidRPr="00817CDC" w:rsidRDefault="00E87F3B" w:rsidP="00817CDC">
            <w:pPr>
              <w:pStyle w:val="NormalWeb"/>
              <w:numPr>
                <w:ilvl w:val="0"/>
                <w:numId w:val="19"/>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Develop guidance to </w:t>
            </w:r>
            <w:r w:rsidR="00F868B6" w:rsidRPr="00F868B6">
              <w:rPr>
                <w:rFonts w:asciiTheme="minorHAnsi" w:hAnsiTheme="minorHAnsi"/>
                <w:sz w:val="20"/>
                <w:szCs w:val="20"/>
                <w:lang w:val="en-GB"/>
              </w:rPr>
              <w:t xml:space="preserve">clinicians </w:t>
            </w:r>
            <w:r w:rsidRPr="00817CDC">
              <w:rPr>
                <w:rFonts w:asciiTheme="minorHAnsi" w:hAnsiTheme="minorHAnsi"/>
                <w:sz w:val="20"/>
                <w:szCs w:val="20"/>
                <w:lang w:val="en-GB"/>
              </w:rPr>
              <w:t>and Authorisers to reduce the risk of collecting unsolicited personal or sensitive information.</w:t>
            </w:r>
          </w:p>
        </w:tc>
        <w:tc>
          <w:tcPr>
            <w:tcW w:w="2097" w:type="dxa"/>
          </w:tcPr>
          <w:p w:rsidR="0001174A" w:rsidRPr="00817CDC" w:rsidRDefault="0001174A" w:rsidP="00817CDC">
            <w:pPr>
              <w:pStyle w:val="NormalWeb"/>
              <w:numPr>
                <w:ilvl w:val="0"/>
                <w:numId w:val="22"/>
              </w:numPr>
              <w:spacing w:line="336" w:lineRule="auto"/>
              <w:rPr>
                <w:rFonts w:asciiTheme="minorHAnsi" w:hAnsiTheme="minorHAnsi"/>
                <w:b/>
                <w:sz w:val="20"/>
                <w:szCs w:val="20"/>
                <w:lang w:val="en-GB"/>
              </w:rPr>
            </w:pPr>
            <w:r w:rsidRPr="00817CDC">
              <w:rPr>
                <w:rFonts w:asciiTheme="minorHAnsi" w:hAnsiTheme="minorHAnsi"/>
                <w:sz w:val="20"/>
                <w:szCs w:val="20"/>
                <w:lang w:val="en-GB"/>
              </w:rPr>
              <w:t xml:space="preserve"> Guidance will be developed and made available for the information of </w:t>
            </w:r>
            <w:r w:rsidR="00F868B6" w:rsidRPr="00F868B6">
              <w:rPr>
                <w:rFonts w:asciiTheme="minorHAnsi" w:hAnsiTheme="minorHAnsi"/>
                <w:sz w:val="20"/>
                <w:szCs w:val="20"/>
                <w:lang w:val="en-GB"/>
              </w:rPr>
              <w:t>clinicians</w:t>
            </w:r>
            <w:r w:rsidRPr="00817CDC">
              <w:rPr>
                <w:rFonts w:asciiTheme="minorHAnsi" w:hAnsiTheme="minorHAnsi"/>
                <w:sz w:val="20"/>
                <w:szCs w:val="20"/>
                <w:lang w:val="en-GB"/>
              </w:rPr>
              <w:t>. The opportunity to collect unsolicited information will be minimised and where the risk exists, the content of collection will be monitored and removed.</w:t>
            </w:r>
          </w:p>
          <w:p w:rsidR="004C48D4" w:rsidRPr="00817CDC" w:rsidRDefault="0001174A" w:rsidP="001611AE">
            <w:pPr>
              <w:pStyle w:val="NormalWeb"/>
              <w:spacing w:line="336" w:lineRule="auto"/>
              <w:ind w:left="360"/>
              <w:rPr>
                <w:rFonts w:asciiTheme="minorHAnsi" w:hAnsiTheme="minorHAnsi"/>
                <w:b/>
                <w:sz w:val="20"/>
                <w:szCs w:val="20"/>
                <w:lang w:val="en-GB"/>
              </w:rPr>
            </w:pPr>
            <w:r w:rsidRPr="00817CDC">
              <w:rPr>
                <w:rFonts w:asciiTheme="minorHAnsi" w:hAnsiTheme="minorHAnsi"/>
                <w:b/>
                <w:sz w:val="20"/>
                <w:szCs w:val="20"/>
                <w:lang w:val="en-GB"/>
              </w:rPr>
              <w:t>Compliant</w:t>
            </w:r>
          </w:p>
        </w:tc>
      </w:tr>
      <w:tr w:rsidR="006378A7" w:rsidRPr="00817CDC" w:rsidTr="00DC2D1B">
        <w:trPr>
          <w:jc w:val="center"/>
        </w:trPr>
        <w:tc>
          <w:tcPr>
            <w:tcW w:w="1809" w:type="dxa"/>
          </w:tcPr>
          <w:p w:rsidR="006378A7" w:rsidRPr="00817CDC" w:rsidRDefault="004C48D4" w:rsidP="006378A7">
            <w:pPr>
              <w:pStyle w:val="ListNumber"/>
              <w:numPr>
                <w:ilvl w:val="0"/>
                <w:numId w:val="0"/>
              </w:numPr>
              <w:rPr>
                <w:rFonts w:asciiTheme="minorHAnsi" w:hAnsiTheme="minorHAnsi"/>
                <w:lang w:eastAsia="en-AU"/>
              </w:rPr>
            </w:pPr>
            <w:r w:rsidRPr="00817CDC">
              <w:rPr>
                <w:rFonts w:asciiTheme="minorHAnsi" w:hAnsiTheme="minorHAnsi"/>
                <w:lang w:eastAsia="en-AU"/>
              </w:rPr>
              <w:t>APP 6 – Use or disclosure</w:t>
            </w:r>
          </w:p>
        </w:tc>
        <w:tc>
          <w:tcPr>
            <w:tcW w:w="2344" w:type="dxa"/>
          </w:tcPr>
          <w:p w:rsidR="006378A7" w:rsidRPr="00817CDC" w:rsidRDefault="00560893" w:rsidP="00560893">
            <w:pPr>
              <w:pStyle w:val="NormalWeb"/>
              <w:numPr>
                <w:ilvl w:val="0"/>
                <w:numId w:val="20"/>
              </w:numPr>
              <w:spacing w:line="336" w:lineRule="auto"/>
              <w:rPr>
                <w:rFonts w:asciiTheme="minorHAnsi" w:hAnsiTheme="minorHAnsi"/>
                <w:color w:val="050505"/>
                <w:sz w:val="20"/>
                <w:szCs w:val="20"/>
              </w:rPr>
            </w:pPr>
            <w:r>
              <w:rPr>
                <w:rFonts w:asciiTheme="minorHAnsi" w:hAnsiTheme="minorHAnsi"/>
                <w:color w:val="050505"/>
                <w:sz w:val="20"/>
                <w:szCs w:val="20"/>
              </w:rPr>
              <w:t xml:space="preserve">For what purposes will the agency </w:t>
            </w:r>
            <w:r w:rsidR="004C48D4" w:rsidRPr="00817CDC">
              <w:rPr>
                <w:rFonts w:asciiTheme="minorHAnsi" w:hAnsiTheme="minorHAnsi"/>
                <w:color w:val="050505"/>
                <w:sz w:val="20"/>
                <w:szCs w:val="20"/>
              </w:rPr>
              <w:t>use and disclose personal information and sensitive information?</w:t>
            </w:r>
          </w:p>
        </w:tc>
        <w:tc>
          <w:tcPr>
            <w:tcW w:w="603" w:type="dxa"/>
          </w:tcPr>
          <w:p w:rsidR="006378A7" w:rsidRPr="00817CDC" w:rsidRDefault="006378A7" w:rsidP="00C41D82">
            <w:pPr>
              <w:rPr>
                <w:rFonts w:asciiTheme="minorHAnsi" w:hAnsiTheme="minorHAnsi"/>
                <w:lang w:eastAsia="en-AU"/>
              </w:rPr>
            </w:pPr>
          </w:p>
        </w:tc>
        <w:tc>
          <w:tcPr>
            <w:tcW w:w="5255" w:type="dxa"/>
          </w:tcPr>
          <w:p w:rsidR="006378A7" w:rsidRPr="00817CDC" w:rsidRDefault="00176412" w:rsidP="00176412">
            <w:pPr>
              <w:pStyle w:val="ListNumber"/>
              <w:numPr>
                <w:ilvl w:val="0"/>
                <w:numId w:val="0"/>
              </w:numPr>
              <w:rPr>
                <w:rFonts w:asciiTheme="minorHAnsi" w:eastAsia="Times New Roman" w:hAnsiTheme="minorHAnsi"/>
                <w:lang w:val="en-GB" w:eastAsia="en-AU"/>
              </w:rPr>
            </w:pPr>
            <w:r w:rsidRPr="00817CDC">
              <w:rPr>
                <w:rFonts w:asciiTheme="minorHAnsi" w:eastAsia="Times New Roman" w:hAnsiTheme="minorHAnsi"/>
                <w:lang w:val="en-GB" w:eastAsia="en-AU"/>
              </w:rPr>
              <w:t xml:space="preserve">Personal and sensitive information is used to enable assessment of authorisation for initial and continuing access to government funded immunoglobulin products against policy parameters set by Health </w:t>
            </w:r>
            <w:r w:rsidR="00936CE4" w:rsidRPr="00817CDC">
              <w:rPr>
                <w:rFonts w:asciiTheme="minorHAnsi" w:eastAsia="Times New Roman" w:hAnsiTheme="minorHAnsi"/>
                <w:lang w:val="en-GB" w:eastAsia="en-AU"/>
              </w:rPr>
              <w:t>M</w:t>
            </w:r>
            <w:r w:rsidRPr="00817CDC">
              <w:rPr>
                <w:rFonts w:asciiTheme="minorHAnsi" w:eastAsia="Times New Roman" w:hAnsiTheme="minorHAnsi"/>
                <w:lang w:val="en-GB" w:eastAsia="en-AU"/>
              </w:rPr>
              <w:t xml:space="preserve">inisters.  Only authorised users will be able to access data via a secure log in process for the purpose of undertaking their role in </w:t>
            </w:r>
            <w:r w:rsidR="006D3B39">
              <w:rPr>
                <w:rFonts w:asciiTheme="minorHAnsi" w:eastAsia="Times New Roman" w:hAnsiTheme="minorHAnsi"/>
                <w:lang w:val="en-GB" w:eastAsia="en-AU"/>
              </w:rPr>
              <w:t>patient care</w:t>
            </w:r>
            <w:r w:rsidRPr="00817CDC">
              <w:rPr>
                <w:rFonts w:asciiTheme="minorHAnsi" w:eastAsia="Times New Roman" w:hAnsiTheme="minorHAnsi"/>
                <w:lang w:val="en-GB" w:eastAsia="en-AU"/>
              </w:rPr>
              <w:t xml:space="preserve"> and manage the appropriate treatment of the patient’s medical condition.</w:t>
            </w:r>
          </w:p>
          <w:p w:rsidR="0001174A" w:rsidRPr="00817CDC" w:rsidRDefault="0001174A" w:rsidP="0001174A">
            <w:pPr>
              <w:pStyle w:val="FootnoteText"/>
              <w:rPr>
                <w:rFonts w:asciiTheme="minorHAnsi" w:hAnsiTheme="minorHAnsi"/>
              </w:rPr>
            </w:pPr>
            <w:r w:rsidRPr="00817CDC">
              <w:rPr>
                <w:rFonts w:asciiTheme="minorHAnsi" w:hAnsiTheme="minorHAnsi"/>
                <w:color w:val="050505"/>
                <w:lang w:val="en-GB"/>
              </w:rPr>
              <w:lastRenderedPageBreak/>
              <w:t xml:space="preserve">‘Disclosure' means releasing the personal information you have collected to another agency, body or organisation (this does not include the individual the information is about).  However in the context of </w:t>
            </w:r>
            <w:proofErr w:type="spellStart"/>
            <w:r w:rsidR="001D735F">
              <w:rPr>
                <w:rFonts w:asciiTheme="minorHAnsi" w:hAnsiTheme="minorHAnsi"/>
                <w:color w:val="050505"/>
                <w:lang w:val="en-GB"/>
              </w:rPr>
              <w:t>BloodSTAR</w:t>
            </w:r>
            <w:proofErr w:type="spellEnd"/>
            <w:r w:rsidRPr="00817CDC">
              <w:rPr>
                <w:rFonts w:asciiTheme="minorHAnsi" w:hAnsiTheme="minorHAnsi"/>
                <w:color w:val="050505"/>
                <w:lang w:val="en-GB"/>
              </w:rPr>
              <w:t>, personal and sensitive information is not disclosed beyond the users of the system.</w:t>
            </w:r>
          </w:p>
          <w:p w:rsidR="0001174A" w:rsidRPr="00817CDC" w:rsidRDefault="0001174A" w:rsidP="00176412">
            <w:pPr>
              <w:pStyle w:val="ListNumber"/>
              <w:numPr>
                <w:ilvl w:val="0"/>
                <w:numId w:val="0"/>
              </w:numPr>
              <w:rPr>
                <w:rFonts w:asciiTheme="minorHAnsi" w:eastAsia="Times New Roman" w:hAnsiTheme="minorHAnsi"/>
                <w:lang w:val="en-GB" w:eastAsia="en-AU"/>
              </w:rPr>
            </w:pPr>
          </w:p>
        </w:tc>
        <w:tc>
          <w:tcPr>
            <w:tcW w:w="2066" w:type="dxa"/>
          </w:tcPr>
          <w:p w:rsidR="006378A7" w:rsidRPr="00817CDC" w:rsidRDefault="0001174A" w:rsidP="00817CDC">
            <w:pPr>
              <w:pStyle w:val="NormalWeb"/>
              <w:numPr>
                <w:ilvl w:val="0"/>
                <w:numId w:val="19"/>
              </w:numPr>
              <w:spacing w:line="336" w:lineRule="auto"/>
              <w:rPr>
                <w:rFonts w:asciiTheme="minorHAnsi" w:hAnsiTheme="minorHAnsi"/>
                <w:sz w:val="20"/>
                <w:szCs w:val="20"/>
                <w:lang w:val="en-GB"/>
              </w:rPr>
            </w:pPr>
            <w:r w:rsidRPr="00817CDC">
              <w:rPr>
                <w:rFonts w:asciiTheme="minorHAnsi" w:hAnsiTheme="minorHAnsi"/>
                <w:sz w:val="20"/>
                <w:szCs w:val="20"/>
                <w:lang w:val="en-GB"/>
              </w:rPr>
              <w:lastRenderedPageBreak/>
              <w:t>None</w:t>
            </w:r>
          </w:p>
        </w:tc>
        <w:tc>
          <w:tcPr>
            <w:tcW w:w="2097" w:type="dxa"/>
          </w:tcPr>
          <w:p w:rsidR="00A233DF" w:rsidRPr="00817CDC" w:rsidRDefault="0001174A" w:rsidP="00817CDC">
            <w:pPr>
              <w:pStyle w:val="NormalWeb"/>
              <w:numPr>
                <w:ilvl w:val="0"/>
                <w:numId w:val="22"/>
              </w:numPr>
              <w:spacing w:line="336" w:lineRule="auto"/>
              <w:rPr>
                <w:rFonts w:asciiTheme="minorHAnsi" w:hAnsiTheme="minorHAnsi"/>
                <w:b/>
                <w:sz w:val="20"/>
                <w:szCs w:val="20"/>
                <w:lang w:val="en-GB"/>
              </w:rPr>
            </w:pPr>
            <w:r w:rsidRPr="00817CDC">
              <w:rPr>
                <w:rFonts w:asciiTheme="minorHAnsi" w:hAnsiTheme="minorHAnsi"/>
                <w:sz w:val="20"/>
                <w:szCs w:val="20"/>
                <w:lang w:val="en-GB"/>
              </w:rPr>
              <w:t xml:space="preserve">Reporting capability will use summary information that does not include personal and sensitive </w:t>
            </w:r>
            <w:r w:rsidRPr="00817CDC">
              <w:rPr>
                <w:rFonts w:asciiTheme="minorHAnsi" w:hAnsiTheme="minorHAnsi"/>
                <w:sz w:val="20"/>
                <w:szCs w:val="20"/>
                <w:lang w:val="en-GB"/>
              </w:rPr>
              <w:lastRenderedPageBreak/>
              <w:t>information</w:t>
            </w:r>
            <w:r w:rsidR="00A233DF" w:rsidRPr="00817CDC">
              <w:rPr>
                <w:rFonts w:asciiTheme="minorHAnsi" w:hAnsiTheme="minorHAnsi"/>
                <w:sz w:val="20"/>
                <w:szCs w:val="20"/>
                <w:lang w:val="en-GB"/>
              </w:rPr>
              <w:t xml:space="preserve"> that can identify individuals.</w:t>
            </w:r>
            <w:r w:rsidRPr="00817CDC">
              <w:rPr>
                <w:rFonts w:asciiTheme="minorHAnsi" w:hAnsiTheme="minorHAnsi"/>
                <w:b/>
                <w:sz w:val="20"/>
                <w:szCs w:val="20"/>
                <w:lang w:val="en-GB"/>
              </w:rPr>
              <w:t xml:space="preserve"> </w:t>
            </w:r>
          </w:p>
          <w:p w:rsidR="006378A7" w:rsidRPr="00817CDC" w:rsidRDefault="0001174A" w:rsidP="001611AE">
            <w:pPr>
              <w:pStyle w:val="NormalWeb"/>
              <w:spacing w:line="336" w:lineRule="auto"/>
              <w:ind w:left="360"/>
              <w:rPr>
                <w:rFonts w:asciiTheme="minorHAnsi" w:hAnsiTheme="minorHAnsi"/>
                <w:b/>
                <w:sz w:val="20"/>
                <w:szCs w:val="20"/>
                <w:lang w:val="en-GB"/>
              </w:rPr>
            </w:pPr>
            <w:r w:rsidRPr="00817CDC">
              <w:rPr>
                <w:rFonts w:asciiTheme="minorHAnsi" w:hAnsiTheme="minorHAnsi"/>
                <w:b/>
                <w:sz w:val="20"/>
                <w:szCs w:val="20"/>
                <w:lang w:val="en-GB"/>
              </w:rPr>
              <w:t>Compliant</w:t>
            </w:r>
          </w:p>
        </w:tc>
      </w:tr>
      <w:tr w:rsidR="00A233DF" w:rsidRPr="00817CDC" w:rsidTr="00DC2D1B">
        <w:trPr>
          <w:jc w:val="center"/>
        </w:trPr>
        <w:tc>
          <w:tcPr>
            <w:tcW w:w="1809" w:type="dxa"/>
          </w:tcPr>
          <w:p w:rsidR="00A233DF" w:rsidRPr="00817CDC" w:rsidRDefault="00A233DF" w:rsidP="006378A7">
            <w:pPr>
              <w:pStyle w:val="ListNumber"/>
              <w:numPr>
                <w:ilvl w:val="0"/>
                <w:numId w:val="0"/>
              </w:numPr>
              <w:rPr>
                <w:rFonts w:asciiTheme="minorHAnsi" w:hAnsiTheme="minorHAnsi"/>
                <w:lang w:eastAsia="en-AU"/>
              </w:rPr>
            </w:pPr>
            <w:r w:rsidRPr="00817CDC">
              <w:rPr>
                <w:rFonts w:asciiTheme="minorHAnsi" w:hAnsiTheme="minorHAnsi"/>
                <w:lang w:eastAsia="en-AU"/>
              </w:rPr>
              <w:lastRenderedPageBreak/>
              <w:t>APP 7 – Direct marketing</w:t>
            </w:r>
          </w:p>
        </w:tc>
        <w:tc>
          <w:tcPr>
            <w:tcW w:w="2344" w:type="dxa"/>
          </w:tcPr>
          <w:p w:rsidR="00A233DF" w:rsidRPr="00817CDC" w:rsidRDefault="00A233DF" w:rsidP="00817CDC">
            <w:pPr>
              <w:pStyle w:val="NormalWeb"/>
              <w:numPr>
                <w:ilvl w:val="0"/>
                <w:numId w:val="20"/>
              </w:numPr>
              <w:spacing w:line="336" w:lineRule="auto"/>
              <w:rPr>
                <w:rFonts w:asciiTheme="minorHAnsi" w:hAnsiTheme="minorHAnsi"/>
                <w:color w:val="050505"/>
                <w:sz w:val="20"/>
                <w:szCs w:val="20"/>
              </w:rPr>
            </w:pPr>
            <w:r w:rsidRPr="00817CDC">
              <w:rPr>
                <w:rFonts w:asciiTheme="minorHAnsi" w:hAnsiTheme="minorHAnsi"/>
                <w:color w:val="050505"/>
                <w:sz w:val="20"/>
                <w:szCs w:val="20"/>
              </w:rPr>
              <w:t>Will personal information be used for direct marketing?</w:t>
            </w:r>
          </w:p>
        </w:tc>
        <w:tc>
          <w:tcPr>
            <w:tcW w:w="603" w:type="dxa"/>
          </w:tcPr>
          <w:p w:rsidR="00A233DF" w:rsidRPr="00817CDC" w:rsidRDefault="00A233DF" w:rsidP="00C41D82">
            <w:pPr>
              <w:rPr>
                <w:rFonts w:asciiTheme="minorHAnsi" w:hAnsiTheme="minorHAnsi"/>
                <w:lang w:eastAsia="en-AU"/>
              </w:rPr>
            </w:pPr>
            <w:r w:rsidRPr="00817CDC">
              <w:rPr>
                <w:rFonts w:asciiTheme="minorHAnsi" w:hAnsiTheme="minorHAnsi"/>
                <w:lang w:eastAsia="en-AU"/>
              </w:rPr>
              <w:t>No</w:t>
            </w:r>
          </w:p>
        </w:tc>
        <w:tc>
          <w:tcPr>
            <w:tcW w:w="5255" w:type="dxa"/>
          </w:tcPr>
          <w:p w:rsidR="00A233DF" w:rsidRPr="00817CDC" w:rsidRDefault="00A233DF" w:rsidP="00F93DFB">
            <w:pPr>
              <w:pStyle w:val="ListNumber"/>
              <w:numPr>
                <w:ilvl w:val="0"/>
                <w:numId w:val="0"/>
              </w:numPr>
              <w:rPr>
                <w:rFonts w:asciiTheme="minorHAnsi" w:eastAsia="Times New Roman" w:hAnsiTheme="minorHAnsi"/>
                <w:lang w:val="en-GB" w:eastAsia="en-AU"/>
              </w:rPr>
            </w:pPr>
            <w:r w:rsidRPr="00817CDC">
              <w:rPr>
                <w:rFonts w:asciiTheme="minorHAnsi" w:eastAsia="Times New Roman" w:hAnsiTheme="minorHAnsi"/>
                <w:lang w:val="en-GB" w:eastAsia="en-AU"/>
              </w:rPr>
              <w:t xml:space="preserve">This APP does not </w:t>
            </w:r>
            <w:r w:rsidR="00154ADF" w:rsidRPr="00817CDC">
              <w:rPr>
                <w:rFonts w:asciiTheme="minorHAnsi" w:eastAsia="Times New Roman" w:hAnsiTheme="minorHAnsi"/>
                <w:lang w:val="en-GB" w:eastAsia="en-AU"/>
              </w:rPr>
              <w:t>apply;</w:t>
            </w:r>
            <w:r w:rsidRPr="00817CDC">
              <w:rPr>
                <w:rFonts w:asciiTheme="minorHAnsi" w:eastAsia="Times New Roman" w:hAnsiTheme="minorHAnsi"/>
                <w:lang w:val="en-GB" w:eastAsia="en-AU"/>
              </w:rPr>
              <w:t xml:space="preserve"> no direct marketing will be undertaken.</w:t>
            </w:r>
          </w:p>
        </w:tc>
        <w:tc>
          <w:tcPr>
            <w:tcW w:w="2066" w:type="dxa"/>
          </w:tcPr>
          <w:p w:rsidR="00A233DF" w:rsidRPr="00817CDC" w:rsidRDefault="00A233DF" w:rsidP="00817CDC">
            <w:pPr>
              <w:pStyle w:val="NormalWeb"/>
              <w:numPr>
                <w:ilvl w:val="0"/>
                <w:numId w:val="19"/>
              </w:numPr>
              <w:spacing w:line="336" w:lineRule="auto"/>
              <w:rPr>
                <w:rFonts w:asciiTheme="minorHAnsi" w:hAnsiTheme="minorHAnsi"/>
                <w:sz w:val="20"/>
                <w:szCs w:val="20"/>
                <w:lang w:val="en-GB"/>
              </w:rPr>
            </w:pPr>
            <w:r w:rsidRPr="00817CDC">
              <w:rPr>
                <w:rFonts w:asciiTheme="minorHAnsi" w:hAnsiTheme="minorHAnsi"/>
                <w:sz w:val="20"/>
                <w:szCs w:val="20"/>
                <w:lang w:val="en-GB"/>
              </w:rPr>
              <w:t>None</w:t>
            </w:r>
          </w:p>
        </w:tc>
        <w:tc>
          <w:tcPr>
            <w:tcW w:w="2097" w:type="dxa"/>
          </w:tcPr>
          <w:p w:rsidR="00A233DF" w:rsidRPr="00817CDC" w:rsidRDefault="00A233DF" w:rsidP="00817CDC">
            <w:pPr>
              <w:pStyle w:val="NormalWeb"/>
              <w:numPr>
                <w:ilvl w:val="0"/>
                <w:numId w:val="22"/>
              </w:numPr>
              <w:spacing w:line="336" w:lineRule="auto"/>
              <w:rPr>
                <w:rFonts w:asciiTheme="minorHAnsi" w:hAnsiTheme="minorHAnsi"/>
                <w:sz w:val="20"/>
                <w:szCs w:val="20"/>
                <w:lang w:val="en-GB"/>
              </w:rPr>
            </w:pPr>
            <w:r w:rsidRPr="00817CDC">
              <w:rPr>
                <w:rFonts w:asciiTheme="minorHAnsi" w:hAnsiTheme="minorHAnsi"/>
                <w:sz w:val="20"/>
                <w:szCs w:val="20"/>
                <w:lang w:val="en-GB"/>
              </w:rPr>
              <w:t>N/A</w:t>
            </w:r>
          </w:p>
        </w:tc>
      </w:tr>
      <w:tr w:rsidR="004C48D4" w:rsidRPr="00817CDC" w:rsidTr="00DC2D1B">
        <w:trPr>
          <w:jc w:val="center"/>
        </w:trPr>
        <w:tc>
          <w:tcPr>
            <w:tcW w:w="1809" w:type="dxa"/>
          </w:tcPr>
          <w:p w:rsidR="004C48D4" w:rsidRPr="00817CDC" w:rsidRDefault="004C48D4" w:rsidP="006378A7">
            <w:pPr>
              <w:pStyle w:val="ListNumber"/>
              <w:numPr>
                <w:ilvl w:val="0"/>
                <w:numId w:val="0"/>
              </w:numPr>
              <w:rPr>
                <w:rFonts w:asciiTheme="minorHAnsi" w:hAnsiTheme="minorHAnsi"/>
                <w:lang w:eastAsia="en-AU"/>
              </w:rPr>
            </w:pPr>
            <w:r w:rsidRPr="00817CDC">
              <w:rPr>
                <w:rFonts w:asciiTheme="minorHAnsi" w:hAnsiTheme="minorHAnsi"/>
                <w:lang w:eastAsia="en-AU"/>
              </w:rPr>
              <w:t>APP 8 – Cross border disclosure</w:t>
            </w:r>
          </w:p>
        </w:tc>
        <w:tc>
          <w:tcPr>
            <w:tcW w:w="2344" w:type="dxa"/>
          </w:tcPr>
          <w:p w:rsidR="004C48D4" w:rsidRPr="00817CDC" w:rsidRDefault="004C48D4" w:rsidP="005B5F09">
            <w:pPr>
              <w:pStyle w:val="NormalWeb"/>
              <w:numPr>
                <w:ilvl w:val="0"/>
                <w:numId w:val="20"/>
              </w:numPr>
              <w:spacing w:line="336" w:lineRule="auto"/>
              <w:rPr>
                <w:rFonts w:asciiTheme="minorHAnsi" w:hAnsiTheme="minorHAnsi"/>
                <w:color w:val="050505"/>
                <w:sz w:val="20"/>
                <w:szCs w:val="20"/>
              </w:rPr>
            </w:pPr>
            <w:r w:rsidRPr="00817CDC">
              <w:rPr>
                <w:rFonts w:asciiTheme="minorHAnsi" w:hAnsiTheme="minorHAnsi"/>
                <w:color w:val="050505"/>
                <w:sz w:val="20"/>
                <w:szCs w:val="20"/>
              </w:rPr>
              <w:t xml:space="preserve">Will personal or sensitive information </w:t>
            </w:r>
            <w:r w:rsidR="005B5F09">
              <w:rPr>
                <w:rFonts w:asciiTheme="minorHAnsi" w:hAnsiTheme="minorHAnsi"/>
                <w:color w:val="050505"/>
                <w:sz w:val="20"/>
                <w:szCs w:val="20"/>
              </w:rPr>
              <w:t xml:space="preserve">be sent </w:t>
            </w:r>
            <w:r w:rsidRPr="00817CDC">
              <w:rPr>
                <w:rFonts w:asciiTheme="minorHAnsi" w:hAnsiTheme="minorHAnsi"/>
                <w:color w:val="050505"/>
                <w:sz w:val="20"/>
                <w:szCs w:val="20"/>
              </w:rPr>
              <w:t>overseas?</w:t>
            </w:r>
          </w:p>
        </w:tc>
        <w:tc>
          <w:tcPr>
            <w:tcW w:w="603" w:type="dxa"/>
          </w:tcPr>
          <w:p w:rsidR="004C48D4" w:rsidRPr="00817CDC" w:rsidRDefault="004C48D4" w:rsidP="00C41D82">
            <w:pPr>
              <w:rPr>
                <w:rFonts w:asciiTheme="minorHAnsi" w:hAnsiTheme="minorHAnsi"/>
                <w:lang w:eastAsia="en-AU"/>
              </w:rPr>
            </w:pPr>
            <w:r w:rsidRPr="00817CDC">
              <w:rPr>
                <w:rFonts w:asciiTheme="minorHAnsi" w:hAnsiTheme="minorHAnsi"/>
                <w:lang w:eastAsia="en-AU"/>
              </w:rPr>
              <w:t>No</w:t>
            </w:r>
          </w:p>
        </w:tc>
        <w:tc>
          <w:tcPr>
            <w:tcW w:w="5255" w:type="dxa"/>
          </w:tcPr>
          <w:p w:rsidR="004C48D4" w:rsidRPr="00817CDC" w:rsidRDefault="00F93DFB" w:rsidP="00A233DF">
            <w:pPr>
              <w:pStyle w:val="ListNumber"/>
              <w:numPr>
                <w:ilvl w:val="0"/>
                <w:numId w:val="0"/>
              </w:numPr>
              <w:rPr>
                <w:rFonts w:asciiTheme="minorHAnsi" w:eastAsia="Times New Roman" w:hAnsiTheme="minorHAnsi"/>
                <w:lang w:val="en-GB" w:eastAsia="en-AU"/>
              </w:rPr>
            </w:pPr>
            <w:r w:rsidRPr="00817CDC">
              <w:rPr>
                <w:rFonts w:asciiTheme="minorHAnsi" w:eastAsia="Times New Roman" w:hAnsiTheme="minorHAnsi"/>
                <w:lang w:val="en-GB" w:eastAsia="en-AU"/>
              </w:rPr>
              <w:t xml:space="preserve">Data will not be sent overseas.  </w:t>
            </w:r>
          </w:p>
        </w:tc>
        <w:tc>
          <w:tcPr>
            <w:tcW w:w="2066" w:type="dxa"/>
          </w:tcPr>
          <w:p w:rsidR="004C48D4" w:rsidRPr="00817CDC" w:rsidRDefault="00A233DF" w:rsidP="00817CDC">
            <w:pPr>
              <w:pStyle w:val="NormalWeb"/>
              <w:numPr>
                <w:ilvl w:val="0"/>
                <w:numId w:val="19"/>
              </w:numPr>
              <w:spacing w:line="336" w:lineRule="auto"/>
              <w:rPr>
                <w:rFonts w:asciiTheme="minorHAnsi" w:hAnsiTheme="minorHAnsi"/>
                <w:sz w:val="20"/>
                <w:szCs w:val="20"/>
                <w:lang w:val="en-GB"/>
              </w:rPr>
            </w:pPr>
            <w:r w:rsidRPr="00817CDC">
              <w:rPr>
                <w:rFonts w:asciiTheme="minorHAnsi" w:hAnsiTheme="minorHAnsi"/>
                <w:sz w:val="20"/>
                <w:szCs w:val="20"/>
                <w:lang w:val="en-GB"/>
              </w:rPr>
              <w:t>None</w:t>
            </w:r>
          </w:p>
        </w:tc>
        <w:tc>
          <w:tcPr>
            <w:tcW w:w="2097" w:type="dxa"/>
          </w:tcPr>
          <w:p w:rsidR="004C48D4" w:rsidRPr="00817CDC" w:rsidRDefault="00A233DF" w:rsidP="00817CDC">
            <w:pPr>
              <w:pStyle w:val="NormalWeb"/>
              <w:numPr>
                <w:ilvl w:val="0"/>
                <w:numId w:val="22"/>
              </w:numPr>
              <w:spacing w:line="336" w:lineRule="auto"/>
              <w:rPr>
                <w:rFonts w:asciiTheme="minorHAnsi" w:hAnsiTheme="minorHAnsi"/>
                <w:sz w:val="20"/>
                <w:szCs w:val="20"/>
                <w:lang w:val="en-GB"/>
              </w:rPr>
            </w:pPr>
            <w:r w:rsidRPr="00817CDC">
              <w:rPr>
                <w:rFonts w:asciiTheme="minorHAnsi" w:hAnsiTheme="minorHAnsi"/>
                <w:sz w:val="20"/>
                <w:szCs w:val="20"/>
                <w:lang w:val="en-GB"/>
              </w:rPr>
              <w:t>N/A</w:t>
            </w:r>
          </w:p>
        </w:tc>
      </w:tr>
      <w:tr w:rsidR="004C48D4" w:rsidRPr="00817CDC" w:rsidTr="005B5F09">
        <w:trPr>
          <w:jc w:val="center"/>
        </w:trPr>
        <w:tc>
          <w:tcPr>
            <w:tcW w:w="1809" w:type="dxa"/>
            <w:shd w:val="clear" w:color="auto" w:fill="auto"/>
          </w:tcPr>
          <w:p w:rsidR="004C48D4" w:rsidRPr="00154ADF" w:rsidRDefault="004C48D4" w:rsidP="006378A7">
            <w:pPr>
              <w:pStyle w:val="ListNumber"/>
              <w:numPr>
                <w:ilvl w:val="0"/>
                <w:numId w:val="0"/>
              </w:numPr>
              <w:rPr>
                <w:rFonts w:asciiTheme="minorHAnsi" w:hAnsiTheme="minorHAnsi"/>
                <w:lang w:eastAsia="en-AU"/>
              </w:rPr>
            </w:pPr>
            <w:r w:rsidRPr="00154ADF">
              <w:rPr>
                <w:rFonts w:asciiTheme="minorHAnsi" w:hAnsiTheme="minorHAnsi"/>
                <w:lang w:eastAsia="en-AU"/>
              </w:rPr>
              <w:t>APP 9 - Adoption, use or disclosure of government related identifiers</w:t>
            </w:r>
          </w:p>
        </w:tc>
        <w:tc>
          <w:tcPr>
            <w:tcW w:w="2344" w:type="dxa"/>
            <w:shd w:val="clear" w:color="auto" w:fill="auto"/>
          </w:tcPr>
          <w:p w:rsidR="00BE723B" w:rsidRDefault="004C48D4" w:rsidP="00BE723B">
            <w:pPr>
              <w:pStyle w:val="NormalWeb"/>
              <w:numPr>
                <w:ilvl w:val="0"/>
                <w:numId w:val="20"/>
              </w:numPr>
              <w:spacing w:line="336" w:lineRule="auto"/>
              <w:rPr>
                <w:rFonts w:asciiTheme="minorHAnsi" w:hAnsiTheme="minorHAnsi"/>
                <w:color w:val="050505"/>
                <w:sz w:val="20"/>
                <w:szCs w:val="20"/>
              </w:rPr>
            </w:pPr>
            <w:r w:rsidRPr="00154ADF">
              <w:rPr>
                <w:rFonts w:asciiTheme="minorHAnsi" w:hAnsiTheme="minorHAnsi"/>
                <w:color w:val="050505"/>
                <w:sz w:val="20"/>
                <w:szCs w:val="20"/>
              </w:rPr>
              <w:t xml:space="preserve">Will </w:t>
            </w:r>
            <w:r w:rsidR="005B5F09" w:rsidRPr="00154ADF">
              <w:rPr>
                <w:rFonts w:asciiTheme="minorHAnsi" w:hAnsiTheme="minorHAnsi"/>
                <w:color w:val="050505"/>
                <w:sz w:val="20"/>
                <w:szCs w:val="20"/>
              </w:rPr>
              <w:t>government related identifiers be</w:t>
            </w:r>
            <w:r w:rsidRPr="00154ADF">
              <w:rPr>
                <w:rFonts w:asciiTheme="minorHAnsi" w:hAnsiTheme="minorHAnsi"/>
                <w:color w:val="050505"/>
                <w:sz w:val="20"/>
                <w:szCs w:val="20"/>
              </w:rPr>
              <w:t xml:space="preserve"> adopt</w:t>
            </w:r>
            <w:r w:rsidR="005B5F09" w:rsidRPr="00154ADF">
              <w:rPr>
                <w:rFonts w:asciiTheme="minorHAnsi" w:hAnsiTheme="minorHAnsi"/>
                <w:color w:val="050505"/>
                <w:sz w:val="20"/>
                <w:szCs w:val="20"/>
              </w:rPr>
              <w:t>ed</w:t>
            </w:r>
            <w:r w:rsidR="00BE723B">
              <w:rPr>
                <w:rFonts w:asciiTheme="minorHAnsi" w:hAnsiTheme="minorHAnsi"/>
                <w:color w:val="050505"/>
                <w:sz w:val="20"/>
                <w:szCs w:val="20"/>
              </w:rPr>
              <w:t xml:space="preserve"> as the agency’s own identifier? (APP9.1)</w:t>
            </w:r>
          </w:p>
          <w:p w:rsidR="00BE723B" w:rsidRDefault="00BE723B" w:rsidP="00BE723B">
            <w:pPr>
              <w:pStyle w:val="NormalWeb"/>
              <w:spacing w:line="336" w:lineRule="auto"/>
              <w:rPr>
                <w:rFonts w:asciiTheme="minorHAnsi" w:hAnsiTheme="minorHAnsi"/>
                <w:color w:val="050505"/>
                <w:sz w:val="20"/>
                <w:szCs w:val="20"/>
              </w:rPr>
            </w:pPr>
          </w:p>
          <w:p w:rsidR="00BE723B" w:rsidRPr="00154ADF" w:rsidRDefault="00BE723B" w:rsidP="00BE723B">
            <w:pPr>
              <w:pStyle w:val="NormalWeb"/>
              <w:numPr>
                <w:ilvl w:val="0"/>
                <w:numId w:val="20"/>
              </w:numPr>
              <w:spacing w:line="336" w:lineRule="auto"/>
              <w:rPr>
                <w:rFonts w:asciiTheme="minorHAnsi" w:hAnsiTheme="minorHAnsi"/>
                <w:color w:val="050505"/>
                <w:sz w:val="20"/>
                <w:szCs w:val="20"/>
              </w:rPr>
            </w:pPr>
            <w:r>
              <w:rPr>
                <w:rFonts w:asciiTheme="minorHAnsi" w:hAnsiTheme="minorHAnsi"/>
                <w:color w:val="050505"/>
                <w:sz w:val="20"/>
                <w:szCs w:val="20"/>
              </w:rPr>
              <w:t xml:space="preserve">Will government related identifiers be used or disclosed? </w:t>
            </w:r>
            <w:r>
              <w:rPr>
                <w:rFonts w:asciiTheme="minorHAnsi" w:hAnsiTheme="minorHAnsi"/>
                <w:color w:val="050505"/>
                <w:sz w:val="20"/>
                <w:szCs w:val="20"/>
              </w:rPr>
              <w:lastRenderedPageBreak/>
              <w:t>(APP9.2)</w:t>
            </w:r>
          </w:p>
        </w:tc>
        <w:tc>
          <w:tcPr>
            <w:tcW w:w="603" w:type="dxa"/>
            <w:shd w:val="clear" w:color="auto" w:fill="auto"/>
          </w:tcPr>
          <w:p w:rsidR="004C48D4" w:rsidRDefault="00BE723B" w:rsidP="00C41D82">
            <w:pPr>
              <w:rPr>
                <w:rFonts w:asciiTheme="minorHAnsi" w:hAnsiTheme="minorHAnsi"/>
                <w:lang w:eastAsia="en-AU"/>
              </w:rPr>
            </w:pPr>
            <w:r>
              <w:rPr>
                <w:rFonts w:asciiTheme="minorHAnsi" w:hAnsiTheme="minorHAnsi"/>
                <w:lang w:eastAsia="en-AU"/>
              </w:rPr>
              <w:lastRenderedPageBreak/>
              <w:t>No</w:t>
            </w:r>
          </w:p>
          <w:p w:rsidR="00BE723B" w:rsidRDefault="00BE723B" w:rsidP="00C41D82">
            <w:pPr>
              <w:rPr>
                <w:rFonts w:asciiTheme="minorHAnsi" w:hAnsiTheme="minorHAnsi"/>
                <w:lang w:eastAsia="en-AU"/>
              </w:rPr>
            </w:pPr>
          </w:p>
          <w:p w:rsidR="00BE723B" w:rsidRDefault="00BE723B" w:rsidP="00C41D82">
            <w:pPr>
              <w:rPr>
                <w:rFonts w:asciiTheme="minorHAnsi" w:hAnsiTheme="minorHAnsi"/>
                <w:lang w:eastAsia="en-AU"/>
              </w:rPr>
            </w:pPr>
          </w:p>
          <w:p w:rsidR="00BE723B" w:rsidRDefault="00BE723B" w:rsidP="00C41D82">
            <w:pPr>
              <w:rPr>
                <w:rFonts w:asciiTheme="minorHAnsi" w:hAnsiTheme="minorHAnsi"/>
                <w:lang w:eastAsia="en-AU"/>
              </w:rPr>
            </w:pPr>
          </w:p>
          <w:p w:rsidR="00BE723B" w:rsidRDefault="00BE723B" w:rsidP="00C41D82">
            <w:pPr>
              <w:rPr>
                <w:rFonts w:asciiTheme="minorHAnsi" w:hAnsiTheme="minorHAnsi"/>
                <w:lang w:eastAsia="en-AU"/>
              </w:rPr>
            </w:pPr>
          </w:p>
          <w:p w:rsidR="00BE723B" w:rsidRDefault="00BE723B" w:rsidP="00C41D82">
            <w:pPr>
              <w:rPr>
                <w:rFonts w:asciiTheme="minorHAnsi" w:hAnsiTheme="minorHAnsi"/>
                <w:lang w:eastAsia="en-AU"/>
              </w:rPr>
            </w:pPr>
          </w:p>
          <w:p w:rsidR="00BE723B" w:rsidRPr="00154ADF" w:rsidRDefault="00BE723B" w:rsidP="00C41D82">
            <w:pPr>
              <w:rPr>
                <w:rFonts w:asciiTheme="minorHAnsi" w:hAnsiTheme="minorHAnsi"/>
                <w:lang w:eastAsia="en-AU"/>
              </w:rPr>
            </w:pPr>
            <w:r>
              <w:rPr>
                <w:rFonts w:asciiTheme="minorHAnsi" w:hAnsiTheme="minorHAnsi"/>
                <w:lang w:eastAsia="en-AU"/>
              </w:rPr>
              <w:t>Yes</w:t>
            </w:r>
          </w:p>
        </w:tc>
        <w:tc>
          <w:tcPr>
            <w:tcW w:w="5255" w:type="dxa"/>
            <w:shd w:val="clear" w:color="auto" w:fill="auto"/>
          </w:tcPr>
          <w:p w:rsidR="00BE723B" w:rsidRDefault="00BE723B" w:rsidP="002A0D03">
            <w:pPr>
              <w:pStyle w:val="ListNumber"/>
              <w:numPr>
                <w:ilvl w:val="0"/>
                <w:numId w:val="0"/>
              </w:numPr>
              <w:rPr>
                <w:rFonts w:asciiTheme="minorHAnsi" w:eastAsia="Times New Roman" w:hAnsiTheme="minorHAnsi"/>
                <w:lang w:val="en-GB" w:eastAsia="en-AU"/>
              </w:rPr>
            </w:pPr>
          </w:p>
          <w:p w:rsidR="00BE723B" w:rsidRDefault="00BE723B" w:rsidP="002A0D03">
            <w:pPr>
              <w:pStyle w:val="ListNumber"/>
              <w:numPr>
                <w:ilvl w:val="0"/>
                <w:numId w:val="0"/>
              </w:numPr>
              <w:rPr>
                <w:rFonts w:asciiTheme="minorHAnsi" w:eastAsia="Times New Roman" w:hAnsiTheme="minorHAnsi"/>
                <w:lang w:val="en-GB" w:eastAsia="en-AU"/>
              </w:rPr>
            </w:pPr>
          </w:p>
          <w:p w:rsidR="00BE723B" w:rsidRDefault="00BE723B" w:rsidP="002A0D03">
            <w:pPr>
              <w:pStyle w:val="ListNumber"/>
              <w:numPr>
                <w:ilvl w:val="0"/>
                <w:numId w:val="0"/>
              </w:numPr>
              <w:rPr>
                <w:rFonts w:asciiTheme="minorHAnsi" w:eastAsia="Times New Roman" w:hAnsiTheme="minorHAnsi"/>
                <w:lang w:val="en-GB" w:eastAsia="en-AU"/>
              </w:rPr>
            </w:pPr>
          </w:p>
          <w:p w:rsidR="00BE723B" w:rsidRDefault="00BE723B" w:rsidP="002A0D03">
            <w:pPr>
              <w:pStyle w:val="ListNumber"/>
              <w:numPr>
                <w:ilvl w:val="0"/>
                <w:numId w:val="0"/>
              </w:numPr>
              <w:rPr>
                <w:rFonts w:asciiTheme="minorHAnsi" w:eastAsia="Times New Roman" w:hAnsiTheme="minorHAnsi"/>
                <w:lang w:val="en-GB" w:eastAsia="en-AU"/>
              </w:rPr>
            </w:pPr>
          </w:p>
          <w:p w:rsidR="00BE723B" w:rsidRDefault="00BE723B" w:rsidP="002A0D03">
            <w:pPr>
              <w:pStyle w:val="ListNumber"/>
              <w:numPr>
                <w:ilvl w:val="0"/>
                <w:numId w:val="0"/>
              </w:numPr>
              <w:rPr>
                <w:rFonts w:asciiTheme="minorHAnsi" w:eastAsia="Times New Roman" w:hAnsiTheme="minorHAnsi"/>
                <w:lang w:val="en-GB" w:eastAsia="en-AU"/>
              </w:rPr>
            </w:pPr>
          </w:p>
          <w:p w:rsidR="00BE723B" w:rsidRDefault="00BE723B" w:rsidP="002A0D03">
            <w:pPr>
              <w:pStyle w:val="ListNumber"/>
              <w:numPr>
                <w:ilvl w:val="0"/>
                <w:numId w:val="0"/>
              </w:numPr>
              <w:rPr>
                <w:rFonts w:asciiTheme="minorHAnsi" w:eastAsia="Times New Roman" w:hAnsiTheme="minorHAnsi"/>
                <w:lang w:val="en-GB" w:eastAsia="en-AU"/>
              </w:rPr>
            </w:pPr>
          </w:p>
          <w:p w:rsidR="00BE723B" w:rsidRDefault="00BE723B" w:rsidP="002A0D03">
            <w:pPr>
              <w:pStyle w:val="ListNumber"/>
              <w:numPr>
                <w:ilvl w:val="0"/>
                <w:numId w:val="0"/>
              </w:numPr>
              <w:rPr>
                <w:rFonts w:asciiTheme="minorHAnsi" w:eastAsia="Times New Roman" w:hAnsiTheme="minorHAnsi"/>
                <w:lang w:val="en-GB" w:eastAsia="en-AU"/>
              </w:rPr>
            </w:pPr>
          </w:p>
          <w:p w:rsidR="00BE723B" w:rsidRDefault="00BE723B" w:rsidP="002A0D03">
            <w:pPr>
              <w:pStyle w:val="ListNumber"/>
              <w:numPr>
                <w:ilvl w:val="0"/>
                <w:numId w:val="0"/>
              </w:numPr>
              <w:rPr>
                <w:rFonts w:asciiTheme="minorHAnsi" w:eastAsia="Times New Roman" w:hAnsiTheme="minorHAnsi"/>
                <w:lang w:val="en-GB" w:eastAsia="en-AU"/>
              </w:rPr>
            </w:pPr>
          </w:p>
          <w:p w:rsidR="00BE723B" w:rsidRDefault="00BE723B" w:rsidP="002A0D03">
            <w:pPr>
              <w:pStyle w:val="ListNumber"/>
              <w:numPr>
                <w:ilvl w:val="0"/>
                <w:numId w:val="0"/>
              </w:numPr>
              <w:rPr>
                <w:rFonts w:asciiTheme="minorHAnsi" w:eastAsia="Times New Roman" w:hAnsiTheme="minorHAnsi"/>
                <w:lang w:val="en-GB" w:eastAsia="en-AU"/>
              </w:rPr>
            </w:pPr>
          </w:p>
          <w:p w:rsidR="00BE723B" w:rsidRDefault="00BE723B" w:rsidP="002A0D03">
            <w:pPr>
              <w:pStyle w:val="ListNumber"/>
              <w:numPr>
                <w:ilvl w:val="0"/>
                <w:numId w:val="0"/>
              </w:numPr>
              <w:rPr>
                <w:rFonts w:asciiTheme="minorHAnsi" w:eastAsia="Times New Roman" w:hAnsiTheme="minorHAnsi"/>
                <w:lang w:val="en-GB" w:eastAsia="en-AU"/>
              </w:rPr>
            </w:pPr>
          </w:p>
          <w:p w:rsidR="004C48D4" w:rsidRPr="00154ADF" w:rsidRDefault="00A233DF" w:rsidP="002A0D03">
            <w:pPr>
              <w:pStyle w:val="ListNumber"/>
              <w:numPr>
                <w:ilvl w:val="0"/>
                <w:numId w:val="0"/>
              </w:numPr>
              <w:rPr>
                <w:rFonts w:asciiTheme="minorHAnsi" w:eastAsia="Times New Roman" w:hAnsiTheme="minorHAnsi"/>
                <w:lang w:val="en-GB" w:eastAsia="en-AU"/>
              </w:rPr>
            </w:pPr>
            <w:r w:rsidRPr="00154ADF">
              <w:rPr>
                <w:rFonts w:asciiTheme="minorHAnsi" w:eastAsia="Times New Roman" w:hAnsiTheme="minorHAnsi"/>
                <w:lang w:val="en-GB" w:eastAsia="en-AU"/>
              </w:rPr>
              <w:t xml:space="preserve">A collection of </w:t>
            </w:r>
            <w:r w:rsidR="009A34AE" w:rsidRPr="00154ADF">
              <w:rPr>
                <w:rFonts w:asciiTheme="minorHAnsi" w:eastAsia="Times New Roman" w:hAnsiTheme="minorHAnsi"/>
                <w:lang w:val="en-GB" w:eastAsia="en-AU"/>
              </w:rPr>
              <w:t xml:space="preserve">government </w:t>
            </w:r>
            <w:r w:rsidRPr="00154ADF">
              <w:rPr>
                <w:rFonts w:asciiTheme="minorHAnsi" w:eastAsia="Times New Roman" w:hAnsiTheme="minorHAnsi"/>
                <w:lang w:val="en-GB" w:eastAsia="en-AU"/>
              </w:rPr>
              <w:t xml:space="preserve">identifiers will be used </w:t>
            </w:r>
            <w:r w:rsidR="00966D89" w:rsidRPr="00154ADF">
              <w:rPr>
                <w:rFonts w:asciiTheme="minorHAnsi" w:eastAsia="Times New Roman" w:hAnsiTheme="minorHAnsi"/>
                <w:lang w:val="en-GB" w:eastAsia="en-AU"/>
              </w:rPr>
              <w:t>to assist with</w:t>
            </w:r>
            <w:r w:rsidRPr="00154ADF">
              <w:rPr>
                <w:rFonts w:asciiTheme="minorHAnsi" w:eastAsia="Times New Roman" w:hAnsiTheme="minorHAnsi"/>
                <w:lang w:val="en-GB" w:eastAsia="en-AU"/>
              </w:rPr>
              <w:t xml:space="preserve"> </w:t>
            </w:r>
            <w:r w:rsidR="009A34AE" w:rsidRPr="00154ADF">
              <w:rPr>
                <w:rFonts w:asciiTheme="minorHAnsi" w:eastAsia="Times New Roman" w:hAnsiTheme="minorHAnsi"/>
                <w:lang w:val="en-GB" w:eastAsia="en-AU"/>
              </w:rPr>
              <w:t xml:space="preserve">uniquely </w:t>
            </w:r>
            <w:r w:rsidRPr="00154ADF">
              <w:rPr>
                <w:rFonts w:asciiTheme="minorHAnsi" w:eastAsia="Times New Roman" w:hAnsiTheme="minorHAnsi"/>
                <w:lang w:val="en-GB" w:eastAsia="en-AU"/>
              </w:rPr>
              <w:t>identify</w:t>
            </w:r>
            <w:r w:rsidR="00966D89" w:rsidRPr="00154ADF">
              <w:rPr>
                <w:rFonts w:asciiTheme="minorHAnsi" w:eastAsia="Times New Roman" w:hAnsiTheme="minorHAnsi"/>
                <w:lang w:val="en-GB" w:eastAsia="en-AU"/>
              </w:rPr>
              <w:t>ing</w:t>
            </w:r>
            <w:r w:rsidRPr="00154ADF">
              <w:rPr>
                <w:rFonts w:asciiTheme="minorHAnsi" w:eastAsia="Times New Roman" w:hAnsiTheme="minorHAnsi"/>
                <w:lang w:val="en-GB" w:eastAsia="en-AU"/>
              </w:rPr>
              <w:t xml:space="preserve"> individual</w:t>
            </w:r>
            <w:r w:rsidR="00966D89" w:rsidRPr="00154ADF">
              <w:rPr>
                <w:rFonts w:asciiTheme="minorHAnsi" w:eastAsia="Times New Roman" w:hAnsiTheme="minorHAnsi"/>
                <w:lang w:val="en-GB" w:eastAsia="en-AU"/>
              </w:rPr>
              <w:t>s</w:t>
            </w:r>
            <w:r w:rsidR="009A34AE" w:rsidRPr="00154ADF">
              <w:rPr>
                <w:rFonts w:asciiTheme="minorHAnsi" w:eastAsia="Times New Roman" w:hAnsiTheme="minorHAnsi"/>
                <w:lang w:val="en-GB" w:eastAsia="en-AU"/>
              </w:rPr>
              <w:t xml:space="preserve"> together with </w:t>
            </w:r>
            <w:r w:rsidR="00D207C9" w:rsidRPr="00154ADF">
              <w:rPr>
                <w:rFonts w:asciiTheme="minorHAnsi" w:eastAsia="Times New Roman" w:hAnsiTheme="minorHAnsi"/>
                <w:lang w:val="en-GB" w:eastAsia="en-AU"/>
              </w:rPr>
              <w:t xml:space="preserve">a </w:t>
            </w:r>
            <w:proofErr w:type="spellStart"/>
            <w:r w:rsidR="00D207C9" w:rsidRPr="00154ADF">
              <w:rPr>
                <w:rFonts w:asciiTheme="minorHAnsi" w:eastAsia="Times New Roman" w:hAnsiTheme="minorHAnsi"/>
                <w:lang w:val="en-GB" w:eastAsia="en-AU"/>
              </w:rPr>
              <w:t>BloodSTAR</w:t>
            </w:r>
            <w:proofErr w:type="spellEnd"/>
            <w:r w:rsidR="00D207C9" w:rsidRPr="00154ADF">
              <w:rPr>
                <w:rFonts w:asciiTheme="minorHAnsi" w:eastAsia="Times New Roman" w:hAnsiTheme="minorHAnsi"/>
                <w:lang w:val="en-GB" w:eastAsia="en-AU"/>
              </w:rPr>
              <w:t xml:space="preserve"> </w:t>
            </w:r>
            <w:r w:rsidR="009A34AE" w:rsidRPr="00154ADF">
              <w:rPr>
                <w:rFonts w:asciiTheme="minorHAnsi" w:eastAsia="Times New Roman" w:hAnsiTheme="minorHAnsi"/>
                <w:lang w:val="en-GB" w:eastAsia="en-AU"/>
              </w:rPr>
              <w:t>patient identifier.</w:t>
            </w:r>
            <w:r w:rsidR="00BE723B">
              <w:rPr>
                <w:rFonts w:asciiTheme="minorHAnsi" w:eastAsia="Times New Roman" w:hAnsiTheme="minorHAnsi"/>
                <w:lang w:val="en-GB" w:eastAsia="en-AU"/>
              </w:rPr>
              <w:t xml:space="preserve">  </w:t>
            </w:r>
            <w:r w:rsidR="009A34AE" w:rsidRPr="00154ADF">
              <w:rPr>
                <w:rFonts w:asciiTheme="minorHAnsi" w:eastAsia="Times New Roman" w:hAnsiTheme="minorHAnsi"/>
                <w:lang w:val="en-GB" w:eastAsia="en-AU"/>
              </w:rPr>
              <w:t>T</w:t>
            </w:r>
            <w:r w:rsidRPr="00154ADF">
              <w:rPr>
                <w:rFonts w:asciiTheme="minorHAnsi" w:eastAsia="Times New Roman" w:hAnsiTheme="minorHAnsi"/>
                <w:lang w:val="en-GB" w:eastAsia="en-AU"/>
              </w:rPr>
              <w:t>hese may include:</w:t>
            </w:r>
          </w:p>
          <w:p w:rsidR="00A233DF" w:rsidRPr="00154ADF" w:rsidRDefault="00A233DF" w:rsidP="00817CDC">
            <w:pPr>
              <w:pStyle w:val="ListNumber"/>
              <w:numPr>
                <w:ilvl w:val="0"/>
                <w:numId w:val="31"/>
              </w:numPr>
              <w:rPr>
                <w:rFonts w:asciiTheme="minorHAnsi" w:eastAsia="Times New Roman" w:hAnsiTheme="minorHAnsi"/>
                <w:lang w:val="en-GB" w:eastAsia="en-AU"/>
              </w:rPr>
            </w:pPr>
            <w:r w:rsidRPr="00154ADF">
              <w:rPr>
                <w:rFonts w:asciiTheme="minorHAnsi" w:eastAsia="Times New Roman" w:hAnsiTheme="minorHAnsi"/>
                <w:lang w:val="en-GB" w:eastAsia="en-AU"/>
              </w:rPr>
              <w:lastRenderedPageBreak/>
              <w:t>Medical Record Numbers or hospital identifiers</w:t>
            </w:r>
            <w:r w:rsidR="009A34AE" w:rsidRPr="00154ADF">
              <w:rPr>
                <w:rFonts w:asciiTheme="minorHAnsi" w:eastAsia="Times New Roman" w:hAnsiTheme="minorHAnsi"/>
                <w:lang w:val="en-GB" w:eastAsia="en-AU"/>
              </w:rPr>
              <w:t xml:space="preserve"> in one or more hospitals/treatment facilities</w:t>
            </w:r>
            <w:r w:rsidRPr="00154ADF">
              <w:rPr>
                <w:rFonts w:asciiTheme="minorHAnsi" w:eastAsia="Times New Roman" w:hAnsiTheme="minorHAnsi"/>
                <w:lang w:val="en-GB" w:eastAsia="en-AU"/>
              </w:rPr>
              <w:t>;</w:t>
            </w:r>
          </w:p>
          <w:p w:rsidR="00A233DF" w:rsidRPr="00154ADF" w:rsidRDefault="00A233DF" w:rsidP="00817CDC">
            <w:pPr>
              <w:pStyle w:val="ListNumber"/>
              <w:numPr>
                <w:ilvl w:val="0"/>
                <w:numId w:val="31"/>
              </w:numPr>
              <w:rPr>
                <w:rFonts w:asciiTheme="minorHAnsi" w:eastAsia="Times New Roman" w:hAnsiTheme="minorHAnsi"/>
                <w:lang w:val="en-GB" w:eastAsia="en-AU"/>
              </w:rPr>
            </w:pPr>
            <w:r w:rsidRPr="00154ADF">
              <w:rPr>
                <w:rFonts w:asciiTheme="minorHAnsi" w:eastAsia="Times New Roman" w:hAnsiTheme="minorHAnsi"/>
                <w:lang w:val="en-GB" w:eastAsia="en-AU"/>
              </w:rPr>
              <w:t>Ind</w:t>
            </w:r>
            <w:r w:rsidR="009A34AE" w:rsidRPr="00154ADF">
              <w:rPr>
                <w:rFonts w:asciiTheme="minorHAnsi" w:eastAsia="Times New Roman" w:hAnsiTheme="minorHAnsi"/>
                <w:lang w:val="en-GB" w:eastAsia="en-AU"/>
              </w:rPr>
              <w:t>ividual Health Identifier (</w:t>
            </w:r>
            <w:proofErr w:type="spellStart"/>
            <w:r w:rsidR="009A34AE" w:rsidRPr="00154ADF">
              <w:rPr>
                <w:rFonts w:asciiTheme="minorHAnsi" w:eastAsia="Times New Roman" w:hAnsiTheme="minorHAnsi"/>
                <w:lang w:val="en-GB" w:eastAsia="en-AU"/>
              </w:rPr>
              <w:t>IHI</w:t>
            </w:r>
            <w:proofErr w:type="spellEnd"/>
            <w:r w:rsidR="009A34AE" w:rsidRPr="00154ADF">
              <w:rPr>
                <w:rFonts w:asciiTheme="minorHAnsi" w:eastAsia="Times New Roman" w:hAnsiTheme="minorHAnsi"/>
                <w:lang w:val="en-GB" w:eastAsia="en-AU"/>
              </w:rPr>
              <w:t>).</w:t>
            </w:r>
          </w:p>
          <w:p w:rsidR="00A233DF" w:rsidRPr="00154ADF" w:rsidRDefault="00A233DF" w:rsidP="001611AE">
            <w:pPr>
              <w:pStyle w:val="ListNumber"/>
              <w:numPr>
                <w:ilvl w:val="0"/>
                <w:numId w:val="0"/>
              </w:numPr>
              <w:ind w:left="720"/>
              <w:rPr>
                <w:rFonts w:asciiTheme="minorHAnsi" w:eastAsia="Times New Roman" w:hAnsiTheme="minorHAnsi"/>
                <w:lang w:val="en-GB" w:eastAsia="en-AU"/>
              </w:rPr>
            </w:pPr>
          </w:p>
        </w:tc>
        <w:tc>
          <w:tcPr>
            <w:tcW w:w="2066" w:type="dxa"/>
            <w:shd w:val="clear" w:color="auto" w:fill="auto"/>
          </w:tcPr>
          <w:p w:rsidR="004C48D4" w:rsidRPr="00154ADF" w:rsidRDefault="005B5F09" w:rsidP="00923621">
            <w:pPr>
              <w:pStyle w:val="NormalWeb"/>
              <w:numPr>
                <w:ilvl w:val="0"/>
                <w:numId w:val="19"/>
              </w:numPr>
              <w:spacing w:line="336" w:lineRule="auto"/>
              <w:rPr>
                <w:rFonts w:asciiTheme="minorHAnsi" w:hAnsiTheme="minorHAnsi"/>
                <w:sz w:val="20"/>
                <w:szCs w:val="20"/>
                <w:lang w:val="en-GB"/>
              </w:rPr>
            </w:pPr>
            <w:r w:rsidRPr="00154ADF">
              <w:rPr>
                <w:rFonts w:asciiTheme="minorHAnsi" w:hAnsiTheme="minorHAnsi"/>
                <w:sz w:val="20"/>
                <w:szCs w:val="20"/>
                <w:lang w:val="en-GB"/>
              </w:rPr>
              <w:lastRenderedPageBreak/>
              <w:t xml:space="preserve">Provide </w:t>
            </w:r>
            <w:r w:rsidR="00923621">
              <w:rPr>
                <w:rFonts w:asciiTheme="minorHAnsi" w:hAnsiTheme="minorHAnsi"/>
                <w:sz w:val="20"/>
                <w:szCs w:val="20"/>
                <w:lang w:val="en-GB"/>
              </w:rPr>
              <w:t>P</w:t>
            </w:r>
            <w:r w:rsidRPr="00154ADF">
              <w:rPr>
                <w:rFonts w:asciiTheme="minorHAnsi" w:hAnsiTheme="minorHAnsi"/>
                <w:sz w:val="20"/>
                <w:szCs w:val="20"/>
                <w:lang w:val="en-GB"/>
              </w:rPr>
              <w:t xml:space="preserve">rivacy </w:t>
            </w:r>
            <w:r w:rsidR="00923621">
              <w:rPr>
                <w:rFonts w:asciiTheme="minorHAnsi" w:hAnsiTheme="minorHAnsi"/>
                <w:sz w:val="20"/>
                <w:szCs w:val="20"/>
                <w:lang w:val="en-GB"/>
              </w:rPr>
              <w:t>Statement and N</w:t>
            </w:r>
            <w:r w:rsidRPr="00154ADF">
              <w:rPr>
                <w:rFonts w:asciiTheme="minorHAnsi" w:hAnsiTheme="minorHAnsi"/>
                <w:sz w:val="20"/>
                <w:szCs w:val="20"/>
                <w:lang w:val="en-GB"/>
              </w:rPr>
              <w:t xml:space="preserve">otice for the information of individuals of interest to </w:t>
            </w:r>
            <w:proofErr w:type="spellStart"/>
            <w:r w:rsidRPr="00154ADF">
              <w:rPr>
                <w:rFonts w:asciiTheme="minorHAnsi" w:hAnsiTheme="minorHAnsi"/>
                <w:sz w:val="20"/>
                <w:szCs w:val="20"/>
                <w:lang w:val="en-GB"/>
              </w:rPr>
              <w:t>BloodSTAR</w:t>
            </w:r>
            <w:proofErr w:type="spellEnd"/>
            <w:r w:rsidRPr="00154ADF">
              <w:rPr>
                <w:rFonts w:asciiTheme="minorHAnsi" w:hAnsiTheme="minorHAnsi"/>
                <w:sz w:val="20"/>
                <w:szCs w:val="20"/>
                <w:lang w:val="en-GB"/>
              </w:rPr>
              <w:t xml:space="preserve"> which describes the purpose for using hospital and </w:t>
            </w:r>
            <w:r w:rsidRPr="00154ADF">
              <w:rPr>
                <w:rFonts w:asciiTheme="minorHAnsi" w:hAnsiTheme="minorHAnsi"/>
                <w:sz w:val="20"/>
                <w:szCs w:val="20"/>
                <w:lang w:val="en-GB"/>
              </w:rPr>
              <w:lastRenderedPageBreak/>
              <w:t>health identifiers.</w:t>
            </w:r>
          </w:p>
        </w:tc>
        <w:tc>
          <w:tcPr>
            <w:tcW w:w="2097" w:type="dxa"/>
            <w:shd w:val="clear" w:color="auto" w:fill="auto"/>
          </w:tcPr>
          <w:p w:rsidR="005B5F09" w:rsidRPr="00154ADF" w:rsidRDefault="005B5F09" w:rsidP="00197335">
            <w:pPr>
              <w:pStyle w:val="NormalWeb"/>
              <w:numPr>
                <w:ilvl w:val="0"/>
                <w:numId w:val="22"/>
              </w:numPr>
              <w:spacing w:line="336" w:lineRule="auto"/>
              <w:rPr>
                <w:rFonts w:asciiTheme="minorHAnsi" w:hAnsiTheme="minorHAnsi"/>
                <w:sz w:val="20"/>
                <w:szCs w:val="20"/>
                <w:lang w:val="en-GB"/>
              </w:rPr>
            </w:pPr>
            <w:r w:rsidRPr="00154ADF">
              <w:rPr>
                <w:rFonts w:asciiTheme="minorHAnsi" w:hAnsiTheme="minorHAnsi"/>
                <w:sz w:val="20"/>
                <w:szCs w:val="20"/>
                <w:lang w:val="en-GB"/>
              </w:rPr>
              <w:lastRenderedPageBreak/>
              <w:t xml:space="preserve">The Privacy </w:t>
            </w:r>
            <w:r w:rsidR="00923621">
              <w:rPr>
                <w:rFonts w:asciiTheme="minorHAnsi" w:hAnsiTheme="minorHAnsi"/>
                <w:sz w:val="20"/>
                <w:szCs w:val="20"/>
                <w:lang w:val="en-GB"/>
              </w:rPr>
              <w:t>Statement and N</w:t>
            </w:r>
            <w:r w:rsidRPr="00154ADF">
              <w:rPr>
                <w:rFonts w:asciiTheme="minorHAnsi" w:hAnsiTheme="minorHAnsi"/>
                <w:sz w:val="20"/>
                <w:szCs w:val="20"/>
                <w:lang w:val="en-GB"/>
              </w:rPr>
              <w:t>otice will include information for patients about the use of hospital and health identifiers.</w:t>
            </w:r>
          </w:p>
          <w:p w:rsidR="004C48D4" w:rsidRPr="00197335" w:rsidRDefault="005B5F09" w:rsidP="00923621">
            <w:pPr>
              <w:pStyle w:val="NormalWeb"/>
              <w:spacing w:line="336" w:lineRule="auto"/>
              <w:ind w:left="360"/>
              <w:rPr>
                <w:rFonts w:asciiTheme="minorHAnsi" w:hAnsiTheme="minorHAnsi"/>
                <w:b/>
                <w:sz w:val="20"/>
                <w:szCs w:val="20"/>
                <w:lang w:val="en-GB"/>
              </w:rPr>
            </w:pPr>
            <w:r w:rsidRPr="00923621">
              <w:rPr>
                <w:rFonts w:asciiTheme="minorHAnsi" w:hAnsiTheme="minorHAnsi"/>
                <w:b/>
                <w:sz w:val="20"/>
                <w:szCs w:val="20"/>
                <w:lang w:val="en-GB"/>
              </w:rPr>
              <w:t>Compliant</w:t>
            </w:r>
          </w:p>
        </w:tc>
      </w:tr>
      <w:tr w:rsidR="004C48D4" w:rsidRPr="00817CDC" w:rsidTr="00DC2D1B">
        <w:trPr>
          <w:jc w:val="center"/>
        </w:trPr>
        <w:tc>
          <w:tcPr>
            <w:tcW w:w="1809" w:type="dxa"/>
          </w:tcPr>
          <w:p w:rsidR="004C48D4" w:rsidRPr="00817CDC" w:rsidRDefault="004C48D4" w:rsidP="006378A7">
            <w:pPr>
              <w:pStyle w:val="ListNumber"/>
              <w:numPr>
                <w:ilvl w:val="0"/>
                <w:numId w:val="0"/>
              </w:numPr>
              <w:rPr>
                <w:rFonts w:asciiTheme="minorHAnsi" w:hAnsiTheme="minorHAnsi"/>
                <w:lang w:eastAsia="en-AU"/>
              </w:rPr>
            </w:pPr>
            <w:r w:rsidRPr="00817CDC">
              <w:rPr>
                <w:rFonts w:asciiTheme="minorHAnsi" w:hAnsiTheme="minorHAnsi"/>
                <w:lang w:eastAsia="en-AU"/>
              </w:rPr>
              <w:lastRenderedPageBreak/>
              <w:t>APP 10 – Quality</w:t>
            </w:r>
          </w:p>
        </w:tc>
        <w:tc>
          <w:tcPr>
            <w:tcW w:w="2344" w:type="dxa"/>
          </w:tcPr>
          <w:p w:rsidR="004C48D4" w:rsidRPr="00817CDC" w:rsidRDefault="0048074A" w:rsidP="00817CDC">
            <w:pPr>
              <w:pStyle w:val="NormalWeb"/>
              <w:numPr>
                <w:ilvl w:val="0"/>
                <w:numId w:val="20"/>
              </w:numPr>
              <w:spacing w:line="336" w:lineRule="auto"/>
              <w:rPr>
                <w:rFonts w:asciiTheme="minorHAnsi" w:hAnsiTheme="minorHAnsi"/>
                <w:color w:val="050505"/>
                <w:sz w:val="20"/>
                <w:szCs w:val="20"/>
              </w:rPr>
            </w:pPr>
            <w:r w:rsidRPr="00817CDC">
              <w:rPr>
                <w:rFonts w:asciiTheme="minorHAnsi" w:hAnsiTheme="minorHAnsi"/>
                <w:color w:val="050505"/>
                <w:sz w:val="20"/>
                <w:szCs w:val="20"/>
              </w:rPr>
              <w:t xml:space="preserve">Will  </w:t>
            </w:r>
            <w:r w:rsidR="004C48D4" w:rsidRPr="00817CDC">
              <w:rPr>
                <w:rFonts w:asciiTheme="minorHAnsi" w:hAnsiTheme="minorHAnsi"/>
                <w:color w:val="050505"/>
                <w:sz w:val="20"/>
                <w:szCs w:val="20"/>
              </w:rPr>
              <w:t xml:space="preserve">reasonable steps </w:t>
            </w:r>
            <w:r w:rsidRPr="00817CDC">
              <w:rPr>
                <w:rFonts w:asciiTheme="minorHAnsi" w:hAnsiTheme="minorHAnsi"/>
                <w:color w:val="050505"/>
                <w:sz w:val="20"/>
                <w:szCs w:val="20"/>
              </w:rPr>
              <w:t xml:space="preserve">be taken to </w:t>
            </w:r>
            <w:r w:rsidR="004C48D4" w:rsidRPr="00817CDC">
              <w:rPr>
                <w:rFonts w:asciiTheme="minorHAnsi" w:hAnsiTheme="minorHAnsi"/>
                <w:color w:val="050505"/>
                <w:sz w:val="20"/>
                <w:szCs w:val="20"/>
              </w:rPr>
              <w:t xml:space="preserve"> ensure that the personal information collect</w:t>
            </w:r>
            <w:r w:rsidRPr="00817CDC">
              <w:rPr>
                <w:rFonts w:asciiTheme="minorHAnsi" w:hAnsiTheme="minorHAnsi"/>
                <w:color w:val="050505"/>
                <w:sz w:val="20"/>
                <w:szCs w:val="20"/>
              </w:rPr>
              <w:t>ed</w:t>
            </w:r>
            <w:r w:rsidR="004C48D4" w:rsidRPr="00817CDC">
              <w:rPr>
                <w:rFonts w:asciiTheme="minorHAnsi" w:hAnsiTheme="minorHAnsi"/>
                <w:color w:val="050505"/>
                <w:sz w:val="20"/>
                <w:szCs w:val="20"/>
              </w:rPr>
              <w:t>, use</w:t>
            </w:r>
            <w:r w:rsidRPr="00817CDC">
              <w:rPr>
                <w:rFonts w:asciiTheme="minorHAnsi" w:hAnsiTheme="minorHAnsi"/>
                <w:color w:val="050505"/>
                <w:sz w:val="20"/>
                <w:szCs w:val="20"/>
              </w:rPr>
              <w:t>d</w:t>
            </w:r>
            <w:r w:rsidR="004C48D4" w:rsidRPr="00817CDC">
              <w:rPr>
                <w:rFonts w:asciiTheme="minorHAnsi" w:hAnsiTheme="minorHAnsi"/>
                <w:color w:val="050505"/>
                <w:sz w:val="20"/>
                <w:szCs w:val="20"/>
              </w:rPr>
              <w:t xml:space="preserve"> or disclose</w:t>
            </w:r>
            <w:r w:rsidRPr="00817CDC">
              <w:rPr>
                <w:rFonts w:asciiTheme="minorHAnsi" w:hAnsiTheme="minorHAnsi"/>
                <w:color w:val="050505"/>
                <w:sz w:val="20"/>
                <w:szCs w:val="20"/>
              </w:rPr>
              <w:t>d</w:t>
            </w:r>
            <w:r w:rsidR="004C48D4" w:rsidRPr="00817CDC">
              <w:rPr>
                <w:rFonts w:asciiTheme="minorHAnsi" w:hAnsiTheme="minorHAnsi"/>
                <w:color w:val="050505"/>
                <w:sz w:val="20"/>
                <w:szCs w:val="20"/>
              </w:rPr>
              <w:t xml:space="preserve"> is up to date, complete and accurate and relevant for the purpose of the use or disclosure?</w:t>
            </w:r>
          </w:p>
        </w:tc>
        <w:tc>
          <w:tcPr>
            <w:tcW w:w="603" w:type="dxa"/>
          </w:tcPr>
          <w:p w:rsidR="004C48D4" w:rsidRPr="00817CDC" w:rsidRDefault="0048074A" w:rsidP="00C41D82">
            <w:pPr>
              <w:rPr>
                <w:rFonts w:asciiTheme="minorHAnsi" w:hAnsiTheme="minorHAnsi"/>
                <w:lang w:eastAsia="en-AU"/>
              </w:rPr>
            </w:pPr>
            <w:r w:rsidRPr="00817CDC">
              <w:rPr>
                <w:rFonts w:asciiTheme="minorHAnsi" w:hAnsiTheme="minorHAnsi"/>
                <w:lang w:eastAsia="en-AU"/>
              </w:rPr>
              <w:t>Yes</w:t>
            </w:r>
          </w:p>
        </w:tc>
        <w:tc>
          <w:tcPr>
            <w:tcW w:w="5255" w:type="dxa"/>
          </w:tcPr>
          <w:p w:rsidR="004C48D4" w:rsidRPr="00817CDC" w:rsidRDefault="00D207C9" w:rsidP="0048074A">
            <w:pPr>
              <w:pStyle w:val="ListNumber"/>
              <w:numPr>
                <w:ilvl w:val="0"/>
                <w:numId w:val="0"/>
              </w:numPr>
              <w:rPr>
                <w:rFonts w:asciiTheme="minorHAnsi" w:eastAsia="Times New Roman" w:hAnsiTheme="minorHAnsi"/>
                <w:lang w:val="en-GB" w:eastAsia="en-AU"/>
              </w:rPr>
            </w:pPr>
            <w:proofErr w:type="spellStart"/>
            <w:r>
              <w:rPr>
                <w:rFonts w:asciiTheme="minorHAnsi" w:eastAsia="Times New Roman" w:hAnsiTheme="minorHAnsi"/>
                <w:lang w:val="en-GB" w:eastAsia="en-AU"/>
              </w:rPr>
              <w:t>BloodSTAR</w:t>
            </w:r>
            <w:proofErr w:type="spellEnd"/>
            <w:r w:rsidR="0048074A" w:rsidRPr="00817CDC">
              <w:rPr>
                <w:rFonts w:asciiTheme="minorHAnsi" w:eastAsia="Times New Roman" w:hAnsiTheme="minorHAnsi"/>
                <w:lang w:val="en-GB" w:eastAsia="en-AU"/>
              </w:rPr>
              <w:t xml:space="preserve"> users will be required to collect and manage information relating to a patient in order to ensure that each entity </w:t>
            </w:r>
            <w:r w:rsidR="006D3B39">
              <w:rPr>
                <w:rFonts w:asciiTheme="minorHAnsi" w:eastAsia="Times New Roman" w:hAnsiTheme="minorHAnsi"/>
                <w:lang w:val="en-GB" w:eastAsia="en-AU"/>
              </w:rPr>
              <w:t>involved in patient care</w:t>
            </w:r>
            <w:r w:rsidR="0048074A" w:rsidRPr="00817CDC">
              <w:rPr>
                <w:rFonts w:asciiTheme="minorHAnsi" w:eastAsia="Times New Roman" w:hAnsiTheme="minorHAnsi"/>
                <w:lang w:val="en-GB" w:eastAsia="en-AU"/>
              </w:rPr>
              <w:t xml:space="preserve"> has the information it needs to fulfil its role.  Where errors are detected, users will be empowered to correct errors to ensure that information is as accurate as possible.</w:t>
            </w:r>
          </w:p>
          <w:p w:rsidR="0048074A" w:rsidRPr="00817CDC" w:rsidRDefault="0048074A" w:rsidP="0048074A">
            <w:pPr>
              <w:pStyle w:val="ListNumber"/>
              <w:numPr>
                <w:ilvl w:val="0"/>
                <w:numId w:val="0"/>
              </w:numPr>
              <w:rPr>
                <w:rFonts w:asciiTheme="minorHAnsi" w:eastAsia="Times New Roman" w:hAnsiTheme="minorHAnsi"/>
                <w:lang w:val="en-GB" w:eastAsia="en-AU"/>
              </w:rPr>
            </w:pPr>
          </w:p>
          <w:p w:rsidR="0048074A" w:rsidRPr="00817CDC" w:rsidRDefault="0048074A" w:rsidP="00D207C9">
            <w:pPr>
              <w:pStyle w:val="ListNumber"/>
              <w:numPr>
                <w:ilvl w:val="0"/>
                <w:numId w:val="0"/>
              </w:numPr>
              <w:rPr>
                <w:rFonts w:asciiTheme="minorHAnsi" w:eastAsia="Times New Roman" w:hAnsiTheme="minorHAnsi"/>
                <w:lang w:val="en-GB" w:eastAsia="en-AU"/>
              </w:rPr>
            </w:pPr>
            <w:r w:rsidRPr="00817CDC">
              <w:rPr>
                <w:rFonts w:asciiTheme="minorHAnsi" w:eastAsia="Times New Roman" w:hAnsiTheme="minorHAnsi"/>
                <w:lang w:val="en-GB" w:eastAsia="en-AU"/>
              </w:rPr>
              <w:t xml:space="preserve">When requested, </w:t>
            </w:r>
            <w:proofErr w:type="spellStart"/>
            <w:r w:rsidR="00D207C9">
              <w:rPr>
                <w:rFonts w:asciiTheme="minorHAnsi" w:eastAsia="Times New Roman" w:hAnsiTheme="minorHAnsi"/>
                <w:lang w:val="en-GB" w:eastAsia="en-AU"/>
              </w:rPr>
              <w:t>BloodSTAR</w:t>
            </w:r>
            <w:proofErr w:type="spellEnd"/>
            <w:r w:rsidRPr="00817CDC">
              <w:rPr>
                <w:rFonts w:asciiTheme="minorHAnsi" w:eastAsia="Times New Roman" w:hAnsiTheme="minorHAnsi"/>
                <w:lang w:val="en-GB" w:eastAsia="en-AU"/>
              </w:rPr>
              <w:t xml:space="preserve"> users must provide information to patients about information stored about them, and have the opportunity to identify and correct errors. </w:t>
            </w:r>
          </w:p>
        </w:tc>
        <w:tc>
          <w:tcPr>
            <w:tcW w:w="2066" w:type="dxa"/>
          </w:tcPr>
          <w:p w:rsidR="0048074A" w:rsidRPr="00817CDC" w:rsidRDefault="0048074A" w:rsidP="00817CDC">
            <w:pPr>
              <w:pStyle w:val="NormalWeb"/>
              <w:numPr>
                <w:ilvl w:val="0"/>
                <w:numId w:val="19"/>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User terms and conditions will require users to correct errors and maintain accuracy of records.  </w:t>
            </w:r>
          </w:p>
          <w:p w:rsidR="004C48D4" w:rsidRPr="00817CDC" w:rsidRDefault="0048074A" w:rsidP="00817CDC">
            <w:pPr>
              <w:pStyle w:val="NormalWeb"/>
              <w:numPr>
                <w:ilvl w:val="0"/>
                <w:numId w:val="19"/>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Users in the hospital setting will have access to system functions to correct records when errors are detected. </w:t>
            </w:r>
          </w:p>
          <w:p w:rsidR="0048074A" w:rsidRPr="00817CDC" w:rsidRDefault="0048074A" w:rsidP="00923621">
            <w:pPr>
              <w:pStyle w:val="NormalWeb"/>
              <w:numPr>
                <w:ilvl w:val="0"/>
                <w:numId w:val="19"/>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Patients will be advised through the </w:t>
            </w:r>
            <w:r w:rsidR="00681A20">
              <w:rPr>
                <w:rFonts w:asciiTheme="minorHAnsi" w:hAnsiTheme="minorHAnsi"/>
                <w:sz w:val="20"/>
                <w:szCs w:val="20"/>
                <w:lang w:val="en-GB"/>
              </w:rPr>
              <w:t>P</w:t>
            </w:r>
            <w:r w:rsidRPr="00817CDC">
              <w:rPr>
                <w:rFonts w:asciiTheme="minorHAnsi" w:hAnsiTheme="minorHAnsi"/>
                <w:sz w:val="20"/>
                <w:szCs w:val="20"/>
                <w:lang w:val="en-GB"/>
              </w:rPr>
              <w:t xml:space="preserve">rivacy </w:t>
            </w:r>
            <w:r w:rsidR="00923621">
              <w:rPr>
                <w:rFonts w:asciiTheme="minorHAnsi" w:hAnsiTheme="minorHAnsi"/>
                <w:sz w:val="20"/>
                <w:szCs w:val="20"/>
                <w:lang w:val="en-GB"/>
              </w:rPr>
              <w:t>Statement and N</w:t>
            </w:r>
            <w:r w:rsidRPr="00817CDC">
              <w:rPr>
                <w:rFonts w:asciiTheme="minorHAnsi" w:hAnsiTheme="minorHAnsi"/>
                <w:sz w:val="20"/>
                <w:szCs w:val="20"/>
                <w:lang w:val="en-GB"/>
              </w:rPr>
              <w:t xml:space="preserve">otice of their right to access </w:t>
            </w:r>
            <w:r w:rsidRPr="00817CDC">
              <w:rPr>
                <w:rFonts w:asciiTheme="minorHAnsi" w:hAnsiTheme="minorHAnsi"/>
                <w:sz w:val="20"/>
                <w:szCs w:val="20"/>
                <w:lang w:val="en-GB"/>
              </w:rPr>
              <w:lastRenderedPageBreak/>
              <w:t>and correct details about them.</w:t>
            </w:r>
          </w:p>
        </w:tc>
        <w:tc>
          <w:tcPr>
            <w:tcW w:w="2097" w:type="dxa"/>
          </w:tcPr>
          <w:p w:rsidR="004C48D4" w:rsidRPr="00817CDC" w:rsidRDefault="0048074A" w:rsidP="00817CDC">
            <w:pPr>
              <w:pStyle w:val="NormalWeb"/>
              <w:numPr>
                <w:ilvl w:val="0"/>
                <w:numId w:val="22"/>
              </w:numPr>
              <w:spacing w:line="336" w:lineRule="auto"/>
              <w:rPr>
                <w:rFonts w:asciiTheme="minorHAnsi" w:hAnsiTheme="minorHAnsi"/>
                <w:sz w:val="20"/>
                <w:szCs w:val="20"/>
                <w:lang w:val="en-GB"/>
              </w:rPr>
            </w:pPr>
            <w:r w:rsidRPr="00817CDC">
              <w:rPr>
                <w:rFonts w:asciiTheme="minorHAnsi" w:hAnsiTheme="minorHAnsi"/>
                <w:sz w:val="20"/>
                <w:szCs w:val="20"/>
                <w:lang w:val="en-GB"/>
              </w:rPr>
              <w:lastRenderedPageBreak/>
              <w:t xml:space="preserve">User terms and conditions </w:t>
            </w:r>
            <w:r w:rsidR="00865E47" w:rsidRPr="00817CDC">
              <w:rPr>
                <w:rFonts w:asciiTheme="minorHAnsi" w:hAnsiTheme="minorHAnsi"/>
                <w:sz w:val="20"/>
                <w:szCs w:val="20"/>
                <w:lang w:val="en-GB"/>
              </w:rPr>
              <w:t>will</w:t>
            </w:r>
            <w:r w:rsidRPr="00817CDC">
              <w:rPr>
                <w:rFonts w:asciiTheme="minorHAnsi" w:hAnsiTheme="minorHAnsi"/>
                <w:sz w:val="20"/>
                <w:szCs w:val="20"/>
                <w:lang w:val="en-GB"/>
              </w:rPr>
              <w:t xml:space="preserve"> include this provision.</w:t>
            </w:r>
          </w:p>
          <w:p w:rsidR="0048074A" w:rsidRPr="00817CDC" w:rsidRDefault="0048074A" w:rsidP="00817CDC">
            <w:pPr>
              <w:pStyle w:val="NormalWeb"/>
              <w:numPr>
                <w:ilvl w:val="0"/>
                <w:numId w:val="22"/>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User terms and conditions </w:t>
            </w:r>
            <w:r w:rsidR="00865E47" w:rsidRPr="00817CDC">
              <w:rPr>
                <w:rFonts w:asciiTheme="minorHAnsi" w:hAnsiTheme="minorHAnsi"/>
                <w:sz w:val="20"/>
                <w:szCs w:val="20"/>
                <w:lang w:val="en-GB"/>
              </w:rPr>
              <w:t>will</w:t>
            </w:r>
            <w:r w:rsidRPr="00817CDC">
              <w:rPr>
                <w:rFonts w:asciiTheme="minorHAnsi" w:hAnsiTheme="minorHAnsi"/>
                <w:sz w:val="20"/>
                <w:szCs w:val="20"/>
                <w:lang w:val="en-GB"/>
              </w:rPr>
              <w:t xml:space="preserve"> include this provision.</w:t>
            </w:r>
          </w:p>
          <w:p w:rsidR="0048074A" w:rsidRPr="00817CDC" w:rsidRDefault="0048074A" w:rsidP="00817CDC">
            <w:pPr>
              <w:pStyle w:val="NormalWeb"/>
              <w:numPr>
                <w:ilvl w:val="0"/>
                <w:numId w:val="22"/>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Privacy </w:t>
            </w:r>
            <w:r w:rsidR="00923621">
              <w:rPr>
                <w:rFonts w:asciiTheme="minorHAnsi" w:hAnsiTheme="minorHAnsi"/>
                <w:sz w:val="20"/>
                <w:szCs w:val="20"/>
                <w:lang w:val="en-GB"/>
              </w:rPr>
              <w:t>Statement and N</w:t>
            </w:r>
            <w:r w:rsidRPr="00817CDC">
              <w:rPr>
                <w:rFonts w:asciiTheme="minorHAnsi" w:hAnsiTheme="minorHAnsi"/>
                <w:sz w:val="20"/>
                <w:szCs w:val="20"/>
                <w:lang w:val="en-GB"/>
              </w:rPr>
              <w:t xml:space="preserve">otice </w:t>
            </w:r>
            <w:r w:rsidR="00865E47" w:rsidRPr="00817CDC">
              <w:rPr>
                <w:rFonts w:asciiTheme="minorHAnsi" w:hAnsiTheme="minorHAnsi"/>
                <w:sz w:val="20"/>
                <w:szCs w:val="20"/>
                <w:lang w:val="en-GB"/>
              </w:rPr>
              <w:t>will include</w:t>
            </w:r>
            <w:r w:rsidRPr="00817CDC">
              <w:rPr>
                <w:rFonts w:asciiTheme="minorHAnsi" w:hAnsiTheme="minorHAnsi"/>
                <w:sz w:val="20"/>
                <w:szCs w:val="20"/>
                <w:lang w:val="en-GB"/>
              </w:rPr>
              <w:t xml:space="preserve"> this provision. </w:t>
            </w:r>
          </w:p>
          <w:p w:rsidR="0048074A" w:rsidRPr="00817CDC" w:rsidRDefault="0048074A" w:rsidP="001611AE">
            <w:pPr>
              <w:pStyle w:val="NormalWeb"/>
              <w:spacing w:line="336" w:lineRule="auto"/>
              <w:ind w:left="360"/>
              <w:rPr>
                <w:rFonts w:asciiTheme="minorHAnsi" w:hAnsiTheme="minorHAnsi"/>
                <w:sz w:val="20"/>
                <w:szCs w:val="20"/>
                <w:lang w:val="en-GB"/>
              </w:rPr>
            </w:pPr>
          </w:p>
          <w:p w:rsidR="0048074A" w:rsidRPr="00817CDC" w:rsidRDefault="0048074A" w:rsidP="001611AE">
            <w:pPr>
              <w:pStyle w:val="NormalWeb"/>
              <w:spacing w:line="336" w:lineRule="auto"/>
              <w:ind w:left="360"/>
              <w:rPr>
                <w:rFonts w:asciiTheme="minorHAnsi" w:hAnsiTheme="minorHAnsi"/>
                <w:b/>
                <w:sz w:val="20"/>
                <w:szCs w:val="20"/>
                <w:lang w:val="en-GB"/>
              </w:rPr>
            </w:pPr>
            <w:r w:rsidRPr="00817CDC">
              <w:rPr>
                <w:rFonts w:asciiTheme="minorHAnsi" w:hAnsiTheme="minorHAnsi"/>
                <w:b/>
                <w:sz w:val="20"/>
                <w:szCs w:val="20"/>
                <w:lang w:val="en-GB"/>
              </w:rPr>
              <w:t>Compliant</w:t>
            </w:r>
          </w:p>
        </w:tc>
      </w:tr>
      <w:tr w:rsidR="00115344" w:rsidRPr="00817CDC" w:rsidTr="00DC2D1B">
        <w:trPr>
          <w:jc w:val="center"/>
        </w:trPr>
        <w:tc>
          <w:tcPr>
            <w:tcW w:w="1809" w:type="dxa"/>
            <w:vMerge w:val="restart"/>
          </w:tcPr>
          <w:p w:rsidR="00115344" w:rsidRPr="00817CDC" w:rsidRDefault="00115344" w:rsidP="006378A7">
            <w:pPr>
              <w:pStyle w:val="ListNumber"/>
              <w:numPr>
                <w:ilvl w:val="0"/>
                <w:numId w:val="0"/>
              </w:numPr>
              <w:rPr>
                <w:rFonts w:asciiTheme="minorHAnsi" w:hAnsiTheme="minorHAnsi"/>
                <w:lang w:eastAsia="en-AU"/>
              </w:rPr>
            </w:pPr>
            <w:r w:rsidRPr="00817CDC">
              <w:rPr>
                <w:rFonts w:asciiTheme="minorHAnsi" w:hAnsiTheme="minorHAnsi"/>
                <w:color w:val="050505"/>
              </w:rPr>
              <w:lastRenderedPageBreak/>
              <w:t>APP 11 – Security</w:t>
            </w:r>
          </w:p>
        </w:tc>
        <w:tc>
          <w:tcPr>
            <w:tcW w:w="2344" w:type="dxa"/>
          </w:tcPr>
          <w:p w:rsidR="00115344" w:rsidRPr="00817CDC" w:rsidRDefault="00560893" w:rsidP="00560893">
            <w:pPr>
              <w:pStyle w:val="NormalWeb"/>
              <w:numPr>
                <w:ilvl w:val="0"/>
                <w:numId w:val="20"/>
              </w:numPr>
              <w:spacing w:line="336" w:lineRule="auto"/>
              <w:rPr>
                <w:rFonts w:asciiTheme="minorHAnsi" w:hAnsiTheme="minorHAnsi"/>
                <w:color w:val="050505"/>
                <w:sz w:val="20"/>
                <w:szCs w:val="20"/>
              </w:rPr>
            </w:pPr>
            <w:r>
              <w:rPr>
                <w:rFonts w:asciiTheme="minorHAnsi" w:hAnsiTheme="minorHAnsi"/>
                <w:color w:val="050505"/>
                <w:sz w:val="20"/>
                <w:szCs w:val="20"/>
              </w:rPr>
              <w:t>Is the agency</w:t>
            </w:r>
            <w:r w:rsidR="00F009B2" w:rsidRPr="00817CDC">
              <w:rPr>
                <w:rFonts w:asciiTheme="minorHAnsi" w:hAnsiTheme="minorHAnsi"/>
                <w:color w:val="050505"/>
                <w:sz w:val="20"/>
                <w:szCs w:val="20"/>
              </w:rPr>
              <w:t xml:space="preserve"> taking</w:t>
            </w:r>
            <w:r w:rsidR="00115344" w:rsidRPr="00817CDC">
              <w:rPr>
                <w:rFonts w:asciiTheme="minorHAnsi" w:hAnsiTheme="minorHAnsi"/>
                <w:color w:val="050505"/>
                <w:sz w:val="20"/>
                <w:szCs w:val="20"/>
              </w:rPr>
              <w:t xml:space="preserve"> reasonable steps to ensure that the personal information </w:t>
            </w:r>
            <w:r>
              <w:rPr>
                <w:rFonts w:asciiTheme="minorHAnsi" w:hAnsiTheme="minorHAnsi"/>
                <w:color w:val="050505"/>
                <w:sz w:val="20"/>
                <w:szCs w:val="20"/>
              </w:rPr>
              <w:t>it</w:t>
            </w:r>
            <w:r w:rsidR="00115344" w:rsidRPr="00817CDC">
              <w:rPr>
                <w:rFonts w:asciiTheme="minorHAnsi" w:hAnsiTheme="minorHAnsi"/>
                <w:color w:val="050505"/>
                <w:sz w:val="20"/>
                <w:szCs w:val="20"/>
              </w:rPr>
              <w:t xml:space="preserve"> collect</w:t>
            </w:r>
            <w:r>
              <w:rPr>
                <w:rFonts w:asciiTheme="minorHAnsi" w:hAnsiTheme="minorHAnsi"/>
                <w:color w:val="050505"/>
                <w:sz w:val="20"/>
                <w:szCs w:val="20"/>
              </w:rPr>
              <w:t>s</w:t>
            </w:r>
            <w:r w:rsidR="00115344" w:rsidRPr="00817CDC">
              <w:rPr>
                <w:rFonts w:asciiTheme="minorHAnsi" w:hAnsiTheme="minorHAnsi"/>
                <w:color w:val="050505"/>
                <w:sz w:val="20"/>
                <w:szCs w:val="20"/>
              </w:rPr>
              <w:t xml:space="preserve"> is protected from misuse, interference, loss and from unauthorised access, modification or disclosure?</w:t>
            </w:r>
          </w:p>
        </w:tc>
        <w:tc>
          <w:tcPr>
            <w:tcW w:w="603" w:type="dxa"/>
          </w:tcPr>
          <w:p w:rsidR="00115344" w:rsidRPr="00817CDC" w:rsidRDefault="00F009B2" w:rsidP="00C41D82">
            <w:pPr>
              <w:rPr>
                <w:rFonts w:asciiTheme="minorHAnsi" w:hAnsiTheme="minorHAnsi"/>
                <w:lang w:eastAsia="en-AU"/>
              </w:rPr>
            </w:pPr>
            <w:r w:rsidRPr="00817CDC">
              <w:rPr>
                <w:rFonts w:asciiTheme="minorHAnsi" w:hAnsiTheme="minorHAnsi"/>
                <w:lang w:eastAsia="en-AU"/>
              </w:rPr>
              <w:t>Yes</w:t>
            </w:r>
          </w:p>
        </w:tc>
        <w:tc>
          <w:tcPr>
            <w:tcW w:w="5255" w:type="dxa"/>
          </w:tcPr>
          <w:p w:rsidR="0048074A" w:rsidRPr="00817CDC" w:rsidRDefault="001D735F" w:rsidP="0048074A">
            <w:pPr>
              <w:spacing w:after="240"/>
              <w:rPr>
                <w:rFonts w:asciiTheme="minorHAnsi" w:hAnsiTheme="minorHAnsi"/>
                <w:lang w:eastAsia="en-AU"/>
              </w:rPr>
            </w:pPr>
            <w:proofErr w:type="spellStart"/>
            <w:r>
              <w:rPr>
                <w:rFonts w:asciiTheme="minorHAnsi" w:hAnsiTheme="minorHAnsi"/>
                <w:lang w:eastAsia="en-AU"/>
              </w:rPr>
              <w:t>BloodSTAR</w:t>
            </w:r>
            <w:proofErr w:type="spellEnd"/>
            <w:r w:rsidR="0048074A" w:rsidRPr="00817CDC">
              <w:rPr>
                <w:rFonts w:asciiTheme="minorHAnsi" w:hAnsiTheme="minorHAnsi"/>
                <w:lang w:eastAsia="en-AU"/>
              </w:rPr>
              <w:t xml:space="preserve">, its management and operation will be tightly controlled.  NBA systems have one of the highest levels of security available in Australia, housed in a highly secure data centre in Canberra.  Stringent security protocols will be built into the system to control access to personal information.  All reasonable steps will be taken to protect personal information from misuse, interference and loss, and from unauthorised access, modification or disclosure.  Personal and sensitive information will only be stored on a password protected ICT system which complies with the Australian Government Protective Security Policy Framework. This includes ensuring that information is only accessed by authorised users that require access to undertake their official functions and roles.  </w:t>
            </w:r>
          </w:p>
          <w:p w:rsidR="00115344" w:rsidRPr="00817CDC" w:rsidRDefault="00115344" w:rsidP="002A0D03">
            <w:pPr>
              <w:pStyle w:val="ListNumber"/>
              <w:numPr>
                <w:ilvl w:val="0"/>
                <w:numId w:val="0"/>
              </w:numPr>
              <w:rPr>
                <w:rFonts w:asciiTheme="minorHAnsi" w:eastAsia="Times New Roman" w:hAnsiTheme="minorHAnsi"/>
                <w:lang w:val="en-GB" w:eastAsia="en-AU"/>
              </w:rPr>
            </w:pPr>
          </w:p>
        </w:tc>
        <w:tc>
          <w:tcPr>
            <w:tcW w:w="2066" w:type="dxa"/>
          </w:tcPr>
          <w:p w:rsidR="00115344" w:rsidRPr="00817CDC" w:rsidRDefault="0048074A" w:rsidP="006D3B39">
            <w:pPr>
              <w:pStyle w:val="NormalWeb"/>
              <w:numPr>
                <w:ilvl w:val="0"/>
                <w:numId w:val="19"/>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Controls must be in place to authenticate users using unique user names and passwords for roles </w:t>
            </w:r>
            <w:r w:rsidR="00D5623F" w:rsidRPr="00817CDC">
              <w:rPr>
                <w:rFonts w:asciiTheme="minorHAnsi" w:hAnsiTheme="minorHAnsi"/>
                <w:sz w:val="20"/>
                <w:szCs w:val="20"/>
                <w:lang w:val="en-GB"/>
              </w:rPr>
              <w:t>appropriate</w:t>
            </w:r>
            <w:r w:rsidRPr="00817CDC">
              <w:rPr>
                <w:rFonts w:asciiTheme="minorHAnsi" w:hAnsiTheme="minorHAnsi"/>
                <w:sz w:val="20"/>
                <w:szCs w:val="20"/>
                <w:lang w:val="en-GB"/>
              </w:rPr>
              <w:t xml:space="preserve"> to </w:t>
            </w:r>
            <w:r w:rsidR="006D3B39">
              <w:rPr>
                <w:rFonts w:asciiTheme="minorHAnsi" w:hAnsiTheme="minorHAnsi"/>
                <w:sz w:val="20"/>
                <w:szCs w:val="20"/>
                <w:lang w:val="en-GB"/>
              </w:rPr>
              <w:t>roles supporting patient care.</w:t>
            </w:r>
          </w:p>
        </w:tc>
        <w:tc>
          <w:tcPr>
            <w:tcW w:w="2097" w:type="dxa"/>
          </w:tcPr>
          <w:p w:rsidR="00115344" w:rsidRPr="00817CDC" w:rsidRDefault="0048074A" w:rsidP="00817CDC">
            <w:pPr>
              <w:pStyle w:val="NormalWeb"/>
              <w:numPr>
                <w:ilvl w:val="0"/>
                <w:numId w:val="22"/>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All users </w:t>
            </w:r>
            <w:r w:rsidR="00552346" w:rsidRPr="00817CDC">
              <w:rPr>
                <w:rFonts w:asciiTheme="minorHAnsi" w:hAnsiTheme="minorHAnsi"/>
                <w:sz w:val="20"/>
                <w:szCs w:val="20"/>
                <w:lang w:val="en-GB"/>
              </w:rPr>
              <w:t xml:space="preserve">established in the system </w:t>
            </w:r>
            <w:r w:rsidR="00865E47" w:rsidRPr="00817CDC">
              <w:rPr>
                <w:rFonts w:asciiTheme="minorHAnsi" w:hAnsiTheme="minorHAnsi"/>
                <w:sz w:val="20"/>
                <w:szCs w:val="20"/>
                <w:lang w:val="en-GB"/>
              </w:rPr>
              <w:t>will be</w:t>
            </w:r>
            <w:r w:rsidRPr="00817CDC">
              <w:rPr>
                <w:rFonts w:asciiTheme="minorHAnsi" w:hAnsiTheme="minorHAnsi"/>
                <w:sz w:val="20"/>
                <w:szCs w:val="20"/>
                <w:lang w:val="en-GB"/>
              </w:rPr>
              <w:t xml:space="preserve"> authenticated</w:t>
            </w:r>
            <w:r w:rsidR="00552346" w:rsidRPr="00817CDC">
              <w:rPr>
                <w:rFonts w:asciiTheme="minorHAnsi" w:hAnsiTheme="minorHAnsi"/>
                <w:sz w:val="20"/>
                <w:szCs w:val="20"/>
                <w:lang w:val="en-GB"/>
              </w:rPr>
              <w:t xml:space="preserve"> before access is granted. </w:t>
            </w:r>
          </w:p>
          <w:p w:rsidR="00552346" w:rsidRPr="00817CDC" w:rsidRDefault="00552346" w:rsidP="001611AE">
            <w:pPr>
              <w:pStyle w:val="NormalWeb"/>
              <w:spacing w:line="336" w:lineRule="auto"/>
              <w:ind w:left="360"/>
              <w:rPr>
                <w:rFonts w:asciiTheme="minorHAnsi" w:hAnsiTheme="minorHAnsi"/>
                <w:b/>
                <w:sz w:val="20"/>
                <w:szCs w:val="20"/>
                <w:lang w:val="en-GB"/>
              </w:rPr>
            </w:pPr>
            <w:r w:rsidRPr="00817CDC">
              <w:rPr>
                <w:rFonts w:asciiTheme="minorHAnsi" w:hAnsiTheme="minorHAnsi"/>
                <w:b/>
                <w:sz w:val="20"/>
                <w:szCs w:val="20"/>
                <w:lang w:val="en-GB"/>
              </w:rPr>
              <w:t>Compliant</w:t>
            </w:r>
          </w:p>
        </w:tc>
      </w:tr>
      <w:tr w:rsidR="00115344" w:rsidRPr="00817CDC" w:rsidTr="00DC2D1B">
        <w:trPr>
          <w:jc w:val="center"/>
        </w:trPr>
        <w:tc>
          <w:tcPr>
            <w:tcW w:w="1809" w:type="dxa"/>
            <w:vMerge/>
          </w:tcPr>
          <w:p w:rsidR="00115344" w:rsidRPr="00817CDC" w:rsidRDefault="00115344" w:rsidP="006378A7">
            <w:pPr>
              <w:pStyle w:val="ListNumber"/>
              <w:numPr>
                <w:ilvl w:val="0"/>
                <w:numId w:val="0"/>
              </w:numPr>
              <w:rPr>
                <w:rFonts w:asciiTheme="minorHAnsi" w:hAnsiTheme="minorHAnsi"/>
                <w:color w:val="050505"/>
              </w:rPr>
            </w:pPr>
          </w:p>
        </w:tc>
        <w:tc>
          <w:tcPr>
            <w:tcW w:w="2344" w:type="dxa"/>
          </w:tcPr>
          <w:p w:rsidR="00115344" w:rsidRPr="00817CDC" w:rsidRDefault="00552346" w:rsidP="00560893">
            <w:pPr>
              <w:pStyle w:val="NormalWeb"/>
              <w:numPr>
                <w:ilvl w:val="0"/>
                <w:numId w:val="20"/>
              </w:numPr>
              <w:spacing w:line="336" w:lineRule="auto"/>
              <w:rPr>
                <w:rFonts w:asciiTheme="minorHAnsi" w:hAnsiTheme="minorHAnsi"/>
                <w:color w:val="050505"/>
                <w:sz w:val="20"/>
                <w:szCs w:val="20"/>
              </w:rPr>
            </w:pPr>
            <w:r w:rsidRPr="00817CDC">
              <w:rPr>
                <w:rFonts w:asciiTheme="minorHAnsi" w:hAnsiTheme="minorHAnsi"/>
                <w:color w:val="050505"/>
                <w:sz w:val="20"/>
                <w:szCs w:val="20"/>
              </w:rPr>
              <w:t xml:space="preserve">Will </w:t>
            </w:r>
            <w:r w:rsidR="00115344" w:rsidRPr="00817CDC">
              <w:rPr>
                <w:rFonts w:asciiTheme="minorHAnsi" w:hAnsiTheme="minorHAnsi"/>
                <w:color w:val="050505"/>
                <w:sz w:val="20"/>
                <w:szCs w:val="20"/>
              </w:rPr>
              <w:t xml:space="preserve">reasonable steps </w:t>
            </w:r>
            <w:r w:rsidRPr="00817CDC">
              <w:rPr>
                <w:rFonts w:asciiTheme="minorHAnsi" w:hAnsiTheme="minorHAnsi"/>
                <w:color w:val="050505"/>
                <w:sz w:val="20"/>
                <w:szCs w:val="20"/>
              </w:rPr>
              <w:t>be</w:t>
            </w:r>
            <w:r w:rsidR="00115344" w:rsidRPr="00817CDC">
              <w:rPr>
                <w:rFonts w:asciiTheme="minorHAnsi" w:hAnsiTheme="minorHAnsi"/>
                <w:color w:val="050505"/>
                <w:sz w:val="20"/>
                <w:szCs w:val="20"/>
              </w:rPr>
              <w:t xml:space="preserve"> take</w:t>
            </w:r>
            <w:r w:rsidRPr="00817CDC">
              <w:rPr>
                <w:rFonts w:asciiTheme="minorHAnsi" w:hAnsiTheme="minorHAnsi"/>
                <w:color w:val="050505"/>
                <w:sz w:val="20"/>
                <w:szCs w:val="20"/>
              </w:rPr>
              <w:t>n</w:t>
            </w:r>
            <w:r w:rsidR="00115344" w:rsidRPr="00817CDC">
              <w:rPr>
                <w:rFonts w:asciiTheme="minorHAnsi" w:hAnsiTheme="minorHAnsi"/>
                <w:color w:val="050505"/>
                <w:sz w:val="20"/>
                <w:szCs w:val="20"/>
              </w:rPr>
              <w:t xml:space="preserve"> to ensure personal information is destroyed or de-identified when it is no longer needed for </w:t>
            </w:r>
            <w:r w:rsidR="00115344" w:rsidRPr="00817CDC">
              <w:rPr>
                <w:rFonts w:asciiTheme="minorHAnsi" w:hAnsiTheme="minorHAnsi"/>
                <w:color w:val="050505"/>
                <w:sz w:val="20"/>
                <w:szCs w:val="20"/>
              </w:rPr>
              <w:lastRenderedPageBreak/>
              <w:t xml:space="preserve">any authorised purpose? Do any exceptions apply to the information </w:t>
            </w:r>
            <w:r w:rsidR="00560893">
              <w:rPr>
                <w:rFonts w:asciiTheme="minorHAnsi" w:hAnsiTheme="minorHAnsi"/>
                <w:color w:val="050505"/>
                <w:sz w:val="20"/>
                <w:szCs w:val="20"/>
              </w:rPr>
              <w:t>the agency will</w:t>
            </w:r>
            <w:r w:rsidR="00115344" w:rsidRPr="00817CDC">
              <w:rPr>
                <w:rFonts w:asciiTheme="minorHAnsi" w:hAnsiTheme="minorHAnsi"/>
                <w:color w:val="050505"/>
                <w:sz w:val="20"/>
                <w:szCs w:val="20"/>
              </w:rPr>
              <w:t xml:space="preserve"> hold?</w:t>
            </w:r>
          </w:p>
        </w:tc>
        <w:tc>
          <w:tcPr>
            <w:tcW w:w="603" w:type="dxa"/>
          </w:tcPr>
          <w:p w:rsidR="00115344" w:rsidRPr="00817CDC" w:rsidRDefault="00552346" w:rsidP="00C41D82">
            <w:pPr>
              <w:rPr>
                <w:rFonts w:asciiTheme="minorHAnsi" w:hAnsiTheme="minorHAnsi"/>
                <w:lang w:eastAsia="en-AU"/>
              </w:rPr>
            </w:pPr>
            <w:r w:rsidRPr="00817CDC">
              <w:rPr>
                <w:rFonts w:asciiTheme="minorHAnsi" w:hAnsiTheme="minorHAnsi"/>
                <w:lang w:eastAsia="en-AU"/>
              </w:rPr>
              <w:lastRenderedPageBreak/>
              <w:t>N/A</w:t>
            </w:r>
          </w:p>
        </w:tc>
        <w:tc>
          <w:tcPr>
            <w:tcW w:w="5255" w:type="dxa"/>
          </w:tcPr>
          <w:p w:rsidR="00115344" w:rsidRPr="00817CDC" w:rsidRDefault="00552346" w:rsidP="00552346">
            <w:pPr>
              <w:pStyle w:val="ListNumber"/>
              <w:numPr>
                <w:ilvl w:val="0"/>
                <w:numId w:val="0"/>
              </w:numPr>
              <w:rPr>
                <w:rFonts w:asciiTheme="minorHAnsi" w:eastAsia="Times New Roman" w:hAnsiTheme="minorHAnsi"/>
                <w:lang w:val="en-GB" w:eastAsia="en-AU"/>
              </w:rPr>
            </w:pPr>
            <w:r w:rsidRPr="00817CDC">
              <w:rPr>
                <w:rFonts w:asciiTheme="minorHAnsi" w:eastAsia="Times New Roman" w:hAnsiTheme="minorHAnsi"/>
                <w:lang w:val="en-GB" w:eastAsia="en-AU"/>
              </w:rPr>
              <w:t xml:space="preserve">Information held within </w:t>
            </w:r>
            <w:proofErr w:type="spellStart"/>
            <w:r w:rsidR="001D735F">
              <w:rPr>
                <w:rFonts w:asciiTheme="minorHAnsi" w:eastAsia="Times New Roman" w:hAnsiTheme="minorHAnsi"/>
                <w:lang w:val="en-GB" w:eastAsia="en-AU"/>
              </w:rPr>
              <w:t>BloodSTAR</w:t>
            </w:r>
            <w:proofErr w:type="spellEnd"/>
            <w:r w:rsidRPr="00817CDC">
              <w:rPr>
                <w:rFonts w:asciiTheme="minorHAnsi" w:eastAsia="Times New Roman" w:hAnsiTheme="minorHAnsi"/>
                <w:lang w:val="en-GB" w:eastAsia="en-AU"/>
              </w:rPr>
              <w:t xml:space="preserve"> will have a historical purpose required for evolving the Criteria and look back purposes.  There is an on-going concern to </w:t>
            </w:r>
            <w:r w:rsidR="00955BAD" w:rsidRPr="00817CDC">
              <w:rPr>
                <w:rFonts w:asciiTheme="minorHAnsi" w:eastAsia="Times New Roman" w:hAnsiTheme="minorHAnsi"/>
                <w:lang w:val="en-GB" w:eastAsia="en-AU"/>
              </w:rPr>
              <w:t>maintain patient uniqueness as patients may require treatment over extended periods and intermittent episodes.</w:t>
            </w:r>
          </w:p>
        </w:tc>
        <w:tc>
          <w:tcPr>
            <w:tcW w:w="2066" w:type="dxa"/>
          </w:tcPr>
          <w:p w:rsidR="00115344" w:rsidRPr="00817CDC" w:rsidRDefault="00955BAD" w:rsidP="00817CDC">
            <w:pPr>
              <w:pStyle w:val="NormalWeb"/>
              <w:numPr>
                <w:ilvl w:val="0"/>
                <w:numId w:val="19"/>
              </w:numPr>
              <w:spacing w:line="336" w:lineRule="auto"/>
              <w:rPr>
                <w:rFonts w:asciiTheme="minorHAnsi" w:hAnsiTheme="minorHAnsi"/>
                <w:sz w:val="20"/>
                <w:szCs w:val="20"/>
                <w:lang w:val="en-GB"/>
              </w:rPr>
            </w:pPr>
            <w:r w:rsidRPr="00817CDC">
              <w:rPr>
                <w:rFonts w:asciiTheme="minorHAnsi" w:hAnsiTheme="minorHAnsi"/>
                <w:sz w:val="20"/>
                <w:szCs w:val="20"/>
                <w:lang w:val="en-GB"/>
              </w:rPr>
              <w:t>None</w:t>
            </w:r>
          </w:p>
        </w:tc>
        <w:tc>
          <w:tcPr>
            <w:tcW w:w="2097" w:type="dxa"/>
          </w:tcPr>
          <w:p w:rsidR="00115344" w:rsidRPr="00817CDC" w:rsidRDefault="00955BAD" w:rsidP="00817CDC">
            <w:pPr>
              <w:pStyle w:val="NormalWeb"/>
              <w:numPr>
                <w:ilvl w:val="0"/>
                <w:numId w:val="22"/>
              </w:numPr>
              <w:spacing w:line="336" w:lineRule="auto"/>
              <w:rPr>
                <w:rFonts w:asciiTheme="minorHAnsi" w:hAnsiTheme="minorHAnsi"/>
                <w:sz w:val="20"/>
                <w:szCs w:val="20"/>
                <w:lang w:val="en-GB"/>
              </w:rPr>
            </w:pPr>
            <w:r w:rsidRPr="00817CDC">
              <w:rPr>
                <w:rFonts w:asciiTheme="minorHAnsi" w:hAnsiTheme="minorHAnsi"/>
                <w:sz w:val="20"/>
                <w:szCs w:val="20"/>
                <w:lang w:val="en-GB"/>
              </w:rPr>
              <w:t>N/A</w:t>
            </w:r>
          </w:p>
        </w:tc>
      </w:tr>
      <w:tr w:rsidR="00115344" w:rsidRPr="00817CDC" w:rsidTr="00DC2D1B">
        <w:trPr>
          <w:jc w:val="center"/>
        </w:trPr>
        <w:tc>
          <w:tcPr>
            <w:tcW w:w="1809" w:type="dxa"/>
            <w:vMerge w:val="restart"/>
          </w:tcPr>
          <w:p w:rsidR="00115344" w:rsidRPr="00817CDC" w:rsidRDefault="00115344" w:rsidP="00115344">
            <w:pPr>
              <w:spacing w:after="0" w:line="312" w:lineRule="atLeast"/>
              <w:rPr>
                <w:rFonts w:asciiTheme="minorHAnsi" w:eastAsia="Times New Roman" w:hAnsiTheme="minorHAnsi"/>
                <w:color w:val="050505"/>
                <w:lang w:eastAsia="en-AU"/>
              </w:rPr>
            </w:pPr>
            <w:r w:rsidRPr="00817CDC">
              <w:rPr>
                <w:rFonts w:asciiTheme="minorHAnsi" w:eastAsia="Times New Roman" w:hAnsiTheme="minorHAnsi"/>
                <w:color w:val="050505"/>
                <w:lang w:eastAsia="en-AU"/>
              </w:rPr>
              <w:lastRenderedPageBreak/>
              <w:t>APP 12 – Access</w:t>
            </w:r>
          </w:p>
          <w:p w:rsidR="00115344" w:rsidRPr="00817CDC" w:rsidRDefault="00115344" w:rsidP="00115344">
            <w:pPr>
              <w:spacing w:after="0" w:line="312" w:lineRule="atLeast"/>
              <w:rPr>
                <w:rFonts w:asciiTheme="minorHAnsi" w:eastAsia="Times New Roman" w:hAnsiTheme="minorHAnsi"/>
                <w:color w:val="050505"/>
                <w:lang w:eastAsia="en-AU"/>
              </w:rPr>
            </w:pPr>
            <w:r w:rsidRPr="00817CDC">
              <w:rPr>
                <w:rFonts w:asciiTheme="minorHAnsi" w:eastAsia="Times New Roman" w:hAnsiTheme="minorHAnsi"/>
                <w:color w:val="050505"/>
                <w:lang w:eastAsia="en-AU"/>
              </w:rPr>
              <w:t>APP 13 – Correction</w:t>
            </w:r>
          </w:p>
          <w:p w:rsidR="00115344" w:rsidRPr="00817CDC" w:rsidRDefault="00115344" w:rsidP="006378A7">
            <w:pPr>
              <w:pStyle w:val="ListNumber"/>
              <w:numPr>
                <w:ilvl w:val="0"/>
                <w:numId w:val="0"/>
              </w:numPr>
              <w:rPr>
                <w:rFonts w:asciiTheme="minorHAnsi" w:hAnsiTheme="minorHAnsi"/>
                <w:color w:val="050505"/>
              </w:rPr>
            </w:pPr>
          </w:p>
        </w:tc>
        <w:tc>
          <w:tcPr>
            <w:tcW w:w="2344" w:type="dxa"/>
          </w:tcPr>
          <w:p w:rsidR="00115344" w:rsidRPr="00817CDC" w:rsidRDefault="00115344" w:rsidP="00817CDC">
            <w:pPr>
              <w:pStyle w:val="NormalWeb"/>
              <w:numPr>
                <w:ilvl w:val="0"/>
                <w:numId w:val="20"/>
              </w:numPr>
              <w:spacing w:line="336" w:lineRule="auto"/>
              <w:rPr>
                <w:rFonts w:asciiTheme="minorHAnsi" w:hAnsiTheme="minorHAnsi"/>
                <w:color w:val="050505"/>
                <w:sz w:val="20"/>
                <w:szCs w:val="20"/>
              </w:rPr>
            </w:pPr>
            <w:r w:rsidRPr="00817CDC">
              <w:rPr>
                <w:rFonts w:asciiTheme="minorHAnsi" w:hAnsiTheme="minorHAnsi"/>
                <w:color w:val="050505"/>
                <w:sz w:val="20"/>
                <w:szCs w:val="20"/>
              </w:rPr>
              <w:t>Will processes</w:t>
            </w:r>
            <w:r w:rsidR="00955BAD" w:rsidRPr="00817CDC">
              <w:rPr>
                <w:rFonts w:asciiTheme="minorHAnsi" w:hAnsiTheme="minorHAnsi"/>
                <w:color w:val="050505"/>
                <w:sz w:val="20"/>
                <w:szCs w:val="20"/>
              </w:rPr>
              <w:t xml:space="preserve"> be in place</w:t>
            </w:r>
            <w:r w:rsidRPr="00817CDC">
              <w:rPr>
                <w:rFonts w:asciiTheme="minorHAnsi" w:hAnsiTheme="minorHAnsi"/>
                <w:color w:val="050505"/>
                <w:sz w:val="20"/>
                <w:szCs w:val="20"/>
              </w:rPr>
              <w:t xml:space="preserve"> for responding to requests from individuals for request for access to and correction of personal information?</w:t>
            </w:r>
          </w:p>
        </w:tc>
        <w:tc>
          <w:tcPr>
            <w:tcW w:w="603" w:type="dxa"/>
          </w:tcPr>
          <w:p w:rsidR="00115344" w:rsidRPr="00817CDC" w:rsidRDefault="00115344" w:rsidP="00C41D82">
            <w:pPr>
              <w:rPr>
                <w:rFonts w:asciiTheme="minorHAnsi" w:hAnsiTheme="minorHAnsi"/>
                <w:lang w:eastAsia="en-AU"/>
              </w:rPr>
            </w:pPr>
            <w:r w:rsidRPr="00817CDC">
              <w:rPr>
                <w:rFonts w:asciiTheme="minorHAnsi" w:hAnsiTheme="minorHAnsi"/>
                <w:lang w:eastAsia="en-AU"/>
              </w:rPr>
              <w:t>Yes</w:t>
            </w:r>
          </w:p>
        </w:tc>
        <w:tc>
          <w:tcPr>
            <w:tcW w:w="5255" w:type="dxa"/>
          </w:tcPr>
          <w:p w:rsidR="00115344" w:rsidRPr="00817CDC" w:rsidRDefault="00955BAD" w:rsidP="00D207C9">
            <w:pPr>
              <w:pStyle w:val="ListNumber"/>
              <w:numPr>
                <w:ilvl w:val="0"/>
                <w:numId w:val="0"/>
              </w:numPr>
              <w:rPr>
                <w:rFonts w:asciiTheme="minorHAnsi" w:eastAsia="Times New Roman" w:hAnsiTheme="minorHAnsi"/>
                <w:lang w:val="en-GB" w:eastAsia="en-AU"/>
              </w:rPr>
            </w:pPr>
            <w:r w:rsidRPr="00817CDC">
              <w:rPr>
                <w:rFonts w:asciiTheme="minorHAnsi" w:eastAsia="Times New Roman" w:hAnsiTheme="minorHAnsi"/>
                <w:lang w:val="en-GB" w:eastAsia="en-AU"/>
              </w:rPr>
              <w:t xml:space="preserve">When requested, </w:t>
            </w:r>
            <w:proofErr w:type="spellStart"/>
            <w:r w:rsidR="00D207C9">
              <w:rPr>
                <w:rFonts w:asciiTheme="minorHAnsi" w:eastAsia="Times New Roman" w:hAnsiTheme="minorHAnsi"/>
                <w:lang w:val="en-GB" w:eastAsia="en-AU"/>
              </w:rPr>
              <w:t>BloodSTAR</w:t>
            </w:r>
            <w:proofErr w:type="spellEnd"/>
            <w:r w:rsidRPr="00817CDC">
              <w:rPr>
                <w:rFonts w:asciiTheme="minorHAnsi" w:eastAsia="Times New Roman" w:hAnsiTheme="minorHAnsi"/>
                <w:lang w:val="en-GB" w:eastAsia="en-AU"/>
              </w:rPr>
              <w:t xml:space="preserve"> users must provide information to patients about information stored about them, and have the opportunity to identify and correct errors.</w:t>
            </w:r>
          </w:p>
        </w:tc>
        <w:tc>
          <w:tcPr>
            <w:tcW w:w="2066" w:type="dxa"/>
          </w:tcPr>
          <w:p w:rsidR="00115344" w:rsidRPr="00817CDC" w:rsidRDefault="00955BAD" w:rsidP="00923621">
            <w:pPr>
              <w:pStyle w:val="NormalWeb"/>
              <w:numPr>
                <w:ilvl w:val="0"/>
                <w:numId w:val="19"/>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Patients will be advised through the </w:t>
            </w:r>
            <w:r w:rsidR="00923621">
              <w:rPr>
                <w:rFonts w:asciiTheme="minorHAnsi" w:hAnsiTheme="minorHAnsi"/>
                <w:sz w:val="20"/>
                <w:szCs w:val="20"/>
                <w:lang w:val="en-GB"/>
              </w:rPr>
              <w:t>P</w:t>
            </w:r>
            <w:r w:rsidRPr="00817CDC">
              <w:rPr>
                <w:rFonts w:asciiTheme="minorHAnsi" w:hAnsiTheme="minorHAnsi"/>
                <w:sz w:val="20"/>
                <w:szCs w:val="20"/>
                <w:lang w:val="en-GB"/>
              </w:rPr>
              <w:t xml:space="preserve">rivacy </w:t>
            </w:r>
            <w:r w:rsidR="00923621">
              <w:rPr>
                <w:rFonts w:asciiTheme="minorHAnsi" w:hAnsiTheme="minorHAnsi"/>
                <w:sz w:val="20"/>
                <w:szCs w:val="20"/>
                <w:lang w:val="en-GB"/>
              </w:rPr>
              <w:t>Statement and N</w:t>
            </w:r>
            <w:r w:rsidRPr="00817CDC">
              <w:rPr>
                <w:rFonts w:asciiTheme="minorHAnsi" w:hAnsiTheme="minorHAnsi"/>
                <w:sz w:val="20"/>
                <w:szCs w:val="20"/>
                <w:lang w:val="en-GB"/>
              </w:rPr>
              <w:t>otice of their right to access and correct details about them.</w:t>
            </w:r>
          </w:p>
        </w:tc>
        <w:tc>
          <w:tcPr>
            <w:tcW w:w="2097" w:type="dxa"/>
          </w:tcPr>
          <w:p w:rsidR="00955BAD" w:rsidRPr="00817CDC" w:rsidRDefault="00955BAD" w:rsidP="00817CDC">
            <w:pPr>
              <w:pStyle w:val="NormalWeb"/>
              <w:numPr>
                <w:ilvl w:val="0"/>
                <w:numId w:val="22"/>
              </w:numPr>
              <w:spacing w:line="336" w:lineRule="auto"/>
              <w:rPr>
                <w:rFonts w:asciiTheme="minorHAnsi" w:hAnsiTheme="minorHAnsi"/>
                <w:sz w:val="20"/>
                <w:szCs w:val="20"/>
                <w:lang w:val="en-GB"/>
              </w:rPr>
            </w:pPr>
            <w:r w:rsidRPr="00817CDC">
              <w:rPr>
                <w:rFonts w:asciiTheme="minorHAnsi" w:hAnsiTheme="minorHAnsi"/>
                <w:sz w:val="20"/>
                <w:szCs w:val="20"/>
                <w:lang w:val="en-GB"/>
              </w:rPr>
              <w:t xml:space="preserve">Privacy </w:t>
            </w:r>
            <w:r w:rsidR="00923621">
              <w:rPr>
                <w:rFonts w:asciiTheme="minorHAnsi" w:hAnsiTheme="minorHAnsi"/>
                <w:sz w:val="20"/>
                <w:szCs w:val="20"/>
                <w:lang w:val="en-GB"/>
              </w:rPr>
              <w:t>S</w:t>
            </w:r>
            <w:r w:rsidR="00681A20">
              <w:rPr>
                <w:rFonts w:asciiTheme="minorHAnsi" w:hAnsiTheme="minorHAnsi"/>
                <w:sz w:val="20"/>
                <w:szCs w:val="20"/>
                <w:lang w:val="en-GB"/>
              </w:rPr>
              <w:t>t</w:t>
            </w:r>
            <w:r w:rsidR="00923621">
              <w:rPr>
                <w:rFonts w:asciiTheme="minorHAnsi" w:hAnsiTheme="minorHAnsi"/>
                <w:sz w:val="20"/>
                <w:szCs w:val="20"/>
                <w:lang w:val="en-GB"/>
              </w:rPr>
              <w:t>atement and N</w:t>
            </w:r>
            <w:r w:rsidRPr="00817CDC">
              <w:rPr>
                <w:rFonts w:asciiTheme="minorHAnsi" w:hAnsiTheme="minorHAnsi"/>
                <w:sz w:val="20"/>
                <w:szCs w:val="20"/>
                <w:lang w:val="en-GB"/>
              </w:rPr>
              <w:t xml:space="preserve">otice </w:t>
            </w:r>
            <w:r w:rsidR="00865E47" w:rsidRPr="00817CDC">
              <w:rPr>
                <w:rFonts w:asciiTheme="minorHAnsi" w:hAnsiTheme="minorHAnsi"/>
                <w:sz w:val="20"/>
                <w:szCs w:val="20"/>
                <w:lang w:val="en-GB"/>
              </w:rPr>
              <w:t>will</w:t>
            </w:r>
            <w:r w:rsidRPr="00817CDC">
              <w:rPr>
                <w:rFonts w:asciiTheme="minorHAnsi" w:hAnsiTheme="minorHAnsi"/>
                <w:sz w:val="20"/>
                <w:szCs w:val="20"/>
                <w:lang w:val="en-GB"/>
              </w:rPr>
              <w:t xml:space="preserve"> include this provision. </w:t>
            </w:r>
          </w:p>
          <w:p w:rsidR="00955BAD" w:rsidRPr="00817CDC" w:rsidRDefault="00955BAD" w:rsidP="00955BAD">
            <w:pPr>
              <w:pStyle w:val="NormalWeb"/>
              <w:spacing w:line="336" w:lineRule="auto"/>
              <w:ind w:left="360"/>
              <w:rPr>
                <w:rFonts w:asciiTheme="minorHAnsi" w:hAnsiTheme="minorHAnsi"/>
                <w:sz w:val="20"/>
                <w:szCs w:val="20"/>
                <w:lang w:val="en-GB"/>
              </w:rPr>
            </w:pPr>
          </w:p>
          <w:p w:rsidR="00115344" w:rsidRPr="00817CDC" w:rsidRDefault="00955BAD" w:rsidP="006D3B39">
            <w:pPr>
              <w:pStyle w:val="NormalWeb"/>
              <w:spacing w:line="336" w:lineRule="auto"/>
              <w:ind w:left="360"/>
              <w:rPr>
                <w:rFonts w:asciiTheme="minorHAnsi" w:hAnsiTheme="minorHAnsi"/>
                <w:sz w:val="20"/>
                <w:szCs w:val="20"/>
                <w:lang w:val="en-GB"/>
              </w:rPr>
            </w:pPr>
            <w:r w:rsidRPr="00817CDC">
              <w:rPr>
                <w:rFonts w:asciiTheme="minorHAnsi" w:hAnsiTheme="minorHAnsi"/>
                <w:b/>
                <w:sz w:val="20"/>
                <w:szCs w:val="20"/>
                <w:lang w:val="en-GB"/>
              </w:rPr>
              <w:t>Compliant</w:t>
            </w:r>
          </w:p>
        </w:tc>
      </w:tr>
      <w:tr w:rsidR="00115344" w:rsidRPr="00817CDC" w:rsidTr="00DC2D1B">
        <w:trPr>
          <w:jc w:val="center"/>
        </w:trPr>
        <w:tc>
          <w:tcPr>
            <w:tcW w:w="1809" w:type="dxa"/>
            <w:vMerge/>
          </w:tcPr>
          <w:p w:rsidR="00115344" w:rsidRPr="00817CDC" w:rsidRDefault="00115344" w:rsidP="00115344">
            <w:pPr>
              <w:spacing w:after="0" w:line="312" w:lineRule="atLeast"/>
              <w:rPr>
                <w:rFonts w:asciiTheme="minorHAnsi" w:eastAsia="Times New Roman" w:hAnsiTheme="minorHAnsi"/>
                <w:color w:val="050505"/>
                <w:lang w:eastAsia="en-AU"/>
              </w:rPr>
            </w:pPr>
          </w:p>
        </w:tc>
        <w:tc>
          <w:tcPr>
            <w:tcW w:w="2344" w:type="dxa"/>
          </w:tcPr>
          <w:p w:rsidR="00115344" w:rsidRPr="00817CDC" w:rsidRDefault="00115344" w:rsidP="00817CDC">
            <w:pPr>
              <w:pStyle w:val="NormalWeb"/>
              <w:numPr>
                <w:ilvl w:val="0"/>
                <w:numId w:val="20"/>
              </w:numPr>
              <w:spacing w:line="336" w:lineRule="auto"/>
              <w:rPr>
                <w:rFonts w:asciiTheme="minorHAnsi" w:hAnsiTheme="minorHAnsi"/>
                <w:color w:val="050505"/>
                <w:sz w:val="20"/>
                <w:szCs w:val="20"/>
              </w:rPr>
            </w:pPr>
            <w:r w:rsidRPr="00817CDC">
              <w:rPr>
                <w:rFonts w:asciiTheme="minorHAnsi" w:hAnsiTheme="minorHAnsi"/>
                <w:color w:val="050505"/>
                <w:sz w:val="20"/>
                <w:szCs w:val="20"/>
              </w:rPr>
              <w:t xml:space="preserve">What processes </w:t>
            </w:r>
            <w:r w:rsidR="00955BAD" w:rsidRPr="00817CDC">
              <w:rPr>
                <w:rFonts w:asciiTheme="minorHAnsi" w:hAnsiTheme="minorHAnsi"/>
                <w:color w:val="050505"/>
                <w:sz w:val="20"/>
                <w:szCs w:val="20"/>
              </w:rPr>
              <w:t xml:space="preserve">will be in place </w:t>
            </w:r>
            <w:r w:rsidRPr="00817CDC">
              <w:rPr>
                <w:rFonts w:asciiTheme="minorHAnsi" w:hAnsiTheme="minorHAnsi"/>
                <w:color w:val="050505"/>
                <w:sz w:val="20"/>
                <w:szCs w:val="20"/>
              </w:rPr>
              <w:t xml:space="preserve">for identifying and correcting personal information that is inaccurate, out of date, incomplete, irrelevant or </w:t>
            </w:r>
            <w:r w:rsidRPr="00817CDC">
              <w:rPr>
                <w:rFonts w:asciiTheme="minorHAnsi" w:hAnsiTheme="minorHAnsi"/>
                <w:color w:val="050505"/>
                <w:sz w:val="20"/>
                <w:szCs w:val="20"/>
              </w:rPr>
              <w:lastRenderedPageBreak/>
              <w:t>misleading?</w:t>
            </w:r>
          </w:p>
        </w:tc>
        <w:tc>
          <w:tcPr>
            <w:tcW w:w="603" w:type="dxa"/>
          </w:tcPr>
          <w:p w:rsidR="00115344" w:rsidRPr="00817CDC" w:rsidRDefault="00115344" w:rsidP="00C41D82">
            <w:pPr>
              <w:rPr>
                <w:rFonts w:asciiTheme="minorHAnsi" w:hAnsiTheme="minorHAnsi"/>
                <w:lang w:eastAsia="en-AU"/>
              </w:rPr>
            </w:pPr>
            <w:r w:rsidRPr="00817CDC">
              <w:rPr>
                <w:rFonts w:asciiTheme="minorHAnsi" w:hAnsiTheme="minorHAnsi"/>
                <w:lang w:eastAsia="en-AU"/>
              </w:rPr>
              <w:lastRenderedPageBreak/>
              <w:t>N/A</w:t>
            </w:r>
          </w:p>
        </w:tc>
        <w:tc>
          <w:tcPr>
            <w:tcW w:w="5255" w:type="dxa"/>
          </w:tcPr>
          <w:p w:rsidR="00955BAD" w:rsidRPr="00817CDC" w:rsidRDefault="00D207C9" w:rsidP="00955BAD">
            <w:pPr>
              <w:pStyle w:val="ListNumber"/>
              <w:numPr>
                <w:ilvl w:val="0"/>
                <w:numId w:val="0"/>
              </w:numPr>
              <w:rPr>
                <w:rFonts w:asciiTheme="minorHAnsi" w:eastAsia="Times New Roman" w:hAnsiTheme="minorHAnsi"/>
                <w:lang w:val="en-GB" w:eastAsia="en-AU"/>
              </w:rPr>
            </w:pPr>
            <w:proofErr w:type="spellStart"/>
            <w:r>
              <w:rPr>
                <w:rFonts w:asciiTheme="minorHAnsi" w:eastAsia="Times New Roman" w:hAnsiTheme="minorHAnsi"/>
                <w:lang w:val="en-GB" w:eastAsia="en-AU"/>
              </w:rPr>
              <w:t>BloodSTAR</w:t>
            </w:r>
            <w:proofErr w:type="spellEnd"/>
            <w:r w:rsidR="00955BAD" w:rsidRPr="00817CDC">
              <w:rPr>
                <w:rFonts w:asciiTheme="minorHAnsi" w:eastAsia="Times New Roman" w:hAnsiTheme="minorHAnsi"/>
                <w:lang w:val="en-GB" w:eastAsia="en-AU"/>
              </w:rPr>
              <w:t xml:space="preserve"> users will be required to collect and manage information relating to a patient in order to ensure that each entity </w:t>
            </w:r>
            <w:r w:rsidR="006D3B39">
              <w:rPr>
                <w:rFonts w:asciiTheme="minorHAnsi" w:eastAsia="Times New Roman" w:hAnsiTheme="minorHAnsi"/>
                <w:lang w:val="en-GB" w:eastAsia="en-AU"/>
              </w:rPr>
              <w:t>involved in patient care</w:t>
            </w:r>
            <w:r w:rsidR="00955BAD" w:rsidRPr="00817CDC">
              <w:rPr>
                <w:rFonts w:asciiTheme="minorHAnsi" w:eastAsia="Times New Roman" w:hAnsiTheme="minorHAnsi"/>
                <w:lang w:val="en-GB" w:eastAsia="en-AU"/>
              </w:rPr>
              <w:t xml:space="preserve"> has the information it needs to fulfil its role.  Where errors are detected, users will be empowered to correct errors to ensure that information is as accurate as possible.</w:t>
            </w:r>
          </w:p>
          <w:p w:rsidR="00955BAD" w:rsidRPr="00817CDC" w:rsidRDefault="00955BAD" w:rsidP="00955BAD">
            <w:pPr>
              <w:pStyle w:val="ListNumber"/>
              <w:numPr>
                <w:ilvl w:val="0"/>
                <w:numId w:val="0"/>
              </w:numPr>
              <w:rPr>
                <w:rFonts w:asciiTheme="minorHAnsi" w:eastAsia="Times New Roman" w:hAnsiTheme="minorHAnsi"/>
                <w:lang w:val="en-GB" w:eastAsia="en-AU"/>
              </w:rPr>
            </w:pPr>
          </w:p>
          <w:p w:rsidR="00115344" w:rsidRPr="00817CDC" w:rsidRDefault="00955BAD" w:rsidP="00D207C9">
            <w:pPr>
              <w:pStyle w:val="ListNumber"/>
              <w:numPr>
                <w:ilvl w:val="0"/>
                <w:numId w:val="0"/>
              </w:numPr>
              <w:rPr>
                <w:rFonts w:asciiTheme="minorHAnsi" w:eastAsia="Times New Roman" w:hAnsiTheme="minorHAnsi"/>
                <w:lang w:val="en-GB" w:eastAsia="en-AU"/>
              </w:rPr>
            </w:pPr>
            <w:r w:rsidRPr="00817CDC">
              <w:rPr>
                <w:rFonts w:asciiTheme="minorHAnsi" w:eastAsia="Times New Roman" w:hAnsiTheme="minorHAnsi"/>
                <w:lang w:val="en-GB" w:eastAsia="en-AU"/>
              </w:rPr>
              <w:t xml:space="preserve">When requested, </w:t>
            </w:r>
            <w:proofErr w:type="spellStart"/>
            <w:r w:rsidR="00D207C9">
              <w:rPr>
                <w:rFonts w:asciiTheme="minorHAnsi" w:eastAsia="Times New Roman" w:hAnsiTheme="minorHAnsi"/>
                <w:lang w:val="en-GB" w:eastAsia="en-AU"/>
              </w:rPr>
              <w:t>BloodSTAR</w:t>
            </w:r>
            <w:proofErr w:type="spellEnd"/>
            <w:r w:rsidRPr="00817CDC">
              <w:rPr>
                <w:rFonts w:asciiTheme="minorHAnsi" w:eastAsia="Times New Roman" w:hAnsiTheme="minorHAnsi"/>
                <w:lang w:val="en-GB" w:eastAsia="en-AU"/>
              </w:rPr>
              <w:t xml:space="preserve"> users must provide information to patients about information stored about them, and have </w:t>
            </w:r>
            <w:r w:rsidRPr="00817CDC">
              <w:rPr>
                <w:rFonts w:asciiTheme="minorHAnsi" w:eastAsia="Times New Roman" w:hAnsiTheme="minorHAnsi"/>
                <w:lang w:val="en-GB" w:eastAsia="en-AU"/>
              </w:rPr>
              <w:lastRenderedPageBreak/>
              <w:t>the opportunity to identify and correct errors.</w:t>
            </w:r>
          </w:p>
        </w:tc>
        <w:tc>
          <w:tcPr>
            <w:tcW w:w="2066" w:type="dxa"/>
          </w:tcPr>
          <w:p w:rsidR="00115344" w:rsidRPr="00817CDC" w:rsidRDefault="006D3B39" w:rsidP="006D3B39">
            <w:pPr>
              <w:pStyle w:val="NormalWeb"/>
              <w:numPr>
                <w:ilvl w:val="0"/>
                <w:numId w:val="19"/>
              </w:numPr>
              <w:spacing w:line="336" w:lineRule="auto"/>
              <w:rPr>
                <w:rFonts w:asciiTheme="minorHAnsi" w:hAnsiTheme="minorHAnsi"/>
                <w:sz w:val="20"/>
                <w:szCs w:val="20"/>
                <w:lang w:val="en-GB"/>
              </w:rPr>
            </w:pPr>
            <w:r>
              <w:rPr>
                <w:rFonts w:asciiTheme="minorHAnsi" w:hAnsiTheme="minorHAnsi"/>
                <w:sz w:val="20"/>
                <w:szCs w:val="20"/>
                <w:lang w:val="en-GB"/>
              </w:rPr>
              <w:lastRenderedPageBreak/>
              <w:t xml:space="preserve">Terms and conditions for users should include the responsibility to identify and correct </w:t>
            </w:r>
            <w:r>
              <w:rPr>
                <w:rFonts w:asciiTheme="minorHAnsi" w:hAnsiTheme="minorHAnsi"/>
                <w:sz w:val="20"/>
                <w:szCs w:val="20"/>
                <w:lang w:val="en-GB"/>
              </w:rPr>
              <w:lastRenderedPageBreak/>
              <w:t xml:space="preserve">information. </w:t>
            </w:r>
          </w:p>
        </w:tc>
        <w:tc>
          <w:tcPr>
            <w:tcW w:w="2097" w:type="dxa"/>
          </w:tcPr>
          <w:p w:rsidR="00115344" w:rsidRDefault="006D3B39" w:rsidP="00817CDC">
            <w:pPr>
              <w:pStyle w:val="NormalWeb"/>
              <w:numPr>
                <w:ilvl w:val="0"/>
                <w:numId w:val="22"/>
              </w:numPr>
              <w:spacing w:line="336" w:lineRule="auto"/>
              <w:rPr>
                <w:rFonts w:asciiTheme="minorHAnsi" w:hAnsiTheme="minorHAnsi"/>
                <w:sz w:val="20"/>
                <w:szCs w:val="20"/>
                <w:lang w:val="en-GB"/>
              </w:rPr>
            </w:pPr>
            <w:r>
              <w:rPr>
                <w:rFonts w:asciiTheme="minorHAnsi" w:hAnsiTheme="minorHAnsi"/>
                <w:sz w:val="20"/>
                <w:szCs w:val="20"/>
                <w:lang w:val="en-GB"/>
              </w:rPr>
              <w:lastRenderedPageBreak/>
              <w:t>Terms and conditions will include this provision.</w:t>
            </w:r>
          </w:p>
          <w:p w:rsidR="006D3B39" w:rsidRPr="00817CDC" w:rsidRDefault="006D3B39" w:rsidP="006D3B39">
            <w:pPr>
              <w:pStyle w:val="NormalWeb"/>
              <w:spacing w:line="336" w:lineRule="auto"/>
              <w:ind w:left="360"/>
              <w:rPr>
                <w:rFonts w:asciiTheme="minorHAnsi" w:hAnsiTheme="minorHAnsi"/>
                <w:sz w:val="20"/>
                <w:szCs w:val="20"/>
                <w:lang w:val="en-GB"/>
              </w:rPr>
            </w:pPr>
            <w:r w:rsidRPr="00817CDC">
              <w:rPr>
                <w:rFonts w:asciiTheme="minorHAnsi" w:hAnsiTheme="minorHAnsi"/>
                <w:b/>
                <w:sz w:val="20"/>
                <w:szCs w:val="20"/>
                <w:lang w:val="en-GB"/>
              </w:rPr>
              <w:t>Compliant</w:t>
            </w:r>
          </w:p>
        </w:tc>
      </w:tr>
    </w:tbl>
    <w:p w:rsidR="0087042C" w:rsidRDefault="0087042C" w:rsidP="007014E2">
      <w:pPr>
        <w:spacing w:after="120"/>
        <w:outlineLvl w:val="2"/>
        <w:rPr>
          <w:rFonts w:asciiTheme="minorHAnsi" w:eastAsia="Times New Roman" w:hAnsiTheme="minorHAnsi"/>
          <w:lang w:val="en-GB" w:eastAsia="en-AU"/>
        </w:rPr>
        <w:sectPr w:rsidR="0087042C" w:rsidSect="0087042C">
          <w:pgSz w:w="16838" w:h="11906" w:orient="landscape"/>
          <w:pgMar w:top="1440" w:right="1440" w:bottom="1440" w:left="1440" w:header="708" w:footer="708" w:gutter="0"/>
          <w:cols w:space="708"/>
          <w:titlePg/>
          <w:docGrid w:linePitch="360"/>
        </w:sectPr>
      </w:pPr>
    </w:p>
    <w:p w:rsidR="002C1F45" w:rsidRDefault="004B6648" w:rsidP="00323364">
      <w:pPr>
        <w:pStyle w:val="Heading1"/>
      </w:pPr>
      <w:bookmarkStart w:id="62" w:name="_Toc434574651"/>
      <w:r>
        <w:lastRenderedPageBreak/>
        <w:t>Privacy Management</w:t>
      </w:r>
      <w:bookmarkEnd w:id="62"/>
    </w:p>
    <w:p w:rsidR="0023655C" w:rsidRPr="0023655C" w:rsidRDefault="0023655C" w:rsidP="0023655C">
      <w:r>
        <w:t xml:space="preserve">In order to minimise the privacy concerns and risks to individuals, </w:t>
      </w:r>
      <w:proofErr w:type="spellStart"/>
      <w:r w:rsidR="001D735F">
        <w:t>BloodSTAR</w:t>
      </w:r>
      <w:proofErr w:type="spellEnd"/>
      <w:r>
        <w:t xml:space="preserve"> will include the following</w:t>
      </w:r>
      <w:r w:rsidR="00882EB2">
        <w:t xml:space="preserve"> processes and functions</w:t>
      </w:r>
      <w:r>
        <w:t>.</w:t>
      </w:r>
    </w:p>
    <w:p w:rsidR="0023655C" w:rsidRDefault="0023655C" w:rsidP="00817CDC">
      <w:pPr>
        <w:pStyle w:val="ListParagraph"/>
        <w:numPr>
          <w:ilvl w:val="0"/>
          <w:numId w:val="30"/>
        </w:numPr>
        <w:ind w:left="709" w:hanging="425"/>
        <w:rPr>
          <w:lang w:eastAsia="en-AU"/>
        </w:rPr>
      </w:pPr>
      <w:r>
        <w:rPr>
          <w:lang w:eastAsia="en-AU"/>
        </w:rPr>
        <w:t>User terms and conditions</w:t>
      </w:r>
    </w:p>
    <w:p w:rsidR="0023655C" w:rsidRDefault="0023655C" w:rsidP="00817CDC">
      <w:pPr>
        <w:pStyle w:val="ListParagraph"/>
        <w:numPr>
          <w:ilvl w:val="0"/>
          <w:numId w:val="30"/>
        </w:numPr>
        <w:ind w:left="709" w:hanging="425"/>
        <w:rPr>
          <w:lang w:eastAsia="en-AU"/>
        </w:rPr>
      </w:pPr>
      <w:r>
        <w:rPr>
          <w:lang w:eastAsia="en-AU"/>
        </w:rPr>
        <w:t>User authentication</w:t>
      </w:r>
    </w:p>
    <w:p w:rsidR="004B6648" w:rsidRDefault="0023655C" w:rsidP="00817CDC">
      <w:pPr>
        <w:pStyle w:val="ListParagraph"/>
        <w:numPr>
          <w:ilvl w:val="0"/>
          <w:numId w:val="30"/>
        </w:numPr>
        <w:ind w:left="709" w:hanging="425"/>
        <w:rPr>
          <w:lang w:eastAsia="en-AU"/>
        </w:rPr>
      </w:pPr>
      <w:r>
        <w:rPr>
          <w:lang w:eastAsia="en-AU"/>
        </w:rPr>
        <w:t>Activity l</w:t>
      </w:r>
      <w:r w:rsidR="004B6648">
        <w:rPr>
          <w:lang w:eastAsia="en-AU"/>
        </w:rPr>
        <w:t>ogging and auditing</w:t>
      </w:r>
      <w:r>
        <w:rPr>
          <w:lang w:eastAsia="en-AU"/>
        </w:rPr>
        <w:t xml:space="preserve"> at the user level</w:t>
      </w:r>
      <w:r w:rsidR="00D545A4">
        <w:rPr>
          <w:lang w:eastAsia="en-AU"/>
        </w:rPr>
        <w:t>, including searches and views</w:t>
      </w:r>
    </w:p>
    <w:p w:rsidR="004B6648" w:rsidRDefault="00882EB2" w:rsidP="00817CDC">
      <w:pPr>
        <w:pStyle w:val="ListParagraph"/>
        <w:numPr>
          <w:ilvl w:val="0"/>
          <w:numId w:val="30"/>
        </w:numPr>
        <w:ind w:left="709" w:hanging="425"/>
        <w:rPr>
          <w:lang w:eastAsia="en-AU"/>
        </w:rPr>
      </w:pPr>
      <w:r>
        <w:rPr>
          <w:lang w:eastAsia="en-AU"/>
        </w:rPr>
        <w:t>Privacy</w:t>
      </w:r>
      <w:r w:rsidR="004B6648">
        <w:rPr>
          <w:lang w:eastAsia="en-AU"/>
        </w:rPr>
        <w:t xml:space="preserve"> </w:t>
      </w:r>
      <w:r w:rsidR="00681A20">
        <w:rPr>
          <w:lang w:eastAsia="en-AU"/>
        </w:rPr>
        <w:t>Statement and N</w:t>
      </w:r>
      <w:r>
        <w:rPr>
          <w:lang w:eastAsia="en-AU"/>
        </w:rPr>
        <w:t>otice</w:t>
      </w:r>
    </w:p>
    <w:p w:rsidR="004B6648" w:rsidRDefault="004B6648" w:rsidP="00817CDC">
      <w:pPr>
        <w:pStyle w:val="ListParagraph"/>
        <w:numPr>
          <w:ilvl w:val="0"/>
          <w:numId w:val="30"/>
        </w:numPr>
        <w:ind w:left="709" w:hanging="425"/>
        <w:rPr>
          <w:lang w:eastAsia="en-AU"/>
        </w:rPr>
      </w:pPr>
      <w:r>
        <w:rPr>
          <w:lang w:eastAsia="en-AU"/>
        </w:rPr>
        <w:t xml:space="preserve">Patient consent to the collection, use and disclosure of </w:t>
      </w:r>
      <w:r w:rsidR="0023655C">
        <w:rPr>
          <w:lang w:eastAsia="en-AU"/>
        </w:rPr>
        <w:t xml:space="preserve">their </w:t>
      </w:r>
      <w:r w:rsidR="00A23A51">
        <w:rPr>
          <w:lang w:eastAsia="en-AU"/>
        </w:rPr>
        <w:t xml:space="preserve">personal and </w:t>
      </w:r>
      <w:r w:rsidR="0023655C">
        <w:rPr>
          <w:lang w:eastAsia="en-AU"/>
        </w:rPr>
        <w:t xml:space="preserve">sensitive </w:t>
      </w:r>
      <w:r>
        <w:rPr>
          <w:lang w:eastAsia="en-AU"/>
        </w:rPr>
        <w:t>information</w:t>
      </w:r>
      <w:r w:rsidR="00882EB2">
        <w:rPr>
          <w:lang w:eastAsia="en-AU"/>
        </w:rPr>
        <w:t>.</w:t>
      </w:r>
    </w:p>
    <w:p w:rsidR="00F12985" w:rsidRDefault="00F12985" w:rsidP="00F12985">
      <w:r>
        <w:t>The NBA’s expectation is that the provision of personal and sensitive information in order to obtain access to a high cost publically funded biopharmaceutical product will be regarded as unremarkable by the vast majority of patients.  This type of requirement is commonplace for access to many high cost medications and medical services, whether funded publically or by private health insurance, in Australia and in most comparable countries globally.</w:t>
      </w:r>
    </w:p>
    <w:p w:rsidR="00F12985" w:rsidRDefault="00F12985" w:rsidP="00F12985">
      <w:r>
        <w:t>Access to immunoglobulin is available under multiple funding and supply pathways in Australia.  While a decision making process may be involved in each case, these alternatives do provide an avenue for the health system to meet the needs of a patient who may be concerned about the provision of perso</w:t>
      </w:r>
      <w:r w:rsidR="00817CDC">
        <w:t>nal and sensitive information.</w:t>
      </w:r>
    </w:p>
    <w:p w:rsidR="00F12985" w:rsidRPr="00D2562E" w:rsidRDefault="00F12985" w:rsidP="00350B62">
      <w:pPr>
        <w:pStyle w:val="Heading2"/>
        <w:numPr>
          <w:ilvl w:val="1"/>
          <w:numId w:val="35"/>
        </w:numPr>
      </w:pPr>
      <w:bookmarkStart w:id="63" w:name="_Toc434574652"/>
      <w:r w:rsidRPr="00D2562E">
        <w:t>Recommendations</w:t>
      </w:r>
      <w:bookmarkEnd w:id="63"/>
    </w:p>
    <w:tbl>
      <w:tblPr>
        <w:tblStyle w:val="TableGrid"/>
        <w:tblW w:w="8810" w:type="dxa"/>
        <w:tblInd w:w="432" w:type="dxa"/>
        <w:tblLayout w:type="fixed"/>
        <w:tblLook w:val="04A0" w:firstRow="1" w:lastRow="0" w:firstColumn="1" w:lastColumn="0" w:noHBand="0" w:noVBand="1"/>
      </w:tblPr>
      <w:tblGrid>
        <w:gridCol w:w="388"/>
        <w:gridCol w:w="5100"/>
        <w:gridCol w:w="3322"/>
      </w:tblGrid>
      <w:tr w:rsidR="00D5623F" w:rsidRPr="00D5623F" w:rsidTr="001611AE">
        <w:trPr>
          <w:tblHeader/>
        </w:trPr>
        <w:tc>
          <w:tcPr>
            <w:tcW w:w="5488" w:type="dxa"/>
            <w:gridSpan w:val="2"/>
            <w:shd w:val="clear" w:color="auto" w:fill="DBE5F1" w:themeFill="accent1" w:themeFillTint="33"/>
          </w:tcPr>
          <w:p w:rsidR="00D5623F" w:rsidRPr="001611AE" w:rsidRDefault="00D5623F" w:rsidP="00F12985">
            <w:pPr>
              <w:pStyle w:val="ListNumber"/>
              <w:numPr>
                <w:ilvl w:val="0"/>
                <w:numId w:val="0"/>
              </w:numPr>
              <w:rPr>
                <w:b/>
              </w:rPr>
            </w:pPr>
            <w:r w:rsidRPr="001611AE">
              <w:rPr>
                <w:b/>
              </w:rPr>
              <w:t>Recommendation</w:t>
            </w:r>
          </w:p>
        </w:tc>
        <w:tc>
          <w:tcPr>
            <w:tcW w:w="3322" w:type="dxa"/>
            <w:shd w:val="clear" w:color="auto" w:fill="DBE5F1" w:themeFill="accent1" w:themeFillTint="33"/>
          </w:tcPr>
          <w:p w:rsidR="00D5623F" w:rsidRPr="001611AE" w:rsidRDefault="00D5623F" w:rsidP="00F12985">
            <w:pPr>
              <w:pStyle w:val="ListNumber"/>
              <w:numPr>
                <w:ilvl w:val="0"/>
                <w:numId w:val="0"/>
              </w:numPr>
              <w:rPr>
                <w:b/>
              </w:rPr>
            </w:pPr>
            <w:r w:rsidRPr="001611AE">
              <w:rPr>
                <w:b/>
              </w:rPr>
              <w:t>Cross reference to relevant document</w:t>
            </w:r>
          </w:p>
        </w:tc>
      </w:tr>
      <w:tr w:rsidR="00D5623F" w:rsidTr="001611AE">
        <w:tc>
          <w:tcPr>
            <w:tcW w:w="388" w:type="dxa"/>
          </w:tcPr>
          <w:p w:rsidR="00D5623F" w:rsidRDefault="00D5623F" w:rsidP="00817CDC">
            <w:pPr>
              <w:pStyle w:val="ListNumber"/>
              <w:numPr>
                <w:ilvl w:val="0"/>
                <w:numId w:val="32"/>
              </w:numPr>
              <w:ind w:left="277" w:hanging="283"/>
              <w:rPr>
                <w:sz w:val="22"/>
                <w:szCs w:val="22"/>
              </w:rPr>
            </w:pPr>
          </w:p>
        </w:tc>
        <w:tc>
          <w:tcPr>
            <w:tcW w:w="5100" w:type="dxa"/>
          </w:tcPr>
          <w:p w:rsidR="00D5623F" w:rsidRDefault="00D5623F" w:rsidP="00923621">
            <w:pPr>
              <w:pStyle w:val="ListNumber"/>
              <w:numPr>
                <w:ilvl w:val="0"/>
                <w:numId w:val="0"/>
              </w:numPr>
              <w:rPr>
                <w:sz w:val="22"/>
                <w:szCs w:val="22"/>
              </w:rPr>
            </w:pPr>
            <w:r w:rsidRPr="006A54EB">
              <w:rPr>
                <w:sz w:val="22"/>
                <w:szCs w:val="22"/>
              </w:rPr>
              <w:t xml:space="preserve">Provide </w:t>
            </w:r>
            <w:r w:rsidR="00923621">
              <w:rPr>
                <w:sz w:val="22"/>
                <w:szCs w:val="22"/>
              </w:rPr>
              <w:t>P</w:t>
            </w:r>
            <w:r w:rsidRPr="006A54EB">
              <w:rPr>
                <w:sz w:val="22"/>
                <w:szCs w:val="22"/>
              </w:rPr>
              <w:t xml:space="preserve">rivacy </w:t>
            </w:r>
            <w:r w:rsidR="00923621">
              <w:rPr>
                <w:sz w:val="22"/>
                <w:szCs w:val="22"/>
              </w:rPr>
              <w:t>Statement and N</w:t>
            </w:r>
            <w:r w:rsidRPr="006A54EB">
              <w:rPr>
                <w:sz w:val="22"/>
                <w:szCs w:val="22"/>
              </w:rPr>
              <w:t xml:space="preserve">otice for the information of individuals of interest to </w:t>
            </w:r>
            <w:proofErr w:type="spellStart"/>
            <w:r w:rsidR="001D735F">
              <w:rPr>
                <w:sz w:val="22"/>
                <w:szCs w:val="22"/>
              </w:rPr>
              <w:t>BloodSTAR</w:t>
            </w:r>
            <w:proofErr w:type="spellEnd"/>
            <w:r w:rsidRPr="006A54EB">
              <w:rPr>
                <w:sz w:val="22"/>
                <w:szCs w:val="22"/>
              </w:rPr>
              <w:t xml:space="preserve"> and </w:t>
            </w:r>
            <w:r w:rsidR="00923621">
              <w:rPr>
                <w:sz w:val="22"/>
                <w:szCs w:val="22"/>
              </w:rPr>
              <w:t xml:space="preserve">make it </w:t>
            </w:r>
            <w:r w:rsidRPr="006A54EB">
              <w:rPr>
                <w:sz w:val="22"/>
                <w:szCs w:val="22"/>
              </w:rPr>
              <w:t>available to the general public on NBAs website.</w:t>
            </w:r>
          </w:p>
        </w:tc>
        <w:tc>
          <w:tcPr>
            <w:tcW w:w="3322" w:type="dxa"/>
          </w:tcPr>
          <w:p w:rsidR="00D5623F" w:rsidRDefault="00190FE4">
            <w:pPr>
              <w:pStyle w:val="ListNumber"/>
              <w:numPr>
                <w:ilvl w:val="0"/>
                <w:numId w:val="0"/>
              </w:numPr>
              <w:rPr>
                <w:sz w:val="22"/>
                <w:szCs w:val="22"/>
              </w:rPr>
            </w:pPr>
            <w:r>
              <w:fldChar w:fldCharType="begin"/>
            </w:r>
            <w:r>
              <w:instrText xml:space="preserve"> REF _Ref413165207 \h </w:instrText>
            </w:r>
            <w:r>
              <w:fldChar w:fldCharType="separate"/>
            </w:r>
            <w:r w:rsidR="00681A20" w:rsidRPr="008A6A29">
              <w:t xml:space="preserve">Attachment A </w:t>
            </w:r>
            <w:r w:rsidR="00681A20">
              <w:t>–</w:t>
            </w:r>
            <w:r w:rsidR="00681A20" w:rsidRPr="008A6A29">
              <w:t xml:space="preserve"> Privacy </w:t>
            </w:r>
            <w:r w:rsidR="00681A20">
              <w:t xml:space="preserve">Statement and </w:t>
            </w:r>
            <w:r w:rsidR="00681A20" w:rsidRPr="008A6A29">
              <w:t>Notice</w:t>
            </w:r>
            <w:r>
              <w:fldChar w:fldCharType="end"/>
            </w:r>
          </w:p>
        </w:tc>
      </w:tr>
      <w:tr w:rsidR="00D5623F" w:rsidTr="001611AE">
        <w:tc>
          <w:tcPr>
            <w:tcW w:w="388" w:type="dxa"/>
          </w:tcPr>
          <w:p w:rsidR="00D5623F" w:rsidRDefault="00D5623F" w:rsidP="00817CDC">
            <w:pPr>
              <w:pStyle w:val="ListNumber"/>
              <w:numPr>
                <w:ilvl w:val="0"/>
                <w:numId w:val="32"/>
              </w:numPr>
              <w:ind w:left="277" w:hanging="283"/>
              <w:rPr>
                <w:sz w:val="22"/>
                <w:szCs w:val="22"/>
              </w:rPr>
            </w:pPr>
          </w:p>
        </w:tc>
        <w:tc>
          <w:tcPr>
            <w:tcW w:w="5100" w:type="dxa"/>
          </w:tcPr>
          <w:p w:rsidR="00D5623F" w:rsidRDefault="00D5623F">
            <w:pPr>
              <w:pStyle w:val="ListNumber"/>
              <w:numPr>
                <w:ilvl w:val="0"/>
                <w:numId w:val="0"/>
              </w:numPr>
              <w:rPr>
                <w:sz w:val="22"/>
                <w:szCs w:val="22"/>
              </w:rPr>
            </w:pPr>
            <w:r w:rsidRPr="006A54EB">
              <w:rPr>
                <w:sz w:val="22"/>
                <w:szCs w:val="22"/>
              </w:rPr>
              <w:t>Develop a privacy consent form for recording explicit written or oral consent and make available to the general public on NBAs website.</w:t>
            </w:r>
          </w:p>
        </w:tc>
        <w:tc>
          <w:tcPr>
            <w:tcW w:w="3322" w:type="dxa"/>
          </w:tcPr>
          <w:p w:rsidR="00D5623F" w:rsidRDefault="00190FE4" w:rsidP="00F12985">
            <w:pPr>
              <w:pStyle w:val="ListNumber"/>
              <w:numPr>
                <w:ilvl w:val="0"/>
                <w:numId w:val="0"/>
              </w:numPr>
            </w:pPr>
            <w:r>
              <w:fldChar w:fldCharType="begin"/>
            </w:r>
            <w:r>
              <w:instrText xml:space="preserve"> REF _Ref413165230 \h </w:instrText>
            </w:r>
            <w:r>
              <w:fldChar w:fldCharType="separate"/>
            </w:r>
            <w:r w:rsidR="007C3A85">
              <w:t>Attachment B – Privacy consent form</w:t>
            </w:r>
            <w:r>
              <w:fldChar w:fldCharType="end"/>
            </w:r>
          </w:p>
        </w:tc>
      </w:tr>
      <w:tr w:rsidR="00D5623F" w:rsidTr="001611AE">
        <w:tc>
          <w:tcPr>
            <w:tcW w:w="388" w:type="dxa"/>
          </w:tcPr>
          <w:p w:rsidR="00D5623F" w:rsidRDefault="00D5623F" w:rsidP="00817CDC">
            <w:pPr>
              <w:pStyle w:val="ListNumber"/>
              <w:numPr>
                <w:ilvl w:val="0"/>
                <w:numId w:val="32"/>
              </w:numPr>
              <w:ind w:left="277" w:hanging="283"/>
              <w:rPr>
                <w:sz w:val="22"/>
                <w:szCs w:val="22"/>
              </w:rPr>
            </w:pPr>
          </w:p>
        </w:tc>
        <w:tc>
          <w:tcPr>
            <w:tcW w:w="5100" w:type="dxa"/>
          </w:tcPr>
          <w:p w:rsidR="00D5623F" w:rsidRDefault="00D5623F">
            <w:pPr>
              <w:pStyle w:val="ListNumber"/>
              <w:numPr>
                <w:ilvl w:val="0"/>
                <w:numId w:val="0"/>
              </w:numPr>
              <w:rPr>
                <w:sz w:val="22"/>
                <w:szCs w:val="22"/>
              </w:rPr>
            </w:pPr>
            <w:r w:rsidRPr="006A54EB">
              <w:rPr>
                <w:sz w:val="22"/>
                <w:szCs w:val="22"/>
              </w:rPr>
              <w:t xml:space="preserve">Ensure consent is obtained from the individuals of interest to </w:t>
            </w:r>
            <w:proofErr w:type="spellStart"/>
            <w:r w:rsidR="001D735F">
              <w:rPr>
                <w:sz w:val="22"/>
                <w:szCs w:val="22"/>
              </w:rPr>
              <w:t>BloodSTAR</w:t>
            </w:r>
            <w:proofErr w:type="spellEnd"/>
            <w:r w:rsidRPr="006A54EB">
              <w:rPr>
                <w:sz w:val="22"/>
                <w:szCs w:val="22"/>
              </w:rPr>
              <w:t>, and record their consent status in the system.</w:t>
            </w:r>
          </w:p>
        </w:tc>
        <w:tc>
          <w:tcPr>
            <w:tcW w:w="3322" w:type="dxa"/>
          </w:tcPr>
          <w:p w:rsidR="00D5623F" w:rsidRDefault="00E16D64" w:rsidP="00F12985">
            <w:pPr>
              <w:pStyle w:val="ListNumber"/>
              <w:numPr>
                <w:ilvl w:val="0"/>
                <w:numId w:val="0"/>
              </w:numPr>
            </w:pPr>
            <w:r>
              <w:t>System control.</w:t>
            </w:r>
          </w:p>
        </w:tc>
      </w:tr>
      <w:tr w:rsidR="00D5623F" w:rsidTr="001611AE">
        <w:tc>
          <w:tcPr>
            <w:tcW w:w="388" w:type="dxa"/>
          </w:tcPr>
          <w:p w:rsidR="00D5623F" w:rsidRDefault="00D5623F" w:rsidP="00817CDC">
            <w:pPr>
              <w:pStyle w:val="ListNumber"/>
              <w:numPr>
                <w:ilvl w:val="0"/>
                <w:numId w:val="32"/>
              </w:numPr>
              <w:ind w:left="277" w:hanging="283"/>
              <w:rPr>
                <w:sz w:val="22"/>
                <w:szCs w:val="22"/>
              </w:rPr>
            </w:pPr>
          </w:p>
        </w:tc>
        <w:tc>
          <w:tcPr>
            <w:tcW w:w="5100" w:type="dxa"/>
          </w:tcPr>
          <w:p w:rsidR="00D5623F" w:rsidRDefault="00D5623F">
            <w:pPr>
              <w:pStyle w:val="ListNumber"/>
              <w:numPr>
                <w:ilvl w:val="0"/>
                <w:numId w:val="0"/>
              </w:numPr>
              <w:rPr>
                <w:sz w:val="22"/>
                <w:szCs w:val="22"/>
              </w:rPr>
            </w:pPr>
            <w:r w:rsidRPr="006A54EB">
              <w:rPr>
                <w:sz w:val="22"/>
                <w:szCs w:val="22"/>
              </w:rPr>
              <w:t>Develop and publish NBA Privacy Policy.</w:t>
            </w:r>
          </w:p>
        </w:tc>
        <w:tc>
          <w:tcPr>
            <w:tcW w:w="3322" w:type="dxa"/>
          </w:tcPr>
          <w:p w:rsidR="00D5623F" w:rsidRDefault="00FD40F1" w:rsidP="00F12985">
            <w:pPr>
              <w:pStyle w:val="ListNumber"/>
              <w:numPr>
                <w:ilvl w:val="0"/>
                <w:numId w:val="0"/>
              </w:numPr>
            </w:pPr>
            <w:hyperlink r:id="rId21" w:history="1">
              <w:r w:rsidR="00190FE4" w:rsidRPr="00AD23AA">
                <w:rPr>
                  <w:rStyle w:val="Hyperlink"/>
                </w:rPr>
                <w:t>http://www.blood.gov.au/system/files/documents/nba-privacy-policy_0.pdf</w:t>
              </w:r>
            </w:hyperlink>
            <w:r w:rsidR="00190FE4">
              <w:t xml:space="preserve"> </w:t>
            </w:r>
          </w:p>
        </w:tc>
      </w:tr>
      <w:tr w:rsidR="00D5623F" w:rsidTr="001611AE">
        <w:tc>
          <w:tcPr>
            <w:tcW w:w="388" w:type="dxa"/>
          </w:tcPr>
          <w:p w:rsidR="00D5623F" w:rsidRDefault="00D5623F" w:rsidP="00817CDC">
            <w:pPr>
              <w:pStyle w:val="ListNumber"/>
              <w:numPr>
                <w:ilvl w:val="0"/>
                <w:numId w:val="32"/>
              </w:numPr>
              <w:ind w:left="277" w:hanging="283"/>
              <w:rPr>
                <w:sz w:val="22"/>
                <w:szCs w:val="22"/>
              </w:rPr>
            </w:pPr>
          </w:p>
        </w:tc>
        <w:tc>
          <w:tcPr>
            <w:tcW w:w="5100" w:type="dxa"/>
          </w:tcPr>
          <w:p w:rsidR="00D5623F" w:rsidRDefault="00D5623F">
            <w:pPr>
              <w:pStyle w:val="ListNumber"/>
              <w:numPr>
                <w:ilvl w:val="0"/>
                <w:numId w:val="0"/>
              </w:numPr>
              <w:rPr>
                <w:sz w:val="22"/>
                <w:szCs w:val="22"/>
              </w:rPr>
            </w:pPr>
            <w:r w:rsidRPr="006A54EB">
              <w:rPr>
                <w:sz w:val="22"/>
                <w:szCs w:val="22"/>
              </w:rPr>
              <w:t xml:space="preserve">Develop information for patients to explain why pseudonymous and anonymous options are impracticable. </w:t>
            </w:r>
          </w:p>
        </w:tc>
        <w:tc>
          <w:tcPr>
            <w:tcW w:w="3322" w:type="dxa"/>
          </w:tcPr>
          <w:p w:rsidR="00D5623F" w:rsidRDefault="00190FE4" w:rsidP="00F12985">
            <w:pPr>
              <w:pStyle w:val="ListNumber"/>
              <w:numPr>
                <w:ilvl w:val="0"/>
                <w:numId w:val="0"/>
              </w:numPr>
            </w:pPr>
            <w:r>
              <w:fldChar w:fldCharType="begin"/>
            </w:r>
            <w:r>
              <w:instrText xml:space="preserve"> REF _Ref413165326 \h </w:instrText>
            </w:r>
            <w:r>
              <w:fldChar w:fldCharType="separate"/>
            </w:r>
            <w:r w:rsidR="00681A20" w:rsidRPr="008A6A29">
              <w:t xml:space="preserve">Attachment A </w:t>
            </w:r>
            <w:r w:rsidR="00681A20">
              <w:t>–</w:t>
            </w:r>
            <w:r w:rsidR="00681A20" w:rsidRPr="008A6A29">
              <w:t xml:space="preserve"> Privacy </w:t>
            </w:r>
            <w:r w:rsidR="00681A20">
              <w:t xml:space="preserve">Statement and </w:t>
            </w:r>
            <w:r w:rsidR="00681A20" w:rsidRPr="008A6A29">
              <w:t>Notice</w:t>
            </w:r>
            <w:r>
              <w:fldChar w:fldCharType="end"/>
            </w:r>
          </w:p>
        </w:tc>
      </w:tr>
      <w:tr w:rsidR="00D5623F" w:rsidTr="001611AE">
        <w:tc>
          <w:tcPr>
            <w:tcW w:w="388" w:type="dxa"/>
          </w:tcPr>
          <w:p w:rsidR="00D5623F" w:rsidRDefault="00D5623F" w:rsidP="00817CDC">
            <w:pPr>
              <w:pStyle w:val="ListNumber"/>
              <w:numPr>
                <w:ilvl w:val="0"/>
                <w:numId w:val="32"/>
              </w:numPr>
              <w:ind w:left="277" w:hanging="283"/>
              <w:rPr>
                <w:sz w:val="22"/>
                <w:szCs w:val="22"/>
              </w:rPr>
            </w:pPr>
          </w:p>
        </w:tc>
        <w:tc>
          <w:tcPr>
            <w:tcW w:w="5100" w:type="dxa"/>
          </w:tcPr>
          <w:p w:rsidR="00D5623F" w:rsidRDefault="00D5623F">
            <w:pPr>
              <w:pStyle w:val="ListNumber"/>
              <w:numPr>
                <w:ilvl w:val="0"/>
                <w:numId w:val="0"/>
              </w:numPr>
              <w:rPr>
                <w:sz w:val="22"/>
                <w:szCs w:val="22"/>
              </w:rPr>
            </w:pPr>
            <w:r w:rsidRPr="006A54EB">
              <w:rPr>
                <w:sz w:val="22"/>
                <w:szCs w:val="22"/>
              </w:rPr>
              <w:t xml:space="preserve">The search requirements when searching nationally or beyond a user’s usual search scope will include at </w:t>
            </w:r>
            <w:r w:rsidRPr="006A54EB">
              <w:rPr>
                <w:sz w:val="22"/>
                <w:szCs w:val="22"/>
              </w:rPr>
              <w:lastRenderedPageBreak/>
              <w:t>least two points of identification for an individual i.e. name and date of birth or hospital identifier, to reduce the return results for a national search and minimise the privacy impact on individuals.</w:t>
            </w:r>
          </w:p>
        </w:tc>
        <w:tc>
          <w:tcPr>
            <w:tcW w:w="3322" w:type="dxa"/>
          </w:tcPr>
          <w:p w:rsidR="00D5623F" w:rsidRDefault="00E16D64" w:rsidP="00F12985">
            <w:pPr>
              <w:pStyle w:val="ListNumber"/>
              <w:numPr>
                <w:ilvl w:val="0"/>
                <w:numId w:val="0"/>
              </w:numPr>
            </w:pPr>
            <w:r>
              <w:lastRenderedPageBreak/>
              <w:t>System control.</w:t>
            </w:r>
          </w:p>
        </w:tc>
      </w:tr>
      <w:tr w:rsidR="00D5623F" w:rsidTr="001611AE">
        <w:tc>
          <w:tcPr>
            <w:tcW w:w="388" w:type="dxa"/>
          </w:tcPr>
          <w:p w:rsidR="00D5623F" w:rsidRDefault="00D5623F" w:rsidP="00817CDC">
            <w:pPr>
              <w:pStyle w:val="ListNumber"/>
              <w:numPr>
                <w:ilvl w:val="0"/>
                <w:numId w:val="32"/>
              </w:numPr>
              <w:ind w:left="277" w:hanging="283"/>
              <w:rPr>
                <w:sz w:val="22"/>
                <w:szCs w:val="22"/>
              </w:rPr>
            </w:pPr>
          </w:p>
        </w:tc>
        <w:tc>
          <w:tcPr>
            <w:tcW w:w="5100" w:type="dxa"/>
          </w:tcPr>
          <w:p w:rsidR="00D5623F" w:rsidRDefault="00D5623F">
            <w:pPr>
              <w:pStyle w:val="ListNumber"/>
              <w:numPr>
                <w:ilvl w:val="0"/>
                <w:numId w:val="0"/>
              </w:numPr>
              <w:rPr>
                <w:sz w:val="22"/>
                <w:szCs w:val="22"/>
              </w:rPr>
            </w:pPr>
            <w:r w:rsidRPr="006A54EB">
              <w:rPr>
                <w:sz w:val="22"/>
                <w:szCs w:val="22"/>
              </w:rPr>
              <w:t xml:space="preserve">Develop guidance to </w:t>
            </w:r>
            <w:r w:rsidR="00F868B6" w:rsidRPr="00F868B6">
              <w:rPr>
                <w:rFonts w:asciiTheme="minorHAnsi" w:eastAsia="Times New Roman" w:hAnsiTheme="minorHAnsi"/>
                <w:lang w:val="en-GB" w:eastAsia="en-AU"/>
              </w:rPr>
              <w:t xml:space="preserve">clinicians </w:t>
            </w:r>
            <w:r w:rsidRPr="006A54EB">
              <w:rPr>
                <w:sz w:val="22"/>
                <w:szCs w:val="22"/>
              </w:rPr>
              <w:t>and Authorisers to reduce the risk of collecting unsolicited personal or sensitive information.</w:t>
            </w:r>
          </w:p>
        </w:tc>
        <w:tc>
          <w:tcPr>
            <w:tcW w:w="3322" w:type="dxa"/>
          </w:tcPr>
          <w:p w:rsidR="00D5623F" w:rsidRDefault="00F868B6" w:rsidP="00F12985">
            <w:pPr>
              <w:pStyle w:val="ListNumber"/>
              <w:numPr>
                <w:ilvl w:val="0"/>
                <w:numId w:val="0"/>
              </w:numPr>
            </w:pPr>
            <w:r>
              <w:t>Will be provided as part of the training material and user manual.</w:t>
            </w:r>
          </w:p>
        </w:tc>
      </w:tr>
      <w:tr w:rsidR="00D5623F" w:rsidTr="001611AE">
        <w:tc>
          <w:tcPr>
            <w:tcW w:w="388" w:type="dxa"/>
          </w:tcPr>
          <w:p w:rsidR="00D5623F" w:rsidRDefault="00D5623F" w:rsidP="00817CDC">
            <w:pPr>
              <w:pStyle w:val="ListNumber"/>
              <w:numPr>
                <w:ilvl w:val="0"/>
                <w:numId w:val="32"/>
              </w:numPr>
              <w:ind w:left="277" w:hanging="283"/>
              <w:rPr>
                <w:sz w:val="22"/>
                <w:szCs w:val="22"/>
              </w:rPr>
            </w:pPr>
          </w:p>
        </w:tc>
        <w:tc>
          <w:tcPr>
            <w:tcW w:w="5100" w:type="dxa"/>
          </w:tcPr>
          <w:p w:rsidR="00D5623F" w:rsidRDefault="00D5623F">
            <w:pPr>
              <w:pStyle w:val="ListNumber"/>
              <w:numPr>
                <w:ilvl w:val="0"/>
                <w:numId w:val="0"/>
              </w:numPr>
              <w:rPr>
                <w:sz w:val="22"/>
                <w:szCs w:val="22"/>
              </w:rPr>
            </w:pPr>
            <w:r w:rsidRPr="006A54EB">
              <w:rPr>
                <w:sz w:val="22"/>
                <w:szCs w:val="22"/>
              </w:rPr>
              <w:t xml:space="preserve">User terms and conditions must require users to correct errors and maintain accuracy of records.  </w:t>
            </w:r>
          </w:p>
        </w:tc>
        <w:tc>
          <w:tcPr>
            <w:tcW w:w="3322" w:type="dxa"/>
          </w:tcPr>
          <w:p w:rsidR="00D5623F" w:rsidRDefault="00190FE4" w:rsidP="00F12985">
            <w:pPr>
              <w:pStyle w:val="ListNumber"/>
              <w:numPr>
                <w:ilvl w:val="0"/>
                <w:numId w:val="0"/>
              </w:numPr>
            </w:pPr>
            <w:r>
              <w:fldChar w:fldCharType="begin"/>
            </w:r>
            <w:r>
              <w:instrText xml:space="preserve"> REF _Ref413165365 \h </w:instrText>
            </w:r>
            <w:r>
              <w:fldChar w:fldCharType="separate"/>
            </w:r>
            <w:r w:rsidR="007C3A85">
              <w:t>Attachment C - User Terms and Conditions</w:t>
            </w:r>
            <w:r>
              <w:fldChar w:fldCharType="end"/>
            </w:r>
          </w:p>
        </w:tc>
      </w:tr>
      <w:tr w:rsidR="00D5623F" w:rsidTr="001611AE">
        <w:tc>
          <w:tcPr>
            <w:tcW w:w="388" w:type="dxa"/>
          </w:tcPr>
          <w:p w:rsidR="00D5623F" w:rsidRDefault="00D5623F" w:rsidP="00817CDC">
            <w:pPr>
              <w:pStyle w:val="ListNumber"/>
              <w:numPr>
                <w:ilvl w:val="0"/>
                <w:numId w:val="32"/>
              </w:numPr>
              <w:ind w:left="277" w:hanging="283"/>
              <w:rPr>
                <w:sz w:val="22"/>
                <w:szCs w:val="22"/>
              </w:rPr>
            </w:pPr>
          </w:p>
        </w:tc>
        <w:tc>
          <w:tcPr>
            <w:tcW w:w="5100" w:type="dxa"/>
          </w:tcPr>
          <w:p w:rsidR="00D5623F" w:rsidRDefault="00D5623F">
            <w:pPr>
              <w:pStyle w:val="ListNumber"/>
              <w:numPr>
                <w:ilvl w:val="0"/>
                <w:numId w:val="0"/>
              </w:numPr>
              <w:rPr>
                <w:sz w:val="22"/>
                <w:szCs w:val="22"/>
              </w:rPr>
            </w:pPr>
            <w:r w:rsidRPr="006A54EB">
              <w:rPr>
                <w:sz w:val="22"/>
                <w:szCs w:val="22"/>
              </w:rPr>
              <w:t xml:space="preserve">Users in the hospital setting must have access to system functions to correct records when errors are detected. </w:t>
            </w:r>
          </w:p>
        </w:tc>
        <w:tc>
          <w:tcPr>
            <w:tcW w:w="3322" w:type="dxa"/>
          </w:tcPr>
          <w:p w:rsidR="00D5623F" w:rsidRDefault="00E16D64" w:rsidP="00F12985">
            <w:pPr>
              <w:pStyle w:val="ListNumber"/>
              <w:numPr>
                <w:ilvl w:val="0"/>
                <w:numId w:val="0"/>
              </w:numPr>
            </w:pPr>
            <w:r>
              <w:t>System control.</w:t>
            </w:r>
          </w:p>
        </w:tc>
      </w:tr>
      <w:tr w:rsidR="00D5623F" w:rsidTr="001611AE">
        <w:tc>
          <w:tcPr>
            <w:tcW w:w="388" w:type="dxa"/>
          </w:tcPr>
          <w:p w:rsidR="00D5623F" w:rsidRDefault="00D5623F" w:rsidP="00817CDC">
            <w:pPr>
              <w:pStyle w:val="ListNumber"/>
              <w:numPr>
                <w:ilvl w:val="0"/>
                <w:numId w:val="32"/>
              </w:numPr>
              <w:ind w:left="277" w:hanging="283"/>
              <w:rPr>
                <w:sz w:val="22"/>
                <w:szCs w:val="22"/>
              </w:rPr>
            </w:pPr>
          </w:p>
        </w:tc>
        <w:tc>
          <w:tcPr>
            <w:tcW w:w="5100" w:type="dxa"/>
          </w:tcPr>
          <w:p w:rsidR="00D5623F" w:rsidRDefault="00D5623F" w:rsidP="00681A20">
            <w:pPr>
              <w:pStyle w:val="ListNumber"/>
              <w:numPr>
                <w:ilvl w:val="0"/>
                <w:numId w:val="0"/>
              </w:numPr>
              <w:rPr>
                <w:sz w:val="22"/>
                <w:szCs w:val="22"/>
              </w:rPr>
            </w:pPr>
            <w:r w:rsidRPr="006A54EB">
              <w:rPr>
                <w:sz w:val="22"/>
                <w:szCs w:val="22"/>
              </w:rPr>
              <w:t xml:space="preserve">Patients must be advised through the </w:t>
            </w:r>
            <w:proofErr w:type="gramStart"/>
            <w:r w:rsidR="00681A20">
              <w:rPr>
                <w:sz w:val="22"/>
                <w:szCs w:val="22"/>
              </w:rPr>
              <w:t>P</w:t>
            </w:r>
            <w:r w:rsidRPr="006A54EB">
              <w:rPr>
                <w:sz w:val="22"/>
                <w:szCs w:val="22"/>
              </w:rPr>
              <w:t xml:space="preserve">rivacy </w:t>
            </w:r>
            <w:r w:rsidR="00681A20">
              <w:rPr>
                <w:sz w:val="22"/>
                <w:szCs w:val="22"/>
              </w:rPr>
              <w:t xml:space="preserve"> Statement</w:t>
            </w:r>
            <w:proofErr w:type="gramEnd"/>
            <w:r w:rsidR="00681A20">
              <w:rPr>
                <w:sz w:val="22"/>
                <w:szCs w:val="22"/>
              </w:rPr>
              <w:t xml:space="preserve"> and N</w:t>
            </w:r>
            <w:r w:rsidRPr="006A54EB">
              <w:rPr>
                <w:sz w:val="22"/>
                <w:szCs w:val="22"/>
              </w:rPr>
              <w:t>otice of their right to access and correct details about them.</w:t>
            </w:r>
          </w:p>
        </w:tc>
        <w:tc>
          <w:tcPr>
            <w:tcW w:w="3322" w:type="dxa"/>
          </w:tcPr>
          <w:p w:rsidR="00D5623F" w:rsidRDefault="00190FE4" w:rsidP="00F12985">
            <w:pPr>
              <w:pStyle w:val="ListNumber"/>
              <w:numPr>
                <w:ilvl w:val="0"/>
                <w:numId w:val="0"/>
              </w:numPr>
            </w:pPr>
            <w:r>
              <w:fldChar w:fldCharType="begin"/>
            </w:r>
            <w:r>
              <w:instrText xml:space="preserve"> REF _Ref413165377 \h </w:instrText>
            </w:r>
            <w:r>
              <w:fldChar w:fldCharType="separate"/>
            </w:r>
            <w:r w:rsidR="00681A20" w:rsidRPr="008A6A29">
              <w:t xml:space="preserve">Attachment A </w:t>
            </w:r>
            <w:r w:rsidR="00681A20">
              <w:t>–</w:t>
            </w:r>
            <w:r w:rsidR="00681A20" w:rsidRPr="008A6A29">
              <w:t xml:space="preserve"> Privacy </w:t>
            </w:r>
            <w:r w:rsidR="00681A20">
              <w:t xml:space="preserve">Statement and </w:t>
            </w:r>
            <w:r w:rsidR="00681A20" w:rsidRPr="008A6A29">
              <w:t>Notice</w:t>
            </w:r>
            <w:r>
              <w:fldChar w:fldCharType="end"/>
            </w:r>
          </w:p>
        </w:tc>
      </w:tr>
      <w:tr w:rsidR="00D5623F" w:rsidTr="001611AE">
        <w:tc>
          <w:tcPr>
            <w:tcW w:w="388" w:type="dxa"/>
          </w:tcPr>
          <w:p w:rsidR="00D5623F" w:rsidRDefault="00D5623F" w:rsidP="00817CDC">
            <w:pPr>
              <w:pStyle w:val="ListNumber"/>
              <w:numPr>
                <w:ilvl w:val="0"/>
                <w:numId w:val="32"/>
              </w:numPr>
              <w:ind w:left="277" w:hanging="283"/>
              <w:rPr>
                <w:sz w:val="22"/>
                <w:szCs w:val="22"/>
              </w:rPr>
            </w:pPr>
          </w:p>
        </w:tc>
        <w:tc>
          <w:tcPr>
            <w:tcW w:w="5100" w:type="dxa"/>
          </w:tcPr>
          <w:p w:rsidR="00D5623F" w:rsidRDefault="00D5623F" w:rsidP="008321AF">
            <w:pPr>
              <w:pStyle w:val="ListNumber"/>
              <w:numPr>
                <w:ilvl w:val="0"/>
                <w:numId w:val="0"/>
              </w:numPr>
              <w:rPr>
                <w:sz w:val="22"/>
                <w:szCs w:val="22"/>
              </w:rPr>
            </w:pPr>
            <w:r w:rsidRPr="006A54EB">
              <w:rPr>
                <w:sz w:val="22"/>
                <w:szCs w:val="22"/>
              </w:rPr>
              <w:t xml:space="preserve">Controls must be in place to authenticate users using unique user names and passwords for appropriate roles in the </w:t>
            </w:r>
            <w:r w:rsidR="008321AF">
              <w:rPr>
                <w:sz w:val="22"/>
                <w:szCs w:val="22"/>
              </w:rPr>
              <w:t>treatment of patients</w:t>
            </w:r>
            <w:r w:rsidRPr="006A54EB">
              <w:rPr>
                <w:sz w:val="22"/>
                <w:szCs w:val="22"/>
              </w:rPr>
              <w:t>.</w:t>
            </w:r>
          </w:p>
        </w:tc>
        <w:tc>
          <w:tcPr>
            <w:tcW w:w="3322" w:type="dxa"/>
          </w:tcPr>
          <w:p w:rsidR="00D5623F" w:rsidRDefault="00E16D64" w:rsidP="00F12985">
            <w:pPr>
              <w:pStyle w:val="ListNumber"/>
              <w:numPr>
                <w:ilvl w:val="0"/>
                <w:numId w:val="0"/>
              </w:numPr>
            </w:pPr>
            <w:r>
              <w:t>System control.</w:t>
            </w:r>
          </w:p>
        </w:tc>
      </w:tr>
    </w:tbl>
    <w:p w:rsidR="00D5623F" w:rsidRDefault="00D5623F" w:rsidP="00F12985">
      <w:pPr>
        <w:pStyle w:val="ListNumber"/>
        <w:numPr>
          <w:ilvl w:val="0"/>
          <w:numId w:val="0"/>
        </w:numPr>
        <w:ind w:left="432" w:hanging="432"/>
      </w:pPr>
    </w:p>
    <w:p w:rsidR="00190FE4" w:rsidRDefault="00190FE4" w:rsidP="000D3603">
      <w:pPr>
        <w:sectPr w:rsidR="00190FE4" w:rsidSect="0087042C">
          <w:pgSz w:w="11906" w:h="16838"/>
          <w:pgMar w:top="1440" w:right="1440" w:bottom="1440" w:left="1440" w:header="708" w:footer="708" w:gutter="0"/>
          <w:cols w:space="708"/>
          <w:titlePg/>
          <w:docGrid w:linePitch="360"/>
        </w:sectPr>
      </w:pPr>
    </w:p>
    <w:p w:rsidR="00215333" w:rsidRDefault="00215333" w:rsidP="000D3603">
      <w:pPr>
        <w:rPr>
          <w:lang w:eastAsia="en-AU"/>
        </w:rPr>
      </w:pPr>
    </w:p>
    <w:p w:rsidR="00215333" w:rsidRPr="00323364" w:rsidRDefault="00215333" w:rsidP="008A6A29">
      <w:pPr>
        <w:pStyle w:val="Heading1"/>
      </w:pPr>
      <w:bookmarkStart w:id="64" w:name="_Toc434574653"/>
      <w:r w:rsidRPr="00323364">
        <w:t>Attachment</w:t>
      </w:r>
      <w:r w:rsidR="008A6A29">
        <w:t>s</w:t>
      </w:r>
      <w:bookmarkEnd w:id="64"/>
    </w:p>
    <w:p w:rsidR="00F9319C" w:rsidRDefault="008A6A29" w:rsidP="00F87615">
      <w:pPr>
        <w:pStyle w:val="Heading2"/>
        <w:numPr>
          <w:ilvl w:val="1"/>
          <w:numId w:val="33"/>
        </w:numPr>
      </w:pPr>
      <w:bookmarkStart w:id="65" w:name="_Ref413165198"/>
      <w:bookmarkStart w:id="66" w:name="_Ref413165207"/>
      <w:bookmarkStart w:id="67" w:name="_Ref413165326"/>
      <w:bookmarkStart w:id="68" w:name="_Ref413165377"/>
      <w:bookmarkStart w:id="69" w:name="_Toc434574654"/>
      <w:r w:rsidRPr="008A6A29">
        <w:t xml:space="preserve">Attachment A </w:t>
      </w:r>
      <w:r w:rsidR="00462417">
        <w:t>–</w:t>
      </w:r>
      <w:r w:rsidRPr="008A6A29">
        <w:t xml:space="preserve"> </w:t>
      </w:r>
      <w:r w:rsidR="00215333" w:rsidRPr="008A6A29">
        <w:t xml:space="preserve">Privacy </w:t>
      </w:r>
      <w:r w:rsidR="00923621">
        <w:t xml:space="preserve">Statement and </w:t>
      </w:r>
      <w:r w:rsidR="00215333" w:rsidRPr="008A6A29">
        <w:t>Notice</w:t>
      </w:r>
      <w:bookmarkEnd w:id="65"/>
      <w:bookmarkEnd w:id="66"/>
      <w:bookmarkEnd w:id="67"/>
      <w:bookmarkEnd w:id="68"/>
      <w:bookmarkEnd w:id="69"/>
      <w:r w:rsidR="004600E6">
        <w:t xml:space="preserve"> </w:t>
      </w:r>
      <w:bookmarkStart w:id="70" w:name="_Ref413165230"/>
      <w:bookmarkStart w:id="71" w:name="_Toc405284957"/>
    </w:p>
    <w:p w:rsidR="004600E6" w:rsidRDefault="004600E6" w:rsidP="00F87615">
      <w:proofErr w:type="spellStart"/>
      <w:r w:rsidRPr="00DE4215">
        <w:t>BloodSTAR</w:t>
      </w:r>
      <w:proofErr w:type="spellEnd"/>
      <w:r w:rsidRPr="00DE4215">
        <w:t xml:space="preserve"> Privacy </w:t>
      </w:r>
      <w:r w:rsidR="00923621">
        <w:t>Statement and</w:t>
      </w:r>
      <w:r w:rsidR="00923621" w:rsidRPr="00DE4215">
        <w:t xml:space="preserve"> </w:t>
      </w:r>
      <w:r w:rsidRPr="00DE4215">
        <w:t>Notice</w:t>
      </w:r>
      <w:r>
        <w:t xml:space="preserve"> </w:t>
      </w:r>
    </w:p>
    <w:p w:rsidR="00B55624" w:rsidRDefault="00B55624" w:rsidP="00B55624">
      <w:pPr>
        <w:rPr>
          <w:lang w:eastAsia="en-AU"/>
        </w:rPr>
      </w:pPr>
      <w:r w:rsidRPr="00FB6847">
        <w:rPr>
          <w:lang w:eastAsia="en-AU"/>
        </w:rPr>
        <w:t>This statement explains how the National Blood Authority (NBA) manages personal and sensitive information that it collects about you.</w:t>
      </w:r>
      <w:r>
        <w:rPr>
          <w:lang w:eastAsia="en-AU"/>
        </w:rPr>
        <w:t xml:space="preserve"> </w:t>
      </w:r>
      <w:r w:rsidRPr="00FB6847">
        <w:rPr>
          <w:lang w:eastAsia="en-AU"/>
        </w:rPr>
        <w:t xml:space="preserve">The NBA is </w:t>
      </w:r>
      <w:r>
        <w:rPr>
          <w:lang w:eastAsia="en-AU"/>
        </w:rPr>
        <w:t xml:space="preserve">the Commonwealth </w:t>
      </w:r>
      <w:r w:rsidRPr="00FB6847">
        <w:rPr>
          <w:lang w:eastAsia="en-AU"/>
        </w:rPr>
        <w:t>Government agency responsible for the supply of blood and blood products in Australia, including immunoglobulin</w:t>
      </w:r>
      <w:r>
        <w:rPr>
          <w:lang w:eastAsia="en-AU"/>
        </w:rPr>
        <w:t xml:space="preserve"> (Ig)</w:t>
      </w:r>
      <w:r w:rsidRPr="00FB6847">
        <w:rPr>
          <w:lang w:eastAsia="en-AU"/>
        </w:rPr>
        <w:t xml:space="preserve"> products derived from human blood plasma</w:t>
      </w:r>
      <w:r>
        <w:rPr>
          <w:lang w:eastAsia="en-AU"/>
        </w:rPr>
        <w:t>.</w:t>
      </w:r>
    </w:p>
    <w:p w:rsidR="00B55624" w:rsidRPr="00FB6847" w:rsidRDefault="00B55624" w:rsidP="00B55624">
      <w:pPr>
        <w:rPr>
          <w:lang w:eastAsia="en-AU"/>
        </w:rPr>
      </w:pPr>
      <w:r w:rsidRPr="00FB6847">
        <w:rPr>
          <w:lang w:eastAsia="en-AU"/>
        </w:rPr>
        <w:t>The NBA is</w:t>
      </w:r>
      <w:r>
        <w:rPr>
          <w:lang w:eastAsia="en-AU"/>
        </w:rPr>
        <w:t xml:space="preserve"> currently</w:t>
      </w:r>
      <w:r w:rsidRPr="00FB6847">
        <w:rPr>
          <w:lang w:eastAsia="en-AU"/>
        </w:rPr>
        <w:t xml:space="preserve"> developing</w:t>
      </w:r>
      <w:r>
        <w:rPr>
          <w:lang w:eastAsia="en-AU"/>
        </w:rPr>
        <w:t xml:space="preserve"> </w:t>
      </w:r>
      <w:proofErr w:type="spellStart"/>
      <w:r w:rsidRPr="00FB6847">
        <w:rPr>
          <w:lang w:eastAsia="en-AU"/>
        </w:rPr>
        <w:t>BloodSTAR</w:t>
      </w:r>
      <w:proofErr w:type="spellEnd"/>
      <w:r w:rsidRPr="00FB6847">
        <w:rPr>
          <w:lang w:eastAsia="en-AU"/>
        </w:rPr>
        <w:t xml:space="preserve"> (System for Tracking Authorisations and Reviews)</w:t>
      </w:r>
      <w:r w:rsidRPr="00FB6847">
        <w:rPr>
          <w:rFonts w:asciiTheme="minorHAnsi" w:eastAsia="Times New Roman" w:hAnsiTheme="minorHAnsi" w:cs="Arial"/>
          <w:lang w:val="en" w:eastAsia="en-AU"/>
        </w:rPr>
        <w:t xml:space="preserve"> to support the </w:t>
      </w:r>
      <w:r>
        <w:rPr>
          <w:rFonts w:asciiTheme="minorHAnsi" w:eastAsia="Times New Roman" w:hAnsiTheme="minorHAnsi" w:cs="Arial"/>
          <w:lang w:val="en" w:eastAsia="en-AU"/>
        </w:rPr>
        <w:t>“</w:t>
      </w:r>
      <w:hyperlink r:id="rId22" w:history="1">
        <w:r w:rsidRPr="00FF31AC">
          <w:rPr>
            <w:rStyle w:val="Hyperlink"/>
            <w:i/>
          </w:rPr>
          <w:t>Immunoglobulin Governance National Policy: Access to Government Funded Immunoglobulin Products in Australia</w:t>
        </w:r>
      </w:hyperlink>
      <w:r w:rsidRPr="00FF31AC">
        <w:rPr>
          <w:rFonts w:asciiTheme="minorHAnsi" w:eastAsia="Times New Roman" w:hAnsiTheme="minorHAnsi" w:cs="Arial"/>
          <w:lang w:val="en" w:eastAsia="en-AU"/>
        </w:rPr>
        <w:t>.</w:t>
      </w:r>
      <w:r>
        <w:rPr>
          <w:rStyle w:val="FootnoteReference"/>
          <w:rFonts w:asciiTheme="minorHAnsi" w:eastAsia="Times New Roman" w:hAnsiTheme="minorHAnsi" w:cs="Arial"/>
          <w:lang w:val="en" w:eastAsia="en-AU"/>
        </w:rPr>
        <w:footnoteReference w:id="7"/>
      </w:r>
      <w:r>
        <w:rPr>
          <w:rFonts w:asciiTheme="minorHAnsi" w:eastAsia="Times New Roman" w:hAnsiTheme="minorHAnsi" w:cs="Arial"/>
          <w:lang w:val="en" w:eastAsia="en-AU"/>
        </w:rPr>
        <w:t xml:space="preserve">” </w:t>
      </w:r>
      <w:proofErr w:type="spellStart"/>
      <w:r w:rsidRPr="00FB6847">
        <w:rPr>
          <w:lang w:eastAsia="en-AU"/>
        </w:rPr>
        <w:t>BloodSTAR</w:t>
      </w:r>
      <w:proofErr w:type="spellEnd"/>
      <w:r w:rsidRPr="00FB6847">
        <w:rPr>
          <w:lang w:eastAsia="en-AU"/>
        </w:rPr>
        <w:t xml:space="preserve"> will replace the current paper based processes and the Blood Service</w:t>
      </w:r>
      <w:r>
        <w:rPr>
          <w:lang w:eastAsia="en-AU"/>
        </w:rPr>
        <w:t>’s</w:t>
      </w:r>
      <w:r w:rsidRPr="00FB6847">
        <w:rPr>
          <w:lang w:eastAsia="en-AU"/>
        </w:rPr>
        <w:t xml:space="preserve"> </w:t>
      </w:r>
      <w:r>
        <w:rPr>
          <w:lang w:eastAsia="en-AU"/>
        </w:rPr>
        <w:t>information management s</w:t>
      </w:r>
      <w:r w:rsidRPr="00FB6847">
        <w:rPr>
          <w:lang w:eastAsia="en-AU"/>
        </w:rPr>
        <w:t>ystem</w:t>
      </w:r>
      <w:r>
        <w:rPr>
          <w:lang w:eastAsia="en-AU"/>
        </w:rPr>
        <w:t>, and will be rolled out in early 2016.</w:t>
      </w:r>
      <w:r w:rsidRPr="00FB6847">
        <w:rPr>
          <w:lang w:eastAsia="en-AU"/>
        </w:rPr>
        <w:t xml:space="preserve"> </w:t>
      </w:r>
      <w:r>
        <w:rPr>
          <w:lang w:eastAsia="en-AU"/>
        </w:rPr>
        <w:t>I</w:t>
      </w:r>
      <w:r w:rsidRPr="00FB6847">
        <w:rPr>
          <w:lang w:eastAsia="en-AU"/>
        </w:rPr>
        <w:t xml:space="preserve">nformation about patients </w:t>
      </w:r>
      <w:r>
        <w:rPr>
          <w:lang w:eastAsia="en-AU"/>
        </w:rPr>
        <w:t xml:space="preserve">approved to receive government funded immunoglobulin products that is expected to extend beyond 2015 </w:t>
      </w:r>
      <w:r w:rsidRPr="00FB6847">
        <w:rPr>
          <w:lang w:eastAsia="en-AU"/>
        </w:rPr>
        <w:t xml:space="preserve">will need to be recorded in </w:t>
      </w:r>
      <w:proofErr w:type="spellStart"/>
      <w:r w:rsidRPr="00FB6847">
        <w:rPr>
          <w:lang w:eastAsia="en-AU"/>
        </w:rPr>
        <w:t>BloodSTAR</w:t>
      </w:r>
      <w:proofErr w:type="spellEnd"/>
      <w:r w:rsidRPr="00FB6847">
        <w:rPr>
          <w:lang w:eastAsia="en-AU"/>
        </w:rPr>
        <w:t xml:space="preserve"> </w:t>
      </w:r>
      <w:r>
        <w:rPr>
          <w:lang w:eastAsia="en-AU"/>
        </w:rPr>
        <w:t>and cannot be stored</w:t>
      </w:r>
      <w:r w:rsidRPr="00FB6847">
        <w:rPr>
          <w:lang w:eastAsia="en-AU"/>
        </w:rPr>
        <w:t xml:space="preserve"> without your explicit </w:t>
      </w:r>
      <w:r>
        <w:rPr>
          <w:lang w:eastAsia="en-AU"/>
        </w:rPr>
        <w:t>c</w:t>
      </w:r>
      <w:r w:rsidRPr="00FB6847">
        <w:rPr>
          <w:lang w:eastAsia="en-AU"/>
        </w:rPr>
        <w:t>onsent.</w:t>
      </w:r>
    </w:p>
    <w:p w:rsidR="00B55624" w:rsidRPr="0079170E" w:rsidRDefault="00B55624" w:rsidP="00B55624">
      <w:pPr>
        <w:spacing w:after="120"/>
        <w:rPr>
          <w:b/>
          <w:lang w:eastAsia="en-AU"/>
        </w:rPr>
      </w:pPr>
      <w:r w:rsidRPr="0079170E">
        <w:rPr>
          <w:b/>
          <w:lang w:eastAsia="en-AU"/>
        </w:rPr>
        <w:t>How the NBA collects information</w:t>
      </w:r>
    </w:p>
    <w:p w:rsidR="00B55624" w:rsidRPr="0079170E" w:rsidRDefault="00B55624" w:rsidP="00B55624">
      <w:pPr>
        <w:rPr>
          <w:rFonts w:eastAsia="TitilliumText25L" w:cs="TitilliumText25L"/>
        </w:rPr>
      </w:pPr>
      <w:r w:rsidRPr="0079170E">
        <w:rPr>
          <w:rFonts w:eastAsia="TitilliumText25L" w:cs="TitilliumText25L"/>
          <w:color w:val="231F20"/>
        </w:rPr>
        <w:t>T</w:t>
      </w:r>
      <w:r w:rsidRPr="0079170E">
        <w:rPr>
          <w:rFonts w:eastAsia="TitilliumText25L" w:cs="TitilliumText25L"/>
          <w:color w:val="231F20"/>
          <w:spacing w:val="-3"/>
        </w:rPr>
        <w:t>h</w:t>
      </w:r>
      <w:r w:rsidRPr="0079170E">
        <w:rPr>
          <w:rFonts w:eastAsia="TitilliumText25L" w:cs="TitilliumText25L"/>
          <w:color w:val="231F20"/>
        </w:rPr>
        <w:t>e</w:t>
      </w:r>
      <w:r w:rsidRPr="0079170E">
        <w:rPr>
          <w:rFonts w:eastAsia="TitilliumText25L" w:cs="TitilliumText25L"/>
          <w:color w:val="231F20"/>
          <w:spacing w:val="-7"/>
        </w:rPr>
        <w:t xml:space="preserve"> </w:t>
      </w:r>
      <w:r w:rsidRPr="0079170E">
        <w:rPr>
          <w:rFonts w:eastAsia="TitilliumText25L" w:cs="TitilliumText25L"/>
          <w:color w:val="231F20"/>
          <w:spacing w:val="-4"/>
        </w:rPr>
        <w:t>N</w:t>
      </w:r>
      <w:r w:rsidRPr="0079170E">
        <w:rPr>
          <w:rFonts w:eastAsia="TitilliumText25L" w:cs="TitilliumText25L"/>
          <w:color w:val="231F20"/>
          <w:spacing w:val="-2"/>
        </w:rPr>
        <w:t>B</w:t>
      </w:r>
      <w:r w:rsidRPr="0079170E">
        <w:rPr>
          <w:rFonts w:eastAsia="TitilliumText25L" w:cs="TitilliumText25L"/>
          <w:color w:val="231F20"/>
        </w:rPr>
        <w:t>A</w:t>
      </w:r>
      <w:r w:rsidRPr="0079170E">
        <w:rPr>
          <w:rFonts w:eastAsia="TitilliumText25L" w:cs="TitilliumText25L"/>
          <w:color w:val="231F20"/>
          <w:spacing w:val="-7"/>
        </w:rPr>
        <w:t xml:space="preserve"> </w:t>
      </w:r>
      <w:r w:rsidRPr="0079170E">
        <w:rPr>
          <w:rFonts w:eastAsia="TitilliumText25L" w:cs="TitilliumText25L"/>
          <w:color w:val="231F20"/>
          <w:spacing w:val="-3"/>
        </w:rPr>
        <w:t>co</w:t>
      </w:r>
      <w:r w:rsidRPr="0079170E">
        <w:rPr>
          <w:rFonts w:eastAsia="TitilliumText25L" w:cs="TitilliumText25L"/>
          <w:color w:val="231F20"/>
          <w:spacing w:val="-5"/>
        </w:rPr>
        <w:t>l</w:t>
      </w:r>
      <w:r w:rsidRPr="0079170E">
        <w:rPr>
          <w:rFonts w:eastAsia="TitilliumText25L" w:cs="TitilliumText25L"/>
          <w:color w:val="231F20"/>
          <w:spacing w:val="-3"/>
        </w:rPr>
        <w:t>l</w:t>
      </w:r>
      <w:r w:rsidRPr="0079170E">
        <w:rPr>
          <w:rFonts w:eastAsia="TitilliumText25L" w:cs="TitilliumText25L"/>
          <w:color w:val="231F20"/>
          <w:spacing w:val="-1"/>
        </w:rPr>
        <w:t>e</w:t>
      </w:r>
      <w:r w:rsidRPr="0079170E">
        <w:rPr>
          <w:rFonts w:eastAsia="TitilliumText25L" w:cs="TitilliumText25L"/>
          <w:color w:val="231F20"/>
          <w:spacing w:val="1"/>
        </w:rPr>
        <w:t>c</w:t>
      </w:r>
      <w:r w:rsidRPr="0079170E">
        <w:rPr>
          <w:rFonts w:eastAsia="TitilliumText25L" w:cs="TitilliumText25L"/>
          <w:color w:val="231F20"/>
        </w:rPr>
        <w:t>ts</w:t>
      </w:r>
      <w:r w:rsidRPr="0079170E">
        <w:rPr>
          <w:rFonts w:eastAsia="TitilliumText25L" w:cs="TitilliumText25L"/>
          <w:color w:val="231F20"/>
          <w:spacing w:val="-7"/>
        </w:rPr>
        <w:t xml:space="preserve"> </w:t>
      </w:r>
      <w:r w:rsidRPr="0079170E">
        <w:rPr>
          <w:rFonts w:eastAsia="TitilliumText25L" w:cs="TitilliumText25L"/>
          <w:color w:val="231F20"/>
          <w:spacing w:val="-3"/>
        </w:rPr>
        <w:t>yo</w:t>
      </w:r>
      <w:r w:rsidRPr="0079170E">
        <w:rPr>
          <w:rFonts w:eastAsia="TitilliumText25L" w:cs="TitilliumText25L"/>
          <w:color w:val="231F20"/>
          <w:spacing w:val="-5"/>
        </w:rPr>
        <w:t>u</w:t>
      </w:r>
      <w:r w:rsidRPr="0079170E">
        <w:rPr>
          <w:rFonts w:eastAsia="TitilliumText25L" w:cs="TitilliumText25L"/>
          <w:color w:val="231F20"/>
        </w:rPr>
        <w:t>r</w:t>
      </w:r>
      <w:r w:rsidRPr="0079170E">
        <w:rPr>
          <w:rFonts w:eastAsia="TitilliumText25L" w:cs="TitilliumText25L"/>
          <w:color w:val="231F20"/>
          <w:spacing w:val="-7"/>
        </w:rPr>
        <w:t xml:space="preserve"> </w:t>
      </w:r>
      <w:r w:rsidRPr="0079170E">
        <w:rPr>
          <w:rFonts w:eastAsia="TitilliumText25L" w:cs="TitilliumText25L"/>
          <w:color w:val="231F20"/>
          <w:spacing w:val="-1"/>
        </w:rPr>
        <w:t>p</w:t>
      </w:r>
      <w:r w:rsidRPr="0079170E">
        <w:rPr>
          <w:rFonts w:eastAsia="TitilliumText25L" w:cs="TitilliumText25L"/>
          <w:color w:val="231F20"/>
          <w:spacing w:val="-4"/>
        </w:rPr>
        <w:t>e</w:t>
      </w:r>
      <w:r w:rsidRPr="0079170E">
        <w:rPr>
          <w:rFonts w:eastAsia="TitilliumText25L" w:cs="TitilliumText25L"/>
          <w:color w:val="231F20"/>
        </w:rPr>
        <w:t>r</w:t>
      </w:r>
      <w:r w:rsidRPr="0079170E">
        <w:rPr>
          <w:rFonts w:eastAsia="TitilliumText25L" w:cs="TitilliumText25L"/>
          <w:color w:val="231F20"/>
          <w:spacing w:val="-2"/>
        </w:rPr>
        <w:t>s</w:t>
      </w:r>
      <w:r w:rsidRPr="0079170E">
        <w:rPr>
          <w:rFonts w:eastAsia="TitilliumText25L" w:cs="TitilliumText25L"/>
          <w:color w:val="231F20"/>
          <w:spacing w:val="-3"/>
        </w:rPr>
        <w:t>o</w:t>
      </w:r>
      <w:r w:rsidRPr="0079170E">
        <w:rPr>
          <w:rFonts w:eastAsia="TitilliumText25L" w:cs="TitilliumText25L"/>
          <w:color w:val="231F20"/>
          <w:spacing w:val="-4"/>
        </w:rPr>
        <w:t>n</w:t>
      </w:r>
      <w:r w:rsidRPr="0079170E">
        <w:rPr>
          <w:rFonts w:eastAsia="TitilliumText25L" w:cs="TitilliumText25L"/>
          <w:color w:val="231F20"/>
          <w:spacing w:val="-2"/>
        </w:rPr>
        <w:t>a</w:t>
      </w:r>
      <w:r w:rsidRPr="0079170E">
        <w:rPr>
          <w:rFonts w:eastAsia="TitilliumText25L" w:cs="TitilliumText25L"/>
          <w:color w:val="231F20"/>
        </w:rPr>
        <w:t>l</w:t>
      </w:r>
      <w:r w:rsidRPr="0079170E">
        <w:rPr>
          <w:rFonts w:eastAsia="TitilliumText25L" w:cs="TitilliumText25L"/>
          <w:color w:val="231F20"/>
          <w:spacing w:val="-7"/>
        </w:rPr>
        <w:t xml:space="preserve"> </w:t>
      </w:r>
      <w:r w:rsidRPr="0079170E">
        <w:rPr>
          <w:rFonts w:eastAsia="TitilliumText25L" w:cs="TitilliumText25L"/>
          <w:color w:val="231F20"/>
          <w:spacing w:val="-2"/>
        </w:rPr>
        <w:t>a</w:t>
      </w:r>
      <w:r w:rsidRPr="0079170E">
        <w:rPr>
          <w:rFonts w:eastAsia="TitilliumText25L" w:cs="TitilliumText25L"/>
          <w:color w:val="231F20"/>
          <w:spacing w:val="-3"/>
        </w:rPr>
        <w:t>n</w:t>
      </w:r>
      <w:r w:rsidRPr="0079170E">
        <w:rPr>
          <w:rFonts w:eastAsia="TitilliumText25L" w:cs="TitilliumText25L"/>
          <w:color w:val="231F20"/>
        </w:rPr>
        <w:t>d</w:t>
      </w:r>
      <w:r w:rsidRPr="0079170E">
        <w:rPr>
          <w:rFonts w:eastAsia="TitilliumText25L" w:cs="TitilliumText25L"/>
          <w:color w:val="231F20"/>
          <w:spacing w:val="-7"/>
        </w:rPr>
        <w:t xml:space="preserve"> </w:t>
      </w:r>
      <w:r w:rsidRPr="0079170E">
        <w:rPr>
          <w:rFonts w:eastAsia="TitilliumText25L" w:cs="TitilliumText25L"/>
          <w:color w:val="231F20"/>
          <w:spacing w:val="-2"/>
        </w:rPr>
        <w:t>s</w:t>
      </w:r>
      <w:r w:rsidRPr="0079170E">
        <w:rPr>
          <w:rFonts w:eastAsia="TitilliumText25L" w:cs="TitilliumText25L"/>
          <w:color w:val="231F20"/>
          <w:spacing w:val="-4"/>
        </w:rPr>
        <w:t>e</w:t>
      </w:r>
      <w:r w:rsidRPr="0079170E">
        <w:rPr>
          <w:rFonts w:eastAsia="TitilliumText25L" w:cs="TitilliumText25L"/>
          <w:color w:val="231F20"/>
          <w:spacing w:val="-5"/>
        </w:rPr>
        <w:t>n</w:t>
      </w:r>
      <w:r w:rsidRPr="0079170E">
        <w:rPr>
          <w:rFonts w:eastAsia="TitilliumText25L" w:cs="TitilliumText25L"/>
          <w:color w:val="231F20"/>
          <w:spacing w:val="-4"/>
        </w:rPr>
        <w:t>s</w:t>
      </w:r>
      <w:r w:rsidRPr="0079170E">
        <w:rPr>
          <w:rFonts w:eastAsia="TitilliumText25L" w:cs="TitilliumText25L"/>
          <w:color w:val="231F20"/>
          <w:spacing w:val="-2"/>
        </w:rPr>
        <w:t>i</w:t>
      </w:r>
      <w:r w:rsidRPr="0079170E">
        <w:rPr>
          <w:rFonts w:eastAsia="TitilliumText25L" w:cs="TitilliumText25L"/>
          <w:color w:val="231F20"/>
          <w:spacing w:val="-1"/>
        </w:rPr>
        <w:t>t</w:t>
      </w:r>
      <w:r w:rsidRPr="0079170E">
        <w:rPr>
          <w:rFonts w:eastAsia="TitilliumText25L" w:cs="TitilliumText25L"/>
          <w:color w:val="231F20"/>
          <w:spacing w:val="-2"/>
        </w:rPr>
        <w:t>i</w:t>
      </w:r>
      <w:r w:rsidRPr="0079170E">
        <w:rPr>
          <w:rFonts w:eastAsia="TitilliumText25L" w:cs="TitilliumText25L"/>
          <w:color w:val="231F20"/>
          <w:spacing w:val="-3"/>
        </w:rPr>
        <w:t>v</w:t>
      </w:r>
      <w:r w:rsidRPr="0079170E">
        <w:rPr>
          <w:rFonts w:eastAsia="TitilliumText25L" w:cs="TitilliumText25L"/>
          <w:color w:val="231F20"/>
        </w:rPr>
        <w:t>e</w:t>
      </w:r>
      <w:r w:rsidRPr="0079170E">
        <w:rPr>
          <w:rFonts w:eastAsia="TitilliumText25L" w:cs="TitilliumText25L"/>
          <w:color w:val="231F20"/>
          <w:spacing w:val="-7"/>
        </w:rPr>
        <w:t xml:space="preserve"> </w:t>
      </w:r>
      <w:r w:rsidRPr="0079170E">
        <w:rPr>
          <w:rFonts w:eastAsia="TitilliumText25L" w:cs="TitilliumText25L"/>
          <w:color w:val="231F20"/>
          <w:spacing w:val="-5"/>
        </w:rPr>
        <w:t>i</w:t>
      </w:r>
      <w:r w:rsidRPr="0079170E">
        <w:rPr>
          <w:rFonts w:eastAsia="TitilliumText25L" w:cs="TitilliumText25L"/>
          <w:color w:val="231F20"/>
          <w:spacing w:val="-4"/>
        </w:rPr>
        <w:t>n</w:t>
      </w:r>
      <w:r w:rsidRPr="0079170E">
        <w:rPr>
          <w:rFonts w:eastAsia="TitilliumText25L" w:cs="TitilliumText25L"/>
          <w:color w:val="231F20"/>
          <w:spacing w:val="-1"/>
        </w:rPr>
        <w:t>f</w:t>
      </w:r>
      <w:r w:rsidRPr="0079170E">
        <w:rPr>
          <w:rFonts w:eastAsia="TitilliumText25L" w:cs="TitilliumText25L"/>
          <w:color w:val="231F20"/>
          <w:spacing w:val="-3"/>
        </w:rPr>
        <w:t>o</w:t>
      </w:r>
      <w:r w:rsidRPr="0079170E">
        <w:rPr>
          <w:rFonts w:eastAsia="TitilliumText25L" w:cs="TitilliumText25L"/>
          <w:color w:val="231F20"/>
          <w:spacing w:val="-2"/>
        </w:rPr>
        <w:t>r</w:t>
      </w:r>
      <w:r w:rsidRPr="0079170E">
        <w:rPr>
          <w:rFonts w:eastAsia="TitilliumText25L" w:cs="TitilliumText25L"/>
          <w:color w:val="231F20"/>
          <w:spacing w:val="-3"/>
        </w:rPr>
        <w:t>ma</w:t>
      </w:r>
      <w:r w:rsidRPr="0079170E">
        <w:rPr>
          <w:rFonts w:eastAsia="TitilliumText25L" w:cs="TitilliumText25L"/>
          <w:color w:val="231F20"/>
          <w:spacing w:val="-1"/>
        </w:rPr>
        <w:t>t</w:t>
      </w:r>
      <w:r w:rsidRPr="0079170E">
        <w:rPr>
          <w:rFonts w:eastAsia="TitilliumText25L" w:cs="TitilliumText25L"/>
          <w:color w:val="231F20"/>
          <w:spacing w:val="-2"/>
        </w:rPr>
        <w:t>i</w:t>
      </w:r>
      <w:r w:rsidRPr="0079170E">
        <w:rPr>
          <w:rFonts w:eastAsia="TitilliumText25L" w:cs="TitilliumText25L"/>
          <w:color w:val="231F20"/>
          <w:spacing w:val="-3"/>
        </w:rPr>
        <w:t>o</w:t>
      </w:r>
      <w:r w:rsidRPr="0079170E">
        <w:rPr>
          <w:rFonts w:eastAsia="TitilliumText25L" w:cs="TitilliumText25L"/>
          <w:color w:val="231F20"/>
        </w:rPr>
        <w:t xml:space="preserve">n </w:t>
      </w:r>
      <w:r w:rsidRPr="0079170E">
        <w:rPr>
          <w:rFonts w:eastAsia="TitilliumText25L" w:cs="TitilliumText25L"/>
          <w:color w:val="231F20"/>
          <w:spacing w:val="-2"/>
        </w:rPr>
        <w:t>fr</w:t>
      </w:r>
      <w:r w:rsidRPr="0079170E">
        <w:rPr>
          <w:rFonts w:eastAsia="TitilliumText25L" w:cs="TitilliumText25L"/>
          <w:color w:val="231F20"/>
          <w:spacing w:val="-3"/>
        </w:rPr>
        <w:t>o</w:t>
      </w:r>
      <w:r w:rsidRPr="0079170E">
        <w:rPr>
          <w:rFonts w:eastAsia="TitilliumText25L" w:cs="TitilliumText25L"/>
          <w:color w:val="231F20"/>
        </w:rPr>
        <w:t>m</w:t>
      </w:r>
      <w:r w:rsidRPr="0079170E">
        <w:rPr>
          <w:rFonts w:eastAsia="TitilliumText25L" w:cs="TitilliumText25L"/>
          <w:color w:val="231F20"/>
          <w:spacing w:val="-7"/>
        </w:rPr>
        <w:t xml:space="preserve"> </w:t>
      </w:r>
      <w:r w:rsidRPr="0079170E">
        <w:rPr>
          <w:rFonts w:eastAsia="TitilliumText25L" w:cs="TitilliumText25L"/>
          <w:color w:val="231F20"/>
          <w:spacing w:val="-3"/>
        </w:rPr>
        <w:t>o</w:t>
      </w:r>
      <w:r w:rsidRPr="0079170E">
        <w:rPr>
          <w:rFonts w:eastAsia="TitilliumText25L" w:cs="TitilliumText25L"/>
          <w:color w:val="231F20"/>
        </w:rPr>
        <w:t>r</w:t>
      </w:r>
      <w:r w:rsidRPr="0079170E">
        <w:rPr>
          <w:rFonts w:eastAsia="TitilliumText25L" w:cs="TitilliumText25L"/>
          <w:color w:val="231F20"/>
          <w:spacing w:val="-1"/>
        </w:rPr>
        <w:t>g</w:t>
      </w:r>
      <w:r w:rsidRPr="0079170E">
        <w:rPr>
          <w:rFonts w:eastAsia="TitilliumText25L" w:cs="TitilliumText25L"/>
          <w:color w:val="231F20"/>
          <w:spacing w:val="-2"/>
        </w:rPr>
        <w:t>a</w:t>
      </w:r>
      <w:r w:rsidRPr="0079170E">
        <w:rPr>
          <w:rFonts w:eastAsia="TitilliumText25L" w:cs="TitilliumText25L"/>
          <w:color w:val="231F20"/>
          <w:spacing w:val="-4"/>
        </w:rPr>
        <w:t>ni</w:t>
      </w:r>
      <w:r w:rsidRPr="0079170E">
        <w:rPr>
          <w:rFonts w:eastAsia="TitilliumText25L" w:cs="TitilliumText25L"/>
          <w:color w:val="231F20"/>
          <w:spacing w:val="-1"/>
        </w:rPr>
        <w:t>s</w:t>
      </w:r>
      <w:r w:rsidRPr="0079170E">
        <w:rPr>
          <w:rFonts w:eastAsia="TitilliumText25L" w:cs="TitilliumText25L"/>
          <w:color w:val="231F20"/>
          <w:spacing w:val="-3"/>
        </w:rPr>
        <w:t>a</w:t>
      </w:r>
      <w:r w:rsidRPr="0079170E">
        <w:rPr>
          <w:rFonts w:eastAsia="TitilliumText25L" w:cs="TitilliumText25L"/>
          <w:color w:val="231F20"/>
          <w:spacing w:val="-1"/>
        </w:rPr>
        <w:t>t</w:t>
      </w:r>
      <w:r w:rsidRPr="0079170E">
        <w:rPr>
          <w:rFonts w:eastAsia="TitilliumText25L" w:cs="TitilliumText25L"/>
          <w:color w:val="231F20"/>
          <w:spacing w:val="-3"/>
        </w:rPr>
        <w:t>io</w:t>
      </w:r>
      <w:r w:rsidRPr="0079170E">
        <w:rPr>
          <w:rFonts w:eastAsia="TitilliumText25L" w:cs="TitilliumText25L"/>
          <w:color w:val="231F20"/>
          <w:spacing w:val="-5"/>
        </w:rPr>
        <w:t>n</w:t>
      </w:r>
      <w:r w:rsidRPr="0079170E">
        <w:rPr>
          <w:rFonts w:eastAsia="TitilliumText25L" w:cs="TitilliumText25L"/>
          <w:color w:val="231F20"/>
        </w:rPr>
        <w:t>s</w:t>
      </w:r>
      <w:r w:rsidRPr="0079170E">
        <w:rPr>
          <w:rFonts w:eastAsia="TitilliumText25L" w:cs="TitilliumText25L"/>
          <w:color w:val="231F20"/>
          <w:spacing w:val="-7"/>
        </w:rPr>
        <w:t xml:space="preserve"> </w:t>
      </w:r>
      <w:r w:rsidRPr="0079170E">
        <w:rPr>
          <w:rFonts w:eastAsia="TitilliumText25L" w:cs="TitilliumText25L"/>
          <w:color w:val="231F20"/>
          <w:spacing w:val="-3"/>
        </w:rPr>
        <w:t>o</w:t>
      </w:r>
      <w:r w:rsidRPr="0079170E">
        <w:rPr>
          <w:rFonts w:eastAsia="TitilliumText25L" w:cs="TitilliumText25L"/>
          <w:color w:val="231F20"/>
        </w:rPr>
        <w:t>r</w:t>
      </w:r>
      <w:r w:rsidRPr="0079170E">
        <w:rPr>
          <w:rFonts w:eastAsia="TitilliumText25L" w:cs="TitilliumText25L"/>
          <w:color w:val="231F20"/>
          <w:spacing w:val="-7"/>
        </w:rPr>
        <w:t xml:space="preserve"> </w:t>
      </w:r>
      <w:r w:rsidRPr="0079170E">
        <w:rPr>
          <w:rFonts w:eastAsia="TitilliumText25L" w:cs="TitilliumText25L"/>
          <w:color w:val="231F20"/>
          <w:spacing w:val="-1"/>
        </w:rPr>
        <w:t>p</w:t>
      </w:r>
      <w:r w:rsidRPr="0079170E">
        <w:rPr>
          <w:rFonts w:eastAsia="TitilliumText25L" w:cs="TitilliumText25L"/>
          <w:color w:val="231F20"/>
          <w:spacing w:val="-4"/>
        </w:rPr>
        <w:t>e</w:t>
      </w:r>
      <w:r w:rsidRPr="0079170E">
        <w:rPr>
          <w:rFonts w:eastAsia="TitilliumText25L" w:cs="TitilliumText25L"/>
          <w:color w:val="231F20"/>
        </w:rPr>
        <w:t>r</w:t>
      </w:r>
      <w:r w:rsidRPr="0079170E">
        <w:rPr>
          <w:rFonts w:eastAsia="TitilliumText25L" w:cs="TitilliumText25L"/>
          <w:color w:val="231F20"/>
          <w:spacing w:val="-2"/>
        </w:rPr>
        <w:t>s</w:t>
      </w:r>
      <w:r w:rsidRPr="0079170E">
        <w:rPr>
          <w:rFonts w:eastAsia="TitilliumText25L" w:cs="TitilliumText25L"/>
          <w:color w:val="231F20"/>
          <w:spacing w:val="-3"/>
        </w:rPr>
        <w:t>o</w:t>
      </w:r>
      <w:r w:rsidRPr="0079170E">
        <w:rPr>
          <w:rFonts w:eastAsia="TitilliumText25L" w:cs="TitilliumText25L"/>
          <w:color w:val="231F20"/>
          <w:spacing w:val="-5"/>
        </w:rPr>
        <w:t>n</w:t>
      </w:r>
      <w:r w:rsidRPr="0079170E">
        <w:rPr>
          <w:rFonts w:eastAsia="TitilliumText25L" w:cs="TitilliumText25L"/>
          <w:color w:val="231F20"/>
        </w:rPr>
        <w:t>s</w:t>
      </w:r>
      <w:r w:rsidRPr="0079170E">
        <w:rPr>
          <w:rFonts w:eastAsia="TitilliumText25L" w:cs="TitilliumText25L"/>
          <w:color w:val="231F20"/>
          <w:spacing w:val="-7"/>
        </w:rPr>
        <w:t xml:space="preserve"> </w:t>
      </w:r>
      <w:r w:rsidRPr="0079170E">
        <w:rPr>
          <w:rFonts w:eastAsia="TitilliumText25L" w:cs="TitilliumText25L"/>
          <w:color w:val="231F20"/>
          <w:spacing w:val="-2"/>
        </w:rPr>
        <w:t>w</w:t>
      </w:r>
      <w:r w:rsidRPr="0079170E">
        <w:rPr>
          <w:rFonts w:eastAsia="TitilliumText25L" w:cs="TitilliumText25L"/>
          <w:color w:val="231F20"/>
          <w:spacing w:val="-3"/>
        </w:rPr>
        <w:t>h</w:t>
      </w:r>
      <w:r w:rsidRPr="0079170E">
        <w:rPr>
          <w:rFonts w:eastAsia="TitilliumText25L" w:cs="TitilliumText25L"/>
          <w:color w:val="231F20"/>
        </w:rPr>
        <w:t>o</w:t>
      </w:r>
      <w:r w:rsidRPr="0079170E">
        <w:rPr>
          <w:rFonts w:eastAsia="TitilliumText25L" w:cs="TitilliumText25L"/>
          <w:color w:val="231F20"/>
          <w:spacing w:val="-7"/>
        </w:rPr>
        <w:t xml:space="preserve"> </w:t>
      </w:r>
      <w:r w:rsidRPr="0079170E">
        <w:rPr>
          <w:rFonts w:eastAsia="TitilliumText25L" w:cs="TitilliumText25L"/>
          <w:color w:val="231F20"/>
          <w:spacing w:val="-3"/>
        </w:rPr>
        <w:t>p</w:t>
      </w:r>
      <w:r w:rsidRPr="0079170E">
        <w:rPr>
          <w:rFonts w:eastAsia="TitilliumText25L" w:cs="TitilliumText25L"/>
          <w:color w:val="231F20"/>
          <w:spacing w:val="-2"/>
        </w:rPr>
        <w:t>r</w:t>
      </w:r>
      <w:r w:rsidRPr="0079170E">
        <w:rPr>
          <w:rFonts w:eastAsia="TitilliumText25L" w:cs="TitilliumText25L"/>
          <w:color w:val="231F20"/>
          <w:spacing w:val="-3"/>
        </w:rPr>
        <w:t>o</w:t>
      </w:r>
      <w:r w:rsidRPr="0079170E">
        <w:rPr>
          <w:rFonts w:eastAsia="TitilliumText25L" w:cs="TitilliumText25L"/>
          <w:color w:val="231F20"/>
          <w:spacing w:val="-1"/>
        </w:rPr>
        <w:t>v</w:t>
      </w:r>
      <w:r w:rsidRPr="0079170E">
        <w:rPr>
          <w:rFonts w:eastAsia="TitilliumText25L" w:cs="TitilliumText25L"/>
          <w:color w:val="231F20"/>
          <w:spacing w:val="-2"/>
        </w:rPr>
        <w:t>i</w:t>
      </w:r>
      <w:r w:rsidRPr="0079170E">
        <w:rPr>
          <w:rFonts w:eastAsia="TitilliumText25L" w:cs="TitilliumText25L"/>
          <w:color w:val="231F20"/>
          <w:spacing w:val="-3"/>
        </w:rPr>
        <w:t>d</w:t>
      </w:r>
      <w:r w:rsidRPr="0079170E">
        <w:rPr>
          <w:rFonts w:eastAsia="TitilliumText25L" w:cs="TitilliumText25L"/>
          <w:color w:val="231F20"/>
        </w:rPr>
        <w:t>e</w:t>
      </w:r>
      <w:r w:rsidRPr="0079170E">
        <w:rPr>
          <w:rFonts w:eastAsia="TitilliumText25L" w:cs="TitilliumText25L"/>
          <w:color w:val="231F20"/>
          <w:spacing w:val="-7"/>
        </w:rPr>
        <w:t xml:space="preserve"> </w:t>
      </w:r>
      <w:r w:rsidRPr="0079170E">
        <w:rPr>
          <w:rFonts w:eastAsia="TitilliumText25L" w:cs="TitilliumText25L"/>
          <w:color w:val="231F20"/>
          <w:spacing w:val="-3"/>
        </w:rPr>
        <w:t>h</w:t>
      </w:r>
      <w:r w:rsidRPr="0079170E">
        <w:rPr>
          <w:rFonts w:eastAsia="TitilliumText25L" w:cs="TitilliumText25L"/>
          <w:color w:val="231F20"/>
          <w:spacing w:val="-2"/>
        </w:rPr>
        <w:t>ealt</w:t>
      </w:r>
      <w:r w:rsidRPr="0079170E">
        <w:rPr>
          <w:rFonts w:eastAsia="TitilliumText25L" w:cs="TitilliumText25L"/>
          <w:color w:val="231F20"/>
          <w:spacing w:val="-3"/>
        </w:rPr>
        <w:t>h</w:t>
      </w:r>
      <w:r w:rsidRPr="0079170E">
        <w:rPr>
          <w:rFonts w:eastAsia="TitilliumText25L" w:cs="TitilliumText25L"/>
          <w:color w:val="231F20"/>
          <w:spacing w:val="-1"/>
        </w:rPr>
        <w:t>c</w:t>
      </w:r>
      <w:r w:rsidRPr="0079170E">
        <w:rPr>
          <w:rFonts w:eastAsia="TitilliumText25L" w:cs="TitilliumText25L"/>
          <w:color w:val="231F20"/>
          <w:spacing w:val="-2"/>
        </w:rPr>
        <w:t>ar</w:t>
      </w:r>
      <w:r w:rsidRPr="0079170E">
        <w:rPr>
          <w:rFonts w:eastAsia="TitilliumText25L" w:cs="TitilliumText25L"/>
          <w:color w:val="231F20"/>
        </w:rPr>
        <w:t xml:space="preserve">e </w:t>
      </w:r>
      <w:r w:rsidRPr="0079170E">
        <w:rPr>
          <w:rFonts w:eastAsia="TitilliumText25L" w:cs="TitilliumText25L"/>
          <w:color w:val="231F20"/>
          <w:spacing w:val="-3"/>
        </w:rPr>
        <w:t>p</w:t>
      </w:r>
      <w:r w:rsidRPr="0079170E">
        <w:rPr>
          <w:rFonts w:eastAsia="TitilliumText25L" w:cs="TitilliumText25L"/>
          <w:color w:val="231F20"/>
          <w:spacing w:val="-2"/>
        </w:rPr>
        <w:t>r</w:t>
      </w:r>
      <w:r w:rsidRPr="0079170E">
        <w:rPr>
          <w:rFonts w:eastAsia="TitilliumText25L" w:cs="TitilliumText25L"/>
          <w:color w:val="231F20"/>
          <w:spacing w:val="-1"/>
        </w:rPr>
        <w:t>o</w:t>
      </w:r>
      <w:r w:rsidRPr="0079170E">
        <w:rPr>
          <w:rFonts w:eastAsia="TitilliumText25L" w:cs="TitilliumText25L"/>
          <w:color w:val="231F20"/>
          <w:spacing w:val="-5"/>
        </w:rPr>
        <w:t>d</w:t>
      </w:r>
      <w:r w:rsidRPr="0079170E">
        <w:rPr>
          <w:rFonts w:eastAsia="TitilliumText25L" w:cs="TitilliumText25L"/>
          <w:color w:val="231F20"/>
          <w:spacing w:val="-3"/>
        </w:rPr>
        <w:t>u</w:t>
      </w:r>
      <w:r w:rsidRPr="0079170E">
        <w:rPr>
          <w:rFonts w:eastAsia="TitilliumText25L" w:cs="TitilliumText25L"/>
          <w:color w:val="231F20"/>
          <w:spacing w:val="1"/>
        </w:rPr>
        <w:t>c</w:t>
      </w:r>
      <w:r w:rsidRPr="0079170E">
        <w:rPr>
          <w:rFonts w:eastAsia="TitilliumText25L" w:cs="TitilliumText25L"/>
          <w:color w:val="231F20"/>
        </w:rPr>
        <w:t>ts</w:t>
      </w:r>
      <w:r w:rsidRPr="0079170E">
        <w:rPr>
          <w:rFonts w:eastAsia="TitilliumText25L" w:cs="TitilliumText25L"/>
          <w:color w:val="231F20"/>
          <w:spacing w:val="-7"/>
        </w:rPr>
        <w:t xml:space="preserve"> </w:t>
      </w:r>
      <w:r w:rsidRPr="0079170E">
        <w:rPr>
          <w:rFonts w:eastAsia="TitilliumText25L" w:cs="TitilliumText25L"/>
          <w:color w:val="231F20"/>
          <w:spacing w:val="-3"/>
        </w:rPr>
        <w:t>o</w:t>
      </w:r>
      <w:r w:rsidRPr="0079170E">
        <w:rPr>
          <w:rFonts w:eastAsia="TitilliumText25L" w:cs="TitilliumText25L"/>
          <w:color w:val="231F20"/>
        </w:rPr>
        <w:t>r</w:t>
      </w:r>
      <w:r w:rsidRPr="0079170E">
        <w:rPr>
          <w:rFonts w:eastAsia="TitilliumText25L" w:cs="TitilliumText25L"/>
          <w:color w:val="231F20"/>
          <w:spacing w:val="-7"/>
        </w:rPr>
        <w:t xml:space="preserve"> </w:t>
      </w:r>
      <w:r w:rsidRPr="0079170E">
        <w:rPr>
          <w:rFonts w:eastAsia="TitilliumText25L" w:cs="TitilliumText25L"/>
          <w:color w:val="231F20"/>
          <w:spacing w:val="-2"/>
        </w:rPr>
        <w:t>s</w:t>
      </w:r>
      <w:r w:rsidRPr="0079170E">
        <w:rPr>
          <w:rFonts w:eastAsia="TitilliumText25L" w:cs="TitilliumText25L"/>
          <w:color w:val="231F20"/>
          <w:spacing w:val="-4"/>
        </w:rPr>
        <w:t>e</w:t>
      </w:r>
      <w:r w:rsidRPr="0079170E">
        <w:rPr>
          <w:rFonts w:eastAsia="TitilliumText25L" w:cs="TitilliumText25L"/>
          <w:color w:val="231F20"/>
          <w:spacing w:val="4"/>
        </w:rPr>
        <w:t>r</w:t>
      </w:r>
      <w:r w:rsidRPr="0079170E">
        <w:rPr>
          <w:rFonts w:eastAsia="TitilliumText25L" w:cs="TitilliumText25L"/>
          <w:color w:val="231F20"/>
          <w:spacing w:val="-1"/>
        </w:rPr>
        <w:t>v</w:t>
      </w:r>
      <w:r w:rsidRPr="0079170E">
        <w:rPr>
          <w:rFonts w:eastAsia="TitilliumText25L" w:cs="TitilliumText25L"/>
          <w:color w:val="231F20"/>
          <w:spacing w:val="-2"/>
        </w:rPr>
        <w:t>i</w:t>
      </w:r>
      <w:r w:rsidRPr="0079170E">
        <w:rPr>
          <w:rFonts w:eastAsia="TitilliumText25L" w:cs="TitilliumText25L"/>
          <w:color w:val="231F20"/>
          <w:spacing w:val="-3"/>
        </w:rPr>
        <w:t>c</w:t>
      </w:r>
      <w:r w:rsidRPr="0079170E">
        <w:rPr>
          <w:rFonts w:eastAsia="TitilliumText25L" w:cs="TitilliumText25L"/>
          <w:color w:val="231F20"/>
          <w:spacing w:val="-1"/>
        </w:rPr>
        <w:t>e</w:t>
      </w:r>
      <w:r w:rsidRPr="0079170E">
        <w:rPr>
          <w:rFonts w:eastAsia="TitilliumText25L" w:cs="TitilliumText25L"/>
          <w:color w:val="231F20"/>
        </w:rPr>
        <w:t>s</w:t>
      </w:r>
      <w:r w:rsidRPr="0079170E">
        <w:rPr>
          <w:rFonts w:eastAsia="TitilliumText25L" w:cs="TitilliumText25L"/>
          <w:color w:val="231F20"/>
          <w:spacing w:val="-7"/>
        </w:rPr>
        <w:t xml:space="preserve"> </w:t>
      </w:r>
      <w:r w:rsidRPr="0079170E">
        <w:rPr>
          <w:rFonts w:eastAsia="TitilliumText25L" w:cs="TitilliumText25L"/>
          <w:color w:val="231F20"/>
          <w:spacing w:val="-4"/>
        </w:rPr>
        <w:t>s</w:t>
      </w:r>
      <w:r w:rsidRPr="0079170E">
        <w:rPr>
          <w:rFonts w:eastAsia="TitilliumText25L" w:cs="TitilliumText25L"/>
          <w:color w:val="231F20"/>
          <w:spacing w:val="-3"/>
        </w:rPr>
        <w:t>u</w:t>
      </w:r>
      <w:r w:rsidRPr="0079170E">
        <w:rPr>
          <w:rFonts w:eastAsia="TitilliumText25L" w:cs="TitilliumText25L"/>
          <w:color w:val="231F20"/>
          <w:spacing w:val="-4"/>
        </w:rPr>
        <w:t>c</w:t>
      </w:r>
      <w:r w:rsidRPr="0079170E">
        <w:rPr>
          <w:rFonts w:eastAsia="TitilliumText25L" w:cs="TitilliumText25L"/>
          <w:color w:val="231F20"/>
        </w:rPr>
        <w:t>h</w:t>
      </w:r>
      <w:r w:rsidRPr="0079170E">
        <w:rPr>
          <w:rFonts w:eastAsia="TitilliumText25L" w:cs="TitilliumText25L"/>
          <w:color w:val="231F20"/>
          <w:spacing w:val="-7"/>
        </w:rPr>
        <w:t xml:space="preserve"> </w:t>
      </w:r>
      <w:r w:rsidRPr="0079170E">
        <w:rPr>
          <w:rFonts w:eastAsia="TitilliumText25L" w:cs="TitilliumText25L"/>
          <w:color w:val="231F20"/>
        </w:rPr>
        <w:t>as</w:t>
      </w:r>
      <w:r w:rsidRPr="0079170E">
        <w:rPr>
          <w:rFonts w:eastAsia="TitilliumText25L" w:cs="TitilliumText25L"/>
          <w:color w:val="231F20"/>
          <w:spacing w:val="-7"/>
        </w:rPr>
        <w:t xml:space="preserve"> </w:t>
      </w:r>
      <w:r w:rsidRPr="0079170E">
        <w:rPr>
          <w:rFonts w:eastAsia="TitilliumText25L" w:cs="TitilliumText25L"/>
          <w:color w:val="231F20"/>
          <w:spacing w:val="-3"/>
        </w:rPr>
        <w:t>d</w:t>
      </w:r>
      <w:r w:rsidRPr="0079170E">
        <w:rPr>
          <w:rFonts w:eastAsia="TitilliumText25L" w:cs="TitilliumText25L"/>
          <w:color w:val="231F20"/>
          <w:spacing w:val="-1"/>
        </w:rPr>
        <w:t>o</w:t>
      </w:r>
      <w:r w:rsidRPr="0079170E">
        <w:rPr>
          <w:rFonts w:eastAsia="TitilliumText25L" w:cs="TitilliumText25L"/>
          <w:color w:val="231F20"/>
          <w:spacing w:val="1"/>
        </w:rPr>
        <w:t>c</w:t>
      </w:r>
      <w:r w:rsidRPr="0079170E">
        <w:rPr>
          <w:rFonts w:eastAsia="TitilliumText25L" w:cs="TitilliumText25L"/>
          <w:color w:val="231F20"/>
          <w:spacing w:val="-2"/>
        </w:rPr>
        <w:t>t</w:t>
      </w:r>
      <w:r w:rsidRPr="0079170E">
        <w:rPr>
          <w:rFonts w:eastAsia="TitilliumText25L" w:cs="TitilliumText25L"/>
          <w:color w:val="231F20"/>
          <w:spacing w:val="-3"/>
        </w:rPr>
        <w:t>o</w:t>
      </w:r>
      <w:r w:rsidRPr="0079170E">
        <w:rPr>
          <w:rFonts w:eastAsia="TitilliumText25L" w:cs="TitilliumText25L"/>
          <w:color w:val="231F20"/>
        </w:rPr>
        <w:t>r</w:t>
      </w:r>
      <w:r w:rsidRPr="0079170E">
        <w:rPr>
          <w:rFonts w:eastAsia="TitilliumText25L" w:cs="TitilliumText25L"/>
          <w:color w:val="231F20"/>
          <w:spacing w:val="-2"/>
        </w:rPr>
        <w:t>s</w:t>
      </w:r>
      <w:r w:rsidRPr="0079170E">
        <w:rPr>
          <w:rFonts w:eastAsia="TitilliumText25L" w:cs="TitilliumText25L"/>
          <w:color w:val="231F20"/>
        </w:rPr>
        <w:t>,</w:t>
      </w:r>
      <w:r w:rsidRPr="0079170E">
        <w:rPr>
          <w:rFonts w:eastAsia="TitilliumText25L" w:cs="TitilliumText25L"/>
          <w:color w:val="231F20"/>
          <w:spacing w:val="-7"/>
        </w:rPr>
        <w:t xml:space="preserve"> </w:t>
      </w:r>
      <w:r w:rsidRPr="0079170E">
        <w:rPr>
          <w:rFonts w:eastAsia="TitilliumText25L" w:cs="TitilliumText25L"/>
          <w:color w:val="231F20"/>
          <w:spacing w:val="-5"/>
        </w:rPr>
        <w:t>nu</w:t>
      </w:r>
      <w:r w:rsidRPr="0079170E">
        <w:rPr>
          <w:rFonts w:eastAsia="TitilliumText25L" w:cs="TitilliumText25L"/>
          <w:color w:val="231F20"/>
        </w:rPr>
        <w:t>r</w:t>
      </w:r>
      <w:r w:rsidRPr="0079170E">
        <w:rPr>
          <w:rFonts w:eastAsia="TitilliumText25L" w:cs="TitilliumText25L"/>
          <w:color w:val="231F20"/>
          <w:spacing w:val="-2"/>
        </w:rPr>
        <w:t>s</w:t>
      </w:r>
      <w:r w:rsidRPr="0079170E">
        <w:rPr>
          <w:rFonts w:eastAsia="TitilliumText25L" w:cs="TitilliumText25L"/>
          <w:color w:val="231F20"/>
          <w:spacing w:val="-1"/>
        </w:rPr>
        <w:t>e</w:t>
      </w:r>
      <w:r w:rsidRPr="0079170E">
        <w:rPr>
          <w:rFonts w:eastAsia="TitilliumText25L" w:cs="TitilliumText25L"/>
          <w:color w:val="231F20"/>
          <w:spacing w:val="-2"/>
        </w:rPr>
        <w:t>s</w:t>
      </w:r>
      <w:r w:rsidRPr="0079170E">
        <w:rPr>
          <w:rFonts w:eastAsia="TitilliumText25L" w:cs="TitilliumText25L"/>
          <w:color w:val="231F20"/>
        </w:rPr>
        <w:t>,</w:t>
      </w:r>
      <w:r w:rsidRPr="0079170E">
        <w:rPr>
          <w:rFonts w:eastAsia="TitilliumText25L" w:cs="TitilliumText25L"/>
          <w:color w:val="231F20"/>
          <w:spacing w:val="-7"/>
        </w:rPr>
        <w:t xml:space="preserve"> </w:t>
      </w:r>
      <w:r w:rsidRPr="0079170E">
        <w:rPr>
          <w:rFonts w:eastAsia="TitilliumText25L" w:cs="TitilliumText25L"/>
          <w:color w:val="231F20"/>
          <w:spacing w:val="-3"/>
        </w:rPr>
        <w:t>h</w:t>
      </w:r>
      <w:r w:rsidRPr="0079170E">
        <w:rPr>
          <w:rFonts w:eastAsia="TitilliumText25L" w:cs="TitilliumText25L"/>
          <w:color w:val="231F20"/>
          <w:spacing w:val="-2"/>
        </w:rPr>
        <w:t>o</w:t>
      </w:r>
      <w:r w:rsidRPr="0079170E">
        <w:rPr>
          <w:rFonts w:eastAsia="TitilliumText25L" w:cs="TitilliumText25L"/>
          <w:color w:val="231F20"/>
          <w:spacing w:val="-5"/>
        </w:rPr>
        <w:t>s</w:t>
      </w:r>
      <w:r w:rsidRPr="0079170E">
        <w:rPr>
          <w:rFonts w:eastAsia="TitilliumText25L" w:cs="TitilliumText25L"/>
          <w:color w:val="231F20"/>
          <w:spacing w:val="-2"/>
        </w:rPr>
        <w:t>pi</w:t>
      </w:r>
      <w:r w:rsidRPr="0079170E">
        <w:rPr>
          <w:rFonts w:eastAsia="TitilliumText25L" w:cs="TitilliumText25L"/>
          <w:color w:val="231F20"/>
        </w:rPr>
        <w:t>t</w:t>
      </w:r>
      <w:r w:rsidRPr="0079170E">
        <w:rPr>
          <w:rFonts w:eastAsia="TitilliumText25L" w:cs="TitilliumText25L"/>
          <w:color w:val="231F20"/>
          <w:spacing w:val="-2"/>
        </w:rPr>
        <w:t>a</w:t>
      </w:r>
      <w:r w:rsidRPr="0079170E">
        <w:rPr>
          <w:rFonts w:eastAsia="TitilliumText25L" w:cs="TitilliumText25L"/>
          <w:color w:val="231F20"/>
          <w:spacing w:val="-4"/>
        </w:rPr>
        <w:t>l</w:t>
      </w:r>
      <w:r w:rsidRPr="0079170E">
        <w:rPr>
          <w:rFonts w:eastAsia="TitilliumText25L" w:cs="TitilliumText25L"/>
          <w:color w:val="231F20"/>
        </w:rPr>
        <w:t>s</w:t>
      </w:r>
      <w:r w:rsidRPr="0079170E">
        <w:rPr>
          <w:rFonts w:eastAsia="TitilliumText25L" w:cs="TitilliumText25L"/>
          <w:color w:val="231F20"/>
          <w:spacing w:val="-7"/>
        </w:rPr>
        <w:t xml:space="preserve"> </w:t>
      </w:r>
      <w:r w:rsidRPr="0079170E">
        <w:rPr>
          <w:rFonts w:eastAsia="TitilliumText25L" w:cs="TitilliumText25L"/>
          <w:color w:val="231F20"/>
          <w:spacing w:val="-2"/>
        </w:rPr>
        <w:t>a</w:t>
      </w:r>
      <w:r w:rsidRPr="0079170E">
        <w:rPr>
          <w:rFonts w:eastAsia="TitilliumText25L" w:cs="TitilliumText25L"/>
          <w:color w:val="231F20"/>
          <w:spacing w:val="-3"/>
        </w:rPr>
        <w:t>n</w:t>
      </w:r>
      <w:r w:rsidRPr="0079170E">
        <w:rPr>
          <w:rFonts w:eastAsia="TitilliumText25L" w:cs="TitilliumText25L"/>
          <w:color w:val="231F20"/>
        </w:rPr>
        <w:t xml:space="preserve">d </w:t>
      </w:r>
      <w:r w:rsidRPr="0079170E">
        <w:rPr>
          <w:rFonts w:eastAsia="TitilliumText25L" w:cs="TitilliumText25L"/>
          <w:color w:val="231F20"/>
          <w:spacing w:val="-1"/>
        </w:rPr>
        <w:t>p</w:t>
      </w:r>
      <w:r w:rsidRPr="0079170E">
        <w:rPr>
          <w:rFonts w:eastAsia="TitilliumText25L" w:cs="TitilliumText25L"/>
          <w:color w:val="231F20"/>
          <w:spacing w:val="-3"/>
        </w:rPr>
        <w:t>a</w:t>
      </w:r>
      <w:r w:rsidRPr="0079170E">
        <w:rPr>
          <w:rFonts w:eastAsia="TitilliumText25L" w:cs="TitilliumText25L"/>
          <w:color w:val="231F20"/>
          <w:spacing w:val="-2"/>
        </w:rPr>
        <w:t>t</w:t>
      </w:r>
      <w:r w:rsidRPr="0079170E">
        <w:rPr>
          <w:rFonts w:eastAsia="TitilliumText25L" w:cs="TitilliumText25L"/>
          <w:color w:val="231F20"/>
          <w:spacing w:val="-3"/>
        </w:rPr>
        <w:t>hol</w:t>
      </w:r>
      <w:r w:rsidRPr="0079170E">
        <w:rPr>
          <w:rFonts w:eastAsia="TitilliumText25L" w:cs="TitilliumText25L"/>
          <w:color w:val="231F20"/>
          <w:spacing w:val="-2"/>
        </w:rPr>
        <w:t>o</w:t>
      </w:r>
      <w:r w:rsidRPr="0079170E">
        <w:rPr>
          <w:rFonts w:eastAsia="TitilliumText25L" w:cs="TitilliumText25L"/>
          <w:color w:val="231F20"/>
          <w:spacing w:val="4"/>
        </w:rPr>
        <w:t>g</w:t>
      </w:r>
      <w:r w:rsidRPr="0079170E">
        <w:rPr>
          <w:rFonts w:eastAsia="TitilliumText25L" w:cs="TitilliumText25L"/>
          <w:color w:val="231F20"/>
        </w:rPr>
        <w:t>y</w:t>
      </w:r>
      <w:r w:rsidRPr="0079170E">
        <w:rPr>
          <w:rFonts w:eastAsia="TitilliumText25L" w:cs="TitilliumText25L"/>
          <w:color w:val="231F20"/>
          <w:spacing w:val="-7"/>
        </w:rPr>
        <w:t xml:space="preserve"> </w:t>
      </w:r>
      <w:r w:rsidRPr="0079170E">
        <w:rPr>
          <w:rFonts w:eastAsia="TitilliumText25L" w:cs="TitilliumText25L"/>
          <w:color w:val="231F20"/>
          <w:spacing w:val="-4"/>
        </w:rPr>
        <w:t>l</w:t>
      </w:r>
      <w:r w:rsidRPr="0079170E">
        <w:rPr>
          <w:rFonts w:eastAsia="TitilliumText25L" w:cs="TitilliumText25L"/>
          <w:color w:val="231F20"/>
          <w:spacing w:val="-2"/>
        </w:rPr>
        <w:t>a</w:t>
      </w:r>
      <w:r w:rsidRPr="0079170E">
        <w:rPr>
          <w:rFonts w:eastAsia="TitilliumText25L" w:cs="TitilliumText25L"/>
          <w:color w:val="231F20"/>
          <w:spacing w:val="-1"/>
        </w:rPr>
        <w:t>b</w:t>
      </w:r>
      <w:r w:rsidRPr="0079170E">
        <w:rPr>
          <w:rFonts w:eastAsia="TitilliumText25L" w:cs="TitilliumText25L"/>
          <w:color w:val="231F20"/>
          <w:spacing w:val="-3"/>
        </w:rPr>
        <w:t>o</w:t>
      </w:r>
      <w:r w:rsidRPr="0079170E">
        <w:rPr>
          <w:rFonts w:eastAsia="TitilliumText25L" w:cs="TitilliumText25L"/>
          <w:color w:val="231F20"/>
        </w:rPr>
        <w:t>r</w:t>
      </w:r>
      <w:r w:rsidRPr="0079170E">
        <w:rPr>
          <w:rFonts w:eastAsia="TitilliumText25L" w:cs="TitilliumText25L"/>
          <w:color w:val="231F20"/>
          <w:spacing w:val="-3"/>
        </w:rPr>
        <w:t>a</w:t>
      </w:r>
      <w:r w:rsidRPr="0079170E">
        <w:rPr>
          <w:rFonts w:eastAsia="TitilliumText25L" w:cs="TitilliumText25L"/>
          <w:color w:val="231F20"/>
          <w:spacing w:val="-2"/>
        </w:rPr>
        <w:t>t</w:t>
      </w:r>
      <w:r w:rsidRPr="0079170E">
        <w:rPr>
          <w:rFonts w:eastAsia="TitilliumText25L" w:cs="TitilliumText25L"/>
          <w:color w:val="231F20"/>
          <w:spacing w:val="-3"/>
        </w:rPr>
        <w:t>o</w:t>
      </w:r>
      <w:r w:rsidRPr="0079170E">
        <w:rPr>
          <w:rFonts w:eastAsia="TitilliumText25L" w:cs="TitilliumText25L"/>
          <w:color w:val="231F20"/>
          <w:spacing w:val="-1"/>
        </w:rPr>
        <w:t>r</w:t>
      </w:r>
      <w:r w:rsidRPr="0079170E">
        <w:rPr>
          <w:rFonts w:eastAsia="TitilliumText25L" w:cs="TitilliumText25L"/>
          <w:color w:val="231F20"/>
          <w:spacing w:val="-3"/>
        </w:rPr>
        <w:t>i</w:t>
      </w:r>
      <w:r w:rsidRPr="0079170E">
        <w:rPr>
          <w:rFonts w:eastAsia="TitilliumText25L" w:cs="TitilliumText25L"/>
          <w:color w:val="231F20"/>
          <w:spacing w:val="-1"/>
        </w:rPr>
        <w:t>e</w:t>
      </w:r>
      <w:r w:rsidRPr="0079170E">
        <w:rPr>
          <w:rFonts w:eastAsia="TitilliumText25L" w:cs="TitilliumText25L"/>
          <w:color w:val="231F20"/>
          <w:spacing w:val="-3"/>
        </w:rPr>
        <w:t>s</w:t>
      </w:r>
      <w:r w:rsidRPr="0079170E">
        <w:rPr>
          <w:rFonts w:eastAsia="TitilliumText25L" w:cs="TitilliumText25L"/>
          <w:color w:val="231F20"/>
        </w:rPr>
        <w:t>.</w:t>
      </w:r>
    </w:p>
    <w:p w:rsidR="00B55624" w:rsidRPr="003800B2" w:rsidRDefault="00B55624" w:rsidP="00B55624">
      <w:pPr>
        <w:spacing w:after="120"/>
        <w:rPr>
          <w:b/>
          <w:lang w:eastAsia="en-AU"/>
        </w:rPr>
      </w:pPr>
      <w:r w:rsidRPr="003800B2">
        <w:rPr>
          <w:b/>
          <w:lang w:eastAsia="en-AU"/>
        </w:rPr>
        <w:t>What information will be collected?</w:t>
      </w:r>
    </w:p>
    <w:p w:rsidR="00B55624" w:rsidRPr="00FB6847" w:rsidRDefault="00B55624" w:rsidP="00B55624">
      <w:pPr>
        <w:spacing w:after="120"/>
        <w:jc w:val="both"/>
        <w:rPr>
          <w:lang w:eastAsia="en-AU"/>
        </w:rPr>
      </w:pPr>
      <w:r w:rsidRPr="00FB6847">
        <w:rPr>
          <w:lang w:eastAsia="en-AU"/>
        </w:rPr>
        <w:t>The information</w:t>
      </w:r>
      <w:r>
        <w:rPr>
          <w:lang w:eastAsia="en-AU"/>
        </w:rPr>
        <w:t xml:space="preserve"> collected</w:t>
      </w:r>
      <w:r w:rsidRPr="00FB6847">
        <w:rPr>
          <w:lang w:eastAsia="en-AU"/>
        </w:rPr>
        <w:t xml:space="preserve"> about you will include identification details such as your name, date of birth</w:t>
      </w:r>
      <w:r>
        <w:rPr>
          <w:lang w:eastAsia="en-AU"/>
        </w:rPr>
        <w:t xml:space="preserve">, </w:t>
      </w:r>
      <w:r w:rsidRPr="00FB6847">
        <w:rPr>
          <w:lang w:eastAsia="en-AU"/>
        </w:rPr>
        <w:t>sex and may include your individual health identifier</w:t>
      </w:r>
      <w:r>
        <w:rPr>
          <w:lang w:eastAsia="en-AU"/>
        </w:rPr>
        <w:t xml:space="preserve"> (</w:t>
      </w:r>
      <w:proofErr w:type="spellStart"/>
      <w:r>
        <w:rPr>
          <w:lang w:eastAsia="en-AU"/>
        </w:rPr>
        <w:t>IHI</w:t>
      </w:r>
      <w:proofErr w:type="spellEnd"/>
      <w:r>
        <w:rPr>
          <w:lang w:eastAsia="en-AU"/>
        </w:rPr>
        <w:t>),</w:t>
      </w:r>
      <w:r w:rsidRPr="00FB6847">
        <w:rPr>
          <w:lang w:eastAsia="en-AU"/>
        </w:rPr>
        <w:t xml:space="preserve"> hospital identifiers</w:t>
      </w:r>
      <w:r>
        <w:rPr>
          <w:lang w:eastAsia="en-AU"/>
        </w:rPr>
        <w:t xml:space="preserve"> and sensitive health information</w:t>
      </w:r>
      <w:r w:rsidRPr="00FB6847">
        <w:rPr>
          <w:lang w:eastAsia="en-AU"/>
        </w:rPr>
        <w:t>.</w:t>
      </w:r>
    </w:p>
    <w:p w:rsidR="00B55624" w:rsidRDefault="00B55624" w:rsidP="00B55624">
      <w:pPr>
        <w:spacing w:after="120"/>
        <w:rPr>
          <w:b/>
          <w:lang w:eastAsia="en-AU"/>
        </w:rPr>
      </w:pPr>
      <w:r>
        <w:rPr>
          <w:b/>
          <w:lang w:eastAsia="en-AU"/>
        </w:rPr>
        <w:t xml:space="preserve">Purpose of collection:  </w:t>
      </w:r>
    </w:p>
    <w:p w:rsidR="00B55624" w:rsidRDefault="00B55624" w:rsidP="00B55624">
      <w:pPr>
        <w:spacing w:after="120"/>
        <w:rPr>
          <w:lang w:eastAsia="en-AU"/>
        </w:rPr>
      </w:pPr>
      <w:r w:rsidRPr="003800B2">
        <w:rPr>
          <w:b/>
          <w:lang w:eastAsia="en-AU"/>
        </w:rPr>
        <w:t>Why is my personal and sensitive information collected?</w:t>
      </w:r>
      <w:r w:rsidRPr="003800B2">
        <w:rPr>
          <w:lang w:eastAsia="en-AU"/>
        </w:rPr>
        <w:t xml:space="preserve"> </w:t>
      </w:r>
    </w:p>
    <w:p w:rsidR="00B55624" w:rsidRDefault="00B55624" w:rsidP="00B55624">
      <w:pPr>
        <w:spacing w:after="0"/>
        <w:rPr>
          <w:lang w:eastAsia="en-AU"/>
        </w:rPr>
      </w:pPr>
      <w:r w:rsidRPr="003800B2">
        <w:rPr>
          <w:lang w:eastAsia="en-AU"/>
        </w:rPr>
        <w:t xml:space="preserve">Immunoglobulin products are a precious and high cost resource. Government policy requires that </w:t>
      </w:r>
      <w:r>
        <w:rPr>
          <w:lang w:eastAsia="en-AU"/>
        </w:rPr>
        <w:t xml:space="preserve">government funded </w:t>
      </w:r>
      <w:r w:rsidRPr="00FB6847">
        <w:rPr>
          <w:lang w:eastAsia="en-AU"/>
        </w:rPr>
        <w:t>Ig products</w:t>
      </w:r>
      <w:r>
        <w:rPr>
          <w:lang w:eastAsia="en-AU"/>
        </w:rPr>
        <w:t xml:space="preserve"> can only be approved for specific medical conditions.</w:t>
      </w:r>
      <w:r w:rsidRPr="00FB6847">
        <w:rPr>
          <w:lang w:eastAsia="en-AU"/>
        </w:rPr>
        <w:t xml:space="preserve"> </w:t>
      </w:r>
      <w:r>
        <w:rPr>
          <w:lang w:eastAsia="en-AU"/>
        </w:rPr>
        <w:t>Accordingly, the primary purpose for collecting your information is to correctly identify you and to assess your eligibility to receive these products.</w:t>
      </w:r>
      <w:r w:rsidRPr="0049663F">
        <w:t xml:space="preserve"> </w:t>
      </w:r>
      <w:r>
        <w:rPr>
          <w:lang w:eastAsia="en-AU"/>
        </w:rPr>
        <w:t xml:space="preserve">It will also help your doctor or nurse to quickly access reliable information about your continuing eligibility. </w:t>
      </w:r>
    </w:p>
    <w:p w:rsidR="00B55624" w:rsidRDefault="00B55624" w:rsidP="00B55624">
      <w:pPr>
        <w:spacing w:after="0"/>
        <w:rPr>
          <w:lang w:eastAsia="en-AU"/>
        </w:rPr>
      </w:pPr>
    </w:p>
    <w:p w:rsidR="00B55624" w:rsidRDefault="00B55624" w:rsidP="00B55624">
      <w:pPr>
        <w:spacing w:after="120"/>
        <w:rPr>
          <w:lang w:eastAsia="en-AU"/>
        </w:rPr>
      </w:pPr>
      <w:r>
        <w:rPr>
          <w:lang w:eastAsia="en-AU"/>
        </w:rPr>
        <w:t>As a secondary purpose, summary level grouped information, which does not identify you, is also important for:</w:t>
      </w:r>
    </w:p>
    <w:p w:rsidR="00B55624" w:rsidRDefault="00B55624" w:rsidP="00B55624">
      <w:pPr>
        <w:pStyle w:val="ListParagraph"/>
        <w:numPr>
          <w:ilvl w:val="0"/>
          <w:numId w:val="54"/>
        </w:numPr>
        <w:spacing w:after="120" w:line="240" w:lineRule="auto"/>
        <w:rPr>
          <w:lang w:eastAsia="en-AU"/>
        </w:rPr>
      </w:pPr>
      <w:r>
        <w:rPr>
          <w:lang w:eastAsia="en-AU"/>
        </w:rPr>
        <w:t>identifying priorities for research</w:t>
      </w:r>
    </w:p>
    <w:p w:rsidR="00B55624" w:rsidRDefault="00B55624" w:rsidP="00B55624">
      <w:pPr>
        <w:pStyle w:val="ListParagraph"/>
        <w:numPr>
          <w:ilvl w:val="0"/>
          <w:numId w:val="54"/>
        </w:numPr>
        <w:spacing w:after="120" w:line="240" w:lineRule="auto"/>
        <w:rPr>
          <w:lang w:eastAsia="en-AU"/>
        </w:rPr>
      </w:pPr>
      <w:r>
        <w:rPr>
          <w:lang w:eastAsia="en-AU"/>
        </w:rPr>
        <w:t>prescriber education and training</w:t>
      </w:r>
    </w:p>
    <w:p w:rsidR="00B55624" w:rsidRPr="00521D62" w:rsidRDefault="00B55624" w:rsidP="00B55624">
      <w:pPr>
        <w:pStyle w:val="ListParagraph"/>
        <w:numPr>
          <w:ilvl w:val="0"/>
          <w:numId w:val="54"/>
        </w:numPr>
        <w:spacing w:line="240" w:lineRule="auto"/>
        <w:rPr>
          <w:rFonts w:eastAsia="TitilliumText25L" w:cs="TitilliumText25L"/>
        </w:rPr>
      </w:pPr>
      <w:r w:rsidRPr="00B83848">
        <w:rPr>
          <w:lang w:eastAsia="en-AU"/>
        </w:rPr>
        <w:lastRenderedPageBreak/>
        <w:t xml:space="preserve">performance evaluation and improvement of the supply, </w:t>
      </w:r>
      <w:r w:rsidRPr="00521D62">
        <w:rPr>
          <w:rFonts w:eastAsia="TitilliumText25L" w:cs="TitilliumText25L"/>
          <w:color w:val="231F20"/>
          <w:spacing w:val="-4"/>
        </w:rPr>
        <w:t>a</w:t>
      </w:r>
      <w:r w:rsidRPr="00521D62">
        <w:rPr>
          <w:rFonts w:eastAsia="TitilliumText25L" w:cs="TitilliumText25L"/>
          <w:color w:val="231F20"/>
          <w:spacing w:val="-2"/>
        </w:rPr>
        <w:t>ut</w:t>
      </w:r>
      <w:r w:rsidRPr="00521D62">
        <w:rPr>
          <w:rFonts w:eastAsia="TitilliumText25L" w:cs="TitilliumText25L"/>
          <w:color w:val="231F20"/>
          <w:spacing w:val="-3"/>
        </w:rPr>
        <w:t>ho</w:t>
      </w:r>
      <w:r w:rsidRPr="00521D62">
        <w:rPr>
          <w:rFonts w:eastAsia="TitilliumText25L" w:cs="TitilliumText25L"/>
          <w:color w:val="231F20"/>
          <w:spacing w:val="-1"/>
        </w:rPr>
        <w:t>r</w:t>
      </w:r>
      <w:r w:rsidRPr="00521D62">
        <w:rPr>
          <w:rFonts w:eastAsia="TitilliumText25L" w:cs="TitilliumText25L"/>
          <w:color w:val="231F20"/>
          <w:spacing w:val="-4"/>
        </w:rPr>
        <w:t>i</w:t>
      </w:r>
      <w:r w:rsidRPr="00521D62">
        <w:rPr>
          <w:rFonts w:eastAsia="TitilliumText25L" w:cs="TitilliumText25L"/>
          <w:color w:val="231F20"/>
          <w:spacing w:val="-1"/>
        </w:rPr>
        <w:t>s</w:t>
      </w:r>
      <w:r w:rsidRPr="00521D62">
        <w:rPr>
          <w:rFonts w:eastAsia="TitilliumText25L" w:cs="TitilliumText25L"/>
          <w:color w:val="231F20"/>
          <w:spacing w:val="-3"/>
        </w:rPr>
        <w:t>a</w:t>
      </w:r>
      <w:r w:rsidRPr="00521D62">
        <w:rPr>
          <w:rFonts w:eastAsia="TitilliumText25L" w:cs="TitilliumText25L"/>
          <w:color w:val="231F20"/>
          <w:spacing w:val="-1"/>
        </w:rPr>
        <w:t>t</w:t>
      </w:r>
      <w:r w:rsidRPr="00521D62">
        <w:rPr>
          <w:rFonts w:eastAsia="TitilliumText25L" w:cs="TitilliumText25L"/>
          <w:color w:val="231F20"/>
          <w:spacing w:val="-2"/>
        </w:rPr>
        <w:t>i</w:t>
      </w:r>
      <w:r w:rsidRPr="00521D62">
        <w:rPr>
          <w:rFonts w:eastAsia="TitilliumText25L" w:cs="TitilliumText25L"/>
          <w:color w:val="231F20"/>
          <w:spacing w:val="-3"/>
        </w:rPr>
        <w:t>o</w:t>
      </w:r>
      <w:r w:rsidRPr="00521D62">
        <w:rPr>
          <w:rFonts w:eastAsia="TitilliumText25L" w:cs="TitilliumText25L"/>
          <w:color w:val="231F20"/>
        </w:rPr>
        <w:t>n</w:t>
      </w:r>
      <w:r w:rsidRPr="00521D62">
        <w:rPr>
          <w:rFonts w:eastAsia="TitilliumText25L" w:cs="TitilliumText25L"/>
          <w:color w:val="231F20"/>
          <w:spacing w:val="-7"/>
        </w:rPr>
        <w:t xml:space="preserve"> </w:t>
      </w:r>
      <w:r w:rsidRPr="00521D62">
        <w:rPr>
          <w:rFonts w:eastAsia="TitilliumText25L" w:cs="TitilliumText25L"/>
          <w:color w:val="231F20"/>
          <w:spacing w:val="-2"/>
        </w:rPr>
        <w:t>a</w:t>
      </w:r>
      <w:r w:rsidRPr="00521D62">
        <w:rPr>
          <w:rFonts w:eastAsia="TitilliumText25L" w:cs="TitilliumText25L"/>
          <w:color w:val="231F20"/>
          <w:spacing w:val="-3"/>
        </w:rPr>
        <w:t>n</w:t>
      </w:r>
      <w:r w:rsidRPr="00521D62">
        <w:rPr>
          <w:rFonts w:eastAsia="TitilliumText25L" w:cs="TitilliumText25L"/>
          <w:color w:val="231F20"/>
        </w:rPr>
        <w:t>d</w:t>
      </w:r>
      <w:r w:rsidRPr="00521D62">
        <w:rPr>
          <w:rFonts w:eastAsia="TitilliumText25L" w:cs="TitilliumText25L"/>
          <w:color w:val="231F20"/>
          <w:spacing w:val="-7"/>
        </w:rPr>
        <w:t xml:space="preserve"> </w:t>
      </w:r>
      <w:r w:rsidRPr="00521D62">
        <w:rPr>
          <w:rFonts w:eastAsia="TitilliumText25L" w:cs="TitilliumText25L"/>
          <w:color w:val="231F20"/>
          <w:spacing w:val="-5"/>
        </w:rPr>
        <w:t>u</w:t>
      </w:r>
      <w:r w:rsidRPr="00521D62">
        <w:rPr>
          <w:rFonts w:eastAsia="TitilliumText25L" w:cs="TitilliumText25L"/>
          <w:color w:val="231F20"/>
          <w:spacing w:val="-2"/>
        </w:rPr>
        <w:t>s</w:t>
      </w:r>
      <w:r w:rsidRPr="00521D62">
        <w:rPr>
          <w:rFonts w:eastAsia="TitilliumText25L" w:cs="TitilliumText25L"/>
          <w:color w:val="231F20"/>
        </w:rPr>
        <w:t>e</w:t>
      </w:r>
      <w:r w:rsidRPr="00521D62">
        <w:rPr>
          <w:rFonts w:eastAsia="TitilliumText25L" w:cs="TitilliumText25L"/>
          <w:color w:val="231F20"/>
          <w:spacing w:val="-7"/>
        </w:rPr>
        <w:t xml:space="preserve"> </w:t>
      </w:r>
      <w:r w:rsidRPr="00521D62">
        <w:rPr>
          <w:rFonts w:eastAsia="TitilliumText25L" w:cs="TitilliumText25L"/>
          <w:color w:val="231F20"/>
          <w:spacing w:val="-2"/>
        </w:rPr>
        <w:t>o</w:t>
      </w:r>
      <w:r w:rsidRPr="00521D62">
        <w:rPr>
          <w:rFonts w:eastAsia="TitilliumText25L" w:cs="TitilliumText25L"/>
          <w:color w:val="231F20"/>
        </w:rPr>
        <w:t>f</w:t>
      </w:r>
      <w:r w:rsidRPr="00521D62">
        <w:rPr>
          <w:rFonts w:eastAsia="TitilliumText25L" w:cs="TitilliumText25L"/>
          <w:color w:val="231F20"/>
          <w:spacing w:val="-7"/>
        </w:rPr>
        <w:t xml:space="preserve"> </w:t>
      </w:r>
      <w:r w:rsidRPr="00521D62">
        <w:rPr>
          <w:rFonts w:eastAsia="TitilliumText25L" w:cs="TitilliumText25L"/>
          <w:color w:val="231F20"/>
          <w:spacing w:val="-5"/>
        </w:rPr>
        <w:t>i</w:t>
      </w:r>
      <w:r w:rsidRPr="00521D62">
        <w:rPr>
          <w:rFonts w:eastAsia="TitilliumText25L" w:cs="TitilliumText25L"/>
          <w:color w:val="231F20"/>
          <w:spacing w:val="-4"/>
        </w:rPr>
        <w:t>mm</w:t>
      </w:r>
      <w:r w:rsidRPr="00521D62">
        <w:rPr>
          <w:rFonts w:eastAsia="TitilliumText25L" w:cs="TitilliumText25L"/>
          <w:color w:val="231F20"/>
          <w:spacing w:val="-5"/>
        </w:rPr>
        <w:t>u</w:t>
      </w:r>
      <w:r w:rsidRPr="00521D62">
        <w:rPr>
          <w:rFonts w:eastAsia="TitilliumText25L" w:cs="TitilliumText25L"/>
          <w:color w:val="231F20"/>
          <w:spacing w:val="-3"/>
        </w:rPr>
        <w:t>n</w:t>
      </w:r>
      <w:r w:rsidRPr="00521D62">
        <w:rPr>
          <w:rFonts w:eastAsia="TitilliumText25L" w:cs="TitilliumText25L"/>
          <w:color w:val="231F20"/>
          <w:spacing w:val="-2"/>
        </w:rPr>
        <w:t>og</w:t>
      </w:r>
      <w:r w:rsidRPr="00521D62">
        <w:rPr>
          <w:rFonts w:eastAsia="TitilliumText25L" w:cs="TitilliumText25L"/>
          <w:color w:val="231F20"/>
          <w:spacing w:val="-3"/>
        </w:rPr>
        <w:t>lob</w:t>
      </w:r>
      <w:r w:rsidRPr="00521D62">
        <w:rPr>
          <w:rFonts w:eastAsia="TitilliumText25L" w:cs="TitilliumText25L"/>
          <w:color w:val="231F20"/>
          <w:spacing w:val="-5"/>
        </w:rPr>
        <w:t>u</w:t>
      </w:r>
      <w:r w:rsidRPr="00521D62">
        <w:rPr>
          <w:rFonts w:eastAsia="TitilliumText25L" w:cs="TitilliumText25L"/>
          <w:color w:val="231F20"/>
          <w:spacing w:val="-4"/>
        </w:rPr>
        <w:t>l</w:t>
      </w:r>
      <w:r w:rsidRPr="00521D62">
        <w:rPr>
          <w:rFonts w:eastAsia="TitilliumText25L" w:cs="TitilliumText25L"/>
          <w:color w:val="231F20"/>
          <w:spacing w:val="-5"/>
        </w:rPr>
        <w:t>i</w:t>
      </w:r>
      <w:r w:rsidRPr="00521D62">
        <w:rPr>
          <w:rFonts w:eastAsia="TitilliumText25L" w:cs="TitilliumText25L"/>
          <w:color w:val="231F20"/>
        </w:rPr>
        <w:t>n products</w:t>
      </w:r>
    </w:p>
    <w:p w:rsidR="00B55624" w:rsidRDefault="00B55624" w:rsidP="00B55624">
      <w:pPr>
        <w:pStyle w:val="ListParagraph"/>
        <w:numPr>
          <w:ilvl w:val="0"/>
          <w:numId w:val="54"/>
        </w:numPr>
        <w:spacing w:after="120" w:line="240" w:lineRule="auto"/>
        <w:rPr>
          <w:lang w:eastAsia="en-AU"/>
        </w:rPr>
      </w:pPr>
      <w:r>
        <w:rPr>
          <w:lang w:eastAsia="en-AU"/>
        </w:rPr>
        <w:t>further developing the Criteria upon which government policy is based</w:t>
      </w:r>
    </w:p>
    <w:p w:rsidR="00B55624" w:rsidRDefault="00B55624" w:rsidP="00B55624">
      <w:pPr>
        <w:pStyle w:val="ListParagraph"/>
        <w:numPr>
          <w:ilvl w:val="0"/>
          <w:numId w:val="54"/>
        </w:numPr>
        <w:spacing w:after="120" w:line="240" w:lineRule="auto"/>
        <w:rPr>
          <w:lang w:eastAsia="en-AU"/>
        </w:rPr>
      </w:pPr>
      <w:proofErr w:type="gramStart"/>
      <w:r>
        <w:rPr>
          <w:lang w:eastAsia="en-AU"/>
        </w:rPr>
        <w:t>supply</w:t>
      </w:r>
      <w:proofErr w:type="gramEnd"/>
      <w:r>
        <w:rPr>
          <w:lang w:eastAsia="en-AU"/>
        </w:rPr>
        <w:t xml:space="preserve"> planning  so the NBA can make sure enough Ig products are available to meet patients’ needs. </w:t>
      </w:r>
    </w:p>
    <w:p w:rsidR="00B55624" w:rsidRDefault="00B55624" w:rsidP="00B55624">
      <w:pPr>
        <w:spacing w:after="120"/>
        <w:rPr>
          <w:lang w:eastAsia="en-AU"/>
        </w:rPr>
      </w:pPr>
      <w:r>
        <w:rPr>
          <w:lang w:eastAsia="en-AU"/>
        </w:rPr>
        <w:t>Any additional research will only be undertaken in line with the requirements of the Privacy Act 1988 (</w:t>
      </w:r>
      <w:proofErr w:type="spellStart"/>
      <w:r>
        <w:rPr>
          <w:lang w:eastAsia="en-AU"/>
        </w:rPr>
        <w:t>Cth</w:t>
      </w:r>
      <w:proofErr w:type="spellEnd"/>
      <w:r>
        <w:rPr>
          <w:lang w:eastAsia="en-AU"/>
        </w:rPr>
        <w:t>) and any relevant laws. The data may only be made available for research if it has a properly constituted human research ethics committee (</w:t>
      </w:r>
      <w:proofErr w:type="spellStart"/>
      <w:r>
        <w:rPr>
          <w:lang w:eastAsia="en-AU"/>
        </w:rPr>
        <w:t>HREC</w:t>
      </w:r>
      <w:proofErr w:type="spellEnd"/>
      <w:r>
        <w:rPr>
          <w:lang w:eastAsia="en-AU"/>
        </w:rPr>
        <w:t>) approval.</w:t>
      </w:r>
    </w:p>
    <w:p w:rsidR="00B55624" w:rsidRDefault="00B55624" w:rsidP="00B55624">
      <w:pPr>
        <w:spacing w:after="120"/>
        <w:rPr>
          <w:b/>
          <w:lang w:eastAsia="en-AU"/>
        </w:rPr>
      </w:pPr>
    </w:p>
    <w:p w:rsidR="00B55624" w:rsidRPr="00D071AD" w:rsidRDefault="00B55624" w:rsidP="00B55624">
      <w:pPr>
        <w:spacing w:after="120"/>
        <w:rPr>
          <w:b/>
          <w:lang w:eastAsia="en-AU"/>
        </w:rPr>
      </w:pPr>
      <w:r>
        <w:rPr>
          <w:b/>
          <w:lang w:eastAsia="en-AU"/>
        </w:rPr>
        <w:t>H</w:t>
      </w:r>
      <w:r w:rsidRPr="00D071AD">
        <w:rPr>
          <w:b/>
          <w:lang w:eastAsia="en-AU"/>
        </w:rPr>
        <w:t xml:space="preserve">ow long will my information </w:t>
      </w:r>
      <w:proofErr w:type="gramStart"/>
      <w:r w:rsidRPr="00D071AD">
        <w:rPr>
          <w:b/>
          <w:lang w:eastAsia="en-AU"/>
        </w:rPr>
        <w:t>be</w:t>
      </w:r>
      <w:proofErr w:type="gramEnd"/>
      <w:r w:rsidRPr="00D071AD">
        <w:rPr>
          <w:b/>
          <w:lang w:eastAsia="en-AU"/>
        </w:rPr>
        <w:t xml:space="preserve"> kept</w:t>
      </w:r>
      <w:r>
        <w:rPr>
          <w:b/>
          <w:lang w:eastAsia="en-AU"/>
        </w:rPr>
        <w:t xml:space="preserve"> for</w:t>
      </w:r>
      <w:r w:rsidRPr="00D071AD">
        <w:rPr>
          <w:b/>
          <w:lang w:eastAsia="en-AU"/>
        </w:rPr>
        <w:t>?</w:t>
      </w:r>
    </w:p>
    <w:p w:rsidR="00B55624" w:rsidRPr="00FB6847" w:rsidRDefault="00B55624" w:rsidP="00B55624">
      <w:pPr>
        <w:rPr>
          <w:lang w:eastAsia="en-AU"/>
        </w:rPr>
      </w:pPr>
      <w:r w:rsidRPr="00FB6847">
        <w:rPr>
          <w:lang w:eastAsia="en-AU"/>
        </w:rPr>
        <w:t xml:space="preserve">Patient records will be retained for a </w:t>
      </w:r>
      <w:r>
        <w:rPr>
          <w:lang w:eastAsia="en-AU"/>
        </w:rPr>
        <w:t xml:space="preserve">minimum </w:t>
      </w:r>
      <w:r w:rsidRPr="00FB6847">
        <w:rPr>
          <w:lang w:eastAsia="en-AU"/>
        </w:rPr>
        <w:t>period of 20 years</w:t>
      </w:r>
      <w:r>
        <w:rPr>
          <w:lang w:eastAsia="en-AU"/>
        </w:rPr>
        <w:t>,</w:t>
      </w:r>
      <w:r w:rsidRPr="00FB6847">
        <w:rPr>
          <w:lang w:eastAsia="en-AU"/>
        </w:rPr>
        <w:t xml:space="preserve"> </w:t>
      </w:r>
      <w:r>
        <w:rPr>
          <w:lang w:eastAsia="en-AU"/>
        </w:rPr>
        <w:t xml:space="preserve">in line </w:t>
      </w:r>
      <w:r w:rsidRPr="00FB6847">
        <w:rPr>
          <w:lang w:eastAsia="en-AU"/>
        </w:rPr>
        <w:t>with the</w:t>
      </w:r>
      <w:r>
        <w:rPr>
          <w:lang w:eastAsia="en-AU"/>
        </w:rPr>
        <w:t xml:space="preserve"> requirements of the</w:t>
      </w:r>
      <w:r w:rsidRPr="00FB6847">
        <w:rPr>
          <w:lang w:eastAsia="en-AU"/>
        </w:rPr>
        <w:t xml:space="preserve"> </w:t>
      </w:r>
      <w:r w:rsidRPr="00FB6847">
        <w:rPr>
          <w:i/>
        </w:rPr>
        <w:t xml:space="preserve">Archives Act </w:t>
      </w:r>
      <w:r w:rsidRPr="00D071AD">
        <w:rPr>
          <w:lang w:eastAsia="en-AU"/>
        </w:rPr>
        <w:t>1983</w:t>
      </w:r>
      <w:r w:rsidRPr="00FB6847">
        <w:rPr>
          <w:lang w:eastAsia="en-AU"/>
        </w:rPr>
        <w:t xml:space="preserve"> (</w:t>
      </w:r>
      <w:proofErr w:type="spellStart"/>
      <w:r w:rsidRPr="00FB6847">
        <w:rPr>
          <w:lang w:eastAsia="en-AU"/>
        </w:rPr>
        <w:t>Cth</w:t>
      </w:r>
      <w:proofErr w:type="spellEnd"/>
      <w:r w:rsidRPr="00FB6847">
        <w:rPr>
          <w:lang w:eastAsia="en-AU"/>
        </w:rPr>
        <w:t>) and the National Pathology Accreditation Advisory Council (</w:t>
      </w:r>
      <w:proofErr w:type="spellStart"/>
      <w:r w:rsidRPr="00FB6847">
        <w:rPr>
          <w:lang w:eastAsia="en-AU"/>
        </w:rPr>
        <w:t>NPAAC</w:t>
      </w:r>
      <w:proofErr w:type="spellEnd"/>
      <w:r w:rsidRPr="00FB6847">
        <w:rPr>
          <w:lang w:eastAsia="en-AU"/>
        </w:rPr>
        <w:t>) requirements (laboratory accreditation).</w:t>
      </w:r>
    </w:p>
    <w:p w:rsidR="00B55624" w:rsidRPr="00D071AD" w:rsidRDefault="00B55624" w:rsidP="00B55624">
      <w:pPr>
        <w:spacing w:after="120"/>
        <w:rPr>
          <w:b/>
          <w:lang w:eastAsia="en-AU"/>
        </w:rPr>
      </w:pPr>
      <w:r w:rsidRPr="00D071AD">
        <w:rPr>
          <w:b/>
          <w:lang w:eastAsia="en-AU"/>
        </w:rPr>
        <w:t xml:space="preserve">Can I choose not to provide consent or be included in </w:t>
      </w:r>
      <w:proofErr w:type="spellStart"/>
      <w:r w:rsidRPr="00D071AD">
        <w:rPr>
          <w:b/>
          <w:lang w:eastAsia="en-AU"/>
        </w:rPr>
        <w:t>BloodSTAR</w:t>
      </w:r>
      <w:proofErr w:type="spellEnd"/>
      <w:r w:rsidRPr="00D071AD">
        <w:rPr>
          <w:b/>
          <w:lang w:eastAsia="en-AU"/>
        </w:rPr>
        <w:t>?</w:t>
      </w:r>
    </w:p>
    <w:p w:rsidR="00B55624" w:rsidRDefault="00B55624" w:rsidP="00B55624">
      <w:r w:rsidRPr="00BD4AC1">
        <w:rPr>
          <w:rFonts w:eastAsia="TitilliumText25L" w:cs="TitilliumText25L"/>
          <w:color w:val="231F20"/>
          <w:spacing w:val="-14"/>
        </w:rPr>
        <w:t>Y</w:t>
      </w:r>
      <w:r w:rsidRPr="00BD4AC1">
        <w:rPr>
          <w:rFonts w:eastAsia="TitilliumText25L" w:cs="TitilliumText25L"/>
          <w:color w:val="231F20"/>
          <w:spacing w:val="-1"/>
        </w:rPr>
        <w:t>e</w:t>
      </w:r>
      <w:r w:rsidRPr="00BD4AC1">
        <w:rPr>
          <w:rFonts w:eastAsia="TitilliumText25L" w:cs="TitilliumText25L"/>
          <w:color w:val="231F20"/>
          <w:spacing w:val="-3"/>
        </w:rPr>
        <w:t>s</w:t>
      </w:r>
      <w:r w:rsidRPr="00BD4AC1">
        <w:rPr>
          <w:rFonts w:eastAsia="TitilliumText25L" w:cs="TitilliumText25L"/>
          <w:color w:val="231F20"/>
        </w:rPr>
        <w:t>.</w:t>
      </w:r>
      <w:r w:rsidRPr="00BD4AC1">
        <w:rPr>
          <w:rFonts w:eastAsia="TitilliumText25L" w:cs="TitilliumText25L"/>
          <w:color w:val="231F20"/>
          <w:spacing w:val="-7"/>
        </w:rPr>
        <w:t xml:space="preserve"> </w:t>
      </w:r>
      <w:r w:rsidRPr="00BD4AC1">
        <w:rPr>
          <w:rFonts w:eastAsia="TitilliumText25L" w:cs="TitilliumText25L"/>
          <w:color w:val="231F20"/>
          <w:spacing w:val="-3"/>
        </w:rPr>
        <w:t>How</w:t>
      </w:r>
      <w:r w:rsidRPr="00BD4AC1">
        <w:rPr>
          <w:rFonts w:eastAsia="TitilliumText25L" w:cs="TitilliumText25L"/>
          <w:color w:val="231F20"/>
          <w:spacing w:val="-2"/>
        </w:rPr>
        <w:t>e</w:t>
      </w:r>
      <w:r w:rsidRPr="00BD4AC1">
        <w:rPr>
          <w:rFonts w:eastAsia="TitilliumText25L" w:cs="TitilliumText25L"/>
          <w:color w:val="231F20"/>
          <w:spacing w:val="-3"/>
        </w:rPr>
        <w:t>v</w:t>
      </w:r>
      <w:r w:rsidRPr="00BD4AC1">
        <w:rPr>
          <w:rFonts w:eastAsia="TitilliumText25L" w:cs="TitilliumText25L"/>
          <w:color w:val="231F20"/>
          <w:spacing w:val="-4"/>
        </w:rPr>
        <w:t>e</w:t>
      </w:r>
      <w:r w:rsidRPr="00BD4AC1">
        <w:rPr>
          <w:rFonts w:eastAsia="TitilliumText25L" w:cs="TitilliumText25L"/>
          <w:color w:val="231F20"/>
          <w:spacing w:val="-13"/>
        </w:rPr>
        <w:t>r</w:t>
      </w:r>
      <w:r w:rsidRPr="00BD4AC1">
        <w:rPr>
          <w:rFonts w:eastAsia="TitilliumText25L" w:cs="TitilliumText25L"/>
          <w:color w:val="231F20"/>
        </w:rPr>
        <w:t>,</w:t>
      </w:r>
      <w:r w:rsidRPr="00BD4AC1">
        <w:rPr>
          <w:rFonts w:eastAsia="TitilliumText25L" w:cs="TitilliumText25L"/>
          <w:color w:val="231F20"/>
          <w:spacing w:val="-7"/>
        </w:rPr>
        <w:t xml:space="preserve"> </w:t>
      </w:r>
      <w:r w:rsidRPr="00BD4AC1">
        <w:rPr>
          <w:rFonts w:eastAsia="TitilliumText25L" w:cs="TitilliumText25L"/>
          <w:color w:val="231F20"/>
          <w:spacing w:val="-3"/>
        </w:rPr>
        <w:t>yo</w:t>
      </w:r>
      <w:r w:rsidRPr="00BD4AC1">
        <w:rPr>
          <w:rFonts w:eastAsia="TitilliumText25L" w:cs="TitilliumText25L"/>
          <w:color w:val="231F20"/>
          <w:spacing w:val="-5"/>
        </w:rPr>
        <w:t>u</w:t>
      </w:r>
      <w:r w:rsidRPr="00BD4AC1">
        <w:rPr>
          <w:rFonts w:eastAsia="TitilliumText25L" w:cs="TitilliumText25L"/>
          <w:color w:val="231F20"/>
        </w:rPr>
        <w:t>r</w:t>
      </w:r>
      <w:r w:rsidRPr="00BD4AC1">
        <w:rPr>
          <w:rFonts w:eastAsia="TitilliumText25L" w:cs="TitilliumText25L"/>
          <w:color w:val="231F20"/>
          <w:spacing w:val="-7"/>
        </w:rPr>
        <w:t xml:space="preserve"> </w:t>
      </w:r>
      <w:r w:rsidRPr="00BD4AC1">
        <w:rPr>
          <w:rFonts w:eastAsia="TitilliumText25L" w:cs="TitilliumText25L"/>
          <w:color w:val="231F20"/>
          <w:spacing w:val="-3"/>
        </w:rPr>
        <w:t>d</w:t>
      </w:r>
      <w:r w:rsidRPr="00BD4AC1">
        <w:rPr>
          <w:rFonts w:eastAsia="TitilliumText25L" w:cs="TitilliumText25L"/>
          <w:color w:val="231F20"/>
          <w:spacing w:val="-1"/>
        </w:rPr>
        <w:t>o</w:t>
      </w:r>
      <w:r w:rsidRPr="00BD4AC1">
        <w:rPr>
          <w:rFonts w:eastAsia="TitilliumText25L" w:cs="TitilliumText25L"/>
          <w:color w:val="231F20"/>
          <w:spacing w:val="1"/>
        </w:rPr>
        <w:t>c</w:t>
      </w:r>
      <w:r w:rsidRPr="00BD4AC1">
        <w:rPr>
          <w:rFonts w:eastAsia="TitilliumText25L" w:cs="TitilliumText25L"/>
          <w:color w:val="231F20"/>
          <w:spacing w:val="-2"/>
        </w:rPr>
        <w:t>t</w:t>
      </w:r>
      <w:r w:rsidRPr="00BD4AC1">
        <w:rPr>
          <w:rFonts w:eastAsia="TitilliumText25L" w:cs="TitilliumText25L"/>
          <w:color w:val="231F20"/>
          <w:spacing w:val="-3"/>
        </w:rPr>
        <w:t>o</w:t>
      </w:r>
      <w:r w:rsidRPr="00BD4AC1">
        <w:rPr>
          <w:rFonts w:eastAsia="TitilliumText25L" w:cs="TitilliumText25L"/>
          <w:color w:val="231F20"/>
        </w:rPr>
        <w:t>r</w:t>
      </w:r>
      <w:r w:rsidRPr="00BD4AC1">
        <w:rPr>
          <w:rFonts w:eastAsia="TitilliumText25L" w:cs="TitilliumText25L"/>
          <w:color w:val="231F20"/>
          <w:spacing w:val="-7"/>
        </w:rPr>
        <w:t xml:space="preserve"> </w:t>
      </w:r>
      <w:r w:rsidRPr="00BD4AC1">
        <w:rPr>
          <w:rFonts w:eastAsia="TitilliumText25L" w:cs="TitilliumText25L"/>
          <w:color w:val="231F20"/>
          <w:spacing w:val="-2"/>
        </w:rPr>
        <w:t>w</w:t>
      </w:r>
      <w:r w:rsidRPr="00BD4AC1">
        <w:rPr>
          <w:rFonts w:eastAsia="TitilliumText25L" w:cs="TitilliumText25L"/>
          <w:color w:val="231F20"/>
          <w:spacing w:val="-4"/>
        </w:rPr>
        <w:t>i</w:t>
      </w:r>
      <w:r w:rsidRPr="00BD4AC1">
        <w:rPr>
          <w:rFonts w:eastAsia="TitilliumText25L" w:cs="TitilliumText25L"/>
          <w:color w:val="231F20"/>
          <w:spacing w:val="-5"/>
        </w:rPr>
        <w:t>l</w:t>
      </w:r>
      <w:r w:rsidRPr="00BD4AC1">
        <w:rPr>
          <w:rFonts w:eastAsia="TitilliumText25L" w:cs="TitilliumText25L"/>
          <w:color w:val="231F20"/>
        </w:rPr>
        <w:t>l</w:t>
      </w:r>
      <w:r w:rsidRPr="00BD4AC1">
        <w:rPr>
          <w:rFonts w:eastAsia="TitilliumText25L" w:cs="TitilliumText25L"/>
          <w:color w:val="231F20"/>
          <w:spacing w:val="-7"/>
        </w:rPr>
        <w:t xml:space="preserve"> </w:t>
      </w:r>
      <w:r w:rsidRPr="00BD4AC1">
        <w:rPr>
          <w:rFonts w:eastAsia="TitilliumText25L" w:cs="TitilliumText25L"/>
          <w:color w:val="231F20"/>
          <w:spacing w:val="-3"/>
        </w:rPr>
        <w:t>n</w:t>
      </w:r>
      <w:r w:rsidRPr="00BD4AC1">
        <w:rPr>
          <w:rFonts w:eastAsia="TitilliumText25L" w:cs="TitilliumText25L"/>
          <w:color w:val="231F20"/>
          <w:spacing w:val="-2"/>
        </w:rPr>
        <w:t>o</w:t>
      </w:r>
      <w:r w:rsidRPr="00BD4AC1">
        <w:rPr>
          <w:rFonts w:eastAsia="TitilliumText25L" w:cs="TitilliumText25L"/>
          <w:color w:val="231F20"/>
        </w:rPr>
        <w:t>t</w:t>
      </w:r>
      <w:r w:rsidRPr="00BD4AC1">
        <w:rPr>
          <w:rFonts w:eastAsia="TitilliumText25L" w:cs="TitilliumText25L"/>
          <w:color w:val="231F20"/>
          <w:spacing w:val="-7"/>
        </w:rPr>
        <w:t xml:space="preserve"> </w:t>
      </w:r>
      <w:r w:rsidRPr="00BD4AC1">
        <w:rPr>
          <w:rFonts w:eastAsia="TitilliumText25L" w:cs="TitilliumText25L"/>
          <w:color w:val="231F20"/>
          <w:spacing w:val="-1"/>
        </w:rPr>
        <w:t>b</w:t>
      </w:r>
      <w:r w:rsidRPr="00BD4AC1">
        <w:rPr>
          <w:rFonts w:eastAsia="TitilliumText25L" w:cs="TitilliumText25L"/>
          <w:color w:val="231F20"/>
        </w:rPr>
        <w:t>e</w:t>
      </w:r>
      <w:r w:rsidRPr="00BD4AC1">
        <w:rPr>
          <w:rFonts w:eastAsia="TitilliumText25L" w:cs="TitilliumText25L"/>
          <w:color w:val="231F20"/>
          <w:spacing w:val="-7"/>
        </w:rPr>
        <w:t xml:space="preserve"> </w:t>
      </w:r>
      <w:r w:rsidRPr="00BD4AC1">
        <w:rPr>
          <w:rFonts w:eastAsia="TitilliumText25L" w:cs="TitilliumText25L"/>
          <w:color w:val="231F20"/>
          <w:spacing w:val="-2"/>
        </w:rPr>
        <w:t>ab</w:t>
      </w:r>
      <w:r w:rsidRPr="00BD4AC1">
        <w:rPr>
          <w:rFonts w:eastAsia="TitilliumText25L" w:cs="TitilliumText25L"/>
          <w:color w:val="231F20"/>
          <w:spacing w:val="-3"/>
        </w:rPr>
        <w:t>l</w:t>
      </w:r>
      <w:r w:rsidRPr="00BD4AC1">
        <w:rPr>
          <w:rFonts w:eastAsia="TitilliumText25L" w:cs="TitilliumText25L"/>
          <w:color w:val="231F20"/>
        </w:rPr>
        <w:t>e</w:t>
      </w:r>
      <w:r w:rsidRPr="00BD4AC1">
        <w:rPr>
          <w:rFonts w:eastAsia="TitilliumText25L" w:cs="TitilliumText25L"/>
          <w:color w:val="231F20"/>
          <w:spacing w:val="-7"/>
        </w:rPr>
        <w:t xml:space="preserve"> </w:t>
      </w:r>
      <w:r w:rsidRPr="00BD4AC1">
        <w:rPr>
          <w:rFonts w:eastAsia="TitilliumText25L" w:cs="TitilliumText25L"/>
          <w:color w:val="231F20"/>
          <w:spacing w:val="-2"/>
        </w:rPr>
        <w:t>t</w:t>
      </w:r>
      <w:r w:rsidRPr="00BD4AC1">
        <w:rPr>
          <w:rFonts w:eastAsia="TitilliumText25L" w:cs="TitilliumText25L"/>
          <w:color w:val="231F20"/>
        </w:rPr>
        <w:t>o</w:t>
      </w:r>
      <w:r w:rsidRPr="00BD4AC1">
        <w:rPr>
          <w:rFonts w:eastAsia="TitilliumText25L" w:cs="TitilliumText25L"/>
          <w:color w:val="231F20"/>
          <w:spacing w:val="-7"/>
        </w:rPr>
        <w:t xml:space="preserve"> </w:t>
      </w:r>
      <w:r w:rsidRPr="00BD4AC1">
        <w:rPr>
          <w:rFonts w:eastAsia="TitilliumText25L" w:cs="TitilliumText25L"/>
          <w:color w:val="231F20"/>
          <w:spacing w:val="-4"/>
        </w:rPr>
        <w:t>s</w:t>
      </w:r>
      <w:r w:rsidRPr="00BD4AC1">
        <w:rPr>
          <w:rFonts w:eastAsia="TitilliumText25L" w:cs="TitilliumText25L"/>
          <w:color w:val="231F20"/>
          <w:spacing w:val="-5"/>
        </w:rPr>
        <w:t>u</w:t>
      </w:r>
      <w:r w:rsidRPr="00BD4AC1">
        <w:rPr>
          <w:rFonts w:eastAsia="TitilliumText25L" w:cs="TitilliumText25L"/>
          <w:color w:val="231F20"/>
          <w:spacing w:val="-3"/>
        </w:rPr>
        <w:t>b</w:t>
      </w:r>
      <w:r w:rsidRPr="00BD4AC1">
        <w:rPr>
          <w:rFonts w:eastAsia="TitilliumText25L" w:cs="TitilliumText25L"/>
          <w:color w:val="231F20"/>
          <w:spacing w:val="-4"/>
        </w:rPr>
        <w:t>m</w:t>
      </w:r>
      <w:r w:rsidRPr="00BD4AC1">
        <w:rPr>
          <w:rFonts w:eastAsia="TitilliumText25L" w:cs="TitilliumText25L"/>
          <w:color w:val="231F20"/>
          <w:spacing w:val="-2"/>
        </w:rPr>
        <w:t>i</w:t>
      </w:r>
      <w:r w:rsidRPr="00BD4AC1">
        <w:rPr>
          <w:rFonts w:eastAsia="TitilliumText25L" w:cs="TitilliumText25L"/>
          <w:color w:val="231F20"/>
        </w:rPr>
        <w:t>t</w:t>
      </w:r>
      <w:r>
        <w:rPr>
          <w:rFonts w:eastAsia="TitilliumText25L" w:cs="TitilliumText25L"/>
          <w:color w:val="231F20"/>
        </w:rPr>
        <w:t xml:space="preserve"> </w:t>
      </w:r>
      <w:r w:rsidRPr="00BD4AC1">
        <w:rPr>
          <w:rFonts w:eastAsia="TitilliumText25L" w:cs="TitilliumText25L"/>
          <w:color w:val="231F20"/>
          <w:spacing w:val="-3"/>
        </w:rPr>
        <w:t>yo</w:t>
      </w:r>
      <w:r w:rsidRPr="00BD4AC1">
        <w:rPr>
          <w:rFonts w:eastAsia="TitilliumText25L" w:cs="TitilliumText25L"/>
          <w:color w:val="231F20"/>
          <w:spacing w:val="-5"/>
        </w:rPr>
        <w:t>u</w:t>
      </w:r>
      <w:r w:rsidRPr="00BD4AC1">
        <w:rPr>
          <w:rFonts w:eastAsia="TitilliumText25L" w:cs="TitilliumText25L"/>
          <w:color w:val="231F20"/>
        </w:rPr>
        <w:t>r</w:t>
      </w:r>
      <w:r w:rsidRPr="00BD4AC1">
        <w:rPr>
          <w:rFonts w:eastAsia="TitilliumText25L" w:cs="TitilliumText25L"/>
          <w:color w:val="231F20"/>
          <w:spacing w:val="-7"/>
        </w:rPr>
        <w:t xml:space="preserve"> </w:t>
      </w:r>
      <w:r w:rsidRPr="00BD4AC1">
        <w:rPr>
          <w:rFonts w:eastAsia="TitilliumText25L" w:cs="TitilliumText25L"/>
          <w:color w:val="231F20"/>
          <w:spacing w:val="-1"/>
        </w:rPr>
        <w:t>p</w:t>
      </w:r>
      <w:r w:rsidRPr="00BD4AC1">
        <w:rPr>
          <w:rFonts w:eastAsia="TitilliumText25L" w:cs="TitilliumText25L"/>
          <w:color w:val="231F20"/>
          <w:spacing w:val="-4"/>
        </w:rPr>
        <w:t>e</w:t>
      </w:r>
      <w:r w:rsidRPr="00BD4AC1">
        <w:rPr>
          <w:rFonts w:eastAsia="TitilliumText25L" w:cs="TitilliumText25L"/>
          <w:color w:val="231F20"/>
        </w:rPr>
        <w:t>r</w:t>
      </w:r>
      <w:r w:rsidRPr="00BD4AC1">
        <w:rPr>
          <w:rFonts w:eastAsia="TitilliumText25L" w:cs="TitilliumText25L"/>
          <w:color w:val="231F20"/>
          <w:spacing w:val="-2"/>
        </w:rPr>
        <w:t>s</w:t>
      </w:r>
      <w:r w:rsidRPr="00BD4AC1">
        <w:rPr>
          <w:rFonts w:eastAsia="TitilliumText25L" w:cs="TitilliumText25L"/>
          <w:color w:val="231F20"/>
          <w:spacing w:val="-3"/>
        </w:rPr>
        <w:t>o</w:t>
      </w:r>
      <w:r w:rsidRPr="00BD4AC1">
        <w:rPr>
          <w:rFonts w:eastAsia="TitilliumText25L" w:cs="TitilliumText25L"/>
          <w:color w:val="231F20"/>
          <w:spacing w:val="-4"/>
        </w:rPr>
        <w:t>n</w:t>
      </w:r>
      <w:r w:rsidRPr="00BD4AC1">
        <w:rPr>
          <w:rFonts w:eastAsia="TitilliumText25L" w:cs="TitilliumText25L"/>
          <w:color w:val="231F20"/>
          <w:spacing w:val="-2"/>
        </w:rPr>
        <w:t>a</w:t>
      </w:r>
      <w:r w:rsidRPr="00BD4AC1">
        <w:rPr>
          <w:rFonts w:eastAsia="TitilliumText25L" w:cs="TitilliumText25L"/>
          <w:color w:val="231F20"/>
        </w:rPr>
        <w:t>l</w:t>
      </w:r>
      <w:r w:rsidRPr="00BD4AC1">
        <w:rPr>
          <w:rFonts w:eastAsia="TitilliumText25L" w:cs="TitilliumText25L"/>
          <w:color w:val="231F20"/>
          <w:spacing w:val="-7"/>
        </w:rPr>
        <w:t xml:space="preserve"> </w:t>
      </w:r>
      <w:r w:rsidRPr="00BD4AC1">
        <w:rPr>
          <w:rFonts w:eastAsia="TitilliumText25L" w:cs="TitilliumText25L"/>
          <w:color w:val="231F20"/>
          <w:spacing w:val="-5"/>
        </w:rPr>
        <w:t>i</w:t>
      </w:r>
      <w:r w:rsidRPr="00BD4AC1">
        <w:rPr>
          <w:rFonts w:eastAsia="TitilliumText25L" w:cs="TitilliumText25L"/>
          <w:color w:val="231F20"/>
          <w:spacing w:val="-4"/>
        </w:rPr>
        <w:t>n</w:t>
      </w:r>
      <w:r w:rsidRPr="00BD4AC1">
        <w:rPr>
          <w:rFonts w:eastAsia="TitilliumText25L" w:cs="TitilliumText25L"/>
          <w:color w:val="231F20"/>
          <w:spacing w:val="-1"/>
        </w:rPr>
        <w:t>f</w:t>
      </w:r>
      <w:r w:rsidRPr="00BD4AC1">
        <w:rPr>
          <w:rFonts w:eastAsia="TitilliumText25L" w:cs="TitilliumText25L"/>
          <w:color w:val="231F20"/>
          <w:spacing w:val="-3"/>
        </w:rPr>
        <w:t>o</w:t>
      </w:r>
      <w:r w:rsidRPr="00BD4AC1">
        <w:rPr>
          <w:rFonts w:eastAsia="TitilliumText25L" w:cs="TitilliumText25L"/>
          <w:color w:val="231F20"/>
          <w:spacing w:val="-2"/>
        </w:rPr>
        <w:t>r</w:t>
      </w:r>
      <w:r w:rsidRPr="00BD4AC1">
        <w:rPr>
          <w:rFonts w:eastAsia="TitilliumText25L" w:cs="TitilliumText25L"/>
          <w:color w:val="231F20"/>
          <w:spacing w:val="-3"/>
        </w:rPr>
        <w:t>ma</w:t>
      </w:r>
      <w:r w:rsidRPr="00BD4AC1">
        <w:rPr>
          <w:rFonts w:eastAsia="TitilliumText25L" w:cs="TitilliumText25L"/>
          <w:color w:val="231F20"/>
          <w:spacing w:val="-1"/>
        </w:rPr>
        <w:t>t</w:t>
      </w:r>
      <w:r w:rsidRPr="00BD4AC1">
        <w:rPr>
          <w:rFonts w:eastAsia="TitilliumText25L" w:cs="TitilliumText25L"/>
          <w:color w:val="231F20"/>
          <w:spacing w:val="-2"/>
        </w:rPr>
        <w:t>i</w:t>
      </w:r>
      <w:r w:rsidRPr="00BD4AC1">
        <w:rPr>
          <w:rFonts w:eastAsia="TitilliumText25L" w:cs="TitilliumText25L"/>
          <w:color w:val="231F20"/>
          <w:spacing w:val="-3"/>
        </w:rPr>
        <w:t>o</w:t>
      </w:r>
      <w:r w:rsidRPr="00BD4AC1">
        <w:rPr>
          <w:rFonts w:eastAsia="TitilliumText25L" w:cs="TitilliumText25L"/>
          <w:color w:val="231F20"/>
        </w:rPr>
        <w:t>n</w:t>
      </w:r>
      <w:r w:rsidRPr="00BD4AC1">
        <w:rPr>
          <w:rFonts w:eastAsia="TitilliumText25L" w:cs="TitilliumText25L"/>
          <w:color w:val="231F20"/>
          <w:spacing w:val="-7"/>
        </w:rPr>
        <w:t xml:space="preserve"> </w:t>
      </w:r>
      <w:r w:rsidRPr="00BD4AC1">
        <w:rPr>
          <w:rFonts w:eastAsia="TitilliumText25L" w:cs="TitilliumText25L"/>
          <w:color w:val="231F20"/>
          <w:spacing w:val="-2"/>
        </w:rPr>
        <w:t>t</w:t>
      </w:r>
      <w:r w:rsidRPr="00BD4AC1">
        <w:rPr>
          <w:rFonts w:eastAsia="TitilliumText25L" w:cs="TitilliumText25L"/>
          <w:color w:val="231F20"/>
        </w:rPr>
        <w:t>o</w:t>
      </w:r>
      <w:r w:rsidRPr="00BD4AC1">
        <w:rPr>
          <w:rFonts w:eastAsia="TitilliumText25L" w:cs="TitilliumText25L"/>
          <w:color w:val="231F20"/>
          <w:spacing w:val="-7"/>
        </w:rPr>
        <w:t xml:space="preserve"> </w:t>
      </w:r>
      <w:r w:rsidRPr="00BD4AC1">
        <w:rPr>
          <w:rFonts w:eastAsia="TitilliumText25L" w:cs="TitilliumText25L"/>
          <w:color w:val="231F20"/>
          <w:spacing w:val="-4"/>
        </w:rPr>
        <w:t>en</w:t>
      </w:r>
      <w:r w:rsidRPr="00BD4AC1">
        <w:rPr>
          <w:rFonts w:eastAsia="TitilliumText25L" w:cs="TitilliumText25L"/>
          <w:color w:val="231F20"/>
          <w:spacing w:val="-2"/>
        </w:rPr>
        <w:t>ab</w:t>
      </w:r>
      <w:r w:rsidRPr="00BD4AC1">
        <w:rPr>
          <w:rFonts w:eastAsia="TitilliumText25L" w:cs="TitilliumText25L"/>
          <w:color w:val="231F20"/>
          <w:spacing w:val="-3"/>
        </w:rPr>
        <w:t>l</w:t>
      </w:r>
      <w:r w:rsidRPr="00BD4AC1">
        <w:rPr>
          <w:rFonts w:eastAsia="TitilliumText25L" w:cs="TitilliumText25L"/>
          <w:color w:val="231F20"/>
        </w:rPr>
        <w:t>e</w:t>
      </w:r>
      <w:r w:rsidRPr="00BD4AC1">
        <w:rPr>
          <w:rFonts w:eastAsia="TitilliumText25L" w:cs="TitilliumText25L"/>
          <w:color w:val="231F20"/>
          <w:spacing w:val="-7"/>
        </w:rPr>
        <w:t xml:space="preserve"> </w:t>
      </w:r>
      <w:r w:rsidRPr="00BD4AC1">
        <w:rPr>
          <w:rFonts w:eastAsia="TitilliumText25L" w:cs="TitilliumText25L"/>
          <w:color w:val="231F20"/>
        </w:rPr>
        <w:t>a</w:t>
      </w:r>
      <w:r w:rsidRPr="00BD4AC1">
        <w:rPr>
          <w:rFonts w:eastAsia="TitilliumText25L" w:cs="TitilliumText25L"/>
          <w:color w:val="231F20"/>
          <w:spacing w:val="-3"/>
        </w:rPr>
        <w:t>s</w:t>
      </w:r>
      <w:r w:rsidRPr="00BD4AC1">
        <w:rPr>
          <w:rFonts w:eastAsia="TitilliumText25L" w:cs="TitilliumText25L"/>
          <w:color w:val="231F20"/>
          <w:spacing w:val="-2"/>
        </w:rPr>
        <w:t>s</w:t>
      </w:r>
      <w:r w:rsidRPr="00BD4AC1">
        <w:rPr>
          <w:rFonts w:eastAsia="TitilliumText25L" w:cs="TitilliumText25L"/>
          <w:color w:val="231F20"/>
          <w:spacing w:val="-1"/>
        </w:rPr>
        <w:t>e</w:t>
      </w:r>
      <w:r w:rsidRPr="00BD4AC1">
        <w:rPr>
          <w:rFonts w:eastAsia="TitilliumText25L" w:cs="TitilliumText25L"/>
          <w:color w:val="231F20"/>
          <w:spacing w:val="-3"/>
        </w:rPr>
        <w:t>s</w:t>
      </w:r>
      <w:r w:rsidRPr="00BD4AC1">
        <w:rPr>
          <w:rFonts w:eastAsia="TitilliumText25L" w:cs="TitilliumText25L"/>
          <w:color w:val="231F20"/>
          <w:spacing w:val="-5"/>
        </w:rPr>
        <w:t>s</w:t>
      </w:r>
      <w:r w:rsidRPr="00BD4AC1">
        <w:rPr>
          <w:rFonts w:eastAsia="TitilliumText25L" w:cs="TitilliumText25L"/>
          <w:color w:val="231F20"/>
          <w:spacing w:val="-3"/>
        </w:rPr>
        <w:t>m</w:t>
      </w:r>
      <w:r w:rsidRPr="00BD4AC1">
        <w:rPr>
          <w:rFonts w:eastAsia="TitilliumText25L" w:cs="TitilliumText25L"/>
          <w:color w:val="231F20"/>
          <w:spacing w:val="-4"/>
        </w:rPr>
        <w:t>en</w:t>
      </w:r>
      <w:r w:rsidRPr="00BD4AC1">
        <w:rPr>
          <w:rFonts w:eastAsia="TitilliumText25L" w:cs="TitilliumText25L"/>
          <w:color w:val="231F20"/>
        </w:rPr>
        <w:t>t</w:t>
      </w:r>
      <w:r w:rsidRPr="00BD4AC1">
        <w:rPr>
          <w:rFonts w:eastAsia="TitilliumText25L" w:cs="TitilliumText25L"/>
          <w:color w:val="231F20"/>
          <w:spacing w:val="-7"/>
        </w:rPr>
        <w:t xml:space="preserve"> </w:t>
      </w:r>
      <w:r w:rsidRPr="00BD4AC1">
        <w:rPr>
          <w:rFonts w:eastAsia="TitilliumText25L" w:cs="TitilliumText25L"/>
          <w:color w:val="231F20"/>
          <w:spacing w:val="-2"/>
        </w:rPr>
        <w:t>o</w:t>
      </w:r>
      <w:r w:rsidRPr="00BD4AC1">
        <w:rPr>
          <w:rFonts w:eastAsia="TitilliumText25L" w:cs="TitilliumText25L"/>
          <w:color w:val="231F20"/>
        </w:rPr>
        <w:t>f</w:t>
      </w:r>
      <w:r w:rsidRPr="00BD4AC1">
        <w:rPr>
          <w:rFonts w:eastAsia="TitilliumText25L" w:cs="TitilliumText25L"/>
          <w:color w:val="231F20"/>
          <w:spacing w:val="-7"/>
        </w:rPr>
        <w:t xml:space="preserve"> </w:t>
      </w:r>
      <w:r w:rsidRPr="00BD4AC1">
        <w:rPr>
          <w:rFonts w:eastAsia="TitilliumText25L" w:cs="TitilliumText25L"/>
          <w:color w:val="231F20"/>
          <w:spacing w:val="-3"/>
        </w:rPr>
        <w:t>yo</w:t>
      </w:r>
      <w:r w:rsidRPr="00BD4AC1">
        <w:rPr>
          <w:rFonts w:eastAsia="TitilliumText25L" w:cs="TitilliumText25L"/>
          <w:color w:val="231F20"/>
          <w:spacing w:val="-5"/>
        </w:rPr>
        <w:t>u</w:t>
      </w:r>
      <w:r w:rsidRPr="00BD4AC1">
        <w:rPr>
          <w:rFonts w:eastAsia="TitilliumText25L" w:cs="TitilliumText25L"/>
          <w:color w:val="231F20"/>
        </w:rPr>
        <w:t>r</w:t>
      </w:r>
      <w:r>
        <w:rPr>
          <w:rFonts w:eastAsia="TitilliumText25L" w:cs="TitilliumText25L"/>
          <w:color w:val="231F20"/>
          <w:spacing w:val="-3"/>
        </w:rPr>
        <w:t xml:space="preserve"> </w:t>
      </w:r>
      <w:r w:rsidRPr="00BD4AC1">
        <w:rPr>
          <w:rFonts w:eastAsia="TitilliumText25L" w:cs="TitilliumText25L"/>
          <w:color w:val="231F20"/>
          <w:spacing w:val="-3"/>
        </w:rPr>
        <w:t>e</w:t>
      </w:r>
      <w:r w:rsidRPr="00BD4AC1">
        <w:rPr>
          <w:rFonts w:eastAsia="TitilliumText25L" w:cs="TitilliumText25L"/>
          <w:color w:val="231F20"/>
          <w:spacing w:val="-4"/>
        </w:rPr>
        <w:t>li</w:t>
      </w:r>
      <w:r w:rsidRPr="00BD4AC1">
        <w:rPr>
          <w:rFonts w:eastAsia="TitilliumText25L" w:cs="TitilliumText25L"/>
          <w:color w:val="231F20"/>
          <w:spacing w:val="-1"/>
        </w:rPr>
        <w:t>g</w:t>
      </w:r>
      <w:r w:rsidRPr="00BD4AC1">
        <w:rPr>
          <w:rFonts w:eastAsia="TitilliumText25L" w:cs="TitilliumText25L"/>
          <w:color w:val="231F20"/>
          <w:spacing w:val="-5"/>
        </w:rPr>
        <w:t>i</w:t>
      </w:r>
      <w:r w:rsidRPr="00BD4AC1">
        <w:rPr>
          <w:rFonts w:eastAsia="TitilliumText25L" w:cs="TitilliumText25L"/>
          <w:color w:val="231F20"/>
          <w:spacing w:val="-2"/>
        </w:rPr>
        <w:t>b</w:t>
      </w:r>
      <w:r w:rsidRPr="00BD4AC1">
        <w:rPr>
          <w:rFonts w:eastAsia="TitilliumText25L" w:cs="TitilliumText25L"/>
          <w:color w:val="231F20"/>
          <w:spacing w:val="-4"/>
        </w:rPr>
        <w:t>il</w:t>
      </w:r>
      <w:r w:rsidRPr="00BD4AC1">
        <w:rPr>
          <w:rFonts w:eastAsia="TitilliumText25L" w:cs="TitilliumText25L"/>
          <w:color w:val="231F20"/>
          <w:spacing w:val="-2"/>
        </w:rPr>
        <w:t>i</w:t>
      </w:r>
      <w:r w:rsidRPr="00BD4AC1">
        <w:rPr>
          <w:rFonts w:eastAsia="TitilliumText25L" w:cs="TitilliumText25L"/>
          <w:color w:val="231F20"/>
          <w:spacing w:val="3"/>
        </w:rPr>
        <w:t>t</w:t>
      </w:r>
      <w:r w:rsidRPr="00BD4AC1">
        <w:rPr>
          <w:rFonts w:eastAsia="TitilliumText25L" w:cs="TitilliumText25L"/>
          <w:color w:val="231F20"/>
        </w:rPr>
        <w:t>y</w:t>
      </w:r>
      <w:r w:rsidRPr="00BD4AC1">
        <w:rPr>
          <w:rFonts w:eastAsia="TitilliumText25L" w:cs="TitilliumText25L"/>
          <w:color w:val="231F20"/>
          <w:spacing w:val="-7"/>
        </w:rPr>
        <w:t xml:space="preserve"> </w:t>
      </w:r>
      <w:r w:rsidRPr="00BD4AC1">
        <w:rPr>
          <w:rFonts w:eastAsia="TitilliumText25L" w:cs="TitilliumText25L"/>
          <w:color w:val="231F20"/>
          <w:spacing w:val="-2"/>
        </w:rPr>
        <w:t>a</w:t>
      </w:r>
      <w:r w:rsidRPr="00BD4AC1">
        <w:rPr>
          <w:rFonts w:eastAsia="TitilliumText25L" w:cs="TitilliumText25L"/>
          <w:color w:val="231F20"/>
          <w:spacing w:val="-3"/>
        </w:rPr>
        <w:t>n</w:t>
      </w:r>
      <w:r w:rsidRPr="00BD4AC1">
        <w:rPr>
          <w:rFonts w:eastAsia="TitilliumText25L" w:cs="TitilliumText25L"/>
          <w:color w:val="231F20"/>
        </w:rPr>
        <w:t>d</w:t>
      </w:r>
      <w:r w:rsidRPr="00BD4AC1">
        <w:rPr>
          <w:rFonts w:eastAsia="TitilliumText25L" w:cs="TitilliumText25L"/>
          <w:color w:val="231F20"/>
          <w:spacing w:val="-7"/>
        </w:rPr>
        <w:t xml:space="preserve"> </w:t>
      </w:r>
      <w:r w:rsidRPr="00BD4AC1">
        <w:rPr>
          <w:rFonts w:eastAsia="TitilliumText25L" w:cs="TitilliumText25L"/>
          <w:color w:val="231F20"/>
          <w:spacing w:val="-3"/>
        </w:rPr>
        <w:t>yo</w:t>
      </w:r>
      <w:r w:rsidRPr="00BD4AC1">
        <w:rPr>
          <w:rFonts w:eastAsia="TitilliumText25L" w:cs="TitilliumText25L"/>
          <w:color w:val="231F20"/>
        </w:rPr>
        <w:t>u</w:t>
      </w:r>
      <w:r w:rsidRPr="00BD4AC1">
        <w:rPr>
          <w:rFonts w:eastAsia="TitilliumText25L" w:cs="TitilliumText25L"/>
          <w:color w:val="231F20"/>
          <w:spacing w:val="-7"/>
        </w:rPr>
        <w:t xml:space="preserve"> </w:t>
      </w:r>
      <w:r w:rsidRPr="00BD4AC1">
        <w:rPr>
          <w:rFonts w:eastAsia="TitilliumText25L" w:cs="TitilliumText25L"/>
          <w:color w:val="231F20"/>
          <w:spacing w:val="-2"/>
        </w:rPr>
        <w:t>w</w:t>
      </w:r>
      <w:r w:rsidRPr="00BD4AC1">
        <w:rPr>
          <w:rFonts w:eastAsia="TitilliumText25L" w:cs="TitilliumText25L"/>
          <w:color w:val="231F20"/>
          <w:spacing w:val="-4"/>
        </w:rPr>
        <w:t>i</w:t>
      </w:r>
      <w:r w:rsidRPr="00BD4AC1">
        <w:rPr>
          <w:rFonts w:eastAsia="TitilliumText25L" w:cs="TitilliumText25L"/>
          <w:color w:val="231F20"/>
          <w:spacing w:val="-5"/>
        </w:rPr>
        <w:t>l</w:t>
      </w:r>
      <w:r w:rsidRPr="00BD4AC1">
        <w:rPr>
          <w:rFonts w:eastAsia="TitilliumText25L" w:cs="TitilliumText25L"/>
          <w:color w:val="231F20"/>
        </w:rPr>
        <w:t>l</w:t>
      </w:r>
      <w:r w:rsidRPr="00BD4AC1">
        <w:rPr>
          <w:rFonts w:eastAsia="TitilliumText25L" w:cs="TitilliumText25L"/>
          <w:color w:val="231F20"/>
          <w:spacing w:val="-7"/>
        </w:rPr>
        <w:t xml:space="preserve"> </w:t>
      </w:r>
      <w:r w:rsidRPr="00BD4AC1">
        <w:rPr>
          <w:rFonts w:eastAsia="TitilliumText25L" w:cs="TitilliumText25L"/>
          <w:color w:val="231F20"/>
          <w:spacing w:val="-2"/>
        </w:rPr>
        <w:t>t</w:t>
      </w:r>
      <w:r w:rsidRPr="00BD4AC1">
        <w:rPr>
          <w:rFonts w:eastAsia="TitilliumText25L" w:cs="TitilliumText25L"/>
          <w:color w:val="231F20"/>
          <w:spacing w:val="-3"/>
        </w:rPr>
        <w:t>h</w:t>
      </w:r>
      <w:r w:rsidRPr="00BD4AC1">
        <w:rPr>
          <w:rFonts w:eastAsia="TitilliumText25L" w:cs="TitilliumText25L"/>
          <w:color w:val="231F20"/>
          <w:spacing w:val="-4"/>
        </w:rPr>
        <w:t>e</w:t>
      </w:r>
      <w:r w:rsidRPr="00BD4AC1">
        <w:rPr>
          <w:rFonts w:eastAsia="TitilliumText25L" w:cs="TitilliumText25L"/>
          <w:color w:val="231F20"/>
          <w:spacing w:val="-2"/>
        </w:rPr>
        <w:t>r</w:t>
      </w:r>
      <w:r w:rsidRPr="00BD4AC1">
        <w:rPr>
          <w:rFonts w:eastAsia="TitilliumText25L" w:cs="TitilliumText25L"/>
          <w:color w:val="231F20"/>
          <w:spacing w:val="-1"/>
        </w:rPr>
        <w:t>ef</w:t>
      </w:r>
      <w:r w:rsidRPr="00BD4AC1">
        <w:rPr>
          <w:rFonts w:eastAsia="TitilliumText25L" w:cs="TitilliumText25L"/>
          <w:color w:val="231F20"/>
          <w:spacing w:val="-3"/>
        </w:rPr>
        <w:t>o</w:t>
      </w:r>
      <w:r w:rsidRPr="00BD4AC1">
        <w:rPr>
          <w:rFonts w:eastAsia="TitilliumText25L" w:cs="TitilliumText25L"/>
          <w:color w:val="231F20"/>
          <w:spacing w:val="-2"/>
        </w:rPr>
        <w:t>r</w:t>
      </w:r>
      <w:r w:rsidRPr="00BD4AC1">
        <w:rPr>
          <w:rFonts w:eastAsia="TitilliumText25L" w:cs="TitilliumText25L"/>
          <w:color w:val="231F20"/>
        </w:rPr>
        <w:t>e</w:t>
      </w:r>
      <w:r w:rsidRPr="00BD4AC1">
        <w:rPr>
          <w:rFonts w:eastAsia="TitilliumText25L" w:cs="TitilliumText25L"/>
          <w:color w:val="231F20"/>
          <w:spacing w:val="-7"/>
        </w:rPr>
        <w:t xml:space="preserve"> </w:t>
      </w:r>
      <w:r w:rsidRPr="00BD4AC1">
        <w:rPr>
          <w:rFonts w:eastAsia="TitilliumText25L" w:cs="TitilliumText25L"/>
          <w:color w:val="231F20"/>
          <w:spacing w:val="-3"/>
        </w:rPr>
        <w:t>n</w:t>
      </w:r>
      <w:r w:rsidRPr="00BD4AC1">
        <w:rPr>
          <w:rFonts w:eastAsia="TitilliumText25L" w:cs="TitilliumText25L"/>
          <w:color w:val="231F20"/>
          <w:spacing w:val="-2"/>
        </w:rPr>
        <w:t>o</w:t>
      </w:r>
      <w:r w:rsidRPr="00BD4AC1">
        <w:rPr>
          <w:rFonts w:eastAsia="TitilliumText25L" w:cs="TitilliumText25L"/>
          <w:color w:val="231F20"/>
        </w:rPr>
        <w:t>t</w:t>
      </w:r>
      <w:r w:rsidRPr="00BD4AC1">
        <w:rPr>
          <w:rFonts w:eastAsia="TitilliumText25L" w:cs="TitilliumText25L"/>
          <w:color w:val="231F20"/>
          <w:spacing w:val="-7"/>
        </w:rPr>
        <w:t xml:space="preserve"> </w:t>
      </w:r>
      <w:r w:rsidRPr="00BD4AC1">
        <w:rPr>
          <w:rFonts w:eastAsia="TitilliumText25L" w:cs="TitilliumText25L"/>
          <w:color w:val="231F20"/>
          <w:spacing w:val="-1"/>
        </w:rPr>
        <w:t>b</w:t>
      </w:r>
      <w:r w:rsidRPr="00BD4AC1">
        <w:rPr>
          <w:rFonts w:eastAsia="TitilliumText25L" w:cs="TitilliumText25L"/>
          <w:color w:val="231F20"/>
        </w:rPr>
        <w:t>e</w:t>
      </w:r>
      <w:r w:rsidRPr="00BD4AC1">
        <w:rPr>
          <w:rFonts w:eastAsia="TitilliumText25L" w:cs="TitilliumText25L"/>
          <w:color w:val="231F20"/>
          <w:spacing w:val="-7"/>
        </w:rPr>
        <w:t xml:space="preserve"> </w:t>
      </w:r>
      <w:r w:rsidRPr="00BD4AC1">
        <w:rPr>
          <w:rFonts w:eastAsia="TitilliumText25L" w:cs="TitilliumText25L"/>
          <w:color w:val="231F20"/>
          <w:spacing w:val="-2"/>
        </w:rPr>
        <w:t>ab</w:t>
      </w:r>
      <w:r w:rsidRPr="00BD4AC1">
        <w:rPr>
          <w:rFonts w:eastAsia="TitilliumText25L" w:cs="TitilliumText25L"/>
          <w:color w:val="231F20"/>
          <w:spacing w:val="-3"/>
        </w:rPr>
        <w:t>l</w:t>
      </w:r>
      <w:r w:rsidRPr="00BD4AC1">
        <w:rPr>
          <w:rFonts w:eastAsia="TitilliumText25L" w:cs="TitilliumText25L"/>
          <w:color w:val="231F20"/>
        </w:rPr>
        <w:t>e</w:t>
      </w:r>
      <w:r w:rsidRPr="00BD4AC1">
        <w:rPr>
          <w:rFonts w:eastAsia="TitilliumText25L" w:cs="TitilliumText25L"/>
          <w:color w:val="231F20"/>
          <w:spacing w:val="-7"/>
        </w:rPr>
        <w:t xml:space="preserve"> </w:t>
      </w:r>
      <w:r w:rsidRPr="00BD4AC1">
        <w:rPr>
          <w:rFonts w:eastAsia="TitilliumText25L" w:cs="TitilliumText25L"/>
          <w:color w:val="231F20"/>
          <w:spacing w:val="-2"/>
        </w:rPr>
        <w:t>t</w:t>
      </w:r>
      <w:r w:rsidRPr="00BD4AC1">
        <w:rPr>
          <w:rFonts w:eastAsia="TitilliumText25L" w:cs="TitilliumText25L"/>
          <w:color w:val="231F20"/>
        </w:rPr>
        <w:t>o</w:t>
      </w:r>
      <w:r w:rsidRPr="00BD4AC1">
        <w:rPr>
          <w:rFonts w:eastAsia="TitilliumText25L" w:cs="TitilliumText25L"/>
          <w:color w:val="231F20"/>
          <w:spacing w:val="-7"/>
        </w:rPr>
        <w:t xml:space="preserve"> </w:t>
      </w:r>
      <w:r w:rsidRPr="00BD4AC1">
        <w:rPr>
          <w:rFonts w:eastAsia="TitilliumText25L" w:cs="TitilliumText25L"/>
          <w:color w:val="231F20"/>
          <w:spacing w:val="-2"/>
        </w:rPr>
        <w:t>r</w:t>
      </w:r>
      <w:r w:rsidRPr="00BD4AC1">
        <w:rPr>
          <w:rFonts w:eastAsia="TitilliumText25L" w:cs="TitilliumText25L"/>
          <w:color w:val="231F20"/>
          <w:spacing w:val="-1"/>
        </w:rPr>
        <w:t>e</w:t>
      </w:r>
      <w:r w:rsidRPr="00BD4AC1">
        <w:rPr>
          <w:rFonts w:eastAsia="TitilliumText25L" w:cs="TitilliumText25L"/>
          <w:color w:val="231F20"/>
          <w:spacing w:val="-3"/>
        </w:rPr>
        <w:t>ce</w:t>
      </w:r>
      <w:r w:rsidRPr="00BD4AC1">
        <w:rPr>
          <w:rFonts w:eastAsia="TitilliumText25L" w:cs="TitilliumText25L"/>
          <w:color w:val="231F20"/>
          <w:spacing w:val="-2"/>
        </w:rPr>
        <w:t>i</w:t>
      </w:r>
      <w:r w:rsidRPr="00BD4AC1">
        <w:rPr>
          <w:rFonts w:eastAsia="TitilliumText25L" w:cs="TitilliumText25L"/>
          <w:color w:val="231F20"/>
          <w:spacing w:val="-3"/>
        </w:rPr>
        <w:t>v</w:t>
      </w:r>
      <w:r w:rsidRPr="00BD4AC1">
        <w:rPr>
          <w:rFonts w:eastAsia="TitilliumText25L" w:cs="TitilliumText25L"/>
          <w:color w:val="231F20"/>
        </w:rPr>
        <w:t>e</w:t>
      </w:r>
      <w:r>
        <w:rPr>
          <w:rFonts w:eastAsia="TitilliumText25L" w:cs="TitilliumText25L"/>
          <w:color w:val="231F20"/>
          <w:spacing w:val="-2"/>
        </w:rPr>
        <w:t xml:space="preserve"> </w:t>
      </w:r>
      <w:r w:rsidRPr="00BD4AC1">
        <w:rPr>
          <w:rFonts w:eastAsia="TitilliumText25L" w:cs="TitilliumText25L"/>
          <w:color w:val="231F20"/>
          <w:spacing w:val="-2"/>
        </w:rPr>
        <w:t>g</w:t>
      </w:r>
      <w:r w:rsidRPr="00BD4AC1">
        <w:rPr>
          <w:rFonts w:eastAsia="TitilliumText25L" w:cs="TitilliumText25L"/>
          <w:color w:val="231F20"/>
          <w:spacing w:val="-3"/>
        </w:rPr>
        <w:t>ov</w:t>
      </w:r>
      <w:r w:rsidRPr="00BD4AC1">
        <w:rPr>
          <w:rFonts w:eastAsia="TitilliumText25L" w:cs="TitilliumText25L"/>
          <w:color w:val="231F20"/>
          <w:spacing w:val="-4"/>
        </w:rPr>
        <w:t>e</w:t>
      </w:r>
      <w:r w:rsidRPr="00BD4AC1">
        <w:rPr>
          <w:rFonts w:eastAsia="TitilliumText25L" w:cs="TitilliumText25L"/>
          <w:color w:val="231F20"/>
          <w:spacing w:val="-2"/>
        </w:rPr>
        <w:t>r</w:t>
      </w:r>
      <w:r w:rsidRPr="00BD4AC1">
        <w:rPr>
          <w:rFonts w:eastAsia="TitilliumText25L" w:cs="TitilliumText25L"/>
          <w:color w:val="231F20"/>
          <w:spacing w:val="-5"/>
        </w:rPr>
        <w:t>n</w:t>
      </w:r>
      <w:r w:rsidRPr="00BD4AC1">
        <w:rPr>
          <w:rFonts w:eastAsia="TitilliumText25L" w:cs="TitilliumText25L"/>
          <w:color w:val="231F20"/>
          <w:spacing w:val="-3"/>
        </w:rPr>
        <w:t>m</w:t>
      </w:r>
      <w:r w:rsidRPr="00BD4AC1">
        <w:rPr>
          <w:rFonts w:eastAsia="TitilliumText25L" w:cs="TitilliumText25L"/>
          <w:color w:val="231F20"/>
          <w:spacing w:val="-4"/>
        </w:rPr>
        <w:t>en</w:t>
      </w:r>
      <w:r w:rsidRPr="00BD4AC1">
        <w:rPr>
          <w:rFonts w:eastAsia="TitilliumText25L" w:cs="TitilliumText25L"/>
          <w:color w:val="231F20"/>
        </w:rPr>
        <w:t>t</w:t>
      </w:r>
      <w:r w:rsidRPr="00BD4AC1">
        <w:rPr>
          <w:rFonts w:eastAsia="TitilliumText25L" w:cs="TitilliumText25L"/>
          <w:color w:val="231F20"/>
          <w:spacing w:val="-7"/>
        </w:rPr>
        <w:t xml:space="preserve"> </w:t>
      </w:r>
      <w:r w:rsidRPr="00BD4AC1">
        <w:rPr>
          <w:rFonts w:eastAsia="TitilliumText25L" w:cs="TitilliumText25L"/>
          <w:color w:val="231F20"/>
          <w:spacing w:val="-1"/>
        </w:rPr>
        <w:t>f</w:t>
      </w:r>
      <w:r w:rsidRPr="00BD4AC1">
        <w:rPr>
          <w:rFonts w:eastAsia="TitilliumText25L" w:cs="TitilliumText25L"/>
          <w:color w:val="231F20"/>
          <w:spacing w:val="-5"/>
        </w:rPr>
        <w:t>u</w:t>
      </w:r>
      <w:r w:rsidRPr="00BD4AC1">
        <w:rPr>
          <w:rFonts w:eastAsia="TitilliumText25L" w:cs="TitilliumText25L"/>
          <w:color w:val="231F20"/>
          <w:spacing w:val="-3"/>
        </w:rPr>
        <w:t>nd</w:t>
      </w:r>
      <w:r w:rsidRPr="00BD4AC1">
        <w:rPr>
          <w:rFonts w:eastAsia="TitilliumText25L" w:cs="TitilliumText25L"/>
          <w:color w:val="231F20"/>
          <w:spacing w:val="-1"/>
        </w:rPr>
        <w:t>e</w:t>
      </w:r>
      <w:r w:rsidRPr="00BD4AC1">
        <w:rPr>
          <w:rFonts w:eastAsia="TitilliumText25L" w:cs="TitilliumText25L"/>
          <w:color w:val="231F20"/>
        </w:rPr>
        <w:t>d</w:t>
      </w:r>
      <w:r w:rsidRPr="00BD4AC1">
        <w:rPr>
          <w:rFonts w:eastAsia="TitilliumText25L" w:cs="TitilliumText25L"/>
          <w:color w:val="231F20"/>
          <w:spacing w:val="-7"/>
        </w:rPr>
        <w:t xml:space="preserve"> </w:t>
      </w:r>
      <w:r w:rsidRPr="00BD4AC1">
        <w:rPr>
          <w:rFonts w:eastAsia="TitilliumText25L" w:cs="TitilliumText25L"/>
          <w:color w:val="231F20"/>
          <w:spacing w:val="-4"/>
        </w:rPr>
        <w:t>I</w:t>
      </w:r>
      <w:r w:rsidRPr="00BD4AC1">
        <w:rPr>
          <w:rFonts w:eastAsia="TitilliumText25L" w:cs="TitilliumText25L"/>
          <w:color w:val="231F20"/>
        </w:rPr>
        <w:t>g</w:t>
      </w:r>
      <w:r w:rsidRPr="00BD4AC1">
        <w:rPr>
          <w:rFonts w:eastAsia="TitilliumText25L" w:cs="TitilliumText25L"/>
          <w:color w:val="231F20"/>
          <w:spacing w:val="-7"/>
        </w:rPr>
        <w:t xml:space="preserve"> </w:t>
      </w:r>
      <w:r w:rsidRPr="00BD4AC1">
        <w:rPr>
          <w:rFonts w:eastAsia="TitilliumText25L" w:cs="TitilliumText25L"/>
          <w:color w:val="231F20"/>
          <w:spacing w:val="-3"/>
        </w:rPr>
        <w:t>p</w:t>
      </w:r>
      <w:r w:rsidRPr="00BD4AC1">
        <w:rPr>
          <w:rFonts w:eastAsia="TitilliumText25L" w:cs="TitilliumText25L"/>
          <w:color w:val="231F20"/>
          <w:spacing w:val="-2"/>
        </w:rPr>
        <w:t>r</w:t>
      </w:r>
      <w:r w:rsidRPr="00BD4AC1">
        <w:rPr>
          <w:rFonts w:eastAsia="TitilliumText25L" w:cs="TitilliumText25L"/>
          <w:color w:val="231F20"/>
          <w:spacing w:val="-1"/>
        </w:rPr>
        <w:t>o</w:t>
      </w:r>
      <w:r w:rsidRPr="00BD4AC1">
        <w:rPr>
          <w:rFonts w:eastAsia="TitilliumText25L" w:cs="TitilliumText25L"/>
          <w:color w:val="231F20"/>
          <w:spacing w:val="-5"/>
        </w:rPr>
        <w:t>d</w:t>
      </w:r>
      <w:r w:rsidRPr="00BD4AC1">
        <w:rPr>
          <w:rFonts w:eastAsia="TitilliumText25L" w:cs="TitilliumText25L"/>
          <w:color w:val="231F20"/>
          <w:spacing w:val="-3"/>
        </w:rPr>
        <w:t>u</w:t>
      </w:r>
      <w:r w:rsidRPr="00BD4AC1">
        <w:rPr>
          <w:rFonts w:eastAsia="TitilliumText25L" w:cs="TitilliumText25L"/>
          <w:color w:val="231F20"/>
          <w:spacing w:val="1"/>
        </w:rPr>
        <w:t>c</w:t>
      </w:r>
      <w:r w:rsidRPr="00BD4AC1">
        <w:rPr>
          <w:rFonts w:eastAsia="TitilliumText25L" w:cs="TitilliumText25L"/>
          <w:color w:val="231F20"/>
        </w:rPr>
        <w:t>t</w:t>
      </w:r>
      <w:r w:rsidRPr="00BD4AC1">
        <w:rPr>
          <w:rFonts w:eastAsia="TitilliumText25L" w:cs="TitilliumText25L"/>
          <w:color w:val="231F20"/>
          <w:spacing w:val="-3"/>
        </w:rPr>
        <w:t>s</w:t>
      </w:r>
      <w:r w:rsidRPr="00BD4AC1">
        <w:rPr>
          <w:rFonts w:eastAsia="TitilliumText25L" w:cs="TitilliumText25L"/>
          <w:color w:val="231F20"/>
        </w:rPr>
        <w:t>.</w:t>
      </w:r>
      <w:r w:rsidRPr="00BD4AC1">
        <w:rPr>
          <w:rFonts w:eastAsia="TitilliumText25L" w:cs="TitilliumText25L"/>
          <w:color w:val="231F20"/>
          <w:spacing w:val="-7"/>
        </w:rPr>
        <w:t xml:space="preserve"> </w:t>
      </w:r>
      <w:r w:rsidRPr="00BD4AC1">
        <w:rPr>
          <w:rFonts w:eastAsia="TitilliumText25L" w:cs="TitilliumText25L"/>
          <w:color w:val="231F20"/>
          <w:spacing w:val="-2"/>
        </w:rPr>
        <w:t>Alt</w:t>
      </w:r>
      <w:r w:rsidRPr="00BD4AC1">
        <w:rPr>
          <w:rFonts w:eastAsia="TitilliumText25L" w:cs="TitilliumText25L"/>
          <w:color w:val="231F20"/>
          <w:spacing w:val="-4"/>
        </w:rPr>
        <w:t>e</w:t>
      </w:r>
      <w:r w:rsidRPr="00BD4AC1">
        <w:rPr>
          <w:rFonts w:eastAsia="TitilliumText25L" w:cs="TitilliumText25L"/>
          <w:color w:val="231F20"/>
          <w:spacing w:val="-2"/>
        </w:rPr>
        <w:t>r</w:t>
      </w:r>
      <w:r w:rsidRPr="00BD4AC1">
        <w:rPr>
          <w:rFonts w:eastAsia="TitilliumText25L" w:cs="TitilliumText25L"/>
          <w:color w:val="231F20"/>
          <w:spacing w:val="-4"/>
        </w:rPr>
        <w:t>n</w:t>
      </w:r>
      <w:r w:rsidRPr="00BD4AC1">
        <w:rPr>
          <w:rFonts w:eastAsia="TitilliumText25L" w:cs="TitilliumText25L"/>
          <w:color w:val="231F20"/>
          <w:spacing w:val="-3"/>
        </w:rPr>
        <w:t>a</w:t>
      </w:r>
      <w:r w:rsidRPr="00BD4AC1">
        <w:rPr>
          <w:rFonts w:eastAsia="TitilliumText25L" w:cs="TitilliumText25L"/>
          <w:color w:val="231F20"/>
          <w:spacing w:val="-1"/>
        </w:rPr>
        <w:t>t</w:t>
      </w:r>
      <w:r w:rsidRPr="00BD4AC1">
        <w:rPr>
          <w:rFonts w:eastAsia="TitilliumText25L" w:cs="TitilliumText25L"/>
          <w:color w:val="231F20"/>
          <w:spacing w:val="-2"/>
        </w:rPr>
        <w:t>i</w:t>
      </w:r>
      <w:r w:rsidRPr="00BD4AC1">
        <w:rPr>
          <w:rFonts w:eastAsia="TitilliumText25L" w:cs="TitilliumText25L"/>
          <w:color w:val="231F20"/>
          <w:spacing w:val="-3"/>
        </w:rPr>
        <w:t>v</w:t>
      </w:r>
      <w:r w:rsidRPr="00BD4AC1">
        <w:rPr>
          <w:rFonts w:eastAsia="TitilliumText25L" w:cs="TitilliumText25L"/>
          <w:color w:val="231F20"/>
        </w:rPr>
        <w:t>e</w:t>
      </w:r>
      <w:r w:rsidRPr="00BD4AC1">
        <w:rPr>
          <w:rFonts w:eastAsia="TitilliumText25L" w:cs="TitilliumText25L"/>
          <w:color w:val="231F20"/>
          <w:spacing w:val="-7"/>
        </w:rPr>
        <w:t xml:space="preserve"> </w:t>
      </w:r>
      <w:r w:rsidRPr="00BD4AC1">
        <w:rPr>
          <w:rFonts w:eastAsia="TitilliumText25L" w:cs="TitilliumText25L"/>
          <w:color w:val="231F20"/>
          <w:spacing w:val="-2"/>
        </w:rPr>
        <w:t>ar</w:t>
      </w:r>
      <w:r w:rsidRPr="00BD4AC1">
        <w:rPr>
          <w:rFonts w:eastAsia="TitilliumText25L" w:cs="TitilliumText25L"/>
          <w:color w:val="231F20"/>
        </w:rPr>
        <w:t>r</w:t>
      </w:r>
      <w:r w:rsidRPr="00BD4AC1">
        <w:rPr>
          <w:rFonts w:eastAsia="TitilliumText25L" w:cs="TitilliumText25L"/>
          <w:color w:val="231F20"/>
          <w:spacing w:val="-2"/>
        </w:rPr>
        <w:t>a</w:t>
      </w:r>
      <w:r w:rsidRPr="00BD4AC1">
        <w:rPr>
          <w:rFonts w:eastAsia="TitilliumText25L" w:cs="TitilliumText25L"/>
          <w:color w:val="231F20"/>
          <w:spacing w:val="-4"/>
        </w:rPr>
        <w:t>n</w:t>
      </w:r>
      <w:r w:rsidRPr="00BD4AC1">
        <w:rPr>
          <w:rFonts w:eastAsia="TitilliumText25L" w:cs="TitilliumText25L"/>
          <w:color w:val="231F20"/>
          <w:spacing w:val="-3"/>
        </w:rPr>
        <w:t>g</w:t>
      </w:r>
      <w:r w:rsidRPr="00BD4AC1">
        <w:rPr>
          <w:rFonts w:eastAsia="TitilliumText25L" w:cs="TitilliumText25L"/>
          <w:color w:val="231F20"/>
          <w:spacing w:val="-4"/>
        </w:rPr>
        <w:t>e</w:t>
      </w:r>
      <w:r w:rsidRPr="00BD4AC1">
        <w:rPr>
          <w:rFonts w:eastAsia="TitilliumText25L" w:cs="TitilliumText25L"/>
          <w:color w:val="231F20"/>
          <w:spacing w:val="-3"/>
        </w:rPr>
        <w:t>m</w:t>
      </w:r>
      <w:r w:rsidRPr="00BD4AC1">
        <w:rPr>
          <w:rFonts w:eastAsia="TitilliumText25L" w:cs="TitilliumText25L"/>
          <w:color w:val="231F20"/>
          <w:spacing w:val="-4"/>
        </w:rPr>
        <w:t>en</w:t>
      </w:r>
      <w:r w:rsidRPr="00BD4AC1">
        <w:rPr>
          <w:rFonts w:eastAsia="TitilliumText25L" w:cs="TitilliumText25L"/>
          <w:color w:val="231F20"/>
        </w:rPr>
        <w:t>ts</w:t>
      </w:r>
      <w:r>
        <w:rPr>
          <w:rFonts w:eastAsia="TitilliumText25L" w:cs="TitilliumText25L"/>
          <w:color w:val="231F20"/>
          <w:spacing w:val="-2"/>
        </w:rPr>
        <w:t xml:space="preserve"> </w:t>
      </w:r>
      <w:r w:rsidRPr="00BD4AC1">
        <w:rPr>
          <w:rFonts w:eastAsia="TitilliumText25L" w:cs="TitilliumText25L"/>
          <w:color w:val="231F20"/>
          <w:spacing w:val="-2"/>
        </w:rPr>
        <w:t>ar</w:t>
      </w:r>
      <w:r w:rsidRPr="00BD4AC1">
        <w:rPr>
          <w:rFonts w:eastAsia="TitilliumText25L" w:cs="TitilliumText25L"/>
          <w:color w:val="231F20"/>
        </w:rPr>
        <w:t>e</w:t>
      </w:r>
      <w:r w:rsidRPr="00BD4AC1">
        <w:rPr>
          <w:rFonts w:eastAsia="TitilliumText25L" w:cs="TitilliumText25L"/>
          <w:color w:val="231F20"/>
          <w:spacing w:val="-7"/>
        </w:rPr>
        <w:t xml:space="preserve"> </w:t>
      </w:r>
      <w:r w:rsidRPr="00BD4AC1">
        <w:rPr>
          <w:rFonts w:eastAsia="TitilliumText25L" w:cs="TitilliumText25L"/>
          <w:color w:val="231F20"/>
          <w:spacing w:val="-5"/>
        </w:rPr>
        <w:t>a</w:t>
      </w:r>
      <w:r w:rsidRPr="00BD4AC1">
        <w:rPr>
          <w:rFonts w:eastAsia="TitilliumText25L" w:cs="TitilliumText25L"/>
          <w:color w:val="231F20"/>
          <w:spacing w:val="-1"/>
        </w:rPr>
        <w:t>va</w:t>
      </w:r>
      <w:r w:rsidRPr="00BD4AC1">
        <w:rPr>
          <w:rFonts w:eastAsia="TitilliumText25L" w:cs="TitilliumText25L"/>
          <w:color w:val="231F20"/>
          <w:spacing w:val="-4"/>
        </w:rPr>
        <w:t>il</w:t>
      </w:r>
      <w:r w:rsidRPr="00BD4AC1">
        <w:rPr>
          <w:rFonts w:eastAsia="TitilliumText25L" w:cs="TitilliumText25L"/>
          <w:color w:val="231F20"/>
          <w:spacing w:val="-2"/>
        </w:rPr>
        <w:t>ab</w:t>
      </w:r>
      <w:r w:rsidRPr="00BD4AC1">
        <w:rPr>
          <w:rFonts w:eastAsia="TitilliumText25L" w:cs="TitilliumText25L"/>
          <w:color w:val="231F20"/>
          <w:spacing w:val="-3"/>
        </w:rPr>
        <w:t>l</w:t>
      </w:r>
      <w:r w:rsidRPr="00BD4AC1">
        <w:rPr>
          <w:rFonts w:eastAsia="TitilliumText25L" w:cs="TitilliumText25L"/>
          <w:color w:val="231F20"/>
          <w:spacing w:val="-2"/>
        </w:rPr>
        <w:t>e</w:t>
      </w:r>
      <w:r w:rsidRPr="00BD4AC1">
        <w:rPr>
          <w:rFonts w:eastAsia="TitilliumText25L" w:cs="TitilliumText25L"/>
          <w:color w:val="231F20"/>
        </w:rPr>
        <w:t>,</w:t>
      </w:r>
      <w:r w:rsidRPr="00BD4AC1">
        <w:rPr>
          <w:rFonts w:eastAsia="TitilliumText25L" w:cs="TitilliumText25L"/>
          <w:color w:val="231F20"/>
          <w:spacing w:val="-7"/>
        </w:rPr>
        <w:t xml:space="preserve"> </w:t>
      </w:r>
      <w:r w:rsidRPr="00BD4AC1">
        <w:rPr>
          <w:rFonts w:eastAsia="TitilliumText25L" w:cs="TitilliumText25L"/>
          <w:color w:val="231F20"/>
          <w:spacing w:val="-5"/>
        </w:rPr>
        <w:t>i</w:t>
      </w:r>
      <w:r w:rsidRPr="00BD4AC1">
        <w:rPr>
          <w:rFonts w:eastAsia="TitilliumText25L" w:cs="TitilliumText25L"/>
          <w:color w:val="231F20"/>
          <w:spacing w:val="-3"/>
        </w:rPr>
        <w:t>nc</w:t>
      </w:r>
      <w:r w:rsidRPr="00BD4AC1">
        <w:rPr>
          <w:rFonts w:eastAsia="TitilliumText25L" w:cs="TitilliumText25L"/>
          <w:color w:val="231F20"/>
          <w:spacing w:val="-4"/>
        </w:rPr>
        <w:t>l</w:t>
      </w:r>
      <w:r w:rsidRPr="00BD4AC1">
        <w:rPr>
          <w:rFonts w:eastAsia="TitilliumText25L" w:cs="TitilliumText25L"/>
          <w:color w:val="231F20"/>
          <w:spacing w:val="-3"/>
        </w:rPr>
        <w:t>u</w:t>
      </w:r>
      <w:r w:rsidRPr="00BD4AC1">
        <w:rPr>
          <w:rFonts w:eastAsia="TitilliumText25L" w:cs="TitilliumText25L"/>
          <w:color w:val="231F20"/>
          <w:spacing w:val="-4"/>
        </w:rPr>
        <w:t>d</w:t>
      </w:r>
      <w:r w:rsidRPr="00BD4AC1">
        <w:rPr>
          <w:rFonts w:eastAsia="TitilliumText25L" w:cs="TitilliumText25L"/>
          <w:color w:val="231F20"/>
          <w:spacing w:val="-5"/>
        </w:rPr>
        <w:t>i</w:t>
      </w:r>
      <w:r w:rsidRPr="00BD4AC1">
        <w:rPr>
          <w:rFonts w:eastAsia="TitilliumText25L" w:cs="TitilliumText25L"/>
          <w:color w:val="231F20"/>
          <w:spacing w:val="-4"/>
        </w:rPr>
        <w:t>n</w:t>
      </w:r>
      <w:r w:rsidRPr="00BD4AC1">
        <w:rPr>
          <w:rFonts w:eastAsia="TitilliumText25L" w:cs="TitilliumText25L"/>
          <w:color w:val="231F20"/>
        </w:rPr>
        <w:t>g</w:t>
      </w:r>
      <w:r w:rsidRPr="00BD4AC1">
        <w:rPr>
          <w:rFonts w:eastAsia="TitilliumText25L" w:cs="TitilliumText25L"/>
          <w:color w:val="231F20"/>
          <w:spacing w:val="-7"/>
        </w:rPr>
        <w:t xml:space="preserve"> </w:t>
      </w:r>
      <w:r w:rsidRPr="00BD4AC1">
        <w:rPr>
          <w:rFonts w:eastAsia="TitilliumText25L" w:cs="TitilliumText25L"/>
          <w:color w:val="231F20"/>
          <w:spacing w:val="-4"/>
        </w:rPr>
        <w:t>J</w:t>
      </w:r>
      <w:r w:rsidRPr="00BD4AC1">
        <w:rPr>
          <w:rFonts w:eastAsia="TitilliumText25L" w:cs="TitilliumText25L"/>
          <w:color w:val="231F20"/>
          <w:spacing w:val="-5"/>
        </w:rPr>
        <w:t>u</w:t>
      </w:r>
      <w:r w:rsidRPr="00BD4AC1">
        <w:rPr>
          <w:rFonts w:eastAsia="TitilliumText25L" w:cs="TitilliumText25L"/>
          <w:color w:val="231F20"/>
          <w:spacing w:val="-1"/>
        </w:rPr>
        <w:t>r</w:t>
      </w:r>
      <w:r w:rsidRPr="00BD4AC1">
        <w:rPr>
          <w:rFonts w:eastAsia="TitilliumText25L" w:cs="TitilliumText25L"/>
          <w:color w:val="231F20"/>
          <w:spacing w:val="-4"/>
        </w:rPr>
        <w:t>i</w:t>
      </w:r>
      <w:r w:rsidRPr="00BD4AC1">
        <w:rPr>
          <w:rFonts w:eastAsia="TitilliumText25L" w:cs="TitilliumText25L"/>
          <w:color w:val="231F20"/>
          <w:spacing w:val="-2"/>
        </w:rPr>
        <w:t>s</w:t>
      </w:r>
      <w:r w:rsidRPr="00BD4AC1">
        <w:rPr>
          <w:rFonts w:eastAsia="TitilliumText25L" w:cs="TitilliumText25L"/>
          <w:color w:val="231F20"/>
          <w:spacing w:val="-4"/>
        </w:rPr>
        <w:t>d</w:t>
      </w:r>
      <w:r w:rsidRPr="00BD4AC1">
        <w:rPr>
          <w:rFonts w:eastAsia="TitilliumText25L" w:cs="TitilliumText25L"/>
          <w:color w:val="231F20"/>
          <w:spacing w:val="-2"/>
        </w:rPr>
        <w:t>i</w:t>
      </w:r>
      <w:r w:rsidRPr="00BD4AC1">
        <w:rPr>
          <w:rFonts w:eastAsia="TitilliumText25L" w:cs="TitilliumText25L"/>
          <w:color w:val="231F20"/>
          <w:spacing w:val="1"/>
        </w:rPr>
        <w:t>c</w:t>
      </w:r>
      <w:r w:rsidRPr="00BD4AC1">
        <w:rPr>
          <w:rFonts w:eastAsia="TitilliumText25L" w:cs="TitilliumText25L"/>
          <w:color w:val="231F20"/>
          <w:spacing w:val="-1"/>
        </w:rPr>
        <w:t>t</w:t>
      </w:r>
      <w:r w:rsidRPr="00BD4AC1">
        <w:rPr>
          <w:rFonts w:eastAsia="TitilliumText25L" w:cs="TitilliumText25L"/>
          <w:color w:val="231F20"/>
          <w:spacing w:val="-2"/>
        </w:rPr>
        <w:t>i</w:t>
      </w:r>
      <w:r w:rsidRPr="00BD4AC1">
        <w:rPr>
          <w:rFonts w:eastAsia="TitilliumText25L" w:cs="TitilliumText25L"/>
          <w:color w:val="231F20"/>
          <w:spacing w:val="-3"/>
        </w:rPr>
        <w:t>o</w:t>
      </w:r>
      <w:r w:rsidRPr="00BD4AC1">
        <w:rPr>
          <w:rFonts w:eastAsia="TitilliumText25L" w:cs="TitilliumText25L"/>
          <w:color w:val="231F20"/>
          <w:spacing w:val="-4"/>
        </w:rPr>
        <w:t>n</w:t>
      </w:r>
      <w:r w:rsidRPr="00BD4AC1">
        <w:rPr>
          <w:rFonts w:eastAsia="TitilliumText25L" w:cs="TitilliumText25L"/>
          <w:color w:val="231F20"/>
          <w:spacing w:val="-2"/>
        </w:rPr>
        <w:t>a</w:t>
      </w:r>
      <w:r w:rsidRPr="00BD4AC1">
        <w:rPr>
          <w:rFonts w:eastAsia="TitilliumText25L" w:cs="TitilliumText25L"/>
          <w:color w:val="231F20"/>
        </w:rPr>
        <w:t>l</w:t>
      </w:r>
      <w:r w:rsidRPr="00BD4AC1">
        <w:rPr>
          <w:rFonts w:eastAsia="TitilliumText25L" w:cs="TitilliumText25L"/>
          <w:color w:val="231F20"/>
          <w:spacing w:val="-7"/>
        </w:rPr>
        <w:t xml:space="preserve"> </w:t>
      </w:r>
      <w:r w:rsidRPr="00BD4AC1">
        <w:rPr>
          <w:rFonts w:eastAsia="TitilliumText25L" w:cs="TitilliumText25L"/>
          <w:color w:val="231F20"/>
          <w:spacing w:val="-2"/>
        </w:rPr>
        <w:t>D</w:t>
      </w:r>
      <w:r w:rsidRPr="00BD4AC1">
        <w:rPr>
          <w:rFonts w:eastAsia="TitilliumText25L" w:cs="TitilliumText25L"/>
          <w:color w:val="231F20"/>
          <w:spacing w:val="-5"/>
        </w:rPr>
        <w:t>i</w:t>
      </w:r>
      <w:r w:rsidRPr="00BD4AC1">
        <w:rPr>
          <w:rFonts w:eastAsia="TitilliumText25L" w:cs="TitilliumText25L"/>
          <w:color w:val="231F20"/>
          <w:spacing w:val="-2"/>
        </w:rPr>
        <w:t>r</w:t>
      </w:r>
      <w:r w:rsidRPr="00BD4AC1">
        <w:rPr>
          <w:rFonts w:eastAsia="TitilliumText25L" w:cs="TitilliumText25L"/>
          <w:color w:val="231F20"/>
          <w:spacing w:val="-1"/>
        </w:rPr>
        <w:t>e</w:t>
      </w:r>
      <w:r w:rsidRPr="00BD4AC1">
        <w:rPr>
          <w:rFonts w:eastAsia="TitilliumText25L" w:cs="TitilliumText25L"/>
          <w:color w:val="231F20"/>
          <w:spacing w:val="1"/>
        </w:rPr>
        <w:t>c</w:t>
      </w:r>
      <w:r w:rsidRPr="00BD4AC1">
        <w:rPr>
          <w:rFonts w:eastAsia="TitilliumText25L" w:cs="TitilliumText25L"/>
          <w:color w:val="231F20"/>
        </w:rPr>
        <w:t>t</w:t>
      </w:r>
      <w:r w:rsidRPr="00BD4AC1">
        <w:rPr>
          <w:rFonts w:eastAsia="TitilliumText25L" w:cs="TitilliumText25L"/>
          <w:color w:val="231F20"/>
          <w:spacing w:val="-7"/>
        </w:rPr>
        <w:t xml:space="preserve"> </w:t>
      </w:r>
      <w:r w:rsidRPr="00BD4AC1">
        <w:rPr>
          <w:rFonts w:eastAsia="TitilliumText25L" w:cs="TitilliumText25L"/>
          <w:color w:val="231F20"/>
          <w:spacing w:val="-2"/>
        </w:rPr>
        <w:t>Or</w:t>
      </w:r>
      <w:r w:rsidRPr="00BD4AC1">
        <w:rPr>
          <w:rFonts w:eastAsia="TitilliumText25L" w:cs="TitilliumText25L"/>
          <w:color w:val="231F20"/>
          <w:spacing w:val="-3"/>
        </w:rPr>
        <w:t>d</w:t>
      </w:r>
      <w:r w:rsidRPr="00BD4AC1">
        <w:rPr>
          <w:rFonts w:eastAsia="TitilliumText25L" w:cs="TitilliumText25L"/>
          <w:color w:val="231F20"/>
          <w:spacing w:val="-4"/>
        </w:rPr>
        <w:t>e</w:t>
      </w:r>
      <w:r w:rsidRPr="00BD4AC1">
        <w:rPr>
          <w:rFonts w:eastAsia="TitilliumText25L" w:cs="TitilliumText25L"/>
          <w:color w:val="231F20"/>
        </w:rPr>
        <w:t>r</w:t>
      </w:r>
      <w:r w:rsidRPr="00BD4AC1">
        <w:rPr>
          <w:rFonts w:eastAsia="TitilliumText25L" w:cs="TitilliumText25L"/>
          <w:color w:val="231F20"/>
          <w:spacing w:val="-7"/>
        </w:rPr>
        <w:t xml:space="preserve"> </w:t>
      </w:r>
      <w:r w:rsidRPr="00BD4AC1">
        <w:rPr>
          <w:rFonts w:eastAsia="TitilliumText25L" w:cs="TitilliumText25L"/>
          <w:color w:val="231F20"/>
          <w:spacing w:val="-3"/>
        </w:rPr>
        <w:t>o</w:t>
      </w:r>
      <w:r w:rsidRPr="00BD4AC1">
        <w:rPr>
          <w:rFonts w:eastAsia="TitilliumText25L" w:cs="TitilliumText25L"/>
          <w:color w:val="231F20"/>
        </w:rPr>
        <w:t>r</w:t>
      </w:r>
      <w:r w:rsidRPr="00BD4AC1">
        <w:rPr>
          <w:rFonts w:eastAsia="TitilliumText25L" w:cs="TitilliumText25L"/>
          <w:color w:val="231F20"/>
          <w:spacing w:val="-7"/>
        </w:rPr>
        <w:t xml:space="preserve"> </w:t>
      </w:r>
      <w:r w:rsidRPr="00BD4AC1">
        <w:rPr>
          <w:rFonts w:eastAsia="TitilliumText25L" w:cs="TitilliumText25L"/>
          <w:color w:val="231F20"/>
          <w:spacing w:val="-4"/>
        </w:rPr>
        <w:t>P</w:t>
      </w:r>
      <w:r w:rsidRPr="00BD4AC1">
        <w:rPr>
          <w:rFonts w:eastAsia="TitilliumText25L" w:cs="TitilliumText25L"/>
          <w:color w:val="231F20"/>
          <w:spacing w:val="-1"/>
        </w:rPr>
        <w:t>r</w:t>
      </w:r>
      <w:r w:rsidRPr="00BD4AC1">
        <w:rPr>
          <w:rFonts w:eastAsia="TitilliumText25L" w:cs="TitilliumText25L"/>
          <w:color w:val="231F20"/>
          <w:spacing w:val="-2"/>
        </w:rPr>
        <w:t>i</w:t>
      </w:r>
      <w:r w:rsidRPr="00BD4AC1">
        <w:rPr>
          <w:rFonts w:eastAsia="TitilliumText25L" w:cs="TitilliumText25L"/>
          <w:color w:val="231F20"/>
          <w:spacing w:val="-1"/>
        </w:rPr>
        <w:t>v</w:t>
      </w:r>
      <w:r w:rsidRPr="00BD4AC1">
        <w:rPr>
          <w:rFonts w:eastAsia="TitilliumText25L" w:cs="TitilliumText25L"/>
          <w:color w:val="231F20"/>
          <w:spacing w:val="-3"/>
        </w:rPr>
        <w:t>a</w:t>
      </w:r>
      <w:r w:rsidRPr="00BD4AC1">
        <w:rPr>
          <w:rFonts w:eastAsia="TitilliumText25L" w:cs="TitilliumText25L"/>
          <w:color w:val="231F20"/>
          <w:spacing w:val="-2"/>
        </w:rPr>
        <w:t>t</w:t>
      </w:r>
      <w:r w:rsidRPr="00BD4AC1">
        <w:rPr>
          <w:rFonts w:eastAsia="TitilliumText25L" w:cs="TitilliumText25L"/>
          <w:color w:val="231F20"/>
        </w:rPr>
        <w:t>e</w:t>
      </w:r>
      <w:r>
        <w:rPr>
          <w:rFonts w:eastAsia="TitilliumText25L" w:cs="TitilliumText25L"/>
          <w:color w:val="231F20"/>
          <w:spacing w:val="-2"/>
        </w:rPr>
        <w:t xml:space="preserve"> </w:t>
      </w:r>
      <w:r w:rsidRPr="00BD4AC1">
        <w:rPr>
          <w:rFonts w:eastAsia="TitilliumText25L" w:cs="TitilliumText25L"/>
          <w:color w:val="231F20"/>
          <w:spacing w:val="-2"/>
        </w:rPr>
        <w:t>Or</w:t>
      </w:r>
      <w:r w:rsidRPr="00BD4AC1">
        <w:rPr>
          <w:rFonts w:eastAsia="TitilliumText25L" w:cs="TitilliumText25L"/>
          <w:color w:val="231F20"/>
          <w:spacing w:val="-3"/>
        </w:rPr>
        <w:t>d</w:t>
      </w:r>
      <w:r w:rsidRPr="00BD4AC1">
        <w:rPr>
          <w:rFonts w:eastAsia="TitilliumText25L" w:cs="TitilliumText25L"/>
          <w:color w:val="231F20"/>
          <w:spacing w:val="-4"/>
        </w:rPr>
        <w:t>e</w:t>
      </w:r>
      <w:r w:rsidRPr="00BD4AC1">
        <w:rPr>
          <w:rFonts w:eastAsia="TitilliumText25L" w:cs="TitilliumText25L"/>
          <w:color w:val="231F20"/>
        </w:rPr>
        <w:t>r</w:t>
      </w:r>
      <w:r w:rsidRPr="00BD4AC1">
        <w:rPr>
          <w:rFonts w:eastAsia="TitilliumText25L" w:cs="TitilliumText25L"/>
          <w:color w:val="231F20"/>
          <w:spacing w:val="-7"/>
        </w:rPr>
        <w:t xml:space="preserve"> </w:t>
      </w:r>
      <w:r w:rsidRPr="00BD4AC1">
        <w:rPr>
          <w:rFonts w:eastAsia="TitilliumText25L" w:cs="TitilliumText25L"/>
          <w:color w:val="231F20"/>
          <w:spacing w:val="-2"/>
        </w:rPr>
        <w:t>a</w:t>
      </w:r>
      <w:r w:rsidRPr="00BD4AC1">
        <w:rPr>
          <w:rFonts w:eastAsia="TitilliumText25L" w:cs="TitilliumText25L"/>
          <w:color w:val="231F20"/>
          <w:spacing w:val="-3"/>
        </w:rPr>
        <w:t>n</w:t>
      </w:r>
      <w:r w:rsidRPr="00BD4AC1">
        <w:rPr>
          <w:rFonts w:eastAsia="TitilliumText25L" w:cs="TitilliumText25L"/>
          <w:color w:val="231F20"/>
        </w:rPr>
        <w:t>d</w:t>
      </w:r>
      <w:r w:rsidRPr="00BD4AC1">
        <w:rPr>
          <w:rFonts w:eastAsia="TitilliumText25L" w:cs="TitilliumText25L"/>
          <w:color w:val="231F20"/>
          <w:spacing w:val="-7"/>
        </w:rPr>
        <w:t xml:space="preserve"> </w:t>
      </w:r>
      <w:r w:rsidRPr="00BD4AC1">
        <w:rPr>
          <w:rFonts w:eastAsia="TitilliumText25L" w:cs="TitilliumText25L"/>
          <w:color w:val="231F20"/>
          <w:spacing w:val="-5"/>
        </w:rPr>
        <w:t>s</w:t>
      </w:r>
      <w:r w:rsidRPr="00BD4AC1">
        <w:rPr>
          <w:rFonts w:eastAsia="TitilliumText25L" w:cs="TitilliumText25L"/>
          <w:color w:val="231F20"/>
          <w:spacing w:val="-3"/>
        </w:rPr>
        <w:t>ho</w:t>
      </w:r>
      <w:r w:rsidRPr="00BD4AC1">
        <w:rPr>
          <w:rFonts w:eastAsia="TitilliumText25L" w:cs="TitilliumText25L"/>
          <w:color w:val="231F20"/>
          <w:spacing w:val="-5"/>
        </w:rPr>
        <w:t>u</w:t>
      </w:r>
      <w:r w:rsidRPr="00BD4AC1">
        <w:rPr>
          <w:rFonts w:eastAsia="TitilliumText25L" w:cs="TitilliumText25L"/>
          <w:color w:val="231F20"/>
          <w:spacing w:val="-3"/>
        </w:rPr>
        <w:t>l</w:t>
      </w:r>
      <w:r w:rsidRPr="00BD4AC1">
        <w:rPr>
          <w:rFonts w:eastAsia="TitilliumText25L" w:cs="TitilliumText25L"/>
          <w:color w:val="231F20"/>
        </w:rPr>
        <w:t>d</w:t>
      </w:r>
      <w:r w:rsidRPr="00BD4AC1">
        <w:rPr>
          <w:rFonts w:eastAsia="TitilliumText25L" w:cs="TitilliumText25L"/>
          <w:color w:val="231F20"/>
          <w:spacing w:val="-7"/>
        </w:rPr>
        <w:t xml:space="preserve"> </w:t>
      </w:r>
      <w:r w:rsidRPr="00BD4AC1">
        <w:rPr>
          <w:rFonts w:eastAsia="TitilliumText25L" w:cs="TitilliumText25L"/>
          <w:color w:val="231F20"/>
          <w:spacing w:val="-1"/>
        </w:rPr>
        <w:t>b</w:t>
      </w:r>
      <w:r w:rsidRPr="00BD4AC1">
        <w:rPr>
          <w:rFonts w:eastAsia="TitilliumText25L" w:cs="TitilliumText25L"/>
          <w:color w:val="231F20"/>
        </w:rPr>
        <w:t>e</w:t>
      </w:r>
      <w:r w:rsidRPr="00BD4AC1">
        <w:rPr>
          <w:rFonts w:eastAsia="TitilliumText25L" w:cs="TitilliumText25L"/>
          <w:color w:val="231F20"/>
          <w:spacing w:val="-7"/>
        </w:rPr>
        <w:t xml:space="preserve"> </w:t>
      </w:r>
      <w:r w:rsidRPr="00BD4AC1">
        <w:rPr>
          <w:rFonts w:eastAsia="TitilliumText25L" w:cs="TitilliumText25L"/>
          <w:color w:val="231F20"/>
          <w:spacing w:val="-4"/>
        </w:rPr>
        <w:t>di</w:t>
      </w:r>
      <w:r w:rsidRPr="00BD4AC1">
        <w:rPr>
          <w:rFonts w:eastAsia="TitilliumText25L" w:cs="TitilliumText25L"/>
          <w:color w:val="231F20"/>
          <w:spacing w:val="-2"/>
        </w:rPr>
        <w:t>s</w:t>
      </w:r>
      <w:r w:rsidRPr="00BD4AC1">
        <w:rPr>
          <w:rFonts w:eastAsia="TitilliumText25L" w:cs="TitilliumText25L"/>
          <w:color w:val="231F20"/>
          <w:spacing w:val="-3"/>
        </w:rPr>
        <w:t>c</w:t>
      </w:r>
      <w:r w:rsidRPr="00BD4AC1">
        <w:rPr>
          <w:rFonts w:eastAsia="TitilliumText25L" w:cs="TitilliumText25L"/>
          <w:color w:val="231F20"/>
          <w:spacing w:val="-5"/>
        </w:rPr>
        <w:t>u</w:t>
      </w:r>
      <w:r w:rsidRPr="00BD4AC1">
        <w:rPr>
          <w:rFonts w:eastAsia="TitilliumText25L" w:cs="TitilliumText25L"/>
          <w:color w:val="231F20"/>
          <w:spacing w:val="-3"/>
        </w:rPr>
        <w:t>s</w:t>
      </w:r>
      <w:r w:rsidRPr="00BD4AC1">
        <w:rPr>
          <w:rFonts w:eastAsia="TitilliumText25L" w:cs="TitilliumText25L"/>
          <w:color w:val="231F20"/>
          <w:spacing w:val="-2"/>
        </w:rPr>
        <w:t>s</w:t>
      </w:r>
      <w:r w:rsidRPr="00BD4AC1">
        <w:rPr>
          <w:rFonts w:eastAsia="TitilliumText25L" w:cs="TitilliumText25L"/>
          <w:color w:val="231F20"/>
          <w:spacing w:val="-1"/>
        </w:rPr>
        <w:t>e</w:t>
      </w:r>
      <w:r w:rsidRPr="00BD4AC1">
        <w:rPr>
          <w:rFonts w:eastAsia="TitilliumText25L" w:cs="TitilliumText25L"/>
          <w:color w:val="231F20"/>
        </w:rPr>
        <w:t>d</w:t>
      </w:r>
      <w:r w:rsidRPr="00BD4AC1">
        <w:rPr>
          <w:rFonts w:eastAsia="TitilliumText25L" w:cs="TitilliumText25L"/>
          <w:color w:val="231F20"/>
          <w:spacing w:val="-7"/>
        </w:rPr>
        <w:t xml:space="preserve"> </w:t>
      </w:r>
      <w:r w:rsidRPr="00BD4AC1">
        <w:rPr>
          <w:rFonts w:eastAsia="TitilliumText25L" w:cs="TitilliumText25L"/>
          <w:color w:val="231F20"/>
          <w:spacing w:val="-2"/>
        </w:rPr>
        <w:t>wit</w:t>
      </w:r>
      <w:r w:rsidRPr="00BD4AC1">
        <w:rPr>
          <w:rFonts w:eastAsia="TitilliumText25L" w:cs="TitilliumText25L"/>
          <w:color w:val="231F20"/>
        </w:rPr>
        <w:t>h</w:t>
      </w:r>
      <w:r w:rsidRPr="00BD4AC1">
        <w:rPr>
          <w:rFonts w:eastAsia="TitilliumText25L" w:cs="TitilliumText25L"/>
          <w:color w:val="231F20"/>
          <w:spacing w:val="-7"/>
        </w:rPr>
        <w:t xml:space="preserve"> </w:t>
      </w:r>
      <w:r w:rsidRPr="00BD4AC1">
        <w:rPr>
          <w:rFonts w:eastAsia="TitilliumText25L" w:cs="TitilliumText25L"/>
          <w:color w:val="231F20"/>
          <w:spacing w:val="-3"/>
        </w:rPr>
        <w:t>yo</w:t>
      </w:r>
      <w:r w:rsidRPr="00BD4AC1">
        <w:rPr>
          <w:rFonts w:eastAsia="TitilliumText25L" w:cs="TitilliumText25L"/>
          <w:color w:val="231F20"/>
          <w:spacing w:val="-5"/>
        </w:rPr>
        <w:t>u</w:t>
      </w:r>
      <w:r w:rsidRPr="00BD4AC1">
        <w:rPr>
          <w:rFonts w:eastAsia="TitilliumText25L" w:cs="TitilliumText25L"/>
          <w:color w:val="231F20"/>
        </w:rPr>
        <w:t>r</w:t>
      </w:r>
      <w:r w:rsidRPr="00BD4AC1">
        <w:rPr>
          <w:rFonts w:eastAsia="TitilliumText25L" w:cs="TitilliumText25L"/>
          <w:color w:val="231F20"/>
          <w:spacing w:val="-7"/>
        </w:rPr>
        <w:t xml:space="preserve"> </w:t>
      </w:r>
      <w:r w:rsidRPr="00BD4AC1">
        <w:rPr>
          <w:rFonts w:eastAsia="TitilliumText25L" w:cs="TitilliumText25L"/>
          <w:color w:val="231F20"/>
          <w:spacing w:val="-3"/>
        </w:rPr>
        <w:t>d</w:t>
      </w:r>
      <w:r w:rsidRPr="00BD4AC1">
        <w:rPr>
          <w:rFonts w:eastAsia="TitilliumText25L" w:cs="TitilliumText25L"/>
          <w:color w:val="231F20"/>
          <w:spacing w:val="-1"/>
        </w:rPr>
        <w:t>o</w:t>
      </w:r>
      <w:r w:rsidRPr="00BD4AC1">
        <w:rPr>
          <w:rFonts w:eastAsia="TitilliumText25L" w:cs="TitilliumText25L"/>
          <w:color w:val="231F20"/>
          <w:spacing w:val="1"/>
        </w:rPr>
        <w:t>c</w:t>
      </w:r>
      <w:r w:rsidRPr="00BD4AC1">
        <w:rPr>
          <w:rFonts w:eastAsia="TitilliumText25L" w:cs="TitilliumText25L"/>
          <w:color w:val="231F20"/>
          <w:spacing w:val="-2"/>
        </w:rPr>
        <w:t>t</w:t>
      </w:r>
      <w:r w:rsidRPr="00BD4AC1">
        <w:rPr>
          <w:rFonts w:eastAsia="TitilliumText25L" w:cs="TitilliumText25L"/>
          <w:color w:val="231F20"/>
          <w:spacing w:val="-3"/>
        </w:rPr>
        <w:t>o</w:t>
      </w:r>
      <w:r w:rsidRPr="00BD4AC1">
        <w:rPr>
          <w:rFonts w:eastAsia="TitilliumText25L" w:cs="TitilliumText25L"/>
          <w:color w:val="231F20"/>
          <w:spacing w:val="-14"/>
        </w:rPr>
        <w:t>r</w:t>
      </w:r>
      <w:r w:rsidRPr="00BD4AC1">
        <w:rPr>
          <w:rFonts w:eastAsia="TitilliumText25L" w:cs="TitilliumText25L"/>
          <w:color w:val="231F20"/>
        </w:rPr>
        <w:t>.</w:t>
      </w:r>
      <w:r>
        <w:rPr>
          <w:rFonts w:ascii="TitilliumText25L" w:eastAsia="TitilliumText25L" w:hAnsi="TitilliumText25L" w:cs="TitilliumText25L"/>
          <w:color w:val="231F20"/>
          <w:spacing w:val="-7"/>
          <w:sz w:val="18"/>
          <w:szCs w:val="18"/>
        </w:rPr>
        <w:t xml:space="preserve"> </w:t>
      </w:r>
      <w:r>
        <w:rPr>
          <w:lang w:eastAsia="en-AU"/>
        </w:rPr>
        <w:t>For more information</w:t>
      </w:r>
      <w:r w:rsidRPr="00FB6847">
        <w:rPr>
          <w:lang w:eastAsia="en-AU"/>
        </w:rPr>
        <w:t xml:space="preserve"> </w:t>
      </w:r>
      <w:r w:rsidRPr="002C75B0">
        <w:rPr>
          <w:u w:val="single"/>
          <w:lang w:eastAsia="en-AU"/>
        </w:rPr>
        <w:t xml:space="preserve">visit: </w:t>
      </w:r>
      <w:hyperlink r:id="rId23" w:history="1">
        <w:r w:rsidRPr="00D91FE8">
          <w:rPr>
            <w:rStyle w:val="Hyperlink"/>
          </w:rPr>
          <w:t>http://www.blood.gov.au/Ig-publications</w:t>
        </w:r>
      </w:hyperlink>
      <w:r w:rsidRPr="00D91FE8" w:rsidDel="00D91FE8">
        <w:t xml:space="preserve"> </w:t>
      </w:r>
    </w:p>
    <w:p w:rsidR="00B55624" w:rsidRPr="003800B2" w:rsidRDefault="00B55624" w:rsidP="00B55624">
      <w:pPr>
        <w:rPr>
          <w:b/>
          <w:lang w:eastAsia="en-AU"/>
        </w:rPr>
      </w:pPr>
      <w:r w:rsidRPr="003800B2">
        <w:rPr>
          <w:b/>
          <w:lang w:eastAsia="en-AU"/>
        </w:rPr>
        <w:t>Who will access my personal information?</w:t>
      </w:r>
    </w:p>
    <w:p w:rsidR="00B55624" w:rsidRPr="00B332D4" w:rsidRDefault="00B55624" w:rsidP="00B55624">
      <w:pPr>
        <w:rPr>
          <w:rFonts w:eastAsia="TitilliumText25L" w:cs="TitilliumText25L"/>
        </w:rPr>
      </w:pPr>
      <w:r w:rsidRPr="00B332D4">
        <w:rPr>
          <w:rFonts w:eastAsia="TitilliumText25L" w:cs="TitilliumText25L"/>
          <w:color w:val="231F20"/>
          <w:spacing w:val="-2"/>
        </w:rPr>
        <w:t>O</w:t>
      </w:r>
      <w:r w:rsidRPr="00B332D4">
        <w:rPr>
          <w:rFonts w:eastAsia="TitilliumText25L" w:cs="TitilliumText25L"/>
          <w:color w:val="231F20"/>
          <w:spacing w:val="-5"/>
        </w:rPr>
        <w:t>n</w:t>
      </w:r>
      <w:r w:rsidRPr="00B332D4">
        <w:rPr>
          <w:rFonts w:eastAsia="TitilliumText25L" w:cs="TitilliumText25L"/>
          <w:color w:val="231F20"/>
          <w:spacing w:val="-2"/>
        </w:rPr>
        <w:t>l</w:t>
      </w:r>
      <w:r w:rsidRPr="00B332D4">
        <w:rPr>
          <w:rFonts w:eastAsia="TitilliumText25L" w:cs="TitilliumText25L"/>
          <w:color w:val="231F20"/>
        </w:rPr>
        <w:t>y</w:t>
      </w:r>
      <w:r w:rsidRPr="00B332D4">
        <w:rPr>
          <w:rFonts w:eastAsia="TitilliumText25L" w:cs="TitilliumText25L"/>
          <w:color w:val="231F20"/>
          <w:spacing w:val="-7"/>
        </w:rPr>
        <w:t xml:space="preserve"> </w:t>
      </w:r>
      <w:r w:rsidRPr="00B332D4">
        <w:rPr>
          <w:rFonts w:eastAsia="TitilliumText25L" w:cs="TitilliumText25L"/>
          <w:color w:val="231F20"/>
          <w:spacing w:val="-4"/>
        </w:rPr>
        <w:t>a</w:t>
      </w:r>
      <w:r w:rsidRPr="00B332D4">
        <w:rPr>
          <w:rFonts w:eastAsia="TitilliumText25L" w:cs="TitilliumText25L"/>
          <w:color w:val="231F20"/>
          <w:spacing w:val="-2"/>
        </w:rPr>
        <w:t>ut</w:t>
      </w:r>
      <w:r w:rsidRPr="00B332D4">
        <w:rPr>
          <w:rFonts w:eastAsia="TitilliumText25L" w:cs="TitilliumText25L"/>
          <w:color w:val="231F20"/>
          <w:spacing w:val="-3"/>
        </w:rPr>
        <w:t>ho</w:t>
      </w:r>
      <w:r w:rsidRPr="00B332D4">
        <w:rPr>
          <w:rFonts w:eastAsia="TitilliumText25L" w:cs="TitilliumText25L"/>
          <w:color w:val="231F20"/>
          <w:spacing w:val="-1"/>
        </w:rPr>
        <w:t>r</w:t>
      </w:r>
      <w:r w:rsidRPr="00B332D4">
        <w:rPr>
          <w:rFonts w:eastAsia="TitilliumText25L" w:cs="TitilliumText25L"/>
          <w:color w:val="231F20"/>
          <w:spacing w:val="-4"/>
        </w:rPr>
        <w:t>i</w:t>
      </w:r>
      <w:r w:rsidRPr="00B332D4">
        <w:rPr>
          <w:rFonts w:eastAsia="TitilliumText25L" w:cs="TitilliumText25L"/>
          <w:color w:val="231F20"/>
          <w:spacing w:val="-2"/>
        </w:rPr>
        <w:t>s</w:t>
      </w:r>
      <w:r w:rsidRPr="00B332D4">
        <w:rPr>
          <w:rFonts w:eastAsia="TitilliumText25L" w:cs="TitilliumText25L"/>
          <w:color w:val="231F20"/>
          <w:spacing w:val="-1"/>
        </w:rPr>
        <w:t>e</w:t>
      </w:r>
      <w:r w:rsidRPr="00B332D4">
        <w:rPr>
          <w:rFonts w:eastAsia="TitilliumText25L" w:cs="TitilliumText25L"/>
          <w:color w:val="231F20"/>
        </w:rPr>
        <w:t>d</w:t>
      </w:r>
      <w:r w:rsidRPr="00B332D4">
        <w:rPr>
          <w:rFonts w:eastAsia="TitilliumText25L" w:cs="TitilliumText25L"/>
          <w:color w:val="231F20"/>
          <w:spacing w:val="-7"/>
        </w:rPr>
        <w:t xml:space="preserve"> </w:t>
      </w:r>
      <w:r w:rsidRPr="00B332D4">
        <w:rPr>
          <w:rFonts w:eastAsia="TitilliumText25L" w:cs="TitilliumText25L"/>
          <w:color w:val="231F20"/>
          <w:spacing w:val="-5"/>
        </w:rPr>
        <w:t>u</w:t>
      </w:r>
      <w:r w:rsidRPr="00B332D4">
        <w:rPr>
          <w:rFonts w:eastAsia="TitilliumText25L" w:cs="TitilliumText25L"/>
          <w:color w:val="231F20"/>
          <w:spacing w:val="-2"/>
        </w:rPr>
        <w:t>s</w:t>
      </w:r>
      <w:r w:rsidRPr="00B332D4">
        <w:rPr>
          <w:rFonts w:eastAsia="TitilliumText25L" w:cs="TitilliumText25L"/>
          <w:color w:val="231F20"/>
          <w:spacing w:val="-4"/>
        </w:rPr>
        <w:t>e</w:t>
      </w:r>
      <w:r w:rsidRPr="00B332D4">
        <w:rPr>
          <w:rFonts w:eastAsia="TitilliumText25L" w:cs="TitilliumText25L"/>
          <w:color w:val="231F20"/>
        </w:rPr>
        <w:t>rs</w:t>
      </w:r>
      <w:r w:rsidRPr="00B332D4">
        <w:rPr>
          <w:rFonts w:eastAsia="TitilliumText25L" w:cs="TitilliumText25L"/>
          <w:color w:val="231F20"/>
          <w:spacing w:val="-7"/>
        </w:rPr>
        <w:t xml:space="preserve"> </w:t>
      </w:r>
      <w:r w:rsidRPr="00B332D4">
        <w:rPr>
          <w:rFonts w:eastAsia="TitilliumText25L" w:cs="TitilliumText25L"/>
          <w:color w:val="231F20"/>
          <w:spacing w:val="-5"/>
        </w:rPr>
        <w:t>in</w:t>
      </w:r>
      <w:r w:rsidRPr="00B332D4">
        <w:rPr>
          <w:rFonts w:eastAsia="TitilliumText25L" w:cs="TitilliumText25L"/>
          <w:color w:val="231F20"/>
          <w:spacing w:val="-3"/>
        </w:rPr>
        <w:t>vo</w:t>
      </w:r>
      <w:r w:rsidRPr="00B332D4">
        <w:rPr>
          <w:rFonts w:eastAsia="TitilliumText25L" w:cs="TitilliumText25L"/>
          <w:color w:val="231F20"/>
          <w:spacing w:val="-2"/>
        </w:rPr>
        <w:t>l</w:t>
      </w:r>
      <w:r w:rsidRPr="00B332D4">
        <w:rPr>
          <w:rFonts w:eastAsia="TitilliumText25L" w:cs="TitilliumText25L"/>
          <w:color w:val="231F20"/>
          <w:spacing w:val="-3"/>
        </w:rPr>
        <w:t>v</w:t>
      </w:r>
      <w:r w:rsidRPr="00B332D4">
        <w:rPr>
          <w:rFonts w:eastAsia="TitilliumText25L" w:cs="TitilliumText25L"/>
          <w:color w:val="231F20"/>
          <w:spacing w:val="-1"/>
        </w:rPr>
        <w:t>e</w:t>
      </w:r>
      <w:r w:rsidRPr="00B332D4">
        <w:rPr>
          <w:rFonts w:eastAsia="TitilliumText25L" w:cs="TitilliumText25L"/>
          <w:color w:val="231F20"/>
        </w:rPr>
        <w:t>d</w:t>
      </w:r>
      <w:r w:rsidRPr="00B332D4">
        <w:rPr>
          <w:rFonts w:eastAsia="TitilliumText25L" w:cs="TitilliumText25L"/>
          <w:color w:val="231F20"/>
          <w:spacing w:val="-7"/>
        </w:rPr>
        <w:t xml:space="preserve"> </w:t>
      </w:r>
      <w:r w:rsidRPr="00B332D4">
        <w:rPr>
          <w:rFonts w:eastAsia="TitilliumText25L" w:cs="TitilliumText25L"/>
          <w:color w:val="231F20"/>
          <w:spacing w:val="-5"/>
        </w:rPr>
        <w:t>di</w:t>
      </w:r>
      <w:r w:rsidRPr="00B332D4">
        <w:rPr>
          <w:rFonts w:eastAsia="TitilliumText25L" w:cs="TitilliumText25L"/>
          <w:color w:val="231F20"/>
          <w:spacing w:val="-2"/>
        </w:rPr>
        <w:t>r</w:t>
      </w:r>
      <w:r w:rsidRPr="00B332D4">
        <w:rPr>
          <w:rFonts w:eastAsia="TitilliumText25L" w:cs="TitilliumText25L"/>
          <w:color w:val="231F20"/>
          <w:spacing w:val="-1"/>
        </w:rPr>
        <w:t>e</w:t>
      </w:r>
      <w:r w:rsidRPr="00B332D4">
        <w:rPr>
          <w:rFonts w:eastAsia="TitilliumText25L" w:cs="TitilliumText25L"/>
          <w:color w:val="231F20"/>
          <w:spacing w:val="1"/>
        </w:rPr>
        <w:t>c</w:t>
      </w:r>
      <w:r w:rsidRPr="00B332D4">
        <w:rPr>
          <w:rFonts w:eastAsia="TitilliumText25L" w:cs="TitilliumText25L"/>
          <w:color w:val="231F20"/>
          <w:spacing w:val="-2"/>
        </w:rPr>
        <w:t>tl</w:t>
      </w:r>
      <w:r w:rsidRPr="00B332D4">
        <w:rPr>
          <w:rFonts w:eastAsia="TitilliumText25L" w:cs="TitilliumText25L"/>
          <w:color w:val="231F20"/>
        </w:rPr>
        <w:t>y</w:t>
      </w:r>
      <w:r w:rsidRPr="00B332D4">
        <w:rPr>
          <w:rFonts w:eastAsia="TitilliumText25L" w:cs="TitilliumText25L"/>
          <w:color w:val="231F20"/>
          <w:spacing w:val="-7"/>
        </w:rPr>
        <w:t xml:space="preserve"> </w:t>
      </w:r>
      <w:r w:rsidRPr="00B332D4">
        <w:rPr>
          <w:rFonts w:eastAsia="TitilliumText25L" w:cs="TitilliumText25L"/>
          <w:color w:val="231F20"/>
          <w:spacing w:val="-3"/>
        </w:rPr>
        <w:t>o</w:t>
      </w:r>
      <w:r w:rsidRPr="00B332D4">
        <w:rPr>
          <w:rFonts w:eastAsia="TitilliumText25L" w:cs="TitilliumText25L"/>
          <w:color w:val="231F20"/>
        </w:rPr>
        <w:t>r</w:t>
      </w:r>
      <w:r w:rsidRPr="00B332D4">
        <w:rPr>
          <w:rFonts w:eastAsia="TitilliumText25L" w:cs="TitilliumText25L"/>
          <w:color w:val="231F20"/>
          <w:spacing w:val="-7"/>
        </w:rPr>
        <w:t xml:space="preserve"> </w:t>
      </w:r>
      <w:r w:rsidRPr="00B332D4">
        <w:rPr>
          <w:rFonts w:eastAsia="TitilliumText25L" w:cs="TitilliumText25L"/>
          <w:color w:val="231F20"/>
          <w:spacing w:val="-5"/>
        </w:rPr>
        <w:t>i</w:t>
      </w:r>
      <w:r w:rsidRPr="00B332D4">
        <w:rPr>
          <w:rFonts w:eastAsia="TitilliumText25L" w:cs="TitilliumText25L"/>
          <w:color w:val="231F20"/>
          <w:spacing w:val="-3"/>
        </w:rPr>
        <w:t>n</w:t>
      </w:r>
      <w:r w:rsidRPr="00B332D4">
        <w:rPr>
          <w:rFonts w:eastAsia="TitilliumText25L" w:cs="TitilliumText25L"/>
          <w:color w:val="231F20"/>
          <w:spacing w:val="-4"/>
        </w:rPr>
        <w:t>d</w:t>
      </w:r>
      <w:r w:rsidRPr="00B332D4">
        <w:rPr>
          <w:rFonts w:eastAsia="TitilliumText25L" w:cs="TitilliumText25L"/>
          <w:color w:val="231F20"/>
          <w:spacing w:val="-5"/>
        </w:rPr>
        <w:t>i</w:t>
      </w:r>
      <w:r w:rsidRPr="00B332D4">
        <w:rPr>
          <w:rFonts w:eastAsia="TitilliumText25L" w:cs="TitilliumText25L"/>
          <w:color w:val="231F20"/>
          <w:spacing w:val="-2"/>
        </w:rPr>
        <w:t>r</w:t>
      </w:r>
      <w:r w:rsidRPr="00B332D4">
        <w:rPr>
          <w:rFonts w:eastAsia="TitilliumText25L" w:cs="TitilliumText25L"/>
          <w:color w:val="231F20"/>
          <w:spacing w:val="-1"/>
        </w:rPr>
        <w:t>e</w:t>
      </w:r>
      <w:r w:rsidRPr="00B332D4">
        <w:rPr>
          <w:rFonts w:eastAsia="TitilliumText25L" w:cs="TitilliumText25L"/>
          <w:color w:val="231F20"/>
          <w:spacing w:val="1"/>
        </w:rPr>
        <w:t>c</w:t>
      </w:r>
      <w:r w:rsidRPr="00B332D4">
        <w:rPr>
          <w:rFonts w:eastAsia="TitilliumText25L" w:cs="TitilliumText25L"/>
          <w:color w:val="231F20"/>
          <w:spacing w:val="-2"/>
        </w:rPr>
        <w:t>tl</w:t>
      </w:r>
      <w:r w:rsidRPr="00B332D4">
        <w:rPr>
          <w:rFonts w:eastAsia="TitilliumText25L" w:cs="TitilliumText25L"/>
          <w:color w:val="231F20"/>
        </w:rPr>
        <w:t>y</w:t>
      </w:r>
      <w:r w:rsidRPr="00B332D4">
        <w:rPr>
          <w:rFonts w:eastAsia="TitilliumText25L" w:cs="TitilliumText25L"/>
          <w:color w:val="231F20"/>
          <w:spacing w:val="-7"/>
        </w:rPr>
        <w:t xml:space="preserve"> </w:t>
      </w:r>
      <w:r w:rsidRPr="00B332D4">
        <w:rPr>
          <w:rFonts w:eastAsia="TitilliumText25L" w:cs="TitilliumText25L"/>
          <w:color w:val="231F20"/>
          <w:spacing w:val="-5"/>
        </w:rPr>
        <w:t xml:space="preserve">in </w:t>
      </w:r>
      <w:r w:rsidRPr="00B332D4">
        <w:rPr>
          <w:rFonts w:eastAsia="TitilliumText25L" w:cs="TitilliumText25L"/>
          <w:color w:val="231F20"/>
          <w:spacing w:val="-3"/>
        </w:rPr>
        <w:t>yo</w:t>
      </w:r>
      <w:r w:rsidRPr="00B332D4">
        <w:rPr>
          <w:rFonts w:eastAsia="TitilliumText25L" w:cs="TitilliumText25L"/>
          <w:color w:val="231F20"/>
          <w:spacing w:val="-5"/>
        </w:rPr>
        <w:t>u</w:t>
      </w:r>
      <w:r w:rsidRPr="00B332D4">
        <w:rPr>
          <w:rFonts w:eastAsia="TitilliumText25L" w:cs="TitilliumText25L"/>
          <w:color w:val="231F20"/>
        </w:rPr>
        <w:t>r</w:t>
      </w:r>
      <w:r w:rsidRPr="00B332D4">
        <w:rPr>
          <w:rFonts w:eastAsia="TitilliumText25L" w:cs="TitilliumText25L"/>
          <w:color w:val="231F20"/>
          <w:spacing w:val="-7"/>
        </w:rPr>
        <w:t xml:space="preserve"> </w:t>
      </w:r>
      <w:r w:rsidRPr="00B332D4">
        <w:rPr>
          <w:rFonts w:eastAsia="TitilliumText25L" w:cs="TitilliumText25L"/>
          <w:color w:val="231F20"/>
          <w:spacing w:val="-2"/>
        </w:rPr>
        <w:t>tre</w:t>
      </w:r>
      <w:r w:rsidRPr="00B332D4">
        <w:rPr>
          <w:rFonts w:eastAsia="TitilliumText25L" w:cs="TitilliumText25L"/>
          <w:color w:val="231F20"/>
          <w:spacing w:val="-3"/>
        </w:rPr>
        <w:t>a</w:t>
      </w:r>
      <w:r w:rsidRPr="00B332D4">
        <w:rPr>
          <w:rFonts w:eastAsia="TitilliumText25L" w:cs="TitilliumText25L"/>
          <w:color w:val="231F20"/>
          <w:spacing w:val="-2"/>
        </w:rPr>
        <w:t>t</w:t>
      </w:r>
      <w:r w:rsidRPr="00B332D4">
        <w:rPr>
          <w:rFonts w:eastAsia="TitilliumText25L" w:cs="TitilliumText25L"/>
          <w:color w:val="231F20"/>
          <w:spacing w:val="-3"/>
        </w:rPr>
        <w:t>m</w:t>
      </w:r>
      <w:r w:rsidRPr="00B332D4">
        <w:rPr>
          <w:rFonts w:eastAsia="TitilliumText25L" w:cs="TitilliumText25L"/>
          <w:color w:val="231F20"/>
          <w:spacing w:val="-4"/>
        </w:rPr>
        <w:t>en</w:t>
      </w:r>
      <w:r w:rsidRPr="00B332D4">
        <w:rPr>
          <w:rFonts w:eastAsia="TitilliumText25L" w:cs="TitilliumText25L"/>
          <w:color w:val="231F20"/>
        </w:rPr>
        <w:t>t</w:t>
      </w:r>
      <w:r w:rsidRPr="00B332D4">
        <w:rPr>
          <w:rFonts w:eastAsia="TitilliumText25L" w:cs="TitilliumText25L"/>
          <w:color w:val="231F20"/>
          <w:spacing w:val="-7"/>
        </w:rPr>
        <w:t xml:space="preserve"> </w:t>
      </w:r>
      <w:r w:rsidRPr="00B332D4">
        <w:rPr>
          <w:rFonts w:eastAsia="TitilliumText25L" w:cs="TitilliumText25L"/>
          <w:color w:val="231F20"/>
          <w:spacing w:val="-1"/>
        </w:rPr>
        <w:t>v</w:t>
      </w:r>
      <w:r w:rsidRPr="00B332D4">
        <w:rPr>
          <w:rFonts w:eastAsia="TitilliumText25L" w:cs="TitilliumText25L"/>
          <w:color w:val="231F20"/>
          <w:spacing w:val="-4"/>
        </w:rPr>
        <w:t>i</w:t>
      </w:r>
      <w:r w:rsidRPr="00B332D4">
        <w:rPr>
          <w:rFonts w:eastAsia="TitilliumText25L" w:cs="TitilliumText25L"/>
          <w:color w:val="231F20"/>
        </w:rPr>
        <w:t>a</w:t>
      </w:r>
      <w:r w:rsidRPr="00B332D4">
        <w:rPr>
          <w:rFonts w:eastAsia="TitilliumText25L" w:cs="TitilliumText25L"/>
          <w:color w:val="231F20"/>
          <w:spacing w:val="-7"/>
        </w:rPr>
        <w:t xml:space="preserve"> </w:t>
      </w:r>
      <w:r w:rsidRPr="00B332D4">
        <w:rPr>
          <w:rFonts w:eastAsia="TitilliumText25L" w:cs="TitilliumText25L"/>
          <w:color w:val="231F20"/>
        </w:rPr>
        <w:t>a</w:t>
      </w:r>
      <w:r w:rsidRPr="00B332D4">
        <w:rPr>
          <w:rFonts w:eastAsia="TitilliumText25L" w:cs="TitilliumText25L"/>
          <w:color w:val="231F20"/>
          <w:spacing w:val="-7"/>
        </w:rPr>
        <w:t xml:space="preserve"> </w:t>
      </w:r>
      <w:r w:rsidRPr="00B332D4">
        <w:rPr>
          <w:rFonts w:eastAsia="TitilliumText25L" w:cs="TitilliumText25L"/>
          <w:color w:val="231F20"/>
          <w:spacing w:val="-2"/>
        </w:rPr>
        <w:t>s</w:t>
      </w:r>
      <w:r w:rsidRPr="00B332D4">
        <w:rPr>
          <w:rFonts w:eastAsia="TitilliumText25L" w:cs="TitilliumText25L"/>
          <w:color w:val="231F20"/>
          <w:spacing w:val="-1"/>
        </w:rPr>
        <w:t>e</w:t>
      </w:r>
      <w:r w:rsidRPr="00B332D4">
        <w:rPr>
          <w:rFonts w:eastAsia="TitilliumText25L" w:cs="TitilliumText25L"/>
          <w:color w:val="231F20"/>
          <w:spacing w:val="-3"/>
        </w:rPr>
        <w:t>c</w:t>
      </w:r>
      <w:r w:rsidRPr="00B332D4">
        <w:rPr>
          <w:rFonts w:eastAsia="TitilliumText25L" w:cs="TitilliumText25L"/>
          <w:color w:val="231F20"/>
          <w:spacing w:val="-5"/>
        </w:rPr>
        <w:t>u</w:t>
      </w:r>
      <w:r w:rsidRPr="00B332D4">
        <w:rPr>
          <w:rFonts w:eastAsia="TitilliumText25L" w:cs="TitilliumText25L"/>
          <w:color w:val="231F20"/>
          <w:spacing w:val="-2"/>
        </w:rPr>
        <w:t>r</w:t>
      </w:r>
      <w:r w:rsidRPr="00B332D4">
        <w:rPr>
          <w:rFonts w:eastAsia="TitilliumText25L" w:cs="TitilliumText25L"/>
          <w:color w:val="231F20"/>
        </w:rPr>
        <w:t>e</w:t>
      </w:r>
      <w:r w:rsidRPr="00B332D4">
        <w:rPr>
          <w:rFonts w:eastAsia="TitilliumText25L" w:cs="TitilliumText25L"/>
          <w:color w:val="231F20"/>
          <w:spacing w:val="-7"/>
        </w:rPr>
        <w:t xml:space="preserve"> </w:t>
      </w:r>
      <w:r w:rsidRPr="00B332D4">
        <w:rPr>
          <w:rFonts w:eastAsia="TitilliumText25L" w:cs="TitilliumText25L"/>
          <w:color w:val="231F20"/>
          <w:spacing w:val="-3"/>
        </w:rPr>
        <w:t>l</w:t>
      </w:r>
      <w:r w:rsidRPr="00B332D4">
        <w:rPr>
          <w:rFonts w:eastAsia="TitilliumText25L" w:cs="TitilliumText25L"/>
          <w:color w:val="231F20"/>
          <w:spacing w:val="-2"/>
        </w:rPr>
        <w:t>o</w:t>
      </w:r>
      <w:r w:rsidRPr="00B332D4">
        <w:rPr>
          <w:rFonts w:eastAsia="TitilliumText25L" w:cs="TitilliumText25L"/>
          <w:color w:val="231F20"/>
        </w:rPr>
        <w:t>g</w:t>
      </w:r>
      <w:r w:rsidRPr="00B332D4">
        <w:rPr>
          <w:rFonts w:eastAsia="TitilliumText25L" w:cs="TitilliumText25L"/>
          <w:color w:val="231F20"/>
          <w:spacing w:val="-7"/>
        </w:rPr>
        <w:t xml:space="preserve"> </w:t>
      </w:r>
      <w:r w:rsidRPr="00B332D4">
        <w:rPr>
          <w:rFonts w:eastAsia="TitilliumText25L" w:cs="TitilliumText25L"/>
          <w:color w:val="231F20"/>
          <w:spacing w:val="-5"/>
        </w:rPr>
        <w:t>i</w:t>
      </w:r>
      <w:r w:rsidRPr="00B332D4">
        <w:rPr>
          <w:rFonts w:eastAsia="TitilliumText25L" w:cs="TitilliumText25L"/>
          <w:color w:val="231F20"/>
          <w:spacing w:val="-4"/>
        </w:rPr>
        <w:t>n</w:t>
      </w:r>
      <w:r w:rsidRPr="00B332D4">
        <w:rPr>
          <w:rFonts w:eastAsia="TitilliumText25L" w:cs="TitilliumText25L"/>
          <w:color w:val="231F20"/>
        </w:rPr>
        <w:t>.</w:t>
      </w:r>
      <w:r w:rsidRPr="00B332D4">
        <w:rPr>
          <w:rFonts w:eastAsia="TitilliumText25L" w:cs="TitilliumText25L"/>
          <w:color w:val="231F20"/>
          <w:spacing w:val="-7"/>
        </w:rPr>
        <w:t xml:space="preserve"> </w:t>
      </w:r>
      <w:r w:rsidRPr="00B332D4">
        <w:rPr>
          <w:rFonts w:eastAsia="TitilliumText25L" w:cs="TitilliumText25L"/>
          <w:color w:val="231F20"/>
        </w:rPr>
        <w:t>T</w:t>
      </w:r>
      <w:r w:rsidRPr="00B332D4">
        <w:rPr>
          <w:rFonts w:eastAsia="TitilliumText25L" w:cs="TitilliumText25L"/>
          <w:color w:val="231F20"/>
          <w:spacing w:val="-3"/>
        </w:rPr>
        <w:t>h</w:t>
      </w:r>
      <w:r w:rsidRPr="00B332D4">
        <w:rPr>
          <w:rFonts w:eastAsia="TitilliumText25L" w:cs="TitilliumText25L"/>
          <w:color w:val="231F20"/>
          <w:spacing w:val="-1"/>
        </w:rPr>
        <w:t>e</w:t>
      </w:r>
      <w:r w:rsidRPr="00B332D4">
        <w:rPr>
          <w:rFonts w:eastAsia="TitilliumText25L" w:cs="TitilliumText25L"/>
          <w:color w:val="231F20"/>
          <w:spacing w:val="-2"/>
        </w:rPr>
        <w:t>s</w:t>
      </w:r>
      <w:r w:rsidRPr="00B332D4">
        <w:rPr>
          <w:rFonts w:eastAsia="TitilliumText25L" w:cs="TitilliumText25L"/>
          <w:color w:val="231F20"/>
        </w:rPr>
        <w:t>e</w:t>
      </w:r>
      <w:r w:rsidRPr="00B332D4">
        <w:rPr>
          <w:rFonts w:eastAsia="TitilliumText25L" w:cs="TitilliumText25L"/>
          <w:color w:val="231F20"/>
          <w:spacing w:val="-7"/>
        </w:rPr>
        <w:t xml:space="preserve"> </w:t>
      </w:r>
      <w:r w:rsidRPr="00B332D4">
        <w:rPr>
          <w:rFonts w:eastAsia="TitilliumText25L" w:cs="TitilliumText25L"/>
          <w:color w:val="231F20"/>
          <w:spacing w:val="-5"/>
        </w:rPr>
        <w:t>i</w:t>
      </w:r>
      <w:r w:rsidRPr="00B332D4">
        <w:rPr>
          <w:rFonts w:eastAsia="TitilliumText25L" w:cs="TitilliumText25L"/>
          <w:color w:val="231F20"/>
          <w:spacing w:val="-3"/>
        </w:rPr>
        <w:t>nc</w:t>
      </w:r>
      <w:r w:rsidRPr="00B332D4">
        <w:rPr>
          <w:rFonts w:eastAsia="TitilliumText25L" w:cs="TitilliumText25L"/>
          <w:color w:val="231F20"/>
          <w:spacing w:val="-4"/>
        </w:rPr>
        <w:t>l</w:t>
      </w:r>
      <w:r w:rsidRPr="00B332D4">
        <w:rPr>
          <w:rFonts w:eastAsia="TitilliumText25L" w:cs="TitilliumText25L"/>
          <w:color w:val="231F20"/>
          <w:spacing w:val="-3"/>
        </w:rPr>
        <w:t>ud</w:t>
      </w:r>
      <w:r w:rsidRPr="00B332D4">
        <w:rPr>
          <w:rFonts w:eastAsia="TitilliumText25L" w:cs="TitilliumText25L"/>
          <w:color w:val="231F20"/>
          <w:spacing w:val="-2"/>
        </w:rPr>
        <w:t>e</w:t>
      </w:r>
      <w:r w:rsidRPr="00B332D4">
        <w:rPr>
          <w:rFonts w:eastAsia="TitilliumText25L" w:cs="TitilliumText25L"/>
          <w:color w:val="231F20"/>
        </w:rPr>
        <w:t>:</w:t>
      </w:r>
      <w:r w:rsidRPr="00B332D4">
        <w:rPr>
          <w:rFonts w:eastAsia="TitilliumText25L" w:cs="TitilliumText25L"/>
          <w:color w:val="231F20"/>
          <w:spacing w:val="31"/>
        </w:rPr>
        <w:t xml:space="preserve"> </w:t>
      </w:r>
      <w:r w:rsidRPr="00B332D4">
        <w:rPr>
          <w:rFonts w:eastAsia="TitilliumText25L" w:cs="TitilliumText25L"/>
          <w:color w:val="231F20"/>
          <w:spacing w:val="-3"/>
        </w:rPr>
        <w:t>yo</w:t>
      </w:r>
      <w:r w:rsidRPr="00B332D4">
        <w:rPr>
          <w:rFonts w:eastAsia="TitilliumText25L" w:cs="TitilliumText25L"/>
          <w:color w:val="231F20"/>
          <w:spacing w:val="-5"/>
        </w:rPr>
        <w:t>u</w:t>
      </w:r>
      <w:r w:rsidRPr="00B332D4">
        <w:rPr>
          <w:rFonts w:eastAsia="TitilliumText25L" w:cs="TitilliumText25L"/>
          <w:color w:val="231F20"/>
        </w:rPr>
        <w:t xml:space="preserve">r </w:t>
      </w:r>
      <w:r w:rsidRPr="00B332D4">
        <w:rPr>
          <w:rFonts w:eastAsia="TitilliumText25L" w:cs="TitilliumText25L"/>
          <w:color w:val="231F20"/>
          <w:spacing w:val="-3"/>
        </w:rPr>
        <w:t>d</w:t>
      </w:r>
      <w:r w:rsidRPr="00B332D4">
        <w:rPr>
          <w:rFonts w:eastAsia="TitilliumText25L" w:cs="TitilliumText25L"/>
          <w:color w:val="231F20"/>
          <w:spacing w:val="-1"/>
        </w:rPr>
        <w:t>o</w:t>
      </w:r>
      <w:r w:rsidRPr="00B332D4">
        <w:rPr>
          <w:rFonts w:eastAsia="TitilliumText25L" w:cs="TitilliumText25L"/>
          <w:color w:val="231F20"/>
          <w:spacing w:val="1"/>
        </w:rPr>
        <w:t>c</w:t>
      </w:r>
      <w:r w:rsidRPr="00B332D4">
        <w:rPr>
          <w:rFonts w:eastAsia="TitilliumText25L" w:cs="TitilliumText25L"/>
          <w:color w:val="231F20"/>
          <w:spacing w:val="-2"/>
        </w:rPr>
        <w:t>t</w:t>
      </w:r>
      <w:r w:rsidRPr="00B332D4">
        <w:rPr>
          <w:rFonts w:eastAsia="TitilliumText25L" w:cs="TitilliumText25L"/>
          <w:color w:val="231F20"/>
          <w:spacing w:val="-3"/>
        </w:rPr>
        <w:t>o</w:t>
      </w:r>
      <w:r w:rsidRPr="00B332D4">
        <w:rPr>
          <w:rFonts w:eastAsia="TitilliumText25L" w:cs="TitilliumText25L"/>
          <w:color w:val="231F20"/>
          <w:spacing w:val="-13"/>
        </w:rPr>
        <w:t>r</w:t>
      </w:r>
      <w:r w:rsidRPr="00B332D4">
        <w:rPr>
          <w:rFonts w:eastAsia="TitilliumText25L" w:cs="TitilliumText25L"/>
          <w:color w:val="231F20"/>
        </w:rPr>
        <w:t>,</w:t>
      </w:r>
      <w:r w:rsidRPr="00B332D4">
        <w:rPr>
          <w:rFonts w:eastAsia="TitilliumText25L" w:cs="TitilliumText25L"/>
          <w:color w:val="231F20"/>
          <w:spacing w:val="-7"/>
        </w:rPr>
        <w:t xml:space="preserve"> </w:t>
      </w:r>
      <w:r w:rsidRPr="00B332D4">
        <w:rPr>
          <w:rFonts w:eastAsia="TitilliumText25L" w:cs="TitilliumText25L"/>
          <w:color w:val="231F20"/>
          <w:spacing w:val="-5"/>
        </w:rPr>
        <w:t>nu</w:t>
      </w:r>
      <w:r w:rsidRPr="00B332D4">
        <w:rPr>
          <w:rFonts w:eastAsia="TitilliumText25L" w:cs="TitilliumText25L"/>
          <w:color w:val="231F20"/>
        </w:rPr>
        <w:t>r</w:t>
      </w:r>
      <w:r w:rsidRPr="00B332D4">
        <w:rPr>
          <w:rFonts w:eastAsia="TitilliumText25L" w:cs="TitilliumText25L"/>
          <w:color w:val="231F20"/>
          <w:spacing w:val="-2"/>
        </w:rPr>
        <w:t>se</w:t>
      </w:r>
      <w:r w:rsidRPr="00B332D4">
        <w:rPr>
          <w:rFonts w:eastAsia="TitilliumText25L" w:cs="TitilliumText25L"/>
          <w:color w:val="231F20"/>
        </w:rPr>
        <w:t>,</w:t>
      </w:r>
      <w:r w:rsidRPr="00B332D4">
        <w:rPr>
          <w:rFonts w:eastAsia="TitilliumText25L" w:cs="TitilliumText25L"/>
          <w:color w:val="231F20"/>
          <w:spacing w:val="-7"/>
        </w:rPr>
        <w:t xml:space="preserve"> </w:t>
      </w:r>
      <w:r w:rsidRPr="00B332D4">
        <w:rPr>
          <w:rFonts w:eastAsia="TitilliumText25L" w:cs="TitilliumText25L"/>
          <w:color w:val="231F20"/>
          <w:spacing w:val="-4"/>
        </w:rPr>
        <w:t>l</w:t>
      </w:r>
      <w:r w:rsidRPr="00B332D4">
        <w:rPr>
          <w:rFonts w:eastAsia="TitilliumText25L" w:cs="TitilliumText25L"/>
          <w:color w:val="231F20"/>
          <w:spacing w:val="-2"/>
        </w:rPr>
        <w:t>a</w:t>
      </w:r>
      <w:r w:rsidRPr="00B332D4">
        <w:rPr>
          <w:rFonts w:eastAsia="TitilliumText25L" w:cs="TitilliumText25L"/>
          <w:color w:val="231F20"/>
          <w:spacing w:val="-1"/>
        </w:rPr>
        <w:t>b</w:t>
      </w:r>
      <w:r w:rsidRPr="00B332D4">
        <w:rPr>
          <w:rFonts w:eastAsia="TitilliumText25L" w:cs="TitilliumText25L"/>
          <w:color w:val="231F20"/>
          <w:spacing w:val="-3"/>
        </w:rPr>
        <w:t>o</w:t>
      </w:r>
      <w:r w:rsidRPr="00B332D4">
        <w:rPr>
          <w:rFonts w:eastAsia="TitilliumText25L" w:cs="TitilliumText25L"/>
          <w:color w:val="231F20"/>
        </w:rPr>
        <w:t>r</w:t>
      </w:r>
      <w:r w:rsidRPr="00B332D4">
        <w:rPr>
          <w:rFonts w:eastAsia="TitilliumText25L" w:cs="TitilliumText25L"/>
          <w:color w:val="231F20"/>
          <w:spacing w:val="-3"/>
        </w:rPr>
        <w:t>a</w:t>
      </w:r>
      <w:r w:rsidRPr="00B332D4">
        <w:rPr>
          <w:rFonts w:eastAsia="TitilliumText25L" w:cs="TitilliumText25L"/>
          <w:color w:val="231F20"/>
          <w:spacing w:val="-2"/>
        </w:rPr>
        <w:t>t</w:t>
      </w:r>
      <w:r w:rsidRPr="00B332D4">
        <w:rPr>
          <w:rFonts w:eastAsia="TitilliumText25L" w:cs="TitilliumText25L"/>
          <w:color w:val="231F20"/>
          <w:spacing w:val="-3"/>
        </w:rPr>
        <w:t>o</w:t>
      </w:r>
      <w:r w:rsidRPr="00B332D4">
        <w:rPr>
          <w:rFonts w:eastAsia="TitilliumText25L" w:cs="TitilliumText25L"/>
          <w:color w:val="231F20"/>
          <w:spacing w:val="4"/>
        </w:rPr>
        <w:t>r</w:t>
      </w:r>
      <w:r w:rsidRPr="00B332D4">
        <w:rPr>
          <w:rFonts w:eastAsia="TitilliumText25L" w:cs="TitilliumText25L"/>
          <w:color w:val="231F20"/>
        </w:rPr>
        <w:t>y</w:t>
      </w:r>
      <w:r w:rsidRPr="00B332D4">
        <w:rPr>
          <w:rFonts w:eastAsia="TitilliumText25L" w:cs="TitilliumText25L"/>
          <w:color w:val="231F20"/>
          <w:spacing w:val="-7"/>
        </w:rPr>
        <w:t xml:space="preserve"> </w:t>
      </w:r>
      <w:r w:rsidRPr="00B332D4">
        <w:rPr>
          <w:rFonts w:eastAsia="TitilliumText25L" w:cs="TitilliumText25L"/>
          <w:color w:val="231F20"/>
          <w:spacing w:val="-1"/>
        </w:rPr>
        <w:t>s</w:t>
      </w:r>
      <w:r w:rsidRPr="00B332D4">
        <w:rPr>
          <w:rFonts w:eastAsia="TitilliumText25L" w:cs="TitilliumText25L"/>
          <w:color w:val="231F20"/>
        </w:rPr>
        <w:t>t</w:t>
      </w:r>
      <w:r w:rsidRPr="00B332D4">
        <w:rPr>
          <w:rFonts w:eastAsia="TitilliumText25L" w:cs="TitilliumText25L"/>
          <w:color w:val="231F20"/>
          <w:spacing w:val="-2"/>
        </w:rPr>
        <w:t>a</w:t>
      </w:r>
      <w:r w:rsidRPr="00B332D4">
        <w:rPr>
          <w:rFonts w:eastAsia="TitilliumText25L" w:cs="TitilliumText25L"/>
          <w:color w:val="231F20"/>
          <w:spacing w:val="3"/>
        </w:rPr>
        <w:t>f</w:t>
      </w:r>
      <w:r w:rsidRPr="00B332D4">
        <w:rPr>
          <w:rFonts w:eastAsia="TitilliumText25L" w:cs="TitilliumText25L"/>
          <w:color w:val="231F20"/>
          <w:spacing w:val="-10"/>
        </w:rPr>
        <w:t>f</w:t>
      </w:r>
      <w:r w:rsidRPr="00B332D4">
        <w:rPr>
          <w:rFonts w:eastAsia="TitilliumText25L" w:cs="TitilliumText25L"/>
          <w:color w:val="231F20"/>
        </w:rPr>
        <w:t>,</w:t>
      </w:r>
      <w:r w:rsidRPr="00B332D4">
        <w:rPr>
          <w:rFonts w:eastAsia="TitilliumText25L" w:cs="TitilliumText25L"/>
          <w:color w:val="231F20"/>
          <w:spacing w:val="-7"/>
        </w:rPr>
        <w:t xml:space="preserve"> </w:t>
      </w:r>
      <w:r w:rsidRPr="00B332D4">
        <w:rPr>
          <w:rFonts w:eastAsia="TitilliumText25L" w:cs="TitilliumText25L"/>
          <w:color w:val="231F20"/>
          <w:spacing w:val="-3"/>
        </w:rPr>
        <w:t>ph</w:t>
      </w:r>
      <w:r w:rsidRPr="00B332D4">
        <w:rPr>
          <w:rFonts w:eastAsia="TitilliumText25L" w:cs="TitilliumText25L"/>
          <w:color w:val="231F20"/>
          <w:spacing w:val="-2"/>
        </w:rPr>
        <w:t>ar</w:t>
      </w:r>
      <w:r w:rsidRPr="00B332D4">
        <w:rPr>
          <w:rFonts w:eastAsia="TitilliumText25L" w:cs="TitilliumText25L"/>
          <w:color w:val="231F20"/>
          <w:spacing w:val="-3"/>
        </w:rPr>
        <w:t>m</w:t>
      </w:r>
      <w:r w:rsidRPr="00B332D4">
        <w:rPr>
          <w:rFonts w:eastAsia="TitilliumText25L" w:cs="TitilliumText25L"/>
          <w:color w:val="231F20"/>
          <w:spacing w:val="-2"/>
        </w:rPr>
        <w:t>a</w:t>
      </w:r>
      <w:r w:rsidRPr="00B332D4">
        <w:rPr>
          <w:rFonts w:eastAsia="TitilliumText25L" w:cs="TitilliumText25L"/>
          <w:color w:val="231F20"/>
          <w:spacing w:val="2"/>
        </w:rPr>
        <w:t>c</w:t>
      </w:r>
      <w:r w:rsidRPr="00B332D4">
        <w:rPr>
          <w:rFonts w:eastAsia="TitilliumText25L" w:cs="TitilliumText25L"/>
          <w:color w:val="231F20"/>
        </w:rPr>
        <w:t>y</w:t>
      </w:r>
      <w:r w:rsidRPr="00B332D4">
        <w:rPr>
          <w:rFonts w:eastAsia="TitilliumText25L" w:cs="TitilliumText25L"/>
          <w:color w:val="231F20"/>
          <w:spacing w:val="-7"/>
        </w:rPr>
        <w:t xml:space="preserve"> </w:t>
      </w:r>
      <w:r w:rsidRPr="00B332D4">
        <w:rPr>
          <w:rFonts w:eastAsia="TitilliumText25L" w:cs="TitilliumText25L"/>
          <w:color w:val="231F20"/>
          <w:spacing w:val="-1"/>
        </w:rPr>
        <w:t>s</w:t>
      </w:r>
      <w:r w:rsidRPr="00B332D4">
        <w:rPr>
          <w:rFonts w:eastAsia="TitilliumText25L" w:cs="TitilliumText25L"/>
          <w:color w:val="231F20"/>
        </w:rPr>
        <w:t>t</w:t>
      </w:r>
      <w:r w:rsidRPr="00B332D4">
        <w:rPr>
          <w:rFonts w:eastAsia="TitilliumText25L" w:cs="TitilliumText25L"/>
          <w:color w:val="231F20"/>
          <w:spacing w:val="-2"/>
        </w:rPr>
        <w:t>a</w:t>
      </w:r>
      <w:r w:rsidRPr="00B332D4">
        <w:rPr>
          <w:rFonts w:eastAsia="TitilliumText25L" w:cs="TitilliumText25L"/>
          <w:color w:val="231F20"/>
          <w:spacing w:val="3"/>
        </w:rPr>
        <w:t>f</w:t>
      </w:r>
      <w:r w:rsidRPr="00B332D4">
        <w:rPr>
          <w:rFonts w:eastAsia="TitilliumText25L" w:cs="TitilliumText25L"/>
          <w:color w:val="231F20"/>
          <w:spacing w:val="-10"/>
        </w:rPr>
        <w:t>f</w:t>
      </w:r>
      <w:r w:rsidRPr="00B332D4">
        <w:rPr>
          <w:rFonts w:eastAsia="TitilliumText25L" w:cs="TitilliumText25L"/>
          <w:color w:val="231F20"/>
        </w:rPr>
        <w:t>,</w:t>
      </w:r>
      <w:r w:rsidRPr="00B332D4">
        <w:rPr>
          <w:rFonts w:eastAsia="TitilliumText25L" w:cs="TitilliumText25L"/>
          <w:color w:val="231F20"/>
          <w:spacing w:val="-7"/>
        </w:rPr>
        <w:t xml:space="preserve"> </w:t>
      </w:r>
      <w:r w:rsidRPr="00B332D4">
        <w:rPr>
          <w:rFonts w:eastAsia="TitilliumText25L" w:cs="TitilliumText25L"/>
          <w:color w:val="231F20"/>
          <w:spacing w:val="-4"/>
        </w:rPr>
        <w:t>A</w:t>
      </w:r>
      <w:r w:rsidRPr="00B332D4">
        <w:rPr>
          <w:rFonts w:eastAsia="TitilliumText25L" w:cs="TitilliumText25L"/>
          <w:color w:val="231F20"/>
          <w:spacing w:val="-2"/>
        </w:rPr>
        <w:t>ut</w:t>
      </w:r>
      <w:r w:rsidRPr="00B332D4">
        <w:rPr>
          <w:rFonts w:eastAsia="TitilliumText25L" w:cs="TitilliumText25L"/>
          <w:color w:val="231F20"/>
          <w:spacing w:val="-3"/>
        </w:rPr>
        <w:t>ho</w:t>
      </w:r>
      <w:r w:rsidRPr="00B332D4">
        <w:rPr>
          <w:rFonts w:eastAsia="TitilliumText25L" w:cs="TitilliumText25L"/>
          <w:color w:val="231F20"/>
          <w:spacing w:val="-1"/>
        </w:rPr>
        <w:t>r</w:t>
      </w:r>
      <w:r w:rsidRPr="00B332D4">
        <w:rPr>
          <w:rFonts w:eastAsia="TitilliumText25L" w:cs="TitilliumText25L"/>
          <w:color w:val="231F20"/>
          <w:spacing w:val="-4"/>
        </w:rPr>
        <w:t>i</w:t>
      </w:r>
      <w:r w:rsidRPr="00B332D4">
        <w:rPr>
          <w:rFonts w:eastAsia="TitilliumText25L" w:cs="TitilliumText25L"/>
          <w:color w:val="231F20"/>
          <w:spacing w:val="-2"/>
        </w:rPr>
        <w:t>s</w:t>
      </w:r>
      <w:r w:rsidRPr="00B332D4">
        <w:rPr>
          <w:rFonts w:eastAsia="TitilliumText25L" w:cs="TitilliumText25L"/>
          <w:color w:val="231F20"/>
          <w:spacing w:val="-4"/>
        </w:rPr>
        <w:t>e</w:t>
      </w:r>
      <w:r w:rsidRPr="00B332D4">
        <w:rPr>
          <w:rFonts w:eastAsia="TitilliumText25L" w:cs="TitilliumText25L"/>
          <w:color w:val="231F20"/>
        </w:rPr>
        <w:t xml:space="preserve">rs </w:t>
      </w:r>
      <w:r w:rsidRPr="00B332D4">
        <w:rPr>
          <w:rFonts w:eastAsia="TitilliumText25L" w:cs="TitilliumText25L"/>
          <w:color w:val="231F20"/>
          <w:spacing w:val="-6"/>
        </w:rPr>
        <w:t>(</w:t>
      </w:r>
      <w:r w:rsidRPr="00B332D4">
        <w:rPr>
          <w:rFonts w:eastAsia="TitilliumText25L" w:cs="TitilliumText25L"/>
          <w:color w:val="231F20"/>
          <w:spacing w:val="-5"/>
        </w:rPr>
        <w:t>s</w:t>
      </w:r>
      <w:r w:rsidRPr="00B332D4">
        <w:rPr>
          <w:rFonts w:eastAsia="TitilliumText25L" w:cs="TitilliumText25L"/>
          <w:color w:val="231F20"/>
          <w:spacing w:val="-1"/>
        </w:rPr>
        <w:t>pe</w:t>
      </w:r>
      <w:r w:rsidRPr="00B332D4">
        <w:rPr>
          <w:rFonts w:eastAsia="TitilliumText25L" w:cs="TitilliumText25L"/>
          <w:color w:val="231F20"/>
          <w:spacing w:val="-3"/>
        </w:rPr>
        <w:t>c</w:t>
      </w:r>
      <w:r w:rsidRPr="00B332D4">
        <w:rPr>
          <w:rFonts w:eastAsia="TitilliumText25L" w:cs="TitilliumText25L"/>
          <w:color w:val="231F20"/>
          <w:spacing w:val="-2"/>
        </w:rPr>
        <w:t>i</w:t>
      </w:r>
      <w:r w:rsidRPr="00B332D4">
        <w:rPr>
          <w:rFonts w:eastAsia="TitilliumText25L" w:cs="TitilliumText25L"/>
          <w:color w:val="231F20"/>
        </w:rPr>
        <w:t>f</w:t>
      </w:r>
      <w:r w:rsidRPr="00B332D4">
        <w:rPr>
          <w:rFonts w:eastAsia="TitilliumText25L" w:cs="TitilliumText25L"/>
          <w:color w:val="231F20"/>
          <w:spacing w:val="-3"/>
        </w:rPr>
        <w:t>i</w:t>
      </w:r>
      <w:r w:rsidRPr="00B332D4">
        <w:rPr>
          <w:rFonts w:eastAsia="TitilliumText25L" w:cs="TitilliumText25L"/>
          <w:color w:val="231F20"/>
          <w:spacing w:val="-1"/>
        </w:rPr>
        <w:t>e</w:t>
      </w:r>
      <w:r w:rsidRPr="00B332D4">
        <w:rPr>
          <w:rFonts w:eastAsia="TitilliumText25L" w:cs="TitilliumText25L"/>
          <w:color w:val="231F20"/>
        </w:rPr>
        <w:t>d</w:t>
      </w:r>
      <w:r w:rsidRPr="00B332D4">
        <w:rPr>
          <w:rFonts w:eastAsia="TitilliumText25L" w:cs="TitilliumText25L"/>
          <w:color w:val="231F20"/>
          <w:spacing w:val="-7"/>
        </w:rPr>
        <w:t xml:space="preserve"> </w:t>
      </w:r>
      <w:r w:rsidRPr="00B332D4">
        <w:rPr>
          <w:rFonts w:eastAsia="TitilliumText25L" w:cs="TitilliumText25L"/>
          <w:color w:val="231F20"/>
          <w:spacing w:val="-1"/>
        </w:rPr>
        <w:t>s</w:t>
      </w:r>
      <w:r w:rsidRPr="00B332D4">
        <w:rPr>
          <w:rFonts w:eastAsia="TitilliumText25L" w:cs="TitilliumText25L"/>
          <w:color w:val="231F20"/>
        </w:rPr>
        <w:t>t</w:t>
      </w:r>
      <w:r w:rsidRPr="00B332D4">
        <w:rPr>
          <w:rFonts w:eastAsia="TitilliumText25L" w:cs="TitilliumText25L"/>
          <w:color w:val="231F20"/>
          <w:spacing w:val="-2"/>
        </w:rPr>
        <w:t>a</w:t>
      </w:r>
      <w:r w:rsidRPr="00B332D4">
        <w:rPr>
          <w:rFonts w:eastAsia="TitilliumText25L" w:cs="TitilliumText25L"/>
          <w:color w:val="231F20"/>
          <w:spacing w:val="3"/>
        </w:rPr>
        <w:t>f</w:t>
      </w:r>
      <w:r w:rsidRPr="00B332D4">
        <w:rPr>
          <w:rFonts w:eastAsia="TitilliumText25L" w:cs="TitilliumText25L"/>
          <w:color w:val="231F20"/>
        </w:rPr>
        <w:t>f</w:t>
      </w:r>
      <w:r w:rsidRPr="00B332D4">
        <w:rPr>
          <w:rFonts w:eastAsia="TitilliumText25L" w:cs="TitilliumText25L"/>
          <w:color w:val="231F20"/>
          <w:spacing w:val="-7"/>
        </w:rPr>
        <w:t xml:space="preserve"> </w:t>
      </w:r>
      <w:r w:rsidRPr="00B332D4">
        <w:rPr>
          <w:rFonts w:eastAsia="TitilliumText25L" w:cs="TitilliumText25L"/>
          <w:color w:val="231F20"/>
          <w:spacing w:val="-3"/>
        </w:rPr>
        <w:t>a</w:t>
      </w:r>
      <w:r w:rsidRPr="00B332D4">
        <w:rPr>
          <w:rFonts w:eastAsia="TitilliumText25L" w:cs="TitilliumText25L"/>
          <w:color w:val="231F20"/>
        </w:rPr>
        <w:t>t</w:t>
      </w:r>
      <w:r w:rsidRPr="00B332D4">
        <w:rPr>
          <w:rFonts w:eastAsia="TitilliumText25L" w:cs="TitilliumText25L"/>
          <w:color w:val="231F20"/>
          <w:spacing w:val="-7"/>
        </w:rPr>
        <w:t xml:space="preserve"> </w:t>
      </w:r>
      <w:r w:rsidRPr="00B332D4">
        <w:rPr>
          <w:rFonts w:eastAsia="TitilliumText25L" w:cs="TitilliumText25L"/>
          <w:color w:val="231F20"/>
          <w:spacing w:val="-2"/>
        </w:rPr>
        <w:t>t</w:t>
      </w:r>
      <w:r w:rsidRPr="00B332D4">
        <w:rPr>
          <w:rFonts w:eastAsia="TitilliumText25L" w:cs="TitilliumText25L"/>
          <w:color w:val="231F20"/>
          <w:spacing w:val="-3"/>
        </w:rPr>
        <w:t>h</w:t>
      </w:r>
      <w:r w:rsidRPr="00B332D4">
        <w:rPr>
          <w:rFonts w:eastAsia="TitilliumText25L" w:cs="TitilliumText25L"/>
          <w:color w:val="231F20"/>
        </w:rPr>
        <w:t>e</w:t>
      </w:r>
      <w:r w:rsidRPr="00B332D4">
        <w:rPr>
          <w:rFonts w:eastAsia="TitilliumText25L" w:cs="TitilliumText25L"/>
          <w:color w:val="231F20"/>
          <w:spacing w:val="-7"/>
        </w:rPr>
        <w:t xml:space="preserve"> </w:t>
      </w:r>
      <w:r w:rsidRPr="00B332D4">
        <w:rPr>
          <w:rFonts w:eastAsia="TitilliumText25L" w:cs="TitilliumText25L"/>
          <w:color w:val="231F20"/>
          <w:spacing w:val="-3"/>
        </w:rPr>
        <w:t>Bl</w:t>
      </w:r>
      <w:r w:rsidRPr="00B332D4">
        <w:rPr>
          <w:rFonts w:eastAsia="TitilliumText25L" w:cs="TitilliumText25L"/>
          <w:color w:val="231F20"/>
          <w:spacing w:val="-1"/>
        </w:rPr>
        <w:t>oo</w:t>
      </w:r>
      <w:r w:rsidRPr="00B332D4">
        <w:rPr>
          <w:rFonts w:eastAsia="TitilliumText25L" w:cs="TitilliumText25L"/>
          <w:color w:val="231F20"/>
        </w:rPr>
        <w:t>d</w:t>
      </w:r>
      <w:r w:rsidRPr="00B332D4">
        <w:rPr>
          <w:rFonts w:eastAsia="TitilliumText25L" w:cs="TitilliumText25L"/>
          <w:color w:val="231F20"/>
          <w:spacing w:val="-7"/>
        </w:rPr>
        <w:t xml:space="preserve"> </w:t>
      </w:r>
      <w:r w:rsidRPr="00B332D4">
        <w:rPr>
          <w:rFonts w:eastAsia="TitilliumText25L" w:cs="TitilliumText25L"/>
          <w:color w:val="231F20"/>
        </w:rPr>
        <w:t>S</w:t>
      </w:r>
      <w:r w:rsidRPr="00B332D4">
        <w:rPr>
          <w:rFonts w:eastAsia="TitilliumText25L" w:cs="TitilliumText25L"/>
          <w:color w:val="231F20"/>
          <w:spacing w:val="-4"/>
        </w:rPr>
        <w:t>e</w:t>
      </w:r>
      <w:r w:rsidRPr="00B332D4">
        <w:rPr>
          <w:rFonts w:eastAsia="TitilliumText25L" w:cs="TitilliumText25L"/>
          <w:color w:val="231F20"/>
          <w:spacing w:val="4"/>
        </w:rPr>
        <w:t>r</w:t>
      </w:r>
      <w:r w:rsidRPr="00B332D4">
        <w:rPr>
          <w:rFonts w:eastAsia="TitilliumText25L" w:cs="TitilliumText25L"/>
          <w:color w:val="231F20"/>
          <w:spacing w:val="-1"/>
        </w:rPr>
        <w:t>v</w:t>
      </w:r>
      <w:r w:rsidRPr="00B332D4">
        <w:rPr>
          <w:rFonts w:eastAsia="TitilliumText25L" w:cs="TitilliumText25L"/>
          <w:color w:val="231F20"/>
          <w:spacing w:val="-2"/>
        </w:rPr>
        <w:t>i</w:t>
      </w:r>
      <w:r w:rsidRPr="00B332D4">
        <w:rPr>
          <w:rFonts w:eastAsia="TitilliumText25L" w:cs="TitilliumText25L"/>
          <w:color w:val="231F20"/>
          <w:spacing w:val="-3"/>
        </w:rPr>
        <w:t>c</w:t>
      </w:r>
      <w:r w:rsidRPr="00B332D4">
        <w:rPr>
          <w:rFonts w:eastAsia="TitilliumText25L" w:cs="TitilliumText25L"/>
          <w:color w:val="231F20"/>
          <w:spacing w:val="-5"/>
        </w:rPr>
        <w:t>e</w:t>
      </w:r>
      <w:r w:rsidRPr="00B332D4">
        <w:rPr>
          <w:rFonts w:eastAsia="TitilliumText25L" w:cs="TitilliumText25L"/>
          <w:color w:val="231F20"/>
        </w:rPr>
        <w:t>)</w:t>
      </w:r>
      <w:r w:rsidRPr="00B332D4">
        <w:rPr>
          <w:rFonts w:eastAsia="TitilliumText25L" w:cs="TitilliumText25L"/>
          <w:color w:val="231F20"/>
          <w:spacing w:val="-7"/>
        </w:rPr>
        <w:t xml:space="preserve"> </w:t>
      </w:r>
      <w:r w:rsidRPr="00B332D4">
        <w:rPr>
          <w:rFonts w:eastAsia="TitilliumText25L" w:cs="TitilliumText25L"/>
          <w:color w:val="231F20"/>
          <w:spacing w:val="-2"/>
        </w:rPr>
        <w:t>a</w:t>
      </w:r>
      <w:r w:rsidRPr="00B332D4">
        <w:rPr>
          <w:rFonts w:eastAsia="TitilliumText25L" w:cs="TitilliumText25L"/>
          <w:color w:val="231F20"/>
          <w:spacing w:val="-3"/>
        </w:rPr>
        <w:t>n</w:t>
      </w:r>
      <w:r w:rsidRPr="00B332D4">
        <w:rPr>
          <w:rFonts w:eastAsia="TitilliumText25L" w:cs="TitilliumText25L"/>
          <w:color w:val="231F20"/>
        </w:rPr>
        <w:t>d</w:t>
      </w:r>
      <w:r w:rsidRPr="00B332D4">
        <w:rPr>
          <w:rFonts w:eastAsia="TitilliumText25L" w:cs="TitilliumText25L"/>
          <w:color w:val="231F20"/>
          <w:spacing w:val="-7"/>
        </w:rPr>
        <w:t xml:space="preserve"> </w:t>
      </w:r>
      <w:r w:rsidRPr="00B332D4">
        <w:rPr>
          <w:rFonts w:eastAsia="TitilliumText25L" w:cs="TitilliumText25L"/>
          <w:color w:val="231F20"/>
          <w:spacing w:val="-4"/>
        </w:rPr>
        <w:t>N</w:t>
      </w:r>
      <w:r w:rsidRPr="00B332D4">
        <w:rPr>
          <w:rFonts w:eastAsia="TitilliumText25L" w:cs="TitilliumText25L"/>
          <w:color w:val="231F20"/>
          <w:spacing w:val="-2"/>
        </w:rPr>
        <w:t>B</w:t>
      </w:r>
      <w:r w:rsidRPr="00B332D4">
        <w:rPr>
          <w:rFonts w:eastAsia="TitilliumText25L" w:cs="TitilliumText25L"/>
          <w:color w:val="231F20"/>
        </w:rPr>
        <w:t>A</w:t>
      </w:r>
      <w:r w:rsidRPr="00B332D4">
        <w:rPr>
          <w:rFonts w:eastAsia="TitilliumText25L" w:cs="TitilliumText25L"/>
          <w:color w:val="231F20"/>
          <w:spacing w:val="-7"/>
        </w:rPr>
        <w:t xml:space="preserve"> </w:t>
      </w:r>
      <w:r w:rsidRPr="00B332D4">
        <w:rPr>
          <w:rFonts w:eastAsia="TitilliumText25L" w:cs="TitilliumText25L"/>
          <w:color w:val="231F20"/>
          <w:spacing w:val="-1"/>
        </w:rPr>
        <w:t>s</w:t>
      </w:r>
      <w:r w:rsidRPr="00B332D4">
        <w:rPr>
          <w:rFonts w:eastAsia="TitilliumText25L" w:cs="TitilliumText25L"/>
          <w:color w:val="231F20"/>
        </w:rPr>
        <w:t>t</w:t>
      </w:r>
      <w:r w:rsidRPr="00B332D4">
        <w:rPr>
          <w:rFonts w:eastAsia="TitilliumText25L" w:cs="TitilliumText25L"/>
          <w:color w:val="231F20"/>
          <w:spacing w:val="-2"/>
        </w:rPr>
        <w:t>a</w:t>
      </w:r>
      <w:r w:rsidRPr="00B332D4">
        <w:rPr>
          <w:rFonts w:eastAsia="TitilliumText25L" w:cs="TitilliumText25L"/>
          <w:color w:val="231F20"/>
          <w:spacing w:val="3"/>
        </w:rPr>
        <w:t>f</w:t>
      </w:r>
      <w:r w:rsidRPr="00B332D4">
        <w:rPr>
          <w:rFonts w:eastAsia="TitilliumText25L" w:cs="TitilliumText25L"/>
          <w:color w:val="231F20"/>
        </w:rPr>
        <w:t>f</w:t>
      </w:r>
      <w:r w:rsidRPr="00B332D4">
        <w:rPr>
          <w:rFonts w:eastAsia="TitilliumText25L" w:cs="TitilliumText25L"/>
          <w:color w:val="231F20"/>
          <w:spacing w:val="-7"/>
        </w:rPr>
        <w:t xml:space="preserve"> </w:t>
      </w:r>
      <w:r w:rsidRPr="00B332D4">
        <w:rPr>
          <w:rFonts w:eastAsia="TitilliumText25L" w:cs="TitilliumText25L"/>
          <w:color w:val="231F20"/>
          <w:spacing w:val="-2"/>
        </w:rPr>
        <w:t>t</w:t>
      </w:r>
      <w:r w:rsidRPr="00B332D4">
        <w:rPr>
          <w:rFonts w:eastAsia="TitilliumText25L" w:cs="TitilliumText25L"/>
          <w:color w:val="231F20"/>
          <w:spacing w:val="-3"/>
        </w:rPr>
        <w:t>ha</w:t>
      </w:r>
      <w:r w:rsidRPr="00B332D4">
        <w:rPr>
          <w:rFonts w:eastAsia="TitilliumText25L" w:cs="TitilliumText25L"/>
          <w:color w:val="231F20"/>
        </w:rPr>
        <w:t xml:space="preserve">t </w:t>
      </w:r>
      <w:r w:rsidRPr="00B332D4">
        <w:rPr>
          <w:rFonts w:eastAsia="TitilliumText25L" w:cs="TitilliumText25L"/>
          <w:color w:val="231F20"/>
          <w:spacing w:val="-3"/>
        </w:rPr>
        <w:t>p</w:t>
      </w:r>
      <w:r w:rsidRPr="00B332D4">
        <w:rPr>
          <w:rFonts w:eastAsia="TitilliumText25L" w:cs="TitilliumText25L"/>
          <w:color w:val="231F20"/>
          <w:spacing w:val="-2"/>
        </w:rPr>
        <w:t>r</w:t>
      </w:r>
      <w:r w:rsidRPr="00B332D4">
        <w:rPr>
          <w:rFonts w:eastAsia="TitilliumText25L" w:cs="TitilliumText25L"/>
          <w:color w:val="231F20"/>
          <w:spacing w:val="-3"/>
        </w:rPr>
        <w:t>o</w:t>
      </w:r>
      <w:r w:rsidRPr="00B332D4">
        <w:rPr>
          <w:rFonts w:eastAsia="TitilliumText25L" w:cs="TitilliumText25L"/>
          <w:color w:val="231F20"/>
          <w:spacing w:val="-1"/>
        </w:rPr>
        <w:t>v</w:t>
      </w:r>
      <w:r w:rsidRPr="00B332D4">
        <w:rPr>
          <w:rFonts w:eastAsia="TitilliumText25L" w:cs="TitilliumText25L"/>
          <w:color w:val="231F20"/>
          <w:spacing w:val="-2"/>
        </w:rPr>
        <w:t>i</w:t>
      </w:r>
      <w:r w:rsidRPr="00B332D4">
        <w:rPr>
          <w:rFonts w:eastAsia="TitilliumText25L" w:cs="TitilliumText25L"/>
          <w:color w:val="231F20"/>
          <w:spacing w:val="-3"/>
        </w:rPr>
        <w:t>d</w:t>
      </w:r>
      <w:r w:rsidRPr="00B332D4">
        <w:rPr>
          <w:rFonts w:eastAsia="TitilliumText25L" w:cs="TitilliumText25L"/>
          <w:color w:val="231F20"/>
        </w:rPr>
        <w:t>e</w:t>
      </w:r>
      <w:r w:rsidRPr="00B332D4">
        <w:rPr>
          <w:rFonts w:eastAsia="TitilliumText25L" w:cs="TitilliumText25L"/>
          <w:color w:val="231F20"/>
          <w:spacing w:val="-7"/>
        </w:rPr>
        <w:t xml:space="preserve"> </w:t>
      </w:r>
      <w:r w:rsidRPr="00B332D4">
        <w:rPr>
          <w:rFonts w:eastAsia="TitilliumText25L" w:cs="TitilliumText25L"/>
          <w:color w:val="231F20"/>
          <w:spacing w:val="-2"/>
        </w:rPr>
        <w:t>t</w:t>
      </w:r>
      <w:r w:rsidRPr="00B332D4">
        <w:rPr>
          <w:rFonts w:eastAsia="TitilliumText25L" w:cs="TitilliumText25L"/>
          <w:color w:val="231F20"/>
          <w:spacing w:val="-1"/>
        </w:rPr>
        <w:t>e</w:t>
      </w:r>
      <w:r w:rsidRPr="00B332D4">
        <w:rPr>
          <w:rFonts w:eastAsia="TitilliumText25L" w:cs="TitilliumText25L"/>
          <w:color w:val="231F20"/>
          <w:spacing w:val="-4"/>
        </w:rPr>
        <w:t>c</w:t>
      </w:r>
      <w:r w:rsidRPr="00B332D4">
        <w:rPr>
          <w:rFonts w:eastAsia="TitilliumText25L" w:cs="TitilliumText25L"/>
          <w:color w:val="231F20"/>
          <w:spacing w:val="-5"/>
        </w:rPr>
        <w:t>h</w:t>
      </w:r>
      <w:r w:rsidRPr="00B332D4">
        <w:rPr>
          <w:rFonts w:eastAsia="TitilliumText25L" w:cs="TitilliumText25L"/>
          <w:color w:val="231F20"/>
          <w:spacing w:val="-4"/>
        </w:rPr>
        <w:t>n</w:t>
      </w:r>
      <w:r w:rsidRPr="00B332D4">
        <w:rPr>
          <w:rFonts w:eastAsia="TitilliumText25L" w:cs="TitilliumText25L"/>
          <w:color w:val="231F20"/>
          <w:spacing w:val="-2"/>
        </w:rPr>
        <w:t>i</w:t>
      </w:r>
      <w:r w:rsidRPr="00B332D4">
        <w:rPr>
          <w:rFonts w:eastAsia="TitilliumText25L" w:cs="TitilliumText25L"/>
          <w:color w:val="231F20"/>
          <w:spacing w:val="-1"/>
        </w:rPr>
        <w:t>c</w:t>
      </w:r>
      <w:r w:rsidRPr="00B332D4">
        <w:rPr>
          <w:rFonts w:eastAsia="TitilliumText25L" w:cs="TitilliumText25L"/>
          <w:color w:val="231F20"/>
          <w:spacing w:val="-2"/>
        </w:rPr>
        <w:t>a</w:t>
      </w:r>
      <w:r w:rsidRPr="00B332D4">
        <w:rPr>
          <w:rFonts w:eastAsia="TitilliumText25L" w:cs="TitilliumText25L"/>
          <w:color w:val="231F20"/>
        </w:rPr>
        <w:t>l</w:t>
      </w:r>
      <w:r w:rsidRPr="00B332D4">
        <w:rPr>
          <w:rFonts w:eastAsia="TitilliumText25L" w:cs="TitilliumText25L"/>
          <w:color w:val="231F20"/>
          <w:spacing w:val="-7"/>
        </w:rPr>
        <w:t xml:space="preserve"> </w:t>
      </w:r>
      <w:r w:rsidRPr="00B332D4">
        <w:rPr>
          <w:rFonts w:eastAsia="TitilliumText25L" w:cs="TitilliumText25L"/>
          <w:color w:val="231F20"/>
          <w:spacing w:val="-2"/>
        </w:rPr>
        <w:t>a</w:t>
      </w:r>
      <w:r w:rsidRPr="00B332D4">
        <w:rPr>
          <w:rFonts w:eastAsia="TitilliumText25L" w:cs="TitilliumText25L"/>
          <w:color w:val="231F20"/>
          <w:spacing w:val="-3"/>
        </w:rPr>
        <w:t>n</w:t>
      </w:r>
      <w:r w:rsidRPr="00B332D4">
        <w:rPr>
          <w:rFonts w:eastAsia="TitilliumText25L" w:cs="TitilliumText25L"/>
          <w:color w:val="231F20"/>
        </w:rPr>
        <w:t>d</w:t>
      </w:r>
      <w:r w:rsidRPr="00B332D4">
        <w:rPr>
          <w:rFonts w:eastAsia="TitilliumText25L" w:cs="TitilliumText25L"/>
          <w:color w:val="231F20"/>
          <w:spacing w:val="-7"/>
        </w:rPr>
        <w:t xml:space="preserve"> </w:t>
      </w:r>
      <w:r w:rsidRPr="00B332D4">
        <w:rPr>
          <w:rFonts w:eastAsia="TitilliumText25L" w:cs="TitilliumText25L"/>
          <w:color w:val="231F20"/>
          <w:spacing w:val="-5"/>
        </w:rPr>
        <w:t>u</w:t>
      </w:r>
      <w:r w:rsidRPr="00B332D4">
        <w:rPr>
          <w:rFonts w:eastAsia="TitilliumText25L" w:cs="TitilliumText25L"/>
          <w:color w:val="231F20"/>
          <w:spacing w:val="-2"/>
        </w:rPr>
        <w:t>s</w:t>
      </w:r>
      <w:r w:rsidRPr="00B332D4">
        <w:rPr>
          <w:rFonts w:eastAsia="TitilliumText25L" w:cs="TitilliumText25L"/>
          <w:color w:val="231F20"/>
          <w:spacing w:val="-4"/>
        </w:rPr>
        <w:t>e</w:t>
      </w:r>
      <w:r w:rsidRPr="00B332D4">
        <w:rPr>
          <w:rFonts w:eastAsia="TitilliumText25L" w:cs="TitilliumText25L"/>
          <w:color w:val="231F20"/>
        </w:rPr>
        <w:t>r</w:t>
      </w:r>
      <w:r w:rsidRPr="00B332D4">
        <w:rPr>
          <w:rFonts w:eastAsia="TitilliumText25L" w:cs="TitilliumText25L"/>
          <w:color w:val="231F20"/>
          <w:spacing w:val="-7"/>
        </w:rPr>
        <w:t xml:space="preserve"> </w:t>
      </w:r>
      <w:r w:rsidRPr="00B332D4">
        <w:rPr>
          <w:rFonts w:eastAsia="TitilliumText25L" w:cs="TitilliumText25L"/>
          <w:color w:val="231F20"/>
          <w:spacing w:val="-4"/>
        </w:rPr>
        <w:t>s</w:t>
      </w:r>
      <w:r w:rsidRPr="00B332D4">
        <w:rPr>
          <w:rFonts w:eastAsia="TitilliumText25L" w:cs="TitilliumText25L"/>
          <w:color w:val="231F20"/>
          <w:spacing w:val="-5"/>
        </w:rPr>
        <w:t>u</w:t>
      </w:r>
      <w:r w:rsidRPr="00B332D4">
        <w:rPr>
          <w:rFonts w:eastAsia="TitilliumText25L" w:cs="TitilliumText25L"/>
          <w:color w:val="231F20"/>
          <w:spacing w:val="-3"/>
        </w:rPr>
        <w:t>p</w:t>
      </w:r>
      <w:r w:rsidRPr="00B332D4">
        <w:rPr>
          <w:rFonts w:eastAsia="TitilliumText25L" w:cs="TitilliumText25L"/>
          <w:color w:val="231F20"/>
          <w:spacing w:val="-1"/>
        </w:rPr>
        <w:t>p</w:t>
      </w:r>
      <w:r w:rsidRPr="00B332D4">
        <w:rPr>
          <w:rFonts w:eastAsia="TitilliumText25L" w:cs="TitilliumText25L"/>
          <w:color w:val="231F20"/>
          <w:spacing w:val="-3"/>
        </w:rPr>
        <w:t>o</w:t>
      </w:r>
      <w:r w:rsidRPr="00B332D4">
        <w:rPr>
          <w:rFonts w:eastAsia="TitilliumText25L" w:cs="TitilliumText25L"/>
          <w:color w:val="231F20"/>
          <w:spacing w:val="4"/>
        </w:rPr>
        <w:t>r</w:t>
      </w:r>
      <w:r w:rsidRPr="00B332D4">
        <w:rPr>
          <w:rFonts w:eastAsia="TitilliumText25L" w:cs="TitilliumText25L"/>
          <w:color w:val="231F20"/>
          <w:spacing w:val="-1"/>
        </w:rPr>
        <w:t>t</w:t>
      </w:r>
      <w:r w:rsidRPr="00B332D4">
        <w:rPr>
          <w:rFonts w:eastAsia="TitilliumText25L" w:cs="TitilliumText25L"/>
          <w:color w:val="231F20"/>
        </w:rPr>
        <w:t>.</w:t>
      </w:r>
    </w:p>
    <w:p w:rsidR="00B55624" w:rsidRPr="003800B2" w:rsidRDefault="00B55624" w:rsidP="00B55624">
      <w:pPr>
        <w:spacing w:after="120"/>
        <w:rPr>
          <w:b/>
          <w:lang w:eastAsia="en-AU"/>
        </w:rPr>
      </w:pPr>
      <w:r w:rsidRPr="003800B2">
        <w:rPr>
          <w:b/>
          <w:lang w:eastAsia="en-AU"/>
        </w:rPr>
        <w:t>How can I be confident that my personal information is protected?</w:t>
      </w:r>
    </w:p>
    <w:p w:rsidR="00B55624" w:rsidRPr="00FB6847" w:rsidRDefault="00B55624" w:rsidP="00B55624">
      <w:pPr>
        <w:rPr>
          <w:lang w:eastAsia="en-AU"/>
        </w:rPr>
      </w:pPr>
      <w:r>
        <w:rPr>
          <w:lang w:eastAsia="en-AU"/>
        </w:rPr>
        <w:t>The NBA uses a</w:t>
      </w:r>
      <w:r w:rsidRPr="00FB6847">
        <w:rPr>
          <w:lang w:eastAsia="en-AU"/>
        </w:rPr>
        <w:t xml:space="preserve"> security protected system with strict rules around access</w:t>
      </w:r>
      <w:r>
        <w:rPr>
          <w:lang w:eastAsia="en-AU"/>
        </w:rPr>
        <w:t xml:space="preserve">. </w:t>
      </w:r>
      <w:r w:rsidRPr="00FB6847">
        <w:rPr>
          <w:lang w:eastAsia="en-AU"/>
        </w:rPr>
        <w:t>We will</w:t>
      </w:r>
      <w:r>
        <w:rPr>
          <w:lang w:eastAsia="en-AU"/>
        </w:rPr>
        <w:t xml:space="preserve"> also</w:t>
      </w:r>
      <w:r w:rsidRPr="00FB6847">
        <w:rPr>
          <w:lang w:eastAsia="en-AU"/>
        </w:rPr>
        <w:t xml:space="preserve"> not pass on your personal information to anyone without your consent, unless the law </w:t>
      </w:r>
      <w:r>
        <w:rPr>
          <w:lang w:eastAsia="en-AU"/>
        </w:rPr>
        <w:t xml:space="preserve">requires </w:t>
      </w:r>
      <w:r w:rsidRPr="00FB6847">
        <w:rPr>
          <w:lang w:eastAsia="en-AU"/>
        </w:rPr>
        <w:t>us to do so. These procedures protect your information from unauthorised access, interference, alteration,</w:t>
      </w:r>
      <w:r>
        <w:rPr>
          <w:lang w:eastAsia="en-AU"/>
        </w:rPr>
        <w:t xml:space="preserve"> </w:t>
      </w:r>
      <w:r w:rsidRPr="00FB6847">
        <w:rPr>
          <w:lang w:eastAsia="en-AU"/>
        </w:rPr>
        <w:t>disclosure</w:t>
      </w:r>
      <w:r>
        <w:rPr>
          <w:lang w:eastAsia="en-AU"/>
        </w:rPr>
        <w:t>, loss or misuse</w:t>
      </w:r>
      <w:r w:rsidRPr="00FB6847">
        <w:rPr>
          <w:lang w:eastAsia="en-AU"/>
        </w:rPr>
        <w:t xml:space="preserve">. </w:t>
      </w:r>
    </w:p>
    <w:p w:rsidR="00B55624" w:rsidRPr="003800B2" w:rsidRDefault="00B55624" w:rsidP="00B55624">
      <w:pPr>
        <w:spacing w:after="120"/>
        <w:rPr>
          <w:b/>
          <w:lang w:eastAsia="en-AU"/>
        </w:rPr>
      </w:pPr>
      <w:r w:rsidRPr="003800B2">
        <w:rPr>
          <w:b/>
          <w:lang w:eastAsia="en-AU"/>
        </w:rPr>
        <w:t xml:space="preserve">Do I have to use my name in </w:t>
      </w:r>
      <w:proofErr w:type="spellStart"/>
      <w:r w:rsidRPr="003800B2">
        <w:rPr>
          <w:b/>
          <w:lang w:eastAsia="en-AU"/>
        </w:rPr>
        <w:t>BloodSTAR</w:t>
      </w:r>
      <w:proofErr w:type="spellEnd"/>
      <w:r w:rsidRPr="003800B2">
        <w:rPr>
          <w:b/>
          <w:lang w:eastAsia="en-AU"/>
        </w:rPr>
        <w:t>?</w:t>
      </w:r>
    </w:p>
    <w:p w:rsidR="00B55624" w:rsidRPr="00FB6847" w:rsidRDefault="00B55624" w:rsidP="00B55624">
      <w:pPr>
        <w:rPr>
          <w:lang w:eastAsia="en-AU"/>
        </w:rPr>
      </w:pPr>
      <w:r>
        <w:rPr>
          <w:lang w:eastAsia="en-AU"/>
        </w:rPr>
        <w:t xml:space="preserve">Yes. </w:t>
      </w:r>
      <w:r w:rsidRPr="00FB6847">
        <w:rPr>
          <w:lang w:eastAsia="en-AU"/>
        </w:rPr>
        <w:t>Your name and personal details are used to uniquely identify you to ensure that you receive the appropriate treatment</w:t>
      </w:r>
      <w:r>
        <w:rPr>
          <w:lang w:eastAsia="en-AU"/>
        </w:rPr>
        <w:t>.</w:t>
      </w:r>
      <w:r w:rsidRPr="00FB6847">
        <w:rPr>
          <w:lang w:eastAsia="en-AU"/>
        </w:rPr>
        <w:t xml:space="preserve"> Pseudonym and anonymity will not be possible as these cannot be reliably cross checked with hospital processes and may potentially put you or other patients at risk of not receiving appropriate treatment.</w:t>
      </w:r>
    </w:p>
    <w:p w:rsidR="00B55624" w:rsidRPr="003800B2" w:rsidRDefault="00B55624" w:rsidP="00B55624">
      <w:pPr>
        <w:spacing w:after="120"/>
        <w:rPr>
          <w:b/>
          <w:lang w:eastAsia="en-AU"/>
        </w:rPr>
      </w:pPr>
      <w:r w:rsidRPr="003800B2">
        <w:rPr>
          <w:b/>
          <w:lang w:eastAsia="en-AU"/>
        </w:rPr>
        <w:t>Can I access and correct my personal information?</w:t>
      </w:r>
    </w:p>
    <w:p w:rsidR="00B55624" w:rsidRPr="00FB6847" w:rsidRDefault="00B55624" w:rsidP="00B55624">
      <w:pPr>
        <w:rPr>
          <w:lang w:eastAsia="en-AU"/>
        </w:rPr>
      </w:pPr>
      <w:r>
        <w:rPr>
          <w:lang w:eastAsia="en-AU"/>
        </w:rPr>
        <w:t>Yes, you can do this</w:t>
      </w:r>
      <w:r w:rsidRPr="00FB6847">
        <w:rPr>
          <w:lang w:eastAsia="en-AU"/>
        </w:rPr>
        <w:t xml:space="preserve"> in </w:t>
      </w:r>
      <w:r>
        <w:rPr>
          <w:lang w:eastAsia="en-AU"/>
        </w:rPr>
        <w:t xml:space="preserve">line </w:t>
      </w:r>
      <w:r w:rsidRPr="00FB6847">
        <w:rPr>
          <w:lang w:eastAsia="en-AU"/>
        </w:rPr>
        <w:t xml:space="preserve">with privacy laws. </w:t>
      </w:r>
      <w:r>
        <w:rPr>
          <w:lang w:eastAsia="en-AU"/>
        </w:rPr>
        <w:t>Contact y</w:t>
      </w:r>
      <w:r w:rsidRPr="00FB6847">
        <w:rPr>
          <w:lang w:eastAsia="en-AU"/>
        </w:rPr>
        <w:t xml:space="preserve">our </w:t>
      </w:r>
      <w:r>
        <w:rPr>
          <w:lang w:eastAsia="en-AU"/>
        </w:rPr>
        <w:t>doctor</w:t>
      </w:r>
      <w:r w:rsidRPr="00FB6847">
        <w:rPr>
          <w:lang w:eastAsia="en-AU"/>
        </w:rPr>
        <w:t xml:space="preserve"> </w:t>
      </w:r>
      <w:r>
        <w:rPr>
          <w:lang w:eastAsia="en-AU"/>
        </w:rPr>
        <w:t>in the first instance</w:t>
      </w:r>
      <w:r w:rsidRPr="00FB6847">
        <w:rPr>
          <w:lang w:eastAsia="en-AU"/>
        </w:rPr>
        <w:t>. If you are unhappy with the response you receive, you can contact the NBA at</w:t>
      </w:r>
      <w:r>
        <w:rPr>
          <w:lang w:eastAsia="en-AU"/>
        </w:rPr>
        <w:t xml:space="preserve"> </w:t>
      </w:r>
      <w:hyperlink r:id="rId24" w:history="1">
        <w:r w:rsidRPr="00D61F15">
          <w:rPr>
            <w:rStyle w:val="Hyperlink"/>
            <w:lang w:eastAsia="en-AU"/>
          </w:rPr>
          <w:t>privacy@blood.gov.au</w:t>
        </w:r>
      </w:hyperlink>
      <w:r>
        <w:rPr>
          <w:lang w:eastAsia="en-AU"/>
        </w:rPr>
        <w:t xml:space="preserve"> </w:t>
      </w:r>
      <w:r>
        <w:rPr>
          <w:u w:val="single"/>
          <w:lang w:eastAsia="en-AU"/>
        </w:rPr>
        <w:t xml:space="preserve">, </w:t>
      </w:r>
      <w:r w:rsidRPr="00FB6847">
        <w:rPr>
          <w:lang w:eastAsia="en-AU"/>
        </w:rPr>
        <w:t>the privacy commissioner or equivalent in your State or Territory, or the Australian Privacy Commissioner.</w:t>
      </w:r>
    </w:p>
    <w:p w:rsidR="00B55624" w:rsidRPr="003800B2" w:rsidRDefault="00B55624" w:rsidP="00B55624">
      <w:pPr>
        <w:spacing w:after="120"/>
        <w:rPr>
          <w:b/>
          <w:lang w:eastAsia="en-AU"/>
        </w:rPr>
      </w:pPr>
      <w:r>
        <w:rPr>
          <w:b/>
          <w:lang w:eastAsia="en-AU"/>
        </w:rPr>
        <w:t>H</w:t>
      </w:r>
      <w:r w:rsidRPr="003800B2">
        <w:rPr>
          <w:b/>
          <w:lang w:eastAsia="en-AU"/>
        </w:rPr>
        <w:t>ow long is my consent to collection of my information valid</w:t>
      </w:r>
      <w:r>
        <w:rPr>
          <w:b/>
          <w:lang w:eastAsia="en-AU"/>
        </w:rPr>
        <w:t xml:space="preserve"> for</w:t>
      </w:r>
      <w:r w:rsidRPr="003800B2">
        <w:rPr>
          <w:b/>
          <w:lang w:eastAsia="en-AU"/>
        </w:rPr>
        <w:t>?</w:t>
      </w:r>
    </w:p>
    <w:p w:rsidR="00B55624" w:rsidRPr="00FB6847" w:rsidRDefault="00B55624" w:rsidP="00B55624">
      <w:pPr>
        <w:rPr>
          <w:lang w:eastAsia="en-AU"/>
        </w:rPr>
      </w:pPr>
      <w:r w:rsidRPr="00FB6847">
        <w:rPr>
          <w:lang w:eastAsia="en-AU"/>
        </w:rPr>
        <w:lastRenderedPageBreak/>
        <w:t>Your</w:t>
      </w:r>
      <w:r>
        <w:rPr>
          <w:lang w:eastAsia="en-AU"/>
        </w:rPr>
        <w:t xml:space="preserve"> initial </w:t>
      </w:r>
      <w:r w:rsidRPr="00FB6847">
        <w:rPr>
          <w:lang w:eastAsia="en-AU"/>
        </w:rPr>
        <w:t xml:space="preserve">consent </w:t>
      </w:r>
      <w:r>
        <w:rPr>
          <w:lang w:eastAsia="en-AU"/>
        </w:rPr>
        <w:t xml:space="preserve">to the collection, use and disclosure of </w:t>
      </w:r>
      <w:r w:rsidRPr="00FB6847">
        <w:rPr>
          <w:lang w:eastAsia="en-AU"/>
        </w:rPr>
        <w:t xml:space="preserve">your personal information will </w:t>
      </w:r>
      <w:r>
        <w:rPr>
          <w:lang w:eastAsia="en-AU"/>
        </w:rPr>
        <w:t>remain</w:t>
      </w:r>
      <w:r w:rsidRPr="00FB6847">
        <w:rPr>
          <w:lang w:eastAsia="en-AU"/>
        </w:rPr>
        <w:t xml:space="preserve"> valid unless</w:t>
      </w:r>
      <w:r>
        <w:rPr>
          <w:lang w:eastAsia="en-AU"/>
        </w:rPr>
        <w:t xml:space="preserve"> </w:t>
      </w:r>
      <w:r w:rsidRPr="00FB6847">
        <w:rPr>
          <w:lang w:eastAsia="en-AU"/>
        </w:rPr>
        <w:t>you withdraw</w:t>
      </w:r>
      <w:r>
        <w:rPr>
          <w:lang w:eastAsia="en-AU"/>
        </w:rPr>
        <w:t xml:space="preserve"> it</w:t>
      </w:r>
      <w:r w:rsidRPr="00FB6847">
        <w:rPr>
          <w:lang w:eastAsia="en-AU"/>
        </w:rPr>
        <w:t>.</w:t>
      </w:r>
      <w:r>
        <w:rPr>
          <w:lang w:eastAsia="en-AU"/>
        </w:rPr>
        <w:t xml:space="preserve"> This applies whether such information is used for the primary purpose or for the secondary purpose. </w:t>
      </w:r>
    </w:p>
    <w:p w:rsidR="00B55624" w:rsidRPr="003800B2" w:rsidRDefault="00B55624" w:rsidP="00B55624">
      <w:pPr>
        <w:spacing w:after="120"/>
        <w:rPr>
          <w:b/>
          <w:lang w:eastAsia="en-AU"/>
        </w:rPr>
      </w:pPr>
      <w:r w:rsidRPr="003800B2">
        <w:rPr>
          <w:b/>
          <w:lang w:eastAsia="en-AU"/>
        </w:rPr>
        <w:t xml:space="preserve">If I have changed my mind, how do I opt out of </w:t>
      </w:r>
      <w:proofErr w:type="spellStart"/>
      <w:r w:rsidRPr="003800B2">
        <w:rPr>
          <w:b/>
          <w:lang w:eastAsia="en-AU"/>
        </w:rPr>
        <w:t>BloodSTAR</w:t>
      </w:r>
      <w:proofErr w:type="spellEnd"/>
      <w:r w:rsidRPr="003800B2">
        <w:rPr>
          <w:b/>
          <w:lang w:eastAsia="en-AU"/>
        </w:rPr>
        <w:t>?</w:t>
      </w:r>
    </w:p>
    <w:p w:rsidR="00B55624" w:rsidRDefault="00B55624" w:rsidP="00B55624">
      <w:pPr>
        <w:rPr>
          <w:rStyle w:val="Hyperlink"/>
        </w:rPr>
      </w:pPr>
      <w:r w:rsidRPr="00FB6847">
        <w:rPr>
          <w:lang w:eastAsia="en-AU"/>
        </w:rPr>
        <w:t xml:space="preserve">You can withdraw your consent by contacting your </w:t>
      </w:r>
      <w:r>
        <w:rPr>
          <w:lang w:eastAsia="en-AU"/>
        </w:rPr>
        <w:t>doctor</w:t>
      </w:r>
      <w:r w:rsidRPr="00FB6847">
        <w:rPr>
          <w:lang w:eastAsia="en-AU"/>
        </w:rPr>
        <w:t>. From that point on</w:t>
      </w:r>
      <w:r>
        <w:rPr>
          <w:lang w:eastAsia="en-AU"/>
        </w:rPr>
        <w:t>,</w:t>
      </w:r>
      <w:r w:rsidRPr="00FB6847">
        <w:rPr>
          <w:lang w:eastAsia="en-AU"/>
        </w:rPr>
        <w:t xml:space="preserve"> no further details about you will be collected.  Information already recorded in your individual patient record will not be deleted </w:t>
      </w:r>
      <w:r>
        <w:rPr>
          <w:lang w:eastAsia="en-AU"/>
        </w:rPr>
        <w:t xml:space="preserve">but </w:t>
      </w:r>
      <w:r w:rsidRPr="00FB6847">
        <w:rPr>
          <w:lang w:eastAsia="en-AU"/>
        </w:rPr>
        <w:t xml:space="preserve">will be retained for historical reporting purposes. </w:t>
      </w:r>
      <w:r>
        <w:rPr>
          <w:lang w:eastAsia="en-AU"/>
        </w:rPr>
        <w:t>However</w:t>
      </w:r>
      <w:r w:rsidRPr="00FB6847">
        <w:rPr>
          <w:lang w:eastAsia="en-AU"/>
        </w:rPr>
        <w:t xml:space="preserve"> </w:t>
      </w:r>
      <w:r>
        <w:rPr>
          <w:lang w:eastAsia="en-AU"/>
        </w:rPr>
        <w:t>o</w:t>
      </w:r>
      <w:r w:rsidRPr="00FB6847">
        <w:rPr>
          <w:lang w:eastAsia="en-AU"/>
        </w:rPr>
        <w:t>ngoing access to</w:t>
      </w:r>
      <w:r>
        <w:rPr>
          <w:lang w:eastAsia="en-AU"/>
        </w:rPr>
        <w:t xml:space="preserve"> government funded</w:t>
      </w:r>
      <w:r w:rsidRPr="00FB6847">
        <w:rPr>
          <w:lang w:eastAsia="en-AU"/>
        </w:rPr>
        <w:t xml:space="preserve"> Ig products will cease.</w:t>
      </w:r>
      <w:r>
        <w:rPr>
          <w:lang w:eastAsia="en-AU"/>
        </w:rPr>
        <w:t xml:space="preserve">  </w:t>
      </w:r>
      <w:r w:rsidRPr="00FB6847">
        <w:rPr>
          <w:lang w:eastAsia="en-AU"/>
        </w:rPr>
        <w:t>Alternative arrangements are available</w:t>
      </w:r>
      <w:r>
        <w:rPr>
          <w:lang w:eastAsia="en-AU"/>
        </w:rPr>
        <w:t>, including Jurisdictional Direct Order or Private Order and should be discussed with your doctor. For more information</w:t>
      </w:r>
      <w:r w:rsidRPr="00FB6847">
        <w:rPr>
          <w:lang w:eastAsia="en-AU"/>
        </w:rPr>
        <w:t xml:space="preserve"> </w:t>
      </w:r>
      <w:r w:rsidRPr="002C75B0">
        <w:rPr>
          <w:u w:val="single"/>
          <w:lang w:eastAsia="en-AU"/>
        </w:rPr>
        <w:t xml:space="preserve">visit: </w:t>
      </w:r>
      <w:hyperlink r:id="rId25" w:history="1">
        <w:r w:rsidRPr="00D91FE8">
          <w:rPr>
            <w:rStyle w:val="Hyperlink"/>
          </w:rPr>
          <w:t>http://www.blood.gov.au/Ig-publications</w:t>
        </w:r>
      </w:hyperlink>
    </w:p>
    <w:p w:rsidR="00B55624" w:rsidRPr="00D071AD" w:rsidRDefault="00B55624" w:rsidP="00B55624">
      <w:pPr>
        <w:rPr>
          <w:b/>
          <w:lang w:eastAsia="en-AU"/>
        </w:rPr>
      </w:pPr>
      <w:r w:rsidRPr="00D071AD">
        <w:rPr>
          <w:b/>
          <w:lang w:eastAsia="en-AU"/>
        </w:rPr>
        <w:t xml:space="preserve">If I have withdrawn my consent can I change my mind and opt back in to </w:t>
      </w:r>
      <w:proofErr w:type="spellStart"/>
      <w:r w:rsidRPr="00D071AD">
        <w:rPr>
          <w:b/>
          <w:lang w:eastAsia="en-AU"/>
        </w:rPr>
        <w:t>BloodSTAR</w:t>
      </w:r>
      <w:proofErr w:type="spellEnd"/>
      <w:r w:rsidRPr="00D071AD">
        <w:rPr>
          <w:b/>
          <w:lang w:eastAsia="en-AU"/>
        </w:rPr>
        <w:t>?</w:t>
      </w:r>
    </w:p>
    <w:p w:rsidR="00B55624" w:rsidRPr="00FB6847" w:rsidRDefault="00B55624" w:rsidP="00B55624">
      <w:pPr>
        <w:rPr>
          <w:lang w:eastAsia="en-AU"/>
        </w:rPr>
      </w:pPr>
      <w:r w:rsidRPr="00FB6847">
        <w:rPr>
          <w:lang w:eastAsia="en-AU"/>
        </w:rPr>
        <w:t xml:space="preserve">If you withdraw your consent </w:t>
      </w:r>
      <w:r>
        <w:rPr>
          <w:lang w:eastAsia="en-AU"/>
        </w:rPr>
        <w:t xml:space="preserve">to </w:t>
      </w:r>
      <w:proofErr w:type="spellStart"/>
      <w:r w:rsidRPr="00FB6847">
        <w:rPr>
          <w:lang w:eastAsia="en-AU"/>
        </w:rPr>
        <w:t>BloodSTAR</w:t>
      </w:r>
      <w:proofErr w:type="spellEnd"/>
      <w:r w:rsidRPr="00FB6847">
        <w:rPr>
          <w:lang w:eastAsia="en-AU"/>
        </w:rPr>
        <w:t xml:space="preserve">, you may at a later date choose to reactivate your patient record by providing consent again.  </w:t>
      </w:r>
    </w:p>
    <w:p w:rsidR="00B55624" w:rsidRPr="00FB6847" w:rsidRDefault="00B55624" w:rsidP="00B55624">
      <w:pPr>
        <w:spacing w:after="120"/>
        <w:rPr>
          <w:b/>
          <w:lang w:eastAsia="en-AU"/>
        </w:rPr>
      </w:pPr>
      <w:r w:rsidRPr="00FB6847">
        <w:rPr>
          <w:b/>
          <w:lang w:eastAsia="en-AU"/>
        </w:rPr>
        <w:t>NBA Privacy Policy</w:t>
      </w:r>
    </w:p>
    <w:p w:rsidR="00B55624" w:rsidRPr="00A6011E" w:rsidRDefault="00B55624" w:rsidP="00B55624">
      <w:pPr>
        <w:rPr>
          <w:rFonts w:eastAsia="TitilliumText25L" w:cs="TitilliumText25L"/>
        </w:rPr>
      </w:pPr>
      <w:r w:rsidRPr="00A6011E">
        <w:rPr>
          <w:rFonts w:eastAsia="TitilliumText25L" w:cs="TitilliumText25L"/>
          <w:color w:val="231F20"/>
        </w:rPr>
        <w:t>T</w:t>
      </w:r>
      <w:r w:rsidRPr="00A6011E">
        <w:rPr>
          <w:rFonts w:eastAsia="TitilliumText25L" w:cs="TitilliumText25L"/>
          <w:color w:val="231F20"/>
          <w:spacing w:val="-3"/>
        </w:rPr>
        <w:t>h</w:t>
      </w:r>
      <w:r w:rsidRPr="00A6011E">
        <w:rPr>
          <w:rFonts w:eastAsia="TitilliumText25L" w:cs="TitilliumText25L"/>
          <w:color w:val="231F20"/>
        </w:rPr>
        <w:t>e</w:t>
      </w:r>
      <w:r w:rsidRPr="00A6011E">
        <w:rPr>
          <w:rFonts w:eastAsia="TitilliumText25L" w:cs="TitilliumText25L"/>
          <w:color w:val="231F20"/>
          <w:spacing w:val="-7"/>
        </w:rPr>
        <w:t xml:space="preserve"> </w:t>
      </w:r>
      <w:r w:rsidRPr="00A6011E">
        <w:rPr>
          <w:rFonts w:eastAsia="TitilliumText25L" w:cs="TitilliumText25L"/>
          <w:color w:val="231F20"/>
          <w:spacing w:val="-3"/>
        </w:rPr>
        <w:t>p</w:t>
      </w:r>
      <w:r w:rsidRPr="00A6011E">
        <w:rPr>
          <w:rFonts w:eastAsia="TitilliumText25L" w:cs="TitilliumText25L"/>
          <w:color w:val="231F20"/>
          <w:spacing w:val="-1"/>
        </w:rPr>
        <w:t>r</w:t>
      </w:r>
      <w:r w:rsidRPr="00A6011E">
        <w:rPr>
          <w:rFonts w:eastAsia="TitilliumText25L" w:cs="TitilliumText25L"/>
          <w:color w:val="231F20"/>
          <w:spacing w:val="-2"/>
        </w:rPr>
        <w:t>i</w:t>
      </w:r>
      <w:r w:rsidRPr="00A6011E">
        <w:rPr>
          <w:rFonts w:eastAsia="TitilliumText25L" w:cs="TitilliumText25L"/>
          <w:color w:val="231F20"/>
          <w:spacing w:val="-1"/>
        </w:rPr>
        <w:t>v</w:t>
      </w:r>
      <w:r w:rsidRPr="00A6011E">
        <w:rPr>
          <w:rFonts w:eastAsia="TitilliumText25L" w:cs="TitilliumText25L"/>
          <w:color w:val="231F20"/>
          <w:spacing w:val="-2"/>
        </w:rPr>
        <w:t>a</w:t>
      </w:r>
      <w:r w:rsidRPr="00A6011E">
        <w:rPr>
          <w:rFonts w:eastAsia="TitilliumText25L" w:cs="TitilliumText25L"/>
          <w:color w:val="231F20"/>
          <w:spacing w:val="2"/>
        </w:rPr>
        <w:t>c</w:t>
      </w:r>
      <w:r w:rsidRPr="00A6011E">
        <w:rPr>
          <w:rFonts w:eastAsia="TitilliumText25L" w:cs="TitilliumText25L"/>
          <w:color w:val="231F20"/>
        </w:rPr>
        <w:t>y</w:t>
      </w:r>
      <w:r w:rsidRPr="00A6011E">
        <w:rPr>
          <w:rFonts w:eastAsia="TitilliumText25L" w:cs="TitilliumText25L"/>
          <w:color w:val="231F20"/>
          <w:spacing w:val="-7"/>
        </w:rPr>
        <w:t xml:space="preserve"> </w:t>
      </w:r>
      <w:r w:rsidRPr="00A6011E">
        <w:rPr>
          <w:rFonts w:eastAsia="TitilliumText25L" w:cs="TitilliumText25L"/>
          <w:color w:val="231F20"/>
          <w:spacing w:val="-1"/>
        </w:rPr>
        <w:t>p</w:t>
      </w:r>
      <w:r w:rsidRPr="00A6011E">
        <w:rPr>
          <w:rFonts w:eastAsia="TitilliumText25L" w:cs="TitilliumText25L"/>
          <w:color w:val="231F20"/>
          <w:spacing w:val="-3"/>
        </w:rPr>
        <w:t>o</w:t>
      </w:r>
      <w:r w:rsidRPr="00A6011E">
        <w:rPr>
          <w:rFonts w:eastAsia="TitilliumText25L" w:cs="TitilliumText25L"/>
          <w:color w:val="231F20"/>
          <w:spacing w:val="-4"/>
        </w:rPr>
        <w:t>l</w:t>
      </w:r>
      <w:r w:rsidRPr="00A6011E">
        <w:rPr>
          <w:rFonts w:eastAsia="TitilliumText25L" w:cs="TitilliumText25L"/>
          <w:color w:val="231F20"/>
          <w:spacing w:val="-2"/>
        </w:rPr>
        <w:t>i</w:t>
      </w:r>
      <w:r w:rsidRPr="00A6011E">
        <w:rPr>
          <w:rFonts w:eastAsia="TitilliumText25L" w:cs="TitilliumText25L"/>
          <w:color w:val="231F20"/>
          <w:spacing w:val="2"/>
        </w:rPr>
        <w:t>c</w:t>
      </w:r>
      <w:r w:rsidRPr="00A6011E">
        <w:rPr>
          <w:rFonts w:eastAsia="TitilliumText25L" w:cs="TitilliumText25L"/>
          <w:color w:val="231F20"/>
        </w:rPr>
        <w:t>y</w:t>
      </w:r>
      <w:r w:rsidRPr="00A6011E">
        <w:rPr>
          <w:rFonts w:eastAsia="TitilliumText25L" w:cs="TitilliumText25L"/>
          <w:color w:val="231F20"/>
          <w:spacing w:val="-7"/>
        </w:rPr>
        <w:t xml:space="preserve"> </w:t>
      </w:r>
      <w:r w:rsidRPr="00A6011E">
        <w:rPr>
          <w:rFonts w:eastAsia="TitilliumText25L" w:cs="TitilliumText25L"/>
          <w:color w:val="231F20"/>
          <w:spacing w:val="-1"/>
        </w:rPr>
        <w:t>g</w:t>
      </w:r>
      <w:r w:rsidRPr="00A6011E">
        <w:rPr>
          <w:rFonts w:eastAsia="TitilliumText25L" w:cs="TitilliumText25L"/>
          <w:color w:val="231F20"/>
          <w:spacing w:val="-2"/>
        </w:rPr>
        <w:t>i</w:t>
      </w:r>
      <w:r w:rsidRPr="00A6011E">
        <w:rPr>
          <w:rFonts w:eastAsia="TitilliumText25L" w:cs="TitilliumText25L"/>
          <w:color w:val="231F20"/>
          <w:spacing w:val="-3"/>
        </w:rPr>
        <w:t>v</w:t>
      </w:r>
      <w:r w:rsidRPr="00A6011E">
        <w:rPr>
          <w:rFonts w:eastAsia="TitilliumText25L" w:cs="TitilliumText25L"/>
          <w:color w:val="231F20"/>
          <w:spacing w:val="-1"/>
        </w:rPr>
        <w:t>e</w:t>
      </w:r>
      <w:r w:rsidRPr="00A6011E">
        <w:rPr>
          <w:rFonts w:eastAsia="TitilliumText25L" w:cs="TitilliumText25L"/>
          <w:color w:val="231F20"/>
        </w:rPr>
        <w:t>s</w:t>
      </w:r>
      <w:r w:rsidRPr="00A6011E">
        <w:rPr>
          <w:rFonts w:eastAsia="TitilliumText25L" w:cs="TitilliumText25L"/>
          <w:color w:val="231F20"/>
          <w:spacing w:val="-7"/>
        </w:rPr>
        <w:t xml:space="preserve"> </w:t>
      </w:r>
      <w:r w:rsidRPr="00A6011E">
        <w:rPr>
          <w:rFonts w:eastAsia="TitilliumText25L" w:cs="TitilliumText25L"/>
          <w:color w:val="231F20"/>
          <w:spacing w:val="-3"/>
        </w:rPr>
        <w:t>mo</w:t>
      </w:r>
      <w:r w:rsidRPr="00A6011E">
        <w:rPr>
          <w:rFonts w:eastAsia="TitilliumText25L" w:cs="TitilliumText25L"/>
          <w:color w:val="231F20"/>
          <w:spacing w:val="-2"/>
        </w:rPr>
        <w:t>r</w:t>
      </w:r>
      <w:r w:rsidRPr="00A6011E">
        <w:rPr>
          <w:rFonts w:eastAsia="TitilliumText25L" w:cs="TitilliumText25L"/>
          <w:color w:val="231F20"/>
        </w:rPr>
        <w:t>e</w:t>
      </w:r>
      <w:r w:rsidRPr="00A6011E">
        <w:rPr>
          <w:rFonts w:eastAsia="TitilliumText25L" w:cs="TitilliumText25L"/>
          <w:color w:val="231F20"/>
          <w:spacing w:val="-7"/>
        </w:rPr>
        <w:t xml:space="preserve"> </w:t>
      </w:r>
      <w:r w:rsidRPr="00A6011E">
        <w:rPr>
          <w:rFonts w:eastAsia="TitilliumText25L" w:cs="TitilliumText25L"/>
          <w:color w:val="231F20"/>
          <w:spacing w:val="-3"/>
        </w:rPr>
        <w:t>d</w:t>
      </w:r>
      <w:r w:rsidRPr="00A6011E">
        <w:rPr>
          <w:rFonts w:eastAsia="TitilliumText25L" w:cs="TitilliumText25L"/>
          <w:color w:val="231F20"/>
          <w:spacing w:val="-1"/>
        </w:rPr>
        <w:t>e</w:t>
      </w:r>
      <w:r w:rsidRPr="00A6011E">
        <w:rPr>
          <w:rFonts w:eastAsia="TitilliumText25L" w:cs="TitilliumText25L"/>
          <w:color w:val="231F20"/>
        </w:rPr>
        <w:t>t</w:t>
      </w:r>
      <w:r w:rsidRPr="00A6011E">
        <w:rPr>
          <w:rFonts w:eastAsia="TitilliumText25L" w:cs="TitilliumText25L"/>
          <w:color w:val="231F20"/>
          <w:spacing w:val="-1"/>
        </w:rPr>
        <w:t>a</w:t>
      </w:r>
      <w:r w:rsidRPr="00A6011E">
        <w:rPr>
          <w:rFonts w:eastAsia="TitilliumText25L" w:cs="TitilliumText25L"/>
          <w:color w:val="231F20"/>
          <w:spacing w:val="-4"/>
        </w:rPr>
        <w:t>il</w:t>
      </w:r>
      <w:r w:rsidRPr="00A6011E">
        <w:rPr>
          <w:rFonts w:eastAsia="TitilliumText25L" w:cs="TitilliumText25L"/>
          <w:color w:val="231F20"/>
        </w:rPr>
        <w:t>s</w:t>
      </w:r>
      <w:r w:rsidRPr="00A6011E">
        <w:rPr>
          <w:rFonts w:eastAsia="TitilliumText25L" w:cs="TitilliumText25L"/>
          <w:color w:val="231F20"/>
          <w:spacing w:val="-7"/>
        </w:rPr>
        <w:t xml:space="preserve"> </w:t>
      </w:r>
      <w:r w:rsidRPr="00A6011E">
        <w:rPr>
          <w:rFonts w:eastAsia="TitilliumText25L" w:cs="TitilliumText25L"/>
          <w:color w:val="231F20"/>
          <w:spacing w:val="-3"/>
        </w:rPr>
        <w:t>o</w:t>
      </w:r>
      <w:r w:rsidRPr="00A6011E">
        <w:rPr>
          <w:rFonts w:eastAsia="TitilliumText25L" w:cs="TitilliumText25L"/>
          <w:color w:val="231F20"/>
        </w:rPr>
        <w:t>n</w:t>
      </w:r>
      <w:r w:rsidRPr="00A6011E">
        <w:rPr>
          <w:rFonts w:eastAsia="TitilliumText25L" w:cs="TitilliumText25L"/>
          <w:color w:val="231F20"/>
          <w:spacing w:val="-7"/>
        </w:rPr>
        <w:t xml:space="preserve"> </w:t>
      </w:r>
      <w:r w:rsidRPr="00A6011E">
        <w:rPr>
          <w:rFonts w:eastAsia="TitilliumText25L" w:cs="TitilliumText25L"/>
          <w:color w:val="231F20"/>
          <w:spacing w:val="-3"/>
        </w:rPr>
        <w:t>ho</w:t>
      </w:r>
      <w:r w:rsidRPr="00A6011E">
        <w:rPr>
          <w:rFonts w:eastAsia="TitilliumText25L" w:cs="TitilliumText25L"/>
          <w:color w:val="231F20"/>
        </w:rPr>
        <w:t>w</w:t>
      </w:r>
      <w:r w:rsidRPr="00A6011E">
        <w:rPr>
          <w:rFonts w:eastAsia="TitilliumText25L" w:cs="TitilliumText25L"/>
          <w:color w:val="231F20"/>
          <w:spacing w:val="-7"/>
        </w:rPr>
        <w:t xml:space="preserve"> </w:t>
      </w:r>
      <w:r w:rsidRPr="00A6011E">
        <w:rPr>
          <w:rFonts w:eastAsia="TitilliumText25L" w:cs="TitilliumText25L"/>
          <w:color w:val="231F20"/>
          <w:spacing w:val="-2"/>
        </w:rPr>
        <w:t>t</w:t>
      </w:r>
      <w:r w:rsidRPr="00A6011E">
        <w:rPr>
          <w:rFonts w:eastAsia="TitilliumText25L" w:cs="TitilliumText25L"/>
          <w:color w:val="231F20"/>
          <w:spacing w:val="-3"/>
        </w:rPr>
        <w:t>h</w:t>
      </w:r>
      <w:r w:rsidRPr="00A6011E">
        <w:rPr>
          <w:rFonts w:eastAsia="TitilliumText25L" w:cs="TitilliumText25L"/>
          <w:color w:val="231F20"/>
        </w:rPr>
        <w:t>e</w:t>
      </w:r>
      <w:r w:rsidRPr="00A6011E">
        <w:rPr>
          <w:rFonts w:eastAsia="TitilliumText25L" w:cs="TitilliumText25L"/>
          <w:color w:val="231F20"/>
          <w:spacing w:val="-7"/>
        </w:rPr>
        <w:t xml:space="preserve"> </w:t>
      </w:r>
      <w:r w:rsidRPr="00A6011E">
        <w:rPr>
          <w:rFonts w:eastAsia="TitilliumText25L" w:cs="TitilliumText25L"/>
          <w:color w:val="231F20"/>
          <w:spacing w:val="-4"/>
        </w:rPr>
        <w:t>N</w:t>
      </w:r>
      <w:r w:rsidRPr="00A6011E">
        <w:rPr>
          <w:rFonts w:eastAsia="TitilliumText25L" w:cs="TitilliumText25L"/>
          <w:color w:val="231F20"/>
          <w:spacing w:val="-2"/>
        </w:rPr>
        <w:t>B</w:t>
      </w:r>
      <w:r w:rsidRPr="00A6011E">
        <w:rPr>
          <w:rFonts w:eastAsia="TitilliumText25L" w:cs="TitilliumText25L"/>
          <w:color w:val="231F20"/>
        </w:rPr>
        <w:t xml:space="preserve">A </w:t>
      </w:r>
      <w:r w:rsidRPr="00A6011E">
        <w:rPr>
          <w:rFonts w:eastAsia="TitilliumText25L" w:cs="TitilliumText25L"/>
          <w:color w:val="231F20"/>
          <w:spacing w:val="-3"/>
        </w:rPr>
        <w:t>m</w:t>
      </w:r>
      <w:r w:rsidRPr="00A6011E">
        <w:rPr>
          <w:rFonts w:eastAsia="TitilliumText25L" w:cs="TitilliumText25L"/>
          <w:color w:val="231F20"/>
          <w:spacing w:val="-2"/>
        </w:rPr>
        <w:t>a</w:t>
      </w:r>
      <w:r w:rsidRPr="00A6011E">
        <w:rPr>
          <w:rFonts w:eastAsia="TitilliumText25L" w:cs="TitilliumText25L"/>
          <w:color w:val="231F20"/>
          <w:spacing w:val="-4"/>
        </w:rPr>
        <w:t>n</w:t>
      </w:r>
      <w:r w:rsidRPr="00A6011E">
        <w:rPr>
          <w:rFonts w:eastAsia="TitilliumText25L" w:cs="TitilliumText25L"/>
          <w:color w:val="231F20"/>
        </w:rPr>
        <w:t>a</w:t>
      </w:r>
      <w:r w:rsidRPr="00A6011E">
        <w:rPr>
          <w:rFonts w:eastAsia="TitilliumText25L" w:cs="TitilliumText25L"/>
          <w:color w:val="231F20"/>
          <w:spacing w:val="-3"/>
        </w:rPr>
        <w:t>g</w:t>
      </w:r>
      <w:r w:rsidRPr="00A6011E">
        <w:rPr>
          <w:rFonts w:eastAsia="TitilliumText25L" w:cs="TitilliumText25L"/>
          <w:color w:val="231F20"/>
          <w:spacing w:val="-1"/>
        </w:rPr>
        <w:t>e</w:t>
      </w:r>
      <w:r w:rsidRPr="00A6011E">
        <w:rPr>
          <w:rFonts w:eastAsia="TitilliumText25L" w:cs="TitilliumText25L"/>
          <w:color w:val="231F20"/>
        </w:rPr>
        <w:t>s</w:t>
      </w:r>
      <w:r w:rsidRPr="00A6011E">
        <w:rPr>
          <w:rFonts w:eastAsia="TitilliumText25L" w:cs="TitilliumText25L"/>
          <w:color w:val="231F20"/>
          <w:spacing w:val="-7"/>
        </w:rPr>
        <w:t xml:space="preserve"> </w:t>
      </w:r>
      <w:r w:rsidRPr="00A6011E">
        <w:rPr>
          <w:rFonts w:eastAsia="TitilliumText25L" w:cs="TitilliumText25L"/>
          <w:color w:val="231F20"/>
          <w:spacing w:val="-1"/>
        </w:rPr>
        <w:t>p</w:t>
      </w:r>
      <w:r w:rsidRPr="00A6011E">
        <w:rPr>
          <w:rFonts w:eastAsia="TitilliumText25L" w:cs="TitilliumText25L"/>
          <w:color w:val="231F20"/>
          <w:spacing w:val="-4"/>
        </w:rPr>
        <w:t>e</w:t>
      </w:r>
      <w:r w:rsidRPr="00A6011E">
        <w:rPr>
          <w:rFonts w:eastAsia="TitilliumText25L" w:cs="TitilliumText25L"/>
          <w:color w:val="231F20"/>
        </w:rPr>
        <w:t>r</w:t>
      </w:r>
      <w:r w:rsidRPr="00A6011E">
        <w:rPr>
          <w:rFonts w:eastAsia="TitilliumText25L" w:cs="TitilliumText25L"/>
          <w:color w:val="231F20"/>
          <w:spacing w:val="-2"/>
        </w:rPr>
        <w:t>s</w:t>
      </w:r>
      <w:r w:rsidRPr="00A6011E">
        <w:rPr>
          <w:rFonts w:eastAsia="TitilliumText25L" w:cs="TitilliumText25L"/>
          <w:color w:val="231F20"/>
          <w:spacing w:val="-3"/>
        </w:rPr>
        <w:t>o</w:t>
      </w:r>
      <w:r w:rsidRPr="00A6011E">
        <w:rPr>
          <w:rFonts w:eastAsia="TitilliumText25L" w:cs="TitilliumText25L"/>
          <w:color w:val="231F20"/>
          <w:spacing w:val="-4"/>
        </w:rPr>
        <w:t>n</w:t>
      </w:r>
      <w:r w:rsidRPr="00A6011E">
        <w:rPr>
          <w:rFonts w:eastAsia="TitilliumText25L" w:cs="TitilliumText25L"/>
          <w:color w:val="231F20"/>
          <w:spacing w:val="-2"/>
        </w:rPr>
        <w:t>a</w:t>
      </w:r>
      <w:r w:rsidRPr="00A6011E">
        <w:rPr>
          <w:rFonts w:eastAsia="TitilliumText25L" w:cs="TitilliumText25L"/>
          <w:color w:val="231F20"/>
        </w:rPr>
        <w:t>l</w:t>
      </w:r>
      <w:r w:rsidRPr="00A6011E">
        <w:rPr>
          <w:rFonts w:eastAsia="TitilliumText25L" w:cs="TitilliumText25L"/>
          <w:color w:val="231F20"/>
          <w:spacing w:val="-7"/>
        </w:rPr>
        <w:t xml:space="preserve"> </w:t>
      </w:r>
      <w:r w:rsidRPr="00A6011E">
        <w:rPr>
          <w:rFonts w:eastAsia="TitilliumText25L" w:cs="TitilliumText25L"/>
          <w:color w:val="231F20"/>
          <w:spacing w:val="-5"/>
        </w:rPr>
        <w:t>i</w:t>
      </w:r>
      <w:r w:rsidRPr="00A6011E">
        <w:rPr>
          <w:rFonts w:eastAsia="TitilliumText25L" w:cs="TitilliumText25L"/>
          <w:color w:val="231F20"/>
          <w:spacing w:val="-4"/>
        </w:rPr>
        <w:t>n</w:t>
      </w:r>
      <w:r w:rsidRPr="00A6011E">
        <w:rPr>
          <w:rFonts w:eastAsia="TitilliumText25L" w:cs="TitilliumText25L"/>
          <w:color w:val="231F20"/>
          <w:spacing w:val="-1"/>
        </w:rPr>
        <w:t>f</w:t>
      </w:r>
      <w:r w:rsidRPr="00A6011E">
        <w:rPr>
          <w:rFonts w:eastAsia="TitilliumText25L" w:cs="TitilliumText25L"/>
          <w:color w:val="231F20"/>
          <w:spacing w:val="-3"/>
        </w:rPr>
        <w:t>o</w:t>
      </w:r>
      <w:r w:rsidRPr="00A6011E">
        <w:rPr>
          <w:rFonts w:eastAsia="TitilliumText25L" w:cs="TitilliumText25L"/>
          <w:color w:val="231F20"/>
          <w:spacing w:val="-2"/>
        </w:rPr>
        <w:t>r</w:t>
      </w:r>
      <w:r w:rsidRPr="00A6011E">
        <w:rPr>
          <w:rFonts w:eastAsia="TitilliumText25L" w:cs="TitilliumText25L"/>
          <w:color w:val="231F20"/>
          <w:spacing w:val="-3"/>
        </w:rPr>
        <w:t>ma</w:t>
      </w:r>
      <w:r w:rsidRPr="00A6011E">
        <w:rPr>
          <w:rFonts w:eastAsia="TitilliumText25L" w:cs="TitilliumText25L"/>
          <w:color w:val="231F20"/>
          <w:spacing w:val="-1"/>
        </w:rPr>
        <w:t>t</w:t>
      </w:r>
      <w:r w:rsidRPr="00A6011E">
        <w:rPr>
          <w:rFonts w:eastAsia="TitilliumText25L" w:cs="TitilliumText25L"/>
          <w:color w:val="231F20"/>
          <w:spacing w:val="-2"/>
        </w:rPr>
        <w:t>i</w:t>
      </w:r>
      <w:r w:rsidRPr="00A6011E">
        <w:rPr>
          <w:rFonts w:eastAsia="TitilliumText25L" w:cs="TitilliumText25L"/>
          <w:color w:val="231F20"/>
          <w:spacing w:val="-3"/>
        </w:rPr>
        <w:t>o</w:t>
      </w:r>
      <w:r w:rsidRPr="00A6011E">
        <w:rPr>
          <w:rFonts w:eastAsia="TitilliumText25L" w:cs="TitilliumText25L"/>
          <w:color w:val="231F20"/>
        </w:rPr>
        <w:t>n</w:t>
      </w:r>
      <w:r w:rsidRPr="00A6011E">
        <w:rPr>
          <w:rFonts w:eastAsia="TitilliumText25L" w:cs="TitilliumText25L"/>
          <w:color w:val="231F20"/>
          <w:spacing w:val="-7"/>
        </w:rPr>
        <w:t xml:space="preserve"> </w:t>
      </w:r>
      <w:r w:rsidRPr="00A6011E">
        <w:rPr>
          <w:rFonts w:eastAsia="TitilliumText25L" w:cs="TitilliumText25L"/>
          <w:color w:val="231F20"/>
          <w:spacing w:val="-3"/>
        </w:rPr>
        <w:t>g</w:t>
      </w:r>
      <w:r w:rsidRPr="00A6011E">
        <w:rPr>
          <w:rFonts w:eastAsia="TitilliumText25L" w:cs="TitilliumText25L"/>
          <w:color w:val="231F20"/>
          <w:spacing w:val="-4"/>
        </w:rPr>
        <w:t>e</w:t>
      </w:r>
      <w:r w:rsidRPr="00A6011E">
        <w:rPr>
          <w:rFonts w:eastAsia="TitilliumText25L" w:cs="TitilliumText25L"/>
          <w:color w:val="231F20"/>
          <w:spacing w:val="-3"/>
        </w:rPr>
        <w:t>n</w:t>
      </w:r>
      <w:r w:rsidRPr="00A6011E">
        <w:rPr>
          <w:rFonts w:eastAsia="TitilliumText25L" w:cs="TitilliumText25L"/>
          <w:color w:val="231F20"/>
          <w:spacing w:val="-4"/>
        </w:rPr>
        <w:t>e</w:t>
      </w:r>
      <w:r w:rsidRPr="00A6011E">
        <w:rPr>
          <w:rFonts w:eastAsia="TitilliumText25L" w:cs="TitilliumText25L"/>
          <w:color w:val="231F20"/>
        </w:rPr>
        <w:t>r</w:t>
      </w:r>
      <w:r w:rsidRPr="00A6011E">
        <w:rPr>
          <w:rFonts w:eastAsia="TitilliumText25L" w:cs="TitilliumText25L"/>
          <w:color w:val="231F20"/>
          <w:spacing w:val="-2"/>
        </w:rPr>
        <w:t>a</w:t>
      </w:r>
      <w:r w:rsidRPr="00A6011E">
        <w:rPr>
          <w:rFonts w:eastAsia="TitilliumText25L" w:cs="TitilliumText25L"/>
          <w:color w:val="231F20"/>
          <w:spacing w:val="-5"/>
        </w:rPr>
        <w:t>l</w:t>
      </w:r>
      <w:r w:rsidRPr="00A6011E">
        <w:rPr>
          <w:rFonts w:eastAsia="TitilliumText25L" w:cs="TitilliumText25L"/>
          <w:color w:val="231F20"/>
          <w:spacing w:val="-2"/>
        </w:rPr>
        <w:t>l</w:t>
      </w:r>
      <w:r w:rsidRPr="00A6011E">
        <w:rPr>
          <w:rFonts w:eastAsia="TitilliumText25L" w:cs="TitilliumText25L"/>
          <w:color w:val="231F20"/>
        </w:rPr>
        <w:t>y</w:t>
      </w:r>
      <w:r w:rsidRPr="00A6011E">
        <w:rPr>
          <w:rFonts w:eastAsia="TitilliumText25L" w:cs="TitilliumText25L"/>
          <w:color w:val="231F20"/>
          <w:spacing w:val="-7"/>
        </w:rPr>
        <w:t xml:space="preserve"> </w:t>
      </w:r>
      <w:r w:rsidRPr="00A6011E">
        <w:rPr>
          <w:rFonts w:eastAsia="TitilliumText25L" w:cs="TitilliumText25L"/>
          <w:color w:val="231F20"/>
          <w:spacing w:val="-2"/>
        </w:rPr>
        <w:t>a</w:t>
      </w:r>
      <w:r w:rsidRPr="00A6011E">
        <w:rPr>
          <w:rFonts w:eastAsia="TitilliumText25L" w:cs="TitilliumText25L"/>
          <w:color w:val="231F20"/>
          <w:spacing w:val="-3"/>
        </w:rPr>
        <w:t>n</w:t>
      </w:r>
      <w:r w:rsidRPr="00A6011E">
        <w:rPr>
          <w:rFonts w:eastAsia="TitilliumText25L" w:cs="TitilliumText25L"/>
          <w:color w:val="231F20"/>
        </w:rPr>
        <w:t>d</w:t>
      </w:r>
      <w:r w:rsidRPr="00A6011E">
        <w:rPr>
          <w:rFonts w:eastAsia="TitilliumText25L" w:cs="TitilliumText25L"/>
          <w:color w:val="231F20"/>
          <w:spacing w:val="-7"/>
        </w:rPr>
        <w:t xml:space="preserve"> </w:t>
      </w:r>
      <w:r w:rsidRPr="00A6011E">
        <w:rPr>
          <w:rFonts w:eastAsia="TitilliumText25L" w:cs="TitilliumText25L"/>
          <w:color w:val="231F20"/>
          <w:spacing w:val="-3"/>
        </w:rPr>
        <w:t>ho</w:t>
      </w:r>
      <w:r w:rsidRPr="00A6011E">
        <w:rPr>
          <w:rFonts w:eastAsia="TitilliumText25L" w:cs="TitilliumText25L"/>
          <w:color w:val="231F20"/>
        </w:rPr>
        <w:t>w</w:t>
      </w:r>
      <w:r w:rsidRPr="00A6011E">
        <w:rPr>
          <w:rFonts w:eastAsia="TitilliumText25L" w:cs="TitilliumText25L"/>
          <w:color w:val="231F20"/>
          <w:spacing w:val="-7"/>
        </w:rPr>
        <w:t xml:space="preserve"> </w:t>
      </w:r>
      <w:r w:rsidRPr="00A6011E">
        <w:rPr>
          <w:rFonts w:eastAsia="TitilliumText25L" w:cs="TitilliumText25L"/>
          <w:color w:val="231F20"/>
          <w:spacing w:val="-3"/>
        </w:rPr>
        <w:t>yo</w:t>
      </w:r>
      <w:r w:rsidRPr="00A6011E">
        <w:rPr>
          <w:rFonts w:eastAsia="TitilliumText25L" w:cs="TitilliumText25L"/>
          <w:color w:val="231F20"/>
        </w:rPr>
        <w:t>u</w:t>
      </w:r>
      <w:r w:rsidRPr="00A6011E">
        <w:rPr>
          <w:rFonts w:eastAsia="TitilliumText25L" w:cs="TitilliumText25L"/>
          <w:color w:val="231F20"/>
          <w:spacing w:val="-7"/>
        </w:rPr>
        <w:t xml:space="preserve"> </w:t>
      </w:r>
      <w:r w:rsidRPr="00A6011E">
        <w:rPr>
          <w:rFonts w:eastAsia="TitilliumText25L" w:cs="TitilliumText25L"/>
          <w:color w:val="231F20"/>
          <w:spacing w:val="-1"/>
        </w:rPr>
        <w:t>c</w:t>
      </w:r>
      <w:r w:rsidRPr="00A6011E">
        <w:rPr>
          <w:rFonts w:eastAsia="TitilliumText25L" w:cs="TitilliumText25L"/>
          <w:color w:val="231F20"/>
          <w:spacing w:val="-2"/>
        </w:rPr>
        <w:t>a</w:t>
      </w:r>
      <w:r w:rsidRPr="00A6011E">
        <w:rPr>
          <w:rFonts w:eastAsia="TitilliumText25L" w:cs="TitilliumText25L"/>
          <w:color w:val="231F20"/>
        </w:rPr>
        <w:t xml:space="preserve">n </w:t>
      </w:r>
      <w:r w:rsidRPr="00A6011E">
        <w:rPr>
          <w:rFonts w:eastAsia="TitilliumText25L" w:cs="TitilliumText25L"/>
          <w:color w:val="231F20"/>
          <w:spacing w:val="-3"/>
        </w:rPr>
        <w:t>m</w:t>
      </w:r>
      <w:r w:rsidRPr="00A6011E">
        <w:rPr>
          <w:rFonts w:eastAsia="TitilliumText25L" w:cs="TitilliumText25L"/>
          <w:color w:val="231F20"/>
          <w:spacing w:val="-2"/>
        </w:rPr>
        <w:t>a</w:t>
      </w:r>
      <w:r w:rsidRPr="00A6011E">
        <w:rPr>
          <w:rFonts w:eastAsia="TitilliumText25L" w:cs="TitilliumText25L"/>
          <w:color w:val="231F20"/>
          <w:spacing w:val="-4"/>
        </w:rPr>
        <w:t>k</w:t>
      </w:r>
      <w:r w:rsidRPr="00A6011E">
        <w:rPr>
          <w:rFonts w:eastAsia="TitilliumText25L" w:cs="TitilliumText25L"/>
          <w:color w:val="231F20"/>
        </w:rPr>
        <w:t>e</w:t>
      </w:r>
      <w:r w:rsidRPr="00A6011E">
        <w:rPr>
          <w:rFonts w:eastAsia="TitilliumText25L" w:cs="TitilliumText25L"/>
          <w:color w:val="231F20"/>
          <w:spacing w:val="-7"/>
        </w:rPr>
        <w:t xml:space="preserve"> </w:t>
      </w:r>
      <w:r w:rsidRPr="00A6011E">
        <w:rPr>
          <w:rFonts w:eastAsia="TitilliumText25L" w:cs="TitilliumText25L"/>
          <w:color w:val="231F20"/>
        </w:rPr>
        <w:t>a</w:t>
      </w:r>
      <w:r w:rsidRPr="00A6011E">
        <w:rPr>
          <w:rFonts w:eastAsia="TitilliumText25L" w:cs="TitilliumText25L"/>
          <w:color w:val="231F20"/>
          <w:spacing w:val="-7"/>
        </w:rPr>
        <w:t xml:space="preserve"> </w:t>
      </w:r>
      <w:r w:rsidRPr="00A6011E">
        <w:rPr>
          <w:rFonts w:eastAsia="TitilliumText25L" w:cs="TitilliumText25L"/>
          <w:color w:val="231F20"/>
          <w:spacing w:val="-3"/>
        </w:rPr>
        <w:t>p</w:t>
      </w:r>
      <w:r w:rsidRPr="00A6011E">
        <w:rPr>
          <w:rFonts w:eastAsia="TitilliumText25L" w:cs="TitilliumText25L"/>
          <w:color w:val="231F20"/>
          <w:spacing w:val="-1"/>
        </w:rPr>
        <w:t>r</w:t>
      </w:r>
      <w:r w:rsidRPr="00A6011E">
        <w:rPr>
          <w:rFonts w:eastAsia="TitilliumText25L" w:cs="TitilliumText25L"/>
          <w:color w:val="231F20"/>
          <w:spacing w:val="-2"/>
        </w:rPr>
        <w:t>i</w:t>
      </w:r>
      <w:r w:rsidRPr="00A6011E">
        <w:rPr>
          <w:rFonts w:eastAsia="TitilliumText25L" w:cs="TitilliumText25L"/>
          <w:color w:val="231F20"/>
          <w:spacing w:val="-1"/>
        </w:rPr>
        <w:t>v</w:t>
      </w:r>
      <w:r w:rsidRPr="00A6011E">
        <w:rPr>
          <w:rFonts w:eastAsia="TitilliumText25L" w:cs="TitilliumText25L"/>
          <w:color w:val="231F20"/>
          <w:spacing w:val="-2"/>
        </w:rPr>
        <w:t>a</w:t>
      </w:r>
      <w:r w:rsidRPr="00A6011E">
        <w:rPr>
          <w:rFonts w:eastAsia="TitilliumText25L" w:cs="TitilliumText25L"/>
          <w:color w:val="231F20"/>
          <w:spacing w:val="2"/>
        </w:rPr>
        <w:t>c</w:t>
      </w:r>
      <w:r w:rsidRPr="00A6011E">
        <w:rPr>
          <w:rFonts w:eastAsia="TitilliumText25L" w:cs="TitilliumText25L"/>
          <w:color w:val="231F20"/>
        </w:rPr>
        <w:t>y</w:t>
      </w:r>
      <w:r w:rsidRPr="00A6011E">
        <w:rPr>
          <w:rFonts w:eastAsia="TitilliumText25L" w:cs="TitilliumText25L"/>
          <w:color w:val="231F20"/>
          <w:spacing w:val="-7"/>
        </w:rPr>
        <w:t xml:space="preserve"> </w:t>
      </w:r>
      <w:r w:rsidRPr="00A6011E">
        <w:rPr>
          <w:rFonts w:eastAsia="TitilliumText25L" w:cs="TitilliumText25L"/>
          <w:color w:val="231F20"/>
          <w:spacing w:val="-3"/>
        </w:rPr>
        <w:t>co</w:t>
      </w:r>
      <w:r w:rsidRPr="00A6011E">
        <w:rPr>
          <w:rFonts w:eastAsia="TitilliumText25L" w:cs="TitilliumText25L"/>
          <w:color w:val="231F20"/>
          <w:spacing w:val="-4"/>
        </w:rPr>
        <w:t>m</w:t>
      </w:r>
      <w:r w:rsidRPr="00A6011E">
        <w:rPr>
          <w:rFonts w:eastAsia="TitilliumText25L" w:cs="TitilliumText25L"/>
          <w:color w:val="231F20"/>
          <w:spacing w:val="-3"/>
        </w:rPr>
        <w:t>p</w:t>
      </w:r>
      <w:r w:rsidRPr="00A6011E">
        <w:rPr>
          <w:rFonts w:eastAsia="TitilliumText25L" w:cs="TitilliumText25L"/>
          <w:color w:val="231F20"/>
          <w:spacing w:val="-4"/>
        </w:rPr>
        <w:t>l</w:t>
      </w:r>
      <w:r w:rsidRPr="00A6011E">
        <w:rPr>
          <w:rFonts w:eastAsia="TitilliumText25L" w:cs="TitilliumText25L"/>
          <w:color w:val="231F20"/>
          <w:spacing w:val="-1"/>
        </w:rPr>
        <w:t>a</w:t>
      </w:r>
      <w:r w:rsidRPr="00A6011E">
        <w:rPr>
          <w:rFonts w:eastAsia="TitilliumText25L" w:cs="TitilliumText25L"/>
          <w:color w:val="231F20"/>
          <w:spacing w:val="-5"/>
        </w:rPr>
        <w:t>i</w:t>
      </w:r>
      <w:r w:rsidRPr="00A6011E">
        <w:rPr>
          <w:rFonts w:eastAsia="TitilliumText25L" w:cs="TitilliumText25L"/>
          <w:color w:val="231F20"/>
          <w:spacing w:val="-4"/>
        </w:rPr>
        <w:t>n</w:t>
      </w:r>
      <w:r w:rsidRPr="00A6011E">
        <w:rPr>
          <w:rFonts w:eastAsia="TitilliumText25L" w:cs="TitilliumText25L"/>
          <w:color w:val="231F20"/>
        </w:rPr>
        <w:t>t</w:t>
      </w:r>
      <w:r w:rsidRPr="00A6011E">
        <w:rPr>
          <w:rFonts w:eastAsia="TitilliumText25L" w:cs="TitilliumText25L"/>
          <w:color w:val="231F20"/>
          <w:spacing w:val="-7"/>
        </w:rPr>
        <w:t xml:space="preserve"> </w:t>
      </w:r>
      <w:r w:rsidRPr="00A6011E">
        <w:rPr>
          <w:rFonts w:eastAsia="TitilliumText25L" w:cs="TitilliumText25L"/>
          <w:color w:val="231F20"/>
          <w:spacing w:val="-2"/>
        </w:rPr>
        <w:t>t</w:t>
      </w:r>
      <w:r w:rsidRPr="00A6011E">
        <w:rPr>
          <w:rFonts w:eastAsia="TitilliumText25L" w:cs="TitilliumText25L"/>
          <w:color w:val="231F20"/>
        </w:rPr>
        <w:t>o</w:t>
      </w:r>
      <w:r w:rsidRPr="00A6011E">
        <w:rPr>
          <w:rFonts w:eastAsia="TitilliumText25L" w:cs="TitilliumText25L"/>
          <w:color w:val="231F20"/>
          <w:spacing w:val="-7"/>
        </w:rPr>
        <w:t xml:space="preserve"> </w:t>
      </w:r>
      <w:r w:rsidRPr="00A6011E">
        <w:rPr>
          <w:rFonts w:eastAsia="TitilliumText25L" w:cs="TitilliumText25L"/>
          <w:color w:val="231F20"/>
          <w:spacing w:val="-2"/>
        </w:rPr>
        <w:t>t</w:t>
      </w:r>
      <w:r w:rsidRPr="00A6011E">
        <w:rPr>
          <w:rFonts w:eastAsia="TitilliumText25L" w:cs="TitilliumText25L"/>
          <w:color w:val="231F20"/>
          <w:spacing w:val="-3"/>
        </w:rPr>
        <w:t>h</w:t>
      </w:r>
      <w:r w:rsidRPr="00A6011E">
        <w:rPr>
          <w:rFonts w:eastAsia="TitilliumText25L" w:cs="TitilliumText25L"/>
          <w:color w:val="231F20"/>
        </w:rPr>
        <w:t>e</w:t>
      </w:r>
      <w:r w:rsidRPr="00A6011E">
        <w:rPr>
          <w:rFonts w:eastAsia="TitilliumText25L" w:cs="TitilliumText25L"/>
          <w:color w:val="231F20"/>
          <w:spacing w:val="-7"/>
        </w:rPr>
        <w:t xml:space="preserve"> </w:t>
      </w:r>
      <w:r w:rsidRPr="00A6011E">
        <w:rPr>
          <w:rFonts w:eastAsia="TitilliumText25L" w:cs="TitilliumText25L"/>
          <w:color w:val="231F20"/>
          <w:spacing w:val="-4"/>
        </w:rPr>
        <w:t>N</w:t>
      </w:r>
      <w:r w:rsidRPr="00A6011E">
        <w:rPr>
          <w:rFonts w:eastAsia="TitilliumText25L" w:cs="TitilliumText25L"/>
          <w:color w:val="231F20"/>
          <w:spacing w:val="-2"/>
        </w:rPr>
        <w:t>B</w:t>
      </w:r>
      <w:r w:rsidRPr="00A6011E">
        <w:rPr>
          <w:rFonts w:eastAsia="TitilliumText25L" w:cs="TitilliumText25L"/>
          <w:color w:val="231F20"/>
        </w:rPr>
        <w:t>A.</w:t>
      </w:r>
      <w:r w:rsidRPr="00A6011E">
        <w:rPr>
          <w:rFonts w:eastAsia="TitilliumText25L" w:cs="TitilliumText25L"/>
          <w:color w:val="231F20"/>
          <w:spacing w:val="-7"/>
        </w:rPr>
        <w:t xml:space="preserve"> </w:t>
      </w:r>
      <w:r w:rsidRPr="00A6011E">
        <w:rPr>
          <w:rFonts w:eastAsia="TitilliumText25L" w:cs="TitilliumText25L"/>
          <w:color w:val="231F20"/>
        </w:rPr>
        <w:t>A</w:t>
      </w:r>
      <w:r w:rsidRPr="00A6011E">
        <w:rPr>
          <w:rFonts w:eastAsia="TitilliumText25L" w:cs="TitilliumText25L"/>
          <w:color w:val="231F20"/>
          <w:spacing w:val="-7"/>
        </w:rPr>
        <w:t xml:space="preserve"> </w:t>
      </w:r>
      <w:r w:rsidRPr="00A6011E">
        <w:rPr>
          <w:rFonts w:eastAsia="TitilliumText25L" w:cs="TitilliumText25L"/>
          <w:color w:val="231F20"/>
          <w:spacing w:val="-3"/>
        </w:rPr>
        <w:t>co</w:t>
      </w:r>
      <w:r w:rsidRPr="00A6011E">
        <w:rPr>
          <w:rFonts w:eastAsia="TitilliumText25L" w:cs="TitilliumText25L"/>
          <w:color w:val="231F20"/>
          <w:spacing w:val="-2"/>
        </w:rPr>
        <w:t>p</w:t>
      </w:r>
      <w:r w:rsidRPr="00A6011E">
        <w:rPr>
          <w:rFonts w:eastAsia="TitilliumText25L" w:cs="TitilliumText25L"/>
          <w:color w:val="231F20"/>
        </w:rPr>
        <w:t>y</w:t>
      </w:r>
      <w:r w:rsidRPr="00A6011E">
        <w:rPr>
          <w:rFonts w:eastAsia="TitilliumText25L" w:cs="TitilliumText25L"/>
          <w:color w:val="231F20"/>
          <w:spacing w:val="-7"/>
        </w:rPr>
        <w:t xml:space="preserve"> </w:t>
      </w:r>
      <w:r w:rsidRPr="00A6011E">
        <w:rPr>
          <w:rFonts w:eastAsia="TitilliumText25L" w:cs="TitilliumText25L"/>
          <w:color w:val="231F20"/>
          <w:spacing w:val="-2"/>
        </w:rPr>
        <w:t>o</w:t>
      </w:r>
      <w:r w:rsidRPr="00A6011E">
        <w:rPr>
          <w:rFonts w:eastAsia="TitilliumText25L" w:cs="TitilliumText25L"/>
          <w:color w:val="231F20"/>
        </w:rPr>
        <w:t>f</w:t>
      </w:r>
      <w:r w:rsidRPr="00A6011E">
        <w:rPr>
          <w:rFonts w:eastAsia="TitilliumText25L" w:cs="TitilliumText25L"/>
          <w:color w:val="231F20"/>
          <w:spacing w:val="-7"/>
        </w:rPr>
        <w:t xml:space="preserve"> </w:t>
      </w:r>
      <w:r w:rsidRPr="00A6011E">
        <w:rPr>
          <w:rFonts w:eastAsia="TitilliumText25L" w:cs="TitilliumText25L"/>
          <w:color w:val="231F20"/>
          <w:spacing w:val="-2"/>
        </w:rPr>
        <w:t>t</w:t>
      </w:r>
      <w:r w:rsidRPr="00A6011E">
        <w:rPr>
          <w:rFonts w:eastAsia="TitilliumText25L" w:cs="TitilliumText25L"/>
          <w:color w:val="231F20"/>
          <w:spacing w:val="-3"/>
        </w:rPr>
        <w:t>h</w:t>
      </w:r>
      <w:r w:rsidRPr="00A6011E">
        <w:rPr>
          <w:rFonts w:eastAsia="TitilliumText25L" w:cs="TitilliumText25L"/>
          <w:color w:val="231F20"/>
        </w:rPr>
        <w:t>e</w:t>
      </w:r>
      <w:r w:rsidRPr="00A6011E">
        <w:rPr>
          <w:rFonts w:eastAsia="TitilliumText25L" w:cs="TitilliumText25L"/>
          <w:color w:val="231F20"/>
          <w:spacing w:val="-7"/>
        </w:rPr>
        <w:t xml:space="preserve"> </w:t>
      </w:r>
      <w:r w:rsidRPr="00A6011E">
        <w:rPr>
          <w:rFonts w:eastAsia="TitilliumText25L" w:cs="TitilliumText25L"/>
          <w:color w:val="231F20"/>
          <w:spacing w:val="-1"/>
        </w:rPr>
        <w:t>p</w:t>
      </w:r>
      <w:r w:rsidRPr="00A6011E">
        <w:rPr>
          <w:rFonts w:eastAsia="TitilliumText25L" w:cs="TitilliumText25L"/>
          <w:color w:val="231F20"/>
          <w:spacing w:val="-3"/>
        </w:rPr>
        <w:t>o</w:t>
      </w:r>
      <w:r w:rsidRPr="00A6011E">
        <w:rPr>
          <w:rFonts w:eastAsia="TitilliumText25L" w:cs="TitilliumText25L"/>
          <w:color w:val="231F20"/>
          <w:spacing w:val="-4"/>
        </w:rPr>
        <w:t>l</w:t>
      </w:r>
      <w:r w:rsidRPr="00A6011E">
        <w:rPr>
          <w:rFonts w:eastAsia="TitilliumText25L" w:cs="TitilliumText25L"/>
          <w:color w:val="231F20"/>
          <w:spacing w:val="-2"/>
        </w:rPr>
        <w:t>i</w:t>
      </w:r>
      <w:r w:rsidRPr="00A6011E">
        <w:rPr>
          <w:rFonts w:eastAsia="TitilliumText25L" w:cs="TitilliumText25L"/>
          <w:color w:val="231F20"/>
          <w:spacing w:val="2"/>
        </w:rPr>
        <w:t>c</w:t>
      </w:r>
      <w:r w:rsidRPr="00A6011E">
        <w:rPr>
          <w:rFonts w:eastAsia="TitilliumText25L" w:cs="TitilliumText25L"/>
          <w:color w:val="231F20"/>
        </w:rPr>
        <w:t xml:space="preserve">y </w:t>
      </w:r>
      <w:r w:rsidRPr="00A6011E">
        <w:rPr>
          <w:rFonts w:eastAsia="TitilliumText25L" w:cs="TitilliumText25L"/>
          <w:color w:val="231F20"/>
          <w:spacing w:val="-1"/>
        </w:rPr>
        <w:t>c</w:t>
      </w:r>
      <w:r w:rsidRPr="00A6011E">
        <w:rPr>
          <w:rFonts w:eastAsia="TitilliumText25L" w:cs="TitilliumText25L"/>
          <w:color w:val="231F20"/>
          <w:spacing w:val="-2"/>
        </w:rPr>
        <w:t>a</w:t>
      </w:r>
      <w:r w:rsidRPr="00A6011E">
        <w:rPr>
          <w:rFonts w:eastAsia="TitilliumText25L" w:cs="TitilliumText25L"/>
          <w:color w:val="231F20"/>
        </w:rPr>
        <w:t>n</w:t>
      </w:r>
      <w:r w:rsidRPr="00A6011E">
        <w:rPr>
          <w:rFonts w:eastAsia="TitilliumText25L" w:cs="TitilliumText25L"/>
          <w:color w:val="231F20"/>
          <w:spacing w:val="-7"/>
        </w:rPr>
        <w:t xml:space="preserve"> </w:t>
      </w:r>
      <w:r w:rsidRPr="00A6011E">
        <w:rPr>
          <w:rFonts w:eastAsia="TitilliumText25L" w:cs="TitilliumText25L"/>
          <w:color w:val="231F20"/>
          <w:spacing w:val="-1"/>
        </w:rPr>
        <w:t>b</w:t>
      </w:r>
      <w:r w:rsidRPr="00A6011E">
        <w:rPr>
          <w:rFonts w:eastAsia="TitilliumText25L" w:cs="TitilliumText25L"/>
          <w:color w:val="231F20"/>
        </w:rPr>
        <w:t>e</w:t>
      </w:r>
      <w:r w:rsidRPr="00A6011E">
        <w:rPr>
          <w:rFonts w:eastAsia="TitilliumText25L" w:cs="TitilliumText25L"/>
          <w:color w:val="231F20"/>
          <w:spacing w:val="-7"/>
        </w:rPr>
        <w:t xml:space="preserve"> </w:t>
      </w:r>
      <w:r w:rsidRPr="00A6011E">
        <w:rPr>
          <w:rFonts w:eastAsia="TitilliumText25L" w:cs="TitilliumText25L"/>
          <w:color w:val="231F20"/>
          <w:spacing w:val="-1"/>
        </w:rPr>
        <w:t>f</w:t>
      </w:r>
      <w:r w:rsidRPr="00A6011E">
        <w:rPr>
          <w:rFonts w:eastAsia="TitilliumText25L" w:cs="TitilliumText25L"/>
          <w:color w:val="231F20"/>
          <w:spacing w:val="-3"/>
        </w:rPr>
        <w:t>o</w:t>
      </w:r>
      <w:r w:rsidRPr="00A6011E">
        <w:rPr>
          <w:rFonts w:eastAsia="TitilliumText25L" w:cs="TitilliumText25L"/>
          <w:color w:val="231F20"/>
          <w:spacing w:val="-5"/>
        </w:rPr>
        <w:t>u</w:t>
      </w:r>
      <w:r w:rsidRPr="00A6011E">
        <w:rPr>
          <w:rFonts w:eastAsia="TitilliumText25L" w:cs="TitilliumText25L"/>
          <w:color w:val="231F20"/>
          <w:spacing w:val="-3"/>
        </w:rPr>
        <w:t>n</w:t>
      </w:r>
      <w:r w:rsidRPr="00A6011E">
        <w:rPr>
          <w:rFonts w:eastAsia="TitilliumText25L" w:cs="TitilliumText25L"/>
          <w:color w:val="231F20"/>
        </w:rPr>
        <w:t>d</w:t>
      </w:r>
      <w:r w:rsidRPr="00A6011E">
        <w:rPr>
          <w:rFonts w:eastAsia="TitilliumText25L" w:cs="TitilliumText25L"/>
          <w:color w:val="231F20"/>
          <w:spacing w:val="-7"/>
        </w:rPr>
        <w:t xml:space="preserve"> </w:t>
      </w:r>
      <w:r w:rsidRPr="00A6011E">
        <w:rPr>
          <w:rFonts w:eastAsia="TitilliumText25L" w:cs="TitilliumText25L"/>
          <w:color w:val="231F20"/>
          <w:spacing w:val="-3"/>
        </w:rPr>
        <w:t>a</w:t>
      </w:r>
      <w:r w:rsidRPr="00A6011E">
        <w:rPr>
          <w:rFonts w:eastAsia="TitilliumText25L" w:cs="TitilliumText25L"/>
          <w:color w:val="231F20"/>
        </w:rPr>
        <w:t xml:space="preserve">t </w:t>
      </w:r>
      <w:hyperlink r:id="rId26" w:history="1">
        <w:r w:rsidRPr="00D61F15">
          <w:rPr>
            <w:rStyle w:val="Hyperlink"/>
            <w:rFonts w:eastAsia="TitilliumText25L" w:cs="TitilliumText25L"/>
          </w:rPr>
          <w:t>http://www.blood.gov.au/privacy</w:t>
        </w:r>
      </w:hyperlink>
      <w:r>
        <w:rPr>
          <w:rFonts w:eastAsia="TitilliumText25L" w:cs="TitilliumText25L"/>
          <w:color w:val="231F20"/>
        </w:rPr>
        <w:t xml:space="preserve"> </w:t>
      </w:r>
    </w:p>
    <w:p w:rsidR="00B55624" w:rsidRPr="003800B2" w:rsidRDefault="00B55624" w:rsidP="00B55624">
      <w:pPr>
        <w:spacing w:after="120"/>
        <w:rPr>
          <w:b/>
          <w:lang w:eastAsia="en-AU"/>
        </w:rPr>
      </w:pPr>
      <w:r w:rsidRPr="003800B2">
        <w:rPr>
          <w:b/>
          <w:lang w:eastAsia="en-AU"/>
        </w:rPr>
        <w:t>Contact us</w:t>
      </w:r>
    </w:p>
    <w:p w:rsidR="00B55624" w:rsidRPr="00197335" w:rsidRDefault="00B55624" w:rsidP="00B55624">
      <w:r w:rsidRPr="00197335">
        <w:t xml:space="preserve">If you have any questions in relation to this information or require more information, please contact the NBA Support Team on 13 000 BLOOD (25663) or email </w:t>
      </w:r>
      <w:hyperlink r:id="rId27" w:history="1">
        <w:r w:rsidRPr="00197335">
          <w:rPr>
            <w:rStyle w:val="Hyperlink"/>
          </w:rPr>
          <w:t>support@blood.gov.au</w:t>
        </w:r>
      </w:hyperlink>
      <w:r w:rsidRPr="00197335">
        <w:t xml:space="preserve"> </w:t>
      </w:r>
    </w:p>
    <w:p w:rsidR="00F8473A" w:rsidRPr="00F8473A" w:rsidRDefault="00F8473A" w:rsidP="00F8473A"/>
    <w:p w:rsidR="004600E6" w:rsidRDefault="004600E6" w:rsidP="00197335">
      <w:r>
        <w:br w:type="page"/>
      </w:r>
    </w:p>
    <w:p w:rsidR="004600E6" w:rsidRDefault="004600E6" w:rsidP="00197335"/>
    <w:p w:rsidR="004600E6" w:rsidRDefault="00323364" w:rsidP="004600E6">
      <w:pPr>
        <w:pStyle w:val="Heading2"/>
        <w:numPr>
          <w:ilvl w:val="1"/>
          <w:numId w:val="33"/>
        </w:numPr>
      </w:pPr>
      <w:bookmarkStart w:id="72" w:name="_Toc434574655"/>
      <w:r>
        <w:t xml:space="preserve">Attachment </w:t>
      </w:r>
      <w:r w:rsidR="008A6A29">
        <w:t xml:space="preserve">B – </w:t>
      </w:r>
      <w:bookmarkStart w:id="73" w:name="_Ref413165365"/>
      <w:bookmarkEnd w:id="70"/>
      <w:bookmarkEnd w:id="71"/>
      <w:proofErr w:type="spellStart"/>
      <w:r w:rsidR="004600E6" w:rsidRPr="00DE4215">
        <w:t>BloodSTAR</w:t>
      </w:r>
      <w:proofErr w:type="spellEnd"/>
      <w:r w:rsidR="004600E6" w:rsidRPr="00DE4215">
        <w:t xml:space="preserve"> </w:t>
      </w:r>
      <w:r w:rsidR="004600E6">
        <w:t>P</w:t>
      </w:r>
      <w:r w:rsidR="004600E6" w:rsidRPr="00DE4215">
        <w:t xml:space="preserve">rivacy </w:t>
      </w:r>
      <w:r w:rsidR="004600E6">
        <w:t>C</w:t>
      </w:r>
      <w:r w:rsidR="004600E6" w:rsidRPr="00DE4215">
        <w:t xml:space="preserve">onsent </w:t>
      </w:r>
      <w:r w:rsidR="004600E6">
        <w:t>F</w:t>
      </w:r>
      <w:r w:rsidR="004600E6" w:rsidRPr="00DE4215">
        <w:t>orm</w:t>
      </w:r>
      <w:bookmarkEnd w:id="72"/>
    </w:p>
    <w:p w:rsidR="004600E6" w:rsidRPr="00681A20" w:rsidRDefault="00F8473A" w:rsidP="00681A20">
      <w:pPr>
        <w:rPr>
          <w:b/>
        </w:rPr>
      </w:pPr>
      <w:proofErr w:type="spellStart"/>
      <w:r w:rsidRPr="00681A20">
        <w:rPr>
          <w:b/>
        </w:rPr>
        <w:t>BLOODSTAR</w:t>
      </w:r>
      <w:proofErr w:type="spellEnd"/>
      <w:r w:rsidRPr="00681A20">
        <w:rPr>
          <w:b/>
        </w:rPr>
        <w:t xml:space="preserve"> – </w:t>
      </w:r>
      <w:r w:rsidR="004600E6" w:rsidRPr="00681A20">
        <w:rPr>
          <w:b/>
        </w:rPr>
        <w:t>RECORD OF PRIVACY CONSENT:</w:t>
      </w:r>
    </w:p>
    <w:p w:rsidR="004600E6" w:rsidRPr="00DE4215" w:rsidRDefault="004600E6" w:rsidP="004600E6">
      <w:pPr>
        <w:spacing w:before="240"/>
        <w:jc w:val="both"/>
        <w:rPr>
          <w:rFonts w:cs="Arial"/>
        </w:rPr>
      </w:pPr>
      <w:r w:rsidRPr="00DE4215">
        <w:rPr>
          <w:rFonts w:cs="Arial"/>
        </w:rPr>
        <w:t xml:space="preserve">The nature of </w:t>
      </w:r>
      <w:proofErr w:type="spellStart"/>
      <w:r w:rsidRPr="00DE4215">
        <w:rPr>
          <w:rFonts w:cs="Arial"/>
        </w:rPr>
        <w:t>BloodSTAR</w:t>
      </w:r>
      <w:proofErr w:type="spellEnd"/>
      <w:r w:rsidRPr="00DE4215">
        <w:rPr>
          <w:rFonts w:cs="Arial"/>
        </w:rPr>
        <w:t xml:space="preserve"> has been fully explained to me. I understand the </w:t>
      </w:r>
      <w:proofErr w:type="spellStart"/>
      <w:r>
        <w:rPr>
          <w:rFonts w:cs="Arial"/>
        </w:rPr>
        <w:t>BloodSTAR</w:t>
      </w:r>
      <w:proofErr w:type="spellEnd"/>
      <w:r>
        <w:rPr>
          <w:rFonts w:cs="Arial"/>
        </w:rPr>
        <w:t xml:space="preserve"> P</w:t>
      </w:r>
      <w:r w:rsidRPr="00DE4215">
        <w:rPr>
          <w:rFonts w:cs="Arial"/>
        </w:rPr>
        <w:t xml:space="preserve">rivacy </w:t>
      </w:r>
      <w:r w:rsidR="00B55624">
        <w:rPr>
          <w:rFonts w:cs="Arial"/>
        </w:rPr>
        <w:t xml:space="preserve">Statement and </w:t>
      </w:r>
      <w:r>
        <w:rPr>
          <w:rFonts w:cs="Arial"/>
        </w:rPr>
        <w:t>N</w:t>
      </w:r>
      <w:r w:rsidRPr="00DE4215">
        <w:rPr>
          <w:rFonts w:cs="Arial"/>
        </w:rPr>
        <w:t xml:space="preserve">otice and </w:t>
      </w:r>
      <w:r>
        <w:rPr>
          <w:rFonts w:cs="Arial"/>
        </w:rPr>
        <w:t>P</w:t>
      </w:r>
      <w:r w:rsidRPr="00DE4215">
        <w:rPr>
          <w:rFonts w:cs="Arial"/>
        </w:rPr>
        <w:t xml:space="preserve">atient </w:t>
      </w:r>
      <w:r>
        <w:rPr>
          <w:rFonts w:cs="Arial"/>
        </w:rPr>
        <w:t>I</w:t>
      </w:r>
      <w:r w:rsidRPr="00DE4215">
        <w:rPr>
          <w:rFonts w:cs="Arial"/>
        </w:rPr>
        <w:t xml:space="preserve">nformation </w:t>
      </w:r>
      <w:r>
        <w:rPr>
          <w:rFonts w:cs="Arial"/>
        </w:rPr>
        <w:t>B</w:t>
      </w:r>
      <w:r w:rsidRPr="00DE4215">
        <w:rPr>
          <w:rFonts w:cs="Arial"/>
        </w:rPr>
        <w:t>rochure and I have received a copy to take away with me. I have had the chance to ask questions, and all my questions have been answered to my satisfaction. I consent to:</w:t>
      </w:r>
    </w:p>
    <w:p w:rsidR="004600E6" w:rsidRPr="00DE4215" w:rsidRDefault="004600E6" w:rsidP="004600E6">
      <w:pPr>
        <w:numPr>
          <w:ilvl w:val="0"/>
          <w:numId w:val="23"/>
        </w:numPr>
        <w:spacing w:before="240"/>
        <w:ind w:left="765" w:hanging="357"/>
        <w:jc w:val="both"/>
        <w:rPr>
          <w:rFonts w:cs="Arial"/>
        </w:rPr>
      </w:pPr>
      <w:r w:rsidRPr="00DE4215">
        <w:rPr>
          <w:rFonts w:cs="Arial"/>
        </w:rPr>
        <w:t xml:space="preserve">the recording of personal information (including sensitive health information) about me/my child/the person I care for or represent in </w:t>
      </w:r>
      <w:proofErr w:type="spellStart"/>
      <w:r w:rsidRPr="00DE4215">
        <w:rPr>
          <w:rFonts w:cs="Arial"/>
        </w:rPr>
        <w:t>BloodSTAR</w:t>
      </w:r>
      <w:proofErr w:type="spellEnd"/>
      <w:r>
        <w:rPr>
          <w:rFonts w:cs="Arial"/>
        </w:rPr>
        <w:t>,</w:t>
      </w:r>
    </w:p>
    <w:p w:rsidR="004600E6" w:rsidRDefault="004600E6" w:rsidP="004600E6">
      <w:pPr>
        <w:numPr>
          <w:ilvl w:val="0"/>
          <w:numId w:val="23"/>
        </w:numPr>
        <w:spacing w:before="240"/>
        <w:ind w:left="765" w:hanging="357"/>
        <w:jc w:val="both"/>
        <w:rPr>
          <w:rFonts w:cs="Arial"/>
        </w:rPr>
      </w:pPr>
      <w:r>
        <w:rPr>
          <w:rFonts w:cs="Arial"/>
        </w:rPr>
        <w:t>the use of this information to submit a request for, and for the assessment of, initial or ongoing authorisation for access to publicly funded immunoglobulin products, against the criteria determined by Australian governments for this purpose,</w:t>
      </w:r>
    </w:p>
    <w:p w:rsidR="004600E6" w:rsidRDefault="004600E6" w:rsidP="004600E6">
      <w:pPr>
        <w:numPr>
          <w:ilvl w:val="0"/>
          <w:numId w:val="23"/>
        </w:numPr>
        <w:spacing w:before="240"/>
        <w:ind w:left="765" w:hanging="357"/>
        <w:jc w:val="both"/>
        <w:rPr>
          <w:rFonts w:cs="Arial"/>
        </w:rPr>
      </w:pPr>
      <w:r>
        <w:rPr>
          <w:lang w:eastAsia="en-AU"/>
        </w:rPr>
        <w:t>the use of limited identifying details within</w:t>
      </w:r>
      <w:r w:rsidRPr="00471A74">
        <w:rPr>
          <w:lang w:eastAsia="en-AU"/>
        </w:rPr>
        <w:t xml:space="preserve"> </w:t>
      </w:r>
      <w:proofErr w:type="spellStart"/>
      <w:r>
        <w:rPr>
          <w:lang w:eastAsia="en-AU"/>
        </w:rPr>
        <w:t>BloodSTAR</w:t>
      </w:r>
      <w:proofErr w:type="spellEnd"/>
      <w:r>
        <w:rPr>
          <w:lang w:eastAsia="en-AU"/>
        </w:rPr>
        <w:t xml:space="preserve"> search functions to ensure that patients are correctly identified,</w:t>
      </w:r>
    </w:p>
    <w:p w:rsidR="004600E6" w:rsidRPr="00DE4215" w:rsidRDefault="004600E6" w:rsidP="004600E6">
      <w:pPr>
        <w:numPr>
          <w:ilvl w:val="0"/>
          <w:numId w:val="23"/>
        </w:numPr>
        <w:spacing w:before="240"/>
        <w:ind w:left="765" w:hanging="357"/>
        <w:jc w:val="both"/>
        <w:rPr>
          <w:rFonts w:cs="Arial"/>
        </w:rPr>
      </w:pPr>
      <w:r w:rsidRPr="00DE4215">
        <w:rPr>
          <w:rFonts w:cs="Arial"/>
        </w:rPr>
        <w:t xml:space="preserve">the use of this information by clinicians in Australian treatment facilities that I attend for health care, in order to deliver health services according to </w:t>
      </w:r>
      <w:r>
        <w:rPr>
          <w:rFonts w:cs="Arial"/>
        </w:rPr>
        <w:t>the purposes for which</w:t>
      </w:r>
      <w:r w:rsidRPr="00DE4215">
        <w:rPr>
          <w:rFonts w:cs="Arial"/>
        </w:rPr>
        <w:t xml:space="preserve"> authorisation</w:t>
      </w:r>
      <w:r>
        <w:rPr>
          <w:rFonts w:cs="Arial"/>
        </w:rPr>
        <w:t xml:space="preserve"> has been given, and</w:t>
      </w:r>
    </w:p>
    <w:p w:rsidR="004600E6" w:rsidRDefault="004600E6" w:rsidP="004600E6">
      <w:pPr>
        <w:numPr>
          <w:ilvl w:val="0"/>
          <w:numId w:val="23"/>
        </w:numPr>
        <w:spacing w:before="240"/>
        <w:ind w:left="765" w:hanging="357"/>
        <w:jc w:val="both"/>
        <w:rPr>
          <w:rFonts w:cs="Arial"/>
        </w:rPr>
      </w:pPr>
      <w:r>
        <w:rPr>
          <w:rFonts w:cs="Arial"/>
        </w:rPr>
        <w:t>the use of this information in a manner which will not readily</w:t>
      </w:r>
      <w:r w:rsidRPr="00DE4215">
        <w:rPr>
          <w:rFonts w:cs="Arial"/>
        </w:rPr>
        <w:t xml:space="preserve"> identify me</w:t>
      </w:r>
      <w:r>
        <w:rPr>
          <w:rFonts w:cs="Arial"/>
        </w:rPr>
        <w:t xml:space="preserve"> (such as through the removal of directly identifying personal information</w:t>
      </w:r>
      <w:r w:rsidRPr="00DE4215">
        <w:rPr>
          <w:rFonts w:cs="Arial"/>
        </w:rPr>
        <w:t xml:space="preserve">, </w:t>
      </w:r>
      <w:r>
        <w:rPr>
          <w:rFonts w:cs="Arial"/>
        </w:rPr>
        <w:t xml:space="preserve">or use of  </w:t>
      </w:r>
      <w:r w:rsidRPr="00DE4215">
        <w:rPr>
          <w:rFonts w:cs="Arial"/>
        </w:rPr>
        <w:t>summary level grouped data</w:t>
      </w:r>
      <w:r>
        <w:rPr>
          <w:rFonts w:cs="Arial"/>
        </w:rPr>
        <w:t xml:space="preserve">) for the purposes of: </w:t>
      </w:r>
      <w:r w:rsidRPr="00DE4215">
        <w:rPr>
          <w:lang w:eastAsia="en-AU"/>
        </w:rPr>
        <w:t>identifying priorities for research, education and training</w:t>
      </w:r>
      <w:r>
        <w:rPr>
          <w:lang w:eastAsia="en-AU"/>
        </w:rPr>
        <w:t>;</w:t>
      </w:r>
      <w:r w:rsidRPr="00DE4215">
        <w:rPr>
          <w:lang w:eastAsia="en-AU"/>
        </w:rPr>
        <w:t xml:space="preserve"> performance</w:t>
      </w:r>
      <w:r>
        <w:rPr>
          <w:lang w:eastAsia="en-AU"/>
        </w:rPr>
        <w:t xml:space="preserve"> evaluation and</w:t>
      </w:r>
      <w:r w:rsidRPr="00DE4215">
        <w:rPr>
          <w:lang w:eastAsia="en-AU"/>
        </w:rPr>
        <w:t xml:space="preserve"> improvement of the </w:t>
      </w:r>
      <w:r>
        <w:rPr>
          <w:lang w:eastAsia="en-AU"/>
        </w:rPr>
        <w:t>supply, authorisation and use of immunoglobulin products;</w:t>
      </w:r>
      <w:r w:rsidRPr="00DE4215">
        <w:rPr>
          <w:lang w:eastAsia="en-AU"/>
        </w:rPr>
        <w:t xml:space="preserve"> </w:t>
      </w:r>
      <w:r>
        <w:rPr>
          <w:lang w:eastAsia="en-AU"/>
        </w:rPr>
        <w:t xml:space="preserve">further </w:t>
      </w:r>
      <w:r w:rsidRPr="00DE4215">
        <w:rPr>
          <w:lang w:eastAsia="en-AU"/>
        </w:rPr>
        <w:t>developing the criteria upon which Government policy is based</w:t>
      </w:r>
      <w:r>
        <w:rPr>
          <w:lang w:eastAsia="en-AU"/>
        </w:rPr>
        <w:t>;</w:t>
      </w:r>
      <w:r w:rsidRPr="00DE4215">
        <w:rPr>
          <w:lang w:eastAsia="en-AU"/>
        </w:rPr>
        <w:t xml:space="preserve"> supply planning so the N</w:t>
      </w:r>
      <w:r>
        <w:rPr>
          <w:lang w:eastAsia="en-AU"/>
        </w:rPr>
        <w:t xml:space="preserve">ational </w:t>
      </w:r>
      <w:r w:rsidRPr="00DE4215">
        <w:rPr>
          <w:lang w:eastAsia="en-AU"/>
        </w:rPr>
        <w:t>B</w:t>
      </w:r>
      <w:r>
        <w:rPr>
          <w:lang w:eastAsia="en-AU"/>
        </w:rPr>
        <w:t xml:space="preserve">lood </w:t>
      </w:r>
      <w:r w:rsidRPr="00DE4215">
        <w:rPr>
          <w:lang w:eastAsia="en-AU"/>
        </w:rPr>
        <w:t>A</w:t>
      </w:r>
      <w:r>
        <w:rPr>
          <w:lang w:eastAsia="en-AU"/>
        </w:rPr>
        <w:t>uthority</w:t>
      </w:r>
      <w:r w:rsidRPr="00DE4215">
        <w:rPr>
          <w:lang w:eastAsia="en-AU"/>
        </w:rPr>
        <w:t xml:space="preserve"> can make sure enough Ig products are available to </w:t>
      </w:r>
      <w:r>
        <w:rPr>
          <w:lang w:eastAsia="en-AU"/>
        </w:rPr>
        <w:t>meet patients’</w:t>
      </w:r>
      <w:r w:rsidRPr="00DE4215">
        <w:rPr>
          <w:lang w:eastAsia="en-AU"/>
        </w:rPr>
        <w:t xml:space="preserve"> need</w:t>
      </w:r>
      <w:r>
        <w:rPr>
          <w:lang w:eastAsia="en-AU"/>
        </w:rPr>
        <w:t>s; and enabling reporting on the program for supply, authorisation and use of publicly funded immunoglobulin products.</w:t>
      </w:r>
    </w:p>
    <w:p w:rsidR="004600E6" w:rsidRPr="00DE4215" w:rsidRDefault="004600E6" w:rsidP="004600E6">
      <w:pPr>
        <w:spacing w:before="240"/>
        <w:jc w:val="both"/>
        <w:rPr>
          <w:rFonts w:cs="Arial"/>
        </w:rPr>
      </w:pPr>
      <w:r>
        <w:rPr>
          <w:rFonts w:cs="Arial"/>
        </w:rPr>
        <w:t xml:space="preserve">I understand that </w:t>
      </w:r>
      <w:r w:rsidRPr="00133771">
        <w:rPr>
          <w:rFonts w:cs="Arial"/>
        </w:rPr>
        <w:t xml:space="preserve">any additional </w:t>
      </w:r>
      <w:r>
        <w:rPr>
          <w:rFonts w:cs="Arial"/>
        </w:rPr>
        <w:t>use of</w:t>
      </w:r>
      <w:r w:rsidRPr="00133771">
        <w:rPr>
          <w:rFonts w:cs="Arial"/>
        </w:rPr>
        <w:t xml:space="preserve"> information in </w:t>
      </w:r>
      <w:proofErr w:type="spellStart"/>
      <w:r w:rsidRPr="00133771">
        <w:rPr>
          <w:rFonts w:cs="Arial"/>
        </w:rPr>
        <w:t>BloodSTAR</w:t>
      </w:r>
      <w:proofErr w:type="spellEnd"/>
      <w:r w:rsidRPr="00133771">
        <w:rPr>
          <w:rFonts w:cs="Arial"/>
        </w:rPr>
        <w:t xml:space="preserve"> will only be undertaken in accordance with the requirements of the </w:t>
      </w:r>
      <w:r w:rsidRPr="00133771">
        <w:rPr>
          <w:rFonts w:cs="Arial"/>
          <w:i/>
        </w:rPr>
        <w:t>Privacy Act 1988</w:t>
      </w:r>
      <w:r w:rsidRPr="00133771">
        <w:rPr>
          <w:rFonts w:cs="Arial"/>
        </w:rPr>
        <w:t xml:space="preserve"> (</w:t>
      </w:r>
      <w:proofErr w:type="spellStart"/>
      <w:r w:rsidRPr="00133771">
        <w:rPr>
          <w:rFonts w:cs="Arial"/>
        </w:rPr>
        <w:t>Cth</w:t>
      </w:r>
      <w:proofErr w:type="spellEnd"/>
      <w:r w:rsidRPr="00133771">
        <w:rPr>
          <w:rFonts w:cs="Arial"/>
        </w:rPr>
        <w:t xml:space="preserve">) and any </w:t>
      </w:r>
      <w:r w:rsidRPr="006251F2">
        <w:rPr>
          <w:rFonts w:cs="Arial"/>
        </w:rPr>
        <w:t>relevant state/territory laws</w:t>
      </w:r>
      <w:r>
        <w:rPr>
          <w:rFonts w:cs="Arial"/>
        </w:rPr>
        <w:t>, and that t</w:t>
      </w:r>
      <w:r w:rsidRPr="00133771">
        <w:rPr>
          <w:rFonts w:cs="Arial"/>
        </w:rPr>
        <w:t xml:space="preserve">he </w:t>
      </w:r>
      <w:r>
        <w:rPr>
          <w:rFonts w:cs="Arial"/>
        </w:rPr>
        <w:t>information</w:t>
      </w:r>
      <w:r w:rsidRPr="00133771">
        <w:rPr>
          <w:rFonts w:cs="Arial"/>
        </w:rPr>
        <w:t xml:space="preserve"> may only be made available for </w:t>
      </w:r>
      <w:r>
        <w:rPr>
          <w:rFonts w:cs="Arial"/>
        </w:rPr>
        <w:t xml:space="preserve">medical or public health </w:t>
      </w:r>
      <w:r w:rsidRPr="006251F2">
        <w:rPr>
          <w:rFonts w:cs="Arial"/>
        </w:rPr>
        <w:t xml:space="preserve">research </w:t>
      </w:r>
      <w:r>
        <w:rPr>
          <w:rFonts w:cs="Arial"/>
        </w:rPr>
        <w:t>only with</w:t>
      </w:r>
      <w:r w:rsidRPr="006251F2">
        <w:rPr>
          <w:rFonts w:cs="Arial"/>
        </w:rPr>
        <w:t xml:space="preserve"> </w:t>
      </w:r>
      <w:r>
        <w:rPr>
          <w:rFonts w:cs="Arial"/>
        </w:rPr>
        <w:t>approval of</w:t>
      </w:r>
      <w:r w:rsidRPr="00133771">
        <w:rPr>
          <w:rFonts w:cs="Arial"/>
        </w:rPr>
        <w:t xml:space="preserve"> properly constituted human research ethics committee (</w:t>
      </w:r>
      <w:proofErr w:type="spellStart"/>
      <w:r w:rsidRPr="00133771">
        <w:rPr>
          <w:rFonts w:cs="Arial"/>
        </w:rPr>
        <w:t>HREC</w:t>
      </w:r>
      <w:proofErr w:type="spellEnd"/>
      <w:r w:rsidRPr="00133771">
        <w:rPr>
          <w:rFonts w:cs="Arial"/>
        </w:rPr>
        <w:t>)</w:t>
      </w:r>
      <w:r>
        <w:rPr>
          <w:rFonts w:cs="Arial"/>
        </w:rPr>
        <w:t>.</w:t>
      </w:r>
    </w:p>
    <w:p w:rsidR="004600E6" w:rsidRPr="00DE4215" w:rsidRDefault="004600E6" w:rsidP="004600E6">
      <w:pPr>
        <w:spacing w:before="240"/>
        <w:ind w:left="765"/>
        <w:jc w:val="both"/>
        <w:rPr>
          <w:rFonts w:cs="Arial"/>
        </w:rPr>
      </w:pPr>
    </w:p>
    <w:p w:rsidR="004600E6" w:rsidRPr="00DE4215" w:rsidRDefault="004600E6" w:rsidP="004600E6">
      <w:pPr>
        <w:pBdr>
          <w:top w:val="single" w:sz="4" w:space="1" w:color="auto"/>
          <w:bottom w:val="single" w:sz="4" w:space="1" w:color="auto"/>
        </w:pBdr>
        <w:spacing w:before="240"/>
        <w:rPr>
          <w:rFonts w:cs="Arial"/>
        </w:rPr>
      </w:pPr>
      <w:r w:rsidRPr="00DE4215">
        <w:rPr>
          <w:rFonts w:cs="Arial"/>
        </w:rPr>
        <w:t>Signature of patient:</w:t>
      </w:r>
      <w:r w:rsidRPr="00DE4215">
        <w:rPr>
          <w:rFonts w:cs="Arial"/>
        </w:rPr>
        <w:tab/>
      </w:r>
      <w:r w:rsidRPr="00DE4215">
        <w:rPr>
          <w:rFonts w:cs="Arial"/>
        </w:rPr>
        <w:tab/>
      </w:r>
      <w:r w:rsidRPr="00DE4215">
        <w:rPr>
          <w:rFonts w:cs="Arial"/>
        </w:rPr>
        <w:tab/>
      </w:r>
      <w:r w:rsidRPr="00DE4215">
        <w:rPr>
          <w:rFonts w:cs="Arial"/>
        </w:rPr>
        <w:tab/>
      </w:r>
      <w:r w:rsidRPr="00DE4215">
        <w:rPr>
          <w:rFonts w:cs="Arial"/>
        </w:rPr>
        <w:tab/>
      </w:r>
      <w:r w:rsidRPr="00DE4215">
        <w:rPr>
          <w:rFonts w:cs="Arial"/>
        </w:rPr>
        <w:tab/>
      </w:r>
      <w:r w:rsidRPr="00DE4215">
        <w:rPr>
          <w:rFonts w:cs="Arial"/>
        </w:rPr>
        <w:tab/>
      </w:r>
      <w:r w:rsidRPr="00DE4215">
        <w:rPr>
          <w:rFonts w:cs="Arial"/>
        </w:rPr>
        <w:tab/>
        <w:t>Date</w:t>
      </w:r>
    </w:p>
    <w:p w:rsidR="004600E6" w:rsidRPr="00DE4215" w:rsidRDefault="004600E6" w:rsidP="004600E6">
      <w:pPr>
        <w:pBdr>
          <w:top w:val="single" w:sz="4" w:space="1" w:color="auto"/>
          <w:bottom w:val="single" w:sz="4" w:space="1" w:color="auto"/>
        </w:pBdr>
        <w:spacing w:before="240" w:after="120"/>
        <w:rPr>
          <w:rFonts w:cs="Arial"/>
        </w:rPr>
      </w:pPr>
      <w:r w:rsidRPr="00DE4215">
        <w:rPr>
          <w:rFonts w:cs="Arial"/>
        </w:rPr>
        <w:t>Signature of parent/carer/guardian:</w:t>
      </w:r>
      <w:r w:rsidRPr="00DE4215">
        <w:rPr>
          <w:rFonts w:cs="Arial"/>
        </w:rPr>
        <w:tab/>
      </w:r>
      <w:r w:rsidRPr="00DE4215">
        <w:rPr>
          <w:rFonts w:cs="Arial"/>
        </w:rPr>
        <w:tab/>
      </w:r>
      <w:r w:rsidRPr="00DE4215">
        <w:rPr>
          <w:rFonts w:cs="Arial"/>
        </w:rPr>
        <w:tab/>
      </w:r>
      <w:r w:rsidRPr="00DE4215">
        <w:rPr>
          <w:rFonts w:cs="Arial"/>
        </w:rPr>
        <w:tab/>
      </w:r>
      <w:r w:rsidRPr="00DE4215">
        <w:rPr>
          <w:rFonts w:cs="Arial"/>
        </w:rPr>
        <w:tab/>
      </w:r>
      <w:r w:rsidRPr="00DE4215">
        <w:rPr>
          <w:rFonts w:cs="Arial"/>
        </w:rPr>
        <w:tab/>
        <w:t>Date</w:t>
      </w:r>
      <w:r w:rsidRPr="00DE4215">
        <w:rPr>
          <w:rFonts w:cs="Arial"/>
        </w:rPr>
        <w:tab/>
      </w:r>
    </w:p>
    <w:p w:rsidR="004600E6" w:rsidRPr="00DE4215" w:rsidRDefault="004600E6" w:rsidP="004600E6">
      <w:pPr>
        <w:rPr>
          <w:rFonts w:cs="Arial"/>
          <w:i/>
        </w:rPr>
      </w:pPr>
      <w:proofErr w:type="gramStart"/>
      <w:r w:rsidRPr="00DE4215">
        <w:rPr>
          <w:rFonts w:cs="Arial"/>
          <w:i/>
        </w:rPr>
        <w:t>(Required if the patient is a minor and unable to consent to medical treatment or otherwise lacks the capacity to consent).</w:t>
      </w:r>
      <w:proofErr w:type="gramEnd"/>
      <w:r w:rsidRPr="00DE4215">
        <w:rPr>
          <w:rFonts w:cs="Arial"/>
          <w:i/>
        </w:rPr>
        <w:br w:type="page"/>
      </w:r>
    </w:p>
    <w:p w:rsidR="004600E6" w:rsidRPr="00DE4215" w:rsidRDefault="004600E6" w:rsidP="004600E6">
      <w:pPr>
        <w:rPr>
          <w:rFonts w:cs="Arial"/>
          <w:i/>
        </w:rPr>
      </w:pPr>
    </w:p>
    <w:p w:rsidR="004600E6" w:rsidRPr="00197335" w:rsidRDefault="00F8473A" w:rsidP="00197335">
      <w:pPr>
        <w:rPr>
          <w:b/>
        </w:rPr>
      </w:pPr>
      <w:proofErr w:type="spellStart"/>
      <w:r>
        <w:rPr>
          <w:b/>
        </w:rPr>
        <w:t>BLOODSTAR</w:t>
      </w:r>
      <w:proofErr w:type="spellEnd"/>
      <w:r>
        <w:rPr>
          <w:b/>
        </w:rPr>
        <w:t xml:space="preserve"> </w:t>
      </w:r>
      <w:r w:rsidRPr="00197335">
        <w:rPr>
          <w:b/>
        </w:rPr>
        <w:t>–</w:t>
      </w:r>
      <w:r>
        <w:rPr>
          <w:b/>
        </w:rPr>
        <w:t xml:space="preserve"> </w:t>
      </w:r>
      <w:r w:rsidR="004600E6" w:rsidRPr="00DE4215">
        <w:rPr>
          <w:b/>
        </w:rPr>
        <w:t>RECORD OF VERBAL/TELEPHONE PRIVACY CONSENT:</w:t>
      </w:r>
    </w:p>
    <w:p w:rsidR="004600E6" w:rsidRPr="00DE4215" w:rsidRDefault="004600E6" w:rsidP="004600E6">
      <w:pPr>
        <w:keepNext/>
        <w:spacing w:before="240"/>
        <w:jc w:val="both"/>
        <w:rPr>
          <w:rFonts w:cs="Arial"/>
        </w:rPr>
      </w:pPr>
      <w:r w:rsidRPr="00DE4215">
        <w:rPr>
          <w:rFonts w:cs="Arial"/>
        </w:rPr>
        <w:t xml:space="preserve">Declaration: I have supplied a </w:t>
      </w:r>
      <w:proofErr w:type="spellStart"/>
      <w:r w:rsidRPr="00DE4215">
        <w:rPr>
          <w:rFonts w:cs="Arial"/>
        </w:rPr>
        <w:t>BloodSTAR</w:t>
      </w:r>
      <w:proofErr w:type="spellEnd"/>
      <w:r w:rsidRPr="00DE4215">
        <w:rPr>
          <w:rFonts w:cs="Arial"/>
        </w:rPr>
        <w:t xml:space="preserve"> </w:t>
      </w:r>
      <w:r w:rsidR="00B55624">
        <w:rPr>
          <w:rFonts w:cs="Arial"/>
        </w:rPr>
        <w:t>P</w:t>
      </w:r>
      <w:r w:rsidRPr="00DE4215">
        <w:rPr>
          <w:rFonts w:cs="Arial"/>
        </w:rPr>
        <w:t xml:space="preserve">rivacy </w:t>
      </w:r>
      <w:r w:rsidR="00B55624">
        <w:rPr>
          <w:rFonts w:cs="Arial"/>
        </w:rPr>
        <w:t>Statement and</w:t>
      </w:r>
      <w:r w:rsidR="00B55624" w:rsidRPr="00DE4215">
        <w:rPr>
          <w:rFonts w:cs="Arial"/>
        </w:rPr>
        <w:t xml:space="preserve"> </w:t>
      </w:r>
      <w:r w:rsidR="00B55624">
        <w:rPr>
          <w:rFonts w:cs="Arial"/>
        </w:rPr>
        <w:t>N</w:t>
      </w:r>
      <w:r w:rsidRPr="00DE4215">
        <w:rPr>
          <w:rFonts w:cs="Arial"/>
        </w:rPr>
        <w:t xml:space="preserve">otice and </w:t>
      </w:r>
      <w:r w:rsidR="00B55624">
        <w:rPr>
          <w:rFonts w:cs="Arial"/>
        </w:rPr>
        <w:t>P</w:t>
      </w:r>
      <w:r w:rsidRPr="00DE4215">
        <w:rPr>
          <w:rFonts w:cs="Arial"/>
        </w:rPr>
        <w:t xml:space="preserve">atient </w:t>
      </w:r>
      <w:r w:rsidR="00B55624">
        <w:rPr>
          <w:rFonts w:cs="Arial"/>
        </w:rPr>
        <w:t>I</w:t>
      </w:r>
      <w:r w:rsidRPr="00DE4215">
        <w:rPr>
          <w:rFonts w:cs="Arial"/>
        </w:rPr>
        <w:t xml:space="preserve">nformation </w:t>
      </w:r>
      <w:r w:rsidR="00B55624">
        <w:rPr>
          <w:rFonts w:cs="Arial"/>
        </w:rPr>
        <w:t>B</w:t>
      </w:r>
      <w:r w:rsidRPr="00DE4215">
        <w:rPr>
          <w:rFonts w:cs="Arial"/>
        </w:rPr>
        <w:t xml:space="preserve">rochure to the patient (or parent/carer/guardian of the patient if the patient is a minor and unable to consent to medical treatment or otherwise lacks the capacity to consent). </w:t>
      </w:r>
    </w:p>
    <w:p w:rsidR="004600E6" w:rsidRPr="00DE4215" w:rsidRDefault="004600E6" w:rsidP="004600E6">
      <w:pPr>
        <w:keepNext/>
        <w:spacing w:before="240"/>
        <w:jc w:val="both"/>
        <w:rPr>
          <w:rFonts w:cs="Arial"/>
        </w:rPr>
      </w:pPr>
      <w:r w:rsidRPr="00DE4215">
        <w:rPr>
          <w:rFonts w:cs="Arial"/>
        </w:rPr>
        <w:t xml:space="preserve">I believe that the patient (or parent/carer/guardian) understands the purpose, extent and possible </w:t>
      </w:r>
      <w:r>
        <w:rPr>
          <w:rFonts w:cs="Arial"/>
        </w:rPr>
        <w:t>consequences</w:t>
      </w:r>
      <w:r w:rsidRPr="00DE4215">
        <w:rPr>
          <w:rFonts w:cs="Arial"/>
        </w:rPr>
        <w:t xml:space="preserve"> of </w:t>
      </w:r>
      <w:r>
        <w:rPr>
          <w:rFonts w:cs="Arial"/>
        </w:rPr>
        <w:t>giving consent to the collection of their personal and sensitive health information</w:t>
      </w:r>
      <w:r w:rsidRPr="00DE4215">
        <w:rPr>
          <w:rFonts w:cs="Arial"/>
        </w:rPr>
        <w:t>. They are aware of the purpose of the collection of their personal and sensitive</w:t>
      </w:r>
      <w:r>
        <w:rPr>
          <w:rFonts w:cs="Arial"/>
        </w:rPr>
        <w:t xml:space="preserve"> health</w:t>
      </w:r>
      <w:r w:rsidRPr="00DE4215">
        <w:rPr>
          <w:rFonts w:cs="Arial"/>
        </w:rPr>
        <w:t xml:space="preserve"> information and all usual uses and disclosures of that information. </w:t>
      </w:r>
    </w:p>
    <w:p w:rsidR="004600E6" w:rsidRPr="00DE4215" w:rsidRDefault="004600E6" w:rsidP="004600E6">
      <w:pPr>
        <w:keepNext/>
        <w:spacing w:before="240"/>
        <w:jc w:val="both"/>
        <w:rPr>
          <w:rFonts w:cs="Arial"/>
        </w:rPr>
      </w:pPr>
      <w:r w:rsidRPr="00DE4215">
        <w:rPr>
          <w:rFonts w:cs="Arial"/>
        </w:rPr>
        <w:t xml:space="preserve">I confirm that the patient (or parent/carer/guardian) has voluntarily provided express consent to the collection of their personal and sensitive health information into </w:t>
      </w:r>
      <w:proofErr w:type="spellStart"/>
      <w:r w:rsidRPr="00DE4215">
        <w:rPr>
          <w:rFonts w:cs="Arial"/>
        </w:rPr>
        <w:t>BloodSTAR</w:t>
      </w:r>
      <w:proofErr w:type="spellEnd"/>
      <w:r w:rsidRPr="00DE4215">
        <w:rPr>
          <w:rFonts w:cs="Arial"/>
        </w:rPr>
        <w:t xml:space="preserve"> and to the usual uses and disclosures as set out in the </w:t>
      </w:r>
      <w:r w:rsidR="00B55624">
        <w:rPr>
          <w:rFonts w:cs="Arial"/>
        </w:rPr>
        <w:t>P</w:t>
      </w:r>
      <w:r w:rsidRPr="00DE4215">
        <w:rPr>
          <w:rFonts w:cs="Arial"/>
        </w:rPr>
        <w:t xml:space="preserve">rivacy </w:t>
      </w:r>
      <w:r w:rsidR="00B55624">
        <w:rPr>
          <w:rFonts w:cs="Arial"/>
        </w:rPr>
        <w:t>Statement and N</w:t>
      </w:r>
      <w:r w:rsidRPr="00DE4215">
        <w:rPr>
          <w:rFonts w:cs="Arial"/>
        </w:rPr>
        <w:t>otice.</w:t>
      </w:r>
    </w:p>
    <w:p w:rsidR="004600E6" w:rsidRPr="00DE4215" w:rsidRDefault="004600E6" w:rsidP="004600E6">
      <w:pPr>
        <w:spacing w:before="240"/>
        <w:rPr>
          <w:rFonts w:cs="Arial"/>
          <w:lang w:eastAsia="en-AU"/>
        </w:rPr>
      </w:pPr>
    </w:p>
    <w:p w:rsidR="004600E6" w:rsidRPr="00DE4215" w:rsidRDefault="004600E6" w:rsidP="004600E6">
      <w:pPr>
        <w:pBdr>
          <w:bottom w:val="single" w:sz="4" w:space="1" w:color="auto"/>
        </w:pBdr>
        <w:spacing w:before="240"/>
        <w:rPr>
          <w:rFonts w:cs="Arial"/>
          <w:lang w:eastAsia="en-AU"/>
        </w:rPr>
      </w:pPr>
      <w:r w:rsidRPr="00DE4215">
        <w:rPr>
          <w:rFonts w:cs="Arial"/>
          <w:lang w:eastAsia="en-AU"/>
        </w:rPr>
        <w:t>Name and position of clinician obtaining consent:</w:t>
      </w:r>
    </w:p>
    <w:p w:rsidR="004600E6" w:rsidRPr="00DE4215" w:rsidRDefault="004600E6" w:rsidP="004600E6">
      <w:pPr>
        <w:spacing w:before="240"/>
        <w:rPr>
          <w:rFonts w:cs="Arial"/>
          <w:lang w:eastAsia="en-AU"/>
        </w:rPr>
      </w:pPr>
    </w:p>
    <w:p w:rsidR="004600E6" w:rsidRPr="00DE4215" w:rsidRDefault="004600E6" w:rsidP="004600E6">
      <w:pPr>
        <w:pBdr>
          <w:bottom w:val="single" w:sz="4" w:space="1" w:color="auto"/>
        </w:pBdr>
        <w:spacing w:before="240"/>
        <w:rPr>
          <w:rFonts w:cs="Arial"/>
          <w:lang w:eastAsia="en-AU"/>
        </w:rPr>
      </w:pPr>
      <w:r w:rsidRPr="00DE4215">
        <w:rPr>
          <w:rFonts w:cs="Arial"/>
          <w:lang w:eastAsia="en-AU"/>
        </w:rPr>
        <w:t>Signature of clinician obtaining consent:</w:t>
      </w:r>
    </w:p>
    <w:p w:rsidR="004600E6" w:rsidRPr="00DE4215" w:rsidRDefault="004600E6" w:rsidP="004600E6">
      <w:pPr>
        <w:spacing w:after="0"/>
        <w:rPr>
          <w:rFonts w:cs="Arial"/>
          <w:lang w:eastAsia="en-AU"/>
        </w:rPr>
      </w:pPr>
    </w:p>
    <w:p w:rsidR="004600E6" w:rsidRPr="004600E6" w:rsidRDefault="004600E6" w:rsidP="004600E6">
      <w:pPr>
        <w:rPr>
          <w:rFonts w:eastAsia="Dotum" w:cs="Calibri"/>
        </w:rPr>
      </w:pPr>
      <w:r w:rsidRPr="00DE4215">
        <w:rPr>
          <w:lang w:eastAsia="en-AU"/>
        </w:rPr>
        <w:t>Date:</w:t>
      </w:r>
      <w:r w:rsidRPr="00DE4215">
        <w:rPr>
          <w:lang w:eastAsia="en-AU"/>
        </w:rPr>
        <w:tab/>
      </w:r>
      <w:r w:rsidRPr="00DE4215">
        <w:rPr>
          <w:lang w:eastAsia="en-AU"/>
        </w:rPr>
        <w:tab/>
      </w:r>
      <w:r w:rsidRPr="00DE4215">
        <w:rPr>
          <w:lang w:eastAsia="en-AU"/>
        </w:rPr>
        <w:tab/>
      </w:r>
      <w:r w:rsidRPr="00DE4215">
        <w:rPr>
          <w:lang w:eastAsia="en-AU"/>
        </w:rPr>
        <w:tab/>
      </w:r>
      <w:r w:rsidRPr="00DE4215">
        <w:rPr>
          <w:lang w:eastAsia="en-AU"/>
        </w:rPr>
        <w:tab/>
        <w:t xml:space="preserve">Time:   </w:t>
      </w:r>
    </w:p>
    <w:p w:rsidR="004600E6" w:rsidRDefault="004600E6" w:rsidP="004600E6">
      <w:pPr>
        <w:pStyle w:val="Heading2"/>
        <w:numPr>
          <w:ilvl w:val="0"/>
          <w:numId w:val="0"/>
        </w:numPr>
        <w:ind w:left="576"/>
      </w:pPr>
      <w:r>
        <w:br w:type="page"/>
      </w:r>
    </w:p>
    <w:p w:rsidR="004600E6" w:rsidRPr="004600E6" w:rsidRDefault="004600E6" w:rsidP="00681A20"/>
    <w:p w:rsidR="006E2B91" w:rsidRDefault="008A6A29" w:rsidP="004600E6">
      <w:pPr>
        <w:pStyle w:val="Heading2"/>
      </w:pPr>
      <w:bookmarkStart w:id="74" w:name="_Toc434574656"/>
      <w:r>
        <w:t xml:space="preserve">Attachment C </w:t>
      </w:r>
      <w:r w:rsidR="004600E6">
        <w:t>–</w:t>
      </w:r>
      <w:r>
        <w:t xml:space="preserve"> </w:t>
      </w:r>
      <w:r w:rsidR="006E2B91">
        <w:t>User Terms and Conditions</w:t>
      </w:r>
      <w:bookmarkEnd w:id="73"/>
      <w:bookmarkEnd w:id="74"/>
    </w:p>
    <w:p w:rsidR="004600E6" w:rsidRPr="00DE4215" w:rsidRDefault="004600E6" w:rsidP="004600E6">
      <w:pPr>
        <w:spacing w:after="0"/>
        <w:ind w:left="720" w:hanging="720"/>
        <w:jc w:val="center"/>
        <w:outlineLvl w:val="2"/>
        <w:rPr>
          <w:b/>
          <w:color w:val="C00000"/>
        </w:rPr>
      </w:pPr>
      <w:proofErr w:type="spellStart"/>
      <w:r w:rsidRPr="00DE4215">
        <w:rPr>
          <w:b/>
          <w:color w:val="C00000"/>
        </w:rPr>
        <w:t>BloodSTAR</w:t>
      </w:r>
      <w:proofErr w:type="spellEnd"/>
      <w:r w:rsidR="00723DA9">
        <w:rPr>
          <w:b/>
          <w:color w:val="C00000"/>
        </w:rPr>
        <w:t xml:space="preserve"> </w:t>
      </w:r>
      <w:r w:rsidR="00B55624">
        <w:rPr>
          <w:b/>
          <w:color w:val="C00000"/>
        </w:rPr>
        <w:t xml:space="preserve">User </w:t>
      </w:r>
      <w:r w:rsidRPr="00DE4215">
        <w:rPr>
          <w:b/>
          <w:color w:val="C00000"/>
        </w:rPr>
        <w:t>Terms and Conditions</w:t>
      </w:r>
    </w:p>
    <w:p w:rsidR="004600E6" w:rsidRPr="00DE4215" w:rsidRDefault="004600E6" w:rsidP="004600E6">
      <w:pPr>
        <w:numPr>
          <w:ilvl w:val="0"/>
          <w:numId w:val="16"/>
        </w:numPr>
        <w:contextualSpacing/>
        <w:rPr>
          <w:lang w:eastAsia="en-AU"/>
        </w:rPr>
      </w:pPr>
      <w:r w:rsidRPr="00DE4215">
        <w:rPr>
          <w:lang w:eastAsia="en-AU"/>
        </w:rPr>
        <w:t xml:space="preserve">These user terms and conditions are directed at ensuring user validity, access security, data reliability and proper use. Compliance with these the terms and conditions is essential to maintaining the integrity and utility of </w:t>
      </w:r>
      <w:proofErr w:type="spellStart"/>
      <w:r w:rsidRPr="00DE4215">
        <w:rPr>
          <w:lang w:eastAsia="en-AU"/>
        </w:rPr>
        <w:t>BloodSTAR</w:t>
      </w:r>
      <w:proofErr w:type="spellEnd"/>
      <w:r w:rsidRPr="00DE4215">
        <w:rPr>
          <w:lang w:eastAsia="en-AU"/>
        </w:rPr>
        <w:t xml:space="preserve"> and the privacy of patients and other individuals whose information is stored in that system.</w:t>
      </w:r>
    </w:p>
    <w:p w:rsidR="004600E6" w:rsidRPr="00DE4215" w:rsidRDefault="004600E6" w:rsidP="004600E6">
      <w:pPr>
        <w:numPr>
          <w:ilvl w:val="0"/>
          <w:numId w:val="16"/>
        </w:numPr>
        <w:contextualSpacing/>
        <w:rPr>
          <w:lang w:eastAsia="en-AU"/>
        </w:rPr>
      </w:pPr>
      <w:r w:rsidRPr="00DE4215">
        <w:rPr>
          <w:lang w:eastAsia="en-AU"/>
        </w:rPr>
        <w:t xml:space="preserve">These terms and conditions also provide you with information about how the National Blood Authority (NBA) will manage your personal information stored in this system. The full NBA privacy policy can be located at </w:t>
      </w:r>
      <w:hyperlink r:id="rId28" w:history="1">
        <w:r w:rsidRPr="00DE4215">
          <w:rPr>
            <w:color w:val="0000FF"/>
            <w:u w:val="single"/>
            <w:lang w:eastAsia="en-AU"/>
          </w:rPr>
          <w:t>www.blood.gov.au/privacy</w:t>
        </w:r>
      </w:hyperlink>
      <w:r w:rsidRPr="00DE4215">
        <w:rPr>
          <w:lang w:eastAsia="en-AU"/>
        </w:rPr>
        <w:t xml:space="preserve">.  This includes information on how you can complain about the NBA’s management of your personal information. For specific privacy questions email </w:t>
      </w:r>
      <w:hyperlink r:id="rId29" w:history="1">
        <w:r w:rsidRPr="00DE4215">
          <w:rPr>
            <w:color w:val="0000FF"/>
            <w:u w:val="single"/>
            <w:lang w:eastAsia="en-AU"/>
          </w:rPr>
          <w:t>privacy@blood.gov.au</w:t>
        </w:r>
      </w:hyperlink>
      <w:r w:rsidRPr="00DE4215">
        <w:rPr>
          <w:lang w:eastAsia="en-AU"/>
        </w:rPr>
        <w:t xml:space="preserve">. </w:t>
      </w:r>
    </w:p>
    <w:p w:rsidR="004600E6" w:rsidRPr="00DE4215" w:rsidRDefault="004600E6" w:rsidP="004600E6">
      <w:pPr>
        <w:numPr>
          <w:ilvl w:val="0"/>
          <w:numId w:val="16"/>
        </w:numPr>
        <w:contextualSpacing/>
        <w:rPr>
          <w:lang w:eastAsia="en-AU"/>
        </w:rPr>
      </w:pPr>
      <w:proofErr w:type="spellStart"/>
      <w:r w:rsidRPr="00DE4215">
        <w:rPr>
          <w:lang w:eastAsia="en-AU"/>
        </w:rPr>
        <w:t>BloodSTAR</w:t>
      </w:r>
      <w:proofErr w:type="spellEnd"/>
      <w:r w:rsidRPr="00DE4215">
        <w:rPr>
          <w:lang w:eastAsia="en-AU"/>
        </w:rPr>
        <w:t xml:space="preserve"> Access Request Form requires you to specify one or more roles, which define your </w:t>
      </w:r>
      <w:proofErr w:type="spellStart"/>
      <w:r w:rsidRPr="00DE4215">
        <w:rPr>
          <w:lang w:eastAsia="en-AU"/>
        </w:rPr>
        <w:t>BloodSTAR</w:t>
      </w:r>
      <w:proofErr w:type="spellEnd"/>
      <w:r w:rsidRPr="00DE4215">
        <w:rPr>
          <w:lang w:eastAsia="en-AU"/>
        </w:rPr>
        <w:t xml:space="preserve"> user category. You must promptly notify the NBA (by email to </w:t>
      </w:r>
      <w:hyperlink r:id="rId30" w:history="1">
        <w:r w:rsidRPr="00DE4215">
          <w:rPr>
            <w:color w:val="0000FF"/>
            <w:u w:val="single"/>
            <w:lang w:eastAsia="en-AU"/>
          </w:rPr>
          <w:t>support@blood.gov.au</w:t>
        </w:r>
      </w:hyperlink>
      <w:r w:rsidRPr="00DE4215">
        <w:rPr>
          <w:color w:val="0000FF"/>
          <w:u w:val="single"/>
          <w:lang w:eastAsia="en-AU"/>
        </w:rPr>
        <w:t>)</w:t>
      </w:r>
      <w:r w:rsidRPr="00DE4215">
        <w:rPr>
          <w:lang w:eastAsia="en-AU"/>
        </w:rPr>
        <w:t xml:space="preserve"> of any changes to the roles you have specified on that form.</w:t>
      </w:r>
    </w:p>
    <w:p w:rsidR="004600E6" w:rsidRPr="00DE4215" w:rsidRDefault="004600E6" w:rsidP="004600E6">
      <w:pPr>
        <w:numPr>
          <w:ilvl w:val="0"/>
          <w:numId w:val="16"/>
        </w:numPr>
        <w:contextualSpacing/>
        <w:rPr>
          <w:lang w:eastAsia="en-AU"/>
        </w:rPr>
      </w:pPr>
      <w:r w:rsidRPr="00DE4215">
        <w:rPr>
          <w:lang w:eastAsia="en-AU"/>
        </w:rPr>
        <w:t xml:space="preserve">As a </w:t>
      </w:r>
      <w:proofErr w:type="spellStart"/>
      <w:r w:rsidRPr="00DE4215">
        <w:rPr>
          <w:lang w:eastAsia="en-AU"/>
        </w:rPr>
        <w:t>BloodSTAR</w:t>
      </w:r>
      <w:proofErr w:type="spellEnd"/>
      <w:r w:rsidRPr="00DE4215">
        <w:rPr>
          <w:lang w:eastAsia="en-AU"/>
        </w:rPr>
        <w:t xml:space="preserve"> user you will be allocated with a unique username and password to log on to the system. You must keep these logon details secure and not disclose them to any other person (other than to authorised </w:t>
      </w:r>
      <w:proofErr w:type="spellStart"/>
      <w:r w:rsidRPr="00DE4215">
        <w:rPr>
          <w:lang w:eastAsia="en-AU"/>
        </w:rPr>
        <w:t>BloodSTAR</w:t>
      </w:r>
      <w:proofErr w:type="spellEnd"/>
      <w:r w:rsidRPr="00DE4215">
        <w:rPr>
          <w:lang w:eastAsia="en-AU"/>
        </w:rPr>
        <w:t xml:space="preserve"> support personnel for proper system or user administration purposes) at any time.</w:t>
      </w:r>
    </w:p>
    <w:p w:rsidR="004600E6" w:rsidRPr="00DE4215" w:rsidRDefault="004600E6" w:rsidP="004600E6">
      <w:pPr>
        <w:numPr>
          <w:ilvl w:val="0"/>
          <w:numId w:val="16"/>
        </w:numPr>
        <w:contextualSpacing/>
        <w:rPr>
          <w:lang w:eastAsia="en-AU"/>
        </w:rPr>
      </w:pPr>
      <w:r w:rsidRPr="00DE4215">
        <w:rPr>
          <w:lang w:eastAsia="en-AU"/>
        </w:rPr>
        <w:t xml:space="preserve">Each category of </w:t>
      </w:r>
      <w:proofErr w:type="spellStart"/>
      <w:r w:rsidRPr="00DE4215">
        <w:rPr>
          <w:lang w:eastAsia="en-AU"/>
        </w:rPr>
        <w:t>BloodSTAR</w:t>
      </w:r>
      <w:proofErr w:type="spellEnd"/>
      <w:r w:rsidRPr="00DE4215">
        <w:rPr>
          <w:lang w:eastAsia="en-AU"/>
        </w:rPr>
        <w:t xml:space="preserve"> user is authorised to access and use </w:t>
      </w:r>
      <w:proofErr w:type="spellStart"/>
      <w:r w:rsidRPr="00DE4215">
        <w:rPr>
          <w:lang w:eastAsia="en-AU"/>
        </w:rPr>
        <w:t>BloodSTAR</w:t>
      </w:r>
      <w:proofErr w:type="spellEnd"/>
      <w:r w:rsidRPr="00DE4215">
        <w:rPr>
          <w:lang w:eastAsia="en-AU"/>
        </w:rPr>
        <w:t xml:space="preserve"> for certain specified purposes only. You must not access or use </w:t>
      </w:r>
      <w:proofErr w:type="spellStart"/>
      <w:r w:rsidRPr="00DE4215">
        <w:rPr>
          <w:lang w:eastAsia="en-AU"/>
        </w:rPr>
        <w:t>BloodSTAR</w:t>
      </w:r>
      <w:proofErr w:type="spellEnd"/>
      <w:r w:rsidRPr="00DE4215">
        <w:rPr>
          <w:lang w:eastAsia="en-AU"/>
        </w:rPr>
        <w:t xml:space="preserve"> data for any purpose except the purposes to which you are authorised and which are required by your job.</w:t>
      </w:r>
    </w:p>
    <w:p w:rsidR="004600E6" w:rsidRPr="00DE4215" w:rsidRDefault="004600E6" w:rsidP="004600E6">
      <w:pPr>
        <w:numPr>
          <w:ilvl w:val="0"/>
          <w:numId w:val="16"/>
        </w:numPr>
        <w:contextualSpacing/>
        <w:rPr>
          <w:lang w:eastAsia="en-AU"/>
        </w:rPr>
      </w:pPr>
      <w:r w:rsidRPr="00DE4215">
        <w:rPr>
          <w:lang w:eastAsia="en-AU"/>
        </w:rPr>
        <w:t xml:space="preserve">As a </w:t>
      </w:r>
      <w:proofErr w:type="spellStart"/>
      <w:r w:rsidRPr="00DE4215">
        <w:rPr>
          <w:lang w:eastAsia="en-AU"/>
        </w:rPr>
        <w:t>BloodSTAR</w:t>
      </w:r>
      <w:proofErr w:type="spellEnd"/>
      <w:r w:rsidRPr="00DE4215">
        <w:rPr>
          <w:lang w:eastAsia="en-AU"/>
        </w:rPr>
        <w:t xml:space="preserve"> user, you are required to comply with these terms and conditions, any instructions issued for the proper use of </w:t>
      </w:r>
      <w:proofErr w:type="spellStart"/>
      <w:r w:rsidRPr="00DE4215">
        <w:rPr>
          <w:lang w:eastAsia="en-AU"/>
        </w:rPr>
        <w:t>BloodSTAR</w:t>
      </w:r>
      <w:proofErr w:type="spellEnd"/>
      <w:r w:rsidRPr="00DE4215">
        <w:rPr>
          <w:lang w:eastAsia="en-AU"/>
        </w:rPr>
        <w:t xml:space="preserve">, procedures associated with the use of </w:t>
      </w:r>
      <w:proofErr w:type="spellStart"/>
      <w:r w:rsidRPr="00DE4215">
        <w:rPr>
          <w:lang w:eastAsia="en-AU"/>
        </w:rPr>
        <w:t>BloodSTAR</w:t>
      </w:r>
      <w:proofErr w:type="spellEnd"/>
      <w:r w:rsidRPr="00DE4215">
        <w:rPr>
          <w:lang w:eastAsia="en-AU"/>
        </w:rPr>
        <w:t xml:space="preserve">, and any protocols relating to the collection, use, disclosure and protection of patient personal information notified to you by the NBA at any time. In particular, you must comply with requirements (as applicable) to: </w:t>
      </w:r>
    </w:p>
    <w:p w:rsidR="004600E6" w:rsidRPr="00DE4215" w:rsidRDefault="004600E6" w:rsidP="004600E6">
      <w:pPr>
        <w:numPr>
          <w:ilvl w:val="0"/>
          <w:numId w:val="17"/>
        </w:numPr>
        <w:contextualSpacing/>
        <w:rPr>
          <w:lang w:eastAsia="en-AU"/>
        </w:rPr>
      </w:pPr>
      <w:r w:rsidRPr="00DE4215">
        <w:rPr>
          <w:lang w:eastAsia="en-AU"/>
        </w:rPr>
        <w:t>correct entry of data;</w:t>
      </w:r>
    </w:p>
    <w:p w:rsidR="004600E6" w:rsidRPr="00DE4215" w:rsidRDefault="004600E6" w:rsidP="004600E6">
      <w:pPr>
        <w:numPr>
          <w:ilvl w:val="0"/>
          <w:numId w:val="17"/>
        </w:numPr>
        <w:contextualSpacing/>
        <w:rPr>
          <w:lang w:eastAsia="en-AU"/>
        </w:rPr>
      </w:pPr>
      <w:r w:rsidRPr="00DE4215">
        <w:rPr>
          <w:lang w:eastAsia="en-AU"/>
        </w:rPr>
        <w:t>take all reasonable steps to ensure that a patient record is not duplicated where a record already exists about that individual;</w:t>
      </w:r>
    </w:p>
    <w:p w:rsidR="004600E6" w:rsidRDefault="004600E6" w:rsidP="004600E6">
      <w:pPr>
        <w:numPr>
          <w:ilvl w:val="0"/>
          <w:numId w:val="17"/>
        </w:numPr>
        <w:contextualSpacing/>
        <w:rPr>
          <w:lang w:eastAsia="en-AU"/>
        </w:rPr>
      </w:pPr>
      <w:r w:rsidRPr="00DE4215">
        <w:rPr>
          <w:lang w:eastAsia="en-AU"/>
        </w:rPr>
        <w:t xml:space="preserve">notification of apparent </w:t>
      </w:r>
      <w:proofErr w:type="spellStart"/>
      <w:r w:rsidRPr="00DE4215">
        <w:rPr>
          <w:lang w:eastAsia="en-AU"/>
        </w:rPr>
        <w:t>BloodSTAR</w:t>
      </w:r>
      <w:proofErr w:type="spellEnd"/>
      <w:r w:rsidRPr="00DE4215">
        <w:rPr>
          <w:lang w:eastAsia="en-AU"/>
        </w:rPr>
        <w:t xml:space="preserve"> problems to </w:t>
      </w:r>
      <w:hyperlink r:id="rId31" w:history="1">
        <w:r w:rsidRPr="00DE4215">
          <w:rPr>
            <w:color w:val="0000FF"/>
            <w:u w:val="single"/>
            <w:lang w:eastAsia="en-AU"/>
          </w:rPr>
          <w:t>support@blood.gov.au</w:t>
        </w:r>
      </w:hyperlink>
      <w:r w:rsidRPr="00DE4215">
        <w:rPr>
          <w:lang w:eastAsia="en-AU"/>
        </w:rPr>
        <w:t xml:space="preserve">; </w:t>
      </w:r>
    </w:p>
    <w:p w:rsidR="004600E6" w:rsidRPr="00DE4215" w:rsidRDefault="004600E6" w:rsidP="004600E6">
      <w:pPr>
        <w:numPr>
          <w:ilvl w:val="0"/>
          <w:numId w:val="17"/>
        </w:numPr>
        <w:contextualSpacing/>
        <w:rPr>
          <w:lang w:eastAsia="en-AU"/>
        </w:rPr>
      </w:pPr>
      <w:r>
        <w:rPr>
          <w:lang w:eastAsia="en-AU"/>
        </w:rPr>
        <w:t xml:space="preserve">auditing of the collection, use or disclosure of information collected in </w:t>
      </w:r>
      <w:proofErr w:type="spellStart"/>
      <w:r>
        <w:rPr>
          <w:lang w:eastAsia="en-AU"/>
        </w:rPr>
        <w:t>BloodSTAR</w:t>
      </w:r>
      <w:proofErr w:type="spellEnd"/>
      <w:r>
        <w:rPr>
          <w:lang w:eastAsia="en-AU"/>
        </w:rPr>
        <w:t xml:space="preserve">, conducted by or on behalf of the NBA; </w:t>
      </w:r>
      <w:r w:rsidRPr="00DE4215">
        <w:rPr>
          <w:lang w:eastAsia="en-AU"/>
        </w:rPr>
        <w:t>and</w:t>
      </w:r>
    </w:p>
    <w:p w:rsidR="004600E6" w:rsidRPr="00DE4215" w:rsidRDefault="004600E6" w:rsidP="004600E6">
      <w:pPr>
        <w:numPr>
          <w:ilvl w:val="0"/>
          <w:numId w:val="17"/>
        </w:numPr>
        <w:contextualSpacing/>
        <w:rPr>
          <w:lang w:eastAsia="en-AU"/>
        </w:rPr>
      </w:pPr>
      <w:proofErr w:type="gramStart"/>
      <w:r w:rsidRPr="00DE4215">
        <w:rPr>
          <w:lang w:eastAsia="en-AU"/>
        </w:rPr>
        <w:t>ensuring</w:t>
      </w:r>
      <w:proofErr w:type="gramEnd"/>
      <w:r w:rsidRPr="00DE4215">
        <w:rPr>
          <w:lang w:eastAsia="en-AU"/>
        </w:rPr>
        <w:t xml:space="preserve"> data security when providing patients with access, upon request, to their personal information for data correction purposes.</w:t>
      </w:r>
    </w:p>
    <w:p w:rsidR="004600E6" w:rsidRPr="00DE4215" w:rsidRDefault="004600E6" w:rsidP="004600E6">
      <w:pPr>
        <w:numPr>
          <w:ilvl w:val="0"/>
          <w:numId w:val="16"/>
        </w:numPr>
        <w:contextualSpacing/>
        <w:rPr>
          <w:lang w:eastAsia="en-AU"/>
        </w:rPr>
      </w:pPr>
      <w:r w:rsidRPr="00DE4215">
        <w:rPr>
          <w:lang w:eastAsia="en-AU"/>
        </w:rPr>
        <w:t xml:space="preserve">If you fail to comply then your access to </w:t>
      </w:r>
      <w:proofErr w:type="spellStart"/>
      <w:r w:rsidRPr="00DE4215">
        <w:rPr>
          <w:lang w:eastAsia="en-AU"/>
        </w:rPr>
        <w:t>BloodSTAR</w:t>
      </w:r>
      <w:proofErr w:type="spellEnd"/>
      <w:r w:rsidRPr="00DE4215">
        <w:rPr>
          <w:lang w:eastAsia="en-AU"/>
        </w:rPr>
        <w:t xml:space="preserve"> may be revoked and your supervisor will be notified.</w:t>
      </w:r>
    </w:p>
    <w:p w:rsidR="004600E6" w:rsidRPr="00DE4215" w:rsidRDefault="004600E6" w:rsidP="004600E6">
      <w:pPr>
        <w:numPr>
          <w:ilvl w:val="0"/>
          <w:numId w:val="16"/>
        </w:numPr>
        <w:contextualSpacing/>
        <w:rPr>
          <w:lang w:eastAsia="en-AU"/>
        </w:rPr>
      </w:pPr>
      <w:r w:rsidRPr="00DE4215">
        <w:rPr>
          <w:lang w:eastAsia="en-AU"/>
        </w:rPr>
        <w:t xml:space="preserve">The personal information you are required to complete on </w:t>
      </w:r>
      <w:proofErr w:type="spellStart"/>
      <w:r w:rsidRPr="00DE4215">
        <w:rPr>
          <w:lang w:eastAsia="en-AU"/>
        </w:rPr>
        <w:t>BloodSTAR</w:t>
      </w:r>
      <w:proofErr w:type="spellEnd"/>
      <w:r w:rsidRPr="00DE4215">
        <w:rPr>
          <w:lang w:eastAsia="en-AU"/>
        </w:rPr>
        <w:t xml:space="preserve"> User Access Request Form is collected by the NBA for the purpose of assessing and approving your user status and ongoing management of your </w:t>
      </w:r>
      <w:proofErr w:type="spellStart"/>
      <w:r w:rsidRPr="00DE4215">
        <w:rPr>
          <w:lang w:eastAsia="en-AU"/>
        </w:rPr>
        <w:t>BloodSTAR</w:t>
      </w:r>
      <w:proofErr w:type="spellEnd"/>
      <w:r w:rsidRPr="00DE4215">
        <w:rPr>
          <w:lang w:eastAsia="en-AU"/>
        </w:rPr>
        <w:t xml:space="preserve"> user account. As a user of </w:t>
      </w:r>
      <w:proofErr w:type="spellStart"/>
      <w:r w:rsidRPr="00DE4215">
        <w:rPr>
          <w:lang w:eastAsia="en-AU"/>
        </w:rPr>
        <w:t>BloodSTAR</w:t>
      </w:r>
      <w:proofErr w:type="spellEnd"/>
      <w:r w:rsidRPr="00DE4215">
        <w:rPr>
          <w:lang w:eastAsia="en-AU"/>
        </w:rPr>
        <w:t xml:space="preserve"> you will receive regular updates about </w:t>
      </w:r>
      <w:proofErr w:type="spellStart"/>
      <w:r w:rsidRPr="00DE4215">
        <w:rPr>
          <w:lang w:eastAsia="en-AU"/>
        </w:rPr>
        <w:t>BloodSTAR</w:t>
      </w:r>
      <w:proofErr w:type="spellEnd"/>
      <w:r w:rsidRPr="00DE4215">
        <w:rPr>
          <w:lang w:eastAsia="en-AU"/>
        </w:rPr>
        <w:t xml:space="preserve"> to ensure you are kept up to date on the correct operation of the system, any changes or outages that may impact on your use of </w:t>
      </w:r>
      <w:proofErr w:type="spellStart"/>
      <w:r w:rsidRPr="00DE4215">
        <w:rPr>
          <w:lang w:eastAsia="en-AU"/>
        </w:rPr>
        <w:t>BloodSTAR</w:t>
      </w:r>
      <w:proofErr w:type="spellEnd"/>
      <w:r w:rsidRPr="00DE4215">
        <w:rPr>
          <w:lang w:eastAsia="en-AU"/>
        </w:rPr>
        <w:t xml:space="preserve">. </w:t>
      </w:r>
      <w:proofErr w:type="spellStart"/>
      <w:r w:rsidRPr="00DE4215">
        <w:rPr>
          <w:lang w:eastAsia="en-AU"/>
        </w:rPr>
        <w:t>BloodSTAR</w:t>
      </w:r>
      <w:proofErr w:type="spellEnd"/>
      <w:r w:rsidRPr="00DE4215">
        <w:rPr>
          <w:lang w:eastAsia="en-AU"/>
        </w:rPr>
        <w:t xml:space="preserve"> includes an inbuilt audit log which records when a user logs on, and views or </w:t>
      </w:r>
      <w:r w:rsidRPr="00DE4215">
        <w:rPr>
          <w:lang w:eastAsia="en-AU"/>
        </w:rPr>
        <w:lastRenderedPageBreak/>
        <w:t xml:space="preserve">changes to data. This assists validation of changes when accuracy is disputed and enables monitoring of appropriateness of access and use.  As your personal information will be managed in accordance with the </w:t>
      </w:r>
      <w:r w:rsidRPr="00DE4215">
        <w:rPr>
          <w:i/>
          <w:lang w:eastAsia="en-AU"/>
        </w:rPr>
        <w:t>Privacy Act 1988</w:t>
      </w:r>
      <w:r w:rsidRPr="00DE4215">
        <w:rPr>
          <w:lang w:eastAsia="en-AU"/>
        </w:rPr>
        <w:t xml:space="preserve"> it will not be provided to any other person or for any other purpose without your consent (unless authorised by that Act). </w:t>
      </w:r>
    </w:p>
    <w:p w:rsidR="004600E6" w:rsidRPr="00DE4215" w:rsidRDefault="004600E6" w:rsidP="004600E6">
      <w:pPr>
        <w:numPr>
          <w:ilvl w:val="0"/>
          <w:numId w:val="16"/>
        </w:numPr>
        <w:contextualSpacing/>
        <w:rPr>
          <w:lang w:eastAsia="en-AU"/>
        </w:rPr>
      </w:pPr>
      <w:r w:rsidRPr="00DE4215">
        <w:rPr>
          <w:lang w:eastAsia="en-AU"/>
        </w:rPr>
        <w:t xml:space="preserve">The information you provide in your </w:t>
      </w:r>
      <w:proofErr w:type="spellStart"/>
      <w:r w:rsidRPr="00DE4215">
        <w:rPr>
          <w:lang w:eastAsia="en-AU"/>
        </w:rPr>
        <w:t>BloodSTAR</w:t>
      </w:r>
      <w:proofErr w:type="spellEnd"/>
      <w:r w:rsidRPr="00DE4215">
        <w:rPr>
          <w:lang w:eastAsia="en-AU"/>
        </w:rPr>
        <w:t xml:space="preserve"> User Access Request Form, and any information you subsequently provide concerning your </w:t>
      </w:r>
      <w:proofErr w:type="spellStart"/>
      <w:r w:rsidRPr="00DE4215">
        <w:rPr>
          <w:lang w:eastAsia="en-AU"/>
        </w:rPr>
        <w:t>BloodSTAR</w:t>
      </w:r>
      <w:proofErr w:type="spellEnd"/>
      <w:r w:rsidRPr="00DE4215">
        <w:rPr>
          <w:lang w:eastAsia="en-AU"/>
        </w:rPr>
        <w:t xml:space="preserve"> User status, must be true and correct to the best of your knowledge at the time the information is provided. The giving of false and misleading information to a Commonwealth entity such as the NBA is a serious offence under Division 137.1 of the </w:t>
      </w:r>
      <w:r w:rsidRPr="00DE4215">
        <w:rPr>
          <w:i/>
          <w:lang w:eastAsia="en-AU"/>
        </w:rPr>
        <w:t>Criminal Code 1995</w:t>
      </w:r>
      <w:r w:rsidRPr="00DE4215">
        <w:rPr>
          <w:lang w:eastAsia="en-AU"/>
        </w:rPr>
        <w:t xml:space="preserve"> (</w:t>
      </w:r>
      <w:proofErr w:type="spellStart"/>
      <w:r w:rsidRPr="00DE4215">
        <w:rPr>
          <w:lang w:eastAsia="en-AU"/>
        </w:rPr>
        <w:t>Cth</w:t>
      </w:r>
      <w:proofErr w:type="spellEnd"/>
      <w:r w:rsidRPr="00DE4215">
        <w:rPr>
          <w:lang w:eastAsia="en-AU"/>
        </w:rPr>
        <w:t>).</w:t>
      </w:r>
    </w:p>
    <w:p w:rsidR="008A6A29" w:rsidRDefault="008A6A29" w:rsidP="00C23C6D">
      <w:pPr>
        <w:spacing w:after="0"/>
        <w:ind w:left="360"/>
        <w:jc w:val="center"/>
        <w:rPr>
          <w:rFonts w:ascii="Verdana" w:eastAsia="Times New Roman" w:hAnsi="Verdana"/>
          <w:color w:val="000000"/>
          <w:sz w:val="20"/>
          <w:szCs w:val="20"/>
        </w:rPr>
        <w:sectPr w:rsidR="008A6A29" w:rsidSect="0087042C">
          <w:pgSz w:w="11906" w:h="16838"/>
          <w:pgMar w:top="1440" w:right="1440" w:bottom="1440" w:left="1440" w:header="708" w:footer="708" w:gutter="0"/>
          <w:cols w:space="708"/>
          <w:titlePg/>
          <w:docGrid w:linePitch="360"/>
        </w:sectPr>
      </w:pPr>
    </w:p>
    <w:p w:rsidR="00191025" w:rsidRDefault="001519D5" w:rsidP="00657300">
      <w:pPr>
        <w:pStyle w:val="Heading2"/>
      </w:pPr>
      <w:bookmarkStart w:id="75" w:name="_Ref413167020"/>
      <w:bookmarkStart w:id="76" w:name="_Toc434574657"/>
      <w:r>
        <w:lastRenderedPageBreak/>
        <w:t xml:space="preserve">Attachment D </w:t>
      </w:r>
      <w:r w:rsidR="00462417">
        <w:t>–</w:t>
      </w:r>
      <w:r>
        <w:t xml:space="preserve"> </w:t>
      </w:r>
      <w:r w:rsidR="008A6A29" w:rsidRPr="001519D5">
        <w:t>Patient Record Data Dictionary</w:t>
      </w:r>
      <w:bookmarkEnd w:id="75"/>
      <w:bookmarkEnd w:id="76"/>
    </w:p>
    <w:p w:rsidR="00817CDC" w:rsidRDefault="00817CDC" w:rsidP="00D2562E">
      <w:pPr>
        <w:pStyle w:val="Heading3"/>
      </w:pPr>
      <w:r>
        <w:t>Purpose</w:t>
      </w:r>
    </w:p>
    <w:p w:rsidR="00817CDC" w:rsidRPr="003830BC" w:rsidRDefault="00817CDC" w:rsidP="00817CDC">
      <w:r>
        <w:t xml:space="preserve">The purpose of this document is to describe the minimum set of </w:t>
      </w:r>
      <w:proofErr w:type="spellStart"/>
      <w:r w:rsidR="00D207C9">
        <w:t>BloodSTAR</w:t>
      </w:r>
      <w:proofErr w:type="spellEnd"/>
      <w:r w:rsidR="00D207C9">
        <w:t xml:space="preserve"> </w:t>
      </w:r>
      <w:r>
        <w:t xml:space="preserve">data elements required to underpin the </w:t>
      </w:r>
      <w:r w:rsidRPr="009D655D">
        <w:rPr>
          <w:i/>
        </w:rPr>
        <w:t>“Immunoglobulin (Ig) Governance: National Policy: Access to government funded Ig products”</w:t>
      </w:r>
      <w:r w:rsidRPr="003830BC">
        <w:t xml:space="preserve">. </w:t>
      </w:r>
      <w:r>
        <w:t xml:space="preserve">It is designed to be read in conjunction with the </w:t>
      </w:r>
      <w:hyperlink r:id="rId32" w:history="1">
        <w:r w:rsidRPr="003830BC">
          <w:rPr>
            <w:rStyle w:val="Hyperlink"/>
          </w:rPr>
          <w:t>Ig System High Level Design</w:t>
        </w:r>
      </w:hyperlink>
      <w:r>
        <w:t xml:space="preserve"> document</w:t>
      </w:r>
      <w:r w:rsidR="00D207C9">
        <w:t xml:space="preserve">, the original documentation developed to describe </w:t>
      </w:r>
      <w:proofErr w:type="spellStart"/>
      <w:r w:rsidR="00D207C9">
        <w:t>BloodSTAR</w:t>
      </w:r>
      <w:proofErr w:type="spellEnd"/>
      <w:r w:rsidR="00D207C9">
        <w:t xml:space="preserve"> capability,</w:t>
      </w:r>
      <w:r>
        <w:t xml:space="preserve"> and functional specifications.  It will evolve as the functional specifications are written for each area of capability that is in scope for </w:t>
      </w:r>
      <w:proofErr w:type="spellStart"/>
      <w:r w:rsidR="001D735F">
        <w:t>BloodSTAR</w:t>
      </w:r>
      <w:proofErr w:type="spellEnd"/>
      <w:r>
        <w:t>.</w:t>
      </w:r>
    </w:p>
    <w:p w:rsidR="00817CDC" w:rsidRDefault="00817CDC" w:rsidP="00817CDC">
      <w:pPr>
        <w:tabs>
          <w:tab w:val="left" w:pos="8341"/>
        </w:tabs>
      </w:pPr>
      <w:r>
        <w:t xml:space="preserve">Note that where </w:t>
      </w:r>
      <w:proofErr w:type="spellStart"/>
      <w:r>
        <w:t>LOV</w:t>
      </w:r>
      <w:proofErr w:type="spellEnd"/>
      <w:r>
        <w:t xml:space="preserve"> appears in the ‘Type’ column of the following tables, it means ‘List of Values’, which are the values that will be displayed in drop down lists for the corresponding field name.  Use of </w:t>
      </w:r>
      <w:proofErr w:type="spellStart"/>
      <w:r>
        <w:t>LOVs</w:t>
      </w:r>
      <w:proofErr w:type="spellEnd"/>
      <w:r>
        <w:t xml:space="preserve"> improves data integrity and provides a sound basis for analysis.  In some circumstances data elements that have a type of ‘Text’ may be converted to </w:t>
      </w:r>
      <w:proofErr w:type="spellStart"/>
      <w:r>
        <w:t>LOVs</w:t>
      </w:r>
      <w:proofErr w:type="spellEnd"/>
      <w:r>
        <w:t xml:space="preserve"> where possible to improve the data analysis potential.</w:t>
      </w:r>
    </w:p>
    <w:p w:rsidR="00817CDC" w:rsidRDefault="00817CDC" w:rsidP="00D2562E">
      <w:pPr>
        <w:pStyle w:val="Heading3"/>
      </w:pPr>
      <w:r>
        <w:t>Privacy Assessment</w:t>
      </w:r>
    </w:p>
    <w:p w:rsidR="00817CDC" w:rsidRDefault="00817CDC" w:rsidP="00817CDC">
      <w:pPr>
        <w:tabs>
          <w:tab w:val="left" w:pos="8341"/>
        </w:tabs>
      </w:pPr>
      <w:r>
        <w:t xml:space="preserve">In addition to informing development of </w:t>
      </w:r>
      <w:proofErr w:type="spellStart"/>
      <w:r w:rsidR="001D735F">
        <w:t>BloodSTAR</w:t>
      </w:r>
      <w:proofErr w:type="spellEnd"/>
      <w:r>
        <w:t xml:space="preserve">, this Data Dictionary will be used to aid in the assessment of </w:t>
      </w:r>
      <w:proofErr w:type="spellStart"/>
      <w:r w:rsidR="001D735F">
        <w:t>BloodSTAR</w:t>
      </w:r>
      <w:proofErr w:type="spellEnd"/>
      <w:r>
        <w:t xml:space="preserve"> against the Australian Privacy Principles (</w:t>
      </w:r>
      <w:proofErr w:type="spellStart"/>
      <w:r>
        <w:t>APPs</w:t>
      </w:r>
      <w:proofErr w:type="spellEnd"/>
      <w:r>
        <w:t xml:space="preserve">) in the </w:t>
      </w:r>
      <w:r>
        <w:rPr>
          <w:i/>
        </w:rPr>
        <w:t xml:space="preserve">Privacy Act 1988 </w:t>
      </w:r>
      <w:r>
        <w:t>(</w:t>
      </w:r>
      <w:proofErr w:type="spellStart"/>
      <w:r>
        <w:t>Cth</w:t>
      </w:r>
      <w:proofErr w:type="spellEnd"/>
      <w:r>
        <w:t xml:space="preserve">). Where relevant, the Data Dictionary may also assist in the consideration of other more stringent privacy or associated requirements that apply at a </w:t>
      </w:r>
      <w:r w:rsidR="00913AFC">
        <w:t>state or t</w:t>
      </w:r>
      <w:r>
        <w:t xml:space="preserve">erritory level. This may include any special regulations for cross border data flow and any particular issues raised by jurisdictions for consideration that are relevant but that may fall outside of general privacy laws (e.g.: doctor-patient confidentiality concerns). H It is important to note that </w:t>
      </w:r>
      <w:proofErr w:type="spellStart"/>
      <w:r w:rsidR="001D735F">
        <w:t>BloodSTAR</w:t>
      </w:r>
      <w:proofErr w:type="spellEnd"/>
      <w:r>
        <w:t xml:space="preserve"> is being approached on the basis that express consent of each individual patient will be needed before personal information is collected and included in the system.</w:t>
      </w:r>
    </w:p>
    <w:p w:rsidR="00817CDC" w:rsidRDefault="00817CDC" w:rsidP="00817CDC">
      <w:pPr>
        <w:tabs>
          <w:tab w:val="left" w:pos="8341"/>
        </w:tabs>
      </w:pPr>
      <w:r>
        <w:t xml:space="preserve">In particular, the Data Dictionary will assist with assessing compliance against APP 1 (open and transparent management of personal information), APP 2 (anonymity and pseudonymity), APP 3 (collection of personal information), APP 5 (notification of collection), APP 6 (use or disclosure of personal information), APP 9 (adoption, use or disclosure of government related identifiers), </w:t>
      </w:r>
      <w:proofErr w:type="gramStart"/>
      <w:r>
        <w:t>APP</w:t>
      </w:r>
      <w:proofErr w:type="gramEnd"/>
      <w:r>
        <w:t xml:space="preserve"> 10 (quality of personal information). The user security matrix, the systems design itself, governance for the system, and physical security will aid in meeting the requirements of APP 11 (security of personal information), APP 12 (access for an individual to their personal information) and APP 13 (correction of personal information). Given the nature of </w:t>
      </w:r>
      <w:proofErr w:type="spellStart"/>
      <w:r w:rsidR="001D735F">
        <w:t>BloodSTAR</w:t>
      </w:r>
      <w:proofErr w:type="spellEnd"/>
      <w:r>
        <w:t xml:space="preserve"> and its design there is very limited scope for obtaining unsolicited information from individuals. Therefore, although APP 4 (dealing with unsolicited information) will be considered it is unlikely to pose any specific risk for this project. APP 7 and APP 8 are not likely to be relevant to </w:t>
      </w:r>
      <w:proofErr w:type="spellStart"/>
      <w:r w:rsidR="001D735F">
        <w:t>BloodSTAR</w:t>
      </w:r>
      <w:proofErr w:type="spellEnd"/>
      <w:r>
        <w:t>.</w:t>
      </w:r>
    </w:p>
    <w:p w:rsidR="00817CDC" w:rsidRDefault="00817CDC" w:rsidP="00817CDC">
      <w:pPr>
        <w:tabs>
          <w:tab w:val="left" w:pos="8341"/>
        </w:tabs>
      </w:pPr>
      <w:r>
        <w:t xml:space="preserve">The column headers shown in Blue in the following tables, “Primary Purpose for collection” and “Secondary purpose for collection” will be populated by the Ig Governance team.  Once populated, NBA’s legal counsel will consider whether the collection of the proposed fields meets the legal requirement of “necessity” of collection at the Commonwealth level. Note that a collection will occur at the hospital level, by the NBA as custodian of the system, and by </w:t>
      </w:r>
      <w:r>
        <w:lastRenderedPageBreak/>
        <w:t xml:space="preserve">other users of </w:t>
      </w:r>
      <w:proofErr w:type="spellStart"/>
      <w:r w:rsidR="001D735F">
        <w:t>BloodSTAR</w:t>
      </w:r>
      <w:proofErr w:type="spellEnd"/>
      <w:r>
        <w:t xml:space="preserve"> that access and input personal information. The content of this document will also be used to write appropriately detailed privacy notification statements, to assess whether the approach to patient express consent will comply with privacy (and other relevant law) and to develop tools</w:t>
      </w:r>
      <w:r>
        <w:rPr>
          <w:rStyle w:val="FootnoteReference"/>
        </w:rPr>
        <w:footnoteReference w:id="8"/>
      </w:r>
      <w:r>
        <w:t xml:space="preserve"> to implement that patient express consent process once finalised.  This document will be circulated to relevant stakeholders at various stages including when the disclosure statements are written.</w:t>
      </w:r>
    </w:p>
    <w:p w:rsidR="00817CDC" w:rsidRDefault="00817CDC" w:rsidP="00817CDC">
      <w:pPr>
        <w:tabs>
          <w:tab w:val="left" w:pos="8341"/>
        </w:tabs>
      </w:pPr>
      <w:r>
        <w:t>Where significant change occurs during the functional specification writing process, the privacy assessment will be revisited to ensure there is no material change to the disclosure statements, legal basis for collection or patient consent process.</w:t>
      </w:r>
    </w:p>
    <w:p w:rsidR="00817CDC" w:rsidRDefault="00817CDC" w:rsidP="00817CDC">
      <w:pPr>
        <w:tabs>
          <w:tab w:val="left" w:pos="8341"/>
        </w:tabs>
        <w:rPr>
          <w:i/>
        </w:rPr>
      </w:pPr>
      <w:r>
        <w:rPr>
          <w:i/>
        </w:rPr>
        <w:t>NBA Necessity for Collection</w:t>
      </w:r>
    </w:p>
    <w:p w:rsidR="00817CDC" w:rsidRDefault="00817CDC" w:rsidP="00817CDC">
      <w:pPr>
        <w:tabs>
          <w:tab w:val="left" w:pos="8341"/>
        </w:tabs>
      </w:pPr>
      <w:r>
        <w:t xml:space="preserve">The following key is provided to assist in understanding the columns headed “primary purpose of collection” and “secondary purpose of collection”. It sets out particular functions of the NBA that are relevant to some or all aspects of </w:t>
      </w:r>
      <w:proofErr w:type="spellStart"/>
      <w:r w:rsidR="001D735F">
        <w:t>BloodSTAR</w:t>
      </w:r>
      <w:proofErr w:type="spellEnd"/>
      <w:r>
        <w:t>, which are then referred to within those columns for each data field by the corresponding number.</w:t>
      </w:r>
    </w:p>
    <w:p w:rsidR="00817CDC" w:rsidRDefault="00817CDC" w:rsidP="00350B62">
      <w:pPr>
        <w:pStyle w:val="ListParagraph"/>
        <w:numPr>
          <w:ilvl w:val="0"/>
          <w:numId w:val="34"/>
        </w:numPr>
        <w:tabs>
          <w:tab w:val="left" w:pos="8341"/>
        </w:tabs>
        <w:spacing w:line="240" w:lineRule="auto"/>
      </w:pPr>
      <w:r>
        <w:t xml:space="preserve">The collection of this data is reasonably necessary for, or directly related to liaising with and gathering information from, governments, suppliers and others about matters relating to blood products and services (s 8(1)(a) </w:t>
      </w:r>
      <w:r>
        <w:rPr>
          <w:i/>
        </w:rPr>
        <w:t>National Blood Authority Act 2003</w:t>
      </w:r>
      <w:r>
        <w:t>);</w:t>
      </w:r>
    </w:p>
    <w:p w:rsidR="00817CDC" w:rsidRDefault="00817CDC" w:rsidP="00350B62">
      <w:pPr>
        <w:pStyle w:val="ListParagraph"/>
        <w:numPr>
          <w:ilvl w:val="0"/>
          <w:numId w:val="34"/>
        </w:numPr>
        <w:tabs>
          <w:tab w:val="left" w:pos="8341"/>
        </w:tabs>
        <w:spacing w:line="240" w:lineRule="auto"/>
      </w:pPr>
      <w:r>
        <w:t xml:space="preserve">The collection of this data is reasonably necessary for, or directly related to carrying out national blood arrangements to ensure that there is a sufficient supply of blood products and services in all the States and covered Territories (s 8(1)(c) </w:t>
      </w:r>
      <w:r>
        <w:rPr>
          <w:i/>
        </w:rPr>
        <w:t>National Blood Authority Act 2003</w:t>
      </w:r>
      <w:r>
        <w:t>);</w:t>
      </w:r>
    </w:p>
    <w:p w:rsidR="00817CDC" w:rsidRDefault="00817CDC" w:rsidP="00350B62">
      <w:pPr>
        <w:pStyle w:val="ListParagraph"/>
        <w:numPr>
          <w:ilvl w:val="0"/>
          <w:numId w:val="34"/>
        </w:numPr>
        <w:tabs>
          <w:tab w:val="left" w:pos="8341"/>
        </w:tabs>
        <w:spacing w:line="240" w:lineRule="auto"/>
      </w:pPr>
      <w:r>
        <w:t>The collection of this data is reasonably necessary for, or directly related to carrying out national blood arrangements relating to the funding of the supply of blood products and services (s 8(1)(d)(</w:t>
      </w:r>
      <w:proofErr w:type="spellStart"/>
      <w:r>
        <w:t>i</w:t>
      </w:r>
      <w:proofErr w:type="spellEnd"/>
      <w:r>
        <w:t xml:space="preserve">) </w:t>
      </w:r>
      <w:r>
        <w:rPr>
          <w:i/>
        </w:rPr>
        <w:t>National Blood Authority Act 2003</w:t>
      </w:r>
      <w:r>
        <w:t>);</w:t>
      </w:r>
    </w:p>
    <w:p w:rsidR="00817CDC" w:rsidRDefault="00817CDC" w:rsidP="00350B62">
      <w:pPr>
        <w:pStyle w:val="ListParagraph"/>
        <w:numPr>
          <w:ilvl w:val="0"/>
          <w:numId w:val="34"/>
        </w:numPr>
        <w:tabs>
          <w:tab w:val="left" w:pos="8341"/>
        </w:tabs>
        <w:spacing w:line="240" w:lineRule="auto"/>
      </w:pPr>
      <w:r>
        <w:t xml:space="preserve">The collection of this data is reasonably necessary for, or directly related to entering into and managing contracts and arrangements for the collection, production and distribution of the blood products and services necessary to ensure a sufficient supply of blood products and services in all the States and covered Territories </w:t>
      </w:r>
      <w:r>
        <w:br/>
        <w:t xml:space="preserve">(s 8(1)(e) </w:t>
      </w:r>
      <w:r>
        <w:rPr>
          <w:i/>
        </w:rPr>
        <w:t>National Blood Authority Act 2003</w:t>
      </w:r>
      <w:r>
        <w:t>);</w:t>
      </w:r>
    </w:p>
    <w:p w:rsidR="00817CDC" w:rsidRDefault="00817CDC" w:rsidP="00350B62">
      <w:pPr>
        <w:pStyle w:val="ListParagraph"/>
        <w:numPr>
          <w:ilvl w:val="0"/>
          <w:numId w:val="34"/>
        </w:numPr>
        <w:tabs>
          <w:tab w:val="left" w:pos="8341"/>
        </w:tabs>
        <w:spacing w:line="240" w:lineRule="auto"/>
      </w:pPr>
      <w:r>
        <w:t xml:space="preserve">The collection of this data is reasonably necessary for, or directly related to carrying out national blood arrangements relating to safety measures, quality measures, contingency measures and risk mitigation measures for the supply of blood products and services (s 8(1)(f) </w:t>
      </w:r>
      <w:r>
        <w:rPr>
          <w:i/>
        </w:rPr>
        <w:t>National Blood Authority Act 2003</w:t>
      </w:r>
      <w:r>
        <w:t xml:space="preserve">); </w:t>
      </w:r>
    </w:p>
    <w:p w:rsidR="00817CDC" w:rsidRDefault="00817CDC" w:rsidP="00350B62">
      <w:pPr>
        <w:pStyle w:val="ListParagraph"/>
        <w:numPr>
          <w:ilvl w:val="0"/>
          <w:numId w:val="34"/>
        </w:numPr>
        <w:tabs>
          <w:tab w:val="left" w:pos="8341"/>
        </w:tabs>
        <w:spacing w:line="240" w:lineRule="auto"/>
      </w:pPr>
      <w:r>
        <w:t xml:space="preserve">The collection of this data is reasonably necessary for, or directly related to carrying out national blood arrangements relating to the facilitation and funding or research, policy development and other action about matters relating to blood products and services (s 8(1)(h) </w:t>
      </w:r>
      <w:r>
        <w:rPr>
          <w:i/>
        </w:rPr>
        <w:t>National Blood Authority Act 2003</w:t>
      </w:r>
      <w:r>
        <w:t>); and,</w:t>
      </w:r>
    </w:p>
    <w:p w:rsidR="00817CDC" w:rsidRDefault="00817CDC" w:rsidP="00350B62">
      <w:pPr>
        <w:pStyle w:val="ListParagraph"/>
        <w:numPr>
          <w:ilvl w:val="0"/>
          <w:numId w:val="34"/>
        </w:numPr>
        <w:tabs>
          <w:tab w:val="left" w:pos="8341"/>
        </w:tabs>
        <w:spacing w:line="240" w:lineRule="auto"/>
      </w:pPr>
      <w:r>
        <w:lastRenderedPageBreak/>
        <w:t>The collection of this data is reasonably necessary for, or directly related to carrying</w:t>
      </w:r>
      <w:r w:rsidRPr="00713A51">
        <w:t xml:space="preserve"> out national blood arrangements relating to annual plans and budgets for the production and supply of blood products and services</w:t>
      </w:r>
      <w:r>
        <w:t xml:space="preserve"> (s 8(1)(b) </w:t>
      </w:r>
      <w:r>
        <w:rPr>
          <w:i/>
        </w:rPr>
        <w:t>National Blood Authority Act 2003</w:t>
      </w:r>
      <w:r>
        <w:t>)</w:t>
      </w:r>
      <w:r w:rsidRPr="00713A51">
        <w:t>;</w:t>
      </w:r>
    </w:p>
    <w:p w:rsidR="00817CDC" w:rsidRPr="004432DE" w:rsidRDefault="00817CDC" w:rsidP="00817CDC">
      <w:pPr>
        <w:tabs>
          <w:tab w:val="left" w:pos="8341"/>
        </w:tabs>
      </w:pPr>
      <w:r>
        <w:t xml:space="preserve">Overall, the NBA also considers that the collection of the entire data set is necessary to facilitate the provision of information which in turn directly assists the Agency to achieve the functions and activities noted above. </w:t>
      </w:r>
    </w:p>
    <w:p w:rsidR="00817CDC" w:rsidRDefault="00817CDC" w:rsidP="00D2562E">
      <w:pPr>
        <w:pStyle w:val="Heading3"/>
      </w:pPr>
      <w:bookmarkStart w:id="77" w:name="_Patient"/>
      <w:bookmarkStart w:id="78" w:name="_Ref394928601"/>
      <w:bookmarkEnd w:id="77"/>
      <w:r>
        <w:t>Patient</w:t>
      </w:r>
      <w:bookmarkEnd w:id="78"/>
    </w:p>
    <w:p w:rsidR="00817CDC" w:rsidRPr="000417EB" w:rsidRDefault="00817CDC" w:rsidP="00817CDC">
      <w:r>
        <w:t xml:space="preserve">A patient is an individual that is </w:t>
      </w:r>
      <w:r w:rsidRPr="000417EB">
        <w:t xml:space="preserve">of interest to </w:t>
      </w:r>
      <w:proofErr w:type="spellStart"/>
      <w:r w:rsidR="00454B93">
        <w:t>BloodSTAR</w:t>
      </w:r>
      <w:proofErr w:type="spellEnd"/>
      <w:r>
        <w:t>.  An individual becomes of interest to the system</w:t>
      </w:r>
      <w:r w:rsidRPr="000417EB">
        <w:t xml:space="preserve"> once they become the subject of an Authorisation Request.</w:t>
      </w:r>
      <w:r>
        <w:t xml:space="preserve">  A patient may or may not be successful in obtaining authorisation for immunoglobulin treatment.</w:t>
      </w:r>
    </w:p>
    <w:tbl>
      <w:tblPr>
        <w:tblStyle w:val="IgTable"/>
        <w:tblW w:w="5000" w:type="pct"/>
        <w:tblLook w:val="04A0" w:firstRow="1" w:lastRow="0" w:firstColumn="1" w:lastColumn="0" w:noHBand="0" w:noVBand="1"/>
      </w:tblPr>
      <w:tblGrid>
        <w:gridCol w:w="1441"/>
        <w:gridCol w:w="1406"/>
        <w:gridCol w:w="1402"/>
        <w:gridCol w:w="1196"/>
        <w:gridCol w:w="2315"/>
        <w:gridCol w:w="2442"/>
        <w:gridCol w:w="2181"/>
        <w:gridCol w:w="1791"/>
      </w:tblGrid>
      <w:tr w:rsidR="00817CDC" w:rsidRPr="00DD6685" w:rsidTr="00CA5F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3" w:type="pct"/>
          </w:tcPr>
          <w:p w:rsidR="00817CDC" w:rsidRPr="00DD6685" w:rsidRDefault="00817CDC" w:rsidP="00D2562E">
            <w:pPr>
              <w:rPr>
                <w:b w:val="0"/>
                <w:sz w:val="20"/>
              </w:rPr>
            </w:pPr>
            <w:r w:rsidRPr="00DD6685">
              <w:rPr>
                <w:sz w:val="20"/>
              </w:rPr>
              <w:t xml:space="preserve">Column </w:t>
            </w:r>
          </w:p>
        </w:tc>
        <w:tc>
          <w:tcPr>
            <w:tcW w:w="322" w:type="pct"/>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Type</w:t>
            </w:r>
          </w:p>
        </w:tc>
        <w:tc>
          <w:tcPr>
            <w:tcW w:w="552" w:type="pct"/>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Description</w:t>
            </w:r>
          </w:p>
        </w:tc>
        <w:tc>
          <w:tcPr>
            <w:tcW w:w="414" w:type="pct"/>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Validation</w:t>
            </w:r>
          </w:p>
        </w:tc>
        <w:tc>
          <w:tcPr>
            <w:tcW w:w="874" w:type="pct"/>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Primary Purpose for collection</w:t>
            </w:r>
          </w:p>
        </w:tc>
        <w:tc>
          <w:tcPr>
            <w:tcW w:w="919" w:type="pct"/>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sz w:val="20"/>
              </w:rPr>
            </w:pPr>
            <w:r w:rsidRPr="00DD6685">
              <w:rPr>
                <w:sz w:val="20"/>
              </w:rPr>
              <w:t>Secondary purpose for collection</w:t>
            </w:r>
          </w:p>
        </w:tc>
        <w:tc>
          <w:tcPr>
            <w:tcW w:w="827" w:type="pct"/>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b w:val="0"/>
                <w:sz w:val="20"/>
              </w:rPr>
              <w:t xml:space="preserve">Consequence for individual patient if not collected </w:t>
            </w:r>
          </w:p>
        </w:tc>
        <w:tc>
          <w:tcPr>
            <w:tcW w:w="689" w:type="pct"/>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b w:val="0"/>
                <w:sz w:val="20"/>
              </w:rPr>
              <w:t>Proposed Use and Disclosure</w:t>
            </w:r>
          </w:p>
        </w:tc>
      </w:tr>
      <w:tr w:rsidR="00817CDC" w:rsidRPr="00DD6685" w:rsidTr="00CA5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 w:type="pct"/>
          </w:tcPr>
          <w:p w:rsidR="00817CDC" w:rsidRPr="00DD6685" w:rsidRDefault="00817CDC" w:rsidP="00D2562E">
            <w:r w:rsidRPr="00DD6685">
              <w:t>Patient ID</w:t>
            </w:r>
          </w:p>
        </w:tc>
        <w:tc>
          <w:tcPr>
            <w:tcW w:w="322"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552"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A unique identifier of the patient generated and used by the system.</w:t>
            </w:r>
          </w:p>
        </w:tc>
        <w:tc>
          <w:tcPr>
            <w:tcW w:w="41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87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Uniquely identifies patient record within the system.</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Lessens risk of duplicate record generation if original record not identified in search by user.  Important especially where patients change hospitals or develop new (2</w:t>
            </w:r>
            <w:r w:rsidRPr="00DD6685">
              <w:rPr>
                <w:vertAlign w:val="superscript"/>
              </w:rPr>
              <w:t>nd</w:t>
            </w:r>
            <w:r w:rsidRPr="00DD6685">
              <w:t xml:space="preserve">) condition for Ig treatment.  </w:t>
            </w:r>
          </w:p>
          <w:p w:rsidR="00817CDC" w:rsidRPr="00DD6685" w:rsidRDefault="00817CDC" w:rsidP="00D2562E">
            <w:pPr>
              <w:ind w:left="-249" w:firstLine="249"/>
              <w:cnfStyle w:val="000000100000" w:firstRow="0" w:lastRow="0" w:firstColumn="0" w:lastColumn="0" w:oddVBand="0" w:evenVBand="0" w:oddHBand="1" w:evenHBand="0" w:firstRowFirstColumn="0" w:firstRowLastColumn="0" w:lastRowFirstColumn="0" w:lastRowLastColumn="0"/>
            </w:pPr>
          </w:p>
          <w:p w:rsidR="00817CDC" w:rsidRPr="00DD6685" w:rsidRDefault="00817CDC" w:rsidP="00D2562E">
            <w:pPr>
              <w:ind w:left="-249" w:firstLine="249"/>
              <w:cnfStyle w:val="000000100000" w:firstRow="0" w:lastRow="0" w:firstColumn="0" w:lastColumn="0" w:oddVBand="0" w:evenVBand="0" w:oddHBand="1" w:evenHBand="0" w:firstRowFirstColumn="0" w:firstRowLastColumn="0" w:lastRowFirstColumn="0" w:lastRowLastColumn="0"/>
            </w:pPr>
          </w:p>
          <w:p w:rsidR="00817CDC" w:rsidRPr="00DD6685" w:rsidRDefault="00817CDC" w:rsidP="004242CC">
            <w:pPr>
              <w:ind w:left="-249" w:firstLine="249"/>
              <w:cnfStyle w:val="000000100000" w:firstRow="0" w:lastRow="0" w:firstColumn="0" w:lastColumn="0" w:oddVBand="0" w:evenVBand="0" w:oddHBand="1" w:evenHBand="0" w:firstRowFirstColumn="0" w:firstRowLastColumn="0" w:lastRowFirstColumn="0" w:lastRowLastColumn="0"/>
            </w:pPr>
            <w:r w:rsidRPr="00DD6685">
              <w:lastRenderedPageBreak/>
              <w:t>NBA – 3</w:t>
            </w:r>
          </w:p>
        </w:tc>
        <w:tc>
          <w:tcPr>
            <w:tcW w:w="91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lastRenderedPageBreak/>
              <w:t>NBA - 1, 2 and 5</w:t>
            </w:r>
          </w:p>
        </w:tc>
        <w:tc>
          <w:tcPr>
            <w:tcW w:w="82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To ensure compliance with the Criteria the Authoriser must know with certainty the patient’s identity. If patient identifying details are not captured then the patient cannot be authorised in the system to receive </w:t>
            </w:r>
            <w:proofErr w:type="spellStart"/>
            <w:r w:rsidRPr="00DD6685">
              <w:t>IVIg</w:t>
            </w:r>
            <w:proofErr w:type="spellEnd"/>
            <w:r w:rsidRPr="00DD6685">
              <w:t xml:space="preserve">. </w:t>
            </w:r>
          </w:p>
          <w:p w:rsidR="00817CDC" w:rsidRPr="00DD6685" w:rsidRDefault="00817CDC" w:rsidP="00154ADF">
            <w:pPr>
              <w:cnfStyle w:val="000000100000" w:firstRow="0" w:lastRow="0" w:firstColumn="0" w:lastColumn="0" w:oddVBand="0" w:evenVBand="0" w:oddHBand="1" w:evenHBand="0" w:firstRowFirstColumn="0" w:firstRowLastColumn="0" w:lastRowFirstColumn="0" w:lastRowLastColumn="0"/>
            </w:pPr>
            <w:r w:rsidRPr="00DD6685">
              <w:t xml:space="preserve">Patient safety risk due to increased risk of prescriber linking condition to wrong record leading to incorrect prescription, dispense and infusion. </w:t>
            </w:r>
            <w:r w:rsidRPr="00DD6685">
              <w:lastRenderedPageBreak/>
              <w:t>Greater compromise of patient privacy likely in rep</w:t>
            </w:r>
            <w:r w:rsidR="00154ADF">
              <w:t>orting for prescribing practice.</w:t>
            </w:r>
          </w:p>
        </w:tc>
        <w:tc>
          <w:tcPr>
            <w:tcW w:w="68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lastRenderedPageBreak/>
              <w:t xml:space="preserve">Use – Transparent to some users of system for particular purpose in accordance with defined role (see security matrix).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Disclosure - Reported to level of individual patient record for prescribing practice performance review.  </w:t>
            </w:r>
          </w:p>
        </w:tc>
      </w:tr>
      <w:tr w:rsidR="00817CDC" w:rsidRPr="00DD6685" w:rsidTr="00CA5F63">
        <w:tc>
          <w:tcPr>
            <w:cnfStyle w:val="001000000000" w:firstRow="0" w:lastRow="0" w:firstColumn="1" w:lastColumn="0" w:oddVBand="0" w:evenVBand="0" w:oddHBand="0" w:evenHBand="0" w:firstRowFirstColumn="0" w:firstRowLastColumn="0" w:lastRowFirstColumn="0" w:lastRowLastColumn="0"/>
            <w:tcW w:w="403" w:type="pct"/>
          </w:tcPr>
          <w:p w:rsidR="00817CDC" w:rsidRPr="00DD6685" w:rsidRDefault="00817CDC" w:rsidP="00D2562E">
            <w:r w:rsidRPr="00DD6685">
              <w:lastRenderedPageBreak/>
              <w:t>Family Name</w:t>
            </w:r>
          </w:p>
        </w:tc>
        <w:tc>
          <w:tcPr>
            <w:tcW w:w="322"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Text</w:t>
            </w:r>
          </w:p>
        </w:tc>
        <w:tc>
          <w:tcPr>
            <w:tcW w:w="552"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The surname of the patient.</w:t>
            </w:r>
          </w:p>
        </w:tc>
        <w:tc>
          <w:tcPr>
            <w:tcW w:w="41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87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Critical identification parameter for maintaining patient record and data integrity -supports correct patient record creation, identification for product authorisation and access during system search by user. </w:t>
            </w:r>
          </w:p>
          <w:p w:rsidR="00817CDC" w:rsidRPr="00DD6685" w:rsidRDefault="00454B93" w:rsidP="00D2562E">
            <w:pPr>
              <w:cnfStyle w:val="000000000000" w:firstRow="0" w:lastRow="0" w:firstColumn="0" w:lastColumn="0" w:oddVBand="0" w:evenVBand="0" w:oddHBand="0" w:evenHBand="0" w:firstRowFirstColumn="0" w:firstRowLastColumn="0" w:lastRowFirstColumn="0" w:lastRowLastColumn="0"/>
            </w:pPr>
            <w:r w:rsidRPr="00DD6685">
              <w:t xml:space="preserve">(Authoriser, </w:t>
            </w:r>
            <w:r>
              <w:t>Prescriber, Nurse, Dispenser</w:t>
            </w:r>
            <w:r w:rsidRPr="00DD6685">
              <w:t>)</w:t>
            </w:r>
            <w:r w:rsidR="00817CDC" w:rsidRPr="00DD6685">
              <w:t xml:space="preserve">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p w:rsidR="00817CDC" w:rsidRPr="00DD6685" w:rsidRDefault="00817CDC" w:rsidP="004242CC">
            <w:pPr>
              <w:cnfStyle w:val="000000000000" w:firstRow="0" w:lastRow="0" w:firstColumn="0" w:lastColumn="0" w:oddVBand="0" w:evenVBand="0" w:oddHBand="0" w:evenHBand="0" w:firstRowFirstColumn="0" w:firstRowLastColumn="0" w:lastRowFirstColumn="0" w:lastRowLastColumn="0"/>
            </w:pPr>
            <w:r w:rsidRPr="00DD6685">
              <w:t>NBA – 3</w:t>
            </w:r>
          </w:p>
        </w:tc>
        <w:tc>
          <w:tcPr>
            <w:tcW w:w="91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To reduce likelihood of duplicate patient records being created when used with DOB and other patient names.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NBA – 1,2 and 5</w:t>
            </w:r>
          </w:p>
        </w:tc>
        <w:tc>
          <w:tcPr>
            <w:tcW w:w="82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As above – if we cannot be satisfied of ID then no authorisation via the system or in fact manually since we need ID? Will it impact ability to get the product elsewhere – what is the cost?</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Patient safety risk due to increased risk of prescriber linking condition (qualifying and review criteria) to incorrect patient record leading to incorrect authorisation, prescription dose, product, dispense and/or infusion. – as above and throughout</w:t>
            </w:r>
          </w:p>
        </w:tc>
        <w:tc>
          <w:tcPr>
            <w:tcW w:w="68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Use – Transparent to some users of system for particular purpose in accordance with defined role (see security matrix).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 (see security matrix)</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Disclosure – not intended for </w:t>
            </w:r>
            <w:r w:rsidR="00154ADF" w:rsidRPr="00DD6685">
              <w:t>release.</w:t>
            </w:r>
            <w:r w:rsidR="00154ADF">
              <w:t xml:space="preserve"> </w:t>
            </w:r>
            <w:r w:rsidR="00154ADF" w:rsidRPr="00DD6685">
              <w:t>What</w:t>
            </w:r>
            <w:r w:rsidRPr="00DD6685">
              <w:t xml:space="preserve"> about Distributor for home delivery patients?</w:t>
            </w:r>
          </w:p>
        </w:tc>
      </w:tr>
      <w:tr w:rsidR="00817CDC" w:rsidRPr="00DD6685" w:rsidTr="00CA5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 w:type="pct"/>
          </w:tcPr>
          <w:p w:rsidR="00817CDC" w:rsidRPr="00DD6685" w:rsidRDefault="00817CDC" w:rsidP="00D2562E">
            <w:r w:rsidRPr="00DD6685">
              <w:lastRenderedPageBreak/>
              <w:t>Given Name</w:t>
            </w:r>
          </w:p>
        </w:tc>
        <w:tc>
          <w:tcPr>
            <w:tcW w:w="322"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Text</w:t>
            </w:r>
          </w:p>
        </w:tc>
        <w:tc>
          <w:tcPr>
            <w:tcW w:w="552"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The first or given name of the patient</w:t>
            </w:r>
          </w:p>
        </w:tc>
        <w:tc>
          <w:tcPr>
            <w:tcW w:w="41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87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Critical identification parameter for maintaining patient record and data integrity - supports correct patient record access and identification during system search by user. </w:t>
            </w:r>
          </w:p>
          <w:p w:rsidR="00454B93" w:rsidRPr="00DD6685" w:rsidRDefault="00454B93" w:rsidP="00454B93">
            <w:pPr>
              <w:cnfStyle w:val="000000100000" w:firstRow="0" w:lastRow="0" w:firstColumn="0" w:lastColumn="0" w:oddVBand="0" w:evenVBand="0" w:oddHBand="1" w:evenHBand="0" w:firstRowFirstColumn="0" w:firstRowLastColumn="0" w:lastRowFirstColumn="0" w:lastRowLastColumn="0"/>
            </w:pPr>
            <w:r w:rsidRPr="00DD6685">
              <w:t xml:space="preserve">(Authoriser, </w:t>
            </w:r>
            <w:r>
              <w:t>Prescriber, Nurse, Dispenser</w:t>
            </w:r>
            <w:r w:rsidRPr="00DD6685">
              <w:t xml:space="preserve">)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NBA – 3</w:t>
            </w:r>
          </w:p>
        </w:tc>
        <w:tc>
          <w:tcPr>
            <w:tcW w:w="919"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rsidRPr="00DD6685">
              <w:t>Reduces likelihood of duplicate patient records being created when used with DOB and other patient names.</w:t>
            </w:r>
          </w:p>
          <w:p w:rsidR="00454B93" w:rsidRPr="00DD6685" w:rsidRDefault="00454B93" w:rsidP="00D2562E">
            <w:pPr>
              <w:cnfStyle w:val="000000100000" w:firstRow="0" w:lastRow="0" w:firstColumn="0" w:lastColumn="0" w:oddVBand="0" w:evenVBand="0" w:oddHBand="1" w:evenHBand="0" w:firstRowFirstColumn="0" w:firstRowLastColumn="0" w:lastRowFirstColumn="0" w:lastRowLastColumn="0"/>
            </w:pP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NBA – 1,2 and 5</w:t>
            </w:r>
          </w:p>
        </w:tc>
        <w:tc>
          <w:tcPr>
            <w:tcW w:w="82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Patient safety risk due to increased risk of prescriber linking condition to wrong record leading to incorrect authorisation, prescription dose, product, dispense and infusion.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68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Use – Transparent to some users of system for particular purpose in accordance with defined role (see security matrix).</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Disclosure – not intended for release. What about Distributor for home delivery patients?</w:t>
            </w:r>
          </w:p>
        </w:tc>
      </w:tr>
      <w:tr w:rsidR="00817CDC" w:rsidRPr="00DD6685" w:rsidTr="00CA5F63">
        <w:tc>
          <w:tcPr>
            <w:cnfStyle w:val="001000000000" w:firstRow="0" w:lastRow="0" w:firstColumn="1" w:lastColumn="0" w:oddVBand="0" w:evenVBand="0" w:oddHBand="0" w:evenHBand="0" w:firstRowFirstColumn="0" w:firstRowLastColumn="0" w:lastRowFirstColumn="0" w:lastRowLastColumn="0"/>
            <w:tcW w:w="403" w:type="pct"/>
          </w:tcPr>
          <w:p w:rsidR="00817CDC" w:rsidRPr="00DD6685" w:rsidRDefault="00817CDC" w:rsidP="00D2562E">
            <w:r w:rsidRPr="00DD6685">
              <w:t>Middle Name</w:t>
            </w:r>
          </w:p>
        </w:tc>
        <w:tc>
          <w:tcPr>
            <w:tcW w:w="322"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Text</w:t>
            </w:r>
          </w:p>
        </w:tc>
        <w:tc>
          <w:tcPr>
            <w:tcW w:w="552"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The middle given name of the patient</w:t>
            </w:r>
          </w:p>
        </w:tc>
        <w:tc>
          <w:tcPr>
            <w:tcW w:w="41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87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Critical identification parameter for maintaining patient record and data integrity - supports correct patient record access and identification during system search by user. </w:t>
            </w:r>
          </w:p>
          <w:p w:rsidR="00454B93" w:rsidRPr="00DD6685" w:rsidRDefault="00454B93" w:rsidP="00454B93">
            <w:pPr>
              <w:cnfStyle w:val="000000000000" w:firstRow="0" w:lastRow="0" w:firstColumn="0" w:lastColumn="0" w:oddVBand="0" w:evenVBand="0" w:oddHBand="0" w:evenHBand="0" w:firstRowFirstColumn="0" w:firstRowLastColumn="0" w:lastRowFirstColumn="0" w:lastRowLastColumn="0"/>
            </w:pPr>
            <w:r w:rsidRPr="00DD6685">
              <w:t xml:space="preserve">(Authoriser, </w:t>
            </w:r>
            <w:r>
              <w:t>Prescriber, Nurse, Dispenser</w:t>
            </w:r>
            <w:r w:rsidRPr="00DD6685">
              <w:t xml:space="preserve">)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p w:rsidR="00817CDC" w:rsidRPr="00DD6685" w:rsidRDefault="00817CDC" w:rsidP="004242CC">
            <w:pPr>
              <w:cnfStyle w:val="000000000000" w:firstRow="0" w:lastRow="0" w:firstColumn="0" w:lastColumn="0" w:oddVBand="0" w:evenVBand="0" w:oddHBand="0" w:evenHBand="0" w:firstRowFirstColumn="0" w:firstRowLastColumn="0" w:lastRowFirstColumn="0" w:lastRowLastColumn="0"/>
            </w:pPr>
            <w:r w:rsidRPr="00DD6685">
              <w:lastRenderedPageBreak/>
              <w:t xml:space="preserve">NBA – 3 </w:t>
            </w:r>
          </w:p>
        </w:tc>
        <w:tc>
          <w:tcPr>
            <w:tcW w:w="91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lastRenderedPageBreak/>
              <w:t>Reduces likelihood of duplicate patient records being created when used with DOB and other patient names.</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NBA – 1,2 and 5</w:t>
            </w:r>
          </w:p>
        </w:tc>
        <w:tc>
          <w:tcPr>
            <w:tcW w:w="82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Patient safety risk due to increased risk of prescriber linking condition to wrong record leading to incorrect authorisation, prescription dose, product, dispense and infusion.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68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Use – Transparent to some users of system (see security matrix)</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Disclosure – not intended for release.</w:t>
            </w:r>
          </w:p>
        </w:tc>
      </w:tr>
      <w:tr w:rsidR="00817CDC" w:rsidRPr="00DD6685" w:rsidTr="00CA5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 w:type="pct"/>
          </w:tcPr>
          <w:p w:rsidR="00817CDC" w:rsidRPr="00DD6685" w:rsidRDefault="00817CDC" w:rsidP="00D2562E">
            <w:r w:rsidRPr="00DD6685">
              <w:lastRenderedPageBreak/>
              <w:t>Date of Birth</w:t>
            </w:r>
          </w:p>
        </w:tc>
        <w:tc>
          <w:tcPr>
            <w:tcW w:w="322"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Date Time</w:t>
            </w:r>
          </w:p>
        </w:tc>
        <w:tc>
          <w:tcPr>
            <w:tcW w:w="552"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The date of birth of the patient</w:t>
            </w:r>
          </w:p>
        </w:tc>
        <w:tc>
          <w:tcPr>
            <w:tcW w:w="414" w:type="pct"/>
          </w:tcPr>
          <w:p w:rsidR="00817CDC" w:rsidRPr="00DD6685" w:rsidRDefault="00817CDC" w:rsidP="000905DD">
            <w:pPr>
              <w:cnfStyle w:val="000000100000" w:firstRow="0" w:lastRow="0" w:firstColumn="0" w:lastColumn="0" w:oddVBand="0" w:evenVBand="0" w:oddHBand="1" w:evenHBand="0" w:firstRowFirstColumn="0" w:firstRowLastColumn="0" w:lastRowFirstColumn="0" w:lastRowLastColumn="0"/>
            </w:pPr>
            <w:r w:rsidRPr="00DD6685">
              <w:t>Cannot be</w:t>
            </w:r>
            <w:r w:rsidR="000905DD">
              <w:t xml:space="preserve"> a</w:t>
            </w:r>
            <w:r w:rsidRPr="00DD6685">
              <w:t xml:space="preserve"> future date</w:t>
            </w:r>
          </w:p>
        </w:tc>
        <w:tc>
          <w:tcPr>
            <w:tcW w:w="87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Critical identification parameter for maintaining patient record and data integrity - supports correct patient record access and identification during system search by user. </w:t>
            </w:r>
          </w:p>
          <w:p w:rsidR="00454B93" w:rsidRPr="00DD6685" w:rsidRDefault="00454B93" w:rsidP="00454B93">
            <w:pPr>
              <w:cnfStyle w:val="000000100000" w:firstRow="0" w:lastRow="0" w:firstColumn="0" w:lastColumn="0" w:oddVBand="0" w:evenVBand="0" w:oddHBand="1" w:evenHBand="0" w:firstRowFirstColumn="0" w:firstRowLastColumn="0" w:lastRowFirstColumn="0" w:lastRowLastColumn="0"/>
            </w:pPr>
            <w:r w:rsidRPr="00DD6685">
              <w:t xml:space="preserve">(Authoriser, </w:t>
            </w:r>
            <w:r>
              <w:t>Prescriber, Nurse, Dispenser</w:t>
            </w:r>
            <w:r w:rsidRPr="00DD6685">
              <w:t xml:space="preserve">)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NBA -3</w:t>
            </w:r>
          </w:p>
        </w:tc>
        <w:tc>
          <w:tcPr>
            <w:tcW w:w="919" w:type="pct"/>
          </w:tcPr>
          <w:p w:rsidR="00DD6685"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Supports demographic analysis to support short, medium and long term Ig demand forecasting to assure security of supply. Enables performance analysis of product and treatm</w:t>
            </w:r>
            <w:r w:rsidR="00DD6685" w:rsidRPr="00DD6685">
              <w:t xml:space="preserve">ent protocol efficacy by age.  </w:t>
            </w:r>
          </w:p>
          <w:p w:rsidR="00817CDC" w:rsidRPr="00DD6685" w:rsidRDefault="00817CDC" w:rsidP="00DD6685">
            <w:pPr>
              <w:cnfStyle w:val="000000100000" w:firstRow="0" w:lastRow="0" w:firstColumn="0" w:lastColumn="0" w:oddVBand="0" w:evenVBand="0" w:oddHBand="1" w:evenHBand="0" w:firstRowFirstColumn="0" w:firstRowLastColumn="0" w:lastRowFirstColumn="0" w:lastRowLastColumn="0"/>
            </w:pPr>
            <w:r w:rsidRPr="00DD6685">
              <w:t>NBA – 7</w:t>
            </w:r>
          </w:p>
        </w:tc>
        <w:tc>
          <w:tcPr>
            <w:tcW w:w="82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Failure to accurately forecast product demand and assess security of supply hence the patient may not always obtain the product that they need.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Loss of evidence supporting product efficacy and optimising treatment protocols. </w:t>
            </w:r>
          </w:p>
        </w:tc>
        <w:tc>
          <w:tcPr>
            <w:tcW w:w="68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Use – Transparent to some users of system (see security matrix)</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Disclosure – not intended for release other than contained in aggregated data sets.</w:t>
            </w:r>
          </w:p>
        </w:tc>
      </w:tr>
      <w:tr w:rsidR="00817CDC" w:rsidRPr="00DD6685" w:rsidTr="00CA5F63">
        <w:tc>
          <w:tcPr>
            <w:cnfStyle w:val="001000000000" w:firstRow="0" w:lastRow="0" w:firstColumn="1" w:lastColumn="0" w:oddVBand="0" w:evenVBand="0" w:oddHBand="0" w:evenHBand="0" w:firstRowFirstColumn="0" w:firstRowLastColumn="0" w:lastRowFirstColumn="0" w:lastRowLastColumn="0"/>
            <w:tcW w:w="403" w:type="pct"/>
          </w:tcPr>
          <w:p w:rsidR="00817CDC" w:rsidRPr="00DD6685" w:rsidRDefault="00817CDC" w:rsidP="00D2562E">
            <w:r w:rsidRPr="00DD6685">
              <w:t>Sex</w:t>
            </w:r>
          </w:p>
        </w:tc>
        <w:tc>
          <w:tcPr>
            <w:tcW w:w="322"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roofErr w:type="spellStart"/>
            <w:r w:rsidRPr="00DD6685">
              <w:rPr>
                <w:b/>
              </w:rPr>
              <w:t>LOV</w:t>
            </w:r>
            <w:proofErr w:type="spellEnd"/>
            <w:r w:rsidRPr="00DD6685">
              <w:rPr>
                <w:b/>
              </w:rPr>
              <w:t>:</w:t>
            </w:r>
            <w:r w:rsidRPr="00DD6685">
              <w:t xml:space="preserve"> Gender</w:t>
            </w:r>
          </w:p>
        </w:tc>
        <w:tc>
          <w:tcPr>
            <w:tcW w:w="552"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The sex of the patient</w:t>
            </w:r>
          </w:p>
        </w:tc>
        <w:tc>
          <w:tcPr>
            <w:tcW w:w="41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Valid Values:</w:t>
            </w:r>
          </w:p>
          <w:p w:rsidR="00817CDC" w:rsidRPr="00DD6685" w:rsidRDefault="00817CDC" w:rsidP="00817CDC">
            <w:pPr>
              <w:pStyle w:val="ListParagraph"/>
              <w:numPr>
                <w:ilvl w:val="0"/>
                <w:numId w:val="25"/>
              </w:numPr>
              <w:spacing w:after="0" w:line="240" w:lineRule="auto"/>
              <w:ind w:left="197" w:hanging="197"/>
              <w:cnfStyle w:val="000000000000" w:firstRow="0" w:lastRow="0" w:firstColumn="0" w:lastColumn="0" w:oddVBand="0" w:evenVBand="0" w:oddHBand="0" w:evenHBand="0" w:firstRowFirstColumn="0" w:firstRowLastColumn="0" w:lastRowFirstColumn="0" w:lastRowLastColumn="0"/>
            </w:pPr>
            <w:r w:rsidRPr="00DD6685">
              <w:t>Female</w:t>
            </w:r>
          </w:p>
          <w:p w:rsidR="00817CDC" w:rsidRPr="00DD6685" w:rsidRDefault="00817CDC" w:rsidP="00817CDC">
            <w:pPr>
              <w:pStyle w:val="ListParagraph"/>
              <w:numPr>
                <w:ilvl w:val="0"/>
                <w:numId w:val="25"/>
              </w:numPr>
              <w:spacing w:after="0" w:line="240" w:lineRule="auto"/>
              <w:ind w:left="197" w:hanging="197"/>
              <w:cnfStyle w:val="000000000000" w:firstRow="0" w:lastRow="0" w:firstColumn="0" w:lastColumn="0" w:oddVBand="0" w:evenVBand="0" w:oddHBand="0" w:evenHBand="0" w:firstRowFirstColumn="0" w:firstRowLastColumn="0" w:lastRowFirstColumn="0" w:lastRowLastColumn="0"/>
            </w:pPr>
            <w:r w:rsidRPr="00DD6685">
              <w:t>Male</w:t>
            </w:r>
          </w:p>
          <w:p w:rsidR="00817CDC" w:rsidRPr="00DD6685" w:rsidRDefault="00817CDC" w:rsidP="00817CDC">
            <w:pPr>
              <w:pStyle w:val="ListParagraph"/>
              <w:numPr>
                <w:ilvl w:val="0"/>
                <w:numId w:val="25"/>
              </w:numPr>
              <w:spacing w:after="0" w:line="240" w:lineRule="auto"/>
              <w:ind w:left="197" w:hanging="197"/>
              <w:cnfStyle w:val="000000000000" w:firstRow="0" w:lastRow="0" w:firstColumn="0" w:lastColumn="0" w:oddVBand="0" w:evenVBand="0" w:oddHBand="0" w:evenHBand="0" w:firstRowFirstColumn="0" w:firstRowLastColumn="0" w:lastRowFirstColumn="0" w:lastRowLastColumn="0"/>
            </w:pPr>
            <w:r w:rsidRPr="00DD6685">
              <w:t>Unknown</w:t>
            </w:r>
          </w:p>
        </w:tc>
        <w:tc>
          <w:tcPr>
            <w:tcW w:w="87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Critical identification parameter for maintaining patient record and data integrity</w:t>
            </w:r>
          </w:p>
          <w:p w:rsidR="00454B93" w:rsidRPr="00DD6685" w:rsidRDefault="00817CDC" w:rsidP="00454B93">
            <w:pPr>
              <w:cnfStyle w:val="000000000000" w:firstRow="0" w:lastRow="0" w:firstColumn="0" w:lastColumn="0" w:oddVBand="0" w:evenVBand="0" w:oddHBand="0" w:evenHBand="0" w:firstRowFirstColumn="0" w:firstRowLastColumn="0" w:lastRowFirstColumn="0" w:lastRowLastColumn="0"/>
            </w:pPr>
            <w:r w:rsidRPr="00DD6685">
              <w:t xml:space="preserve">( </w:t>
            </w:r>
            <w:r w:rsidR="00454B93" w:rsidRPr="00DD6685">
              <w:t xml:space="preserve">Authoriser, </w:t>
            </w:r>
            <w:r w:rsidR="00454B93">
              <w:t>Prescriber, Nurse, Dispenser</w:t>
            </w:r>
            <w:r w:rsidR="00454B93" w:rsidRPr="00DD6685">
              <w:t xml:space="preserve">) </w:t>
            </w:r>
          </w:p>
          <w:p w:rsidR="00817CDC" w:rsidRPr="00DD6685" w:rsidRDefault="004242CC" w:rsidP="00D2562E">
            <w:pPr>
              <w:cnfStyle w:val="000000000000" w:firstRow="0" w:lastRow="0" w:firstColumn="0" w:lastColumn="0" w:oddVBand="0" w:evenVBand="0" w:oddHBand="0" w:evenHBand="0" w:firstRowFirstColumn="0" w:firstRowLastColumn="0" w:lastRowFirstColumn="0" w:lastRowLastColumn="0"/>
            </w:pPr>
            <w:r w:rsidRPr="00DD6685">
              <w:t>NBA – 3</w:t>
            </w:r>
          </w:p>
        </w:tc>
        <w:tc>
          <w:tcPr>
            <w:tcW w:w="91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Reduces likelihood of duplicate patient records being created when used with DOB and other patient names.</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Supports demographic analysis of Ig use and demand forecasting.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(NBA, Hospital,)</w:t>
            </w:r>
          </w:p>
        </w:tc>
        <w:tc>
          <w:tcPr>
            <w:tcW w:w="82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Patient safety risk due to increased risk of prescriber linking condition to wrong record leading to incorrect authorisation, prescription dose, product, dispense and infusion. </w:t>
            </w:r>
          </w:p>
        </w:tc>
        <w:tc>
          <w:tcPr>
            <w:tcW w:w="68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Use – Transparent to some users of system (see security matrix)</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Disclosure – not intended for release other than contained in aggregated data sets.</w:t>
            </w:r>
          </w:p>
        </w:tc>
      </w:tr>
      <w:tr w:rsidR="00817CDC" w:rsidRPr="00DD6685" w:rsidTr="00CA5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 w:type="pct"/>
          </w:tcPr>
          <w:p w:rsidR="00817CDC" w:rsidRPr="00DD6685" w:rsidRDefault="00817CDC" w:rsidP="00D2562E">
            <w:proofErr w:type="spellStart"/>
            <w:r w:rsidRPr="00DD6685">
              <w:lastRenderedPageBreak/>
              <w:t>IHI</w:t>
            </w:r>
            <w:proofErr w:type="spellEnd"/>
          </w:p>
        </w:tc>
        <w:tc>
          <w:tcPr>
            <w:tcW w:w="322"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Text</w:t>
            </w:r>
          </w:p>
        </w:tc>
        <w:tc>
          <w:tcPr>
            <w:tcW w:w="552"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The individual healthcare identifier of the patient.</w:t>
            </w:r>
          </w:p>
        </w:tc>
        <w:tc>
          <w:tcPr>
            <w:tcW w:w="41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874" w:type="pct"/>
          </w:tcPr>
          <w:p w:rsidR="00817CDC" w:rsidRPr="00DD6685" w:rsidRDefault="00817CDC" w:rsidP="00DD6685">
            <w:pPr>
              <w:cnfStyle w:val="000000100000" w:firstRow="0" w:lastRow="0" w:firstColumn="0" w:lastColumn="0" w:oddVBand="0" w:evenVBand="0" w:oddHBand="1" w:evenHBand="0" w:firstRowFirstColumn="0" w:firstRowLastColumn="0" w:lastRowFirstColumn="0" w:lastRowLastColumn="0"/>
              <w:rPr>
                <w:rFonts w:cs="Times New Roman"/>
              </w:rPr>
            </w:pPr>
            <w:r w:rsidRPr="00DD6685">
              <w:t>Facilitates integration with the Personally Controlled Electronic Health Record</w:t>
            </w:r>
            <w:r w:rsidR="00DD6685" w:rsidRPr="00DD6685">
              <w:t xml:space="preserve"> (</w:t>
            </w:r>
            <w:proofErr w:type="spellStart"/>
            <w:r w:rsidR="00DD6685" w:rsidRPr="00DD6685">
              <w:t>PCEHR</w:t>
            </w:r>
            <w:proofErr w:type="spellEnd"/>
            <w:r w:rsidR="00DD6685" w:rsidRPr="00DD6685">
              <w:t>).</w:t>
            </w:r>
          </w:p>
        </w:tc>
        <w:tc>
          <w:tcPr>
            <w:tcW w:w="91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82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No consequence for individual </w:t>
            </w:r>
          </w:p>
        </w:tc>
        <w:tc>
          <w:tcPr>
            <w:tcW w:w="68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Use – Transparent to some users of system (see security matrix)</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Disclosure - not intended for release </w:t>
            </w:r>
          </w:p>
        </w:tc>
      </w:tr>
      <w:tr w:rsidR="00817CDC" w:rsidRPr="00DD6685" w:rsidTr="00CA5F63">
        <w:tc>
          <w:tcPr>
            <w:cnfStyle w:val="001000000000" w:firstRow="0" w:lastRow="0" w:firstColumn="1" w:lastColumn="0" w:oddVBand="0" w:evenVBand="0" w:oddHBand="0" w:evenHBand="0" w:firstRowFirstColumn="0" w:firstRowLastColumn="0" w:lastRowFirstColumn="0" w:lastRowLastColumn="0"/>
            <w:tcW w:w="403" w:type="pct"/>
          </w:tcPr>
          <w:p w:rsidR="00817CDC" w:rsidRPr="00DD6685" w:rsidRDefault="00817CDC" w:rsidP="00D2562E">
            <w:r w:rsidRPr="00DD6685">
              <w:t>Home Therapy</w:t>
            </w:r>
          </w:p>
        </w:tc>
        <w:tc>
          <w:tcPr>
            <w:tcW w:w="322"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True / False</w:t>
            </w:r>
          </w:p>
        </w:tc>
        <w:tc>
          <w:tcPr>
            <w:tcW w:w="552"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Indicates whether the patient is registered for home therapy.</w:t>
            </w:r>
          </w:p>
        </w:tc>
        <w:tc>
          <w:tcPr>
            <w:tcW w:w="41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87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Provides system transparency of home therapy status – relevant to infusion recording. </w:t>
            </w:r>
          </w:p>
          <w:p w:rsidR="00454B93" w:rsidRPr="00DD6685" w:rsidRDefault="00817CDC" w:rsidP="00454B93">
            <w:pPr>
              <w:cnfStyle w:val="000000000000" w:firstRow="0" w:lastRow="0" w:firstColumn="0" w:lastColumn="0" w:oddVBand="0" w:evenVBand="0" w:oddHBand="0" w:evenHBand="0" w:firstRowFirstColumn="0" w:firstRowLastColumn="0" w:lastRowFirstColumn="0" w:lastRowLastColumn="0"/>
            </w:pPr>
            <w:r w:rsidRPr="00DD6685">
              <w:t xml:space="preserve">(NBA, </w:t>
            </w:r>
            <w:r w:rsidR="00454B93" w:rsidRPr="00DD6685">
              <w:t xml:space="preserve">Authoriser, </w:t>
            </w:r>
            <w:r w:rsidR="00454B93">
              <w:t>Prescriber, Nurse, Dispenser</w:t>
            </w:r>
            <w:r w:rsidR="00454B93" w:rsidRPr="00DD6685">
              <w:t xml:space="preserve">) </w:t>
            </w:r>
          </w:p>
          <w:p w:rsidR="00817CDC" w:rsidRPr="00DD6685" w:rsidRDefault="00817CDC" w:rsidP="00454B93">
            <w:pPr>
              <w:cnfStyle w:val="000000000000" w:firstRow="0" w:lastRow="0" w:firstColumn="0" w:lastColumn="0" w:oddVBand="0" w:evenVBand="0" w:oddHBand="0" w:evenHBand="0" w:firstRowFirstColumn="0" w:firstRowLastColumn="0" w:lastRowFirstColumn="0" w:lastRowLastColumn="0"/>
            </w:pPr>
          </w:p>
        </w:tc>
        <w:tc>
          <w:tcPr>
            <w:tcW w:w="91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Provision of access to additional functionality in patient record including delivery address to support product distribution and access for patient to record all infusions. </w:t>
            </w:r>
          </w:p>
          <w:p w:rsidR="00454B93" w:rsidRPr="00DD6685" w:rsidRDefault="00817CDC" w:rsidP="00454B93">
            <w:pPr>
              <w:cnfStyle w:val="000000000000" w:firstRow="0" w:lastRow="0" w:firstColumn="0" w:lastColumn="0" w:oddVBand="0" w:evenVBand="0" w:oddHBand="0" w:evenHBand="0" w:firstRowFirstColumn="0" w:firstRowLastColumn="0" w:lastRowFirstColumn="0" w:lastRowLastColumn="0"/>
            </w:pPr>
            <w:r w:rsidRPr="00DD6685">
              <w:t xml:space="preserve">(NBA, </w:t>
            </w:r>
            <w:r w:rsidR="00454B93">
              <w:t>Prescriber, Nurse, Dispenser</w:t>
            </w:r>
            <w:r w:rsidR="00454B93" w:rsidRPr="00DD6685">
              <w:t xml:space="preserve">)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827" w:type="pct"/>
          </w:tcPr>
          <w:p w:rsidR="00817CDC" w:rsidRPr="00DD6685" w:rsidRDefault="00817CDC" w:rsidP="00154ADF">
            <w:pPr>
              <w:cnfStyle w:val="000000000000" w:firstRow="0" w:lastRow="0" w:firstColumn="0" w:lastColumn="0" w:oddVBand="0" w:evenVBand="0" w:oddHBand="0" w:evenHBand="0" w:firstRowFirstColumn="0" w:firstRowLastColumn="0" w:lastRowFirstColumn="0" w:lastRowLastColumn="0"/>
            </w:pPr>
            <w:r w:rsidRPr="00DD6685">
              <w:t xml:space="preserve">Failure to identify those patients on home therapy and lack of data being collected on infusions resulting in lack of accurate data for clinical review without patient attending hospital, standardised recording of treatment provision and relationship to clinical outcome. </w:t>
            </w:r>
          </w:p>
        </w:tc>
        <w:tc>
          <w:tcPr>
            <w:tcW w:w="68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Use – Transparent to some users of system (see security matrix)</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Disclosure – Record available for local hospital printing and inclusion in patient medical record.  Distributor? Data</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roofErr w:type="gramStart"/>
            <w:r w:rsidRPr="00DD6685">
              <w:t>not</w:t>
            </w:r>
            <w:proofErr w:type="gramEnd"/>
            <w:r w:rsidRPr="00DD6685">
              <w:t xml:space="preserve"> intended for release other than inclusion in aggregated data sets.</w:t>
            </w:r>
          </w:p>
        </w:tc>
      </w:tr>
      <w:tr w:rsidR="00817CDC" w:rsidRPr="00DD6685" w:rsidTr="00CA5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 w:type="pct"/>
          </w:tcPr>
          <w:p w:rsidR="00817CDC" w:rsidRPr="00DD6685" w:rsidRDefault="00817CDC" w:rsidP="00D2562E">
            <w:r w:rsidRPr="00DD6685">
              <w:lastRenderedPageBreak/>
              <w:t xml:space="preserve">Hospital Identifiers </w:t>
            </w:r>
          </w:p>
        </w:tc>
        <w:tc>
          <w:tcPr>
            <w:tcW w:w="322"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Collection of </w:t>
            </w:r>
            <w:r w:rsidRPr="00DD6685">
              <w:rPr>
                <w:rFonts w:cs="Times New Roman"/>
              </w:rPr>
              <w:t>Hospital Identifiers</w:t>
            </w:r>
          </w:p>
        </w:tc>
        <w:tc>
          <w:tcPr>
            <w:tcW w:w="552"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A list of hospitals at which the patient has received treatment and the identifier of the patient in that hospital.</w:t>
            </w:r>
          </w:p>
        </w:tc>
        <w:tc>
          <w:tcPr>
            <w:tcW w:w="41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87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Provides transparency of all hospital affiliations of patient - reduces the potential for multiple treatments being provided to the same patient</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And supports contact of correct treating specialist when patient treatment review for access to ongoing therapy is required.</w:t>
            </w:r>
          </w:p>
          <w:p w:rsidR="00454B93" w:rsidRPr="00DD6685" w:rsidRDefault="00817CDC" w:rsidP="00454B93">
            <w:pPr>
              <w:cnfStyle w:val="000000100000" w:firstRow="0" w:lastRow="0" w:firstColumn="0" w:lastColumn="0" w:oddVBand="0" w:evenVBand="0" w:oddHBand="1" w:evenHBand="0" w:firstRowFirstColumn="0" w:firstRowLastColumn="0" w:lastRowFirstColumn="0" w:lastRowLastColumn="0"/>
            </w:pPr>
            <w:r w:rsidRPr="00DD6685">
              <w:t>(NBA</w:t>
            </w:r>
            <w:r w:rsidR="00454B93">
              <w:t>, Prescriber, Nurse, Dispenser</w:t>
            </w:r>
            <w:r w:rsidR="00454B93" w:rsidRPr="00DD6685">
              <w:t xml:space="preserve">) </w:t>
            </w:r>
          </w:p>
          <w:p w:rsidR="00817CDC" w:rsidRPr="00DD6685" w:rsidRDefault="004242CC" w:rsidP="00454B93">
            <w:pPr>
              <w:cnfStyle w:val="000000100000" w:firstRow="0" w:lastRow="0" w:firstColumn="0" w:lastColumn="0" w:oddVBand="0" w:evenVBand="0" w:oddHBand="1" w:evenHBand="0" w:firstRowFirstColumn="0" w:firstRowLastColumn="0" w:lastRowFirstColumn="0" w:lastRowLastColumn="0"/>
            </w:pPr>
            <w:r w:rsidRPr="00DD6685">
              <w:t>NBA – 3</w:t>
            </w:r>
          </w:p>
        </w:tc>
        <w:tc>
          <w:tcPr>
            <w:tcW w:w="91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Facilitates easy retrieval of patient record by hospital staff and confirmation that correct patient record has been identified.   </w:t>
            </w:r>
          </w:p>
          <w:p w:rsidR="00454B93" w:rsidRPr="00DD6685" w:rsidRDefault="00454B93" w:rsidP="00454B93">
            <w:pPr>
              <w:cnfStyle w:val="000000100000" w:firstRow="0" w:lastRow="0" w:firstColumn="0" w:lastColumn="0" w:oddVBand="0" w:evenVBand="0" w:oddHBand="1" w:evenHBand="0" w:firstRowFirstColumn="0" w:firstRowLastColumn="0" w:lastRowFirstColumn="0" w:lastRowLastColumn="0"/>
            </w:pPr>
            <w:r w:rsidRPr="00DD6685">
              <w:t>(</w:t>
            </w:r>
            <w:r>
              <w:t>Prescriber, Nurse, Dispenser</w:t>
            </w:r>
            <w:r w:rsidRPr="00DD6685">
              <w:t xml:space="preserve">)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827" w:type="pct"/>
          </w:tcPr>
          <w:p w:rsidR="00817CDC" w:rsidRPr="00DD6685" w:rsidRDefault="00154ADF" w:rsidP="00154ADF">
            <w:pPr>
              <w:cnfStyle w:val="000000100000" w:firstRow="0" w:lastRow="0" w:firstColumn="0" w:lastColumn="0" w:oddVBand="0" w:evenVBand="0" w:oddHBand="1" w:evenHBand="0" w:firstRowFirstColumn="0" w:firstRowLastColumn="0" w:lastRowFirstColumn="0" w:lastRowLastColumn="0"/>
            </w:pPr>
            <w:r w:rsidRPr="00DD6685">
              <w:t>Risk of patients receiving multiple treatments at different hospitals Patient safety risk due to increased risk of user linking data (e</w:t>
            </w:r>
            <w:r>
              <w:t>.</w:t>
            </w:r>
            <w:r w:rsidRPr="00DD6685">
              <w:t>g</w:t>
            </w:r>
            <w:r>
              <w:t>.</w:t>
            </w:r>
            <w:r w:rsidRPr="00DD6685">
              <w:t xml:space="preserve"> condition, authorisation, product or infusion) to wrong record leading to incorrect authorisation, prescription dose, product, dispense and infusion. </w:t>
            </w:r>
          </w:p>
        </w:tc>
        <w:tc>
          <w:tcPr>
            <w:tcW w:w="68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Use – Transparent to some users of system (see security matrix)</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Disclosure - not intended for release.</w:t>
            </w:r>
          </w:p>
        </w:tc>
      </w:tr>
      <w:tr w:rsidR="00817CDC" w:rsidRPr="00DD6685" w:rsidTr="00CA5F63">
        <w:tc>
          <w:tcPr>
            <w:cnfStyle w:val="001000000000" w:firstRow="0" w:lastRow="0" w:firstColumn="1" w:lastColumn="0" w:oddVBand="0" w:evenVBand="0" w:oddHBand="0" w:evenHBand="0" w:firstRowFirstColumn="0" w:firstRowLastColumn="0" w:lastRowFirstColumn="0" w:lastRowLastColumn="0"/>
            <w:tcW w:w="403" w:type="pct"/>
          </w:tcPr>
          <w:p w:rsidR="00817CDC" w:rsidRPr="00DD6685" w:rsidRDefault="00817CDC" w:rsidP="00D2562E">
            <w:r w:rsidRPr="00DD6685">
              <w:t>Authorisation Requests</w:t>
            </w:r>
          </w:p>
        </w:tc>
        <w:tc>
          <w:tcPr>
            <w:tcW w:w="322"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Collection of </w:t>
            </w:r>
            <w:r w:rsidRPr="00DD6685">
              <w:rPr>
                <w:rFonts w:cs="Times New Roman"/>
              </w:rPr>
              <w:t>Authorisation Requests</w:t>
            </w:r>
          </w:p>
        </w:tc>
        <w:tc>
          <w:tcPr>
            <w:tcW w:w="552"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A list of authorisation requests that the patient has been the subject of.</w:t>
            </w:r>
          </w:p>
        </w:tc>
        <w:tc>
          <w:tcPr>
            <w:tcW w:w="41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874" w:type="pct"/>
          </w:tcPr>
          <w:p w:rsidR="00454B93" w:rsidRPr="00DD6685" w:rsidRDefault="00817CDC" w:rsidP="00454B93">
            <w:pPr>
              <w:cnfStyle w:val="000000000000" w:firstRow="0" w:lastRow="0" w:firstColumn="0" w:lastColumn="0" w:oddVBand="0" w:evenVBand="0" w:oddHBand="0" w:evenHBand="0" w:firstRowFirstColumn="0" w:firstRowLastColumn="0" w:lastRowFirstColumn="0" w:lastRowLastColumn="0"/>
            </w:pPr>
            <w:r w:rsidRPr="00DD6685">
              <w:t xml:space="preserve">Provides transparency of all authorisation requests relevant to the patient (NBA, </w:t>
            </w:r>
            <w:r w:rsidR="00454B93" w:rsidRPr="00DD6685">
              <w:t xml:space="preserve">Authoriser, </w:t>
            </w:r>
            <w:r w:rsidR="00454B93">
              <w:t>Prescriber, Nurse, Dispenser</w:t>
            </w:r>
            <w:r w:rsidR="00454B93" w:rsidRPr="00DD6685">
              <w:t xml:space="preserve">) </w:t>
            </w:r>
          </w:p>
          <w:p w:rsidR="00817CDC" w:rsidRDefault="00454B93" w:rsidP="00454B93">
            <w:pPr>
              <w:cnfStyle w:val="000000000000" w:firstRow="0" w:lastRow="0" w:firstColumn="0" w:lastColumn="0" w:oddVBand="0" w:evenVBand="0" w:oddHBand="0" w:evenHBand="0" w:firstRowFirstColumn="0" w:firstRowLastColumn="0" w:lastRowFirstColumn="0" w:lastRowLastColumn="0"/>
            </w:pPr>
            <w:r>
              <w:t>R</w:t>
            </w:r>
            <w:r w:rsidR="00817CDC" w:rsidRPr="00DD6685">
              <w:t xml:space="preserve">educes the potential for multiple treatments </w:t>
            </w:r>
            <w:r w:rsidR="00817CDC" w:rsidRPr="00DD6685">
              <w:lastRenderedPageBreak/>
              <w:t xml:space="preserve">being provided to the same patient. And/or for communication and planned treatment between clinicians for patients with 2 eligible conditions. (NBA, Authoriser, Hospital) </w:t>
            </w:r>
          </w:p>
          <w:p w:rsidR="004242CC" w:rsidRPr="00DD6685" w:rsidRDefault="004242CC" w:rsidP="00454B93">
            <w:pPr>
              <w:cnfStyle w:val="000000000000" w:firstRow="0" w:lastRow="0" w:firstColumn="0" w:lastColumn="0" w:oddVBand="0" w:evenVBand="0" w:oddHBand="0" w:evenHBand="0" w:firstRowFirstColumn="0" w:firstRowLastColumn="0" w:lastRowFirstColumn="0" w:lastRowLastColumn="0"/>
            </w:pPr>
            <w:r w:rsidRPr="00DD6685">
              <w:t>NBA – 3</w:t>
            </w:r>
          </w:p>
        </w:tc>
        <w:tc>
          <w:tcPr>
            <w:tcW w:w="91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82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[not individual consequence for patient but this section could serve a purpose beyond privacy ]</w:t>
            </w:r>
          </w:p>
        </w:tc>
        <w:tc>
          <w:tcPr>
            <w:tcW w:w="68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Use – Transparent to some users of system (see security matrix)</w:t>
            </w:r>
          </w:p>
          <w:p w:rsidR="00817CDC" w:rsidRPr="00DD6685" w:rsidRDefault="00817CDC" w:rsidP="00923621">
            <w:pPr>
              <w:cnfStyle w:val="000000000000" w:firstRow="0" w:lastRow="0" w:firstColumn="0" w:lastColumn="0" w:oddVBand="0" w:evenVBand="0" w:oddHBand="0" w:evenHBand="0" w:firstRowFirstColumn="0" w:firstRowLastColumn="0" w:lastRowFirstColumn="0" w:lastRowLastColumn="0"/>
            </w:pPr>
            <w:r w:rsidRPr="00DD6685">
              <w:t>Disclosure - not intended for release</w:t>
            </w:r>
            <w:r w:rsidRPr="00DD6685" w:rsidDel="00E21BEA">
              <w:t xml:space="preserve"> </w:t>
            </w:r>
            <w:r w:rsidRPr="00DD6685">
              <w:t xml:space="preserve">other than inclusion as part of </w:t>
            </w:r>
            <w:r w:rsidRPr="00DD6685">
              <w:lastRenderedPageBreak/>
              <w:t>aggregated dataset for reporting</w:t>
            </w:r>
            <w:proofErr w:type="gramStart"/>
            <w:r w:rsidR="00923621">
              <w:t>.</w:t>
            </w:r>
            <w:r w:rsidRPr="00DD6685">
              <w:t>.</w:t>
            </w:r>
            <w:proofErr w:type="gramEnd"/>
          </w:p>
        </w:tc>
      </w:tr>
      <w:tr w:rsidR="00817CDC" w:rsidRPr="00DD6685" w:rsidTr="00CA5F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 w:type="pct"/>
          </w:tcPr>
          <w:p w:rsidR="00817CDC" w:rsidRPr="00DD6685" w:rsidRDefault="00817CDC" w:rsidP="00D2562E">
            <w:r w:rsidRPr="00DD6685">
              <w:lastRenderedPageBreak/>
              <w:t>Authorisations</w:t>
            </w:r>
          </w:p>
        </w:tc>
        <w:tc>
          <w:tcPr>
            <w:tcW w:w="322"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Collection of </w:t>
            </w:r>
            <w:r w:rsidRPr="00DD6685">
              <w:rPr>
                <w:rFonts w:cs="Times New Roman"/>
              </w:rPr>
              <w:t>Authorisations</w:t>
            </w:r>
          </w:p>
        </w:tc>
        <w:tc>
          <w:tcPr>
            <w:tcW w:w="552"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A list of authorisations that have been approved for the patient.</w:t>
            </w:r>
          </w:p>
        </w:tc>
        <w:tc>
          <w:tcPr>
            <w:tcW w:w="41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874" w:type="pct"/>
          </w:tcPr>
          <w:p w:rsidR="00454B93" w:rsidRPr="00DD6685" w:rsidRDefault="00817CDC" w:rsidP="00454B93">
            <w:pPr>
              <w:cnfStyle w:val="000000100000" w:firstRow="0" w:lastRow="0" w:firstColumn="0" w:lastColumn="0" w:oddVBand="0" w:evenVBand="0" w:oddHBand="1" w:evenHBand="0" w:firstRowFirstColumn="0" w:firstRowLastColumn="0" w:lastRowFirstColumn="0" w:lastRowLastColumn="0"/>
            </w:pPr>
            <w:r w:rsidRPr="00DD6685">
              <w:t xml:space="preserve">Provides transparency of all authorisation requests relevant to the patient - reduces the potential for multiple treatments being provided to the same patient. And/or for communication and planned treatment between clinicians for patients with 2 eligible conditions. (NBA, </w:t>
            </w:r>
            <w:r w:rsidR="00454B93" w:rsidRPr="00DD6685">
              <w:t xml:space="preserve">Authoriser, </w:t>
            </w:r>
            <w:r w:rsidR="00454B93">
              <w:t>Prescriber, Nurse, Dispenser</w:t>
            </w:r>
            <w:r w:rsidR="00454B93" w:rsidRPr="00DD6685">
              <w:t xml:space="preserve">) </w:t>
            </w:r>
          </w:p>
          <w:p w:rsidR="00817CDC" w:rsidRPr="00DD6685" w:rsidRDefault="004242CC" w:rsidP="00D2562E">
            <w:pPr>
              <w:cnfStyle w:val="000000100000" w:firstRow="0" w:lastRow="0" w:firstColumn="0" w:lastColumn="0" w:oddVBand="0" w:evenVBand="0" w:oddHBand="1" w:evenHBand="0" w:firstRowFirstColumn="0" w:firstRowLastColumn="0" w:lastRowFirstColumn="0" w:lastRowLastColumn="0"/>
            </w:pPr>
            <w:r w:rsidRPr="00DD6685">
              <w:t>NBA – 3</w:t>
            </w:r>
          </w:p>
        </w:tc>
        <w:tc>
          <w:tcPr>
            <w:tcW w:w="91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Supports contact of correct treating specialist when patient treatment review for access to ongoing therapy is required.</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(NBA, Authoriser) </w:t>
            </w:r>
          </w:p>
        </w:tc>
        <w:tc>
          <w:tcPr>
            <w:tcW w:w="82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Risk of patients receiving multiple treatments for multiple conditions, and / or inappropriately attending multiple hospitals for treatment.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68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Use – Transparent to some users of system (see security matrix)</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Disclosure - not intended for release other than inclusion as part of aggregated dataset for reporting to….or for research in…..</w:t>
            </w:r>
          </w:p>
        </w:tc>
      </w:tr>
      <w:tr w:rsidR="00817CDC" w:rsidRPr="00DD6685" w:rsidTr="00CA5F63">
        <w:tc>
          <w:tcPr>
            <w:cnfStyle w:val="001000000000" w:firstRow="0" w:lastRow="0" w:firstColumn="1" w:lastColumn="0" w:oddVBand="0" w:evenVBand="0" w:oddHBand="0" w:evenHBand="0" w:firstRowFirstColumn="0" w:firstRowLastColumn="0" w:lastRowFirstColumn="0" w:lastRowLastColumn="0"/>
            <w:tcW w:w="403" w:type="pct"/>
          </w:tcPr>
          <w:p w:rsidR="00817CDC" w:rsidRPr="00DD6685" w:rsidRDefault="00817CDC" w:rsidP="00D2562E">
            <w:r w:rsidRPr="00DD6685">
              <w:lastRenderedPageBreak/>
              <w:t>Do not prescribe Advisories</w:t>
            </w:r>
          </w:p>
        </w:tc>
        <w:tc>
          <w:tcPr>
            <w:tcW w:w="322"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Collection of </w:t>
            </w:r>
            <w:r w:rsidRPr="00DD6685">
              <w:rPr>
                <w:rFonts w:cs="Times New Roman"/>
              </w:rPr>
              <w:t>Do not prescribe advisories</w:t>
            </w:r>
          </w:p>
        </w:tc>
        <w:tc>
          <w:tcPr>
            <w:tcW w:w="552"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A list of advisories to not prescribe a particular product to the patient.</w:t>
            </w:r>
          </w:p>
        </w:tc>
        <w:tc>
          <w:tcPr>
            <w:tcW w:w="41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87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Captures and provides transparency of reasons why a particular Ig Product should not be prescribed</w:t>
            </w:r>
          </w:p>
          <w:p w:rsidR="00817CDC" w:rsidRPr="00DD6685" w:rsidRDefault="00817CDC" w:rsidP="00454B93">
            <w:pPr>
              <w:cnfStyle w:val="000000000000" w:firstRow="0" w:lastRow="0" w:firstColumn="0" w:lastColumn="0" w:oddVBand="0" w:evenVBand="0" w:oddHBand="0" w:evenHBand="0" w:firstRowFirstColumn="0" w:firstRowLastColumn="0" w:lastRowFirstColumn="0" w:lastRowLastColumn="0"/>
            </w:pPr>
            <w:r w:rsidRPr="00DD6685">
              <w:t xml:space="preserve">(Prescriber, </w:t>
            </w:r>
            <w:r w:rsidR="00454B93">
              <w:t>Nurse</w:t>
            </w:r>
            <w:r w:rsidRPr="00DD6685">
              <w:t xml:space="preserve">, Authoriser, </w:t>
            </w:r>
            <w:r w:rsidR="00454B93">
              <w:t xml:space="preserve">Dispenser, </w:t>
            </w:r>
            <w:r w:rsidRPr="00DD6685">
              <w:t>NBA)</w:t>
            </w:r>
          </w:p>
        </w:tc>
        <w:tc>
          <w:tcPr>
            <w:tcW w:w="91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Supports intelligence where advisory is patient preference rather than safety such that at times of preferred product shortage, patient may safely be prescribed non preferred product (as opposed to safety reason). </w:t>
            </w:r>
          </w:p>
        </w:tc>
        <w:tc>
          <w:tcPr>
            <w:tcW w:w="82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Risk to patient safety if Ig product is prescribed to which the patient has had previous adverse reaction.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68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Use – Transparent to some users of system (see security matrix)</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Disclosure - not intended for release other than inclusion as part of aggregated dataset for reporting to ……</w:t>
            </w:r>
          </w:p>
        </w:tc>
      </w:tr>
    </w:tbl>
    <w:p w:rsidR="00D2562E" w:rsidRDefault="00D2562E" w:rsidP="00223E55">
      <w:bookmarkStart w:id="79" w:name="_Hospital_Identifier"/>
      <w:bookmarkEnd w:id="79"/>
    </w:p>
    <w:p w:rsidR="00817CDC" w:rsidRPr="008F24CB" w:rsidRDefault="008107B1" w:rsidP="00D2562E">
      <w:pPr>
        <w:pStyle w:val="Heading3"/>
      </w:pPr>
      <w:r>
        <w:t>Home Therapy A</w:t>
      </w:r>
      <w:r w:rsidR="00817CDC">
        <w:t>dditional Details</w:t>
      </w:r>
    </w:p>
    <w:tbl>
      <w:tblPr>
        <w:tblStyle w:val="IgTable"/>
        <w:tblW w:w="5000" w:type="pct"/>
        <w:tblLook w:val="04A0" w:firstRow="1" w:lastRow="0" w:firstColumn="1" w:lastColumn="0" w:noHBand="0" w:noVBand="1"/>
      </w:tblPr>
      <w:tblGrid>
        <w:gridCol w:w="1321"/>
        <w:gridCol w:w="1376"/>
        <w:gridCol w:w="1201"/>
        <w:gridCol w:w="1298"/>
        <w:gridCol w:w="2278"/>
        <w:gridCol w:w="2275"/>
        <w:gridCol w:w="2276"/>
        <w:gridCol w:w="2149"/>
      </w:tblGrid>
      <w:tr w:rsidR="00817CDC" w:rsidRPr="00DD6685" w:rsidTr="00DD66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8" w:type="pct"/>
          </w:tcPr>
          <w:p w:rsidR="00817CDC" w:rsidRPr="00DD6685" w:rsidRDefault="00817CDC" w:rsidP="00D2562E">
            <w:pPr>
              <w:rPr>
                <w:b w:val="0"/>
                <w:sz w:val="20"/>
              </w:rPr>
            </w:pPr>
            <w:r w:rsidRPr="00DD6685">
              <w:rPr>
                <w:sz w:val="20"/>
              </w:rPr>
              <w:t xml:space="preserve">Column </w:t>
            </w:r>
          </w:p>
        </w:tc>
        <w:tc>
          <w:tcPr>
            <w:tcW w:w="446" w:type="pct"/>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Type</w:t>
            </w:r>
          </w:p>
        </w:tc>
        <w:tc>
          <w:tcPr>
            <w:tcW w:w="448" w:type="pct"/>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Description</w:t>
            </w:r>
          </w:p>
        </w:tc>
        <w:tc>
          <w:tcPr>
            <w:tcW w:w="414" w:type="pct"/>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Validation</w:t>
            </w:r>
          </w:p>
        </w:tc>
        <w:tc>
          <w:tcPr>
            <w:tcW w:w="828" w:type="pct"/>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Primary Purpose for collection</w:t>
            </w:r>
          </w:p>
        </w:tc>
        <w:tc>
          <w:tcPr>
            <w:tcW w:w="827" w:type="pct"/>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sz w:val="20"/>
              </w:rPr>
            </w:pPr>
            <w:r w:rsidRPr="00DD6685">
              <w:rPr>
                <w:sz w:val="20"/>
              </w:rPr>
              <w:t>Secondary purpose for collection</w:t>
            </w:r>
          </w:p>
        </w:tc>
        <w:tc>
          <w:tcPr>
            <w:tcW w:w="827" w:type="pct"/>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sz w:val="20"/>
              </w:rPr>
            </w:pPr>
            <w:r w:rsidRPr="00DD6685">
              <w:rPr>
                <w:sz w:val="20"/>
              </w:rPr>
              <w:t>Consequence to individual if not collected</w:t>
            </w:r>
          </w:p>
        </w:tc>
        <w:tc>
          <w:tcPr>
            <w:tcW w:w="782" w:type="pct"/>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Proposed Use and Disclosure</w:t>
            </w:r>
          </w:p>
        </w:tc>
      </w:tr>
      <w:tr w:rsidR="00817CDC" w:rsidRPr="00DD6685" w:rsidTr="00DD6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 w:type="pct"/>
          </w:tcPr>
          <w:p w:rsidR="00817CDC" w:rsidRPr="00DD6685" w:rsidRDefault="00817CDC" w:rsidP="00D2562E">
            <w:r w:rsidRPr="00DD6685">
              <w:t>Device</w:t>
            </w:r>
          </w:p>
        </w:tc>
        <w:tc>
          <w:tcPr>
            <w:tcW w:w="446"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roofErr w:type="spellStart"/>
            <w:r w:rsidRPr="00DD6685">
              <w:rPr>
                <w:b/>
              </w:rPr>
              <w:t>LOV</w:t>
            </w:r>
            <w:proofErr w:type="spellEnd"/>
            <w:r w:rsidRPr="00DD6685">
              <w:rPr>
                <w:b/>
              </w:rPr>
              <w:t xml:space="preserve">: </w:t>
            </w:r>
            <w:r w:rsidRPr="00DD6685">
              <w:t>Devices</w:t>
            </w:r>
          </w:p>
        </w:tc>
        <w:tc>
          <w:tcPr>
            <w:tcW w:w="448"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The type of pump that the patient uses to infuse the product.</w:t>
            </w:r>
          </w:p>
        </w:tc>
        <w:tc>
          <w:tcPr>
            <w:tcW w:w="41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828"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Provides transparency of the device pump type that is used by the patient to infuse Ig product at home so that consumables, device spare parts &amp; servicing and training can be given </w:t>
            </w:r>
            <w:r w:rsidRPr="00DD6685">
              <w:lastRenderedPageBreak/>
              <w:t>to patient.</w:t>
            </w:r>
          </w:p>
          <w:p w:rsidR="00454B93" w:rsidRPr="00DD6685" w:rsidRDefault="00817CDC" w:rsidP="00454B93">
            <w:pPr>
              <w:cnfStyle w:val="000000100000" w:firstRow="0" w:lastRow="0" w:firstColumn="0" w:lastColumn="0" w:oddVBand="0" w:evenVBand="0" w:oddHBand="1" w:evenHBand="0" w:firstRowFirstColumn="0" w:firstRowLastColumn="0" w:lastRowFirstColumn="0" w:lastRowLastColumn="0"/>
            </w:pPr>
            <w:r w:rsidRPr="00DD6685">
              <w:t>(</w:t>
            </w:r>
            <w:r w:rsidR="00454B93" w:rsidRPr="00DD6685">
              <w:t xml:space="preserve">Authoriser, </w:t>
            </w:r>
            <w:r w:rsidR="00454B93">
              <w:t>Prescriber, Nurse, Dispenser</w:t>
            </w:r>
            <w:r w:rsidR="00454B93" w:rsidRPr="00DD6685">
              <w:t xml:space="preserve">)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82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82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Potential for error in issuing consumables, planning maintenance or replacement pumps to patient in event of breakdown.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Inconvenience to hospital staff to identify </w:t>
            </w:r>
            <w:r w:rsidRPr="00DD6685">
              <w:lastRenderedPageBreak/>
              <w:t xml:space="preserve">which device (pump) is being used by the patient for infusions </w:t>
            </w:r>
          </w:p>
        </w:tc>
        <w:tc>
          <w:tcPr>
            <w:tcW w:w="782"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lastRenderedPageBreak/>
              <w:t>Use – Transparent to some users of system (see security matrix)</w:t>
            </w:r>
          </w:p>
          <w:p w:rsidR="00817CDC" w:rsidRPr="00DD6685" w:rsidRDefault="00154ADF" w:rsidP="00D2562E">
            <w:pPr>
              <w:cnfStyle w:val="000000100000" w:firstRow="0" w:lastRow="0" w:firstColumn="0" w:lastColumn="0" w:oddVBand="0" w:evenVBand="0" w:oddHBand="1" w:evenHBand="0" w:firstRowFirstColumn="0" w:firstRowLastColumn="0" w:lastRowFirstColumn="0" w:lastRowLastColumn="0"/>
            </w:pPr>
            <w:r w:rsidRPr="00DD6685">
              <w:t>Disclos</w:t>
            </w:r>
            <w:r>
              <w:t xml:space="preserve">ure – not intended for release </w:t>
            </w:r>
            <w:r w:rsidRPr="00DD6685">
              <w:t xml:space="preserve">other than ability for local hospital printing to include in patient </w:t>
            </w:r>
            <w:r w:rsidRPr="00DD6685">
              <w:lastRenderedPageBreak/>
              <w:t>medical record.</w:t>
            </w:r>
          </w:p>
        </w:tc>
      </w:tr>
      <w:tr w:rsidR="00817CDC" w:rsidRPr="00DD6685" w:rsidTr="00DD6685">
        <w:tc>
          <w:tcPr>
            <w:cnfStyle w:val="001000000000" w:firstRow="0" w:lastRow="0" w:firstColumn="1" w:lastColumn="0" w:oddVBand="0" w:evenVBand="0" w:oddHBand="0" w:evenHBand="0" w:firstRowFirstColumn="0" w:firstRowLastColumn="0" w:lastRowFirstColumn="0" w:lastRowLastColumn="0"/>
            <w:tcW w:w="428" w:type="pct"/>
          </w:tcPr>
          <w:p w:rsidR="00817CDC" w:rsidRPr="00DD6685" w:rsidRDefault="00817CDC" w:rsidP="00D2562E">
            <w:r w:rsidRPr="00DD6685">
              <w:lastRenderedPageBreak/>
              <w:t>Home Therapy Contact</w:t>
            </w:r>
          </w:p>
        </w:tc>
        <w:tc>
          <w:tcPr>
            <w:tcW w:w="446"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Text</w:t>
            </w:r>
          </w:p>
        </w:tc>
        <w:tc>
          <w:tcPr>
            <w:tcW w:w="448"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The Name of a person that can act as the contact for the patient’s home therapy deliveries.</w:t>
            </w:r>
          </w:p>
        </w:tc>
        <w:tc>
          <w:tcPr>
            <w:tcW w:w="41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828"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Provides transparency of the name of responsible person to provide important information regarding deliveries of product. The contact person might be the Patient or may be another person if carer or patient is a child. </w:t>
            </w:r>
          </w:p>
          <w:p w:rsidR="00454B93" w:rsidRPr="00DD6685" w:rsidRDefault="00817CDC" w:rsidP="00454B93">
            <w:pPr>
              <w:cnfStyle w:val="000000000000" w:firstRow="0" w:lastRow="0" w:firstColumn="0" w:lastColumn="0" w:oddVBand="0" w:evenVBand="0" w:oddHBand="0" w:evenHBand="0" w:firstRowFirstColumn="0" w:firstRowLastColumn="0" w:lastRowFirstColumn="0" w:lastRowLastColumn="0"/>
            </w:pPr>
            <w:r w:rsidRPr="00DD6685">
              <w:t>(</w:t>
            </w:r>
            <w:r w:rsidR="00454B93" w:rsidRPr="00DD6685">
              <w:t xml:space="preserve">Authoriser, </w:t>
            </w:r>
            <w:r w:rsidR="00454B93">
              <w:t>Prescriber, Nurse, Dispenser</w:t>
            </w:r>
            <w:r w:rsidR="00454B93" w:rsidRPr="00DD6685">
              <w:t xml:space="preserve">)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p w:rsidR="00817CDC" w:rsidRPr="00DD6685" w:rsidRDefault="00817CDC" w:rsidP="00DD26FB">
            <w:pPr>
              <w:cnfStyle w:val="000000000000" w:firstRow="0" w:lastRow="0" w:firstColumn="0" w:lastColumn="0" w:oddVBand="0" w:evenVBand="0" w:oddHBand="0" w:evenHBand="0" w:firstRowFirstColumn="0" w:firstRowLastColumn="0" w:lastRowFirstColumn="0" w:lastRowLastColumn="0"/>
            </w:pPr>
          </w:p>
        </w:tc>
        <w:tc>
          <w:tcPr>
            <w:tcW w:w="82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82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Risk to patient safety and convenience as potential for inability to contact conveniently regarding issues related to delivery of product.</w:t>
            </w:r>
          </w:p>
        </w:tc>
        <w:tc>
          <w:tcPr>
            <w:tcW w:w="782"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Use – Transparent to some users of system (see security matrix)</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Disclosure - No plans for disclosure other than ability for local hospital printing to include in patient medical record or as part of de-identified aggregated dataset. – as above</w:t>
            </w:r>
          </w:p>
        </w:tc>
      </w:tr>
      <w:tr w:rsidR="00817CDC" w:rsidRPr="00DD6685" w:rsidTr="00DD6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 w:type="pct"/>
          </w:tcPr>
          <w:p w:rsidR="00817CDC" w:rsidRPr="00DD6685" w:rsidRDefault="00817CDC" w:rsidP="00D2562E">
            <w:r w:rsidRPr="00DD6685">
              <w:t xml:space="preserve">Home Therapy Contact </w:t>
            </w:r>
            <w:r w:rsidRPr="00DD6685">
              <w:lastRenderedPageBreak/>
              <w:t>Relationship</w:t>
            </w:r>
          </w:p>
        </w:tc>
        <w:tc>
          <w:tcPr>
            <w:tcW w:w="446"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roofErr w:type="spellStart"/>
            <w:r w:rsidRPr="00DD6685">
              <w:rPr>
                <w:b/>
              </w:rPr>
              <w:lastRenderedPageBreak/>
              <w:t>LOV</w:t>
            </w:r>
            <w:proofErr w:type="spellEnd"/>
            <w:r w:rsidRPr="00DD6685">
              <w:t>: Relationships</w:t>
            </w:r>
          </w:p>
        </w:tc>
        <w:tc>
          <w:tcPr>
            <w:tcW w:w="448"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The relationship to the </w:t>
            </w:r>
            <w:r w:rsidRPr="00DD6685">
              <w:lastRenderedPageBreak/>
              <w:t>patient of the home therapy contact.</w:t>
            </w:r>
          </w:p>
        </w:tc>
        <w:tc>
          <w:tcPr>
            <w:tcW w:w="41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828"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Provides transparency of the relationship of contact person to </w:t>
            </w:r>
            <w:r w:rsidRPr="00DD6685">
              <w:lastRenderedPageBreak/>
              <w:t>patient</w:t>
            </w:r>
          </w:p>
          <w:p w:rsidR="00454B93" w:rsidRPr="00DD6685" w:rsidRDefault="00817CDC" w:rsidP="00454B93">
            <w:pPr>
              <w:cnfStyle w:val="000000100000" w:firstRow="0" w:lastRow="0" w:firstColumn="0" w:lastColumn="0" w:oddVBand="0" w:evenVBand="0" w:oddHBand="1" w:evenHBand="0" w:firstRowFirstColumn="0" w:firstRowLastColumn="0" w:lastRowFirstColumn="0" w:lastRowLastColumn="0"/>
            </w:pPr>
            <w:r w:rsidRPr="00DD6685">
              <w:t>(</w:t>
            </w:r>
            <w:r w:rsidR="00454B93">
              <w:t xml:space="preserve">NBA, </w:t>
            </w:r>
            <w:r w:rsidR="00454B93" w:rsidRPr="00DD6685">
              <w:t xml:space="preserve">Authoriser, </w:t>
            </w:r>
            <w:r w:rsidR="00454B93">
              <w:t>Prescriber, Nurse, Dispenser</w:t>
            </w:r>
            <w:r w:rsidR="00454B93" w:rsidRPr="00DD6685">
              <w:t xml:space="preserve">)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82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82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Lack of validation and identification of contact person and relationship </w:t>
            </w:r>
            <w:r w:rsidRPr="00DD6685">
              <w:lastRenderedPageBreak/>
              <w:t>to patient. Will this lead to no delivery?</w:t>
            </w:r>
          </w:p>
        </w:tc>
        <w:tc>
          <w:tcPr>
            <w:tcW w:w="782"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lastRenderedPageBreak/>
              <w:t xml:space="preserve">Use – Transparent to some users of system </w:t>
            </w:r>
            <w:r w:rsidRPr="00DD6685">
              <w:lastRenderedPageBreak/>
              <w:t>(see security matrix)</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Disclosure - No plans for disclosure other than ability for local hospital printing to include in patient medical record. </w:t>
            </w:r>
          </w:p>
        </w:tc>
      </w:tr>
      <w:tr w:rsidR="00817CDC" w:rsidRPr="00DD6685" w:rsidTr="00DD6685">
        <w:tc>
          <w:tcPr>
            <w:cnfStyle w:val="001000000000" w:firstRow="0" w:lastRow="0" w:firstColumn="1" w:lastColumn="0" w:oddVBand="0" w:evenVBand="0" w:oddHBand="0" w:evenHBand="0" w:firstRowFirstColumn="0" w:firstRowLastColumn="0" w:lastRowFirstColumn="0" w:lastRowLastColumn="0"/>
            <w:tcW w:w="428" w:type="pct"/>
          </w:tcPr>
          <w:p w:rsidR="00817CDC" w:rsidRPr="00DD6685" w:rsidRDefault="00817CDC" w:rsidP="00D2562E">
            <w:r w:rsidRPr="00DD6685">
              <w:lastRenderedPageBreak/>
              <w:t>Phone</w:t>
            </w:r>
          </w:p>
        </w:tc>
        <w:tc>
          <w:tcPr>
            <w:tcW w:w="446"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Text</w:t>
            </w:r>
          </w:p>
        </w:tc>
        <w:tc>
          <w:tcPr>
            <w:tcW w:w="448"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A phone number at the delivery address</w:t>
            </w:r>
          </w:p>
        </w:tc>
        <w:tc>
          <w:tcPr>
            <w:tcW w:w="41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828"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Provides transparency of telephone contact at delivery address. </w:t>
            </w:r>
          </w:p>
          <w:p w:rsidR="00817CDC" w:rsidRPr="00DD6685" w:rsidRDefault="00454B93" w:rsidP="00D2562E">
            <w:pPr>
              <w:cnfStyle w:val="000000000000" w:firstRow="0" w:lastRow="0" w:firstColumn="0" w:lastColumn="0" w:oddVBand="0" w:evenVBand="0" w:oddHBand="0" w:evenHBand="0" w:firstRowFirstColumn="0" w:firstRowLastColumn="0" w:lastRowFirstColumn="0" w:lastRowLastColumn="0"/>
            </w:pPr>
            <w:r>
              <w:t>(Prescriber, Nurse, Dispenser</w:t>
            </w:r>
            <w:r w:rsidRPr="00DD6685">
              <w:t xml:space="preserve">) </w:t>
            </w:r>
          </w:p>
          <w:p w:rsidR="00817CDC" w:rsidRPr="00DD6685" w:rsidRDefault="00817CDC" w:rsidP="00454B93">
            <w:pPr>
              <w:cnfStyle w:val="000000000000" w:firstRow="0" w:lastRow="0" w:firstColumn="0" w:lastColumn="0" w:oddVBand="0" w:evenVBand="0" w:oddHBand="0" w:evenHBand="0" w:firstRowFirstColumn="0" w:firstRowLastColumn="0" w:lastRowFirstColumn="0" w:lastRowLastColumn="0"/>
            </w:pPr>
          </w:p>
        </w:tc>
        <w:tc>
          <w:tcPr>
            <w:tcW w:w="82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Supports telephone contact regarding product deliveries.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(Hospital,)</w:t>
            </w:r>
          </w:p>
        </w:tc>
        <w:tc>
          <w:tcPr>
            <w:tcW w:w="82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Inability to readily contact patient regarding changes in product deliveries.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Potential patient safety risk where product remains unrefrigerated for extended periods and/or product wastage. </w:t>
            </w:r>
          </w:p>
        </w:tc>
        <w:tc>
          <w:tcPr>
            <w:tcW w:w="782"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Use – Transparent to some users of system (see security matrix)</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Disclosure - No plans for disclosure other than ability for local hospital printing to include in patient medical record.</w:t>
            </w:r>
          </w:p>
        </w:tc>
      </w:tr>
      <w:tr w:rsidR="00817CDC" w:rsidRPr="00DD6685" w:rsidTr="00DD6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 w:type="pct"/>
          </w:tcPr>
          <w:p w:rsidR="00817CDC" w:rsidRPr="00DD6685" w:rsidRDefault="00817CDC" w:rsidP="00D2562E">
            <w:r w:rsidRPr="00DD6685">
              <w:t>Supply Arrangement</w:t>
            </w:r>
          </w:p>
        </w:tc>
        <w:tc>
          <w:tcPr>
            <w:tcW w:w="446" w:type="pct"/>
          </w:tcPr>
          <w:p w:rsidR="00817CDC" w:rsidRPr="00DD6685" w:rsidDel="005C0050" w:rsidRDefault="00817CDC" w:rsidP="00D2562E">
            <w:pPr>
              <w:cnfStyle w:val="000000100000" w:firstRow="0" w:lastRow="0" w:firstColumn="0" w:lastColumn="0" w:oddVBand="0" w:evenVBand="0" w:oddHBand="1" w:evenHBand="0" w:firstRowFirstColumn="0" w:firstRowLastColumn="0" w:lastRowFirstColumn="0" w:lastRowLastColumn="0"/>
            </w:pPr>
            <w:proofErr w:type="spellStart"/>
            <w:r w:rsidRPr="00DD6685">
              <w:rPr>
                <w:b/>
              </w:rPr>
              <w:t>LOV</w:t>
            </w:r>
            <w:proofErr w:type="spellEnd"/>
            <w:r w:rsidRPr="00DD6685">
              <w:t>: Home Therapy Supply Arrangements</w:t>
            </w:r>
          </w:p>
        </w:tc>
        <w:tc>
          <w:tcPr>
            <w:tcW w:w="448"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41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Valid Values:</w:t>
            </w:r>
          </w:p>
          <w:p w:rsidR="00817CDC" w:rsidRPr="00DD6685"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r w:rsidRPr="00DD6685">
              <w:t>Patient collects from dispenser</w:t>
            </w:r>
          </w:p>
          <w:p w:rsidR="00817CDC" w:rsidRPr="00DD6685"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r w:rsidRPr="00DD6685">
              <w:t>Delivery to Patient’s address</w:t>
            </w:r>
          </w:p>
        </w:tc>
        <w:tc>
          <w:tcPr>
            <w:tcW w:w="828" w:type="pct"/>
          </w:tcPr>
          <w:p w:rsidR="00817CDC" w:rsidRPr="00DD6685" w:rsidRDefault="00154ADF" w:rsidP="00D2562E">
            <w:pPr>
              <w:cnfStyle w:val="000000100000" w:firstRow="0" w:lastRow="0" w:firstColumn="0" w:lastColumn="0" w:oddVBand="0" w:evenVBand="0" w:oddHBand="1" w:evenHBand="0" w:firstRowFirstColumn="0" w:firstRowLastColumn="0" w:lastRowFirstColumn="0" w:lastRowLastColumn="0"/>
            </w:pPr>
            <w:r w:rsidRPr="00DD6685">
              <w:t xml:space="preserve">Provides transparency </w:t>
            </w:r>
            <w:proofErr w:type="gramStart"/>
            <w:r w:rsidRPr="00DD6685">
              <w:t>of  patient</w:t>
            </w:r>
            <w:proofErr w:type="gramEnd"/>
            <w:r w:rsidRPr="00DD6685">
              <w:t xml:space="preserve">/hospital preference for product deliveries in order to distinguish those patients on home delivery of product from patients attending hospital to collect </w:t>
            </w:r>
            <w:r w:rsidRPr="00DD6685">
              <w:lastRenderedPageBreak/>
              <w:t xml:space="preserve">product. </w:t>
            </w:r>
          </w:p>
          <w:p w:rsidR="00817CDC" w:rsidRPr="00DD6685" w:rsidRDefault="00817CDC" w:rsidP="00454B93">
            <w:pPr>
              <w:cnfStyle w:val="000000100000" w:firstRow="0" w:lastRow="0" w:firstColumn="0" w:lastColumn="0" w:oddVBand="0" w:evenVBand="0" w:oddHBand="1" w:evenHBand="0" w:firstRowFirstColumn="0" w:firstRowLastColumn="0" w:lastRowFirstColumn="0" w:lastRowLastColumn="0"/>
            </w:pPr>
            <w:r w:rsidRPr="00DD6685">
              <w:t>(</w:t>
            </w:r>
            <w:r w:rsidR="00454B93" w:rsidRPr="00DD6685">
              <w:t xml:space="preserve">Authoriser, </w:t>
            </w:r>
            <w:r w:rsidR="00454B93">
              <w:t>Prescriber, Nurse, Dispenser,</w:t>
            </w:r>
            <w:r w:rsidRPr="00DD6685">
              <w:t xml:space="preserve"> NBA)</w:t>
            </w:r>
          </w:p>
        </w:tc>
        <w:tc>
          <w:tcPr>
            <w:tcW w:w="82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827" w:type="pct"/>
          </w:tcPr>
          <w:p w:rsidR="00817CDC" w:rsidRPr="00DD6685" w:rsidRDefault="00817CDC" w:rsidP="00154ADF">
            <w:pPr>
              <w:cnfStyle w:val="000000100000" w:firstRow="0" w:lastRow="0" w:firstColumn="0" w:lastColumn="0" w:oddVBand="0" w:evenVBand="0" w:oddHBand="1" w:evenHBand="0" w:firstRowFirstColumn="0" w:firstRowLastColumn="0" w:lastRowFirstColumn="0" w:lastRowLastColumn="0"/>
            </w:pPr>
            <w:r w:rsidRPr="00DD6685">
              <w:t xml:space="preserve">Patient home deliveries could not be supported in future and/or increased cost to modify system at a later stage. </w:t>
            </w:r>
          </w:p>
        </w:tc>
        <w:tc>
          <w:tcPr>
            <w:tcW w:w="782"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Use – Transparent to some users of system (see security matrix)</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Disclosure - No plans for disclosure other than ability for local hospital printing to include in patient </w:t>
            </w:r>
            <w:r w:rsidRPr="00DD6685">
              <w:lastRenderedPageBreak/>
              <w:t>medical record.</w:t>
            </w:r>
          </w:p>
        </w:tc>
      </w:tr>
      <w:tr w:rsidR="00817CDC" w:rsidRPr="00DD6685" w:rsidTr="00DD6685">
        <w:tc>
          <w:tcPr>
            <w:cnfStyle w:val="001000000000" w:firstRow="0" w:lastRow="0" w:firstColumn="1" w:lastColumn="0" w:oddVBand="0" w:evenVBand="0" w:oddHBand="0" w:evenHBand="0" w:firstRowFirstColumn="0" w:firstRowLastColumn="0" w:lastRowFirstColumn="0" w:lastRowLastColumn="0"/>
            <w:tcW w:w="428" w:type="pct"/>
          </w:tcPr>
          <w:p w:rsidR="00817CDC" w:rsidRPr="00DD6685" w:rsidRDefault="00817CDC" w:rsidP="00D2562E">
            <w:r w:rsidRPr="00DD6685">
              <w:lastRenderedPageBreak/>
              <w:t>Delivery Address</w:t>
            </w:r>
          </w:p>
        </w:tc>
        <w:tc>
          <w:tcPr>
            <w:tcW w:w="446"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Address</w:t>
            </w:r>
          </w:p>
        </w:tc>
        <w:tc>
          <w:tcPr>
            <w:tcW w:w="448"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The address to which deliveries of product shall be sent</w:t>
            </w:r>
          </w:p>
        </w:tc>
        <w:tc>
          <w:tcPr>
            <w:tcW w:w="41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Required if Supply Arrangement = Delivery to Patient’s Address</w:t>
            </w:r>
          </w:p>
        </w:tc>
        <w:tc>
          <w:tcPr>
            <w:tcW w:w="828"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Provides transparency of the delivery address for product to be sent for infusion by patients. </w:t>
            </w:r>
          </w:p>
          <w:p w:rsidR="00817CDC" w:rsidRPr="00DD6685" w:rsidRDefault="00DD26FB" w:rsidP="00D2562E">
            <w:pPr>
              <w:cnfStyle w:val="000000000000" w:firstRow="0" w:lastRow="0" w:firstColumn="0" w:lastColumn="0" w:oddVBand="0" w:evenVBand="0" w:oddHBand="0" w:evenHBand="0" w:firstRowFirstColumn="0" w:firstRowLastColumn="0" w:lastRowFirstColumn="0" w:lastRowLastColumn="0"/>
            </w:pPr>
            <w:r w:rsidRPr="00DD6685">
              <w:t xml:space="preserve">(Authoriser, </w:t>
            </w:r>
            <w:r>
              <w:t>Prescriber, Nurse, Dispenser,</w:t>
            </w:r>
            <w:r w:rsidRPr="00DD6685">
              <w:t xml:space="preserve"> NBA)</w:t>
            </w:r>
          </w:p>
        </w:tc>
        <w:tc>
          <w:tcPr>
            <w:tcW w:w="82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82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Home delivery of product cannot be supported without identification of a delivery address. </w:t>
            </w:r>
          </w:p>
        </w:tc>
        <w:tc>
          <w:tcPr>
            <w:tcW w:w="782"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Use – Transparent to some users of system (see security matrix). Information would be provided to distributor.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Disclosure – (what about to the Distributor to deliver the product?) No plans for disclosure other than ability for local hospital printing to include in patient medical record.</w:t>
            </w:r>
          </w:p>
        </w:tc>
      </w:tr>
    </w:tbl>
    <w:p w:rsidR="00817CDC" w:rsidRDefault="00817CDC" w:rsidP="00817CDC"/>
    <w:p w:rsidR="00817CDC" w:rsidRDefault="00817CDC" w:rsidP="008107B1">
      <w:pPr>
        <w:pStyle w:val="Heading3"/>
      </w:pPr>
      <w:r>
        <w:t>Hospital Identifier</w:t>
      </w:r>
    </w:p>
    <w:p w:rsidR="00817CDC" w:rsidRPr="00E4491A" w:rsidRDefault="00817CDC" w:rsidP="00817CDC">
      <w:r>
        <w:t>A hospital identifier represents the relationship between a patient and a hospital.  A Hospital Identifier is created for each hospital at which the patient has an interaction (consultation or treatment).</w:t>
      </w:r>
    </w:p>
    <w:tbl>
      <w:tblPr>
        <w:tblStyle w:val="IgTable"/>
        <w:tblW w:w="0" w:type="auto"/>
        <w:tblLook w:val="04A0" w:firstRow="1" w:lastRow="0" w:firstColumn="1" w:lastColumn="0" w:noHBand="0" w:noVBand="1"/>
      </w:tblPr>
      <w:tblGrid>
        <w:gridCol w:w="1166"/>
        <w:gridCol w:w="1175"/>
        <w:gridCol w:w="1487"/>
        <w:gridCol w:w="1339"/>
        <w:gridCol w:w="2267"/>
        <w:gridCol w:w="2323"/>
        <w:gridCol w:w="2277"/>
        <w:gridCol w:w="2140"/>
      </w:tblGrid>
      <w:tr w:rsidR="00817CDC" w:rsidRPr="00DD6685" w:rsidTr="00D256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2" w:type="dxa"/>
          </w:tcPr>
          <w:p w:rsidR="00817CDC" w:rsidRPr="00DD6685" w:rsidRDefault="00817CDC" w:rsidP="00D2562E">
            <w:pPr>
              <w:rPr>
                <w:b w:val="0"/>
                <w:sz w:val="20"/>
              </w:rPr>
            </w:pPr>
            <w:r w:rsidRPr="00DD6685">
              <w:rPr>
                <w:sz w:val="20"/>
              </w:rPr>
              <w:lastRenderedPageBreak/>
              <w:t xml:space="preserve">Column </w:t>
            </w:r>
          </w:p>
        </w:tc>
        <w:tc>
          <w:tcPr>
            <w:tcW w:w="1284" w:type="dxa"/>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Type</w:t>
            </w:r>
          </w:p>
        </w:tc>
        <w:tc>
          <w:tcPr>
            <w:tcW w:w="1560" w:type="dxa"/>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Description</w:t>
            </w:r>
          </w:p>
        </w:tc>
        <w:tc>
          <w:tcPr>
            <w:tcW w:w="1417" w:type="dxa"/>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Validation</w:t>
            </w:r>
          </w:p>
        </w:tc>
        <w:tc>
          <w:tcPr>
            <w:tcW w:w="2552" w:type="dxa"/>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Primary Purpose for collection</w:t>
            </w:r>
          </w:p>
        </w:tc>
        <w:tc>
          <w:tcPr>
            <w:tcW w:w="2551" w:type="dxa"/>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sz w:val="20"/>
              </w:rPr>
            </w:pPr>
            <w:r w:rsidRPr="00DD6685">
              <w:rPr>
                <w:sz w:val="20"/>
              </w:rPr>
              <w:t>Secondary purpose for collection</w:t>
            </w:r>
          </w:p>
        </w:tc>
        <w:tc>
          <w:tcPr>
            <w:tcW w:w="2410" w:type="dxa"/>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sz w:val="20"/>
              </w:rPr>
            </w:pPr>
            <w:r w:rsidRPr="00DD6685">
              <w:rPr>
                <w:sz w:val="20"/>
              </w:rPr>
              <w:t>Consequence if not collected</w:t>
            </w:r>
          </w:p>
        </w:tc>
        <w:tc>
          <w:tcPr>
            <w:tcW w:w="2410" w:type="dxa"/>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Proposed use and disclosure</w:t>
            </w:r>
          </w:p>
        </w:tc>
      </w:tr>
      <w:tr w:rsidR="00817CDC" w:rsidRPr="00DD6685" w:rsidTr="00D25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817CDC" w:rsidRPr="00DD6685" w:rsidRDefault="00817CDC" w:rsidP="00D2562E">
            <w:r w:rsidRPr="00DD6685">
              <w:t>Patient</w:t>
            </w:r>
          </w:p>
        </w:tc>
        <w:tc>
          <w:tcPr>
            <w:tcW w:w="1284"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rPr>
                <w:rFonts w:cs="Times New Roman"/>
              </w:rPr>
              <w:t>Patient</w:t>
            </w:r>
          </w:p>
        </w:tc>
        <w:tc>
          <w:tcPr>
            <w:tcW w:w="1560"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The patient to which the hospital identifier pertains to.</w:t>
            </w:r>
          </w:p>
        </w:tc>
        <w:tc>
          <w:tcPr>
            <w:tcW w:w="1417"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2552"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Provides transparency and confirmation of access to the correct patient record to deliver the correct data relevant to the patient and treatment</w:t>
            </w:r>
          </w:p>
          <w:p w:rsidR="00817CDC" w:rsidRPr="00DD6685" w:rsidRDefault="00DD26FB" w:rsidP="00D2562E">
            <w:pPr>
              <w:cnfStyle w:val="000000100000" w:firstRow="0" w:lastRow="0" w:firstColumn="0" w:lastColumn="0" w:oddVBand="0" w:evenVBand="0" w:oddHBand="1" w:evenHBand="0" w:firstRowFirstColumn="0" w:firstRowLastColumn="0" w:lastRowFirstColumn="0" w:lastRowLastColumn="0"/>
            </w:pPr>
            <w:r w:rsidRPr="00DD6685">
              <w:t>(</w:t>
            </w:r>
            <w:r>
              <w:t>Prescriber, Nurse, Dispenser,</w:t>
            </w:r>
            <w:r w:rsidRPr="00DD6685">
              <w:t xml:space="preserve"> NBA)</w:t>
            </w:r>
          </w:p>
          <w:p w:rsidR="00817CDC" w:rsidRPr="00DD6685" w:rsidRDefault="00817CDC" w:rsidP="00DD26FB">
            <w:pPr>
              <w:cnfStyle w:val="000000100000" w:firstRow="0" w:lastRow="0" w:firstColumn="0" w:lastColumn="0" w:oddVBand="0" w:evenVBand="0" w:oddHBand="1" w:evenHBand="0" w:firstRowFirstColumn="0" w:firstRowLastColumn="0" w:lastRowFirstColumn="0" w:lastRowLastColumn="0"/>
            </w:pPr>
          </w:p>
        </w:tc>
        <w:tc>
          <w:tcPr>
            <w:tcW w:w="2551"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2410"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Patient safety risk where user accesses incorrect patient record and enters data activating wrong treatment/product.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Increased risk of duplicate patient record being created.</w:t>
            </w:r>
          </w:p>
        </w:tc>
        <w:tc>
          <w:tcPr>
            <w:tcW w:w="2410"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Use – Transparent to some users of system (see security matrix). Information would be provided to distributor.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Disclosure - No plans for disclosure other than including data in aggregated dataset. – as above</w:t>
            </w:r>
          </w:p>
        </w:tc>
      </w:tr>
      <w:tr w:rsidR="00817CDC" w:rsidRPr="00DD6685" w:rsidTr="00D2562E">
        <w:tc>
          <w:tcPr>
            <w:cnfStyle w:val="001000000000" w:firstRow="0" w:lastRow="0" w:firstColumn="1" w:lastColumn="0" w:oddVBand="0" w:evenVBand="0" w:oddHBand="0" w:evenHBand="0" w:firstRowFirstColumn="0" w:firstRowLastColumn="0" w:lastRowFirstColumn="0" w:lastRowLastColumn="0"/>
            <w:tcW w:w="1242" w:type="dxa"/>
          </w:tcPr>
          <w:p w:rsidR="00817CDC" w:rsidRPr="00DD6685" w:rsidRDefault="00817CDC" w:rsidP="00D2562E">
            <w:r w:rsidRPr="00DD6685">
              <w:t>Hospital</w:t>
            </w:r>
          </w:p>
        </w:tc>
        <w:tc>
          <w:tcPr>
            <w:tcW w:w="1284" w:type="dxa"/>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Site </w:t>
            </w:r>
          </w:p>
        </w:tc>
        <w:tc>
          <w:tcPr>
            <w:tcW w:w="1560" w:type="dxa"/>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The hospital (site) for which this identifier is defined where patients will attend to collect or attend for treatment and/or attend for consultation with doctors. </w:t>
            </w:r>
          </w:p>
        </w:tc>
        <w:tc>
          <w:tcPr>
            <w:tcW w:w="1417" w:type="dxa"/>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List will default to site for logged on user or selected from valid list generated from </w:t>
            </w:r>
            <w:proofErr w:type="spellStart"/>
            <w:r w:rsidRPr="00DD6685">
              <w:t>BloodNet</w:t>
            </w:r>
            <w:proofErr w:type="spellEnd"/>
          </w:p>
        </w:tc>
        <w:tc>
          <w:tcPr>
            <w:tcW w:w="2552" w:type="dxa"/>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Links the patient to a hospital for treatment thereby enabling transparency of all hospital affiliations for a patient. </w:t>
            </w:r>
          </w:p>
          <w:p w:rsidR="00817CDC" w:rsidRPr="00DD6685" w:rsidRDefault="00DD26FB" w:rsidP="009F77B6">
            <w:pPr>
              <w:cnfStyle w:val="000000000000" w:firstRow="0" w:lastRow="0" w:firstColumn="0" w:lastColumn="0" w:oddVBand="0" w:evenVBand="0" w:oddHBand="0" w:evenHBand="0" w:firstRowFirstColumn="0" w:firstRowLastColumn="0" w:lastRowFirstColumn="0" w:lastRowLastColumn="0"/>
            </w:pPr>
            <w:r w:rsidRPr="00DD6685">
              <w:t>(</w:t>
            </w:r>
            <w:r>
              <w:t>Prescriber, Nurse, Dispenser,</w:t>
            </w:r>
            <w:r w:rsidRPr="00DD6685">
              <w:t xml:space="preserve"> NBA)</w:t>
            </w:r>
          </w:p>
        </w:tc>
        <w:tc>
          <w:tcPr>
            <w:tcW w:w="2551" w:type="dxa"/>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Reduces the potential for multiple treatments being provided to the same patient.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And supports contact of correct treating specialist when patient treatment review for access to ongoing therapy is required. </w:t>
            </w:r>
          </w:p>
        </w:tc>
        <w:tc>
          <w:tcPr>
            <w:tcW w:w="2410" w:type="dxa"/>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Patient safety risk where user accesses incorrect patient record and enters data activating wrong treatment/product.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Increased risk of duplicate patient record being created.</w:t>
            </w:r>
          </w:p>
        </w:tc>
        <w:tc>
          <w:tcPr>
            <w:tcW w:w="2410" w:type="dxa"/>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Use – Transparent to some users of system (see security matrix).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Disclosure - No disclosure at record level other than local hospital printing of record for medical case notes. </w:t>
            </w:r>
          </w:p>
        </w:tc>
      </w:tr>
      <w:tr w:rsidR="00817CDC" w:rsidRPr="00DD6685" w:rsidTr="00D25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817CDC" w:rsidRPr="00DD6685" w:rsidRDefault="00817CDC" w:rsidP="00D2562E">
            <w:r w:rsidRPr="00DD6685">
              <w:t>Patient ID</w:t>
            </w:r>
          </w:p>
        </w:tc>
        <w:tc>
          <w:tcPr>
            <w:tcW w:w="1284"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Text</w:t>
            </w:r>
          </w:p>
        </w:tc>
        <w:tc>
          <w:tcPr>
            <w:tcW w:w="1560"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The identifier used by the hospital/site to </w:t>
            </w:r>
            <w:r w:rsidRPr="00DD6685">
              <w:lastRenderedPageBreak/>
              <w:t>uniquely identify the patient.</w:t>
            </w:r>
          </w:p>
        </w:tc>
        <w:tc>
          <w:tcPr>
            <w:tcW w:w="1417"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2552"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Supports patient search process and provides an additional check that </w:t>
            </w:r>
            <w:r w:rsidRPr="00DD6685">
              <w:lastRenderedPageBreak/>
              <w:t xml:space="preserve">access has been gained to the correct patient record. </w:t>
            </w:r>
          </w:p>
          <w:p w:rsidR="00817CDC" w:rsidRPr="00DD6685" w:rsidRDefault="00DD26FB" w:rsidP="009F77B6">
            <w:pPr>
              <w:cnfStyle w:val="000000100000" w:firstRow="0" w:lastRow="0" w:firstColumn="0" w:lastColumn="0" w:oddVBand="0" w:evenVBand="0" w:oddHBand="1" w:evenHBand="0" w:firstRowFirstColumn="0" w:firstRowLastColumn="0" w:lastRowFirstColumn="0" w:lastRowLastColumn="0"/>
            </w:pPr>
            <w:r w:rsidRPr="00DD6685">
              <w:t>(</w:t>
            </w:r>
            <w:r>
              <w:t>Prescriber, Nurse, Dispenser,</w:t>
            </w:r>
            <w:r w:rsidRPr="00DD6685">
              <w:t xml:space="preserve"> NBA)</w:t>
            </w:r>
          </w:p>
        </w:tc>
        <w:tc>
          <w:tcPr>
            <w:tcW w:w="2551"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lastRenderedPageBreak/>
              <w:t xml:space="preserve">Ease of search by hospital staff where Patient ID is </w:t>
            </w:r>
            <w:r w:rsidRPr="00DD6685">
              <w:lastRenderedPageBreak/>
              <w:t xml:space="preserve">readily accessible.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Used as a reference in email and Treating Specialist correspondence regarding identifying the correct patient for periodical treatment review prior to authorisation for ongoing therapy. (Hospital)</w:t>
            </w:r>
          </w:p>
        </w:tc>
        <w:tc>
          <w:tcPr>
            <w:tcW w:w="2410"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lastRenderedPageBreak/>
              <w:t xml:space="preserve">Patient safety risk where user accesses incorrect patient record and </w:t>
            </w:r>
            <w:r w:rsidRPr="00DD6685">
              <w:lastRenderedPageBreak/>
              <w:t xml:space="preserve">enters data activating wrong treatment/product.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Increased risk of duplicate patient record being created. </w:t>
            </w:r>
          </w:p>
        </w:tc>
        <w:tc>
          <w:tcPr>
            <w:tcW w:w="2410"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lastRenderedPageBreak/>
              <w:t xml:space="preserve">Use – Transparent to some users of system </w:t>
            </w:r>
            <w:r w:rsidRPr="00DD6685">
              <w:lastRenderedPageBreak/>
              <w:t xml:space="preserve">(see security matrix).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Disclosure - No disclosure at record level other than local hospital printing of record for medical case notes.</w:t>
            </w:r>
          </w:p>
        </w:tc>
      </w:tr>
    </w:tbl>
    <w:p w:rsidR="00817CDC" w:rsidRDefault="00817CDC" w:rsidP="00817CDC"/>
    <w:p w:rsidR="00817CDC" w:rsidRDefault="00817CDC" w:rsidP="008107B1">
      <w:pPr>
        <w:pStyle w:val="Heading3"/>
      </w:pPr>
      <w:bookmarkStart w:id="80" w:name="_Authorisation_Request"/>
      <w:bookmarkEnd w:id="80"/>
      <w:r>
        <w:t>Authorisation Request</w:t>
      </w:r>
    </w:p>
    <w:p w:rsidR="00817CDC" w:rsidRPr="000417EB" w:rsidRDefault="00817CDC" w:rsidP="00817CDC">
      <w:proofErr w:type="gramStart"/>
      <w:r>
        <w:t>A formal request from a medical officer to treat a patient with immunoglobulin under one of the authorisation pathways.</w:t>
      </w:r>
      <w:proofErr w:type="gramEnd"/>
      <w:r>
        <w:t xml:space="preserve">  A request must be made for a specific patient having a condition set out in the Criteria for Use.</w:t>
      </w:r>
    </w:p>
    <w:tbl>
      <w:tblPr>
        <w:tblStyle w:val="IgTable"/>
        <w:tblW w:w="5000" w:type="pct"/>
        <w:tblLook w:val="04A0" w:firstRow="1" w:lastRow="0" w:firstColumn="1" w:lastColumn="0" w:noHBand="0" w:noVBand="1"/>
      </w:tblPr>
      <w:tblGrid>
        <w:gridCol w:w="1364"/>
        <w:gridCol w:w="1355"/>
        <w:gridCol w:w="1551"/>
        <w:gridCol w:w="1556"/>
        <w:gridCol w:w="2152"/>
        <w:gridCol w:w="2024"/>
        <w:gridCol w:w="2154"/>
        <w:gridCol w:w="2018"/>
      </w:tblGrid>
      <w:tr w:rsidR="00564D53" w:rsidRPr="00DD6685" w:rsidTr="00564D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pPr>
              <w:rPr>
                <w:b w:val="0"/>
                <w:sz w:val="20"/>
              </w:rPr>
            </w:pPr>
            <w:r w:rsidRPr="00DD6685">
              <w:rPr>
                <w:sz w:val="20"/>
              </w:rPr>
              <w:t xml:space="preserve">Column </w:t>
            </w:r>
          </w:p>
        </w:tc>
        <w:tc>
          <w:tcPr>
            <w:tcW w:w="478" w:type="pct"/>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Type</w:t>
            </w:r>
          </w:p>
        </w:tc>
        <w:tc>
          <w:tcPr>
            <w:tcW w:w="547" w:type="pct"/>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Description</w:t>
            </w:r>
          </w:p>
        </w:tc>
        <w:tc>
          <w:tcPr>
            <w:tcW w:w="549" w:type="pct"/>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Validation</w:t>
            </w:r>
          </w:p>
        </w:tc>
        <w:tc>
          <w:tcPr>
            <w:tcW w:w="759" w:type="pct"/>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Primary purpose for collection</w:t>
            </w:r>
          </w:p>
        </w:tc>
        <w:tc>
          <w:tcPr>
            <w:tcW w:w="714" w:type="pct"/>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sz w:val="20"/>
              </w:rPr>
            </w:pPr>
            <w:r w:rsidRPr="00DD6685">
              <w:rPr>
                <w:sz w:val="20"/>
              </w:rPr>
              <w:t>Secondary purpose for collection</w:t>
            </w:r>
          </w:p>
        </w:tc>
        <w:tc>
          <w:tcPr>
            <w:tcW w:w="760" w:type="pct"/>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sz w:val="20"/>
              </w:rPr>
            </w:pPr>
            <w:r w:rsidRPr="00DD6685">
              <w:rPr>
                <w:sz w:val="20"/>
              </w:rPr>
              <w:t>Consequence to individual if not collected</w:t>
            </w:r>
          </w:p>
        </w:tc>
        <w:tc>
          <w:tcPr>
            <w:tcW w:w="713" w:type="pct"/>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Proposed  use and disclosure</w:t>
            </w:r>
          </w:p>
        </w:tc>
      </w:tr>
      <w:tr w:rsidR="00817CDC" w:rsidRPr="00DD6685" w:rsidTr="00564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r w:rsidRPr="00DD6685">
              <w:t>Authorisation Request ID</w:t>
            </w:r>
          </w:p>
        </w:tc>
        <w:tc>
          <w:tcPr>
            <w:tcW w:w="478" w:type="pct"/>
          </w:tcPr>
          <w:p w:rsidR="00817CDC" w:rsidRPr="00DD6685" w:rsidRDefault="00154ADF" w:rsidP="00D2562E">
            <w:pPr>
              <w:cnfStyle w:val="000000100000" w:firstRow="0" w:lastRow="0" w:firstColumn="0" w:lastColumn="0" w:oddVBand="0" w:evenVBand="0" w:oddHBand="1" w:evenHBand="0" w:firstRowFirstColumn="0" w:firstRowLastColumn="0" w:lastRowFirstColumn="0" w:lastRowLastColumn="0"/>
            </w:pPr>
            <w:r w:rsidRPr="00DD6685">
              <w:t>Alpha</w:t>
            </w:r>
            <w:r>
              <w:t>n</w:t>
            </w:r>
            <w:r w:rsidRPr="00DD6685">
              <w:t>umeric</w:t>
            </w:r>
            <w:r w:rsidR="00817CDC" w:rsidRPr="00DD6685">
              <w:t xml:space="preserve"> Characters </w:t>
            </w:r>
          </w:p>
        </w:tc>
        <w:tc>
          <w:tcPr>
            <w:tcW w:w="54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Unique identifier for the authorisation request generated by </w:t>
            </w:r>
            <w:r w:rsidRPr="00DD6685">
              <w:lastRenderedPageBreak/>
              <w:t>the system.</w:t>
            </w:r>
          </w:p>
        </w:tc>
        <w:tc>
          <w:tcPr>
            <w:tcW w:w="54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75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Provides transparency of each authorisation request. </w:t>
            </w:r>
            <w:r w:rsidR="00DD26FB" w:rsidRPr="00DD6685">
              <w:t xml:space="preserve">(Authoriser, </w:t>
            </w:r>
            <w:r w:rsidR="00DD26FB">
              <w:t>Prescriber, Nurse, Dispenser,</w:t>
            </w:r>
            <w:r w:rsidR="00DD26FB" w:rsidRPr="00DD6685">
              <w:t xml:space="preserve"> NBA)</w:t>
            </w:r>
          </w:p>
        </w:tc>
        <w:tc>
          <w:tcPr>
            <w:tcW w:w="71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Supports reporting and analysis of system activity</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(NBA, Hospital)</w:t>
            </w:r>
          </w:p>
        </w:tc>
        <w:tc>
          <w:tcPr>
            <w:tcW w:w="760"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 see above – for privacy consideration is consequence to the individual patient if not collected but may assist beyond this </w:t>
            </w:r>
            <w:r w:rsidRPr="00DD6685">
              <w:lastRenderedPageBreak/>
              <w:t>purpose to include this]</w:t>
            </w:r>
          </w:p>
        </w:tc>
        <w:tc>
          <w:tcPr>
            <w:tcW w:w="713"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lastRenderedPageBreak/>
              <w:t xml:space="preserve">Use – Transparent to some users of system (see security matrix).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Disclosure - No disclosure other than at level of </w:t>
            </w:r>
            <w:r w:rsidR="00DD26FB">
              <w:t>aggregated</w:t>
            </w:r>
            <w:r w:rsidRPr="00DD6685">
              <w:t xml:space="preserve"> </w:t>
            </w:r>
            <w:r w:rsidRPr="00DD6685">
              <w:lastRenderedPageBreak/>
              <w:t xml:space="preserve">reports. </w:t>
            </w:r>
          </w:p>
        </w:tc>
      </w:tr>
      <w:tr w:rsidR="00817CDC" w:rsidRPr="00DD6685" w:rsidTr="00564D53">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r w:rsidRPr="00DD6685">
              <w:lastRenderedPageBreak/>
              <w:t>Authorisation Program</w:t>
            </w:r>
          </w:p>
        </w:tc>
        <w:tc>
          <w:tcPr>
            <w:tcW w:w="478"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roofErr w:type="spellStart"/>
            <w:r w:rsidRPr="00DD6685">
              <w:rPr>
                <w:b/>
              </w:rPr>
              <w:t>LOV</w:t>
            </w:r>
            <w:proofErr w:type="spellEnd"/>
            <w:r w:rsidRPr="00DD6685">
              <w:rPr>
                <w:b/>
              </w:rPr>
              <w:t>:</w:t>
            </w:r>
            <w:r w:rsidRPr="00DD6685">
              <w:t xml:space="preserve"> Authorisation program</w:t>
            </w:r>
          </w:p>
        </w:tc>
        <w:tc>
          <w:tcPr>
            <w:tcW w:w="54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The blood product program under which the authorisation request is made and will be assessed.</w:t>
            </w:r>
          </w:p>
        </w:tc>
        <w:tc>
          <w:tcPr>
            <w:tcW w:w="54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Valid Values:</w:t>
            </w:r>
          </w:p>
          <w:p w:rsidR="00817CDC" w:rsidRPr="00DD6685" w:rsidRDefault="00817CDC" w:rsidP="00817CDC">
            <w:pPr>
              <w:pStyle w:val="ListParagraph"/>
              <w:numPr>
                <w:ilvl w:val="0"/>
                <w:numId w:val="25"/>
              </w:numPr>
              <w:spacing w:after="0" w:line="240" w:lineRule="auto"/>
              <w:ind w:left="197" w:hanging="197"/>
              <w:cnfStyle w:val="000000000000" w:firstRow="0" w:lastRow="0" w:firstColumn="0" w:lastColumn="0" w:oddVBand="0" w:evenVBand="0" w:oddHBand="0" w:evenHBand="0" w:firstRowFirstColumn="0" w:firstRowLastColumn="0" w:lastRowFirstColumn="0" w:lastRowLastColumn="0"/>
            </w:pPr>
            <w:proofErr w:type="spellStart"/>
            <w:r w:rsidRPr="00DD6685">
              <w:t>IVIg</w:t>
            </w:r>
            <w:proofErr w:type="spellEnd"/>
          </w:p>
          <w:p w:rsidR="00817CDC" w:rsidRPr="00DD6685" w:rsidRDefault="00817CDC" w:rsidP="00817CDC">
            <w:pPr>
              <w:pStyle w:val="ListParagraph"/>
              <w:numPr>
                <w:ilvl w:val="0"/>
                <w:numId w:val="25"/>
              </w:numPr>
              <w:spacing w:after="0" w:line="240" w:lineRule="auto"/>
              <w:ind w:left="197" w:hanging="197"/>
              <w:cnfStyle w:val="000000000000" w:firstRow="0" w:lastRow="0" w:firstColumn="0" w:lastColumn="0" w:oddVBand="0" w:evenVBand="0" w:oddHBand="0" w:evenHBand="0" w:firstRowFirstColumn="0" w:firstRowLastColumn="0" w:lastRowFirstColumn="0" w:lastRowLastColumn="0"/>
            </w:pPr>
            <w:proofErr w:type="spellStart"/>
            <w:r w:rsidRPr="00DD6685">
              <w:t>SCIg</w:t>
            </w:r>
            <w:proofErr w:type="spellEnd"/>
          </w:p>
          <w:p w:rsidR="00817CDC" w:rsidRPr="00923621" w:rsidRDefault="00817CDC" w:rsidP="0019733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2"/>
                <w:szCs w:val="22"/>
              </w:rPr>
            </w:pPr>
          </w:p>
        </w:tc>
        <w:tc>
          <w:tcPr>
            <w:tcW w:w="75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Provides transparency regarding the type of Blood product authorisation request being made </w:t>
            </w:r>
            <w:r w:rsidR="00154ADF" w:rsidRPr="00DD6685">
              <w:t>e</w:t>
            </w:r>
            <w:r w:rsidR="00154ADF">
              <w:t>.</w:t>
            </w:r>
            <w:r w:rsidR="00154ADF" w:rsidRPr="00DD6685">
              <w:t>g</w:t>
            </w:r>
            <w:r w:rsidR="00154ADF">
              <w:t>.</w:t>
            </w:r>
            <w:r w:rsidRPr="00DD6685">
              <w:t xml:space="preserve"> </w:t>
            </w:r>
            <w:proofErr w:type="spellStart"/>
            <w:r w:rsidRPr="00DD6685">
              <w:t>IVIg</w:t>
            </w:r>
            <w:proofErr w:type="spellEnd"/>
            <w:r w:rsidRPr="00DD6685">
              <w:t xml:space="preserve">, </w:t>
            </w:r>
            <w:proofErr w:type="spellStart"/>
            <w:r w:rsidRPr="00DD6685">
              <w:t>SCIg</w:t>
            </w:r>
            <w:proofErr w:type="spellEnd"/>
            <w:r w:rsidRPr="00DD6685">
              <w:t xml:space="preserve">.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(NBA, Authoriser, Hospital, Jurisdictional </w:t>
            </w:r>
            <w:proofErr w:type="spellStart"/>
            <w:r w:rsidRPr="00DD6685">
              <w:t>DoH</w:t>
            </w:r>
            <w:proofErr w:type="spellEnd"/>
            <w:r w:rsidRPr="00DD6685">
              <w:t>)</w:t>
            </w:r>
          </w:p>
        </w:tc>
        <w:tc>
          <w:tcPr>
            <w:tcW w:w="71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Supports efficient reporting and data analysis by product type.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(NBA, Hospital)</w:t>
            </w:r>
          </w:p>
        </w:tc>
        <w:tc>
          <w:tcPr>
            <w:tcW w:w="760"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Risk of incorrect product being authorised, dispensed or delivered.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 </w:t>
            </w:r>
          </w:p>
        </w:tc>
        <w:tc>
          <w:tcPr>
            <w:tcW w:w="713"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Use – Transparent to some users of system (see security matrix).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Disclosure - No disclosure other than at level of de-identified </w:t>
            </w:r>
            <w:r w:rsidR="00DD26FB">
              <w:t>aggregated</w:t>
            </w:r>
            <w:r w:rsidRPr="00DD6685">
              <w:t xml:space="preserve"> reports.</w:t>
            </w:r>
          </w:p>
        </w:tc>
      </w:tr>
      <w:tr w:rsidR="00817CDC" w:rsidRPr="00DD6685" w:rsidTr="00564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r w:rsidRPr="00DD6685">
              <w:t>Request Date</w:t>
            </w:r>
          </w:p>
        </w:tc>
        <w:tc>
          <w:tcPr>
            <w:tcW w:w="478"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Date Time</w:t>
            </w:r>
          </w:p>
        </w:tc>
        <w:tc>
          <w:tcPr>
            <w:tcW w:w="54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The date that the request is being made</w:t>
            </w:r>
          </w:p>
        </w:tc>
        <w:tc>
          <w:tcPr>
            <w:tcW w:w="54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Must not be a past date</w:t>
            </w:r>
          </w:p>
        </w:tc>
        <w:tc>
          <w:tcPr>
            <w:tcW w:w="75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Provides transparency and accuracy regarding date of request for product.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(NBA, Hospital, Authoriser, Dispenser,) </w:t>
            </w:r>
          </w:p>
        </w:tc>
        <w:tc>
          <w:tcPr>
            <w:tcW w:w="71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Supports performance analysis of time to respond along authorisation &amp; treatment processes. </w:t>
            </w:r>
          </w:p>
        </w:tc>
        <w:tc>
          <w:tcPr>
            <w:tcW w:w="760"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Risk of lack of timely management of request.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Lack of trigger date for patient clinical review due date regarding ongoing access to treatment. </w:t>
            </w:r>
          </w:p>
        </w:tc>
        <w:tc>
          <w:tcPr>
            <w:tcW w:w="713"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Use – Transparent to some users of system (see security matrix).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Disclosure - No disclosure other than at level of de-identified </w:t>
            </w:r>
            <w:r w:rsidR="00DD26FB">
              <w:t>aggregated</w:t>
            </w:r>
            <w:r w:rsidRPr="00DD6685">
              <w:t xml:space="preserve"> reports.</w:t>
            </w:r>
          </w:p>
        </w:tc>
      </w:tr>
      <w:tr w:rsidR="00817CDC" w:rsidRPr="00DD6685" w:rsidTr="00564D53">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r w:rsidRPr="00DD6685">
              <w:t>Patient</w:t>
            </w:r>
          </w:p>
        </w:tc>
        <w:tc>
          <w:tcPr>
            <w:tcW w:w="478"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rPr>
                <w:rFonts w:cs="Times New Roman"/>
              </w:rPr>
              <w:t>Patient</w:t>
            </w:r>
          </w:p>
        </w:tc>
        <w:tc>
          <w:tcPr>
            <w:tcW w:w="54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The patient for which treatment is being requested.</w:t>
            </w:r>
          </w:p>
        </w:tc>
        <w:tc>
          <w:tcPr>
            <w:tcW w:w="54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Mandatory</w:t>
            </w:r>
          </w:p>
        </w:tc>
        <w:tc>
          <w:tcPr>
            <w:tcW w:w="75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Provides transparency regarding the patient relevant to the request. </w:t>
            </w:r>
          </w:p>
          <w:p w:rsidR="00817CDC"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(NBA, Hospital, Authoriser) </w:t>
            </w:r>
          </w:p>
          <w:p w:rsidR="002C0536" w:rsidRDefault="002C0536" w:rsidP="00D2562E">
            <w:pPr>
              <w:cnfStyle w:val="000000000000" w:firstRow="0" w:lastRow="0" w:firstColumn="0" w:lastColumn="0" w:oddVBand="0" w:evenVBand="0" w:oddHBand="0" w:evenHBand="0" w:firstRowFirstColumn="0" w:firstRowLastColumn="0" w:lastRowFirstColumn="0" w:lastRowLastColumn="0"/>
            </w:pPr>
          </w:p>
          <w:p w:rsidR="002C0536" w:rsidRPr="00DD6685" w:rsidRDefault="002C0536" w:rsidP="00D2562E">
            <w:pPr>
              <w:cnfStyle w:val="000000000000" w:firstRow="0" w:lastRow="0" w:firstColumn="0" w:lastColumn="0" w:oddVBand="0" w:evenVBand="0" w:oddHBand="0" w:evenHBand="0" w:firstRowFirstColumn="0" w:firstRowLastColumn="0" w:lastRowFirstColumn="0" w:lastRowLastColumn="0"/>
            </w:pPr>
            <w:r>
              <w:t>NBA - 3</w:t>
            </w:r>
          </w:p>
        </w:tc>
        <w:tc>
          <w:tcPr>
            <w:tcW w:w="71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lastRenderedPageBreak/>
              <w:t xml:space="preserve">Transparency supports confirmation that correct patient record has been accessed for data entry and review </w:t>
            </w:r>
            <w:r w:rsidRPr="00DD6685">
              <w:lastRenderedPageBreak/>
              <w:t>of authorisation request.</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(Authoriser, NBA)</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760"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lastRenderedPageBreak/>
              <w:t xml:space="preserve">Risk to patient safety if incorrect patient record has been accessed and/or inability to support verbal conversation </w:t>
            </w:r>
            <w:r w:rsidRPr="00DD6685">
              <w:lastRenderedPageBreak/>
              <w:t xml:space="preserve">when required to confirm qualifying/ review criteria, regarding details of clinical condition/response, dose or product with prescriber. </w:t>
            </w:r>
          </w:p>
        </w:tc>
        <w:tc>
          <w:tcPr>
            <w:tcW w:w="713"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lastRenderedPageBreak/>
              <w:t xml:space="preserve">Use – Transparent to some users of system (see security matrix).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Disclosure - No disclosure other than </w:t>
            </w:r>
            <w:r w:rsidRPr="00DD6685">
              <w:lastRenderedPageBreak/>
              <w:t xml:space="preserve">at level of de-identified </w:t>
            </w:r>
            <w:r w:rsidR="00DD26FB">
              <w:t>aggregated</w:t>
            </w:r>
            <w:r w:rsidRPr="00DD6685">
              <w:t xml:space="preserve"> reports.</w:t>
            </w:r>
          </w:p>
        </w:tc>
      </w:tr>
      <w:tr w:rsidR="00817CDC" w:rsidRPr="00DD6685" w:rsidTr="00564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r w:rsidRPr="00DD6685">
              <w:lastRenderedPageBreak/>
              <w:t xml:space="preserve"> </w:t>
            </w:r>
          </w:p>
        </w:tc>
        <w:tc>
          <w:tcPr>
            <w:tcW w:w="478"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Collection of </w:t>
            </w:r>
            <w:r w:rsidRPr="00DD6685">
              <w:rPr>
                <w:rFonts w:cs="Times New Roman"/>
              </w:rPr>
              <w:t>Previous Treatments</w:t>
            </w:r>
          </w:p>
        </w:tc>
        <w:tc>
          <w:tcPr>
            <w:tcW w:w="54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A list of previous treatments that the medical officer deems important (or may be required) to disclose in the authorisation request.</w:t>
            </w:r>
          </w:p>
        </w:tc>
        <w:tc>
          <w:tcPr>
            <w:tcW w:w="54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75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Provides transparency of previous treatments that are relevant to ongoing patient management. Data supports planning of future authorisation requests, clinical review of current and future treatments, assessment of clinical outcome, timing of trial cessations of therapy and determining ongoing patient treatment needs.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(NBA, Authoriser, Hospital)</w:t>
            </w:r>
          </w:p>
        </w:tc>
        <w:tc>
          <w:tcPr>
            <w:tcW w:w="71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Transparency also supports validation of future product selections and reduces likelihood of duplicate treatments being requested or authorised from different prescribers/hospitals.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(Hospital, Authoriser, NBA)</w:t>
            </w:r>
          </w:p>
        </w:tc>
        <w:tc>
          <w:tcPr>
            <w:tcW w:w="760"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Reduced rigor and quality of both authorisation requests and authorisation outcome.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Increased risk of duplicate authorisation requests for same patient being authorised concurrently. </w:t>
            </w:r>
          </w:p>
        </w:tc>
        <w:tc>
          <w:tcPr>
            <w:tcW w:w="713"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Use – Transparent to some users of system (see security matrix).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Disclosure - No disclosure other than at level of de-identified </w:t>
            </w:r>
            <w:r w:rsidR="00DD26FB">
              <w:t>aggregated</w:t>
            </w:r>
            <w:r w:rsidRPr="00DD6685">
              <w:t xml:space="preserve"> reports.</w:t>
            </w:r>
          </w:p>
        </w:tc>
      </w:tr>
      <w:tr w:rsidR="00817CDC" w:rsidRPr="00DD6685" w:rsidTr="00564D53">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r w:rsidRPr="00DD6685">
              <w:lastRenderedPageBreak/>
              <w:t>Treating Medical Specialist</w:t>
            </w:r>
          </w:p>
        </w:tc>
        <w:tc>
          <w:tcPr>
            <w:tcW w:w="478"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rPr>
                <w:rFonts w:cs="Times New Roman"/>
              </w:rPr>
              <w:t>Medical Officer</w:t>
            </w:r>
          </w:p>
        </w:tc>
        <w:tc>
          <w:tcPr>
            <w:tcW w:w="54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The Medical Officer who is responsible for the overall treatment of the patient’s condition.</w:t>
            </w:r>
          </w:p>
        </w:tc>
        <w:tc>
          <w:tcPr>
            <w:tcW w:w="54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Mandatory</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Medical Officer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must be permitted to be nominated as the Treating Medical Specialist</w:t>
            </w:r>
          </w:p>
        </w:tc>
        <w:tc>
          <w:tcPr>
            <w:tcW w:w="75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Critical identification parameter for compliance with Criteria for Use by ensuring that a Medical Specialist performs the patient review and provides evidence of clinical outcome.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(NBA, Hospital</w:t>
            </w:r>
            <w:r w:rsidR="00DD26FB">
              <w:t>, Authoriser</w:t>
            </w:r>
            <w:r w:rsidRPr="00DD6685">
              <w:t>)</w:t>
            </w:r>
          </w:p>
        </w:tc>
        <w:tc>
          <w:tcPr>
            <w:tcW w:w="71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Flag supports the identification and timely notification of appropriate Treating Medical Specialist in order to provide required patient clinical review prior to expiry of the previous request, where ongoing access to treatment is required for patient condition.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(Authoriser, Hospital, NBA)</w:t>
            </w:r>
          </w:p>
        </w:tc>
        <w:tc>
          <w:tcPr>
            <w:tcW w:w="760"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Potential for non-compliance with the requirements of Criteria for Use and </w:t>
            </w:r>
            <w:r w:rsidR="00154ADF">
              <w:t>non-</w:t>
            </w:r>
            <w:r w:rsidR="00154ADF" w:rsidRPr="00DD6685">
              <w:t>expert</w:t>
            </w:r>
            <w:r w:rsidRPr="00DD6685">
              <w:t xml:space="preserve"> clinical assessment of outcome/ request for continuing therapy.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Lack of timely patient review, expiry of authorisation and cessation of treatment for patients due to not being able to contact correct specialist. </w:t>
            </w:r>
          </w:p>
        </w:tc>
        <w:tc>
          <w:tcPr>
            <w:tcW w:w="713"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Use – Transparent to some users of system (see security matrix).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Disclosure – Used to generate confidential patient review correspondence.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No other disclosure except at level of de-identified </w:t>
            </w:r>
            <w:r w:rsidR="00DD26FB">
              <w:t>aggregated</w:t>
            </w:r>
            <w:r w:rsidRPr="00DD6685">
              <w:t xml:space="preserve"> reports for clinical governance and Ig governance purposes.</w:t>
            </w:r>
          </w:p>
        </w:tc>
      </w:tr>
      <w:tr w:rsidR="00817CDC" w:rsidRPr="00DD6685" w:rsidTr="00564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r w:rsidRPr="00DD6685">
              <w:t>Consultant Confirming Diagnosis</w:t>
            </w:r>
          </w:p>
        </w:tc>
        <w:tc>
          <w:tcPr>
            <w:tcW w:w="478"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rPr>
                <w:rFonts w:cs="Times New Roman"/>
              </w:rPr>
              <w:t>Medical Officer</w:t>
            </w:r>
          </w:p>
        </w:tc>
        <w:tc>
          <w:tcPr>
            <w:tcW w:w="54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A medical officer that has confirmed the diagnosis of a condition.</w:t>
            </w:r>
          </w:p>
        </w:tc>
        <w:tc>
          <w:tcPr>
            <w:tcW w:w="54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75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rPr>
                <w:i/>
              </w:rPr>
            </w:pPr>
            <w:r w:rsidRPr="00DD6685">
              <w:t xml:space="preserve">Providing transparency that specialist made initial diagnosis and compliance with </w:t>
            </w:r>
            <w:r w:rsidRPr="00DD6685">
              <w:rPr>
                <w:i/>
              </w:rPr>
              <w:t>the Criteria</w:t>
            </w:r>
            <w:r w:rsidRPr="00DD6685">
              <w:t xml:space="preserve"> </w:t>
            </w:r>
            <w:r w:rsidRPr="00DD6685">
              <w:rPr>
                <w:i/>
              </w:rPr>
              <w:t xml:space="preserve">for Use. </w:t>
            </w:r>
          </w:p>
          <w:p w:rsidR="00817CDC" w:rsidRDefault="00DD26FB" w:rsidP="00DD26FB">
            <w:pPr>
              <w:cnfStyle w:val="000000100000" w:firstRow="0" w:lastRow="0" w:firstColumn="0" w:lastColumn="0" w:oddVBand="0" w:evenVBand="0" w:oddHBand="1" w:evenHBand="0" w:firstRowFirstColumn="0" w:firstRowLastColumn="0" w:lastRowFirstColumn="0" w:lastRowLastColumn="0"/>
            </w:pPr>
            <w:r w:rsidRPr="00DD6685">
              <w:t xml:space="preserve">(Authoriser, </w:t>
            </w:r>
            <w:r>
              <w:t>Hospital,</w:t>
            </w:r>
            <w:r w:rsidRPr="00DD6685">
              <w:t xml:space="preserve"> NBA)</w:t>
            </w:r>
          </w:p>
          <w:p w:rsidR="002C0536" w:rsidRDefault="002C0536" w:rsidP="00DD26FB">
            <w:pPr>
              <w:cnfStyle w:val="000000100000" w:firstRow="0" w:lastRow="0" w:firstColumn="0" w:lastColumn="0" w:oddVBand="0" w:evenVBand="0" w:oddHBand="1" w:evenHBand="0" w:firstRowFirstColumn="0" w:firstRowLastColumn="0" w:lastRowFirstColumn="0" w:lastRowLastColumn="0"/>
            </w:pPr>
          </w:p>
          <w:p w:rsidR="002C0536" w:rsidRPr="00DD6685" w:rsidRDefault="002C0536" w:rsidP="00DD26FB">
            <w:pPr>
              <w:cnfStyle w:val="000000100000" w:firstRow="0" w:lastRow="0" w:firstColumn="0" w:lastColumn="0" w:oddVBand="0" w:evenVBand="0" w:oddHBand="1" w:evenHBand="0" w:firstRowFirstColumn="0" w:firstRowLastColumn="0" w:lastRowFirstColumn="0" w:lastRowLastColumn="0"/>
            </w:pPr>
            <w:r>
              <w:lastRenderedPageBreak/>
              <w:t>NBA - 3</w:t>
            </w:r>
          </w:p>
        </w:tc>
        <w:tc>
          <w:tcPr>
            <w:tcW w:w="71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lastRenderedPageBreak/>
              <w:t xml:space="preserve">Provides transparency of specialist name (determining the diagnosis) – and documenting historic reference point should clarification or additional information be required in the </w:t>
            </w:r>
            <w:r w:rsidRPr="00DD6685">
              <w:lastRenderedPageBreak/>
              <w:t>future.</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(NBA, Authoriser, Hospital)</w:t>
            </w:r>
          </w:p>
        </w:tc>
        <w:tc>
          <w:tcPr>
            <w:tcW w:w="760"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lastRenderedPageBreak/>
              <w:t xml:space="preserve">Failure to comply with the criteria </w:t>
            </w:r>
            <w:proofErr w:type="gramStart"/>
            <w:r w:rsidRPr="00DD6685">
              <w:t>-  risk</w:t>
            </w:r>
            <w:proofErr w:type="gramEnd"/>
            <w:r w:rsidRPr="00DD6685">
              <w:t xml:space="preserve"> that diagnosis is not confirmed and Ig treatment is not indicated.</w:t>
            </w:r>
          </w:p>
        </w:tc>
        <w:tc>
          <w:tcPr>
            <w:tcW w:w="713"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Use – Transparent to some users of system (see security matrix).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No disclosure other than at level of de-identified </w:t>
            </w:r>
            <w:r w:rsidR="00DD26FB">
              <w:t>aggregated</w:t>
            </w:r>
            <w:r w:rsidRPr="00DD6685">
              <w:t xml:space="preserve"> reports for clinical governance and Ig governance purposes.</w:t>
            </w:r>
          </w:p>
        </w:tc>
      </w:tr>
      <w:tr w:rsidR="00817CDC" w:rsidRPr="00DD6685" w:rsidTr="00564D53">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r w:rsidRPr="00DD6685">
              <w:lastRenderedPageBreak/>
              <w:t>Requesting Medical Officer</w:t>
            </w:r>
          </w:p>
        </w:tc>
        <w:tc>
          <w:tcPr>
            <w:tcW w:w="478"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rPr>
                <w:rFonts w:cs="Times New Roman"/>
              </w:rPr>
              <w:t>Medical Officer</w:t>
            </w:r>
          </w:p>
        </w:tc>
        <w:tc>
          <w:tcPr>
            <w:tcW w:w="54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The Medical Officer who has completed the authorisation request form.</w:t>
            </w:r>
          </w:p>
        </w:tc>
        <w:tc>
          <w:tcPr>
            <w:tcW w:w="54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75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Capturing the name of the Medical Officer that completes the Authorisation request (which equates a prescription in content) will be important for performance review analysis to support the evaluation of compliance with the Criteria in prescribing behaviour. </w:t>
            </w:r>
          </w:p>
          <w:p w:rsidR="00817CDC" w:rsidRDefault="00817CDC" w:rsidP="00D2562E">
            <w:pPr>
              <w:cnfStyle w:val="000000000000" w:firstRow="0" w:lastRow="0" w:firstColumn="0" w:lastColumn="0" w:oddVBand="0" w:evenVBand="0" w:oddHBand="0" w:evenHBand="0" w:firstRowFirstColumn="0" w:firstRowLastColumn="0" w:lastRowFirstColumn="0" w:lastRowLastColumn="0"/>
            </w:pPr>
            <w:r w:rsidRPr="00DD6685">
              <w:t>(NBA, Hospital)</w:t>
            </w:r>
          </w:p>
          <w:p w:rsidR="002C0536" w:rsidRPr="00DD6685" w:rsidRDefault="002C0536" w:rsidP="00D2562E">
            <w:pPr>
              <w:cnfStyle w:val="000000000000" w:firstRow="0" w:lastRow="0" w:firstColumn="0" w:lastColumn="0" w:oddVBand="0" w:evenVBand="0" w:oddHBand="0" w:evenHBand="0" w:firstRowFirstColumn="0" w:firstRowLastColumn="0" w:lastRowFirstColumn="0" w:lastRowLastColumn="0"/>
            </w:pPr>
            <w:r>
              <w:t>NBA - 3</w:t>
            </w:r>
          </w:p>
        </w:tc>
        <w:tc>
          <w:tcPr>
            <w:tcW w:w="71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The requesting medical officer will often be a junior doctor working under supervision. It is important to differentiate this person from the Responsible </w:t>
            </w:r>
            <w:proofErr w:type="gramStart"/>
            <w:r w:rsidRPr="00DD6685">
              <w:t>Specialist  overall</w:t>
            </w:r>
            <w:proofErr w:type="gramEnd"/>
            <w:r w:rsidRPr="00DD6685">
              <w:t xml:space="preserve">.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 (NBA, Hospital)</w:t>
            </w:r>
          </w:p>
        </w:tc>
        <w:tc>
          <w:tcPr>
            <w:tcW w:w="760"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 – </w:t>
            </w:r>
            <w:proofErr w:type="gramStart"/>
            <w:r w:rsidRPr="00DD6685">
              <w:t>as</w:t>
            </w:r>
            <w:proofErr w:type="gramEnd"/>
            <w:r w:rsidRPr="00DD6685">
              <w:t xml:space="preserve"> above not really patient consequence but may also assist for other purposes to record this.</w:t>
            </w:r>
          </w:p>
        </w:tc>
        <w:tc>
          <w:tcPr>
            <w:tcW w:w="713"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Use – Transparent to some users of system (see security matrix).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No disclosure other than at level of de-identified </w:t>
            </w:r>
            <w:r w:rsidR="00DD26FB">
              <w:t>aggregated</w:t>
            </w:r>
            <w:r w:rsidRPr="00DD6685">
              <w:t xml:space="preserve"> reports for clinical governance and Ig governance purposes.</w:t>
            </w:r>
          </w:p>
        </w:tc>
      </w:tr>
      <w:tr w:rsidR="00817CDC" w:rsidRPr="00DD6685" w:rsidTr="00DD2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r w:rsidRPr="00DD6685">
              <w:t>Condition</w:t>
            </w:r>
          </w:p>
        </w:tc>
        <w:tc>
          <w:tcPr>
            <w:tcW w:w="478"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rPr>
                <w:rFonts w:cs="Times New Roman"/>
              </w:rPr>
              <w:t>Condition</w:t>
            </w:r>
          </w:p>
        </w:tc>
        <w:tc>
          <w:tcPr>
            <w:tcW w:w="54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The Medical Condition for which treatment is being </w:t>
            </w:r>
            <w:r w:rsidRPr="00DD6685">
              <w:lastRenderedPageBreak/>
              <w:t>requested.</w:t>
            </w:r>
          </w:p>
        </w:tc>
        <w:tc>
          <w:tcPr>
            <w:tcW w:w="54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lastRenderedPageBreak/>
              <w:t xml:space="preserve">Valid values –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Conditions as defined in </w:t>
            </w:r>
            <w:r w:rsidRPr="00DD6685">
              <w:rPr>
                <w:i/>
              </w:rPr>
              <w:t>the Criteria</w:t>
            </w:r>
          </w:p>
        </w:tc>
        <w:tc>
          <w:tcPr>
            <w:tcW w:w="75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Providing transparency of condition requiring treatment is a critical element needed for accurate Authorisation of proposed patient </w:t>
            </w:r>
            <w:r w:rsidRPr="00DD6685">
              <w:lastRenderedPageBreak/>
              <w:t xml:space="preserve">treatment as dose, frequency and treatment schedule is different for different conditions and indications. </w:t>
            </w:r>
          </w:p>
          <w:p w:rsidR="00817CDC" w:rsidRDefault="00817CDC" w:rsidP="00D2562E">
            <w:pPr>
              <w:cnfStyle w:val="000000100000" w:firstRow="0" w:lastRow="0" w:firstColumn="0" w:lastColumn="0" w:oddVBand="0" w:evenVBand="0" w:oddHBand="1" w:evenHBand="0" w:firstRowFirstColumn="0" w:firstRowLastColumn="0" w:lastRowFirstColumn="0" w:lastRowLastColumn="0"/>
            </w:pPr>
            <w:r w:rsidRPr="00DD6685">
              <w:t>(NBA, Hospital, Authoriser,)</w:t>
            </w:r>
          </w:p>
          <w:p w:rsidR="002C0536" w:rsidRPr="00DD6685" w:rsidRDefault="002C0536" w:rsidP="00D2562E">
            <w:pPr>
              <w:cnfStyle w:val="000000100000" w:firstRow="0" w:lastRow="0" w:firstColumn="0" w:lastColumn="0" w:oddVBand="0" w:evenVBand="0" w:oddHBand="1" w:evenHBand="0" w:firstRowFirstColumn="0" w:firstRowLastColumn="0" w:lastRowFirstColumn="0" w:lastRowLastColumn="0"/>
            </w:pPr>
            <w:r>
              <w:t>NBA - 3</w:t>
            </w:r>
          </w:p>
        </w:tc>
        <w:tc>
          <w:tcPr>
            <w:tcW w:w="71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lastRenderedPageBreak/>
              <w:t xml:space="preserve">The linkage of clinical outcome data to condition and prescribed treatment is essential for ongoing evidence </w:t>
            </w:r>
            <w:r w:rsidRPr="00DD6685">
              <w:lastRenderedPageBreak/>
              <w:t>base and determining the efficacy of Ig treatment.  (NBA, Hospital)</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760"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lastRenderedPageBreak/>
              <w:t xml:space="preserve">Risk to assessing incorrect dose and infusion plan at authorisation resulting in potential ineffective clinical outcome, </w:t>
            </w:r>
            <w:r w:rsidRPr="00DD6685">
              <w:lastRenderedPageBreak/>
              <w:t xml:space="preserve">inappropriate product and dose/schedule of treatment, determining efficacy of treatment and inability to demand forecast and secure sufficient product supply. </w:t>
            </w:r>
          </w:p>
        </w:tc>
        <w:tc>
          <w:tcPr>
            <w:tcW w:w="713"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lastRenderedPageBreak/>
              <w:t xml:space="preserve">Use – Transparent to some users of system (see security matrix).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No disclosure other than at level of de-</w:t>
            </w:r>
            <w:r w:rsidRPr="00DD6685">
              <w:lastRenderedPageBreak/>
              <w:t>identified aggregated reports for clinical governance and Ig governance purposes.</w:t>
            </w:r>
          </w:p>
        </w:tc>
      </w:tr>
      <w:tr w:rsidR="00817CDC" w:rsidRPr="00DD6685" w:rsidTr="00564D53">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r w:rsidRPr="00DD6685">
              <w:lastRenderedPageBreak/>
              <w:t>Specific Condition</w:t>
            </w:r>
          </w:p>
        </w:tc>
        <w:tc>
          <w:tcPr>
            <w:tcW w:w="478"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rPr>
                <w:rFonts w:cs="Times New Roman"/>
              </w:rPr>
              <w:t>Specific Condition</w:t>
            </w:r>
          </w:p>
        </w:tc>
        <w:tc>
          <w:tcPr>
            <w:tcW w:w="54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The specific condition (as a subset of the Condition) for which treatment is being requested</w:t>
            </w:r>
          </w:p>
        </w:tc>
        <w:tc>
          <w:tcPr>
            <w:tcW w:w="54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75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Providing transparency of condition requiring treatment is a critical element needed for accurate Authorisation of proposed patient treatment as dose, frequency and treatment schedule is different for different conditions and indications. </w:t>
            </w:r>
          </w:p>
          <w:p w:rsidR="00817CDC" w:rsidRDefault="00817CDC" w:rsidP="00D2562E">
            <w:pPr>
              <w:cnfStyle w:val="000000000000" w:firstRow="0" w:lastRow="0" w:firstColumn="0" w:lastColumn="0" w:oddVBand="0" w:evenVBand="0" w:oddHBand="0" w:evenHBand="0" w:firstRowFirstColumn="0" w:firstRowLastColumn="0" w:lastRowFirstColumn="0" w:lastRowLastColumn="0"/>
            </w:pPr>
            <w:r w:rsidRPr="00DD6685">
              <w:t>(NBA, Hospital, Authoriser,)</w:t>
            </w:r>
          </w:p>
          <w:p w:rsidR="002C0536" w:rsidRPr="00DD6685" w:rsidRDefault="002C0536" w:rsidP="00D2562E">
            <w:pPr>
              <w:cnfStyle w:val="000000000000" w:firstRow="0" w:lastRow="0" w:firstColumn="0" w:lastColumn="0" w:oddVBand="0" w:evenVBand="0" w:oddHBand="0" w:evenHBand="0" w:firstRowFirstColumn="0" w:firstRowLastColumn="0" w:lastRowFirstColumn="0" w:lastRowLastColumn="0"/>
            </w:pPr>
            <w:r>
              <w:lastRenderedPageBreak/>
              <w:t>NBA - 3</w:t>
            </w:r>
          </w:p>
        </w:tc>
        <w:tc>
          <w:tcPr>
            <w:tcW w:w="71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lastRenderedPageBreak/>
              <w:t xml:space="preserve">The linkage of clinical outcome data to condition and prescribed treatment is essential for ongoing evidence base and determining the efficacy of Ig treatment.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(NBA, Hospital)</w:t>
            </w:r>
          </w:p>
        </w:tc>
        <w:tc>
          <w:tcPr>
            <w:tcW w:w="760"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Risk to assessing incorrect dose and infusion plan at authorisation resulting in potential ineffective clinical outcome, inappropriate product and dose/schedule of treatment, determining efficacy of treatment and inability to demand forecast and secure sufficient product supply.</w:t>
            </w:r>
          </w:p>
        </w:tc>
        <w:tc>
          <w:tcPr>
            <w:tcW w:w="713"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Use – Transparent to some users of system (see security matrix).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No disclosure other than at level of de-identified </w:t>
            </w:r>
            <w:r w:rsidR="00DD26FB">
              <w:t>aggregated</w:t>
            </w:r>
            <w:r w:rsidRPr="00DD6685">
              <w:t xml:space="preserve"> reports for clinical governance and Ig governance purposes.</w:t>
            </w:r>
          </w:p>
        </w:tc>
      </w:tr>
      <w:tr w:rsidR="00817CDC" w:rsidRPr="00DD6685" w:rsidTr="00564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r w:rsidRPr="00DD6685">
              <w:lastRenderedPageBreak/>
              <w:t>Indication</w:t>
            </w:r>
          </w:p>
        </w:tc>
        <w:tc>
          <w:tcPr>
            <w:tcW w:w="478"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rPr>
                <w:rFonts w:cs="Times New Roman"/>
              </w:rPr>
              <w:t>Indication</w:t>
            </w:r>
          </w:p>
        </w:tc>
        <w:tc>
          <w:tcPr>
            <w:tcW w:w="54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The indication for which treatment is being requested</w:t>
            </w:r>
          </w:p>
        </w:tc>
        <w:tc>
          <w:tcPr>
            <w:tcW w:w="54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75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Providing transparency of the specific indication relating to the condition requiring treatment is a critical element needed for accurate Authorisation of proposed patient treatment (dose, frequency and treatment schedule).  </w:t>
            </w:r>
            <w:r w:rsidR="00154ADF" w:rsidRPr="00DD6685">
              <w:t xml:space="preserve">This is different for different conditions and indications. </w:t>
            </w:r>
          </w:p>
          <w:p w:rsidR="00817CDC" w:rsidRDefault="00817CDC" w:rsidP="00D2562E">
            <w:pPr>
              <w:cnfStyle w:val="000000100000" w:firstRow="0" w:lastRow="0" w:firstColumn="0" w:lastColumn="0" w:oddVBand="0" w:evenVBand="0" w:oddHBand="1" w:evenHBand="0" w:firstRowFirstColumn="0" w:firstRowLastColumn="0" w:lastRowFirstColumn="0" w:lastRowLastColumn="0"/>
            </w:pPr>
            <w:r w:rsidRPr="00DD6685">
              <w:t>(NBA, Hospital, Authoriser,)</w:t>
            </w:r>
          </w:p>
          <w:p w:rsidR="002C0536" w:rsidRPr="00DD6685" w:rsidRDefault="002C0536" w:rsidP="00D2562E">
            <w:pPr>
              <w:cnfStyle w:val="000000100000" w:firstRow="0" w:lastRow="0" w:firstColumn="0" w:lastColumn="0" w:oddVBand="0" w:evenVBand="0" w:oddHBand="1" w:evenHBand="0" w:firstRowFirstColumn="0" w:firstRowLastColumn="0" w:lastRowFirstColumn="0" w:lastRowLastColumn="0"/>
            </w:pPr>
            <w:r>
              <w:t>NBA - 3</w:t>
            </w:r>
          </w:p>
        </w:tc>
        <w:tc>
          <w:tcPr>
            <w:tcW w:w="71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The linkage of specific indication and condition to clinical outcome data and prescribed treatment is essential for building the evidence base and determining the efficacy of Ig treatment.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(NBA, Hospital)</w:t>
            </w:r>
          </w:p>
        </w:tc>
        <w:tc>
          <w:tcPr>
            <w:tcW w:w="760"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Risk to assessing incorrect dose and infusion plan at authorisation resulting in potential ineffective clinical outcome, inappropriate product and dose/schedule of treatment, determining efficacy of treatment and inability to demand forecast and secure sufficient product supply.</w:t>
            </w:r>
          </w:p>
        </w:tc>
        <w:tc>
          <w:tcPr>
            <w:tcW w:w="713"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Use – Transparent to some users of system (see security matrix).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No disclosure other than at level of aggregated reports for clinical governance and Ig governance purposes.</w:t>
            </w:r>
          </w:p>
        </w:tc>
      </w:tr>
      <w:tr w:rsidR="00817CDC" w:rsidRPr="00DD6685" w:rsidTr="00564D53">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r w:rsidRPr="00DD6685">
              <w:t>Selected Criteria</w:t>
            </w:r>
          </w:p>
        </w:tc>
        <w:tc>
          <w:tcPr>
            <w:tcW w:w="478"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Collection of </w:t>
            </w:r>
            <w:r w:rsidRPr="00DD6685">
              <w:rPr>
                <w:rFonts w:cs="Times New Roman"/>
              </w:rPr>
              <w:t>Criteria</w:t>
            </w:r>
          </w:p>
        </w:tc>
        <w:tc>
          <w:tcPr>
            <w:tcW w:w="54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The Qualifying or Review Criteria that the patient’s condition meets (as selected by the requesting </w:t>
            </w:r>
            <w:r w:rsidRPr="00DD6685">
              <w:lastRenderedPageBreak/>
              <w:t>medical officer)</w:t>
            </w:r>
          </w:p>
        </w:tc>
        <w:tc>
          <w:tcPr>
            <w:tcW w:w="54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75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Providing transparency of the qualifying or review criteria that define eligibility to funded Ig treatment is a critical element needed for accurate </w:t>
            </w:r>
            <w:r w:rsidRPr="00DD6685">
              <w:lastRenderedPageBreak/>
              <w:t xml:space="preserve">Authorisation of proposed patient treatment as dose, frequency and treatment schedule is different for different conditions and indications.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(NBA, Hospital, Authoriser,)</w:t>
            </w:r>
          </w:p>
        </w:tc>
        <w:tc>
          <w:tcPr>
            <w:tcW w:w="71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lastRenderedPageBreak/>
              <w:t xml:space="preserve">The linkage of qualifying criteria to specific expected clinical outcome data and prescribed treatment is essential for building the </w:t>
            </w:r>
            <w:r w:rsidRPr="00DD6685">
              <w:lastRenderedPageBreak/>
              <w:t xml:space="preserve">evidence base and determining the efficacy of Ig treatment.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(NBA, Hospital)</w:t>
            </w:r>
          </w:p>
        </w:tc>
        <w:tc>
          <w:tcPr>
            <w:tcW w:w="760"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lastRenderedPageBreak/>
              <w:t xml:space="preserve">Risk of not providing transparency and accessible documentation of the qualifying and review criteria that define eligibility for each </w:t>
            </w:r>
            <w:r w:rsidRPr="00DD6685">
              <w:lastRenderedPageBreak/>
              <w:t xml:space="preserve">patient to access to Ig funded under the national blood arrangements.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Inability to undertake clinical governance activities and performance review of prescribing practice as no data would be available for reporting purposes. </w:t>
            </w:r>
          </w:p>
        </w:tc>
        <w:tc>
          <w:tcPr>
            <w:tcW w:w="713"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lastRenderedPageBreak/>
              <w:t xml:space="preserve">Use – Transparent to some users of system (see security matrix).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No disclosure other than at level of aggregated reports </w:t>
            </w:r>
            <w:r w:rsidRPr="00DD6685">
              <w:lastRenderedPageBreak/>
              <w:t>for clinical governance and Ig governance purposes.</w:t>
            </w:r>
          </w:p>
        </w:tc>
      </w:tr>
      <w:tr w:rsidR="00817CDC" w:rsidRPr="00DD6685" w:rsidTr="00564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r w:rsidRPr="00DD6685">
              <w:lastRenderedPageBreak/>
              <w:t>Evidence</w:t>
            </w:r>
          </w:p>
        </w:tc>
        <w:tc>
          <w:tcPr>
            <w:tcW w:w="478"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Collection of Evidence Responses</w:t>
            </w:r>
          </w:p>
        </w:tc>
        <w:tc>
          <w:tcPr>
            <w:tcW w:w="54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Responses to evidence items to support selection of criteria.</w:t>
            </w:r>
          </w:p>
        </w:tc>
        <w:tc>
          <w:tcPr>
            <w:tcW w:w="54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75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The collection of evidence  (where relevant) is required to provide proof that qualifying and/or review criteria have been met, and that patients are eligible for access to Ig funded under the national blood arrangements. This approach is consistent with approach used by the </w:t>
            </w:r>
            <w:r w:rsidRPr="00DD6685">
              <w:lastRenderedPageBreak/>
              <w:t>high cost drug</w:t>
            </w:r>
            <w:r w:rsidR="008107B1" w:rsidRPr="00DD6685">
              <w:t>s program.</w:t>
            </w:r>
          </w:p>
          <w:p w:rsidR="00817CDC" w:rsidRPr="00DD6685" w:rsidRDefault="00817CDC" w:rsidP="004242CC">
            <w:pPr>
              <w:cnfStyle w:val="000000100000" w:firstRow="0" w:lastRow="0" w:firstColumn="0" w:lastColumn="0" w:oddVBand="0" w:evenVBand="0" w:oddHBand="1" w:evenHBand="0" w:firstRowFirstColumn="0" w:firstRowLastColumn="0" w:lastRowFirstColumn="0" w:lastRowLastColumn="0"/>
            </w:pPr>
            <w:r w:rsidRPr="00DD6685">
              <w:t>(NBA</w:t>
            </w:r>
            <w:r w:rsidR="004242CC">
              <w:t xml:space="preserve"> - 3</w:t>
            </w:r>
            <w:r w:rsidRPr="00DD6685">
              <w:t>)</w:t>
            </w:r>
          </w:p>
        </w:tc>
        <w:tc>
          <w:tcPr>
            <w:tcW w:w="71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lastRenderedPageBreak/>
              <w:t xml:space="preserve">The value of measured evidence will support the development of data for future analysis of minimum effective </w:t>
            </w:r>
            <w:r w:rsidR="00154ADF" w:rsidRPr="00DD6685">
              <w:t>dose and</w:t>
            </w:r>
            <w:r w:rsidRPr="00DD6685">
              <w:t xml:space="preserve"> efficacy of Ig treatment for some conditions.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(NBA)</w:t>
            </w:r>
          </w:p>
        </w:tc>
        <w:tc>
          <w:tcPr>
            <w:tcW w:w="760"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Risk of the ongoing potential for inappropriate prescribing practice and/or non-compliance with the </w:t>
            </w:r>
            <w:r w:rsidRPr="00DD6685">
              <w:rPr>
                <w:i/>
              </w:rPr>
              <w:t>Criteria for Use</w:t>
            </w:r>
            <w:r w:rsidRPr="00DD6685">
              <w:t xml:space="preserve">.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Failure to build the evidence base to support future analysis of treatment effectiveness and dosing.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713"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lastRenderedPageBreak/>
              <w:t xml:space="preserve">Use – Transparent to some users of system (see security matrix).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No disclosure other than at level of- aggregated reports for clinical governance and Ig governance purposes.</w:t>
            </w:r>
          </w:p>
        </w:tc>
      </w:tr>
      <w:tr w:rsidR="00817CDC" w:rsidRPr="00DD6685" w:rsidTr="00564D53">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r w:rsidRPr="00DD6685">
              <w:lastRenderedPageBreak/>
              <w:t>Selected Exclusion Criteria</w:t>
            </w:r>
          </w:p>
        </w:tc>
        <w:tc>
          <w:tcPr>
            <w:tcW w:w="478"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Collection of </w:t>
            </w:r>
            <w:r w:rsidRPr="00DD6685">
              <w:rPr>
                <w:rFonts w:cs="Times New Roman"/>
              </w:rPr>
              <w:t>Exclusion Criteria</w:t>
            </w:r>
          </w:p>
        </w:tc>
        <w:tc>
          <w:tcPr>
            <w:tcW w:w="54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The exclusion criteria that was selected by the user as applying to the patient’s condition.</w:t>
            </w:r>
          </w:p>
        </w:tc>
        <w:tc>
          <w:tcPr>
            <w:tcW w:w="54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75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The collection of exclusion criteria is important to confirm that all patients are eligible for access to Ig under the national blood arrangements – that prescribing practice is compliant with the </w:t>
            </w:r>
            <w:r w:rsidRPr="00DD6685">
              <w:rPr>
                <w:i/>
              </w:rPr>
              <w:t>Criteria for Use.</w:t>
            </w:r>
            <w:r w:rsidRPr="00DD6685">
              <w:t xml:space="preserve">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(NBA</w:t>
            </w:r>
            <w:r w:rsidR="004242CC">
              <w:t xml:space="preserve"> - 3</w:t>
            </w:r>
            <w:r w:rsidRPr="00DD6685">
              <w:t>)</w:t>
            </w:r>
          </w:p>
        </w:tc>
        <w:tc>
          <w:tcPr>
            <w:tcW w:w="71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760"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Failure to collect exclusion criteria as part of the Authorisation request is likely to result in patients inappropriately receiving Ig treatment and </w:t>
            </w:r>
            <w:r w:rsidR="00154ADF">
              <w:t>non-</w:t>
            </w:r>
            <w:r w:rsidR="00154ADF" w:rsidRPr="00DD6685">
              <w:t>compliance</w:t>
            </w:r>
            <w:r w:rsidRPr="00DD6685">
              <w:t xml:space="preserve"> with the </w:t>
            </w:r>
            <w:r w:rsidRPr="00DD6685">
              <w:rPr>
                <w:i/>
              </w:rPr>
              <w:t>Criteria for Use.</w:t>
            </w:r>
            <w:r w:rsidRPr="00DD6685">
              <w:t xml:space="preserve"> Exclusion criteria have been determined as ineffective and inappropriate use of Ig by using a clinical evidence base</w:t>
            </w:r>
          </w:p>
        </w:tc>
        <w:tc>
          <w:tcPr>
            <w:tcW w:w="713"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Use – Transparent to some users of system (see security matrix).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No disclosure other than at level of de-identified </w:t>
            </w:r>
            <w:r w:rsidR="00DD26FB">
              <w:t>aggregated</w:t>
            </w:r>
            <w:r w:rsidRPr="00DD6685">
              <w:t xml:space="preserve"> reports for clinical governance and Ig governance purposes.</w:t>
            </w:r>
          </w:p>
        </w:tc>
      </w:tr>
      <w:tr w:rsidR="00817CDC" w:rsidRPr="00DD6685" w:rsidTr="00564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r w:rsidRPr="00DD6685">
              <w:t xml:space="preserve">Proposed Dose </w:t>
            </w:r>
          </w:p>
        </w:tc>
        <w:tc>
          <w:tcPr>
            <w:tcW w:w="478"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Collection of Proposed Doses</w:t>
            </w:r>
          </w:p>
        </w:tc>
        <w:tc>
          <w:tcPr>
            <w:tcW w:w="54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A specification of a dose that is being requested for treatment.</w:t>
            </w:r>
          </w:p>
        </w:tc>
        <w:tc>
          <w:tcPr>
            <w:tcW w:w="54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75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The proposed dose is assessed by the Authoriser and provided compliant with the dose range for each indication in </w:t>
            </w:r>
            <w:r w:rsidRPr="00DD6685">
              <w:rPr>
                <w:i/>
              </w:rPr>
              <w:t xml:space="preserve">the </w:t>
            </w:r>
            <w:r w:rsidRPr="00DD6685">
              <w:rPr>
                <w:i/>
              </w:rPr>
              <w:lastRenderedPageBreak/>
              <w:t xml:space="preserve">Criteria for use, </w:t>
            </w:r>
            <w:r w:rsidRPr="00DD6685">
              <w:t xml:space="preserve">will be approved. Given that a range is permissible, the clinical circumstance will determine the individual patient need. </w:t>
            </w:r>
            <w:r w:rsidRPr="00DD6685">
              <w:rPr>
                <w:i/>
              </w:rPr>
              <w:t xml:space="preserve">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(Authoriser, NBA)</w:t>
            </w:r>
          </w:p>
        </w:tc>
        <w:tc>
          <w:tcPr>
            <w:tcW w:w="71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lastRenderedPageBreak/>
              <w:t xml:space="preserve">Analysis of proposed dose by indication/condition is important as part of performance review and by linking to the </w:t>
            </w:r>
            <w:r w:rsidRPr="00DD6685">
              <w:lastRenderedPageBreak/>
              <w:t xml:space="preserve">clinical outcome, will provide evidence of minimal effective dose in the future.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(NBA)</w:t>
            </w:r>
          </w:p>
        </w:tc>
        <w:tc>
          <w:tcPr>
            <w:tcW w:w="760"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lastRenderedPageBreak/>
              <w:t xml:space="preserve">Failure to capture the proposed dose is likely to result in approval and supply of the maximum dose allowable in </w:t>
            </w:r>
            <w:r w:rsidRPr="00DD6685">
              <w:rPr>
                <w:i/>
              </w:rPr>
              <w:t>the Criteria</w:t>
            </w:r>
            <w:r w:rsidRPr="00DD6685">
              <w:t xml:space="preserve"> </w:t>
            </w:r>
            <w:r w:rsidRPr="00DD6685">
              <w:rPr>
                <w:i/>
              </w:rPr>
              <w:lastRenderedPageBreak/>
              <w:t>for Use</w:t>
            </w:r>
            <w:r w:rsidRPr="00DD6685">
              <w:t xml:space="preserve"> in every instance, resulting in potential over prescription and not achieving cost effective treatment. </w:t>
            </w:r>
          </w:p>
        </w:tc>
        <w:tc>
          <w:tcPr>
            <w:tcW w:w="713"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lastRenderedPageBreak/>
              <w:t xml:space="preserve">Use – Transparent to some users of system (see security matrix).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No disclosure other than at level of de-identified </w:t>
            </w:r>
            <w:r w:rsidR="00DD26FB">
              <w:t>aggregated</w:t>
            </w:r>
            <w:r w:rsidRPr="00DD6685">
              <w:t xml:space="preserve"> </w:t>
            </w:r>
            <w:r w:rsidRPr="00DD6685">
              <w:lastRenderedPageBreak/>
              <w:t>reports for clinical governance and Ig governance purposes.</w:t>
            </w:r>
          </w:p>
        </w:tc>
      </w:tr>
      <w:tr w:rsidR="00817CDC" w:rsidRPr="00DD6685" w:rsidTr="00564D53">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r w:rsidRPr="00DD6685">
              <w:lastRenderedPageBreak/>
              <w:t>Dispensing Site</w:t>
            </w:r>
          </w:p>
        </w:tc>
        <w:tc>
          <w:tcPr>
            <w:tcW w:w="478"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Distribution Site (</w:t>
            </w:r>
            <w:proofErr w:type="spellStart"/>
            <w:r w:rsidRPr="00DD6685">
              <w:t>BloodNet</w:t>
            </w:r>
            <w:proofErr w:type="spellEnd"/>
            <w:r w:rsidRPr="00DD6685">
              <w:t>)</w:t>
            </w:r>
          </w:p>
        </w:tc>
        <w:tc>
          <w:tcPr>
            <w:tcW w:w="54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The site that will be responsible for dispensing immunoglobulin product to the patient.</w:t>
            </w:r>
          </w:p>
        </w:tc>
        <w:tc>
          <w:tcPr>
            <w:tcW w:w="54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75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Capturing and providing transparency of the </w:t>
            </w:r>
            <w:r w:rsidR="00EA7CBF">
              <w:t>dispensing</w:t>
            </w:r>
            <w:r w:rsidR="00EA7CBF" w:rsidRPr="00DD6685">
              <w:t xml:space="preserve"> </w:t>
            </w:r>
            <w:r w:rsidRPr="00DD6685">
              <w:t xml:space="preserve">site is important to ensure that treatment is provided at the correct location for the patient. In some instances, the Treating Specialist (overall responsible for care) may be in a capital </w:t>
            </w:r>
            <w:r w:rsidR="00154ADF" w:rsidRPr="00DD6685">
              <w:t>city;</w:t>
            </w:r>
            <w:r w:rsidRPr="00DD6685">
              <w:t xml:space="preserve"> however, the majority of treatment is delivered in a regional or rural location or in some instances, home therapy.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lastRenderedPageBreak/>
              <w:t>(Hospital, NBA)</w:t>
            </w:r>
          </w:p>
        </w:tc>
        <w:tc>
          <w:tcPr>
            <w:tcW w:w="71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760"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Failure to capture and display the dispensing site is likely to result in errors in the availability of product and delays to access and treatment delivery. </w:t>
            </w:r>
          </w:p>
        </w:tc>
        <w:tc>
          <w:tcPr>
            <w:tcW w:w="713"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Use – Transparent to some users of system (see security matrix).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No disclosure other than at level of de-identified </w:t>
            </w:r>
            <w:r w:rsidR="00DD26FB">
              <w:t>aggregated</w:t>
            </w:r>
            <w:r w:rsidRPr="00DD6685">
              <w:t xml:space="preserve"> reports for clinical governance and Ig governance purposes.</w:t>
            </w:r>
          </w:p>
        </w:tc>
      </w:tr>
      <w:tr w:rsidR="00817CDC" w:rsidRPr="00DD6685" w:rsidTr="00564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r w:rsidRPr="00DD6685">
              <w:lastRenderedPageBreak/>
              <w:t>Authorisation Jurisdiction</w:t>
            </w:r>
          </w:p>
        </w:tc>
        <w:tc>
          <w:tcPr>
            <w:tcW w:w="478"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roofErr w:type="spellStart"/>
            <w:r w:rsidRPr="00DD6685">
              <w:rPr>
                <w:b/>
              </w:rPr>
              <w:t>LOV</w:t>
            </w:r>
            <w:proofErr w:type="spellEnd"/>
            <w:r w:rsidRPr="00DD6685">
              <w:t>: Jurisdiction</w:t>
            </w:r>
          </w:p>
        </w:tc>
        <w:tc>
          <w:tcPr>
            <w:tcW w:w="54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The jurisdiction under which the authorisation request will be assessed.</w:t>
            </w:r>
          </w:p>
        </w:tc>
        <w:tc>
          <w:tcPr>
            <w:tcW w:w="54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Valid Values:</w:t>
            </w:r>
          </w:p>
          <w:p w:rsidR="00817CDC" w:rsidRPr="00DD6685"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r w:rsidRPr="00DD6685">
              <w:t>ACT</w:t>
            </w:r>
          </w:p>
          <w:p w:rsidR="00817CDC" w:rsidRPr="00DD6685"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r w:rsidRPr="00DD6685">
              <w:t>NSW</w:t>
            </w:r>
          </w:p>
          <w:p w:rsidR="00817CDC" w:rsidRPr="00DD6685"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r w:rsidRPr="00DD6685">
              <w:t>NT</w:t>
            </w:r>
          </w:p>
          <w:p w:rsidR="00817CDC" w:rsidRPr="00DD6685"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r w:rsidRPr="00DD6685">
              <w:t>QLD</w:t>
            </w:r>
          </w:p>
          <w:p w:rsidR="00817CDC" w:rsidRPr="00DD6685"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r w:rsidRPr="00DD6685">
              <w:t>SA</w:t>
            </w:r>
          </w:p>
          <w:p w:rsidR="00817CDC" w:rsidRPr="00DD6685"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r w:rsidRPr="00DD6685">
              <w:t>TAS</w:t>
            </w:r>
          </w:p>
          <w:p w:rsidR="00817CDC" w:rsidRPr="00DD6685"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r w:rsidRPr="00DD6685">
              <w:t>VIC</w:t>
            </w:r>
          </w:p>
          <w:p w:rsidR="00817CDC" w:rsidRPr="00DD6685"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r w:rsidRPr="00DD6685">
              <w:t>WA</w:t>
            </w:r>
          </w:p>
        </w:tc>
        <w:tc>
          <w:tcPr>
            <w:tcW w:w="75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Capturing and providing transparency of the Authorisation jurisdiction ensures that there is transparency of location of the Authoriser to prescribers and other users to contact the Authoriser where necessary.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(Hospital, NBA)</w:t>
            </w:r>
          </w:p>
        </w:tc>
        <w:tc>
          <w:tcPr>
            <w:tcW w:w="71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Review of Authoriser performance (</w:t>
            </w:r>
            <w:r w:rsidR="00154ADF" w:rsidRPr="00DD6685">
              <w:t>e</w:t>
            </w:r>
            <w:r w:rsidR="00154ADF">
              <w:t>.</w:t>
            </w:r>
            <w:r w:rsidR="00154ADF" w:rsidRPr="00DD6685">
              <w:t>g</w:t>
            </w:r>
            <w:r w:rsidR="00154ADF">
              <w:t>.</w:t>
            </w:r>
            <w:r w:rsidRPr="00DD6685">
              <w:t xml:space="preserve"> to assess the level of comparable decision making nationally) is an important part of the ongoing governance of Ig management.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(NBA)</w:t>
            </w:r>
          </w:p>
        </w:tc>
        <w:tc>
          <w:tcPr>
            <w:tcW w:w="760"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Prescribers will be unable to easily follow-up and contact the relevant Authoriser in the event of clarification of problems with requests.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Failure to collect the Authorisation site removes the ability to undertake appropriate performance analysis of this function. </w:t>
            </w:r>
          </w:p>
        </w:tc>
        <w:tc>
          <w:tcPr>
            <w:tcW w:w="713"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Use – Transparent to some users of system (see security matrix).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No disclosure other than at level of de-identified </w:t>
            </w:r>
            <w:r w:rsidR="00DD26FB">
              <w:t>aggregated</w:t>
            </w:r>
            <w:r w:rsidRPr="00DD6685">
              <w:t xml:space="preserve"> reports for clinical governance and Ig governance purposes.</w:t>
            </w:r>
          </w:p>
        </w:tc>
      </w:tr>
      <w:tr w:rsidR="00817CDC" w:rsidRPr="00DD6685" w:rsidTr="00564D53">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r w:rsidRPr="00DD6685">
              <w:t>Is Retrospective</w:t>
            </w:r>
          </w:p>
        </w:tc>
        <w:tc>
          <w:tcPr>
            <w:tcW w:w="478"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True / False</w:t>
            </w:r>
          </w:p>
        </w:tc>
        <w:tc>
          <w:tcPr>
            <w:tcW w:w="547"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Indicates that the request is being made retrospectively (after treatment has begun)</w:t>
            </w:r>
          </w:p>
        </w:tc>
        <w:tc>
          <w:tcPr>
            <w:tcW w:w="549"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p>
        </w:tc>
        <w:tc>
          <w:tcPr>
            <w:tcW w:w="759" w:type="pct"/>
          </w:tcPr>
          <w:p w:rsidR="00817CDC" w:rsidRPr="00DD6685" w:rsidRDefault="00154ADF" w:rsidP="00D2562E">
            <w:pPr>
              <w:cnfStyle w:val="000000000000" w:firstRow="0" w:lastRow="0" w:firstColumn="0" w:lastColumn="0" w:oddVBand="0" w:evenVBand="0" w:oddHBand="0" w:evenHBand="0" w:firstRowFirstColumn="0" w:firstRowLastColumn="0" w:lastRowFirstColumn="0" w:lastRowLastColumn="0"/>
            </w:pPr>
            <w:r w:rsidRPr="00DD6685">
              <w:t>In some instances, product is required to be dispensed without authorisation approval (e</w:t>
            </w:r>
            <w:r>
              <w:t xml:space="preserve">.g. </w:t>
            </w:r>
            <w:r w:rsidRPr="00DD6685">
              <w:t xml:space="preserve">in an emergency), and data entry is addressed after the fact. </w:t>
            </w:r>
            <w:r w:rsidR="00817CDC" w:rsidRPr="00DD6685">
              <w:t xml:space="preserve">The system must be able to accommodate retrospective data </w:t>
            </w:r>
            <w:r w:rsidR="00817CDC" w:rsidRPr="00DD6685">
              <w:lastRenderedPageBreak/>
              <w:t xml:space="preserve">entry of authorisation requests and track them.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(Hospital, NBA)</w:t>
            </w:r>
          </w:p>
        </w:tc>
        <w:tc>
          <w:tcPr>
            <w:tcW w:w="714"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lastRenderedPageBreak/>
              <w:t xml:space="preserve">The frequency of such requests and other relevant process issues can be evaluated for improvement opportunities as part of performance review using this field.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lastRenderedPageBreak/>
              <w:t>(NBA)</w:t>
            </w:r>
          </w:p>
        </w:tc>
        <w:tc>
          <w:tcPr>
            <w:tcW w:w="760"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lastRenderedPageBreak/>
              <w:t xml:space="preserve">Failure to allow flagging of retrospective requests in the system will result in incorrect treatment dates being recorded and lack of visibility of the practice of dispensing without authorisation approval. </w:t>
            </w:r>
          </w:p>
        </w:tc>
        <w:tc>
          <w:tcPr>
            <w:tcW w:w="713" w:type="pct"/>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Use – Transparent to some users of system (see security matrix).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No disclosure other than at level of de-identified </w:t>
            </w:r>
            <w:r w:rsidR="00DD26FB">
              <w:t>aggregated</w:t>
            </w:r>
            <w:r w:rsidRPr="00DD6685">
              <w:t xml:space="preserve"> reports for clinical governance and Ig governance purposes.</w:t>
            </w:r>
          </w:p>
        </w:tc>
      </w:tr>
      <w:tr w:rsidR="00817CDC" w:rsidRPr="00DD6685" w:rsidTr="00564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rsidR="00817CDC" w:rsidRPr="00DD6685" w:rsidRDefault="00817CDC" w:rsidP="00D2562E">
            <w:r w:rsidRPr="00DD6685">
              <w:lastRenderedPageBreak/>
              <w:t>Is Emergency</w:t>
            </w:r>
          </w:p>
        </w:tc>
        <w:tc>
          <w:tcPr>
            <w:tcW w:w="478"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True / False</w:t>
            </w:r>
          </w:p>
        </w:tc>
        <w:tc>
          <w:tcPr>
            <w:tcW w:w="547"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Indicates that the request is being made in an emergency and that treatment is likely to be given before the assessment has been completed.</w:t>
            </w:r>
          </w:p>
        </w:tc>
        <w:tc>
          <w:tcPr>
            <w:tcW w:w="54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759"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This field is important to distinguish emergency need from other reasons for dispensing without authorisation.  While the system must be able to accommodate retrospective data entry of authorisation requests and track them, some emergencies will be able to receive authorisation approval.  The flag can be used to more highly prioritise such requests for the Authoriser and the Dispenser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(Hospital, NBA)</w:t>
            </w:r>
          </w:p>
        </w:tc>
        <w:tc>
          <w:tcPr>
            <w:tcW w:w="714"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The frequency of the subset of emergency requests allows investigation of other reasons for retrospective data entry and monitoring of how many emergency requests there are. Process problems can be evaluated for improvement opportunities as part of performance review using this field together with the retrospective flag.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(Hospital, NBA)</w:t>
            </w:r>
          </w:p>
        </w:tc>
        <w:tc>
          <w:tcPr>
            <w:tcW w:w="760"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Failure to identify emergency requests denies the opportunity to fully evaluate the frequency of such instances and the degree to which they are able to be accommodated by the Ig management structures including by different Authorisation locations. </w:t>
            </w:r>
          </w:p>
        </w:tc>
        <w:tc>
          <w:tcPr>
            <w:tcW w:w="713" w:type="pct"/>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Use – Transparent to some users of system (see security matrix).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No disclosure other than at level of de-identified </w:t>
            </w:r>
            <w:r w:rsidR="00DD26FB">
              <w:t>aggregated</w:t>
            </w:r>
            <w:r w:rsidRPr="00DD6685">
              <w:t xml:space="preserve"> reports for clinical governance and Ig governance purposes.</w:t>
            </w:r>
          </w:p>
        </w:tc>
      </w:tr>
    </w:tbl>
    <w:p w:rsidR="00817CDC" w:rsidRDefault="00817CDC" w:rsidP="00817CDC"/>
    <w:p w:rsidR="00817CDC" w:rsidRDefault="00817CDC" w:rsidP="008107B1">
      <w:pPr>
        <w:pStyle w:val="Heading3"/>
      </w:pPr>
      <w:bookmarkStart w:id="81" w:name="_Previous_Treatment"/>
      <w:bookmarkEnd w:id="81"/>
      <w:r>
        <w:t>Previous Treatment</w:t>
      </w:r>
    </w:p>
    <w:p w:rsidR="00817CDC" w:rsidRPr="000417EB" w:rsidRDefault="00817CDC" w:rsidP="00817CDC">
      <w:proofErr w:type="gramStart"/>
      <w:r>
        <w:t>A record of a previously administered course of immunoglobulin treatment.</w:t>
      </w:r>
      <w:proofErr w:type="gramEnd"/>
    </w:p>
    <w:tbl>
      <w:tblPr>
        <w:tblStyle w:val="IgTable"/>
        <w:tblW w:w="0" w:type="auto"/>
        <w:tblLook w:val="04A0" w:firstRow="1" w:lastRow="0" w:firstColumn="1" w:lastColumn="0" w:noHBand="0" w:noVBand="1"/>
      </w:tblPr>
      <w:tblGrid>
        <w:gridCol w:w="1328"/>
        <w:gridCol w:w="1193"/>
        <w:gridCol w:w="1558"/>
        <w:gridCol w:w="1236"/>
        <w:gridCol w:w="2281"/>
        <w:gridCol w:w="2199"/>
        <w:gridCol w:w="2208"/>
        <w:gridCol w:w="2171"/>
      </w:tblGrid>
      <w:tr w:rsidR="00DD281E" w:rsidRPr="00DD6685" w:rsidTr="00D256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84" w:type="dxa"/>
          </w:tcPr>
          <w:p w:rsidR="00817CDC" w:rsidRPr="00DD6685" w:rsidRDefault="00817CDC" w:rsidP="00D2562E">
            <w:pPr>
              <w:rPr>
                <w:b w:val="0"/>
                <w:sz w:val="20"/>
              </w:rPr>
            </w:pPr>
            <w:r w:rsidRPr="00DD6685">
              <w:rPr>
                <w:sz w:val="20"/>
              </w:rPr>
              <w:t xml:space="preserve">Column </w:t>
            </w:r>
          </w:p>
        </w:tc>
        <w:tc>
          <w:tcPr>
            <w:tcW w:w="1276" w:type="dxa"/>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Type</w:t>
            </w:r>
          </w:p>
        </w:tc>
        <w:tc>
          <w:tcPr>
            <w:tcW w:w="1559" w:type="dxa"/>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Description</w:t>
            </w:r>
          </w:p>
        </w:tc>
        <w:tc>
          <w:tcPr>
            <w:tcW w:w="1276" w:type="dxa"/>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Validation</w:t>
            </w:r>
          </w:p>
        </w:tc>
        <w:tc>
          <w:tcPr>
            <w:tcW w:w="2552" w:type="dxa"/>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Primary purpose for collection</w:t>
            </w:r>
          </w:p>
        </w:tc>
        <w:tc>
          <w:tcPr>
            <w:tcW w:w="2409" w:type="dxa"/>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sz w:val="20"/>
              </w:rPr>
            </w:pPr>
            <w:r w:rsidRPr="00DD6685">
              <w:rPr>
                <w:sz w:val="20"/>
              </w:rPr>
              <w:t>Secondary purpose for collection</w:t>
            </w:r>
          </w:p>
        </w:tc>
        <w:tc>
          <w:tcPr>
            <w:tcW w:w="2409" w:type="dxa"/>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sz w:val="20"/>
              </w:rPr>
            </w:pPr>
            <w:r w:rsidRPr="00DD6685">
              <w:rPr>
                <w:sz w:val="20"/>
              </w:rPr>
              <w:t>Consequence if not collected</w:t>
            </w:r>
          </w:p>
        </w:tc>
        <w:tc>
          <w:tcPr>
            <w:tcW w:w="2409" w:type="dxa"/>
            <w:shd w:val="clear" w:color="auto" w:fill="002060"/>
          </w:tcPr>
          <w:p w:rsidR="00817CDC" w:rsidRPr="00DD6685" w:rsidRDefault="00817CDC" w:rsidP="00D2562E">
            <w:pPr>
              <w:cnfStyle w:val="100000000000" w:firstRow="1" w:lastRow="0" w:firstColumn="0" w:lastColumn="0" w:oddVBand="0" w:evenVBand="0" w:oddHBand="0" w:evenHBand="0" w:firstRowFirstColumn="0" w:firstRowLastColumn="0" w:lastRowFirstColumn="0" w:lastRowLastColumn="0"/>
              <w:rPr>
                <w:b w:val="0"/>
                <w:sz w:val="20"/>
              </w:rPr>
            </w:pPr>
            <w:r w:rsidRPr="00DD6685">
              <w:rPr>
                <w:sz w:val="20"/>
              </w:rPr>
              <w:t>Proposed use and Disclosure</w:t>
            </w:r>
          </w:p>
        </w:tc>
      </w:tr>
      <w:tr w:rsidR="00817CDC" w:rsidRPr="00DD6685" w:rsidTr="00D25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817CDC" w:rsidRPr="00DD6685" w:rsidRDefault="00817CDC" w:rsidP="00D2562E">
            <w:r w:rsidRPr="00DD6685">
              <w:t>Treatment Type</w:t>
            </w:r>
          </w:p>
        </w:tc>
        <w:tc>
          <w:tcPr>
            <w:tcW w:w="1276"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roofErr w:type="spellStart"/>
            <w:r w:rsidRPr="00DD6685">
              <w:rPr>
                <w:b/>
              </w:rPr>
              <w:t>LOV</w:t>
            </w:r>
            <w:proofErr w:type="spellEnd"/>
            <w:r w:rsidRPr="00DD6685">
              <w:t>: Ig product Types</w:t>
            </w:r>
          </w:p>
        </w:tc>
        <w:tc>
          <w:tcPr>
            <w:tcW w:w="1559"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The product types of the previous Immunoglobulin treatment.</w:t>
            </w:r>
          </w:p>
        </w:tc>
        <w:tc>
          <w:tcPr>
            <w:tcW w:w="1276"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Valid Values product brand names for each of :</w:t>
            </w:r>
          </w:p>
          <w:p w:rsidR="00817CDC" w:rsidRPr="00DD6685"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proofErr w:type="spellStart"/>
            <w:r w:rsidRPr="00DD6685">
              <w:t>IVIg</w:t>
            </w:r>
            <w:proofErr w:type="spellEnd"/>
          </w:p>
          <w:p w:rsidR="00817CDC" w:rsidRPr="00DD6685"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proofErr w:type="spellStart"/>
            <w:r w:rsidRPr="00DD6685">
              <w:t>SCIg</w:t>
            </w:r>
            <w:proofErr w:type="spellEnd"/>
          </w:p>
          <w:p w:rsidR="00817CDC" w:rsidRPr="00DD6685"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proofErr w:type="spellStart"/>
            <w:r w:rsidRPr="00DD6685">
              <w:t>NHIg</w:t>
            </w:r>
            <w:proofErr w:type="spellEnd"/>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2552"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The collection of type of Ig Product that was used in previous treatments may support the allocation of the correct /best treatment type for current or future treatments.  Product type (rather than brand) is specific for indication and condition however; it is preferable to retain patients on the same brand of product where supply constraints allow.</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w:t>
            </w:r>
            <w:r w:rsidR="00DD281E">
              <w:t>Prescriber</w:t>
            </w:r>
            <w:r w:rsidRPr="00DD6685">
              <w:t xml:space="preserve">, </w:t>
            </w:r>
            <w:r w:rsidR="00DD281E">
              <w:t xml:space="preserve">Nurse, Dispenser, </w:t>
            </w:r>
            <w:r w:rsidRPr="00DD6685">
              <w:t>Authoriser, NBA)</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2409"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The evaluation of previous treatment types when linked with clinical response provides important intelligence to build the evidence base and potentially assess performance of different brands by condition.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(NBA)</w:t>
            </w:r>
          </w:p>
        </w:tc>
        <w:tc>
          <w:tcPr>
            <w:tcW w:w="2409"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Failure to collect and display the previous treatment type may result in patients being allocated a different product at next infusion. Different brands have different infusion rates and may cause adverse reactions. Constraints exist in some jurisdictions regarding the number of product brands within hospitals which may be difficult to manage without this flag. </w:t>
            </w:r>
          </w:p>
        </w:tc>
        <w:tc>
          <w:tcPr>
            <w:tcW w:w="2409"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Use – Transparent to some users of system (see security matrix).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No disclosure other than at level of de-identified </w:t>
            </w:r>
            <w:r w:rsidR="00DD26FB">
              <w:t>aggregated</w:t>
            </w:r>
            <w:r w:rsidRPr="00DD6685">
              <w:t xml:space="preserve"> reports for clinical governance and Ig governance purposes.</w:t>
            </w:r>
          </w:p>
        </w:tc>
      </w:tr>
      <w:tr w:rsidR="00817CDC" w:rsidRPr="00DD6685" w:rsidTr="00D2562E">
        <w:tc>
          <w:tcPr>
            <w:cnfStyle w:val="001000000000" w:firstRow="0" w:lastRow="0" w:firstColumn="1" w:lastColumn="0" w:oddVBand="0" w:evenVBand="0" w:oddHBand="0" w:evenHBand="0" w:firstRowFirstColumn="0" w:firstRowLastColumn="0" w:lastRowFirstColumn="0" w:lastRowLastColumn="0"/>
            <w:tcW w:w="1384" w:type="dxa"/>
          </w:tcPr>
          <w:p w:rsidR="00817CDC" w:rsidRPr="00DD6685" w:rsidRDefault="00817CDC" w:rsidP="00D2562E">
            <w:r w:rsidRPr="00DD6685">
              <w:t>Date</w:t>
            </w:r>
          </w:p>
        </w:tc>
        <w:tc>
          <w:tcPr>
            <w:tcW w:w="1276" w:type="dxa"/>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Date Time</w:t>
            </w:r>
          </w:p>
        </w:tc>
        <w:tc>
          <w:tcPr>
            <w:tcW w:w="1559" w:type="dxa"/>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The date of the previous </w:t>
            </w:r>
            <w:r w:rsidRPr="00DD6685">
              <w:lastRenderedPageBreak/>
              <w:t>treatment</w:t>
            </w:r>
          </w:p>
        </w:tc>
        <w:tc>
          <w:tcPr>
            <w:tcW w:w="1276" w:type="dxa"/>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lastRenderedPageBreak/>
              <w:t xml:space="preserve">Must not be current or </w:t>
            </w:r>
            <w:r w:rsidRPr="00DD6685">
              <w:lastRenderedPageBreak/>
              <w:t>future date.</w:t>
            </w:r>
          </w:p>
        </w:tc>
        <w:tc>
          <w:tcPr>
            <w:tcW w:w="2552" w:type="dxa"/>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lastRenderedPageBreak/>
              <w:t xml:space="preserve">The date of the most recent treatment is important to schedule </w:t>
            </w:r>
            <w:r w:rsidRPr="00DD6685">
              <w:lastRenderedPageBreak/>
              <w:t xml:space="preserve">the next treatment. </w:t>
            </w:r>
          </w:p>
          <w:p w:rsidR="00DD281E" w:rsidRPr="00DD6685" w:rsidRDefault="00817CDC" w:rsidP="00DD281E">
            <w:pPr>
              <w:cnfStyle w:val="000000000000" w:firstRow="0" w:lastRow="0" w:firstColumn="0" w:lastColumn="0" w:oddVBand="0" w:evenVBand="0" w:oddHBand="0" w:evenHBand="0" w:firstRowFirstColumn="0" w:firstRowLastColumn="0" w:lastRowFirstColumn="0" w:lastRowLastColumn="0"/>
            </w:pPr>
            <w:r w:rsidRPr="00DD6685">
              <w:t>(</w:t>
            </w:r>
            <w:r w:rsidR="00DD281E">
              <w:t>Prescriber</w:t>
            </w:r>
            <w:r w:rsidR="00DD281E" w:rsidRPr="00DD6685">
              <w:t xml:space="preserve">, </w:t>
            </w:r>
            <w:r w:rsidR="00DD281E">
              <w:t xml:space="preserve">Nurse, Dispenser, </w:t>
            </w:r>
            <w:r w:rsidR="00DD281E" w:rsidRPr="00DD6685">
              <w:t>Authoriser, NBA)</w:t>
            </w:r>
          </w:p>
          <w:p w:rsidR="00817CDC" w:rsidRPr="00DD6685" w:rsidRDefault="00817CDC" w:rsidP="00DD281E">
            <w:pPr>
              <w:cnfStyle w:val="000000000000" w:firstRow="0" w:lastRow="0" w:firstColumn="0" w:lastColumn="0" w:oddVBand="0" w:evenVBand="0" w:oddHBand="0" w:evenHBand="0" w:firstRowFirstColumn="0" w:firstRowLastColumn="0" w:lastRowFirstColumn="0" w:lastRowLastColumn="0"/>
            </w:pPr>
          </w:p>
        </w:tc>
        <w:tc>
          <w:tcPr>
            <w:tcW w:w="2409" w:type="dxa"/>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lastRenderedPageBreak/>
              <w:t xml:space="preserve">Display of previous treatment will avoid duplicate treatments </w:t>
            </w:r>
            <w:r w:rsidRPr="00DD6685">
              <w:lastRenderedPageBreak/>
              <w:t xml:space="preserve">being scheduled and given. Data analysis of treatment timings is an important indicator to support evaluation of treatment effectiveness and Ig performance management.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(Hospital, NBA)</w:t>
            </w:r>
          </w:p>
        </w:tc>
        <w:tc>
          <w:tcPr>
            <w:tcW w:w="2409" w:type="dxa"/>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lastRenderedPageBreak/>
              <w:t xml:space="preserve">Failure to collect/display the date of previous treatment </w:t>
            </w:r>
            <w:r w:rsidRPr="00DD6685">
              <w:lastRenderedPageBreak/>
              <w:t xml:space="preserve">will result in paper records needing to be accessed and reduces the efficiency of the system to support Ig treatment. Risk of duplicate treatments at incorrect time intervals being given across different sites. </w:t>
            </w:r>
          </w:p>
        </w:tc>
        <w:tc>
          <w:tcPr>
            <w:tcW w:w="2409" w:type="dxa"/>
          </w:tcPr>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lastRenderedPageBreak/>
              <w:t xml:space="preserve">Use – Transparent to some users of system </w:t>
            </w:r>
            <w:r w:rsidRPr="00DD6685">
              <w:lastRenderedPageBreak/>
              <w:t xml:space="preserve">(see security matrix). </w:t>
            </w:r>
          </w:p>
          <w:p w:rsidR="00817CDC" w:rsidRPr="00DD6685" w:rsidRDefault="00817CDC" w:rsidP="00D2562E">
            <w:pPr>
              <w:cnfStyle w:val="000000000000" w:firstRow="0" w:lastRow="0" w:firstColumn="0" w:lastColumn="0" w:oddVBand="0" w:evenVBand="0" w:oddHBand="0" w:evenHBand="0" w:firstRowFirstColumn="0" w:firstRowLastColumn="0" w:lastRowFirstColumn="0" w:lastRowLastColumn="0"/>
            </w:pPr>
            <w:r w:rsidRPr="00DD6685">
              <w:t xml:space="preserve">No disclosure other than at level of de-identified </w:t>
            </w:r>
            <w:r w:rsidR="00DD26FB">
              <w:t>aggregated</w:t>
            </w:r>
            <w:r w:rsidRPr="00DD6685">
              <w:t xml:space="preserve"> reports for clinical governance and Ig governance purposes.</w:t>
            </w:r>
          </w:p>
        </w:tc>
      </w:tr>
      <w:tr w:rsidR="00817CDC" w:rsidRPr="00DD6685" w:rsidTr="00D25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817CDC" w:rsidRPr="00DD6685" w:rsidRDefault="00817CDC" w:rsidP="00D2562E">
            <w:r w:rsidRPr="00DD6685">
              <w:lastRenderedPageBreak/>
              <w:t>Response</w:t>
            </w:r>
          </w:p>
        </w:tc>
        <w:tc>
          <w:tcPr>
            <w:tcW w:w="1276"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Text</w:t>
            </w:r>
          </w:p>
        </w:tc>
        <w:tc>
          <w:tcPr>
            <w:tcW w:w="1559"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A comment on the patient’s response to the treatment.</w:t>
            </w:r>
          </w:p>
        </w:tc>
        <w:tc>
          <w:tcPr>
            <w:tcW w:w="1276"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2552"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The recording of the response patients have had to particular brands of Ig product ensures that allocation of the next treatment type is appropriate for patient safety. </w:t>
            </w:r>
          </w:p>
          <w:p w:rsidR="00DD281E" w:rsidRPr="00DD6685" w:rsidRDefault="00DD281E" w:rsidP="00DD281E">
            <w:pPr>
              <w:cnfStyle w:val="000000100000" w:firstRow="0" w:lastRow="0" w:firstColumn="0" w:lastColumn="0" w:oddVBand="0" w:evenVBand="0" w:oddHBand="1" w:evenHBand="0" w:firstRowFirstColumn="0" w:firstRowLastColumn="0" w:lastRowFirstColumn="0" w:lastRowLastColumn="0"/>
            </w:pPr>
            <w:r w:rsidRPr="00DD6685">
              <w:t>(</w:t>
            </w:r>
            <w:r>
              <w:t>Prescriber</w:t>
            </w:r>
            <w:r w:rsidRPr="00DD6685">
              <w:t xml:space="preserve">, </w:t>
            </w:r>
            <w:r>
              <w:t xml:space="preserve">Nurse, Dispenser, </w:t>
            </w:r>
            <w:r w:rsidRPr="00DD6685">
              <w:t>Authoriser, NBA)</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2409"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p>
        </w:tc>
        <w:tc>
          <w:tcPr>
            <w:tcW w:w="2409"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Failure to collect and display the patient’s response to a previous Ig treatment may result in patients receiving a brand of product to which they have had a reaction. </w:t>
            </w:r>
          </w:p>
        </w:tc>
        <w:tc>
          <w:tcPr>
            <w:tcW w:w="2409" w:type="dxa"/>
          </w:tcPr>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Use – Transparent to some users of system (see security matrix). </w:t>
            </w:r>
          </w:p>
          <w:p w:rsidR="00817CDC" w:rsidRPr="00DD6685" w:rsidRDefault="00817CDC" w:rsidP="00D2562E">
            <w:pPr>
              <w:cnfStyle w:val="000000100000" w:firstRow="0" w:lastRow="0" w:firstColumn="0" w:lastColumn="0" w:oddVBand="0" w:evenVBand="0" w:oddHBand="1" w:evenHBand="0" w:firstRowFirstColumn="0" w:firstRowLastColumn="0" w:lastRowFirstColumn="0" w:lastRowLastColumn="0"/>
            </w:pPr>
            <w:r w:rsidRPr="00DD6685">
              <w:t xml:space="preserve">No disclosure other than at level of de-identified </w:t>
            </w:r>
            <w:r w:rsidR="00DD26FB">
              <w:t>aggregated</w:t>
            </w:r>
            <w:r w:rsidRPr="00DD6685">
              <w:t xml:space="preserve"> reports for clinical governance and Ig governance purposes.</w:t>
            </w:r>
          </w:p>
        </w:tc>
      </w:tr>
    </w:tbl>
    <w:p w:rsidR="00817CDC" w:rsidRDefault="00817CDC" w:rsidP="00817CDC"/>
    <w:p w:rsidR="00817CDC" w:rsidRDefault="00817CDC" w:rsidP="008107B1">
      <w:pPr>
        <w:pStyle w:val="Heading3"/>
      </w:pPr>
      <w:bookmarkStart w:id="82" w:name="_Medical_Officer"/>
      <w:bookmarkEnd w:id="82"/>
      <w:r>
        <w:t>Medical Officer</w:t>
      </w:r>
    </w:p>
    <w:p w:rsidR="00817CDC" w:rsidRPr="009144BD" w:rsidRDefault="00817CDC" w:rsidP="00817CDC">
      <w:proofErr w:type="gramStart"/>
      <w:r>
        <w:lastRenderedPageBreak/>
        <w:t>An individual with the qualifications and credentials to prescribe immunoglobulin treatment.</w:t>
      </w:r>
      <w:proofErr w:type="gramEnd"/>
      <w:r>
        <w:t xml:space="preserve">  The medical officer record </w:t>
      </w:r>
      <w:r w:rsidR="008107B1">
        <w:t>may or may not be</w:t>
      </w:r>
      <w:r>
        <w:t xml:space="preserve"> related to a user account.</w:t>
      </w:r>
    </w:p>
    <w:tbl>
      <w:tblPr>
        <w:tblStyle w:val="IgTable"/>
        <w:tblW w:w="5000" w:type="pct"/>
        <w:tblLook w:val="04A0" w:firstRow="1" w:lastRow="0" w:firstColumn="1" w:lastColumn="0" w:noHBand="0" w:noVBand="1"/>
      </w:tblPr>
      <w:tblGrid>
        <w:gridCol w:w="1441"/>
        <w:gridCol w:w="1406"/>
        <w:gridCol w:w="1533"/>
        <w:gridCol w:w="1157"/>
        <w:gridCol w:w="2307"/>
        <w:gridCol w:w="2065"/>
        <w:gridCol w:w="2202"/>
        <w:gridCol w:w="2063"/>
      </w:tblGrid>
      <w:tr w:rsidR="00817CDC" w:rsidRPr="00C91CAE" w:rsidTr="008107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 w:type="pct"/>
          </w:tcPr>
          <w:p w:rsidR="00817CDC" w:rsidRPr="00C91CAE" w:rsidRDefault="00817CDC" w:rsidP="00D2562E">
            <w:pPr>
              <w:rPr>
                <w:b w:val="0"/>
              </w:rPr>
            </w:pPr>
            <w:r w:rsidRPr="00C91CAE">
              <w:t xml:space="preserve">Column </w:t>
            </w:r>
          </w:p>
        </w:tc>
        <w:tc>
          <w:tcPr>
            <w:tcW w:w="407" w:type="pct"/>
          </w:tcPr>
          <w:p w:rsidR="00817CDC" w:rsidRPr="00C91CAE" w:rsidRDefault="00817CDC" w:rsidP="00D2562E">
            <w:pPr>
              <w:cnfStyle w:val="100000000000" w:firstRow="1" w:lastRow="0" w:firstColumn="0" w:lastColumn="0" w:oddVBand="0" w:evenVBand="0" w:oddHBand="0" w:evenHBand="0" w:firstRowFirstColumn="0" w:firstRowLastColumn="0" w:lastRowFirstColumn="0" w:lastRowLastColumn="0"/>
              <w:rPr>
                <w:b w:val="0"/>
              </w:rPr>
            </w:pPr>
            <w:r w:rsidRPr="00C91CAE">
              <w:t>Type</w:t>
            </w:r>
          </w:p>
        </w:tc>
        <w:tc>
          <w:tcPr>
            <w:tcW w:w="520" w:type="pct"/>
          </w:tcPr>
          <w:p w:rsidR="00817CDC" w:rsidRPr="00C91CAE" w:rsidRDefault="00817CDC" w:rsidP="00D2562E">
            <w:pPr>
              <w:cnfStyle w:val="100000000000" w:firstRow="1" w:lastRow="0" w:firstColumn="0" w:lastColumn="0" w:oddVBand="0" w:evenVBand="0" w:oddHBand="0" w:evenHBand="0" w:firstRowFirstColumn="0" w:firstRowLastColumn="0" w:lastRowFirstColumn="0" w:lastRowLastColumn="0"/>
              <w:rPr>
                <w:b w:val="0"/>
              </w:rPr>
            </w:pPr>
            <w:r w:rsidRPr="00C91CAE">
              <w:t>Description</w:t>
            </w:r>
          </w:p>
        </w:tc>
        <w:tc>
          <w:tcPr>
            <w:tcW w:w="426" w:type="pct"/>
          </w:tcPr>
          <w:p w:rsidR="00817CDC" w:rsidRPr="00C91CAE" w:rsidRDefault="00817CDC" w:rsidP="00D2562E">
            <w:pPr>
              <w:cnfStyle w:val="100000000000" w:firstRow="1" w:lastRow="0" w:firstColumn="0" w:lastColumn="0" w:oddVBand="0" w:evenVBand="0" w:oddHBand="0" w:evenHBand="0" w:firstRowFirstColumn="0" w:firstRowLastColumn="0" w:lastRowFirstColumn="0" w:lastRowLastColumn="0"/>
              <w:rPr>
                <w:b w:val="0"/>
              </w:rPr>
            </w:pPr>
            <w:r w:rsidRPr="00C91CAE">
              <w:t>Validation</w:t>
            </w:r>
          </w:p>
        </w:tc>
        <w:tc>
          <w:tcPr>
            <w:tcW w:w="851" w:type="pct"/>
            <w:shd w:val="clear" w:color="auto" w:fill="002060"/>
          </w:tcPr>
          <w:p w:rsidR="00817CDC" w:rsidRPr="00C91CAE" w:rsidRDefault="00817CDC" w:rsidP="00D2562E">
            <w:pPr>
              <w:cnfStyle w:val="100000000000" w:firstRow="1" w:lastRow="0" w:firstColumn="0" w:lastColumn="0" w:oddVBand="0" w:evenVBand="0" w:oddHBand="0" w:evenHBand="0" w:firstRowFirstColumn="0" w:firstRowLastColumn="0" w:lastRowFirstColumn="0" w:lastRowLastColumn="0"/>
              <w:rPr>
                <w:b w:val="0"/>
              </w:rPr>
            </w:pPr>
            <w:r>
              <w:t>Primary purpose for collection</w:t>
            </w:r>
          </w:p>
        </w:tc>
        <w:tc>
          <w:tcPr>
            <w:tcW w:w="756" w:type="pct"/>
            <w:shd w:val="clear" w:color="auto" w:fill="002060"/>
          </w:tcPr>
          <w:p w:rsidR="00817CDC" w:rsidRDefault="00817CDC" w:rsidP="00D2562E">
            <w:pPr>
              <w:cnfStyle w:val="100000000000" w:firstRow="1" w:lastRow="0" w:firstColumn="0" w:lastColumn="0" w:oddVBand="0" w:evenVBand="0" w:oddHBand="0" w:evenHBand="0" w:firstRowFirstColumn="0" w:firstRowLastColumn="0" w:lastRowFirstColumn="0" w:lastRowLastColumn="0"/>
            </w:pPr>
            <w:r>
              <w:t>Secondary purpose for collection</w:t>
            </w:r>
          </w:p>
        </w:tc>
        <w:tc>
          <w:tcPr>
            <w:tcW w:w="804" w:type="pct"/>
            <w:shd w:val="clear" w:color="auto" w:fill="002060"/>
          </w:tcPr>
          <w:p w:rsidR="00817CDC" w:rsidRDefault="00817CDC" w:rsidP="00D2562E">
            <w:pPr>
              <w:cnfStyle w:val="100000000000" w:firstRow="1" w:lastRow="0" w:firstColumn="0" w:lastColumn="0" w:oddVBand="0" w:evenVBand="0" w:oddHBand="0" w:evenHBand="0" w:firstRowFirstColumn="0" w:firstRowLastColumn="0" w:lastRowFirstColumn="0" w:lastRowLastColumn="0"/>
            </w:pPr>
            <w:r>
              <w:t>Consequence if not collected</w:t>
            </w:r>
          </w:p>
        </w:tc>
        <w:tc>
          <w:tcPr>
            <w:tcW w:w="757" w:type="pct"/>
            <w:shd w:val="clear" w:color="auto" w:fill="002060"/>
          </w:tcPr>
          <w:p w:rsidR="00817CDC" w:rsidRPr="00C91CAE" w:rsidRDefault="00817CDC" w:rsidP="00D2562E">
            <w:pPr>
              <w:cnfStyle w:val="100000000000" w:firstRow="1" w:lastRow="0" w:firstColumn="0" w:lastColumn="0" w:oddVBand="0" w:evenVBand="0" w:oddHBand="0" w:evenHBand="0" w:firstRowFirstColumn="0" w:firstRowLastColumn="0" w:lastRowFirstColumn="0" w:lastRowLastColumn="0"/>
              <w:rPr>
                <w:b w:val="0"/>
              </w:rPr>
            </w:pPr>
            <w:r>
              <w:t>Proposed use and disclosure</w:t>
            </w:r>
          </w:p>
        </w:tc>
      </w:tr>
      <w:tr w:rsidR="00817CDC" w:rsidTr="00810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rsidR="00817CDC" w:rsidRDefault="00817CDC" w:rsidP="00D2562E">
            <w:r>
              <w:t>Medical Registration Number</w:t>
            </w:r>
          </w:p>
        </w:tc>
        <w:tc>
          <w:tcPr>
            <w:tcW w:w="407" w:type="pct"/>
          </w:tcPr>
          <w:p w:rsidR="00817CDC" w:rsidRPr="00427E45" w:rsidRDefault="00817CDC" w:rsidP="00D2562E">
            <w:pPr>
              <w:cnfStyle w:val="000000100000" w:firstRow="0" w:lastRow="0" w:firstColumn="0" w:lastColumn="0" w:oddVBand="0" w:evenVBand="0" w:oddHBand="1" w:evenHBand="0" w:firstRowFirstColumn="0" w:firstRowLastColumn="0" w:lastRowFirstColumn="0" w:lastRowLastColumn="0"/>
            </w:pPr>
            <w:r w:rsidRPr="00427E45">
              <w:t>Text</w:t>
            </w:r>
          </w:p>
        </w:tc>
        <w:tc>
          <w:tcPr>
            <w:tcW w:w="520" w:type="pct"/>
          </w:tcPr>
          <w:p w:rsidR="00817CDC" w:rsidRPr="001A5D51" w:rsidRDefault="00817CDC" w:rsidP="00D2562E">
            <w:pPr>
              <w:cnfStyle w:val="000000100000" w:firstRow="0" w:lastRow="0" w:firstColumn="0" w:lastColumn="0" w:oddVBand="0" w:evenVBand="0" w:oddHBand="1" w:evenHBand="0" w:firstRowFirstColumn="0" w:firstRowLastColumn="0" w:lastRowFirstColumn="0" w:lastRowLastColumn="0"/>
              <w:rPr>
                <w:highlight w:val="yellow"/>
              </w:rPr>
            </w:pPr>
            <w:r w:rsidRPr="000B3B70">
              <w:t>The registration number of the medical officer as assigned by relevant medical board.</w:t>
            </w:r>
          </w:p>
        </w:tc>
        <w:tc>
          <w:tcPr>
            <w:tcW w:w="426"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p>
        </w:tc>
        <w:tc>
          <w:tcPr>
            <w:tcW w:w="851"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The collection and display of medical registration number allows the verification of the medical officer against the </w:t>
            </w:r>
            <w:proofErr w:type="spellStart"/>
            <w:r>
              <w:t>A</w:t>
            </w:r>
            <w:r w:rsidR="002C0536">
              <w:t>H</w:t>
            </w:r>
            <w:r>
              <w:t>P</w:t>
            </w:r>
            <w:r w:rsidR="002C0536">
              <w:t>R</w:t>
            </w:r>
            <w:r>
              <w:t>A</w:t>
            </w:r>
            <w:proofErr w:type="spellEnd"/>
            <w:r>
              <w:t xml:space="preserve"> website and as such, as a valid prescriber of Ig products supporting approval for system access. </w:t>
            </w:r>
          </w:p>
          <w:p w:rsidR="00DD281E" w:rsidRPr="00DD6685" w:rsidRDefault="00DD281E" w:rsidP="00DD281E">
            <w:pPr>
              <w:cnfStyle w:val="000000100000" w:firstRow="0" w:lastRow="0" w:firstColumn="0" w:lastColumn="0" w:oddVBand="0" w:evenVBand="0" w:oddHBand="1" w:evenHBand="0" w:firstRowFirstColumn="0" w:firstRowLastColumn="0" w:lastRowFirstColumn="0" w:lastRowLastColumn="0"/>
            </w:pPr>
            <w:r w:rsidRPr="00DD6685">
              <w:t>(</w:t>
            </w:r>
            <w:r>
              <w:t>Prescriber</w:t>
            </w:r>
            <w:r w:rsidRPr="00DD6685">
              <w:t xml:space="preserve">, </w:t>
            </w:r>
            <w:r>
              <w:t xml:space="preserve">Nurse, Dispenser, </w:t>
            </w:r>
            <w:r w:rsidRPr="00DD6685">
              <w:t>Authoriser, NBA)</w:t>
            </w:r>
          </w:p>
          <w:p w:rsidR="00817CDC" w:rsidRDefault="00817CDC" w:rsidP="00D2562E">
            <w:pPr>
              <w:cnfStyle w:val="000000100000" w:firstRow="0" w:lastRow="0" w:firstColumn="0" w:lastColumn="0" w:oddVBand="0" w:evenVBand="0" w:oddHBand="1" w:evenHBand="0" w:firstRowFirstColumn="0" w:firstRowLastColumn="0" w:lastRowFirstColumn="0" w:lastRowLastColumn="0"/>
            </w:pPr>
          </w:p>
        </w:tc>
        <w:tc>
          <w:tcPr>
            <w:tcW w:w="756" w:type="pct"/>
          </w:tcPr>
          <w:p w:rsidR="00817CDC" w:rsidRDefault="00817CDC" w:rsidP="00D2562E">
            <w:pPr>
              <w:ind w:left="33" w:hanging="33"/>
              <w:cnfStyle w:val="000000100000" w:firstRow="0" w:lastRow="0" w:firstColumn="0" w:lastColumn="0" w:oddVBand="0" w:evenVBand="0" w:oddHBand="1" w:evenHBand="0" w:firstRowFirstColumn="0" w:firstRowLastColumn="0" w:lastRowFirstColumn="0" w:lastRowLastColumn="0"/>
            </w:pPr>
            <w:r>
              <w:t xml:space="preserve">The registration number is a nationally unique identifier which supports the creation of a single medical officer record that can be transferred across different hospital institutions. In this way, an individual’s prescribing practice can be assessed. </w:t>
            </w:r>
          </w:p>
          <w:p w:rsidR="00817CDC" w:rsidRDefault="00817CDC" w:rsidP="00D2562E">
            <w:pPr>
              <w:ind w:left="33" w:hanging="33"/>
              <w:cnfStyle w:val="000000100000" w:firstRow="0" w:lastRow="0" w:firstColumn="0" w:lastColumn="0" w:oddVBand="0" w:evenVBand="0" w:oddHBand="1" w:evenHBand="0" w:firstRowFirstColumn="0" w:firstRowLastColumn="0" w:lastRowFirstColumn="0" w:lastRowLastColumn="0"/>
            </w:pPr>
            <w:r>
              <w:t>(NBA)</w:t>
            </w:r>
          </w:p>
        </w:tc>
        <w:tc>
          <w:tcPr>
            <w:tcW w:w="804" w:type="pct"/>
          </w:tcPr>
          <w:p w:rsidR="00817CDC" w:rsidRDefault="00817CDC" w:rsidP="00D207C9">
            <w:pPr>
              <w:ind w:left="33" w:hanging="33"/>
              <w:cnfStyle w:val="000000100000" w:firstRow="0" w:lastRow="0" w:firstColumn="0" w:lastColumn="0" w:oddVBand="0" w:evenVBand="0" w:oddHBand="1" w:evenHBand="0" w:firstRowFirstColumn="0" w:firstRowLastColumn="0" w:lastRowFirstColumn="0" w:lastRowLastColumn="0"/>
            </w:pPr>
            <w:r>
              <w:t xml:space="preserve">Risk of </w:t>
            </w:r>
            <w:proofErr w:type="spellStart"/>
            <w:r w:rsidR="00D207C9">
              <w:t>BloodSTAR</w:t>
            </w:r>
            <w:proofErr w:type="spellEnd"/>
            <w:r>
              <w:t xml:space="preserve"> access being granted to </w:t>
            </w:r>
            <w:r w:rsidR="00DD6685">
              <w:t>non-medical</w:t>
            </w:r>
            <w:r>
              <w:t xml:space="preserve"> staff as prescribers and duplication of multiple medical officer records for the same </w:t>
            </w:r>
            <w:proofErr w:type="gramStart"/>
            <w:r>
              <w:t>individual being</w:t>
            </w:r>
            <w:proofErr w:type="gramEnd"/>
            <w:r>
              <w:t xml:space="preserve"> created. </w:t>
            </w:r>
          </w:p>
        </w:tc>
        <w:tc>
          <w:tcPr>
            <w:tcW w:w="757"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Use – Transparent to some users of system (see security matrix). </w:t>
            </w:r>
          </w:p>
          <w:p w:rsidR="00817CDC" w:rsidRDefault="00817CDC" w:rsidP="00D2562E">
            <w:pPr>
              <w:ind w:left="33" w:hanging="33"/>
              <w:cnfStyle w:val="000000100000" w:firstRow="0" w:lastRow="0" w:firstColumn="0" w:lastColumn="0" w:oddVBand="0" w:evenVBand="0" w:oddHBand="1" w:evenHBand="0" w:firstRowFirstColumn="0" w:firstRowLastColumn="0" w:lastRowFirstColumn="0" w:lastRowLastColumn="0"/>
            </w:pPr>
            <w:r>
              <w:t xml:space="preserve">No disclosure planned however this indicator will be used to evaluate individual prescribing practice and data inclusion in de-identified reports as part of performance review and management activities. </w:t>
            </w:r>
          </w:p>
        </w:tc>
      </w:tr>
      <w:tr w:rsidR="00817CDC" w:rsidTr="008107B1">
        <w:tc>
          <w:tcPr>
            <w:cnfStyle w:val="001000000000" w:firstRow="0" w:lastRow="0" w:firstColumn="1" w:lastColumn="0" w:oddVBand="0" w:evenVBand="0" w:oddHBand="0" w:evenHBand="0" w:firstRowFirstColumn="0" w:firstRowLastColumn="0" w:lastRowFirstColumn="0" w:lastRowLastColumn="0"/>
            <w:tcW w:w="481" w:type="pct"/>
          </w:tcPr>
          <w:p w:rsidR="00817CDC" w:rsidRDefault="00817CDC" w:rsidP="00D2562E">
            <w:r>
              <w:t>Given Name</w:t>
            </w:r>
          </w:p>
        </w:tc>
        <w:tc>
          <w:tcPr>
            <w:tcW w:w="407" w:type="pct"/>
          </w:tcPr>
          <w:p w:rsidR="00817CDC" w:rsidRPr="00427E45" w:rsidRDefault="00817CDC" w:rsidP="00D2562E">
            <w:pPr>
              <w:cnfStyle w:val="000000000000" w:firstRow="0" w:lastRow="0" w:firstColumn="0" w:lastColumn="0" w:oddVBand="0" w:evenVBand="0" w:oddHBand="0" w:evenHBand="0" w:firstRowFirstColumn="0" w:firstRowLastColumn="0" w:lastRowFirstColumn="0" w:lastRowLastColumn="0"/>
            </w:pPr>
            <w:r w:rsidRPr="00427E45">
              <w:t>Text</w:t>
            </w:r>
          </w:p>
        </w:tc>
        <w:tc>
          <w:tcPr>
            <w:tcW w:w="520" w:type="pct"/>
          </w:tcPr>
          <w:p w:rsidR="00817CDC" w:rsidRPr="000B3B70" w:rsidRDefault="00817CDC" w:rsidP="00D2562E">
            <w:pPr>
              <w:cnfStyle w:val="000000000000" w:firstRow="0" w:lastRow="0" w:firstColumn="0" w:lastColumn="0" w:oddVBand="0" w:evenVBand="0" w:oddHBand="0" w:evenHBand="0" w:firstRowFirstColumn="0" w:firstRowLastColumn="0" w:lastRowFirstColumn="0" w:lastRowLastColumn="0"/>
            </w:pPr>
            <w:r w:rsidRPr="000B3B70">
              <w:t>The Given name of the Medical Officer</w:t>
            </w:r>
          </w:p>
        </w:tc>
        <w:tc>
          <w:tcPr>
            <w:tcW w:w="426"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p>
        </w:tc>
        <w:tc>
          <w:tcPr>
            <w:tcW w:w="851"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 xml:space="preserve">Collection and display of given name will help distinguish medical officers with the same surname within the system. </w:t>
            </w:r>
          </w:p>
          <w:p w:rsidR="00817CDC" w:rsidRDefault="00DD281E" w:rsidP="00DD281E">
            <w:pPr>
              <w:cnfStyle w:val="000000000000" w:firstRow="0" w:lastRow="0" w:firstColumn="0" w:lastColumn="0" w:oddVBand="0" w:evenVBand="0" w:oddHBand="0" w:evenHBand="0" w:firstRowFirstColumn="0" w:firstRowLastColumn="0" w:lastRowFirstColumn="0" w:lastRowLastColumn="0"/>
            </w:pPr>
            <w:r w:rsidRPr="00DD6685">
              <w:t>(</w:t>
            </w:r>
            <w:r>
              <w:t>Prescriber</w:t>
            </w:r>
            <w:r w:rsidRPr="00DD6685">
              <w:t xml:space="preserve">, </w:t>
            </w:r>
            <w:r>
              <w:t xml:space="preserve">Nurse, Dispenser, </w:t>
            </w:r>
            <w:r w:rsidRPr="00DD6685">
              <w:t xml:space="preserve">Authoriser, </w:t>
            </w:r>
            <w:r w:rsidRPr="00DD6685">
              <w:lastRenderedPageBreak/>
              <w:t>NBA)</w:t>
            </w:r>
          </w:p>
        </w:tc>
        <w:tc>
          <w:tcPr>
            <w:tcW w:w="756"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p>
        </w:tc>
        <w:tc>
          <w:tcPr>
            <w:tcW w:w="804"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 xml:space="preserve">Failure to display given name will lead to failure identify the relevant medical officer within the system for authorisers and other hospital staff. </w:t>
            </w:r>
          </w:p>
        </w:tc>
        <w:tc>
          <w:tcPr>
            <w:tcW w:w="757"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 xml:space="preserve">Use – Transparent to some users of system (see security matrix). </w:t>
            </w:r>
          </w:p>
          <w:p w:rsidR="00817CDC" w:rsidRDefault="00817CDC" w:rsidP="00D2562E">
            <w:pPr>
              <w:cnfStyle w:val="000000000000" w:firstRow="0" w:lastRow="0" w:firstColumn="0" w:lastColumn="0" w:oddVBand="0" w:evenVBand="0" w:oddHBand="0" w:evenHBand="0" w:firstRowFirstColumn="0" w:firstRowLastColumn="0" w:lastRowFirstColumn="0" w:lastRowLastColumn="0"/>
            </w:pPr>
            <w:r>
              <w:t>No disclosure planned other than in correspondence to the medical officer.</w:t>
            </w:r>
          </w:p>
        </w:tc>
      </w:tr>
      <w:tr w:rsidR="00817CDC" w:rsidTr="00810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rsidR="00817CDC" w:rsidRDefault="00817CDC" w:rsidP="00D2562E">
            <w:r>
              <w:lastRenderedPageBreak/>
              <w:t>Family Name</w:t>
            </w:r>
          </w:p>
        </w:tc>
        <w:tc>
          <w:tcPr>
            <w:tcW w:w="407" w:type="pct"/>
          </w:tcPr>
          <w:p w:rsidR="00817CDC" w:rsidRPr="00427E45" w:rsidRDefault="00817CDC" w:rsidP="00D2562E">
            <w:pPr>
              <w:cnfStyle w:val="000000100000" w:firstRow="0" w:lastRow="0" w:firstColumn="0" w:lastColumn="0" w:oddVBand="0" w:evenVBand="0" w:oddHBand="1" w:evenHBand="0" w:firstRowFirstColumn="0" w:firstRowLastColumn="0" w:lastRowFirstColumn="0" w:lastRowLastColumn="0"/>
            </w:pPr>
            <w:r w:rsidRPr="00427E45">
              <w:t>Text</w:t>
            </w:r>
          </w:p>
        </w:tc>
        <w:tc>
          <w:tcPr>
            <w:tcW w:w="520" w:type="pct"/>
          </w:tcPr>
          <w:p w:rsidR="00817CDC" w:rsidRPr="000B3B70" w:rsidRDefault="00817CDC" w:rsidP="00D2562E">
            <w:pPr>
              <w:cnfStyle w:val="000000100000" w:firstRow="0" w:lastRow="0" w:firstColumn="0" w:lastColumn="0" w:oddVBand="0" w:evenVBand="0" w:oddHBand="1" w:evenHBand="0" w:firstRowFirstColumn="0" w:firstRowLastColumn="0" w:lastRowFirstColumn="0" w:lastRowLastColumn="0"/>
            </w:pPr>
            <w:r w:rsidRPr="000B3B70">
              <w:t>The Family Name of the Medical Officer</w:t>
            </w:r>
          </w:p>
        </w:tc>
        <w:tc>
          <w:tcPr>
            <w:tcW w:w="426"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p>
        </w:tc>
        <w:tc>
          <w:tcPr>
            <w:tcW w:w="851"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Collection and display of surname is important for identification of medical officers within the system </w:t>
            </w:r>
          </w:p>
          <w:p w:rsidR="00817CDC" w:rsidRDefault="00DD281E" w:rsidP="00DD281E">
            <w:pPr>
              <w:cnfStyle w:val="000000100000" w:firstRow="0" w:lastRow="0" w:firstColumn="0" w:lastColumn="0" w:oddVBand="0" w:evenVBand="0" w:oddHBand="1" w:evenHBand="0" w:firstRowFirstColumn="0" w:firstRowLastColumn="0" w:lastRowFirstColumn="0" w:lastRowLastColumn="0"/>
            </w:pPr>
            <w:r w:rsidRPr="00DD6685">
              <w:t>(</w:t>
            </w:r>
            <w:r>
              <w:t>Prescriber</w:t>
            </w:r>
            <w:r w:rsidRPr="00DD6685">
              <w:t xml:space="preserve">, </w:t>
            </w:r>
            <w:r>
              <w:t xml:space="preserve">Nurse, Dispenser, </w:t>
            </w:r>
            <w:r w:rsidRPr="00DD6685">
              <w:t>Authoriser, NBA)</w:t>
            </w:r>
          </w:p>
        </w:tc>
        <w:tc>
          <w:tcPr>
            <w:tcW w:w="756"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p>
        </w:tc>
        <w:tc>
          <w:tcPr>
            <w:tcW w:w="804"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Failure to display surname will lead to failure identify the relevant medical officer within the system for authorisers and other hospital staff.</w:t>
            </w:r>
          </w:p>
        </w:tc>
        <w:tc>
          <w:tcPr>
            <w:tcW w:w="757"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Use – Transparent to some users of system (see security matrix). </w:t>
            </w:r>
          </w:p>
          <w:p w:rsidR="00817CDC" w:rsidRDefault="00817CDC" w:rsidP="00D2562E">
            <w:pPr>
              <w:cnfStyle w:val="000000100000" w:firstRow="0" w:lastRow="0" w:firstColumn="0" w:lastColumn="0" w:oddVBand="0" w:evenVBand="0" w:oddHBand="1" w:evenHBand="0" w:firstRowFirstColumn="0" w:firstRowLastColumn="0" w:lastRowFirstColumn="0" w:lastRowLastColumn="0"/>
            </w:pPr>
            <w:r>
              <w:t>No disclosure planned other than in correspondence to the medical officer.</w:t>
            </w:r>
          </w:p>
        </w:tc>
      </w:tr>
      <w:tr w:rsidR="00817CDC" w:rsidTr="008107B1">
        <w:tc>
          <w:tcPr>
            <w:cnfStyle w:val="001000000000" w:firstRow="0" w:lastRow="0" w:firstColumn="1" w:lastColumn="0" w:oddVBand="0" w:evenVBand="0" w:oddHBand="0" w:evenHBand="0" w:firstRowFirstColumn="0" w:firstRowLastColumn="0" w:lastRowFirstColumn="0" w:lastRowLastColumn="0"/>
            <w:tcW w:w="481" w:type="pct"/>
          </w:tcPr>
          <w:p w:rsidR="00817CDC" w:rsidRDefault="00817CDC" w:rsidP="00D2562E">
            <w:r>
              <w:t>Designation</w:t>
            </w:r>
          </w:p>
        </w:tc>
        <w:tc>
          <w:tcPr>
            <w:tcW w:w="407"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proofErr w:type="spellStart"/>
            <w:r w:rsidRPr="001A5D51">
              <w:rPr>
                <w:b/>
              </w:rPr>
              <w:t>LOV</w:t>
            </w:r>
            <w:proofErr w:type="spellEnd"/>
            <w:r>
              <w:t>: Medical Officer Designation</w:t>
            </w:r>
          </w:p>
        </w:tc>
        <w:tc>
          <w:tcPr>
            <w:tcW w:w="520" w:type="pct"/>
          </w:tcPr>
          <w:p w:rsidR="00817CDC" w:rsidRDefault="00DD6685" w:rsidP="00D2562E">
            <w:pPr>
              <w:cnfStyle w:val="000000000000" w:firstRow="0" w:lastRow="0" w:firstColumn="0" w:lastColumn="0" w:oddVBand="0" w:evenVBand="0" w:oddHBand="0" w:evenHBand="0" w:firstRowFirstColumn="0" w:firstRowLastColumn="0" w:lastRowFirstColumn="0" w:lastRowLastColumn="0"/>
            </w:pPr>
            <w:r>
              <w:t>The designation of the individual in their current role</w:t>
            </w:r>
            <w:r w:rsidR="00154ADF">
              <w:t>.</w:t>
            </w:r>
          </w:p>
        </w:tc>
        <w:tc>
          <w:tcPr>
            <w:tcW w:w="426"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Valid Values:</w:t>
            </w:r>
          </w:p>
          <w:p w:rsidR="00817CDC" w:rsidRPr="003830BC" w:rsidRDefault="00817CDC" w:rsidP="00817CDC">
            <w:pPr>
              <w:pStyle w:val="ListParagraph"/>
              <w:numPr>
                <w:ilvl w:val="0"/>
                <w:numId w:val="25"/>
              </w:numPr>
              <w:spacing w:after="0" w:line="240" w:lineRule="auto"/>
              <w:ind w:left="197" w:hanging="197"/>
              <w:cnfStyle w:val="000000000000" w:firstRow="0" w:lastRow="0" w:firstColumn="0" w:lastColumn="0" w:oddVBand="0" w:evenVBand="0" w:oddHBand="0" w:evenHBand="0" w:firstRowFirstColumn="0" w:firstRowLastColumn="0" w:lastRowFirstColumn="0" w:lastRowLastColumn="0"/>
            </w:pPr>
            <w:proofErr w:type="spellStart"/>
            <w:r>
              <w:t>TBA</w:t>
            </w:r>
            <w:proofErr w:type="spellEnd"/>
          </w:p>
        </w:tc>
        <w:tc>
          <w:tcPr>
            <w:tcW w:w="851"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Collection and display of medical officer designation supports the assessment of the authorisation request and indicates that additional advice may be required to modify the request where the designation is of junior staff</w:t>
            </w:r>
            <w:r w:rsidR="00DD6685">
              <w:t>.</w:t>
            </w:r>
          </w:p>
          <w:p w:rsidR="00817CDC" w:rsidRDefault="00DD281E" w:rsidP="00DD281E">
            <w:pPr>
              <w:cnfStyle w:val="000000000000" w:firstRow="0" w:lastRow="0" w:firstColumn="0" w:lastColumn="0" w:oddVBand="0" w:evenVBand="0" w:oddHBand="0" w:evenHBand="0" w:firstRowFirstColumn="0" w:firstRowLastColumn="0" w:lastRowFirstColumn="0" w:lastRowLastColumn="0"/>
            </w:pPr>
            <w:r w:rsidRPr="00DD6685">
              <w:t>(</w:t>
            </w:r>
            <w:r>
              <w:t>Prescriber</w:t>
            </w:r>
            <w:r w:rsidRPr="00DD6685">
              <w:t xml:space="preserve">, </w:t>
            </w:r>
            <w:r>
              <w:t xml:space="preserve">Nurse, Dispenser, </w:t>
            </w:r>
            <w:r w:rsidRPr="00DD6685">
              <w:t>Authoriser, NBA)</w:t>
            </w:r>
          </w:p>
        </w:tc>
        <w:tc>
          <w:tcPr>
            <w:tcW w:w="756"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The differentiation of medical officer type supports the analysis and determination of education and training needs to particular medical officer segments.</w:t>
            </w:r>
          </w:p>
          <w:p w:rsidR="00817CDC" w:rsidRDefault="00817CDC" w:rsidP="00D2562E">
            <w:pPr>
              <w:cnfStyle w:val="000000000000" w:firstRow="0" w:lastRow="0" w:firstColumn="0" w:lastColumn="0" w:oddVBand="0" w:evenVBand="0" w:oddHBand="0" w:evenHBand="0" w:firstRowFirstColumn="0" w:firstRowLastColumn="0" w:lastRowFirstColumn="0" w:lastRowLastColumn="0"/>
            </w:pPr>
            <w:r>
              <w:t>(NBA)</w:t>
            </w:r>
          </w:p>
        </w:tc>
        <w:tc>
          <w:tcPr>
            <w:tcW w:w="804"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 xml:space="preserve">Failure to differentiate levels of seniority and experience of medical staff is likely to result in authorisation requests for Ig to not be challenged by authorisers and difficulty in assessing and targeting education and training needs. </w:t>
            </w:r>
          </w:p>
        </w:tc>
        <w:tc>
          <w:tcPr>
            <w:tcW w:w="757"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 xml:space="preserve">Use – Transparent to some users of system (see security matrix). </w:t>
            </w:r>
          </w:p>
          <w:p w:rsidR="00817CDC" w:rsidRDefault="00817CDC" w:rsidP="00D2562E">
            <w:pPr>
              <w:cnfStyle w:val="000000000000" w:firstRow="0" w:lastRow="0" w:firstColumn="0" w:lastColumn="0" w:oddVBand="0" w:evenVBand="0" w:oddHBand="0" w:evenHBand="0" w:firstRowFirstColumn="0" w:firstRowLastColumn="0" w:lastRowFirstColumn="0" w:lastRowLastColumn="0"/>
            </w:pPr>
            <w:r>
              <w:t>No disclosure other than at level of de-identified aggregated reports for clinical governance and Ig governance purposes.</w:t>
            </w:r>
          </w:p>
        </w:tc>
      </w:tr>
      <w:tr w:rsidR="00817CDC" w:rsidTr="00810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rsidR="00817CDC" w:rsidRDefault="00817CDC" w:rsidP="00D2562E">
            <w:r>
              <w:t xml:space="preserve">Mobile Phone </w:t>
            </w:r>
            <w:r>
              <w:lastRenderedPageBreak/>
              <w:t>/ Pager</w:t>
            </w:r>
          </w:p>
        </w:tc>
        <w:tc>
          <w:tcPr>
            <w:tcW w:w="407"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lastRenderedPageBreak/>
              <w:t>Text</w:t>
            </w:r>
          </w:p>
        </w:tc>
        <w:tc>
          <w:tcPr>
            <w:tcW w:w="520"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The medical officer’s mobile </w:t>
            </w:r>
            <w:r>
              <w:lastRenderedPageBreak/>
              <w:t xml:space="preserve">phone number or pager number </w:t>
            </w:r>
          </w:p>
        </w:tc>
        <w:tc>
          <w:tcPr>
            <w:tcW w:w="426"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p>
        </w:tc>
        <w:tc>
          <w:tcPr>
            <w:tcW w:w="851"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The collection and display of medical staffs’ </w:t>
            </w:r>
            <w:r>
              <w:lastRenderedPageBreak/>
              <w:t xml:space="preserve">mobile or pager numbers is required by authorisation staff to contact the medical officer for further information or discuss an authorisation request. </w:t>
            </w:r>
          </w:p>
          <w:p w:rsidR="00817CDC" w:rsidRDefault="00817CDC" w:rsidP="00D2562E">
            <w:pPr>
              <w:cnfStyle w:val="000000100000" w:firstRow="0" w:lastRow="0" w:firstColumn="0" w:lastColumn="0" w:oddVBand="0" w:evenVBand="0" w:oddHBand="1" w:evenHBand="0" w:firstRowFirstColumn="0" w:firstRowLastColumn="0" w:lastRowFirstColumn="0" w:lastRowLastColumn="0"/>
            </w:pPr>
            <w:r>
              <w:t>(Authoriser, NBA)</w:t>
            </w:r>
          </w:p>
        </w:tc>
        <w:tc>
          <w:tcPr>
            <w:tcW w:w="756"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p>
        </w:tc>
        <w:tc>
          <w:tcPr>
            <w:tcW w:w="804"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Failure to display the mobile telephone or </w:t>
            </w:r>
            <w:r>
              <w:lastRenderedPageBreak/>
              <w:t xml:space="preserve">pager details of requesting and treating medical staff is likely to result in delays in authorisation and therefore patient treatment and potentially higher doses and longer treatment periods because the prescribing or treating medical officer cannot be contacted easily. </w:t>
            </w:r>
          </w:p>
        </w:tc>
        <w:tc>
          <w:tcPr>
            <w:tcW w:w="757"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lastRenderedPageBreak/>
              <w:t xml:space="preserve">Use – Transparent to some users of system </w:t>
            </w:r>
            <w:r>
              <w:lastRenderedPageBreak/>
              <w:t xml:space="preserve">(see security matrix). </w:t>
            </w:r>
          </w:p>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No disclosure planned. </w:t>
            </w:r>
          </w:p>
        </w:tc>
      </w:tr>
      <w:tr w:rsidR="00817CDC" w:rsidTr="008107B1">
        <w:tc>
          <w:tcPr>
            <w:cnfStyle w:val="001000000000" w:firstRow="0" w:lastRow="0" w:firstColumn="1" w:lastColumn="0" w:oddVBand="0" w:evenVBand="0" w:oddHBand="0" w:evenHBand="0" w:firstRowFirstColumn="0" w:firstRowLastColumn="0" w:lastRowFirstColumn="0" w:lastRowLastColumn="0"/>
            <w:tcW w:w="481" w:type="pct"/>
          </w:tcPr>
          <w:p w:rsidR="00817CDC" w:rsidRDefault="00817CDC" w:rsidP="00D2562E">
            <w:r>
              <w:lastRenderedPageBreak/>
              <w:t>Contact Details</w:t>
            </w:r>
          </w:p>
        </w:tc>
        <w:tc>
          <w:tcPr>
            <w:tcW w:w="407"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Collection of Contact Details</w:t>
            </w:r>
          </w:p>
        </w:tc>
        <w:tc>
          <w:tcPr>
            <w:tcW w:w="520"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A list of email address, phone and fax numbers at which the medical officer can be reached</w:t>
            </w:r>
          </w:p>
        </w:tc>
        <w:tc>
          <w:tcPr>
            <w:tcW w:w="426"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p>
        </w:tc>
        <w:tc>
          <w:tcPr>
            <w:tcW w:w="851"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 xml:space="preserve">The collection and display of contact details for medical staff is important for communication regarding Ig in particular, the preferred email address </w:t>
            </w:r>
          </w:p>
          <w:p w:rsidR="00817CDC" w:rsidRDefault="00817CDC" w:rsidP="00D2562E">
            <w:pPr>
              <w:cnfStyle w:val="000000000000" w:firstRow="0" w:lastRow="0" w:firstColumn="0" w:lastColumn="0" w:oddVBand="0" w:evenVBand="0" w:oddHBand="0" w:evenHBand="0" w:firstRowFirstColumn="0" w:firstRowLastColumn="0" w:lastRowFirstColumn="0" w:lastRowLastColumn="0"/>
            </w:pPr>
            <w:r>
              <w:t>(Authoriser, NBA)</w:t>
            </w:r>
          </w:p>
        </w:tc>
        <w:tc>
          <w:tcPr>
            <w:tcW w:w="756"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Communication regarding changes to the Ig Program, changes to eligibility criteria and access, product recalls and other relevant advice is needed to be provided to medical staff from time to time.</w:t>
            </w:r>
          </w:p>
          <w:p w:rsidR="00817CDC" w:rsidRDefault="00817CDC" w:rsidP="00D2562E">
            <w:pPr>
              <w:cnfStyle w:val="000000000000" w:firstRow="0" w:lastRow="0" w:firstColumn="0" w:lastColumn="0" w:oddVBand="0" w:evenVBand="0" w:oddHBand="0" w:evenHBand="0" w:firstRowFirstColumn="0" w:firstRowLastColumn="0" w:lastRowFirstColumn="0" w:lastRowLastColumn="0"/>
            </w:pPr>
            <w:r>
              <w:t>(NBA)</w:t>
            </w:r>
          </w:p>
        </w:tc>
        <w:tc>
          <w:tcPr>
            <w:tcW w:w="804"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 xml:space="preserve">Failure to collect and display contact details for medical staff will result in an inability to advise them in a timely manner regarding changes to the Ig Program, eligibility and access, product recalls and other relevant advice will not be able to be provided to medical staff as the need arises.  </w:t>
            </w:r>
          </w:p>
        </w:tc>
        <w:tc>
          <w:tcPr>
            <w:tcW w:w="757"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 xml:space="preserve">Use – Transparent to some users of system (see security matrix). </w:t>
            </w:r>
          </w:p>
          <w:p w:rsidR="00817CDC" w:rsidRDefault="00817CDC" w:rsidP="00D2562E">
            <w:pPr>
              <w:cnfStyle w:val="000000000000" w:firstRow="0" w:lastRow="0" w:firstColumn="0" w:lastColumn="0" w:oddVBand="0" w:evenVBand="0" w:oddHBand="0" w:evenHBand="0" w:firstRowFirstColumn="0" w:firstRowLastColumn="0" w:lastRowFirstColumn="0" w:lastRowLastColumn="0"/>
            </w:pPr>
            <w:r>
              <w:t>No disclosure planned other using to contact the specific medical officer.</w:t>
            </w:r>
          </w:p>
        </w:tc>
      </w:tr>
      <w:tr w:rsidR="00817CDC" w:rsidTr="00810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rsidR="00817CDC" w:rsidRDefault="00817CDC" w:rsidP="00D2562E">
            <w:r>
              <w:lastRenderedPageBreak/>
              <w:t>Primary Jurisdiction</w:t>
            </w:r>
          </w:p>
        </w:tc>
        <w:tc>
          <w:tcPr>
            <w:tcW w:w="407"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proofErr w:type="spellStart"/>
            <w:r w:rsidRPr="001A5D51">
              <w:rPr>
                <w:b/>
              </w:rPr>
              <w:t>LOV</w:t>
            </w:r>
            <w:proofErr w:type="spellEnd"/>
            <w:r>
              <w:t>: Jurisdiction</w:t>
            </w:r>
          </w:p>
        </w:tc>
        <w:tc>
          <w:tcPr>
            <w:tcW w:w="520"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The jurisdiction in which the medical officer primarily works.</w:t>
            </w:r>
          </w:p>
        </w:tc>
        <w:tc>
          <w:tcPr>
            <w:tcW w:w="426"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Valid Values:</w:t>
            </w:r>
          </w:p>
          <w:p w:rsidR="00817CDC" w:rsidRPr="003830BC"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r>
              <w:t>ACT</w:t>
            </w:r>
          </w:p>
          <w:p w:rsidR="00817CDC"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r w:rsidRPr="00325BCC">
              <w:t>NSW</w:t>
            </w:r>
          </w:p>
          <w:p w:rsidR="00817CDC"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r w:rsidRPr="00325BCC">
              <w:t>NT</w:t>
            </w:r>
          </w:p>
          <w:p w:rsidR="00817CDC"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r w:rsidRPr="00325BCC">
              <w:t>QLD</w:t>
            </w:r>
          </w:p>
          <w:p w:rsidR="00817CDC"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r w:rsidRPr="00325BCC">
              <w:t>SA</w:t>
            </w:r>
          </w:p>
          <w:p w:rsidR="00817CDC"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r w:rsidRPr="00325BCC">
              <w:t>TAS</w:t>
            </w:r>
          </w:p>
          <w:p w:rsidR="00817CDC"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r w:rsidRPr="00325BCC">
              <w:t>VIC</w:t>
            </w:r>
          </w:p>
          <w:p w:rsidR="00817CDC" w:rsidRPr="003830BC" w:rsidRDefault="00817CDC" w:rsidP="00817CDC">
            <w:pPr>
              <w:pStyle w:val="ListParagraph"/>
              <w:numPr>
                <w:ilvl w:val="0"/>
                <w:numId w:val="25"/>
              </w:numPr>
              <w:spacing w:after="0" w:line="240" w:lineRule="auto"/>
              <w:ind w:left="197" w:hanging="197"/>
              <w:cnfStyle w:val="000000100000" w:firstRow="0" w:lastRow="0" w:firstColumn="0" w:lastColumn="0" w:oddVBand="0" w:evenVBand="0" w:oddHBand="1" w:evenHBand="0" w:firstRowFirstColumn="0" w:firstRowLastColumn="0" w:lastRowFirstColumn="0" w:lastRowLastColumn="0"/>
            </w:pPr>
            <w:r w:rsidRPr="003830BC">
              <w:t>WA</w:t>
            </w:r>
          </w:p>
        </w:tc>
        <w:tc>
          <w:tcPr>
            <w:tcW w:w="851"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The collection and display of the main jurisdiction in which the medical officer works is important to segment the prescribing practice of medical staff on a jurisdictional basis, for reporting purposes. </w:t>
            </w:r>
          </w:p>
          <w:p w:rsidR="00817CDC" w:rsidRDefault="00817CDC" w:rsidP="00D2562E">
            <w:pPr>
              <w:cnfStyle w:val="000000100000" w:firstRow="0" w:lastRow="0" w:firstColumn="0" w:lastColumn="0" w:oddVBand="0" w:evenVBand="0" w:oddHBand="1" w:evenHBand="0" w:firstRowFirstColumn="0" w:firstRowLastColumn="0" w:lastRowFirstColumn="0" w:lastRowLastColumn="0"/>
            </w:pPr>
            <w:r>
              <w:t>(NBA)</w:t>
            </w:r>
          </w:p>
        </w:tc>
        <w:tc>
          <w:tcPr>
            <w:tcW w:w="756"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p>
        </w:tc>
        <w:tc>
          <w:tcPr>
            <w:tcW w:w="804"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Failure to designate medical staff to primary jurisdictions may result in inaccurate analysis of prescribing practice for performance management purposes. </w:t>
            </w:r>
          </w:p>
        </w:tc>
        <w:tc>
          <w:tcPr>
            <w:tcW w:w="757"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Use – Transparent to some users of system (see security matrix). </w:t>
            </w:r>
          </w:p>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No disclosure planned other than in de-identified aggregated reporting. </w:t>
            </w:r>
          </w:p>
        </w:tc>
      </w:tr>
      <w:tr w:rsidR="00817CDC" w:rsidTr="008107B1">
        <w:tc>
          <w:tcPr>
            <w:cnfStyle w:val="001000000000" w:firstRow="0" w:lastRow="0" w:firstColumn="1" w:lastColumn="0" w:oddVBand="0" w:evenVBand="0" w:oddHBand="0" w:evenHBand="0" w:firstRowFirstColumn="0" w:firstRowLastColumn="0" w:lastRowFirstColumn="0" w:lastRowLastColumn="0"/>
            <w:tcW w:w="481" w:type="pct"/>
          </w:tcPr>
          <w:p w:rsidR="00817CDC" w:rsidRDefault="00817CDC" w:rsidP="00D2562E">
            <w:r>
              <w:t>Postal Address</w:t>
            </w:r>
          </w:p>
        </w:tc>
        <w:tc>
          <w:tcPr>
            <w:tcW w:w="407" w:type="pct"/>
          </w:tcPr>
          <w:p w:rsidR="00817CDC" w:rsidRDefault="00FD40F1" w:rsidP="00D2562E">
            <w:pPr>
              <w:cnfStyle w:val="000000000000" w:firstRow="0" w:lastRow="0" w:firstColumn="0" w:lastColumn="0" w:oddVBand="0" w:evenVBand="0" w:oddHBand="0" w:evenHBand="0" w:firstRowFirstColumn="0" w:firstRowLastColumn="0" w:lastRowFirstColumn="0" w:lastRowLastColumn="0"/>
            </w:pPr>
            <w:hyperlink w:anchor="_Address" w:history="1">
              <w:r w:rsidR="00817CDC" w:rsidRPr="008C7745">
                <w:rPr>
                  <w:rStyle w:val="Hyperlink"/>
                </w:rPr>
                <w:t>Address</w:t>
              </w:r>
            </w:hyperlink>
          </w:p>
        </w:tc>
        <w:tc>
          <w:tcPr>
            <w:tcW w:w="520"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The postal address to which formal correspondence can be sent to the medical officer.</w:t>
            </w:r>
          </w:p>
        </w:tc>
        <w:tc>
          <w:tcPr>
            <w:tcW w:w="426"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p>
        </w:tc>
        <w:tc>
          <w:tcPr>
            <w:tcW w:w="851"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 xml:space="preserve">Preferred postal address is required when formal correspondence (e.g. relating to patients) must be sent. Examples include that patient clinical review is becoming due.    </w:t>
            </w:r>
          </w:p>
          <w:p w:rsidR="00817CDC" w:rsidRDefault="00817CDC" w:rsidP="00D2562E">
            <w:pPr>
              <w:cnfStyle w:val="000000000000" w:firstRow="0" w:lastRow="0" w:firstColumn="0" w:lastColumn="0" w:oddVBand="0" w:evenVBand="0" w:oddHBand="0" w:evenHBand="0" w:firstRowFirstColumn="0" w:firstRowLastColumn="0" w:lastRowFirstColumn="0" w:lastRowLastColumn="0"/>
            </w:pPr>
            <w:r>
              <w:t>(Authoriser, NBA)</w:t>
            </w:r>
          </w:p>
        </w:tc>
        <w:tc>
          <w:tcPr>
            <w:tcW w:w="756"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p>
        </w:tc>
        <w:tc>
          <w:tcPr>
            <w:tcW w:w="804"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 xml:space="preserve">Risk of failure to send confidential correspondence regarding the timely notification for patient clinical review being due and need for assessment regarding ongoing Ig treatment, resulting in delays to authorisation and patients losing access to Ig treatment. </w:t>
            </w:r>
          </w:p>
          <w:p w:rsidR="00817CDC" w:rsidRDefault="00817CDC" w:rsidP="00D2562E">
            <w:pPr>
              <w:cnfStyle w:val="000000000000" w:firstRow="0" w:lastRow="0" w:firstColumn="0" w:lastColumn="0" w:oddVBand="0" w:evenVBand="0" w:oddHBand="0" w:evenHBand="0" w:firstRowFirstColumn="0" w:firstRowLastColumn="0" w:lastRowFirstColumn="0" w:lastRowLastColumn="0"/>
            </w:pPr>
          </w:p>
        </w:tc>
        <w:tc>
          <w:tcPr>
            <w:tcW w:w="757"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 xml:space="preserve">Use – Transparent to some users of system (see security matrix). </w:t>
            </w:r>
          </w:p>
          <w:p w:rsidR="00817CDC" w:rsidRDefault="00817CDC" w:rsidP="00D2562E">
            <w:pPr>
              <w:cnfStyle w:val="000000000000" w:firstRow="0" w:lastRow="0" w:firstColumn="0" w:lastColumn="0" w:oddVBand="0" w:evenVBand="0" w:oddHBand="0" w:evenHBand="0" w:firstRowFirstColumn="0" w:firstRowLastColumn="0" w:lastRowFirstColumn="0" w:lastRowLastColumn="0"/>
            </w:pPr>
            <w:r>
              <w:t>No disclosure planned other using to contact the specific medical officer.</w:t>
            </w:r>
          </w:p>
        </w:tc>
      </w:tr>
      <w:tr w:rsidR="00817CDC" w:rsidTr="00810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rsidR="00817CDC" w:rsidRDefault="00817CDC" w:rsidP="00D2562E">
            <w:r>
              <w:t>Is a specialist</w:t>
            </w:r>
          </w:p>
        </w:tc>
        <w:tc>
          <w:tcPr>
            <w:tcW w:w="407"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True / False</w:t>
            </w:r>
          </w:p>
        </w:tc>
        <w:tc>
          <w:tcPr>
            <w:tcW w:w="520"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Indicates if the Medical Officer </w:t>
            </w:r>
            <w:r>
              <w:lastRenderedPageBreak/>
              <w:t>is authorised to be nominated as the Treating Medical Specialist on authorisation requests.</w:t>
            </w:r>
          </w:p>
        </w:tc>
        <w:tc>
          <w:tcPr>
            <w:tcW w:w="426"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p>
        </w:tc>
        <w:tc>
          <w:tcPr>
            <w:tcW w:w="851"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Flagging the medical officer as a Specialist is </w:t>
            </w:r>
            <w:r>
              <w:lastRenderedPageBreak/>
              <w:t xml:space="preserve">required to enable </w:t>
            </w:r>
            <w:proofErr w:type="spellStart"/>
            <w:r w:rsidR="001D735F">
              <w:t>BloodSTAR</w:t>
            </w:r>
            <w:proofErr w:type="spellEnd"/>
            <w:r>
              <w:t xml:space="preserve"> to ensure compliance with </w:t>
            </w:r>
            <w:r w:rsidRPr="00255E71">
              <w:rPr>
                <w:i/>
              </w:rPr>
              <w:t>the Criteria for Use</w:t>
            </w:r>
            <w:r>
              <w:t xml:space="preserve"> – e.g. for some conditions a specialist medical staff must undertake the patient clinical review for ongoing access to Ig treatment. </w:t>
            </w:r>
          </w:p>
          <w:p w:rsidR="00817CDC" w:rsidRDefault="00817CDC" w:rsidP="00D2562E">
            <w:pPr>
              <w:cnfStyle w:val="000000100000" w:firstRow="0" w:lastRow="0" w:firstColumn="0" w:lastColumn="0" w:oddVBand="0" w:evenVBand="0" w:oddHBand="1" w:evenHBand="0" w:firstRowFirstColumn="0" w:firstRowLastColumn="0" w:lastRowFirstColumn="0" w:lastRowLastColumn="0"/>
            </w:pPr>
            <w:r>
              <w:t>(NBA, Authoriser)</w:t>
            </w:r>
          </w:p>
        </w:tc>
        <w:tc>
          <w:tcPr>
            <w:tcW w:w="756"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p>
        </w:tc>
        <w:tc>
          <w:tcPr>
            <w:tcW w:w="804"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Failure to designate medical officers as </w:t>
            </w:r>
            <w:r>
              <w:lastRenderedPageBreak/>
              <w:t xml:space="preserve">specialists within </w:t>
            </w:r>
            <w:proofErr w:type="spellStart"/>
            <w:r w:rsidR="001D735F">
              <w:t>BloodSTAR</w:t>
            </w:r>
            <w:proofErr w:type="spellEnd"/>
            <w:r>
              <w:t xml:space="preserve"> will result in failure to comply with </w:t>
            </w:r>
            <w:r w:rsidRPr="005418A8">
              <w:rPr>
                <w:i/>
              </w:rPr>
              <w:t>the Criteria</w:t>
            </w:r>
            <w:r>
              <w:rPr>
                <w:i/>
              </w:rPr>
              <w:t xml:space="preserve"> for Use</w:t>
            </w:r>
            <w:r>
              <w:t xml:space="preserve"> at a system level. </w:t>
            </w:r>
          </w:p>
        </w:tc>
        <w:tc>
          <w:tcPr>
            <w:tcW w:w="757"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lastRenderedPageBreak/>
              <w:t xml:space="preserve">Use – Transparent to some users of system </w:t>
            </w:r>
            <w:r>
              <w:lastRenderedPageBreak/>
              <w:t xml:space="preserve">(see security matrix). </w:t>
            </w:r>
          </w:p>
          <w:p w:rsidR="00817CDC" w:rsidRDefault="00817CDC" w:rsidP="00D2562E">
            <w:pPr>
              <w:cnfStyle w:val="000000100000" w:firstRow="0" w:lastRow="0" w:firstColumn="0" w:lastColumn="0" w:oddVBand="0" w:evenVBand="0" w:oddHBand="1" w:evenHBand="0" w:firstRowFirstColumn="0" w:firstRowLastColumn="0" w:lastRowFirstColumn="0" w:lastRowLastColumn="0"/>
            </w:pPr>
            <w:r>
              <w:t>No disclosure planned other than in de-identified aggregated reporting.</w:t>
            </w:r>
          </w:p>
        </w:tc>
      </w:tr>
      <w:tr w:rsidR="00817CDC" w:rsidTr="008107B1">
        <w:tc>
          <w:tcPr>
            <w:cnfStyle w:val="001000000000" w:firstRow="0" w:lastRow="0" w:firstColumn="1" w:lastColumn="0" w:oddVBand="0" w:evenVBand="0" w:oddHBand="0" w:evenHBand="0" w:firstRowFirstColumn="0" w:firstRowLastColumn="0" w:lastRowFirstColumn="0" w:lastRowLastColumn="0"/>
            <w:tcW w:w="481" w:type="pct"/>
          </w:tcPr>
          <w:p w:rsidR="00817CDC" w:rsidRDefault="00817CDC" w:rsidP="00D2562E">
            <w:r>
              <w:lastRenderedPageBreak/>
              <w:t>Speciality Registrations</w:t>
            </w:r>
          </w:p>
        </w:tc>
        <w:tc>
          <w:tcPr>
            <w:tcW w:w="407"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rsidRPr="00715511">
              <w:t>Collection of Specialties</w:t>
            </w:r>
          </w:p>
        </w:tc>
        <w:tc>
          <w:tcPr>
            <w:tcW w:w="520"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A list of specialty areas for which the Medical Officer is registered.</w:t>
            </w:r>
          </w:p>
        </w:tc>
        <w:tc>
          <w:tcPr>
            <w:tcW w:w="426"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mandatory where Is a Specialist = true</w:t>
            </w:r>
          </w:p>
        </w:tc>
        <w:tc>
          <w:tcPr>
            <w:tcW w:w="851"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 xml:space="preserve">The capturing of the specific speciality for medical officers is required to support the medical staff verification and credentialing process to gain access to </w:t>
            </w:r>
            <w:proofErr w:type="spellStart"/>
            <w:r w:rsidR="001D735F">
              <w:t>BloodSTAR</w:t>
            </w:r>
            <w:proofErr w:type="spellEnd"/>
            <w:r>
              <w:t xml:space="preserve">. </w:t>
            </w:r>
          </w:p>
          <w:p w:rsidR="00817CDC" w:rsidRDefault="00DD281E" w:rsidP="00DD281E">
            <w:pPr>
              <w:cnfStyle w:val="000000000000" w:firstRow="0" w:lastRow="0" w:firstColumn="0" w:lastColumn="0" w:oddVBand="0" w:evenVBand="0" w:oddHBand="0" w:evenHBand="0" w:firstRowFirstColumn="0" w:firstRowLastColumn="0" w:lastRowFirstColumn="0" w:lastRowLastColumn="0"/>
            </w:pPr>
            <w:r w:rsidRPr="00DD6685">
              <w:t>(</w:t>
            </w:r>
            <w:r>
              <w:t>Prescriber</w:t>
            </w:r>
            <w:r w:rsidRPr="00DD6685">
              <w:t xml:space="preserve">, </w:t>
            </w:r>
            <w:r>
              <w:t xml:space="preserve">Nurse, Dispenser, </w:t>
            </w:r>
            <w:r w:rsidRPr="00DD6685">
              <w:t>Authoriser, NBA)</w:t>
            </w:r>
          </w:p>
        </w:tc>
        <w:tc>
          <w:tcPr>
            <w:tcW w:w="756"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 xml:space="preserve">The designation of speciality will support the analysis of prescribing practice for each speciality type and in turn help determine education and training needs. </w:t>
            </w:r>
          </w:p>
        </w:tc>
        <w:tc>
          <w:tcPr>
            <w:tcW w:w="804"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 xml:space="preserve">Failure to collect the speciality to which the medical officer is credentialed will result in incomplete verification data and lack of analysis regarding specialities and inability to determine need and appropriately target education and training programs. </w:t>
            </w:r>
          </w:p>
        </w:tc>
        <w:tc>
          <w:tcPr>
            <w:tcW w:w="757"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 xml:space="preserve">Use – Transparent to some users of system (see security matrix). </w:t>
            </w:r>
          </w:p>
          <w:p w:rsidR="00817CDC" w:rsidRDefault="00817CDC" w:rsidP="00D2562E">
            <w:pPr>
              <w:cnfStyle w:val="000000000000" w:firstRow="0" w:lastRow="0" w:firstColumn="0" w:lastColumn="0" w:oddVBand="0" w:evenVBand="0" w:oddHBand="0" w:evenHBand="0" w:firstRowFirstColumn="0" w:firstRowLastColumn="0" w:lastRowFirstColumn="0" w:lastRowLastColumn="0"/>
            </w:pPr>
            <w:r>
              <w:t>No disclosure planned other than in de-identified aggregated reporting.</w:t>
            </w:r>
          </w:p>
        </w:tc>
      </w:tr>
      <w:tr w:rsidR="00817CDC" w:rsidTr="00810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rsidR="00817CDC" w:rsidRDefault="00817CDC" w:rsidP="00D2562E">
            <w:r>
              <w:t>Is Validated</w:t>
            </w:r>
          </w:p>
        </w:tc>
        <w:tc>
          <w:tcPr>
            <w:tcW w:w="407"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True / False</w:t>
            </w:r>
          </w:p>
        </w:tc>
        <w:tc>
          <w:tcPr>
            <w:tcW w:w="520"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Indicates whether the </w:t>
            </w:r>
            <w:r>
              <w:lastRenderedPageBreak/>
              <w:t>record was validated at the last validation challenge.</w:t>
            </w:r>
          </w:p>
          <w:p w:rsidR="00817CDC" w:rsidRDefault="00817CDC" w:rsidP="00D2562E">
            <w:pPr>
              <w:cnfStyle w:val="000000100000" w:firstRow="0" w:lastRow="0" w:firstColumn="0" w:lastColumn="0" w:oddVBand="0" w:evenVBand="0" w:oddHBand="1" w:evenHBand="0" w:firstRowFirstColumn="0" w:firstRowLastColumn="0" w:lastRowFirstColumn="0" w:lastRowLastColumn="0"/>
            </w:pPr>
          </w:p>
          <w:p w:rsidR="00817CDC" w:rsidRDefault="00817CDC" w:rsidP="00D2562E">
            <w:pPr>
              <w:cnfStyle w:val="000000100000" w:firstRow="0" w:lastRow="0" w:firstColumn="0" w:lastColumn="0" w:oddVBand="0" w:evenVBand="0" w:oddHBand="1" w:evenHBand="0" w:firstRowFirstColumn="0" w:firstRowLastColumn="0" w:lastRowFirstColumn="0" w:lastRowLastColumn="0"/>
            </w:pPr>
            <w:r>
              <w:t>Updated by system only.  Not editable by user.</w:t>
            </w:r>
          </w:p>
          <w:p w:rsidR="00817CDC" w:rsidRDefault="00817CDC" w:rsidP="00D2562E">
            <w:pPr>
              <w:cnfStyle w:val="000000100000" w:firstRow="0" w:lastRow="0" w:firstColumn="0" w:lastColumn="0" w:oddVBand="0" w:evenVBand="0" w:oddHBand="1" w:evenHBand="0" w:firstRowFirstColumn="0" w:firstRowLastColumn="0" w:lastRowFirstColumn="0" w:lastRowLastColumn="0"/>
            </w:pPr>
          </w:p>
        </w:tc>
        <w:tc>
          <w:tcPr>
            <w:tcW w:w="426"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p>
        </w:tc>
        <w:tc>
          <w:tcPr>
            <w:tcW w:w="851"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Each medical officer will undergo a verification </w:t>
            </w:r>
            <w:r>
              <w:lastRenderedPageBreak/>
              <w:t xml:space="preserve">process (to confirm their medical registration) prior to being provided access to </w:t>
            </w:r>
            <w:proofErr w:type="spellStart"/>
            <w:r w:rsidR="001D735F">
              <w:t>BloodSTAR</w:t>
            </w:r>
            <w:proofErr w:type="spellEnd"/>
            <w:r>
              <w:t xml:space="preserve">. This flag identifies that this external manual process has been successfully performed or not. </w:t>
            </w:r>
          </w:p>
          <w:p w:rsidR="00817CDC" w:rsidRDefault="00817CDC" w:rsidP="00D2562E">
            <w:pPr>
              <w:cnfStyle w:val="000000100000" w:firstRow="0" w:lastRow="0" w:firstColumn="0" w:lastColumn="0" w:oddVBand="0" w:evenVBand="0" w:oddHBand="1" w:evenHBand="0" w:firstRowFirstColumn="0" w:firstRowLastColumn="0" w:lastRowFirstColumn="0" w:lastRowLastColumn="0"/>
            </w:pPr>
            <w:r>
              <w:t>(NBA, Authoriser)</w:t>
            </w:r>
          </w:p>
        </w:tc>
        <w:tc>
          <w:tcPr>
            <w:tcW w:w="756"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lastRenderedPageBreak/>
              <w:t xml:space="preserve">This is a control mechanism within </w:t>
            </w:r>
            <w:proofErr w:type="spellStart"/>
            <w:r w:rsidR="001D735F">
              <w:lastRenderedPageBreak/>
              <w:t>BloodSTAR</w:t>
            </w:r>
            <w:proofErr w:type="spellEnd"/>
            <w:r>
              <w:t xml:space="preserve"> to display that the Medical Officer has been validated supporting the principle that only </w:t>
            </w:r>
            <w:proofErr w:type="spellStart"/>
            <w:r>
              <w:t>AHPRA</w:t>
            </w:r>
            <w:proofErr w:type="spellEnd"/>
            <w:r>
              <w:t xml:space="preserve"> registered medical officers can prescribe Ig. – </w:t>
            </w:r>
            <w:proofErr w:type="gramStart"/>
            <w:r>
              <w:t>this</w:t>
            </w:r>
            <w:proofErr w:type="gramEnd"/>
            <w:r>
              <w:t xml:space="preserve"> seems to mirror primary purpose?</w:t>
            </w:r>
          </w:p>
        </w:tc>
        <w:tc>
          <w:tcPr>
            <w:tcW w:w="804"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lastRenderedPageBreak/>
              <w:t xml:space="preserve">Failure to track attempts to gain access </w:t>
            </w:r>
            <w:r>
              <w:lastRenderedPageBreak/>
              <w:t xml:space="preserve">to </w:t>
            </w:r>
            <w:proofErr w:type="spellStart"/>
            <w:r w:rsidR="001D735F">
              <w:t>BloodSTAR</w:t>
            </w:r>
            <w:proofErr w:type="spellEnd"/>
            <w:r>
              <w:t xml:space="preserve"> and success in the verification process will result in an inability to assure appropriate governance regarding prescribing practice. </w:t>
            </w:r>
          </w:p>
        </w:tc>
        <w:tc>
          <w:tcPr>
            <w:tcW w:w="757"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lastRenderedPageBreak/>
              <w:t xml:space="preserve">Use – Transparent to some users of system </w:t>
            </w:r>
            <w:r>
              <w:lastRenderedPageBreak/>
              <w:t xml:space="preserve">(see security matrix). </w:t>
            </w:r>
          </w:p>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No disclosure planned. </w:t>
            </w:r>
          </w:p>
        </w:tc>
      </w:tr>
      <w:tr w:rsidR="00817CDC" w:rsidTr="008107B1">
        <w:tc>
          <w:tcPr>
            <w:cnfStyle w:val="001000000000" w:firstRow="0" w:lastRow="0" w:firstColumn="1" w:lastColumn="0" w:oddVBand="0" w:evenVBand="0" w:oddHBand="0" w:evenHBand="0" w:firstRowFirstColumn="0" w:firstRowLastColumn="0" w:lastRowFirstColumn="0" w:lastRowLastColumn="0"/>
            <w:tcW w:w="481" w:type="pct"/>
          </w:tcPr>
          <w:p w:rsidR="00817CDC" w:rsidRDefault="00817CDC" w:rsidP="00D2562E">
            <w:r>
              <w:lastRenderedPageBreak/>
              <w:t>Username</w:t>
            </w:r>
          </w:p>
        </w:tc>
        <w:tc>
          <w:tcPr>
            <w:tcW w:w="407"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Text</w:t>
            </w:r>
          </w:p>
        </w:tc>
        <w:tc>
          <w:tcPr>
            <w:tcW w:w="520"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The user name of the user account to which the medical officer is linked.</w:t>
            </w:r>
          </w:p>
        </w:tc>
        <w:tc>
          <w:tcPr>
            <w:tcW w:w="426"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p>
        </w:tc>
        <w:tc>
          <w:tcPr>
            <w:tcW w:w="851" w:type="pct"/>
          </w:tcPr>
          <w:p w:rsidR="00817CDC" w:rsidRDefault="001A7647" w:rsidP="001A7647">
            <w:pPr>
              <w:cnfStyle w:val="000000000000" w:firstRow="0" w:lastRow="0" w:firstColumn="0" w:lastColumn="0" w:oddVBand="0" w:evenVBand="0" w:oddHBand="0" w:evenHBand="0" w:firstRowFirstColumn="0" w:firstRowLastColumn="0" w:lastRowFirstColumn="0" w:lastRowLastColumn="0"/>
            </w:pPr>
            <w:r>
              <w:t xml:space="preserve">A Medical Officer must request access to </w:t>
            </w:r>
            <w:proofErr w:type="spellStart"/>
            <w:r>
              <w:t>BloodSTAR</w:t>
            </w:r>
            <w:proofErr w:type="spellEnd"/>
            <w:r>
              <w:t xml:space="preserve"> in order to view details related to their prescribing practice.  When </w:t>
            </w:r>
            <w:proofErr w:type="spellStart"/>
            <w:r>
              <w:t>BloodSTAR</w:t>
            </w:r>
            <w:proofErr w:type="spellEnd"/>
            <w:r>
              <w:t xml:space="preserve"> access is approved the username is associated to their Medical Officer role/s to display authorisation details related to their patients.</w:t>
            </w:r>
          </w:p>
        </w:tc>
        <w:tc>
          <w:tcPr>
            <w:tcW w:w="756" w:type="pct"/>
          </w:tcPr>
          <w:p w:rsidR="00817CDC" w:rsidRDefault="001A7647" w:rsidP="001A7647">
            <w:pPr>
              <w:cnfStyle w:val="000000000000" w:firstRow="0" w:lastRow="0" w:firstColumn="0" w:lastColumn="0" w:oddVBand="0" w:evenVBand="0" w:oddHBand="0" w:evenHBand="0" w:firstRowFirstColumn="0" w:firstRowLastColumn="0" w:lastRowFirstColumn="0" w:lastRowLastColumn="0"/>
            </w:pPr>
            <w:r>
              <w:t xml:space="preserve">Enable alerts to be circulated via secure methods external to </w:t>
            </w:r>
            <w:proofErr w:type="spellStart"/>
            <w:r>
              <w:t>BloodSTAR</w:t>
            </w:r>
            <w:proofErr w:type="spellEnd"/>
          </w:p>
        </w:tc>
        <w:tc>
          <w:tcPr>
            <w:tcW w:w="804" w:type="pct"/>
          </w:tcPr>
          <w:p w:rsidR="00817CDC" w:rsidRDefault="001A7647" w:rsidP="00D2562E">
            <w:pPr>
              <w:cnfStyle w:val="000000000000" w:firstRow="0" w:lastRow="0" w:firstColumn="0" w:lastColumn="0" w:oddVBand="0" w:evenVBand="0" w:oddHBand="0" w:evenHBand="0" w:firstRowFirstColumn="0" w:firstRowLastColumn="0" w:lastRowFirstColumn="0" w:lastRowLastColumn="0"/>
            </w:pPr>
            <w:r>
              <w:t xml:space="preserve">Medical Officer cannot access </w:t>
            </w:r>
            <w:proofErr w:type="spellStart"/>
            <w:r>
              <w:t>BloodSTAR</w:t>
            </w:r>
            <w:proofErr w:type="spellEnd"/>
            <w:r>
              <w:t>.</w:t>
            </w:r>
          </w:p>
        </w:tc>
        <w:tc>
          <w:tcPr>
            <w:tcW w:w="757" w:type="pct"/>
          </w:tcPr>
          <w:p w:rsidR="00817CDC" w:rsidRDefault="00817CDC" w:rsidP="00D2562E">
            <w:pPr>
              <w:cnfStyle w:val="000000000000" w:firstRow="0" w:lastRow="0" w:firstColumn="0" w:lastColumn="0" w:oddVBand="0" w:evenVBand="0" w:oddHBand="0" w:evenHBand="0" w:firstRowFirstColumn="0" w:firstRowLastColumn="0" w:lastRowFirstColumn="0" w:lastRowLastColumn="0"/>
            </w:pPr>
            <w:r>
              <w:t xml:space="preserve">Use – Transparent to some users of system (see security matrix). </w:t>
            </w:r>
          </w:p>
          <w:p w:rsidR="00817CDC" w:rsidRDefault="00817CDC" w:rsidP="00D2562E">
            <w:pPr>
              <w:cnfStyle w:val="000000000000" w:firstRow="0" w:lastRow="0" w:firstColumn="0" w:lastColumn="0" w:oddVBand="0" w:evenVBand="0" w:oddHBand="0" w:evenHBand="0" w:firstRowFirstColumn="0" w:firstRowLastColumn="0" w:lastRowFirstColumn="0" w:lastRowLastColumn="0"/>
            </w:pPr>
            <w:r>
              <w:t>No disclosure planned.</w:t>
            </w:r>
          </w:p>
        </w:tc>
      </w:tr>
      <w:tr w:rsidR="00817CDC" w:rsidTr="00810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rsidR="00817CDC" w:rsidRDefault="00817CDC" w:rsidP="00D2562E">
            <w:r>
              <w:t>Authorisations</w:t>
            </w:r>
          </w:p>
        </w:tc>
        <w:tc>
          <w:tcPr>
            <w:tcW w:w="407"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Collection of </w:t>
            </w:r>
            <w:hyperlink w:anchor="_Authorisation" w:history="1">
              <w:r w:rsidRPr="00B17B46">
                <w:rPr>
                  <w:rStyle w:val="Hyperlink"/>
                </w:rPr>
                <w:t>Authorisations</w:t>
              </w:r>
            </w:hyperlink>
          </w:p>
        </w:tc>
        <w:tc>
          <w:tcPr>
            <w:tcW w:w="520"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t xml:space="preserve">All authorisations for which the </w:t>
            </w:r>
            <w:r>
              <w:lastRenderedPageBreak/>
              <w:t>Medical Officer is nominated as the Treating Medical Specialist.</w:t>
            </w:r>
          </w:p>
        </w:tc>
        <w:tc>
          <w:tcPr>
            <w:tcW w:w="426"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p>
        </w:tc>
        <w:tc>
          <w:tcPr>
            <w:tcW w:w="851" w:type="pct"/>
          </w:tcPr>
          <w:p w:rsidR="00817CDC" w:rsidRDefault="00D87677" w:rsidP="001A7647">
            <w:pPr>
              <w:cnfStyle w:val="000000100000" w:firstRow="0" w:lastRow="0" w:firstColumn="0" w:lastColumn="0" w:oddVBand="0" w:evenVBand="0" w:oddHBand="1" w:evenHBand="0" w:firstRowFirstColumn="0" w:firstRowLastColumn="0" w:lastRowFirstColumn="0" w:lastRowLastColumn="0"/>
            </w:pPr>
            <w:r>
              <w:t xml:space="preserve">Manage aspects </w:t>
            </w:r>
            <w:r w:rsidR="00154ADF">
              <w:t>related</w:t>
            </w:r>
            <w:r>
              <w:t xml:space="preserve"> to management the treatment </w:t>
            </w:r>
            <w:r w:rsidR="001A7647">
              <w:t xml:space="preserve">Enables alerts </w:t>
            </w:r>
            <w:r w:rsidR="001A7647">
              <w:lastRenderedPageBreak/>
              <w:t>to be sent to the Medical Officer when patient authorisation requests are approved due for review and other aspects of managing authorised patient treatment.</w:t>
            </w:r>
          </w:p>
        </w:tc>
        <w:tc>
          <w:tcPr>
            <w:tcW w:w="756"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p>
        </w:tc>
        <w:tc>
          <w:tcPr>
            <w:tcW w:w="804" w:type="pct"/>
          </w:tcPr>
          <w:p w:rsidR="00817CDC" w:rsidRDefault="001A7647" w:rsidP="001A7647">
            <w:pPr>
              <w:cnfStyle w:val="000000100000" w:firstRow="0" w:lastRow="0" w:firstColumn="0" w:lastColumn="0" w:oddVBand="0" w:evenVBand="0" w:oddHBand="1" w:evenHBand="0" w:firstRowFirstColumn="0" w:firstRowLastColumn="0" w:lastRowFirstColumn="0" w:lastRowLastColumn="0"/>
            </w:pPr>
            <w:r>
              <w:t xml:space="preserve">Unable to manage treatment needs for </w:t>
            </w:r>
            <w:r>
              <w:lastRenderedPageBreak/>
              <w:t>authorised patients.</w:t>
            </w:r>
          </w:p>
        </w:tc>
        <w:tc>
          <w:tcPr>
            <w:tcW w:w="757" w:type="pct"/>
          </w:tcPr>
          <w:p w:rsidR="00817CDC" w:rsidRDefault="00817CDC" w:rsidP="00D2562E">
            <w:pPr>
              <w:cnfStyle w:val="000000100000" w:firstRow="0" w:lastRow="0" w:firstColumn="0" w:lastColumn="0" w:oddVBand="0" w:evenVBand="0" w:oddHBand="1" w:evenHBand="0" w:firstRowFirstColumn="0" w:firstRowLastColumn="0" w:lastRowFirstColumn="0" w:lastRowLastColumn="0"/>
            </w:pPr>
            <w:r>
              <w:lastRenderedPageBreak/>
              <w:t xml:space="preserve">Use – Transparent to some users of system </w:t>
            </w:r>
            <w:r>
              <w:lastRenderedPageBreak/>
              <w:t xml:space="preserve">(see security matrix). </w:t>
            </w:r>
          </w:p>
          <w:p w:rsidR="00817CDC" w:rsidRDefault="00817CDC" w:rsidP="00D2562E">
            <w:pPr>
              <w:cnfStyle w:val="000000100000" w:firstRow="0" w:lastRow="0" w:firstColumn="0" w:lastColumn="0" w:oddVBand="0" w:evenVBand="0" w:oddHBand="1" w:evenHBand="0" w:firstRowFirstColumn="0" w:firstRowLastColumn="0" w:lastRowFirstColumn="0" w:lastRowLastColumn="0"/>
            </w:pPr>
            <w:r>
              <w:t>Disclosure will be used to assemble reports regarding prescribing practice for clinical governance purposes.</w:t>
            </w:r>
          </w:p>
        </w:tc>
      </w:tr>
    </w:tbl>
    <w:p w:rsidR="00657300" w:rsidRDefault="00657300" w:rsidP="00657300"/>
    <w:p w:rsidR="00657300" w:rsidRPr="00657300" w:rsidRDefault="00657300" w:rsidP="00657300">
      <w:pPr>
        <w:sectPr w:rsidR="00657300" w:rsidRPr="00657300" w:rsidSect="008A6A29">
          <w:pgSz w:w="16838" w:h="11906" w:orient="landscape"/>
          <w:pgMar w:top="1440" w:right="1440" w:bottom="1440" w:left="1440" w:header="708" w:footer="708" w:gutter="0"/>
          <w:cols w:space="708"/>
          <w:titlePg/>
          <w:docGrid w:linePitch="360"/>
        </w:sectPr>
      </w:pPr>
    </w:p>
    <w:p w:rsidR="00191025" w:rsidRDefault="00191025" w:rsidP="00191025">
      <w:pPr>
        <w:pStyle w:val="Heading2"/>
      </w:pPr>
      <w:bookmarkStart w:id="83" w:name="_Ref427223972"/>
      <w:bookmarkStart w:id="84" w:name="_Toc434574658"/>
      <w:r w:rsidRPr="00191025">
        <w:lastRenderedPageBreak/>
        <w:t>Attachment E</w:t>
      </w:r>
      <w:r w:rsidR="004600E6">
        <w:t>–</w:t>
      </w:r>
      <w:r>
        <w:t xml:space="preserve"> </w:t>
      </w:r>
      <w:r w:rsidR="00124DDE">
        <w:t>P</w:t>
      </w:r>
      <w:r w:rsidR="00907A40">
        <w:t>atient Record Security Matrix</w:t>
      </w:r>
      <w:bookmarkEnd w:id="83"/>
      <w:bookmarkEnd w:id="84"/>
    </w:p>
    <w:p w:rsidR="00A70462" w:rsidRDefault="00A70462" w:rsidP="00197335"/>
    <w:tbl>
      <w:tblPr>
        <w:tblStyle w:val="IgTable"/>
        <w:tblW w:w="4589" w:type="pct"/>
        <w:tblLook w:val="04A0" w:firstRow="1" w:lastRow="0" w:firstColumn="1" w:lastColumn="0" w:noHBand="0" w:noVBand="1"/>
      </w:tblPr>
      <w:tblGrid>
        <w:gridCol w:w="2137"/>
        <w:gridCol w:w="2414"/>
        <w:gridCol w:w="2482"/>
        <w:gridCol w:w="2217"/>
        <w:gridCol w:w="2081"/>
        <w:gridCol w:w="1678"/>
      </w:tblGrid>
      <w:tr w:rsidR="00C27212" w:rsidRPr="006017A9" w:rsidTr="001973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197335" w:rsidRDefault="00C27212" w:rsidP="00197335">
            <w:pPr>
              <w:spacing w:after="0"/>
              <w:ind w:left="360"/>
              <w:rPr>
                <w:bCs w:val="0"/>
                <w:sz w:val="20"/>
              </w:rPr>
            </w:pPr>
            <w:r w:rsidRPr="006017A9">
              <w:rPr>
                <w:sz w:val="20"/>
              </w:rPr>
              <w:t>Component of Patient Record</w:t>
            </w:r>
          </w:p>
        </w:tc>
        <w:tc>
          <w:tcPr>
            <w:tcW w:w="928" w:type="pct"/>
            <w:hideMark/>
          </w:tcPr>
          <w:p w:rsidR="00C27212" w:rsidRPr="00197335" w:rsidRDefault="00C27212" w:rsidP="00675EFA">
            <w:pPr>
              <w:spacing w:after="0"/>
              <w:ind w:left="360"/>
              <w:jc w:val="center"/>
              <w:cnfStyle w:val="100000000000" w:firstRow="1" w:lastRow="0" w:firstColumn="0" w:lastColumn="0" w:oddVBand="0" w:evenVBand="0" w:oddHBand="0" w:evenHBand="0" w:firstRowFirstColumn="0" w:firstRowLastColumn="0" w:lastRowFirstColumn="0" w:lastRowLastColumn="0"/>
              <w:rPr>
                <w:bCs w:val="0"/>
                <w:sz w:val="20"/>
              </w:rPr>
            </w:pPr>
            <w:r w:rsidRPr="006017A9">
              <w:rPr>
                <w:sz w:val="20"/>
              </w:rPr>
              <w:t>Medical Officer</w:t>
            </w:r>
          </w:p>
        </w:tc>
        <w:tc>
          <w:tcPr>
            <w:tcW w:w="954" w:type="pct"/>
            <w:hideMark/>
          </w:tcPr>
          <w:p w:rsidR="00C27212" w:rsidRPr="00197335" w:rsidRDefault="00C27212" w:rsidP="00675EFA">
            <w:pPr>
              <w:spacing w:after="0"/>
              <w:ind w:left="360"/>
              <w:jc w:val="center"/>
              <w:cnfStyle w:val="100000000000" w:firstRow="1" w:lastRow="0" w:firstColumn="0" w:lastColumn="0" w:oddVBand="0" w:evenVBand="0" w:oddHBand="0" w:evenHBand="0" w:firstRowFirstColumn="0" w:firstRowLastColumn="0" w:lastRowFirstColumn="0" w:lastRowLastColumn="0"/>
              <w:rPr>
                <w:bCs w:val="0"/>
                <w:sz w:val="20"/>
              </w:rPr>
            </w:pPr>
            <w:r w:rsidRPr="006017A9">
              <w:rPr>
                <w:sz w:val="20"/>
              </w:rPr>
              <w:t>Authoriser</w:t>
            </w:r>
          </w:p>
        </w:tc>
        <w:tc>
          <w:tcPr>
            <w:tcW w:w="852" w:type="pct"/>
            <w:hideMark/>
          </w:tcPr>
          <w:p w:rsidR="00C27212" w:rsidRPr="00197335" w:rsidRDefault="00C27212" w:rsidP="00675EFA">
            <w:pPr>
              <w:spacing w:after="0"/>
              <w:ind w:left="360"/>
              <w:jc w:val="center"/>
              <w:cnfStyle w:val="100000000000" w:firstRow="1" w:lastRow="0" w:firstColumn="0" w:lastColumn="0" w:oddVBand="0" w:evenVBand="0" w:oddHBand="0" w:evenHBand="0" w:firstRowFirstColumn="0" w:firstRowLastColumn="0" w:lastRowFirstColumn="0" w:lastRowLastColumn="0"/>
              <w:rPr>
                <w:bCs w:val="0"/>
                <w:sz w:val="20"/>
              </w:rPr>
            </w:pPr>
            <w:r w:rsidRPr="006017A9">
              <w:rPr>
                <w:sz w:val="20"/>
              </w:rPr>
              <w:t>Nurse</w:t>
            </w:r>
          </w:p>
        </w:tc>
        <w:tc>
          <w:tcPr>
            <w:tcW w:w="800" w:type="pct"/>
            <w:hideMark/>
          </w:tcPr>
          <w:p w:rsidR="00C27212" w:rsidRPr="00197335" w:rsidRDefault="00C27212" w:rsidP="00675EFA">
            <w:pPr>
              <w:spacing w:after="0"/>
              <w:ind w:left="360"/>
              <w:jc w:val="center"/>
              <w:cnfStyle w:val="100000000000" w:firstRow="1" w:lastRow="0" w:firstColumn="0" w:lastColumn="0" w:oddVBand="0" w:evenVBand="0" w:oddHBand="0" w:evenHBand="0" w:firstRowFirstColumn="0" w:firstRowLastColumn="0" w:lastRowFirstColumn="0" w:lastRowLastColumn="0"/>
              <w:rPr>
                <w:bCs w:val="0"/>
                <w:sz w:val="20"/>
              </w:rPr>
            </w:pPr>
            <w:r w:rsidRPr="006017A9">
              <w:rPr>
                <w:sz w:val="20"/>
              </w:rPr>
              <w:t>Dispenser</w:t>
            </w:r>
          </w:p>
        </w:tc>
        <w:tc>
          <w:tcPr>
            <w:tcW w:w="645" w:type="pct"/>
            <w:hideMark/>
          </w:tcPr>
          <w:p w:rsidR="00C27212" w:rsidRPr="00197335" w:rsidRDefault="00C27212" w:rsidP="00675EFA">
            <w:pPr>
              <w:spacing w:after="0"/>
              <w:ind w:left="360"/>
              <w:jc w:val="center"/>
              <w:cnfStyle w:val="100000000000" w:firstRow="1" w:lastRow="0" w:firstColumn="0" w:lastColumn="0" w:oddVBand="0" w:evenVBand="0" w:oddHBand="0" w:evenHBand="0" w:firstRowFirstColumn="0" w:firstRowLastColumn="0" w:lastRowFirstColumn="0" w:lastRowLastColumn="0"/>
              <w:rPr>
                <w:bCs w:val="0"/>
                <w:sz w:val="20"/>
              </w:rPr>
            </w:pPr>
            <w:r w:rsidRPr="006017A9">
              <w:rPr>
                <w:sz w:val="20"/>
              </w:rPr>
              <w:t>System Admin</w:t>
            </w:r>
          </w:p>
        </w:tc>
      </w:tr>
      <w:tr w:rsidR="00C27212" w:rsidTr="00197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197335" w:rsidRDefault="00C27212" w:rsidP="00197335">
            <w:pPr>
              <w:spacing w:after="0"/>
              <w:rPr>
                <w:bCs w:val="0"/>
              </w:rPr>
            </w:pPr>
            <w:r w:rsidRPr="006017A9">
              <w:t>Patient Identifying Detail</w:t>
            </w:r>
          </w:p>
        </w:tc>
        <w:tc>
          <w:tcPr>
            <w:tcW w:w="928"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954"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
                <w:bCs/>
              </w:rPr>
            </w:pPr>
            <w:r w:rsidRPr="00197335">
              <w:rPr>
                <w:b/>
                <w:bCs/>
                <w:sz w:val="22"/>
                <w:szCs w:val="22"/>
              </w:rPr>
              <w:t>Ye</w:t>
            </w:r>
            <w:r w:rsidR="00D01402">
              <w:rPr>
                <w:b/>
                <w:bCs/>
              </w:rPr>
              <w:t>s</w:t>
            </w:r>
            <w:r w:rsidRPr="00197335">
              <w:rPr>
                <w:b/>
                <w:bCs/>
                <w:sz w:val="22"/>
                <w:szCs w:val="22"/>
              </w:rPr>
              <w:t xml:space="preserve"> during the transition from STARS to </w:t>
            </w:r>
            <w:proofErr w:type="spellStart"/>
            <w:r w:rsidRPr="00197335">
              <w:rPr>
                <w:b/>
                <w:bCs/>
                <w:sz w:val="22"/>
                <w:szCs w:val="22"/>
              </w:rPr>
              <w:t>BloodSTAR</w:t>
            </w:r>
            <w:proofErr w:type="spellEnd"/>
            <w:r>
              <w:rPr>
                <w:b/>
                <w:bCs/>
              </w:rPr>
              <w:t xml:space="preserve">, and only on the provision of a reason once STARS </w:t>
            </w:r>
            <w:r w:rsidR="006017A9">
              <w:rPr>
                <w:b/>
                <w:bCs/>
              </w:rPr>
              <w:t>has</w:t>
            </w:r>
            <w:r>
              <w:rPr>
                <w:b/>
                <w:bCs/>
              </w:rPr>
              <w:t xml:space="preserve"> been decommissioned</w:t>
            </w:r>
          </w:p>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p>
        </w:tc>
        <w:tc>
          <w:tcPr>
            <w:tcW w:w="852"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800"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645"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Yes</w:t>
            </w:r>
          </w:p>
        </w:tc>
      </w:tr>
      <w:tr w:rsidR="00C27212" w:rsidTr="00197335">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675EFA" w:rsidRDefault="00C27212" w:rsidP="00646FD4">
            <w:pPr>
              <w:pStyle w:val="ExtensionPoints"/>
              <w:rPr>
                <w:rFonts w:eastAsia="Calibri" w:cs="Times New Roman"/>
                <w:b w:val="0"/>
              </w:rPr>
            </w:pPr>
            <w:r w:rsidRPr="00675EFA">
              <w:rPr>
                <w:rFonts w:eastAsia="Calibri" w:cs="Times New Roman"/>
                <w:b w:val="0"/>
              </w:rPr>
              <w:t>Condition</w:t>
            </w:r>
          </w:p>
        </w:tc>
        <w:tc>
          <w:tcPr>
            <w:tcW w:w="928"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p>
        </w:tc>
        <w:tc>
          <w:tcPr>
            <w:tcW w:w="954"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r w:rsidRPr="00197335">
              <w:rPr>
                <w:bCs/>
              </w:rPr>
              <w:t>Patient identifying information is obscured (</w:t>
            </w:r>
            <w:proofErr w:type="spellStart"/>
            <w:r w:rsidR="00C63F5B" w:rsidRPr="00197335">
              <w:rPr>
                <w:bCs/>
              </w:rPr>
              <w:t>ie</w:t>
            </w:r>
            <w:proofErr w:type="spellEnd"/>
            <w:r w:rsidR="00C63F5B" w:rsidRPr="00197335">
              <w:rPr>
                <w:bCs/>
              </w:rPr>
              <w:t xml:space="preserve">. </w:t>
            </w:r>
            <w:r w:rsidRPr="00197335">
              <w:rPr>
                <w:bCs/>
              </w:rPr>
              <w:t>Male, 52 years) but available on the provision of a reason.</w:t>
            </w:r>
          </w:p>
        </w:tc>
        <w:tc>
          <w:tcPr>
            <w:tcW w:w="852"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p>
        </w:tc>
        <w:tc>
          <w:tcPr>
            <w:tcW w:w="800"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p>
        </w:tc>
        <w:tc>
          <w:tcPr>
            <w:tcW w:w="645"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p>
        </w:tc>
      </w:tr>
      <w:tr w:rsidR="00C27212" w:rsidTr="00197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675EFA" w:rsidRDefault="00C27212" w:rsidP="00646FD4">
            <w:pPr>
              <w:pStyle w:val="ExtensionPoints"/>
              <w:rPr>
                <w:rFonts w:eastAsia="Calibri" w:cs="Times New Roman"/>
                <w:b w:val="0"/>
              </w:rPr>
            </w:pPr>
            <w:r w:rsidRPr="00675EFA">
              <w:rPr>
                <w:rFonts w:eastAsia="Calibri" w:cs="Times New Roman"/>
                <w:b w:val="0"/>
              </w:rPr>
              <w:t>Rationale</w:t>
            </w:r>
          </w:p>
        </w:tc>
        <w:tc>
          <w:tcPr>
            <w:tcW w:w="928"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To ensure that data and authorisation requests are being entered under the correct patient record.</w:t>
            </w:r>
          </w:p>
        </w:tc>
        <w:tc>
          <w:tcPr>
            <w:tcW w:w="954"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 xml:space="preserve">To assist in understanding the clinical need for access to immunoglobulin treatment.  </w:t>
            </w:r>
          </w:p>
        </w:tc>
        <w:tc>
          <w:tcPr>
            <w:tcW w:w="852"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To ensure that the information garnered from the system pertains to the correct patient.</w:t>
            </w:r>
          </w:p>
        </w:tc>
        <w:tc>
          <w:tcPr>
            <w:tcW w:w="800"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 xml:space="preserve">To ensure that the record of dispensing in </w:t>
            </w:r>
            <w:proofErr w:type="spellStart"/>
            <w:r w:rsidRPr="00197335">
              <w:rPr>
                <w:bCs/>
              </w:rPr>
              <w:t>BloodNet</w:t>
            </w:r>
            <w:proofErr w:type="spellEnd"/>
            <w:r w:rsidRPr="00197335">
              <w:rPr>
                <w:bCs/>
              </w:rPr>
              <w:t xml:space="preserve"> Matches a patient in the facility or LIS.</w:t>
            </w:r>
          </w:p>
        </w:tc>
        <w:tc>
          <w:tcPr>
            <w:tcW w:w="645" w:type="pct"/>
            <w:hideMark/>
          </w:tcPr>
          <w:p w:rsidR="00C27212" w:rsidRPr="00197335" w:rsidRDefault="00C27212" w:rsidP="00197335">
            <w:pPr>
              <w:spacing w:after="0"/>
              <w:jc w:val="center"/>
              <w:cnfStyle w:val="000000100000" w:firstRow="0" w:lastRow="0" w:firstColumn="0" w:lastColumn="0" w:oddVBand="0" w:evenVBand="0" w:oddHBand="1" w:evenHBand="0" w:firstRowFirstColumn="0" w:firstRowLastColumn="0" w:lastRowFirstColumn="0" w:lastRowLastColumn="0"/>
              <w:rPr>
                <w:bCs/>
              </w:rPr>
            </w:pPr>
          </w:p>
        </w:tc>
      </w:tr>
      <w:tr w:rsidR="00C27212" w:rsidTr="00197335">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197335" w:rsidRDefault="00C27212" w:rsidP="00197335">
            <w:pPr>
              <w:spacing w:after="0"/>
              <w:rPr>
                <w:bCs w:val="0"/>
              </w:rPr>
            </w:pPr>
            <w:r w:rsidRPr="006017A9">
              <w:t>Facility Identifiers</w:t>
            </w:r>
          </w:p>
        </w:tc>
        <w:tc>
          <w:tcPr>
            <w:tcW w:w="928" w:type="pct"/>
            <w:hideMark/>
          </w:tcPr>
          <w:p w:rsidR="00C27212" w:rsidRPr="00675EFA" w:rsidRDefault="00C27212"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954" w:type="pct"/>
            <w:hideMark/>
          </w:tcPr>
          <w:p w:rsidR="00C27212" w:rsidRPr="00675EFA" w:rsidRDefault="00FD40F1"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Pr>
                <w:b/>
                <w:bCs/>
              </w:rPr>
              <w:t>No</w:t>
            </w:r>
          </w:p>
        </w:tc>
        <w:tc>
          <w:tcPr>
            <w:tcW w:w="852" w:type="pct"/>
            <w:hideMark/>
          </w:tcPr>
          <w:p w:rsidR="00C27212" w:rsidRPr="00675EFA" w:rsidRDefault="00C27212"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800" w:type="pct"/>
            <w:hideMark/>
          </w:tcPr>
          <w:p w:rsidR="00C27212" w:rsidRPr="00675EFA" w:rsidRDefault="00C27212"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645" w:type="pct"/>
            <w:hideMark/>
          </w:tcPr>
          <w:p w:rsidR="00C27212" w:rsidRPr="00675EFA" w:rsidRDefault="00C27212"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sidRPr="00675EFA">
              <w:rPr>
                <w:b/>
                <w:bCs/>
              </w:rPr>
              <w:t>Yes</w:t>
            </w:r>
          </w:p>
        </w:tc>
      </w:tr>
      <w:tr w:rsidR="00C27212" w:rsidTr="00197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675EFA" w:rsidRDefault="00C27212" w:rsidP="00646FD4">
            <w:pPr>
              <w:pStyle w:val="ExtensionPoints"/>
              <w:rPr>
                <w:rFonts w:eastAsia="Calibri" w:cs="Times New Roman"/>
                <w:b w:val="0"/>
              </w:rPr>
            </w:pPr>
            <w:r w:rsidRPr="00675EFA">
              <w:rPr>
                <w:rFonts w:eastAsia="Calibri" w:cs="Times New Roman"/>
                <w:b w:val="0"/>
              </w:rPr>
              <w:t>Condition</w:t>
            </w:r>
          </w:p>
        </w:tc>
        <w:tc>
          <w:tcPr>
            <w:tcW w:w="928" w:type="pct"/>
            <w:hideMark/>
          </w:tcPr>
          <w:p w:rsidR="00C27212" w:rsidRPr="00675EFA" w:rsidRDefault="00C27212" w:rsidP="00675EFA">
            <w:pPr>
              <w:spacing w:after="0"/>
              <w:ind w:left="360"/>
              <w:jc w:val="center"/>
              <w:cnfStyle w:val="000000100000" w:firstRow="0" w:lastRow="0" w:firstColumn="0" w:lastColumn="0" w:oddVBand="0" w:evenVBand="0" w:oddHBand="1" w:evenHBand="0" w:firstRowFirstColumn="0" w:firstRowLastColumn="0" w:lastRowFirstColumn="0" w:lastRowLastColumn="0"/>
              <w:rPr>
                <w:b/>
                <w:bCs/>
              </w:rPr>
            </w:pPr>
          </w:p>
        </w:tc>
        <w:tc>
          <w:tcPr>
            <w:tcW w:w="954" w:type="pct"/>
            <w:hideMark/>
          </w:tcPr>
          <w:p w:rsidR="00C27212" w:rsidRPr="00675EFA" w:rsidRDefault="00C27212" w:rsidP="00197335">
            <w:pPr>
              <w:spacing w:after="0"/>
              <w:ind w:left="3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p>
        </w:tc>
        <w:tc>
          <w:tcPr>
            <w:tcW w:w="852" w:type="pct"/>
            <w:hideMark/>
          </w:tcPr>
          <w:p w:rsidR="00C27212" w:rsidRPr="00675EFA" w:rsidRDefault="00C27212" w:rsidP="00675EFA">
            <w:pPr>
              <w:spacing w:after="0"/>
              <w:ind w:left="360"/>
              <w:jc w:val="center"/>
              <w:cnfStyle w:val="000000100000" w:firstRow="0" w:lastRow="0" w:firstColumn="0" w:lastColumn="0" w:oddVBand="0" w:evenVBand="0" w:oddHBand="1" w:evenHBand="0" w:firstRowFirstColumn="0" w:firstRowLastColumn="0" w:lastRowFirstColumn="0" w:lastRowLastColumn="0"/>
              <w:rPr>
                <w:b/>
                <w:bCs/>
              </w:rPr>
            </w:pPr>
          </w:p>
        </w:tc>
        <w:tc>
          <w:tcPr>
            <w:tcW w:w="800" w:type="pct"/>
            <w:hideMark/>
          </w:tcPr>
          <w:p w:rsidR="00C27212" w:rsidRPr="00675EFA" w:rsidRDefault="00C27212" w:rsidP="00675EFA">
            <w:pPr>
              <w:spacing w:after="0"/>
              <w:ind w:left="360"/>
              <w:jc w:val="center"/>
              <w:cnfStyle w:val="000000100000" w:firstRow="0" w:lastRow="0" w:firstColumn="0" w:lastColumn="0" w:oddVBand="0" w:evenVBand="0" w:oddHBand="1" w:evenHBand="0" w:firstRowFirstColumn="0" w:firstRowLastColumn="0" w:lastRowFirstColumn="0" w:lastRowLastColumn="0"/>
              <w:rPr>
                <w:b/>
                <w:bCs/>
              </w:rPr>
            </w:pPr>
          </w:p>
        </w:tc>
        <w:tc>
          <w:tcPr>
            <w:tcW w:w="645" w:type="pct"/>
            <w:hideMark/>
          </w:tcPr>
          <w:p w:rsidR="00C27212" w:rsidRPr="00675EFA" w:rsidRDefault="00C27212" w:rsidP="00675EFA">
            <w:pPr>
              <w:spacing w:after="0"/>
              <w:ind w:left="360"/>
              <w:jc w:val="center"/>
              <w:cnfStyle w:val="000000100000" w:firstRow="0" w:lastRow="0" w:firstColumn="0" w:lastColumn="0" w:oddVBand="0" w:evenVBand="0" w:oddHBand="1" w:evenHBand="0" w:firstRowFirstColumn="0" w:firstRowLastColumn="0" w:lastRowFirstColumn="0" w:lastRowLastColumn="0"/>
              <w:rPr>
                <w:b/>
                <w:bCs/>
              </w:rPr>
            </w:pPr>
          </w:p>
        </w:tc>
      </w:tr>
      <w:tr w:rsidR="00C27212" w:rsidTr="00FD40F1">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675EFA" w:rsidRDefault="00C27212" w:rsidP="00646FD4">
            <w:pPr>
              <w:pStyle w:val="ExtensionPoints"/>
              <w:rPr>
                <w:rFonts w:eastAsia="Calibri" w:cs="Times New Roman"/>
                <w:b w:val="0"/>
              </w:rPr>
            </w:pPr>
            <w:r w:rsidRPr="00675EFA">
              <w:rPr>
                <w:rFonts w:eastAsia="Calibri" w:cs="Times New Roman"/>
                <w:b w:val="0"/>
              </w:rPr>
              <w:t>Rationale</w:t>
            </w:r>
          </w:p>
        </w:tc>
        <w:tc>
          <w:tcPr>
            <w:tcW w:w="928"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r w:rsidRPr="00197335">
              <w:rPr>
                <w:bCs/>
              </w:rPr>
              <w:t>To ensure that the correct patient record is used</w:t>
            </w:r>
          </w:p>
        </w:tc>
        <w:tc>
          <w:tcPr>
            <w:tcW w:w="954" w:type="pct"/>
          </w:tcPr>
          <w:p w:rsidR="00C27212" w:rsidRPr="00197335" w:rsidRDefault="00FD40F1" w:rsidP="00197335">
            <w:pPr>
              <w:spacing w:after="0"/>
              <w:cnfStyle w:val="000000000000" w:firstRow="0" w:lastRow="0" w:firstColumn="0" w:lastColumn="0" w:oddVBand="0" w:evenVBand="0" w:oddHBand="0" w:evenHBand="0" w:firstRowFirstColumn="0" w:firstRowLastColumn="0" w:lastRowFirstColumn="0" w:lastRowLastColumn="0"/>
              <w:rPr>
                <w:bCs/>
              </w:rPr>
            </w:pPr>
            <w:r>
              <w:rPr>
                <w:bCs/>
              </w:rPr>
              <w:t>This is not required</w:t>
            </w:r>
          </w:p>
        </w:tc>
        <w:tc>
          <w:tcPr>
            <w:tcW w:w="852"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r w:rsidRPr="00197335">
              <w:rPr>
                <w:bCs/>
              </w:rPr>
              <w:t>To ensure that the patient record matches the patient</w:t>
            </w:r>
          </w:p>
        </w:tc>
        <w:tc>
          <w:tcPr>
            <w:tcW w:w="800"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r w:rsidRPr="00197335">
              <w:rPr>
                <w:bCs/>
              </w:rPr>
              <w:t>To ensure that the patient record is the correct patient record.</w:t>
            </w:r>
          </w:p>
        </w:tc>
        <w:tc>
          <w:tcPr>
            <w:tcW w:w="645" w:type="pct"/>
            <w:hideMark/>
          </w:tcPr>
          <w:p w:rsidR="00C27212" w:rsidRPr="00675EFA" w:rsidRDefault="00C27212" w:rsidP="00675EFA">
            <w:pPr>
              <w:spacing w:after="0"/>
              <w:ind w:left="360"/>
              <w:jc w:val="center"/>
              <w:cnfStyle w:val="000000000000" w:firstRow="0" w:lastRow="0" w:firstColumn="0" w:lastColumn="0" w:oddVBand="0" w:evenVBand="0" w:oddHBand="0" w:evenHBand="0" w:firstRowFirstColumn="0" w:firstRowLastColumn="0" w:lastRowFirstColumn="0" w:lastRowLastColumn="0"/>
              <w:rPr>
                <w:b/>
                <w:bCs/>
              </w:rPr>
            </w:pPr>
            <w:bookmarkStart w:id="85" w:name="_GoBack"/>
            <w:bookmarkEnd w:id="85"/>
          </w:p>
        </w:tc>
      </w:tr>
      <w:tr w:rsidR="00C27212" w:rsidTr="00197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197335" w:rsidRDefault="00C27212" w:rsidP="00197335">
            <w:pPr>
              <w:spacing w:after="0"/>
              <w:rPr>
                <w:bCs w:val="0"/>
              </w:rPr>
            </w:pPr>
            <w:r w:rsidRPr="006017A9">
              <w:t>Do not prescribe advisories</w:t>
            </w:r>
          </w:p>
        </w:tc>
        <w:tc>
          <w:tcPr>
            <w:tcW w:w="928"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954"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852"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800"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645"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Yes</w:t>
            </w:r>
          </w:p>
        </w:tc>
      </w:tr>
      <w:tr w:rsidR="00C27212" w:rsidTr="00197335">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675EFA" w:rsidRDefault="00C27212" w:rsidP="00646FD4">
            <w:pPr>
              <w:pStyle w:val="ExtensionPoints"/>
              <w:rPr>
                <w:rFonts w:eastAsia="Calibri" w:cs="Times New Roman"/>
                <w:b w:val="0"/>
              </w:rPr>
            </w:pPr>
            <w:r w:rsidRPr="00675EFA">
              <w:rPr>
                <w:rFonts w:eastAsia="Calibri" w:cs="Times New Roman"/>
                <w:b w:val="0"/>
              </w:rPr>
              <w:lastRenderedPageBreak/>
              <w:t>Condition</w:t>
            </w:r>
          </w:p>
        </w:tc>
        <w:tc>
          <w:tcPr>
            <w:tcW w:w="928" w:type="pct"/>
            <w:hideMark/>
          </w:tcPr>
          <w:p w:rsidR="00C27212" w:rsidRPr="00675EFA" w:rsidRDefault="00C27212" w:rsidP="00675EFA">
            <w:pPr>
              <w:spacing w:after="0"/>
              <w:ind w:left="360"/>
              <w:jc w:val="center"/>
              <w:cnfStyle w:val="000000000000" w:firstRow="0" w:lastRow="0" w:firstColumn="0" w:lastColumn="0" w:oddVBand="0" w:evenVBand="0" w:oddHBand="0" w:evenHBand="0" w:firstRowFirstColumn="0" w:firstRowLastColumn="0" w:lastRowFirstColumn="0" w:lastRowLastColumn="0"/>
              <w:rPr>
                <w:b/>
                <w:bCs/>
              </w:rPr>
            </w:pPr>
          </w:p>
        </w:tc>
        <w:tc>
          <w:tcPr>
            <w:tcW w:w="954" w:type="pct"/>
            <w:hideMark/>
          </w:tcPr>
          <w:p w:rsidR="00C27212" w:rsidRPr="00675EFA" w:rsidRDefault="00C27212" w:rsidP="00197335">
            <w:pPr>
              <w:spacing w:after="0"/>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p>
        </w:tc>
        <w:tc>
          <w:tcPr>
            <w:tcW w:w="852" w:type="pct"/>
            <w:hideMark/>
          </w:tcPr>
          <w:p w:rsidR="00C27212" w:rsidRPr="00675EFA" w:rsidRDefault="00C27212" w:rsidP="00675EFA">
            <w:pPr>
              <w:spacing w:after="0"/>
              <w:ind w:left="360"/>
              <w:jc w:val="center"/>
              <w:cnfStyle w:val="000000000000" w:firstRow="0" w:lastRow="0" w:firstColumn="0" w:lastColumn="0" w:oddVBand="0" w:evenVBand="0" w:oddHBand="0" w:evenHBand="0" w:firstRowFirstColumn="0" w:firstRowLastColumn="0" w:lastRowFirstColumn="0" w:lastRowLastColumn="0"/>
              <w:rPr>
                <w:b/>
                <w:bCs/>
              </w:rPr>
            </w:pPr>
          </w:p>
        </w:tc>
        <w:tc>
          <w:tcPr>
            <w:tcW w:w="800" w:type="pct"/>
            <w:hideMark/>
          </w:tcPr>
          <w:p w:rsidR="00C27212" w:rsidRPr="00675EFA" w:rsidRDefault="00C27212" w:rsidP="00675EFA">
            <w:pPr>
              <w:spacing w:after="0"/>
              <w:ind w:left="360"/>
              <w:jc w:val="center"/>
              <w:cnfStyle w:val="000000000000" w:firstRow="0" w:lastRow="0" w:firstColumn="0" w:lastColumn="0" w:oddVBand="0" w:evenVBand="0" w:oddHBand="0" w:evenHBand="0" w:firstRowFirstColumn="0" w:firstRowLastColumn="0" w:lastRowFirstColumn="0" w:lastRowLastColumn="0"/>
              <w:rPr>
                <w:b/>
                <w:bCs/>
              </w:rPr>
            </w:pPr>
          </w:p>
        </w:tc>
        <w:tc>
          <w:tcPr>
            <w:tcW w:w="645" w:type="pct"/>
            <w:hideMark/>
          </w:tcPr>
          <w:p w:rsidR="00C27212" w:rsidRPr="00675EFA" w:rsidRDefault="00C27212" w:rsidP="00675EFA">
            <w:pPr>
              <w:spacing w:after="0"/>
              <w:ind w:left="360"/>
              <w:jc w:val="center"/>
              <w:cnfStyle w:val="000000000000" w:firstRow="0" w:lastRow="0" w:firstColumn="0" w:lastColumn="0" w:oddVBand="0" w:evenVBand="0" w:oddHBand="0" w:evenHBand="0" w:firstRowFirstColumn="0" w:firstRowLastColumn="0" w:lastRowFirstColumn="0" w:lastRowLastColumn="0"/>
              <w:rPr>
                <w:b/>
                <w:bCs/>
              </w:rPr>
            </w:pPr>
          </w:p>
        </w:tc>
      </w:tr>
      <w:tr w:rsidR="00C27212" w:rsidTr="00197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675EFA" w:rsidRDefault="00C27212" w:rsidP="00646FD4">
            <w:pPr>
              <w:pStyle w:val="ExtensionPoints"/>
              <w:rPr>
                <w:rFonts w:eastAsia="Calibri" w:cs="Times New Roman"/>
                <w:b w:val="0"/>
              </w:rPr>
            </w:pPr>
            <w:r w:rsidRPr="00675EFA">
              <w:rPr>
                <w:rFonts w:eastAsia="Calibri" w:cs="Times New Roman"/>
                <w:b w:val="0"/>
              </w:rPr>
              <w:t>Rationale</w:t>
            </w:r>
          </w:p>
        </w:tc>
        <w:tc>
          <w:tcPr>
            <w:tcW w:w="928"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To facilitate the selection of product for which the patient has not had a reaction to</w:t>
            </w:r>
          </w:p>
        </w:tc>
        <w:tc>
          <w:tcPr>
            <w:tcW w:w="954"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To facilitate the selection of product for which the patient has not had a reaction to</w:t>
            </w:r>
          </w:p>
        </w:tc>
        <w:tc>
          <w:tcPr>
            <w:tcW w:w="852"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To facilitate the selection of product for which the patient has not had a reaction to</w:t>
            </w:r>
          </w:p>
        </w:tc>
        <w:tc>
          <w:tcPr>
            <w:tcW w:w="800"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To facilitate the selection of product for which the patient has not had a reaction to</w:t>
            </w:r>
          </w:p>
        </w:tc>
        <w:tc>
          <w:tcPr>
            <w:tcW w:w="645" w:type="pct"/>
            <w:hideMark/>
          </w:tcPr>
          <w:p w:rsidR="00C27212" w:rsidRPr="00197335" w:rsidRDefault="00C27212" w:rsidP="00197335">
            <w:pPr>
              <w:spacing w:after="0"/>
              <w:jc w:val="center"/>
              <w:cnfStyle w:val="000000100000" w:firstRow="0" w:lastRow="0" w:firstColumn="0" w:lastColumn="0" w:oddVBand="0" w:evenVBand="0" w:oddHBand="1" w:evenHBand="0" w:firstRowFirstColumn="0" w:firstRowLastColumn="0" w:lastRowFirstColumn="0" w:lastRowLastColumn="0"/>
              <w:rPr>
                <w:bCs/>
              </w:rPr>
            </w:pPr>
          </w:p>
        </w:tc>
      </w:tr>
      <w:tr w:rsidR="00C27212" w:rsidTr="00197335">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197335" w:rsidRDefault="00C27212" w:rsidP="00197335">
            <w:pPr>
              <w:spacing w:after="0"/>
              <w:rPr>
                <w:bCs w:val="0"/>
              </w:rPr>
            </w:pPr>
            <w:r w:rsidRPr="006017A9">
              <w:t>Current Authorisations</w:t>
            </w:r>
          </w:p>
        </w:tc>
        <w:tc>
          <w:tcPr>
            <w:tcW w:w="928" w:type="pct"/>
            <w:hideMark/>
          </w:tcPr>
          <w:p w:rsidR="00C27212" w:rsidRPr="00675EFA" w:rsidRDefault="00C27212"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954" w:type="pct"/>
            <w:hideMark/>
          </w:tcPr>
          <w:p w:rsidR="00C27212" w:rsidRPr="00675EFA" w:rsidRDefault="00C27212"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852" w:type="pct"/>
            <w:hideMark/>
          </w:tcPr>
          <w:p w:rsidR="00C27212" w:rsidRPr="00675EFA" w:rsidRDefault="00C27212"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800" w:type="pct"/>
            <w:hideMark/>
          </w:tcPr>
          <w:p w:rsidR="00C27212" w:rsidRPr="00675EFA" w:rsidRDefault="00C27212"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645" w:type="pct"/>
            <w:hideMark/>
          </w:tcPr>
          <w:p w:rsidR="00C27212" w:rsidRPr="00675EFA" w:rsidRDefault="00C27212"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sidRPr="00675EFA">
              <w:rPr>
                <w:b/>
                <w:bCs/>
              </w:rPr>
              <w:t>Yes</w:t>
            </w:r>
          </w:p>
        </w:tc>
      </w:tr>
      <w:tr w:rsidR="00C27212" w:rsidTr="00197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675EFA" w:rsidRDefault="00C27212" w:rsidP="00646FD4">
            <w:pPr>
              <w:pStyle w:val="ExtensionPoints"/>
              <w:rPr>
                <w:rFonts w:eastAsia="Calibri" w:cs="Times New Roman"/>
                <w:b w:val="0"/>
              </w:rPr>
            </w:pPr>
            <w:r w:rsidRPr="00675EFA">
              <w:rPr>
                <w:rFonts w:eastAsia="Calibri" w:cs="Times New Roman"/>
                <w:b w:val="0"/>
              </w:rPr>
              <w:t>Condition</w:t>
            </w:r>
          </w:p>
        </w:tc>
        <w:tc>
          <w:tcPr>
            <w:tcW w:w="928" w:type="pct"/>
            <w:hideMark/>
          </w:tcPr>
          <w:p w:rsidR="00C27212" w:rsidRPr="00675EFA" w:rsidRDefault="00C27212" w:rsidP="00675EFA">
            <w:pPr>
              <w:spacing w:after="0"/>
              <w:ind w:left="360"/>
              <w:jc w:val="center"/>
              <w:cnfStyle w:val="000000100000" w:firstRow="0" w:lastRow="0" w:firstColumn="0" w:lastColumn="0" w:oddVBand="0" w:evenVBand="0" w:oddHBand="1" w:evenHBand="0" w:firstRowFirstColumn="0" w:firstRowLastColumn="0" w:lastRowFirstColumn="0" w:lastRowLastColumn="0"/>
              <w:rPr>
                <w:b/>
                <w:bCs/>
              </w:rPr>
            </w:pPr>
          </w:p>
        </w:tc>
        <w:tc>
          <w:tcPr>
            <w:tcW w:w="954" w:type="pct"/>
            <w:hideMark/>
          </w:tcPr>
          <w:p w:rsidR="00C27212" w:rsidRPr="00675EFA" w:rsidRDefault="00C27212" w:rsidP="00675EFA">
            <w:pPr>
              <w:spacing w:after="0"/>
              <w:ind w:left="360"/>
              <w:jc w:val="center"/>
              <w:cnfStyle w:val="000000100000" w:firstRow="0" w:lastRow="0" w:firstColumn="0" w:lastColumn="0" w:oddVBand="0" w:evenVBand="0" w:oddHBand="1" w:evenHBand="0" w:firstRowFirstColumn="0" w:firstRowLastColumn="0" w:lastRowFirstColumn="0" w:lastRowLastColumn="0"/>
              <w:rPr>
                <w:b/>
                <w:bCs/>
              </w:rPr>
            </w:pPr>
          </w:p>
        </w:tc>
        <w:tc>
          <w:tcPr>
            <w:tcW w:w="852" w:type="pct"/>
            <w:hideMark/>
          </w:tcPr>
          <w:p w:rsidR="00C27212" w:rsidRPr="00675EFA" w:rsidRDefault="00C27212" w:rsidP="00675EFA">
            <w:pPr>
              <w:spacing w:after="0"/>
              <w:ind w:left="360"/>
              <w:jc w:val="center"/>
              <w:cnfStyle w:val="000000100000" w:firstRow="0" w:lastRow="0" w:firstColumn="0" w:lastColumn="0" w:oddVBand="0" w:evenVBand="0" w:oddHBand="1" w:evenHBand="0" w:firstRowFirstColumn="0" w:firstRowLastColumn="0" w:lastRowFirstColumn="0" w:lastRowLastColumn="0"/>
              <w:rPr>
                <w:b/>
                <w:bCs/>
              </w:rPr>
            </w:pPr>
          </w:p>
        </w:tc>
        <w:tc>
          <w:tcPr>
            <w:tcW w:w="800" w:type="pct"/>
            <w:hideMark/>
          </w:tcPr>
          <w:p w:rsidR="00C27212" w:rsidRPr="00675EFA" w:rsidRDefault="00C27212" w:rsidP="00675EFA">
            <w:pPr>
              <w:spacing w:after="0"/>
              <w:ind w:left="360"/>
              <w:jc w:val="center"/>
              <w:cnfStyle w:val="000000100000" w:firstRow="0" w:lastRow="0" w:firstColumn="0" w:lastColumn="0" w:oddVBand="0" w:evenVBand="0" w:oddHBand="1" w:evenHBand="0" w:firstRowFirstColumn="0" w:firstRowLastColumn="0" w:lastRowFirstColumn="0" w:lastRowLastColumn="0"/>
              <w:rPr>
                <w:b/>
                <w:bCs/>
              </w:rPr>
            </w:pPr>
          </w:p>
        </w:tc>
        <w:tc>
          <w:tcPr>
            <w:tcW w:w="645" w:type="pct"/>
            <w:hideMark/>
          </w:tcPr>
          <w:p w:rsidR="00C27212" w:rsidRPr="00675EFA" w:rsidRDefault="00C27212" w:rsidP="00675EFA">
            <w:pPr>
              <w:spacing w:after="0"/>
              <w:ind w:left="360"/>
              <w:jc w:val="center"/>
              <w:cnfStyle w:val="000000100000" w:firstRow="0" w:lastRow="0" w:firstColumn="0" w:lastColumn="0" w:oddVBand="0" w:evenVBand="0" w:oddHBand="1" w:evenHBand="0" w:firstRowFirstColumn="0" w:firstRowLastColumn="0" w:lastRowFirstColumn="0" w:lastRowLastColumn="0"/>
              <w:rPr>
                <w:b/>
                <w:bCs/>
              </w:rPr>
            </w:pPr>
          </w:p>
        </w:tc>
      </w:tr>
      <w:tr w:rsidR="00C27212" w:rsidTr="00197335">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675EFA" w:rsidRDefault="00C27212" w:rsidP="00646FD4">
            <w:pPr>
              <w:pStyle w:val="ExtensionPoints"/>
              <w:rPr>
                <w:rFonts w:eastAsia="Calibri" w:cs="Times New Roman"/>
                <w:b w:val="0"/>
              </w:rPr>
            </w:pPr>
            <w:r w:rsidRPr="00675EFA">
              <w:rPr>
                <w:rFonts w:eastAsia="Calibri" w:cs="Times New Roman"/>
                <w:b w:val="0"/>
              </w:rPr>
              <w:t>Rationale</w:t>
            </w:r>
          </w:p>
        </w:tc>
        <w:tc>
          <w:tcPr>
            <w:tcW w:w="928"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r w:rsidRPr="00197335">
              <w:rPr>
                <w:bCs/>
              </w:rPr>
              <w:t>To provide knowledge of existing treatment being given to a patient to avoid prescribing a treatment that is already being undertaken.</w:t>
            </w:r>
          </w:p>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r w:rsidRPr="00197335">
              <w:rPr>
                <w:bCs/>
              </w:rPr>
              <w:t>To provide data on the progress of treatments for a patient.</w:t>
            </w:r>
          </w:p>
        </w:tc>
        <w:tc>
          <w:tcPr>
            <w:tcW w:w="954"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r w:rsidRPr="00197335">
              <w:rPr>
                <w:bCs/>
              </w:rPr>
              <w:t>To provide knowledge of existing treatment being given to a patient to assist with assessment of continuing authorisation requests.</w:t>
            </w:r>
          </w:p>
        </w:tc>
        <w:tc>
          <w:tcPr>
            <w:tcW w:w="852"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r w:rsidRPr="00197335">
              <w:rPr>
                <w:bCs/>
              </w:rPr>
              <w:t>To ensure that treatment is administered within the authorised parameters for a patient.</w:t>
            </w:r>
          </w:p>
        </w:tc>
        <w:tc>
          <w:tcPr>
            <w:tcW w:w="800"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r w:rsidRPr="00197335">
              <w:rPr>
                <w:bCs/>
              </w:rPr>
              <w:t>To ensure that product is dispensed within the authorised parameters for a patient.</w:t>
            </w:r>
          </w:p>
        </w:tc>
        <w:tc>
          <w:tcPr>
            <w:tcW w:w="645" w:type="pct"/>
            <w:hideMark/>
          </w:tcPr>
          <w:p w:rsidR="00C27212" w:rsidRPr="00197335" w:rsidRDefault="00C27212" w:rsidP="00197335">
            <w:pPr>
              <w:spacing w:after="0"/>
              <w:jc w:val="center"/>
              <w:cnfStyle w:val="000000000000" w:firstRow="0" w:lastRow="0" w:firstColumn="0" w:lastColumn="0" w:oddVBand="0" w:evenVBand="0" w:oddHBand="0" w:evenHBand="0" w:firstRowFirstColumn="0" w:firstRowLastColumn="0" w:lastRowFirstColumn="0" w:lastRowLastColumn="0"/>
              <w:rPr>
                <w:bCs/>
              </w:rPr>
            </w:pPr>
          </w:p>
        </w:tc>
      </w:tr>
      <w:tr w:rsidR="00C27212" w:rsidTr="00197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197335" w:rsidRDefault="00C27212" w:rsidP="00197335">
            <w:pPr>
              <w:spacing w:after="0"/>
              <w:rPr>
                <w:bCs w:val="0"/>
              </w:rPr>
            </w:pPr>
            <w:r w:rsidRPr="006017A9">
              <w:t>Previous Authorisations</w:t>
            </w:r>
          </w:p>
        </w:tc>
        <w:tc>
          <w:tcPr>
            <w:tcW w:w="928"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954"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852"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No</w:t>
            </w:r>
          </w:p>
        </w:tc>
        <w:tc>
          <w:tcPr>
            <w:tcW w:w="800"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No</w:t>
            </w:r>
          </w:p>
        </w:tc>
        <w:tc>
          <w:tcPr>
            <w:tcW w:w="645"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Yes</w:t>
            </w:r>
          </w:p>
        </w:tc>
      </w:tr>
      <w:tr w:rsidR="00C27212" w:rsidTr="00197335">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675EFA" w:rsidRDefault="00C27212" w:rsidP="00646FD4">
            <w:pPr>
              <w:pStyle w:val="ExtensionPoints"/>
              <w:rPr>
                <w:rFonts w:eastAsia="Calibri" w:cs="Times New Roman"/>
                <w:b w:val="0"/>
              </w:rPr>
            </w:pPr>
            <w:r w:rsidRPr="00675EFA">
              <w:rPr>
                <w:rFonts w:eastAsia="Calibri" w:cs="Times New Roman"/>
                <w:b w:val="0"/>
              </w:rPr>
              <w:t>Condition</w:t>
            </w:r>
          </w:p>
        </w:tc>
        <w:tc>
          <w:tcPr>
            <w:tcW w:w="928" w:type="pct"/>
            <w:hideMark/>
          </w:tcPr>
          <w:p w:rsidR="00C27212" w:rsidRPr="00675EFA" w:rsidRDefault="00C27212" w:rsidP="00675EFA">
            <w:pPr>
              <w:spacing w:after="0"/>
              <w:ind w:left="360"/>
              <w:jc w:val="center"/>
              <w:cnfStyle w:val="000000000000" w:firstRow="0" w:lastRow="0" w:firstColumn="0" w:lastColumn="0" w:oddVBand="0" w:evenVBand="0" w:oddHBand="0" w:evenHBand="0" w:firstRowFirstColumn="0" w:firstRowLastColumn="0" w:lastRowFirstColumn="0" w:lastRowLastColumn="0"/>
              <w:rPr>
                <w:b/>
                <w:bCs/>
              </w:rPr>
            </w:pPr>
          </w:p>
        </w:tc>
        <w:tc>
          <w:tcPr>
            <w:tcW w:w="954" w:type="pct"/>
            <w:hideMark/>
          </w:tcPr>
          <w:p w:rsidR="00C27212" w:rsidRPr="00675EFA" w:rsidRDefault="00C27212" w:rsidP="00197335">
            <w:pPr>
              <w:spacing w:after="0"/>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p>
        </w:tc>
        <w:tc>
          <w:tcPr>
            <w:tcW w:w="852" w:type="pct"/>
            <w:hideMark/>
          </w:tcPr>
          <w:p w:rsidR="00C27212" w:rsidRPr="00675EFA" w:rsidRDefault="00C27212" w:rsidP="00675EFA">
            <w:pPr>
              <w:spacing w:after="0"/>
              <w:ind w:left="360"/>
              <w:jc w:val="center"/>
              <w:cnfStyle w:val="000000000000" w:firstRow="0" w:lastRow="0" w:firstColumn="0" w:lastColumn="0" w:oddVBand="0" w:evenVBand="0" w:oddHBand="0" w:evenHBand="0" w:firstRowFirstColumn="0" w:firstRowLastColumn="0" w:lastRowFirstColumn="0" w:lastRowLastColumn="0"/>
              <w:rPr>
                <w:b/>
                <w:bCs/>
              </w:rPr>
            </w:pPr>
          </w:p>
        </w:tc>
        <w:tc>
          <w:tcPr>
            <w:tcW w:w="800" w:type="pct"/>
            <w:hideMark/>
          </w:tcPr>
          <w:p w:rsidR="00C27212" w:rsidRPr="00675EFA" w:rsidRDefault="00C27212" w:rsidP="00675EFA">
            <w:pPr>
              <w:spacing w:after="0"/>
              <w:ind w:left="360"/>
              <w:jc w:val="center"/>
              <w:cnfStyle w:val="000000000000" w:firstRow="0" w:lastRow="0" w:firstColumn="0" w:lastColumn="0" w:oddVBand="0" w:evenVBand="0" w:oddHBand="0" w:evenHBand="0" w:firstRowFirstColumn="0" w:firstRowLastColumn="0" w:lastRowFirstColumn="0" w:lastRowLastColumn="0"/>
              <w:rPr>
                <w:b/>
                <w:bCs/>
              </w:rPr>
            </w:pPr>
          </w:p>
        </w:tc>
        <w:tc>
          <w:tcPr>
            <w:tcW w:w="645" w:type="pct"/>
            <w:hideMark/>
          </w:tcPr>
          <w:p w:rsidR="00C27212" w:rsidRPr="00675EFA" w:rsidRDefault="00C27212" w:rsidP="00675EFA">
            <w:pPr>
              <w:spacing w:after="0"/>
              <w:ind w:left="360"/>
              <w:jc w:val="center"/>
              <w:cnfStyle w:val="000000000000" w:firstRow="0" w:lastRow="0" w:firstColumn="0" w:lastColumn="0" w:oddVBand="0" w:evenVBand="0" w:oddHBand="0" w:evenHBand="0" w:firstRowFirstColumn="0" w:firstRowLastColumn="0" w:lastRowFirstColumn="0" w:lastRowLastColumn="0"/>
              <w:rPr>
                <w:b/>
                <w:bCs/>
              </w:rPr>
            </w:pPr>
          </w:p>
        </w:tc>
      </w:tr>
      <w:tr w:rsidR="00C27212" w:rsidTr="00197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675EFA" w:rsidRDefault="00C27212" w:rsidP="00646FD4">
            <w:pPr>
              <w:pStyle w:val="ExtensionPoints"/>
              <w:rPr>
                <w:rFonts w:eastAsia="Calibri" w:cs="Times New Roman"/>
                <w:b w:val="0"/>
              </w:rPr>
            </w:pPr>
            <w:r w:rsidRPr="00675EFA">
              <w:rPr>
                <w:rFonts w:eastAsia="Calibri" w:cs="Times New Roman"/>
                <w:b w:val="0"/>
              </w:rPr>
              <w:t>Rationale</w:t>
            </w:r>
          </w:p>
        </w:tc>
        <w:tc>
          <w:tcPr>
            <w:tcW w:w="928"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To provide knowledge of previous treatment given to a patient to avoid prescribing a treatment that has already being undertaken.</w:t>
            </w:r>
          </w:p>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p>
        </w:tc>
        <w:tc>
          <w:tcPr>
            <w:tcW w:w="954"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To provide knowledge of previous treatment given to a patient to assist in the assessment of authorisation.</w:t>
            </w:r>
          </w:p>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p>
        </w:tc>
        <w:tc>
          <w:tcPr>
            <w:tcW w:w="852"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A nurse does not need to know about previous authorisation is order to safely administer treatment.</w:t>
            </w:r>
          </w:p>
        </w:tc>
        <w:tc>
          <w:tcPr>
            <w:tcW w:w="800"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A dispenser does not need to know about previous authorisation is order to safely dispense product for treatment.</w:t>
            </w:r>
          </w:p>
        </w:tc>
        <w:tc>
          <w:tcPr>
            <w:tcW w:w="645" w:type="pct"/>
            <w:hideMark/>
          </w:tcPr>
          <w:p w:rsidR="00C27212" w:rsidRPr="00675EFA" w:rsidRDefault="00C27212" w:rsidP="00675EFA">
            <w:pPr>
              <w:spacing w:after="0"/>
              <w:ind w:left="360"/>
              <w:jc w:val="center"/>
              <w:cnfStyle w:val="000000100000" w:firstRow="0" w:lastRow="0" w:firstColumn="0" w:lastColumn="0" w:oddVBand="0" w:evenVBand="0" w:oddHBand="1" w:evenHBand="0" w:firstRowFirstColumn="0" w:firstRowLastColumn="0" w:lastRowFirstColumn="0" w:lastRowLastColumn="0"/>
              <w:rPr>
                <w:b/>
                <w:bCs/>
              </w:rPr>
            </w:pPr>
          </w:p>
        </w:tc>
      </w:tr>
      <w:tr w:rsidR="00C27212" w:rsidTr="00197335">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197335" w:rsidRDefault="00C27212" w:rsidP="00197335">
            <w:pPr>
              <w:spacing w:after="0"/>
              <w:rPr>
                <w:bCs w:val="0"/>
              </w:rPr>
            </w:pPr>
            <w:r w:rsidRPr="006017A9">
              <w:t xml:space="preserve">Authorisation </w:t>
            </w:r>
            <w:r w:rsidRPr="006017A9">
              <w:lastRenderedPageBreak/>
              <w:t>Requests</w:t>
            </w:r>
          </w:p>
        </w:tc>
        <w:tc>
          <w:tcPr>
            <w:tcW w:w="928" w:type="pct"/>
            <w:hideMark/>
          </w:tcPr>
          <w:p w:rsidR="00C27212" w:rsidRPr="00675EFA" w:rsidRDefault="00C27212"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sidRPr="00675EFA">
              <w:rPr>
                <w:b/>
                <w:bCs/>
              </w:rPr>
              <w:lastRenderedPageBreak/>
              <w:t>Yes</w:t>
            </w:r>
          </w:p>
        </w:tc>
        <w:tc>
          <w:tcPr>
            <w:tcW w:w="954" w:type="pct"/>
            <w:hideMark/>
          </w:tcPr>
          <w:p w:rsidR="00C27212" w:rsidRPr="00675EFA" w:rsidRDefault="00C27212"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852" w:type="pct"/>
            <w:hideMark/>
          </w:tcPr>
          <w:p w:rsidR="00C27212" w:rsidRPr="00675EFA" w:rsidRDefault="00C27212"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sidRPr="00675EFA">
              <w:rPr>
                <w:b/>
                <w:bCs/>
              </w:rPr>
              <w:t>No</w:t>
            </w:r>
          </w:p>
        </w:tc>
        <w:tc>
          <w:tcPr>
            <w:tcW w:w="800" w:type="pct"/>
            <w:hideMark/>
          </w:tcPr>
          <w:p w:rsidR="00C27212" w:rsidRPr="00675EFA" w:rsidRDefault="00C27212"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sidRPr="00675EFA">
              <w:rPr>
                <w:b/>
                <w:bCs/>
              </w:rPr>
              <w:t>No</w:t>
            </w:r>
          </w:p>
        </w:tc>
        <w:tc>
          <w:tcPr>
            <w:tcW w:w="645" w:type="pct"/>
            <w:hideMark/>
          </w:tcPr>
          <w:p w:rsidR="00C27212" w:rsidRPr="00675EFA" w:rsidRDefault="00C27212"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sidRPr="00675EFA">
              <w:rPr>
                <w:b/>
                <w:bCs/>
              </w:rPr>
              <w:t>Yes</w:t>
            </w:r>
          </w:p>
        </w:tc>
      </w:tr>
      <w:tr w:rsidR="00C27212" w:rsidTr="00197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675EFA" w:rsidRDefault="00C27212" w:rsidP="00646FD4">
            <w:pPr>
              <w:pStyle w:val="ExtensionPoints"/>
              <w:rPr>
                <w:rFonts w:eastAsia="Calibri" w:cs="Times New Roman"/>
                <w:b w:val="0"/>
              </w:rPr>
            </w:pPr>
            <w:r w:rsidRPr="00675EFA">
              <w:rPr>
                <w:rFonts w:eastAsia="Calibri" w:cs="Times New Roman"/>
                <w:b w:val="0"/>
              </w:rPr>
              <w:lastRenderedPageBreak/>
              <w:t>Condition</w:t>
            </w:r>
          </w:p>
        </w:tc>
        <w:tc>
          <w:tcPr>
            <w:tcW w:w="928"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Can only see authorisation requests for which they are nominated as the Treating Medical Specialist or the Requesting Medical Officer</w:t>
            </w:r>
          </w:p>
        </w:tc>
        <w:tc>
          <w:tcPr>
            <w:tcW w:w="954"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Only where the Status is not DRAFT</w:t>
            </w:r>
          </w:p>
        </w:tc>
        <w:tc>
          <w:tcPr>
            <w:tcW w:w="852"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p>
        </w:tc>
        <w:tc>
          <w:tcPr>
            <w:tcW w:w="800"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p>
        </w:tc>
        <w:tc>
          <w:tcPr>
            <w:tcW w:w="645" w:type="pct"/>
            <w:hideMark/>
          </w:tcPr>
          <w:p w:rsidR="00C27212" w:rsidRPr="00197335" w:rsidRDefault="00C27212" w:rsidP="00197335">
            <w:pPr>
              <w:spacing w:after="0"/>
              <w:jc w:val="center"/>
              <w:cnfStyle w:val="000000100000" w:firstRow="0" w:lastRow="0" w:firstColumn="0" w:lastColumn="0" w:oddVBand="0" w:evenVBand="0" w:oddHBand="1" w:evenHBand="0" w:firstRowFirstColumn="0" w:firstRowLastColumn="0" w:lastRowFirstColumn="0" w:lastRowLastColumn="0"/>
              <w:rPr>
                <w:bCs/>
              </w:rPr>
            </w:pPr>
          </w:p>
        </w:tc>
      </w:tr>
      <w:tr w:rsidR="00C27212" w:rsidTr="00197335">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675EFA" w:rsidRDefault="00C27212" w:rsidP="00646FD4">
            <w:pPr>
              <w:pStyle w:val="ExtensionPoints"/>
              <w:rPr>
                <w:rFonts w:eastAsia="Calibri" w:cs="Times New Roman"/>
                <w:b w:val="0"/>
              </w:rPr>
            </w:pPr>
            <w:r w:rsidRPr="00675EFA">
              <w:rPr>
                <w:rFonts w:eastAsia="Calibri" w:cs="Times New Roman"/>
                <w:b w:val="0"/>
              </w:rPr>
              <w:t>Rationale</w:t>
            </w:r>
          </w:p>
        </w:tc>
        <w:tc>
          <w:tcPr>
            <w:tcW w:w="928"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r w:rsidRPr="00197335">
              <w:rPr>
                <w:bCs/>
              </w:rPr>
              <w:t>These requests pertain specifically to a Medical Officer’s own patient.  The medical officer cannot gather any more information from a request than they has entered themselves.</w:t>
            </w:r>
          </w:p>
        </w:tc>
        <w:tc>
          <w:tcPr>
            <w:tcW w:w="954"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r w:rsidRPr="00197335">
              <w:rPr>
                <w:bCs/>
              </w:rPr>
              <w:t>The authoriser needs to be able to see the request in order to assess it.</w:t>
            </w:r>
          </w:p>
        </w:tc>
        <w:tc>
          <w:tcPr>
            <w:tcW w:w="852"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r w:rsidRPr="00197335">
              <w:rPr>
                <w:bCs/>
              </w:rPr>
              <w:t>A nurse does not need to know anything about how an authorisation came to be.</w:t>
            </w:r>
          </w:p>
        </w:tc>
        <w:tc>
          <w:tcPr>
            <w:tcW w:w="800"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r w:rsidRPr="00197335">
              <w:rPr>
                <w:bCs/>
              </w:rPr>
              <w:t>A dispenser does not need to know anything about how an authorisation came to be.</w:t>
            </w:r>
          </w:p>
        </w:tc>
        <w:tc>
          <w:tcPr>
            <w:tcW w:w="645" w:type="pct"/>
            <w:hideMark/>
          </w:tcPr>
          <w:p w:rsidR="00C27212" w:rsidRPr="00197335" w:rsidRDefault="00C27212" w:rsidP="00197335">
            <w:pPr>
              <w:spacing w:after="0"/>
              <w:jc w:val="center"/>
              <w:cnfStyle w:val="000000000000" w:firstRow="0" w:lastRow="0" w:firstColumn="0" w:lastColumn="0" w:oddVBand="0" w:evenVBand="0" w:oddHBand="0" w:evenHBand="0" w:firstRowFirstColumn="0" w:firstRowLastColumn="0" w:lastRowFirstColumn="0" w:lastRowLastColumn="0"/>
              <w:rPr>
                <w:bCs/>
              </w:rPr>
            </w:pPr>
          </w:p>
        </w:tc>
      </w:tr>
      <w:tr w:rsidR="00C27212" w:rsidTr="00197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197335" w:rsidRDefault="00C27212" w:rsidP="00197335">
            <w:pPr>
              <w:spacing w:after="0"/>
              <w:rPr>
                <w:bCs w:val="0"/>
              </w:rPr>
            </w:pPr>
            <w:r w:rsidRPr="006017A9">
              <w:t>Consent Records</w:t>
            </w:r>
          </w:p>
        </w:tc>
        <w:tc>
          <w:tcPr>
            <w:tcW w:w="928"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954"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852"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800"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645"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Yes</w:t>
            </w:r>
          </w:p>
        </w:tc>
      </w:tr>
      <w:tr w:rsidR="00C27212" w:rsidTr="00197335">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197335" w:rsidRDefault="00C27212" w:rsidP="00197335">
            <w:pPr>
              <w:spacing w:after="0"/>
              <w:rPr>
                <w:bCs w:val="0"/>
              </w:rPr>
            </w:pPr>
            <w:r w:rsidRPr="006017A9">
              <w:t>Review outcomes (identifiable)</w:t>
            </w:r>
          </w:p>
        </w:tc>
        <w:tc>
          <w:tcPr>
            <w:tcW w:w="928" w:type="pct"/>
            <w:hideMark/>
          </w:tcPr>
          <w:p w:rsidR="00C27212" w:rsidRPr="00675EFA" w:rsidRDefault="00C27212"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954" w:type="pct"/>
            <w:hideMark/>
          </w:tcPr>
          <w:p w:rsidR="00C27212" w:rsidRPr="00675EFA" w:rsidRDefault="00C27212"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852" w:type="pct"/>
            <w:hideMark/>
          </w:tcPr>
          <w:p w:rsidR="00C27212" w:rsidRPr="00675EFA" w:rsidRDefault="00C27212"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sidRPr="00675EFA">
              <w:rPr>
                <w:b/>
                <w:bCs/>
              </w:rPr>
              <w:t>No</w:t>
            </w:r>
          </w:p>
        </w:tc>
        <w:tc>
          <w:tcPr>
            <w:tcW w:w="800" w:type="pct"/>
            <w:hideMark/>
          </w:tcPr>
          <w:p w:rsidR="00C27212" w:rsidRPr="00675EFA" w:rsidRDefault="00C27212"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sidRPr="00675EFA">
              <w:rPr>
                <w:b/>
                <w:bCs/>
              </w:rPr>
              <w:t>No</w:t>
            </w:r>
          </w:p>
        </w:tc>
        <w:tc>
          <w:tcPr>
            <w:tcW w:w="645" w:type="pct"/>
            <w:hideMark/>
          </w:tcPr>
          <w:p w:rsidR="00C27212" w:rsidRPr="00675EFA" w:rsidRDefault="006017A9" w:rsidP="0019733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r>
              <w:rPr>
                <w:b/>
                <w:bCs/>
              </w:rPr>
              <w:t>Yes</w:t>
            </w:r>
          </w:p>
        </w:tc>
      </w:tr>
      <w:tr w:rsidR="00C27212" w:rsidTr="00197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675EFA" w:rsidRDefault="00C27212" w:rsidP="00646FD4">
            <w:pPr>
              <w:pStyle w:val="ExtensionPoints"/>
              <w:rPr>
                <w:rFonts w:eastAsia="Calibri" w:cs="Times New Roman"/>
                <w:b w:val="0"/>
              </w:rPr>
            </w:pPr>
            <w:r w:rsidRPr="00675EFA">
              <w:rPr>
                <w:rFonts w:eastAsia="Calibri" w:cs="Times New Roman"/>
                <w:b w:val="0"/>
              </w:rPr>
              <w:t>Condition</w:t>
            </w:r>
          </w:p>
        </w:tc>
        <w:tc>
          <w:tcPr>
            <w:tcW w:w="928"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Can only see review outcomes for authorisations for which the Medical Officer is the Treating Medical Specialist</w:t>
            </w:r>
          </w:p>
        </w:tc>
        <w:tc>
          <w:tcPr>
            <w:tcW w:w="954"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p>
        </w:tc>
        <w:tc>
          <w:tcPr>
            <w:tcW w:w="852" w:type="pct"/>
            <w:hideMark/>
          </w:tcPr>
          <w:p w:rsidR="00C27212" w:rsidRPr="00197335" w:rsidRDefault="00C27212" w:rsidP="00197335">
            <w:pPr>
              <w:spacing w:after="0"/>
              <w:jc w:val="center"/>
              <w:cnfStyle w:val="000000100000" w:firstRow="0" w:lastRow="0" w:firstColumn="0" w:lastColumn="0" w:oddVBand="0" w:evenVBand="0" w:oddHBand="1" w:evenHBand="0" w:firstRowFirstColumn="0" w:firstRowLastColumn="0" w:lastRowFirstColumn="0" w:lastRowLastColumn="0"/>
              <w:rPr>
                <w:bCs/>
              </w:rPr>
            </w:pPr>
          </w:p>
        </w:tc>
        <w:tc>
          <w:tcPr>
            <w:tcW w:w="800" w:type="pct"/>
            <w:hideMark/>
          </w:tcPr>
          <w:p w:rsidR="00C27212" w:rsidRPr="00197335" w:rsidRDefault="00C27212" w:rsidP="00197335">
            <w:pPr>
              <w:spacing w:after="0"/>
              <w:jc w:val="center"/>
              <w:cnfStyle w:val="000000100000" w:firstRow="0" w:lastRow="0" w:firstColumn="0" w:lastColumn="0" w:oddVBand="0" w:evenVBand="0" w:oddHBand="1" w:evenHBand="0" w:firstRowFirstColumn="0" w:firstRowLastColumn="0" w:lastRowFirstColumn="0" w:lastRowLastColumn="0"/>
              <w:rPr>
                <w:bCs/>
              </w:rPr>
            </w:pPr>
          </w:p>
        </w:tc>
        <w:tc>
          <w:tcPr>
            <w:tcW w:w="645" w:type="pct"/>
            <w:hideMark/>
          </w:tcPr>
          <w:p w:rsidR="00C27212" w:rsidRPr="00197335" w:rsidRDefault="00C27212" w:rsidP="00197335">
            <w:pPr>
              <w:spacing w:after="0"/>
              <w:jc w:val="center"/>
              <w:cnfStyle w:val="000000100000" w:firstRow="0" w:lastRow="0" w:firstColumn="0" w:lastColumn="0" w:oddVBand="0" w:evenVBand="0" w:oddHBand="1" w:evenHBand="0" w:firstRowFirstColumn="0" w:firstRowLastColumn="0" w:lastRowFirstColumn="0" w:lastRowLastColumn="0"/>
              <w:rPr>
                <w:bCs/>
              </w:rPr>
            </w:pPr>
          </w:p>
        </w:tc>
      </w:tr>
      <w:tr w:rsidR="00C27212" w:rsidTr="00197335">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675EFA" w:rsidRDefault="00C27212" w:rsidP="00646FD4">
            <w:pPr>
              <w:pStyle w:val="ExtensionPoints"/>
              <w:rPr>
                <w:rFonts w:eastAsia="Calibri" w:cs="Times New Roman"/>
                <w:b w:val="0"/>
              </w:rPr>
            </w:pPr>
            <w:r w:rsidRPr="00675EFA">
              <w:rPr>
                <w:rFonts w:eastAsia="Calibri" w:cs="Times New Roman"/>
                <w:b w:val="0"/>
              </w:rPr>
              <w:t>Rationale</w:t>
            </w:r>
          </w:p>
        </w:tc>
        <w:tc>
          <w:tcPr>
            <w:tcW w:w="928"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r w:rsidRPr="00197335">
              <w:rPr>
                <w:bCs/>
              </w:rPr>
              <w:t>The Medical Officer cannot gather any more information from review outcomes than that which they have entered themselves.</w:t>
            </w:r>
          </w:p>
        </w:tc>
        <w:tc>
          <w:tcPr>
            <w:tcW w:w="954"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r w:rsidRPr="00197335">
              <w:rPr>
                <w:bCs/>
              </w:rPr>
              <w:t xml:space="preserve">The authoriser must assess review outcomes to ascertain that there has been a clinical benefit before approving continuing access to </w:t>
            </w:r>
            <w:r w:rsidRPr="00197335">
              <w:rPr>
                <w:bCs/>
              </w:rPr>
              <w:lastRenderedPageBreak/>
              <w:t>treatment</w:t>
            </w:r>
          </w:p>
        </w:tc>
        <w:tc>
          <w:tcPr>
            <w:tcW w:w="852"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r w:rsidRPr="00197335">
              <w:rPr>
                <w:bCs/>
              </w:rPr>
              <w:lastRenderedPageBreak/>
              <w:t>A nurse does not need to understand the clinical effectiveness of the treatment in order to safely administer treatment.</w:t>
            </w:r>
          </w:p>
        </w:tc>
        <w:tc>
          <w:tcPr>
            <w:tcW w:w="800"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r w:rsidRPr="00197335">
              <w:rPr>
                <w:bCs/>
              </w:rPr>
              <w:t xml:space="preserve">A dispenser does not need to understand the clinical effectiveness of the treatment in order to safely dispense </w:t>
            </w:r>
            <w:r w:rsidRPr="00197335">
              <w:rPr>
                <w:bCs/>
              </w:rPr>
              <w:lastRenderedPageBreak/>
              <w:t>product for treatment.</w:t>
            </w:r>
          </w:p>
        </w:tc>
        <w:tc>
          <w:tcPr>
            <w:tcW w:w="645" w:type="pct"/>
            <w:hideMark/>
          </w:tcPr>
          <w:p w:rsidR="00C27212" w:rsidRPr="00197335" w:rsidRDefault="00C27212" w:rsidP="00197335">
            <w:pPr>
              <w:spacing w:after="0"/>
              <w:jc w:val="center"/>
              <w:cnfStyle w:val="000000000000" w:firstRow="0" w:lastRow="0" w:firstColumn="0" w:lastColumn="0" w:oddVBand="0" w:evenVBand="0" w:oddHBand="0" w:evenHBand="0" w:firstRowFirstColumn="0" w:firstRowLastColumn="0" w:lastRowFirstColumn="0" w:lastRowLastColumn="0"/>
              <w:rPr>
                <w:bCs/>
              </w:rPr>
            </w:pPr>
          </w:p>
        </w:tc>
      </w:tr>
      <w:tr w:rsidR="00C27212" w:rsidRPr="00D01402" w:rsidTr="00197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197335" w:rsidRDefault="00C27212" w:rsidP="00197335">
            <w:pPr>
              <w:spacing w:after="0"/>
              <w:rPr>
                <w:bCs w:val="0"/>
              </w:rPr>
            </w:pPr>
            <w:r w:rsidRPr="006017A9">
              <w:lastRenderedPageBreak/>
              <w:t>Clinical Outcomes (identifiable)</w:t>
            </w:r>
          </w:p>
        </w:tc>
        <w:tc>
          <w:tcPr>
            <w:tcW w:w="928"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Yes</w:t>
            </w:r>
          </w:p>
        </w:tc>
        <w:tc>
          <w:tcPr>
            <w:tcW w:w="954" w:type="pct"/>
            <w:hideMark/>
          </w:tcPr>
          <w:p w:rsidR="00C27212" w:rsidRPr="00675EFA" w:rsidRDefault="00C63F5B"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Pr>
                <w:b/>
                <w:bCs/>
              </w:rPr>
              <w:t>No</w:t>
            </w:r>
          </w:p>
        </w:tc>
        <w:tc>
          <w:tcPr>
            <w:tcW w:w="852"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No</w:t>
            </w:r>
          </w:p>
        </w:tc>
        <w:tc>
          <w:tcPr>
            <w:tcW w:w="800"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No</w:t>
            </w:r>
          </w:p>
        </w:tc>
        <w:tc>
          <w:tcPr>
            <w:tcW w:w="645" w:type="pct"/>
            <w:hideMark/>
          </w:tcPr>
          <w:p w:rsidR="00C27212" w:rsidRPr="00675EFA" w:rsidRDefault="00C27212" w:rsidP="0019733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r w:rsidRPr="00675EFA">
              <w:rPr>
                <w:b/>
                <w:bCs/>
              </w:rPr>
              <w:t>Yes</w:t>
            </w:r>
          </w:p>
        </w:tc>
      </w:tr>
      <w:tr w:rsidR="00C27212" w:rsidTr="00197335">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675EFA" w:rsidRDefault="00C27212" w:rsidP="00646FD4">
            <w:pPr>
              <w:pStyle w:val="ExtensionPoints"/>
              <w:rPr>
                <w:rFonts w:eastAsia="Calibri" w:cs="Times New Roman"/>
                <w:b w:val="0"/>
              </w:rPr>
            </w:pPr>
            <w:r w:rsidRPr="00675EFA">
              <w:rPr>
                <w:rFonts w:eastAsia="Calibri" w:cs="Times New Roman"/>
                <w:b w:val="0"/>
              </w:rPr>
              <w:t>Condition</w:t>
            </w:r>
          </w:p>
        </w:tc>
        <w:tc>
          <w:tcPr>
            <w:tcW w:w="928"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r w:rsidRPr="00197335">
              <w:rPr>
                <w:bCs/>
              </w:rPr>
              <w:t>Own - Can only see clinical outcomes for authorisations for which the Medical Officer is the Treating Medical Specialist.</w:t>
            </w:r>
          </w:p>
        </w:tc>
        <w:tc>
          <w:tcPr>
            <w:tcW w:w="954"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p>
        </w:tc>
        <w:tc>
          <w:tcPr>
            <w:tcW w:w="852"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p>
        </w:tc>
        <w:tc>
          <w:tcPr>
            <w:tcW w:w="800" w:type="pct"/>
            <w:hideMark/>
          </w:tcPr>
          <w:p w:rsidR="00C27212" w:rsidRPr="00197335" w:rsidRDefault="00C27212" w:rsidP="00197335">
            <w:pPr>
              <w:spacing w:after="0"/>
              <w:cnfStyle w:val="000000000000" w:firstRow="0" w:lastRow="0" w:firstColumn="0" w:lastColumn="0" w:oddVBand="0" w:evenVBand="0" w:oddHBand="0" w:evenHBand="0" w:firstRowFirstColumn="0" w:firstRowLastColumn="0" w:lastRowFirstColumn="0" w:lastRowLastColumn="0"/>
              <w:rPr>
                <w:bCs/>
              </w:rPr>
            </w:pPr>
          </w:p>
        </w:tc>
        <w:tc>
          <w:tcPr>
            <w:tcW w:w="645" w:type="pct"/>
            <w:hideMark/>
          </w:tcPr>
          <w:p w:rsidR="00C27212" w:rsidRPr="00675EFA" w:rsidRDefault="00C27212" w:rsidP="00197335">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sz w:val="22"/>
                <w:szCs w:val="22"/>
              </w:rPr>
            </w:pPr>
          </w:p>
        </w:tc>
      </w:tr>
      <w:tr w:rsidR="00C27212" w:rsidTr="00197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hideMark/>
          </w:tcPr>
          <w:p w:rsidR="00C27212" w:rsidRPr="00675EFA" w:rsidRDefault="00C27212" w:rsidP="00646FD4">
            <w:pPr>
              <w:pStyle w:val="ExtensionPoints"/>
              <w:rPr>
                <w:rFonts w:eastAsia="Calibri" w:cs="Times New Roman"/>
                <w:b w:val="0"/>
              </w:rPr>
            </w:pPr>
            <w:r w:rsidRPr="00675EFA">
              <w:rPr>
                <w:rFonts w:eastAsia="Calibri" w:cs="Times New Roman"/>
                <w:b w:val="0"/>
              </w:rPr>
              <w:t>Rationale</w:t>
            </w:r>
          </w:p>
        </w:tc>
        <w:tc>
          <w:tcPr>
            <w:tcW w:w="928"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The Medical Officer cannot gather any more information from clinical outcomes than that which they have entered themselves.</w:t>
            </w:r>
          </w:p>
        </w:tc>
        <w:tc>
          <w:tcPr>
            <w:tcW w:w="954"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 xml:space="preserve">The authoriser </w:t>
            </w:r>
            <w:r w:rsidR="00C63F5B" w:rsidRPr="00197335">
              <w:rPr>
                <w:bCs/>
              </w:rPr>
              <w:t xml:space="preserve">only </w:t>
            </w:r>
            <w:r w:rsidRPr="00197335">
              <w:rPr>
                <w:bCs/>
              </w:rPr>
              <w:t>needs to know about demonstrated efficacy based on the criteria that will qualify the patient for continued treatment.</w:t>
            </w:r>
          </w:p>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Clinical Outcomes may contain data in addition to that required above.</w:t>
            </w:r>
          </w:p>
        </w:tc>
        <w:tc>
          <w:tcPr>
            <w:tcW w:w="852"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A nurse does not need to understand the clinical outcomes of the treatment in order to safely administer treatment.</w:t>
            </w:r>
          </w:p>
        </w:tc>
        <w:tc>
          <w:tcPr>
            <w:tcW w:w="800" w:type="pct"/>
            <w:hideMark/>
          </w:tcPr>
          <w:p w:rsidR="00C27212" w:rsidRPr="00197335" w:rsidRDefault="00C27212" w:rsidP="00197335">
            <w:pPr>
              <w:spacing w:after="0"/>
              <w:cnfStyle w:val="000000100000" w:firstRow="0" w:lastRow="0" w:firstColumn="0" w:lastColumn="0" w:oddVBand="0" w:evenVBand="0" w:oddHBand="1" w:evenHBand="0" w:firstRowFirstColumn="0" w:firstRowLastColumn="0" w:lastRowFirstColumn="0" w:lastRowLastColumn="0"/>
              <w:rPr>
                <w:bCs/>
              </w:rPr>
            </w:pPr>
            <w:r w:rsidRPr="00197335">
              <w:rPr>
                <w:bCs/>
              </w:rPr>
              <w:t>A dispenser does not need to understand the clinical outcomes of the treatment in order to safely dispense product for treatment.</w:t>
            </w:r>
          </w:p>
        </w:tc>
        <w:tc>
          <w:tcPr>
            <w:tcW w:w="645" w:type="pct"/>
            <w:hideMark/>
          </w:tcPr>
          <w:p w:rsidR="00C27212" w:rsidRPr="00675EFA" w:rsidRDefault="00C27212" w:rsidP="00197335">
            <w:pPr>
              <w:spacing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sz w:val="22"/>
                <w:szCs w:val="22"/>
              </w:rPr>
            </w:pPr>
          </w:p>
        </w:tc>
      </w:tr>
    </w:tbl>
    <w:p w:rsidR="00191025" w:rsidRDefault="00191025" w:rsidP="00C23C6D">
      <w:pPr>
        <w:spacing w:after="0"/>
        <w:ind w:left="360"/>
        <w:jc w:val="center"/>
        <w:rPr>
          <w:rFonts w:asciiTheme="minorHAnsi" w:hAnsiTheme="minorHAnsi" w:cs="Arial"/>
          <w:lang w:eastAsia="en-AU"/>
        </w:rPr>
      </w:pPr>
    </w:p>
    <w:sectPr w:rsidR="00191025" w:rsidSect="008A6A29">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B93" w:rsidRDefault="00454B93" w:rsidP="00856708">
      <w:pPr>
        <w:spacing w:after="0"/>
      </w:pPr>
      <w:r>
        <w:separator/>
      </w:r>
    </w:p>
  </w:endnote>
  <w:endnote w:type="continuationSeparator" w:id="0">
    <w:p w:rsidR="00454B93" w:rsidRDefault="00454B93"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HYGothic-Extra">
    <w:panose1 w:val="00000000000000000000"/>
    <w:charset w:val="81"/>
    <w:family w:val="roman"/>
    <w:notTrueType/>
    <w:pitch w:val="default"/>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 w:name="TitilliumText25L">
    <w:panose1 w:val="02000000000000000000"/>
    <w:charset w:val="00"/>
    <w:family w:val="modern"/>
    <w:notTrueType/>
    <w:pitch w:val="variable"/>
    <w:sig w:usb0="A00000EF" w:usb1="0000004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B93" w:rsidRPr="00376976" w:rsidRDefault="00454B93" w:rsidP="00854EFF">
    <w:pPr>
      <w:pStyle w:val="HeaderEven"/>
    </w:pPr>
  </w:p>
  <w:p w:rsidR="00454B93" w:rsidRPr="00107826" w:rsidRDefault="00454B93" w:rsidP="00437002">
    <w:pPr>
      <w:tabs>
        <w:tab w:val="left" w:pos="567"/>
        <w:tab w:val="left" w:pos="1134"/>
        <w:tab w:val="left" w:pos="1701"/>
        <w:tab w:val="left" w:pos="2580"/>
        <w:tab w:val="left" w:pos="3402"/>
      </w:tabs>
      <w:spacing w:after="0"/>
      <w:rPr>
        <w:rStyle w:val="PageNumber"/>
        <w:color w:val="335876"/>
        <w:sz w:val="16"/>
        <w:szCs w:val="16"/>
      </w:rPr>
    </w:pPr>
    <w:r w:rsidRPr="00107826">
      <w:rPr>
        <w:color w:val="335876"/>
        <w:sz w:val="16"/>
        <w:szCs w:val="16"/>
      </w:rPr>
      <w:t xml:space="preserve">Version </w:t>
    </w:r>
    <w:r w:rsidR="00A158FB">
      <w:rPr>
        <w:sz w:val="16"/>
        <w:szCs w:val="16"/>
      </w:rPr>
      <w:t>2.0</w:t>
    </w:r>
    <w:r w:rsidRPr="00107826">
      <w:rPr>
        <w:color w:val="335876"/>
        <w:sz w:val="16"/>
        <w:szCs w:val="16"/>
      </w:rPr>
      <w:tab/>
      <w:t xml:space="preserve">  </w:t>
    </w:r>
    <w:r w:rsidRPr="00107826">
      <w:rPr>
        <w:color w:val="335876"/>
        <w:sz w:val="16"/>
        <w:szCs w:val="16"/>
      </w:rPr>
      <w:tab/>
    </w:r>
    <w:r w:rsidRPr="00107826">
      <w:rPr>
        <w:color w:val="335876"/>
        <w:sz w:val="16"/>
        <w:szCs w:val="16"/>
      </w:rPr>
      <w:tab/>
    </w:r>
    <w:r>
      <w:rPr>
        <w:color w:val="335876"/>
        <w:sz w:val="16"/>
        <w:szCs w:val="16"/>
      </w:rPr>
      <w:t xml:space="preserve"> </w:t>
    </w:r>
    <w:r w:rsidRPr="00107826">
      <w:rPr>
        <w:color w:val="335876"/>
        <w:sz w:val="16"/>
        <w:szCs w:val="16"/>
      </w:rPr>
      <w:tab/>
    </w:r>
    <w:r w:rsidRPr="00107826">
      <w:rPr>
        <w:color w:val="335876"/>
        <w:sz w:val="16"/>
        <w:szCs w:val="16"/>
      </w:rPr>
      <w:tab/>
    </w:r>
    <w:r w:rsidRPr="00107826">
      <w:rPr>
        <w:color w:val="335876"/>
        <w:sz w:val="16"/>
        <w:szCs w:val="16"/>
      </w:rPr>
      <w:tab/>
    </w:r>
    <w:r w:rsidRPr="00107826">
      <w:rPr>
        <w:color w:val="335876"/>
        <w:sz w:val="16"/>
        <w:szCs w:val="16"/>
      </w:rPr>
      <w:tab/>
    </w:r>
    <w:r w:rsidRPr="00107826">
      <w:rPr>
        <w:color w:val="335876"/>
        <w:sz w:val="16"/>
        <w:szCs w:val="16"/>
      </w:rPr>
      <w:tab/>
    </w:r>
    <w:r w:rsidRPr="00107826">
      <w:rPr>
        <w:color w:val="335876"/>
        <w:sz w:val="16"/>
        <w:szCs w:val="16"/>
      </w:rPr>
      <w:tab/>
    </w:r>
    <w:r w:rsidRPr="00107826">
      <w:rPr>
        <w:color w:val="335876"/>
        <w:sz w:val="16"/>
        <w:szCs w:val="16"/>
      </w:rPr>
      <w:tab/>
      <w:t xml:space="preserve">             </w:t>
    </w:r>
    <w:r>
      <w:rPr>
        <w:color w:val="335876"/>
        <w:sz w:val="16"/>
        <w:szCs w:val="16"/>
      </w:rPr>
      <w:t xml:space="preserve">           </w:t>
    </w:r>
    <w:r w:rsidRPr="00107826">
      <w:rPr>
        <w:color w:val="335876"/>
        <w:sz w:val="16"/>
        <w:szCs w:val="16"/>
      </w:rPr>
      <w:t xml:space="preserve">Page </w:t>
    </w:r>
    <w:r w:rsidRPr="00107826">
      <w:rPr>
        <w:rStyle w:val="PageNumber"/>
        <w:sz w:val="16"/>
        <w:szCs w:val="16"/>
      </w:rPr>
      <w:fldChar w:fldCharType="begin"/>
    </w:r>
    <w:r w:rsidRPr="00107826">
      <w:rPr>
        <w:rStyle w:val="PageNumber"/>
        <w:sz w:val="16"/>
        <w:szCs w:val="16"/>
      </w:rPr>
      <w:instrText xml:space="preserve"> PAGE </w:instrText>
    </w:r>
    <w:r w:rsidRPr="00107826">
      <w:rPr>
        <w:rStyle w:val="PageNumber"/>
        <w:sz w:val="16"/>
        <w:szCs w:val="16"/>
      </w:rPr>
      <w:fldChar w:fldCharType="separate"/>
    </w:r>
    <w:r w:rsidR="00FD40F1">
      <w:rPr>
        <w:rStyle w:val="PageNumber"/>
        <w:noProof/>
        <w:sz w:val="16"/>
        <w:szCs w:val="16"/>
      </w:rPr>
      <w:t>15</w:t>
    </w:r>
    <w:r w:rsidRPr="00107826">
      <w:rPr>
        <w:rStyle w:val="PageNumber"/>
        <w:sz w:val="16"/>
        <w:szCs w:val="16"/>
      </w:rPr>
      <w:fldChar w:fldCharType="end"/>
    </w:r>
    <w:r w:rsidRPr="00107826">
      <w:rPr>
        <w:rStyle w:val="PageNumber"/>
        <w:sz w:val="16"/>
        <w:szCs w:val="16"/>
      </w:rPr>
      <w:t xml:space="preserve"> of </w:t>
    </w:r>
    <w:r w:rsidRPr="00107826">
      <w:rPr>
        <w:rStyle w:val="PageNumber"/>
        <w:sz w:val="16"/>
        <w:szCs w:val="16"/>
      </w:rPr>
      <w:fldChar w:fldCharType="begin"/>
    </w:r>
    <w:r w:rsidRPr="00107826">
      <w:rPr>
        <w:rStyle w:val="PageNumber"/>
        <w:sz w:val="16"/>
        <w:szCs w:val="16"/>
      </w:rPr>
      <w:instrText xml:space="preserve"> NUMPAGES   \* MERGEFORMAT </w:instrText>
    </w:r>
    <w:r w:rsidRPr="00107826">
      <w:rPr>
        <w:rStyle w:val="PageNumber"/>
        <w:sz w:val="16"/>
        <w:szCs w:val="16"/>
      </w:rPr>
      <w:fldChar w:fldCharType="separate"/>
    </w:r>
    <w:r w:rsidR="00FD40F1">
      <w:rPr>
        <w:rStyle w:val="PageNumber"/>
        <w:noProof/>
        <w:sz w:val="16"/>
        <w:szCs w:val="16"/>
      </w:rPr>
      <w:t>107</w:t>
    </w:r>
    <w:r w:rsidRPr="00107826">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B93" w:rsidRPr="00376976" w:rsidRDefault="00454B93" w:rsidP="00B661B3">
    <w:pPr>
      <w:pStyle w:val="HeaderEven"/>
    </w:pPr>
  </w:p>
  <w:p w:rsidR="00454B93" w:rsidRPr="00D207C9" w:rsidRDefault="00454B93" w:rsidP="00AD14D1">
    <w:pPr>
      <w:pBdr>
        <w:top w:val="single" w:sz="4" w:space="1" w:color="auto"/>
      </w:pBdr>
      <w:tabs>
        <w:tab w:val="left" w:pos="567"/>
        <w:tab w:val="left" w:pos="1134"/>
        <w:tab w:val="left" w:pos="1701"/>
        <w:tab w:val="left" w:pos="2580"/>
        <w:tab w:val="left" w:pos="3402"/>
      </w:tabs>
      <w:spacing w:after="0"/>
      <w:rPr>
        <w:rStyle w:val="PageNumber"/>
        <w:color w:val="335876"/>
        <w:sz w:val="16"/>
        <w:szCs w:val="16"/>
      </w:rPr>
    </w:pPr>
    <w:r w:rsidRPr="00D207C9">
      <w:rPr>
        <w:color w:val="335876"/>
        <w:sz w:val="16"/>
        <w:szCs w:val="16"/>
      </w:rPr>
      <w:t xml:space="preserve">Version </w:t>
    </w:r>
    <w:r w:rsidR="00A158FB">
      <w:rPr>
        <w:sz w:val="16"/>
        <w:szCs w:val="16"/>
      </w:rPr>
      <w:t>2.0</w:t>
    </w:r>
    <w:r w:rsidRPr="00D207C9">
      <w:rPr>
        <w:color w:val="335876"/>
        <w:sz w:val="16"/>
        <w:szCs w:val="16"/>
      </w:rPr>
      <w:tab/>
      <w:t xml:space="preserve">  </w:t>
    </w:r>
    <w:r w:rsidRPr="00D207C9">
      <w:rPr>
        <w:color w:val="335876"/>
        <w:sz w:val="16"/>
        <w:szCs w:val="16"/>
      </w:rPr>
      <w:tab/>
    </w:r>
    <w:r w:rsidRPr="00D207C9">
      <w:rPr>
        <w:color w:val="335876"/>
        <w:sz w:val="16"/>
        <w:szCs w:val="16"/>
      </w:rPr>
      <w:tab/>
    </w:r>
    <w:r w:rsidRPr="00D207C9">
      <w:rPr>
        <w:color w:val="335876"/>
        <w:sz w:val="16"/>
        <w:szCs w:val="16"/>
      </w:rPr>
      <w:tab/>
    </w:r>
    <w:r w:rsidRPr="00D207C9">
      <w:rPr>
        <w:color w:val="335876"/>
        <w:sz w:val="16"/>
        <w:szCs w:val="16"/>
      </w:rPr>
      <w:tab/>
    </w:r>
    <w:r w:rsidRPr="00D207C9">
      <w:rPr>
        <w:color w:val="335876"/>
        <w:sz w:val="16"/>
        <w:szCs w:val="16"/>
      </w:rPr>
      <w:tab/>
    </w:r>
    <w:r w:rsidRPr="00D207C9">
      <w:rPr>
        <w:color w:val="335876"/>
        <w:sz w:val="16"/>
        <w:szCs w:val="16"/>
      </w:rPr>
      <w:tab/>
      <w:t xml:space="preserve">     </w:t>
    </w:r>
    <w:r w:rsidRPr="00D207C9">
      <w:rPr>
        <w:color w:val="335876"/>
        <w:sz w:val="16"/>
        <w:szCs w:val="16"/>
      </w:rPr>
      <w:tab/>
    </w:r>
    <w:r w:rsidRPr="00D207C9">
      <w:rPr>
        <w:color w:val="335876"/>
        <w:sz w:val="16"/>
        <w:szCs w:val="16"/>
      </w:rPr>
      <w:tab/>
    </w:r>
    <w:r w:rsidRPr="00D207C9">
      <w:rPr>
        <w:color w:val="335876"/>
        <w:sz w:val="16"/>
        <w:szCs w:val="16"/>
      </w:rPr>
      <w:tab/>
      <w:t xml:space="preserve">                   Page </w:t>
    </w:r>
    <w:r w:rsidRPr="00D207C9">
      <w:rPr>
        <w:rStyle w:val="PageNumber"/>
        <w:sz w:val="16"/>
        <w:szCs w:val="16"/>
      </w:rPr>
      <w:fldChar w:fldCharType="begin"/>
    </w:r>
    <w:r w:rsidRPr="00D207C9">
      <w:rPr>
        <w:rStyle w:val="PageNumber"/>
        <w:sz w:val="16"/>
        <w:szCs w:val="16"/>
      </w:rPr>
      <w:instrText xml:space="preserve"> PAGE </w:instrText>
    </w:r>
    <w:r w:rsidRPr="00D207C9">
      <w:rPr>
        <w:rStyle w:val="PageNumber"/>
        <w:sz w:val="16"/>
        <w:szCs w:val="16"/>
      </w:rPr>
      <w:fldChar w:fldCharType="separate"/>
    </w:r>
    <w:r w:rsidR="00FD40F1">
      <w:rPr>
        <w:rStyle w:val="PageNumber"/>
        <w:noProof/>
        <w:sz w:val="16"/>
        <w:szCs w:val="16"/>
      </w:rPr>
      <w:t>104</w:t>
    </w:r>
    <w:r w:rsidRPr="00D207C9">
      <w:rPr>
        <w:rStyle w:val="PageNumber"/>
        <w:sz w:val="16"/>
        <w:szCs w:val="16"/>
      </w:rPr>
      <w:fldChar w:fldCharType="end"/>
    </w:r>
    <w:r w:rsidRPr="00D207C9">
      <w:rPr>
        <w:rStyle w:val="PageNumber"/>
        <w:sz w:val="16"/>
        <w:szCs w:val="16"/>
      </w:rPr>
      <w:t xml:space="preserve"> of </w:t>
    </w:r>
    <w:r w:rsidRPr="00D207C9">
      <w:rPr>
        <w:rStyle w:val="PageNumber"/>
        <w:sz w:val="16"/>
        <w:szCs w:val="16"/>
      </w:rPr>
      <w:fldChar w:fldCharType="begin"/>
    </w:r>
    <w:r w:rsidRPr="00D207C9">
      <w:rPr>
        <w:rStyle w:val="PageNumber"/>
        <w:sz w:val="16"/>
        <w:szCs w:val="16"/>
      </w:rPr>
      <w:instrText xml:space="preserve"> NUMPAGES   \* MERGEFORMAT </w:instrText>
    </w:r>
    <w:r w:rsidRPr="00D207C9">
      <w:rPr>
        <w:rStyle w:val="PageNumber"/>
        <w:sz w:val="16"/>
        <w:szCs w:val="16"/>
      </w:rPr>
      <w:fldChar w:fldCharType="separate"/>
    </w:r>
    <w:r w:rsidR="00FD40F1">
      <w:rPr>
        <w:rStyle w:val="PageNumber"/>
        <w:noProof/>
        <w:sz w:val="16"/>
        <w:szCs w:val="16"/>
      </w:rPr>
      <w:t>107</w:t>
    </w:r>
    <w:r w:rsidRPr="00D207C9">
      <w:rPr>
        <w:rStyle w:val="PageNumbe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B93" w:rsidRPr="00D207C9" w:rsidRDefault="00454B93" w:rsidP="00124DDE">
    <w:pPr>
      <w:pBdr>
        <w:top w:val="single" w:sz="4" w:space="1" w:color="auto"/>
      </w:pBdr>
      <w:tabs>
        <w:tab w:val="left" w:pos="567"/>
        <w:tab w:val="left" w:pos="1134"/>
        <w:tab w:val="left" w:pos="1701"/>
        <w:tab w:val="left" w:pos="2580"/>
        <w:tab w:val="left" w:pos="3402"/>
      </w:tabs>
      <w:spacing w:after="0"/>
      <w:rPr>
        <w:rStyle w:val="PageNumber"/>
        <w:color w:val="335876"/>
        <w:sz w:val="16"/>
        <w:szCs w:val="16"/>
      </w:rPr>
    </w:pPr>
    <w:r w:rsidRPr="00D207C9">
      <w:rPr>
        <w:color w:val="335876"/>
        <w:sz w:val="16"/>
        <w:szCs w:val="16"/>
      </w:rPr>
      <w:t xml:space="preserve">Version </w:t>
    </w:r>
    <w:r w:rsidR="00A158FB">
      <w:rPr>
        <w:sz w:val="16"/>
        <w:szCs w:val="16"/>
      </w:rPr>
      <w:t>2.0</w:t>
    </w:r>
    <w:r w:rsidRPr="00D207C9">
      <w:rPr>
        <w:color w:val="335876"/>
        <w:sz w:val="16"/>
        <w:szCs w:val="16"/>
      </w:rPr>
      <w:tab/>
      <w:t xml:space="preserve">  </w:t>
    </w:r>
    <w:r w:rsidRPr="00D207C9">
      <w:rPr>
        <w:color w:val="335876"/>
        <w:sz w:val="16"/>
        <w:szCs w:val="16"/>
      </w:rPr>
      <w:tab/>
    </w:r>
    <w:r w:rsidRPr="00D207C9">
      <w:rPr>
        <w:color w:val="335876"/>
        <w:sz w:val="16"/>
        <w:szCs w:val="16"/>
      </w:rPr>
      <w:tab/>
    </w:r>
    <w:r w:rsidRPr="00D207C9">
      <w:rPr>
        <w:color w:val="335876"/>
        <w:sz w:val="16"/>
        <w:szCs w:val="16"/>
      </w:rPr>
      <w:tab/>
    </w:r>
    <w:r w:rsidRPr="00D207C9">
      <w:rPr>
        <w:color w:val="335876"/>
        <w:sz w:val="16"/>
        <w:szCs w:val="16"/>
      </w:rPr>
      <w:tab/>
    </w:r>
    <w:r w:rsidRPr="00D207C9">
      <w:rPr>
        <w:color w:val="335876"/>
        <w:sz w:val="16"/>
        <w:szCs w:val="16"/>
      </w:rPr>
      <w:tab/>
    </w:r>
    <w:r w:rsidRPr="00D207C9">
      <w:rPr>
        <w:color w:val="335876"/>
        <w:sz w:val="16"/>
        <w:szCs w:val="16"/>
      </w:rPr>
      <w:tab/>
      <w:t xml:space="preserve">     </w:t>
    </w:r>
    <w:r w:rsidRPr="00D207C9">
      <w:rPr>
        <w:color w:val="335876"/>
        <w:sz w:val="16"/>
        <w:szCs w:val="16"/>
      </w:rPr>
      <w:tab/>
    </w:r>
    <w:r w:rsidRPr="00D207C9">
      <w:rPr>
        <w:color w:val="335876"/>
        <w:sz w:val="16"/>
        <w:szCs w:val="16"/>
      </w:rPr>
      <w:tab/>
    </w:r>
    <w:r w:rsidRPr="00D207C9">
      <w:rPr>
        <w:color w:val="335876"/>
        <w:sz w:val="16"/>
        <w:szCs w:val="16"/>
      </w:rPr>
      <w:tab/>
      <w:t xml:space="preserve">                   Page </w:t>
    </w:r>
    <w:r w:rsidRPr="00D207C9">
      <w:rPr>
        <w:rStyle w:val="PageNumber"/>
        <w:sz w:val="16"/>
        <w:szCs w:val="16"/>
      </w:rPr>
      <w:fldChar w:fldCharType="begin"/>
    </w:r>
    <w:r w:rsidRPr="00D207C9">
      <w:rPr>
        <w:rStyle w:val="PageNumber"/>
        <w:sz w:val="16"/>
        <w:szCs w:val="16"/>
      </w:rPr>
      <w:instrText xml:space="preserve"> PAGE </w:instrText>
    </w:r>
    <w:r w:rsidRPr="00D207C9">
      <w:rPr>
        <w:rStyle w:val="PageNumber"/>
        <w:sz w:val="16"/>
        <w:szCs w:val="16"/>
      </w:rPr>
      <w:fldChar w:fldCharType="separate"/>
    </w:r>
    <w:r w:rsidR="00FD40F1">
      <w:rPr>
        <w:rStyle w:val="PageNumber"/>
        <w:noProof/>
        <w:sz w:val="16"/>
        <w:szCs w:val="16"/>
      </w:rPr>
      <w:t>106</w:t>
    </w:r>
    <w:r w:rsidRPr="00D207C9">
      <w:rPr>
        <w:rStyle w:val="PageNumber"/>
        <w:sz w:val="16"/>
        <w:szCs w:val="16"/>
      </w:rPr>
      <w:fldChar w:fldCharType="end"/>
    </w:r>
    <w:r w:rsidRPr="00D207C9">
      <w:rPr>
        <w:rStyle w:val="PageNumber"/>
        <w:sz w:val="16"/>
        <w:szCs w:val="16"/>
      </w:rPr>
      <w:t xml:space="preserve"> of </w:t>
    </w:r>
    <w:r w:rsidRPr="00D207C9">
      <w:rPr>
        <w:rStyle w:val="PageNumber"/>
        <w:sz w:val="16"/>
        <w:szCs w:val="16"/>
      </w:rPr>
      <w:fldChar w:fldCharType="begin"/>
    </w:r>
    <w:r w:rsidRPr="00D207C9">
      <w:rPr>
        <w:rStyle w:val="PageNumber"/>
        <w:sz w:val="16"/>
        <w:szCs w:val="16"/>
      </w:rPr>
      <w:instrText xml:space="preserve"> NUMPAGES   \* MERGEFORMAT </w:instrText>
    </w:r>
    <w:r w:rsidRPr="00D207C9">
      <w:rPr>
        <w:rStyle w:val="PageNumber"/>
        <w:sz w:val="16"/>
        <w:szCs w:val="16"/>
      </w:rPr>
      <w:fldChar w:fldCharType="separate"/>
    </w:r>
    <w:r w:rsidR="00FD40F1">
      <w:rPr>
        <w:rStyle w:val="PageNumber"/>
        <w:noProof/>
        <w:sz w:val="16"/>
        <w:szCs w:val="16"/>
      </w:rPr>
      <w:t>107</w:t>
    </w:r>
    <w:r w:rsidRPr="00D207C9">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B93" w:rsidRDefault="00454B93" w:rsidP="00856708">
      <w:pPr>
        <w:spacing w:after="0"/>
      </w:pPr>
      <w:r>
        <w:separator/>
      </w:r>
    </w:p>
  </w:footnote>
  <w:footnote w:type="continuationSeparator" w:id="0">
    <w:p w:rsidR="00454B93" w:rsidRDefault="00454B93" w:rsidP="00856708">
      <w:pPr>
        <w:spacing w:after="0"/>
      </w:pPr>
      <w:r>
        <w:continuationSeparator/>
      </w:r>
    </w:p>
  </w:footnote>
  <w:footnote w:id="1">
    <w:p w:rsidR="00454B93" w:rsidRDefault="00454B93">
      <w:pPr>
        <w:pStyle w:val="FootnoteText"/>
      </w:pPr>
      <w:r>
        <w:rPr>
          <w:rStyle w:val="FootnoteReference"/>
        </w:rPr>
        <w:footnoteRef/>
      </w:r>
      <w:r>
        <w:t xml:space="preserve"> Australian Privacy Principles (</w:t>
      </w:r>
      <w:proofErr w:type="spellStart"/>
      <w:r>
        <w:t>APPs</w:t>
      </w:r>
      <w:proofErr w:type="spellEnd"/>
      <w:r>
        <w:t xml:space="preserve">), schedule 1 </w:t>
      </w:r>
      <w:r w:rsidRPr="00EB23BD">
        <w:rPr>
          <w:i/>
        </w:rPr>
        <w:t>Privacy Act 1988</w:t>
      </w:r>
      <w:r>
        <w:t xml:space="preserve"> (the Privacy Act). </w:t>
      </w:r>
      <w:hyperlink r:id="rId1" w:history="1">
        <w:r w:rsidRPr="003D2230">
          <w:rPr>
            <w:rStyle w:val="Hyperlink"/>
          </w:rPr>
          <w:t>http://www.oaic.gov.au/privacy/privacy-act/australian-privacy-principles</w:t>
        </w:r>
      </w:hyperlink>
    </w:p>
  </w:footnote>
  <w:footnote w:id="2">
    <w:p w:rsidR="00454B93" w:rsidRDefault="00454B93">
      <w:pPr>
        <w:pStyle w:val="FootnoteText"/>
      </w:pPr>
      <w:r>
        <w:rPr>
          <w:rStyle w:val="FootnoteReference"/>
        </w:rPr>
        <w:footnoteRef/>
      </w:r>
      <w:r>
        <w:t xml:space="preserve"> </w:t>
      </w:r>
      <w:hyperlink r:id="rId2" w:history="1">
        <w:r w:rsidRPr="006B4D68">
          <w:rPr>
            <w:rStyle w:val="Hyperlink"/>
            <w:rFonts w:asciiTheme="minorHAnsi" w:hAnsiTheme="minorHAnsi" w:cstheme="minorHAnsi"/>
            <w:i/>
            <w:sz w:val="22"/>
            <w:szCs w:val="22"/>
          </w:rPr>
          <w:t>National Blood Authority Act 2003 (</w:t>
        </w:r>
        <w:proofErr w:type="spellStart"/>
        <w:r w:rsidRPr="006B4D68">
          <w:rPr>
            <w:rStyle w:val="Hyperlink"/>
            <w:rFonts w:asciiTheme="minorHAnsi" w:hAnsiTheme="minorHAnsi" w:cstheme="minorHAnsi"/>
            <w:i/>
            <w:sz w:val="22"/>
            <w:szCs w:val="22"/>
          </w:rPr>
          <w:t>Cth</w:t>
        </w:r>
        <w:proofErr w:type="spellEnd"/>
        <w:r w:rsidRPr="006B4D68">
          <w:rPr>
            <w:rStyle w:val="Hyperlink"/>
            <w:rFonts w:asciiTheme="minorHAnsi" w:hAnsiTheme="minorHAnsi" w:cstheme="minorHAnsi"/>
            <w:i/>
            <w:sz w:val="22"/>
            <w:szCs w:val="22"/>
          </w:rPr>
          <w:t>)</w:t>
        </w:r>
      </w:hyperlink>
      <w:r>
        <w:rPr>
          <w:rFonts w:asciiTheme="minorHAnsi" w:hAnsiTheme="minorHAnsi" w:cstheme="minorHAnsi"/>
          <w:sz w:val="22"/>
          <w:szCs w:val="22"/>
        </w:rPr>
        <w:t xml:space="preserve"> and </w:t>
      </w:r>
      <w:hyperlink r:id="rId3" w:history="1">
        <w:r w:rsidRPr="006B4D68">
          <w:rPr>
            <w:rStyle w:val="Hyperlink"/>
            <w:rFonts w:asciiTheme="minorHAnsi" w:hAnsiTheme="minorHAnsi" w:cstheme="minorHAnsi"/>
            <w:sz w:val="22"/>
            <w:szCs w:val="22"/>
          </w:rPr>
          <w:t>National Blood Agreement</w:t>
        </w:r>
      </w:hyperlink>
    </w:p>
  </w:footnote>
  <w:footnote w:id="3">
    <w:p w:rsidR="00454B93" w:rsidRDefault="00454B93">
      <w:pPr>
        <w:pStyle w:val="FootnoteText"/>
      </w:pPr>
      <w:r>
        <w:rPr>
          <w:rStyle w:val="FootnoteReference"/>
        </w:rPr>
        <w:footnoteRef/>
      </w:r>
      <w:r>
        <w:t xml:space="preserve"> </w:t>
      </w:r>
      <w:hyperlink r:id="rId4" w:history="1">
        <w:r w:rsidRPr="006B4D68">
          <w:rPr>
            <w:rStyle w:val="Hyperlink"/>
            <w:rFonts w:asciiTheme="minorHAnsi" w:hAnsiTheme="minorHAnsi" w:cstheme="minorHAnsi"/>
            <w:sz w:val="22"/>
            <w:szCs w:val="22"/>
          </w:rPr>
          <w:t>National Blood Agreement</w:t>
        </w:r>
      </w:hyperlink>
    </w:p>
  </w:footnote>
  <w:footnote w:id="4">
    <w:p w:rsidR="00454B93" w:rsidRDefault="00454B93">
      <w:pPr>
        <w:pStyle w:val="FootnoteText"/>
      </w:pPr>
      <w:r>
        <w:rPr>
          <w:rStyle w:val="FootnoteReference"/>
        </w:rPr>
        <w:footnoteRef/>
      </w:r>
      <w:r>
        <w:t xml:space="preserve"> Historically the Blood Service reports on product issues; however when </w:t>
      </w:r>
      <w:proofErr w:type="spellStart"/>
      <w:r>
        <w:t>BloodSTAR</w:t>
      </w:r>
      <w:proofErr w:type="spellEnd"/>
      <w:r>
        <w:t xml:space="preserve"> is implemented, reporting capability will be available across the roles involved in the management of authorised patients, including Authorisation, Dispense Requests, Orders, Dispense Events and Infusions.</w:t>
      </w:r>
    </w:p>
  </w:footnote>
  <w:footnote w:id="5">
    <w:p w:rsidR="00454B93" w:rsidRDefault="00454B93">
      <w:pPr>
        <w:pStyle w:val="FootnoteText"/>
      </w:pPr>
      <w:r>
        <w:rPr>
          <w:rStyle w:val="FootnoteReference"/>
        </w:rPr>
        <w:footnoteRef/>
      </w:r>
      <w:r>
        <w:t xml:space="preserve"> </w:t>
      </w:r>
      <w:r>
        <w:rPr>
          <w:color w:val="050505"/>
          <w:sz w:val="18"/>
          <w:szCs w:val="18"/>
          <w:lang w:val="en-GB"/>
        </w:rPr>
        <w:t xml:space="preserve">Generally, 'disclosure' means releasing the personal information you have collected to another agency, body or organisation (this does not include the individual the information is about).  However in the context of </w:t>
      </w:r>
      <w:proofErr w:type="spellStart"/>
      <w:r>
        <w:rPr>
          <w:color w:val="050505"/>
          <w:sz w:val="18"/>
          <w:szCs w:val="18"/>
          <w:lang w:val="en-GB"/>
        </w:rPr>
        <w:t>BloodSTAR</w:t>
      </w:r>
      <w:proofErr w:type="spellEnd"/>
      <w:r>
        <w:rPr>
          <w:color w:val="050505"/>
          <w:sz w:val="18"/>
          <w:szCs w:val="18"/>
          <w:lang w:val="en-GB"/>
        </w:rPr>
        <w:t>, personal and sensitive information is not disclosed beyond the users of the system.</w:t>
      </w:r>
    </w:p>
  </w:footnote>
  <w:footnote w:id="6">
    <w:p w:rsidR="00454B93" w:rsidRDefault="00454B93" w:rsidP="00286A78">
      <w:pPr>
        <w:pStyle w:val="FootnoteText"/>
      </w:pPr>
      <w:r>
        <w:rPr>
          <w:rStyle w:val="FootnoteReference"/>
        </w:rPr>
        <w:footnoteRef/>
      </w:r>
      <w:r>
        <w:t xml:space="preserve"> </w:t>
      </w:r>
      <w:hyperlink r:id="rId5" w:history="1">
        <w:proofErr w:type="gramStart"/>
        <w:r w:rsidRPr="00286A78">
          <w:rPr>
            <w:rStyle w:val="Hyperlink"/>
          </w:rPr>
          <w:t>National Archives of Australia Administrative Functions</w:t>
        </w:r>
      </w:hyperlink>
      <w:r>
        <w:t xml:space="preserve"> Disposal Authority w</w:t>
      </w:r>
      <w:r>
        <w:rPr>
          <w:rStyle w:val="A16"/>
        </w:rPr>
        <w:t>ww.naa.gov.au/records-management/agency/keep-destroy-transfer/agency-ra/index.aspx</w:t>
      </w:r>
      <w:r>
        <w:rPr>
          <w:color w:val="000000"/>
          <w:sz w:val="18"/>
          <w:szCs w:val="18"/>
        </w:rPr>
        <w:t>.</w:t>
      </w:r>
      <w:proofErr w:type="gramEnd"/>
    </w:p>
  </w:footnote>
  <w:footnote w:id="7">
    <w:p w:rsidR="00454B93" w:rsidRPr="00B03C82" w:rsidRDefault="00454B93" w:rsidP="00B55624">
      <w:pPr>
        <w:pStyle w:val="FootnoteText"/>
        <w:rPr>
          <w:sz w:val="16"/>
          <w:szCs w:val="16"/>
        </w:rPr>
      </w:pPr>
      <w:r w:rsidRPr="00B03C82">
        <w:rPr>
          <w:rStyle w:val="FootnoteReference"/>
          <w:sz w:val="16"/>
          <w:szCs w:val="16"/>
        </w:rPr>
        <w:footnoteRef/>
      </w:r>
      <w:r w:rsidRPr="00B03C82">
        <w:rPr>
          <w:sz w:val="16"/>
          <w:szCs w:val="16"/>
        </w:rPr>
        <w:t xml:space="preserve"> National Blood Authority, </w:t>
      </w:r>
      <w:hyperlink r:id="rId6" w:history="1">
        <w:r w:rsidRPr="00B03C82">
          <w:rPr>
            <w:rStyle w:val="Hyperlink"/>
            <w:i/>
            <w:sz w:val="16"/>
            <w:szCs w:val="16"/>
          </w:rPr>
          <w:t>Immunoglobulin Governance National Policy:  Access to Government Funded Immunoglobulin Products in Australia</w:t>
        </w:r>
      </w:hyperlink>
      <w:r w:rsidRPr="00B03C82">
        <w:rPr>
          <w:rStyle w:val="Hyperlink"/>
          <w:i/>
          <w:sz w:val="16"/>
          <w:szCs w:val="16"/>
        </w:rPr>
        <w:t xml:space="preserve">, </w:t>
      </w:r>
      <w:r w:rsidRPr="00B03C82">
        <w:rPr>
          <w:rStyle w:val="Hyperlink"/>
          <w:sz w:val="16"/>
          <w:szCs w:val="16"/>
        </w:rPr>
        <w:t xml:space="preserve">November 2014, </w:t>
      </w:r>
      <w:r>
        <w:rPr>
          <w:rStyle w:val="Hyperlink"/>
        </w:rPr>
        <w:t>(</w:t>
      </w:r>
      <w:r w:rsidRPr="00B03C82">
        <w:rPr>
          <w:rStyle w:val="Hyperlink"/>
          <w:sz w:val="16"/>
          <w:szCs w:val="16"/>
        </w:rPr>
        <w:t>www.blood.gov.au/Ig-program</w:t>
      </w:r>
      <w:r>
        <w:rPr>
          <w:rStyle w:val="Hyperlink"/>
        </w:rPr>
        <w:t>)</w:t>
      </w:r>
    </w:p>
  </w:footnote>
  <w:footnote w:id="8">
    <w:p w:rsidR="00454B93" w:rsidRDefault="00454B93" w:rsidP="00817CDC">
      <w:pPr>
        <w:pStyle w:val="FootnoteText"/>
      </w:pPr>
      <w:r>
        <w:rPr>
          <w:rStyle w:val="FootnoteReference"/>
        </w:rPr>
        <w:footnoteRef/>
      </w:r>
      <w:r>
        <w:t xml:space="preserve"> Note that this may include forms, communication aids, and implementation protocols for hospitals and associated governance materials.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B93" w:rsidRPr="00124DDE" w:rsidRDefault="00454B93" w:rsidP="0098507E">
    <w:pPr>
      <w:pStyle w:val="HeaderEven"/>
      <w:tabs>
        <w:tab w:val="clear" w:pos="9070"/>
      </w:tabs>
      <w:rPr>
        <w:rFonts w:asciiTheme="minorHAnsi" w:hAnsiTheme="minorHAnsi" w:cstheme="minorHAnsi"/>
      </w:rPr>
    </w:pPr>
    <w:r>
      <w:rPr>
        <w:rFonts w:asciiTheme="minorHAnsi" w:hAnsiTheme="minorHAnsi" w:cstheme="minorHAnsi"/>
      </w:rPr>
      <w:t xml:space="preserve">Ig Governance and Ig System – </w:t>
    </w:r>
    <w:proofErr w:type="spellStart"/>
    <w:r>
      <w:rPr>
        <w:rFonts w:asciiTheme="minorHAnsi" w:hAnsiTheme="minorHAnsi" w:cstheme="minorHAnsi"/>
      </w:rPr>
      <w:t>BloodSTAR</w:t>
    </w:r>
    <w:proofErr w:type="spellEnd"/>
    <w:r>
      <w:rPr>
        <w:rFonts w:asciiTheme="minorHAnsi" w:hAnsiTheme="minorHAnsi" w:cstheme="minorHAnsi"/>
      </w:rPr>
      <w:t xml:space="preserve"> – Privacy Impact Assessment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332B864"/>
    <w:lvl w:ilvl="0">
      <w:start w:val="1"/>
      <w:numFmt w:val="decimal"/>
      <w:lvlText w:val="%1."/>
      <w:lvlJc w:val="left"/>
      <w:pPr>
        <w:tabs>
          <w:tab w:val="num" w:pos="360"/>
        </w:tabs>
        <w:ind w:left="360" w:hanging="360"/>
      </w:pPr>
    </w:lvl>
  </w:abstractNum>
  <w:abstractNum w:abstractNumId="1">
    <w:nsid w:val="01BD5B7A"/>
    <w:multiLevelType w:val="hybridMultilevel"/>
    <w:tmpl w:val="3C1EAB3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2B2470"/>
    <w:multiLevelType w:val="hybridMultilevel"/>
    <w:tmpl w:val="0D9C60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023D49"/>
    <w:multiLevelType w:val="hybridMultilevel"/>
    <w:tmpl w:val="1CC0414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5663F9E"/>
    <w:multiLevelType w:val="hybridMultilevel"/>
    <w:tmpl w:val="A0487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6D5554A"/>
    <w:multiLevelType w:val="hybridMultilevel"/>
    <w:tmpl w:val="88246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321B5C"/>
    <w:multiLevelType w:val="hybridMultilevel"/>
    <w:tmpl w:val="791202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0E016359"/>
    <w:multiLevelType w:val="hybridMultilevel"/>
    <w:tmpl w:val="15FCD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11B67FA"/>
    <w:multiLevelType w:val="hybridMultilevel"/>
    <w:tmpl w:val="5AF28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336A7E"/>
    <w:multiLevelType w:val="hybridMultilevel"/>
    <w:tmpl w:val="8CE243C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5ED656D"/>
    <w:multiLevelType w:val="multilevel"/>
    <w:tmpl w:val="1624C53C"/>
    <w:lvl w:ilvl="0">
      <w:start w:val="1"/>
      <w:numFmt w:val="decimal"/>
      <w:pStyle w:val="ListNumber"/>
      <w:lvlText w:val="%1"/>
      <w:lvlJc w:val="left"/>
      <w:pPr>
        <w:tabs>
          <w:tab w:val="num" w:pos="432"/>
        </w:tabs>
        <w:ind w:left="432" w:hanging="432"/>
      </w:pPr>
      <w:rPr>
        <w:rFonts w:cs="Times New Roman" w:hint="default"/>
      </w:rPr>
    </w:lvl>
    <w:lvl w:ilvl="1">
      <w:start w:val="1"/>
      <w:numFmt w:val="bullet"/>
      <w:lvlText w:val=""/>
      <w:lvlJc w:val="left"/>
      <w:pPr>
        <w:tabs>
          <w:tab w:val="num" w:pos="576"/>
        </w:tabs>
        <w:ind w:left="576" w:hanging="576"/>
      </w:pPr>
      <w:rPr>
        <w:rFonts w:ascii="Symbol" w:hAnsi="Symbol"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173F6FBD"/>
    <w:multiLevelType w:val="hybridMultilevel"/>
    <w:tmpl w:val="461E7B42"/>
    <w:lvl w:ilvl="0" w:tplc="0C090001">
      <w:start w:val="1"/>
      <w:numFmt w:val="bullet"/>
      <w:lvlText w:val=""/>
      <w:lvlJc w:val="left"/>
      <w:pPr>
        <w:ind w:left="720" w:hanging="360"/>
      </w:pPr>
      <w:rPr>
        <w:rFonts w:ascii="Symbol" w:hAnsi="Symbol" w:hint="default"/>
      </w:rPr>
    </w:lvl>
    <w:lvl w:ilvl="1" w:tplc="2EEEB386">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455539"/>
    <w:multiLevelType w:val="hybridMultilevel"/>
    <w:tmpl w:val="89889F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C397C71"/>
    <w:multiLevelType w:val="hybridMultilevel"/>
    <w:tmpl w:val="936066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D8B17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E636A0F"/>
    <w:multiLevelType w:val="hybridMultilevel"/>
    <w:tmpl w:val="3B78FE72"/>
    <w:lvl w:ilvl="0" w:tplc="F146A190">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1EBB1707"/>
    <w:multiLevelType w:val="hybridMultilevel"/>
    <w:tmpl w:val="3884AF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22474338"/>
    <w:multiLevelType w:val="hybridMultilevel"/>
    <w:tmpl w:val="1E32BDE6"/>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start w:val="1"/>
      <w:numFmt w:val="bullet"/>
      <w:lvlText w:val=""/>
      <w:lvlJc w:val="left"/>
      <w:pPr>
        <w:ind w:left="2206" w:hanging="360"/>
      </w:pPr>
      <w:rPr>
        <w:rFonts w:ascii="Wingdings" w:hAnsi="Wingdings" w:hint="default"/>
      </w:rPr>
    </w:lvl>
    <w:lvl w:ilvl="3" w:tplc="0C090001">
      <w:start w:val="1"/>
      <w:numFmt w:val="bullet"/>
      <w:lvlText w:val=""/>
      <w:lvlJc w:val="left"/>
      <w:pPr>
        <w:ind w:left="2926" w:hanging="360"/>
      </w:pPr>
      <w:rPr>
        <w:rFonts w:ascii="Symbol" w:hAnsi="Symbol" w:hint="default"/>
      </w:rPr>
    </w:lvl>
    <w:lvl w:ilvl="4" w:tplc="0C090003">
      <w:start w:val="1"/>
      <w:numFmt w:val="bullet"/>
      <w:lvlText w:val="o"/>
      <w:lvlJc w:val="left"/>
      <w:pPr>
        <w:ind w:left="3646" w:hanging="360"/>
      </w:pPr>
      <w:rPr>
        <w:rFonts w:ascii="Courier New" w:hAnsi="Courier New" w:cs="Courier New" w:hint="default"/>
      </w:rPr>
    </w:lvl>
    <w:lvl w:ilvl="5" w:tplc="0C090005">
      <w:start w:val="1"/>
      <w:numFmt w:val="bullet"/>
      <w:lvlText w:val=""/>
      <w:lvlJc w:val="left"/>
      <w:pPr>
        <w:ind w:left="4366" w:hanging="360"/>
      </w:pPr>
      <w:rPr>
        <w:rFonts w:ascii="Wingdings" w:hAnsi="Wingdings" w:hint="default"/>
      </w:rPr>
    </w:lvl>
    <w:lvl w:ilvl="6" w:tplc="0C090001">
      <w:start w:val="1"/>
      <w:numFmt w:val="bullet"/>
      <w:lvlText w:val=""/>
      <w:lvlJc w:val="left"/>
      <w:pPr>
        <w:ind w:left="5086" w:hanging="360"/>
      </w:pPr>
      <w:rPr>
        <w:rFonts w:ascii="Symbol" w:hAnsi="Symbol" w:hint="default"/>
      </w:rPr>
    </w:lvl>
    <w:lvl w:ilvl="7" w:tplc="0C090003">
      <w:start w:val="1"/>
      <w:numFmt w:val="bullet"/>
      <w:lvlText w:val="o"/>
      <w:lvlJc w:val="left"/>
      <w:pPr>
        <w:ind w:left="5806" w:hanging="360"/>
      </w:pPr>
      <w:rPr>
        <w:rFonts w:ascii="Courier New" w:hAnsi="Courier New" w:cs="Courier New" w:hint="default"/>
      </w:rPr>
    </w:lvl>
    <w:lvl w:ilvl="8" w:tplc="0C090005">
      <w:start w:val="1"/>
      <w:numFmt w:val="bullet"/>
      <w:lvlText w:val=""/>
      <w:lvlJc w:val="left"/>
      <w:pPr>
        <w:ind w:left="6526" w:hanging="360"/>
      </w:pPr>
      <w:rPr>
        <w:rFonts w:ascii="Wingdings" w:hAnsi="Wingdings" w:hint="default"/>
      </w:rPr>
    </w:lvl>
  </w:abstractNum>
  <w:abstractNum w:abstractNumId="18">
    <w:nsid w:val="22FC67B6"/>
    <w:multiLevelType w:val="hybridMultilevel"/>
    <w:tmpl w:val="0F045C86"/>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29986E6D"/>
    <w:multiLevelType w:val="hybridMultilevel"/>
    <w:tmpl w:val="405C546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B0D5D97"/>
    <w:multiLevelType w:val="hybridMultilevel"/>
    <w:tmpl w:val="5E2AC6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2B620969"/>
    <w:multiLevelType w:val="hybridMultilevel"/>
    <w:tmpl w:val="4476E5A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2">
    <w:nsid w:val="2C131FE3"/>
    <w:multiLevelType w:val="hybridMultilevel"/>
    <w:tmpl w:val="174E6D6E"/>
    <w:styleLink w:val="Indents1"/>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2C2256BF"/>
    <w:multiLevelType w:val="hybridMultilevel"/>
    <w:tmpl w:val="9D845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2C573FF8"/>
    <w:multiLevelType w:val="hybridMultilevel"/>
    <w:tmpl w:val="7F382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FBC7153"/>
    <w:multiLevelType w:val="hybridMultilevel"/>
    <w:tmpl w:val="BFD047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300A241A"/>
    <w:multiLevelType w:val="hybridMultilevel"/>
    <w:tmpl w:val="9F46F138"/>
    <w:styleLink w:val="BulletList1"/>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335454F3"/>
    <w:multiLevelType w:val="hybridMultilevel"/>
    <w:tmpl w:val="5448C1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48D4B93"/>
    <w:multiLevelType w:val="hybridMultilevel"/>
    <w:tmpl w:val="F5AA3258"/>
    <w:lvl w:ilvl="0" w:tplc="0C090015">
      <w:start w:val="1"/>
      <w:numFmt w:val="upp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8BD6852"/>
    <w:multiLevelType w:val="hybridMultilevel"/>
    <w:tmpl w:val="D33C1F3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nsid w:val="3A0B6F4F"/>
    <w:multiLevelType w:val="hybridMultilevel"/>
    <w:tmpl w:val="359CF7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3E84167B"/>
    <w:multiLevelType w:val="hybridMultilevel"/>
    <w:tmpl w:val="FFDAD99C"/>
    <w:lvl w:ilvl="0" w:tplc="2E468802">
      <w:numFmt w:val="bullet"/>
      <w:pStyle w:val="ExtensionPoints"/>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FE74C14"/>
    <w:multiLevelType w:val="hybridMultilevel"/>
    <w:tmpl w:val="9E0007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7277961"/>
    <w:multiLevelType w:val="multilevel"/>
    <w:tmpl w:val="EB84E91C"/>
    <w:styleLink w:val="BulletPoint"/>
    <w:lvl w:ilvl="0">
      <w:start w:val="164"/>
      <w:numFmt w:val="bullet"/>
      <w:lvlText w:val=""/>
      <w:lvlJc w:val="left"/>
      <w:pPr>
        <w:tabs>
          <w:tab w:val="num" w:pos="1097"/>
        </w:tabs>
        <w:ind w:left="1097" w:hanging="360"/>
      </w:pPr>
      <w:rPr>
        <w:rFonts w:ascii="Webdings" w:hAnsi="Webdings"/>
        <w:sz w:val="18"/>
      </w:rPr>
    </w:lvl>
    <w:lvl w:ilvl="1">
      <w:start w:val="1"/>
      <w:numFmt w:val="bullet"/>
      <w:lvlText w:val="o"/>
      <w:lvlJc w:val="left"/>
      <w:pPr>
        <w:tabs>
          <w:tab w:val="num" w:pos="377"/>
        </w:tabs>
        <w:ind w:left="377" w:hanging="360"/>
      </w:pPr>
      <w:rPr>
        <w:rFonts w:ascii="Courier New" w:hAnsi="Courier New" w:hint="default"/>
      </w:rPr>
    </w:lvl>
    <w:lvl w:ilvl="2">
      <w:start w:val="1"/>
      <w:numFmt w:val="bullet"/>
      <w:lvlText w:val=""/>
      <w:lvlJc w:val="left"/>
      <w:pPr>
        <w:tabs>
          <w:tab w:val="num" w:pos="1097"/>
        </w:tabs>
        <w:ind w:left="1097" w:hanging="360"/>
      </w:pPr>
      <w:rPr>
        <w:rFonts w:ascii="Wingdings" w:hAnsi="Wingdings" w:hint="default"/>
      </w:rPr>
    </w:lvl>
    <w:lvl w:ilvl="3">
      <w:start w:val="1"/>
      <w:numFmt w:val="bullet"/>
      <w:lvlText w:val=""/>
      <w:lvlJc w:val="left"/>
      <w:pPr>
        <w:tabs>
          <w:tab w:val="num" w:pos="1817"/>
        </w:tabs>
        <w:ind w:left="1817" w:hanging="360"/>
      </w:pPr>
      <w:rPr>
        <w:rFonts w:ascii="Symbol" w:hAnsi="Symbol" w:hint="default"/>
      </w:rPr>
    </w:lvl>
    <w:lvl w:ilvl="4">
      <w:start w:val="1"/>
      <w:numFmt w:val="bullet"/>
      <w:lvlText w:val="o"/>
      <w:lvlJc w:val="left"/>
      <w:pPr>
        <w:tabs>
          <w:tab w:val="num" w:pos="2537"/>
        </w:tabs>
        <w:ind w:left="2537" w:hanging="360"/>
      </w:pPr>
      <w:rPr>
        <w:rFonts w:ascii="Courier New" w:hAnsi="Courier New" w:hint="default"/>
      </w:rPr>
    </w:lvl>
    <w:lvl w:ilvl="5">
      <w:start w:val="1"/>
      <w:numFmt w:val="bullet"/>
      <w:lvlText w:val=""/>
      <w:lvlJc w:val="left"/>
      <w:pPr>
        <w:tabs>
          <w:tab w:val="num" w:pos="3257"/>
        </w:tabs>
        <w:ind w:left="3257" w:hanging="360"/>
      </w:pPr>
      <w:rPr>
        <w:rFonts w:ascii="Wingdings" w:hAnsi="Wingdings" w:hint="default"/>
      </w:rPr>
    </w:lvl>
    <w:lvl w:ilvl="6">
      <w:start w:val="1"/>
      <w:numFmt w:val="bullet"/>
      <w:lvlText w:val=""/>
      <w:lvlJc w:val="left"/>
      <w:pPr>
        <w:tabs>
          <w:tab w:val="num" w:pos="3977"/>
        </w:tabs>
        <w:ind w:left="3977" w:hanging="360"/>
      </w:pPr>
      <w:rPr>
        <w:rFonts w:ascii="Symbol" w:hAnsi="Symbol" w:hint="default"/>
      </w:rPr>
    </w:lvl>
    <w:lvl w:ilvl="7">
      <w:start w:val="1"/>
      <w:numFmt w:val="bullet"/>
      <w:lvlText w:val="o"/>
      <w:lvlJc w:val="left"/>
      <w:pPr>
        <w:tabs>
          <w:tab w:val="num" w:pos="4697"/>
        </w:tabs>
        <w:ind w:left="4697" w:hanging="360"/>
      </w:pPr>
      <w:rPr>
        <w:rFonts w:ascii="Courier New" w:hAnsi="Courier New" w:hint="default"/>
      </w:rPr>
    </w:lvl>
    <w:lvl w:ilvl="8">
      <w:start w:val="1"/>
      <w:numFmt w:val="bullet"/>
      <w:lvlText w:val=""/>
      <w:lvlJc w:val="left"/>
      <w:pPr>
        <w:tabs>
          <w:tab w:val="num" w:pos="5417"/>
        </w:tabs>
        <w:ind w:left="5417" w:hanging="360"/>
      </w:pPr>
      <w:rPr>
        <w:rFonts w:ascii="Wingdings" w:hAnsi="Wingdings" w:hint="default"/>
      </w:rPr>
    </w:lvl>
  </w:abstractNum>
  <w:abstractNum w:abstractNumId="34">
    <w:nsid w:val="4B036E7E"/>
    <w:multiLevelType w:val="hybridMultilevel"/>
    <w:tmpl w:val="4476E5A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5">
    <w:nsid w:val="5A9146A3"/>
    <w:multiLevelType w:val="hybridMultilevel"/>
    <w:tmpl w:val="8704331C"/>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36">
    <w:nsid w:val="61FA7AB8"/>
    <w:multiLevelType w:val="hybridMultilevel"/>
    <w:tmpl w:val="6602B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3964464"/>
    <w:multiLevelType w:val="hybridMultilevel"/>
    <w:tmpl w:val="4476E5A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8">
    <w:nsid w:val="667016E4"/>
    <w:multiLevelType w:val="hybridMultilevel"/>
    <w:tmpl w:val="4476E5A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9">
    <w:nsid w:val="69610075"/>
    <w:multiLevelType w:val="hybridMultilevel"/>
    <w:tmpl w:val="8606278A"/>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40">
    <w:nsid w:val="6B765A19"/>
    <w:multiLevelType w:val="hybridMultilevel"/>
    <w:tmpl w:val="87344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CF12154"/>
    <w:multiLevelType w:val="hybridMultilevel"/>
    <w:tmpl w:val="A2204842"/>
    <w:lvl w:ilvl="0" w:tplc="0C090015">
      <w:start w:val="1"/>
      <w:numFmt w:val="upp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BA65897"/>
    <w:multiLevelType w:val="multilevel"/>
    <w:tmpl w:val="4B14ABA2"/>
    <w:lvl w:ilvl="0">
      <w:start w:val="1"/>
      <w:numFmt w:val="decimal"/>
      <w:pStyle w:val="Heading1"/>
      <w:lvlText w:val="%1"/>
      <w:lvlJc w:val="left"/>
      <w:pPr>
        <w:ind w:left="432" w:hanging="432"/>
      </w:pPr>
      <w:rPr>
        <w:rFonts w:hint="default"/>
      </w:rPr>
    </w:lvl>
    <w:lvl w:ilvl="1">
      <w:start w:val="2"/>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3">
    <w:nsid w:val="7F7456EB"/>
    <w:multiLevelType w:val="hybridMultilevel"/>
    <w:tmpl w:val="224AD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33"/>
  </w:num>
  <w:num w:numId="3">
    <w:abstractNumId w:val="8"/>
  </w:num>
  <w:num w:numId="4">
    <w:abstractNumId w:val="22"/>
  </w:num>
  <w:num w:numId="5">
    <w:abstractNumId w:val="26"/>
  </w:num>
  <w:num w:numId="6">
    <w:abstractNumId w:val="3"/>
  </w:num>
  <w:num w:numId="7">
    <w:abstractNumId w:val="36"/>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4"/>
  </w:num>
  <w:num w:numId="1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12"/>
  </w:num>
  <w:num w:numId="19">
    <w:abstractNumId w:val="20"/>
  </w:num>
  <w:num w:numId="20">
    <w:abstractNumId w:val="9"/>
  </w:num>
  <w:num w:numId="21">
    <w:abstractNumId w:val="30"/>
  </w:num>
  <w:num w:numId="22">
    <w:abstractNumId w:val="15"/>
  </w:num>
  <w:num w:numId="23">
    <w:abstractNumId w:val="29"/>
  </w:num>
  <w:num w:numId="24">
    <w:abstractNumId w:val="42"/>
  </w:num>
  <w:num w:numId="25">
    <w:abstractNumId w:val="19"/>
  </w:num>
  <w:num w:numId="26">
    <w:abstractNumId w:val="11"/>
  </w:num>
  <w:num w:numId="27">
    <w:abstractNumId w:val="32"/>
  </w:num>
  <w:num w:numId="28">
    <w:abstractNumId w:val="41"/>
  </w:num>
  <w:num w:numId="29">
    <w:abstractNumId w:val="28"/>
  </w:num>
  <w:num w:numId="30">
    <w:abstractNumId w:val="25"/>
  </w:num>
  <w:num w:numId="31">
    <w:abstractNumId w:val="4"/>
  </w:num>
  <w:num w:numId="32">
    <w:abstractNumId w:val="1"/>
  </w:num>
  <w:num w:numId="33">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4"/>
  </w:num>
  <w:num w:numId="38">
    <w:abstractNumId w:val="5"/>
  </w:num>
  <w:num w:numId="39">
    <w:abstractNumId w:val="35"/>
  </w:num>
  <w:num w:numId="40">
    <w:abstractNumId w:val="31"/>
  </w:num>
  <w:num w:numId="41">
    <w:abstractNumId w:val="39"/>
  </w:num>
  <w:num w:numId="42">
    <w:abstractNumId w:val="42"/>
  </w:num>
  <w:num w:numId="43">
    <w:abstractNumId w:val="42"/>
  </w:num>
  <w:num w:numId="44">
    <w:abstractNumId w:val="42"/>
  </w:num>
  <w:num w:numId="45">
    <w:abstractNumId w:val="16"/>
  </w:num>
  <w:num w:numId="46">
    <w:abstractNumId w:val="6"/>
  </w:num>
  <w:num w:numId="47">
    <w:abstractNumId w:val="42"/>
  </w:num>
  <w:num w:numId="48">
    <w:abstractNumId w:val="42"/>
  </w:num>
  <w:num w:numId="49">
    <w:abstractNumId w:val="42"/>
  </w:num>
  <w:num w:numId="50">
    <w:abstractNumId w:val="23"/>
  </w:num>
  <w:num w:numId="51">
    <w:abstractNumId w:val="17"/>
  </w:num>
  <w:num w:numId="52">
    <w:abstractNumId w:val="31"/>
  </w:num>
  <w:num w:numId="53">
    <w:abstractNumId w:val="42"/>
  </w:num>
  <w:num w:numId="54">
    <w:abstractNumId w:val="40"/>
  </w:num>
  <w:num w:numId="55">
    <w:abstractNumId w:val="2"/>
  </w:num>
  <w:num w:numId="56">
    <w:abstractNumId w:val="42"/>
  </w:num>
  <w:num w:numId="57">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trackRevisions/>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6C"/>
    <w:rsid w:val="00003D85"/>
    <w:rsid w:val="00003F8A"/>
    <w:rsid w:val="0000498D"/>
    <w:rsid w:val="0001174A"/>
    <w:rsid w:val="00011EFF"/>
    <w:rsid w:val="0001523E"/>
    <w:rsid w:val="0002009D"/>
    <w:rsid w:val="00022ECA"/>
    <w:rsid w:val="0002326C"/>
    <w:rsid w:val="00023C00"/>
    <w:rsid w:val="000255BC"/>
    <w:rsid w:val="000302DF"/>
    <w:rsid w:val="00032504"/>
    <w:rsid w:val="00032F53"/>
    <w:rsid w:val="00034E72"/>
    <w:rsid w:val="00035413"/>
    <w:rsid w:val="00036EDC"/>
    <w:rsid w:val="000423FA"/>
    <w:rsid w:val="000467E3"/>
    <w:rsid w:val="00047CAD"/>
    <w:rsid w:val="00047F5F"/>
    <w:rsid w:val="000539BE"/>
    <w:rsid w:val="00054080"/>
    <w:rsid w:val="00056037"/>
    <w:rsid w:val="0006149A"/>
    <w:rsid w:val="00061D7B"/>
    <w:rsid w:val="0006257B"/>
    <w:rsid w:val="00063B05"/>
    <w:rsid w:val="00064EDE"/>
    <w:rsid w:val="000660E4"/>
    <w:rsid w:val="00067AE7"/>
    <w:rsid w:val="00072218"/>
    <w:rsid w:val="00072CBA"/>
    <w:rsid w:val="00076366"/>
    <w:rsid w:val="000764B3"/>
    <w:rsid w:val="0007664E"/>
    <w:rsid w:val="00076702"/>
    <w:rsid w:val="00076E54"/>
    <w:rsid w:val="00081499"/>
    <w:rsid w:val="00081DCA"/>
    <w:rsid w:val="00082DF5"/>
    <w:rsid w:val="0008366A"/>
    <w:rsid w:val="000837CE"/>
    <w:rsid w:val="00085D58"/>
    <w:rsid w:val="00087548"/>
    <w:rsid w:val="00087948"/>
    <w:rsid w:val="000905DD"/>
    <w:rsid w:val="00092858"/>
    <w:rsid w:val="000932CF"/>
    <w:rsid w:val="00095069"/>
    <w:rsid w:val="00097335"/>
    <w:rsid w:val="000A49C8"/>
    <w:rsid w:val="000A615A"/>
    <w:rsid w:val="000B3FAF"/>
    <w:rsid w:val="000B5539"/>
    <w:rsid w:val="000B61FB"/>
    <w:rsid w:val="000B7151"/>
    <w:rsid w:val="000C40A2"/>
    <w:rsid w:val="000C6751"/>
    <w:rsid w:val="000C79E4"/>
    <w:rsid w:val="000D0447"/>
    <w:rsid w:val="000D1576"/>
    <w:rsid w:val="000D3603"/>
    <w:rsid w:val="000D36F5"/>
    <w:rsid w:val="000D46D5"/>
    <w:rsid w:val="000D4AB5"/>
    <w:rsid w:val="000D4F27"/>
    <w:rsid w:val="000D514D"/>
    <w:rsid w:val="000D647F"/>
    <w:rsid w:val="000D6BF8"/>
    <w:rsid w:val="000D705E"/>
    <w:rsid w:val="000E09DA"/>
    <w:rsid w:val="000E16C1"/>
    <w:rsid w:val="000E2CAB"/>
    <w:rsid w:val="000E68D4"/>
    <w:rsid w:val="000E6A40"/>
    <w:rsid w:val="000E7741"/>
    <w:rsid w:val="000F2E71"/>
    <w:rsid w:val="000F4100"/>
    <w:rsid w:val="000F5173"/>
    <w:rsid w:val="000F7991"/>
    <w:rsid w:val="00102DED"/>
    <w:rsid w:val="00106009"/>
    <w:rsid w:val="00107039"/>
    <w:rsid w:val="00107826"/>
    <w:rsid w:val="001112CC"/>
    <w:rsid w:val="00111900"/>
    <w:rsid w:val="001145AC"/>
    <w:rsid w:val="0011470D"/>
    <w:rsid w:val="00115344"/>
    <w:rsid w:val="001157A9"/>
    <w:rsid w:val="00117EDD"/>
    <w:rsid w:val="00121AFE"/>
    <w:rsid w:val="00124009"/>
    <w:rsid w:val="0012456C"/>
    <w:rsid w:val="00124DDE"/>
    <w:rsid w:val="00126DF1"/>
    <w:rsid w:val="001302E1"/>
    <w:rsid w:val="001304B6"/>
    <w:rsid w:val="00130783"/>
    <w:rsid w:val="00130AFC"/>
    <w:rsid w:val="00135818"/>
    <w:rsid w:val="00140B01"/>
    <w:rsid w:val="00144232"/>
    <w:rsid w:val="001474D2"/>
    <w:rsid w:val="001519D5"/>
    <w:rsid w:val="001523AB"/>
    <w:rsid w:val="001528F9"/>
    <w:rsid w:val="00153AE5"/>
    <w:rsid w:val="00154ADF"/>
    <w:rsid w:val="0015671F"/>
    <w:rsid w:val="0016049D"/>
    <w:rsid w:val="00160C82"/>
    <w:rsid w:val="001611AE"/>
    <w:rsid w:val="00163D61"/>
    <w:rsid w:val="00164DFE"/>
    <w:rsid w:val="00165580"/>
    <w:rsid w:val="00165E84"/>
    <w:rsid w:val="00166A13"/>
    <w:rsid w:val="00170D28"/>
    <w:rsid w:val="00175219"/>
    <w:rsid w:val="00176412"/>
    <w:rsid w:val="00176E27"/>
    <w:rsid w:val="001807D4"/>
    <w:rsid w:val="00180E87"/>
    <w:rsid w:val="00182B58"/>
    <w:rsid w:val="00182D29"/>
    <w:rsid w:val="00184712"/>
    <w:rsid w:val="00186C6F"/>
    <w:rsid w:val="00186E64"/>
    <w:rsid w:val="00190FE4"/>
    <w:rsid w:val="00191025"/>
    <w:rsid w:val="001916DE"/>
    <w:rsid w:val="00195343"/>
    <w:rsid w:val="00196D7A"/>
    <w:rsid w:val="00197335"/>
    <w:rsid w:val="001A1A52"/>
    <w:rsid w:val="001A33CF"/>
    <w:rsid w:val="001A40F8"/>
    <w:rsid w:val="001A474F"/>
    <w:rsid w:val="001A4E5A"/>
    <w:rsid w:val="001A72E2"/>
    <w:rsid w:val="001A7456"/>
    <w:rsid w:val="001A7647"/>
    <w:rsid w:val="001A7BAA"/>
    <w:rsid w:val="001B0C77"/>
    <w:rsid w:val="001B3EE3"/>
    <w:rsid w:val="001B437E"/>
    <w:rsid w:val="001B4F64"/>
    <w:rsid w:val="001C168A"/>
    <w:rsid w:val="001C207E"/>
    <w:rsid w:val="001C5262"/>
    <w:rsid w:val="001C68F2"/>
    <w:rsid w:val="001D233F"/>
    <w:rsid w:val="001D3BFA"/>
    <w:rsid w:val="001D4761"/>
    <w:rsid w:val="001D735F"/>
    <w:rsid w:val="001D7390"/>
    <w:rsid w:val="001D7EFF"/>
    <w:rsid w:val="001E113D"/>
    <w:rsid w:val="001E28A8"/>
    <w:rsid w:val="001E2FE1"/>
    <w:rsid w:val="001E4CE9"/>
    <w:rsid w:val="001E509B"/>
    <w:rsid w:val="001F22EB"/>
    <w:rsid w:val="001F3CF4"/>
    <w:rsid w:val="00202CDD"/>
    <w:rsid w:val="00206F33"/>
    <w:rsid w:val="002127D2"/>
    <w:rsid w:val="00214ED8"/>
    <w:rsid w:val="00215333"/>
    <w:rsid w:val="00223641"/>
    <w:rsid w:val="00223C56"/>
    <w:rsid w:val="00223E55"/>
    <w:rsid w:val="00231DB2"/>
    <w:rsid w:val="00232A63"/>
    <w:rsid w:val="00232C88"/>
    <w:rsid w:val="002331D1"/>
    <w:rsid w:val="002346D7"/>
    <w:rsid w:val="00234AAF"/>
    <w:rsid w:val="002352C1"/>
    <w:rsid w:val="00235CA9"/>
    <w:rsid w:val="0023655C"/>
    <w:rsid w:val="0024043D"/>
    <w:rsid w:val="002407C2"/>
    <w:rsid w:val="0024282B"/>
    <w:rsid w:val="002431ED"/>
    <w:rsid w:val="0024366C"/>
    <w:rsid w:val="0024393F"/>
    <w:rsid w:val="00244CFD"/>
    <w:rsid w:val="002516B0"/>
    <w:rsid w:val="00251BAA"/>
    <w:rsid w:val="002537F2"/>
    <w:rsid w:val="00254855"/>
    <w:rsid w:val="00254E52"/>
    <w:rsid w:val="002614C5"/>
    <w:rsid w:val="00261F2A"/>
    <w:rsid w:val="002628AE"/>
    <w:rsid w:val="00264493"/>
    <w:rsid w:val="002674E9"/>
    <w:rsid w:val="00267787"/>
    <w:rsid w:val="00273BDC"/>
    <w:rsid w:val="002745C9"/>
    <w:rsid w:val="002746EB"/>
    <w:rsid w:val="00274A8D"/>
    <w:rsid w:val="00275004"/>
    <w:rsid w:val="00280D94"/>
    <w:rsid w:val="00281FBA"/>
    <w:rsid w:val="0028233E"/>
    <w:rsid w:val="00286A78"/>
    <w:rsid w:val="00287769"/>
    <w:rsid w:val="0029032C"/>
    <w:rsid w:val="0029208A"/>
    <w:rsid w:val="0029228E"/>
    <w:rsid w:val="00293418"/>
    <w:rsid w:val="00294989"/>
    <w:rsid w:val="002957CD"/>
    <w:rsid w:val="00295814"/>
    <w:rsid w:val="00295BF0"/>
    <w:rsid w:val="002A0D03"/>
    <w:rsid w:val="002A17EE"/>
    <w:rsid w:val="002A309A"/>
    <w:rsid w:val="002A3109"/>
    <w:rsid w:val="002A3955"/>
    <w:rsid w:val="002A62C7"/>
    <w:rsid w:val="002A6E1E"/>
    <w:rsid w:val="002A71F4"/>
    <w:rsid w:val="002A721A"/>
    <w:rsid w:val="002A73C4"/>
    <w:rsid w:val="002A76DF"/>
    <w:rsid w:val="002A7D65"/>
    <w:rsid w:val="002A7F7A"/>
    <w:rsid w:val="002B17F4"/>
    <w:rsid w:val="002B3925"/>
    <w:rsid w:val="002B397D"/>
    <w:rsid w:val="002B7816"/>
    <w:rsid w:val="002B7E38"/>
    <w:rsid w:val="002C0536"/>
    <w:rsid w:val="002C106C"/>
    <w:rsid w:val="002C1F45"/>
    <w:rsid w:val="002C6F7F"/>
    <w:rsid w:val="002D1437"/>
    <w:rsid w:val="002D2905"/>
    <w:rsid w:val="002D2EC8"/>
    <w:rsid w:val="002D3FEC"/>
    <w:rsid w:val="002E0B45"/>
    <w:rsid w:val="002E33AD"/>
    <w:rsid w:val="002E713B"/>
    <w:rsid w:val="002E7871"/>
    <w:rsid w:val="002F00B8"/>
    <w:rsid w:val="002F0485"/>
    <w:rsid w:val="002F079E"/>
    <w:rsid w:val="002F0B0B"/>
    <w:rsid w:val="002F43F1"/>
    <w:rsid w:val="002F6419"/>
    <w:rsid w:val="00301CE7"/>
    <w:rsid w:val="00302ABE"/>
    <w:rsid w:val="00302DC2"/>
    <w:rsid w:val="00306A61"/>
    <w:rsid w:val="00307D08"/>
    <w:rsid w:val="00310EB3"/>
    <w:rsid w:val="00311E35"/>
    <w:rsid w:val="00311EB0"/>
    <w:rsid w:val="0031411D"/>
    <w:rsid w:val="00315257"/>
    <w:rsid w:val="0031649F"/>
    <w:rsid w:val="0031790D"/>
    <w:rsid w:val="00321574"/>
    <w:rsid w:val="00322922"/>
    <w:rsid w:val="00323364"/>
    <w:rsid w:val="00325C19"/>
    <w:rsid w:val="0033001E"/>
    <w:rsid w:val="0033073A"/>
    <w:rsid w:val="00330E5F"/>
    <w:rsid w:val="00330EA3"/>
    <w:rsid w:val="00331BA2"/>
    <w:rsid w:val="0033440A"/>
    <w:rsid w:val="00337D50"/>
    <w:rsid w:val="00343010"/>
    <w:rsid w:val="003440E0"/>
    <w:rsid w:val="00345478"/>
    <w:rsid w:val="00347933"/>
    <w:rsid w:val="00350B62"/>
    <w:rsid w:val="003511AF"/>
    <w:rsid w:val="003543D5"/>
    <w:rsid w:val="00360229"/>
    <w:rsid w:val="00360868"/>
    <w:rsid w:val="00361E0A"/>
    <w:rsid w:val="00364BD2"/>
    <w:rsid w:val="00371269"/>
    <w:rsid w:val="003725A7"/>
    <w:rsid w:val="00374FF3"/>
    <w:rsid w:val="003758A0"/>
    <w:rsid w:val="00376976"/>
    <w:rsid w:val="0038046B"/>
    <w:rsid w:val="003809E3"/>
    <w:rsid w:val="0038408E"/>
    <w:rsid w:val="00390FC4"/>
    <w:rsid w:val="00394A9C"/>
    <w:rsid w:val="00394F1E"/>
    <w:rsid w:val="00395028"/>
    <w:rsid w:val="0039529F"/>
    <w:rsid w:val="00397AD4"/>
    <w:rsid w:val="00397C4B"/>
    <w:rsid w:val="00397E15"/>
    <w:rsid w:val="003A3108"/>
    <w:rsid w:val="003A461D"/>
    <w:rsid w:val="003A70AC"/>
    <w:rsid w:val="003A78E3"/>
    <w:rsid w:val="003A793C"/>
    <w:rsid w:val="003A7C4C"/>
    <w:rsid w:val="003A7FC1"/>
    <w:rsid w:val="003B0A55"/>
    <w:rsid w:val="003B39C8"/>
    <w:rsid w:val="003B453D"/>
    <w:rsid w:val="003B53F7"/>
    <w:rsid w:val="003B6789"/>
    <w:rsid w:val="003C32B6"/>
    <w:rsid w:val="003C334A"/>
    <w:rsid w:val="003C4CCA"/>
    <w:rsid w:val="003C5100"/>
    <w:rsid w:val="003D0BAF"/>
    <w:rsid w:val="003D2230"/>
    <w:rsid w:val="003D6381"/>
    <w:rsid w:val="003E1C78"/>
    <w:rsid w:val="003E359E"/>
    <w:rsid w:val="003E4715"/>
    <w:rsid w:val="003F040B"/>
    <w:rsid w:val="003F1E6A"/>
    <w:rsid w:val="003F28B8"/>
    <w:rsid w:val="003F3E92"/>
    <w:rsid w:val="003F6E31"/>
    <w:rsid w:val="003F72F0"/>
    <w:rsid w:val="00401E7E"/>
    <w:rsid w:val="0040215F"/>
    <w:rsid w:val="0040232B"/>
    <w:rsid w:val="00404149"/>
    <w:rsid w:val="004051A8"/>
    <w:rsid w:val="00406B20"/>
    <w:rsid w:val="00407819"/>
    <w:rsid w:val="00412343"/>
    <w:rsid w:val="004157F2"/>
    <w:rsid w:val="0041627B"/>
    <w:rsid w:val="00417388"/>
    <w:rsid w:val="00422520"/>
    <w:rsid w:val="004234E6"/>
    <w:rsid w:val="004242CC"/>
    <w:rsid w:val="00424AAD"/>
    <w:rsid w:val="004254EB"/>
    <w:rsid w:val="00426F47"/>
    <w:rsid w:val="00431372"/>
    <w:rsid w:val="0043238D"/>
    <w:rsid w:val="004348EE"/>
    <w:rsid w:val="004366CC"/>
    <w:rsid w:val="00436844"/>
    <w:rsid w:val="00437002"/>
    <w:rsid w:val="00437BF6"/>
    <w:rsid w:val="004406F6"/>
    <w:rsid w:val="0044368A"/>
    <w:rsid w:val="004437B3"/>
    <w:rsid w:val="00444F47"/>
    <w:rsid w:val="00446FD6"/>
    <w:rsid w:val="00447709"/>
    <w:rsid w:val="004504DF"/>
    <w:rsid w:val="00450872"/>
    <w:rsid w:val="00453597"/>
    <w:rsid w:val="00454B93"/>
    <w:rsid w:val="004600E6"/>
    <w:rsid w:val="00460178"/>
    <w:rsid w:val="00460E85"/>
    <w:rsid w:val="00461D9C"/>
    <w:rsid w:val="00462417"/>
    <w:rsid w:val="00470165"/>
    <w:rsid w:val="004706C1"/>
    <w:rsid w:val="00471E38"/>
    <w:rsid w:val="0047320D"/>
    <w:rsid w:val="00474633"/>
    <w:rsid w:val="0047539C"/>
    <w:rsid w:val="0048074A"/>
    <w:rsid w:val="004820F3"/>
    <w:rsid w:val="00482D0C"/>
    <w:rsid w:val="004830E7"/>
    <w:rsid w:val="00484328"/>
    <w:rsid w:val="004846A6"/>
    <w:rsid w:val="00487585"/>
    <w:rsid w:val="00490C92"/>
    <w:rsid w:val="00491C73"/>
    <w:rsid w:val="004926F7"/>
    <w:rsid w:val="00493169"/>
    <w:rsid w:val="00494E98"/>
    <w:rsid w:val="00495D67"/>
    <w:rsid w:val="004A1CBD"/>
    <w:rsid w:val="004A220C"/>
    <w:rsid w:val="004A4034"/>
    <w:rsid w:val="004B02CF"/>
    <w:rsid w:val="004B0E4F"/>
    <w:rsid w:val="004B4329"/>
    <w:rsid w:val="004B58B8"/>
    <w:rsid w:val="004B6648"/>
    <w:rsid w:val="004B6787"/>
    <w:rsid w:val="004B7C97"/>
    <w:rsid w:val="004C11A6"/>
    <w:rsid w:val="004C24FF"/>
    <w:rsid w:val="004C3B9E"/>
    <w:rsid w:val="004C48D4"/>
    <w:rsid w:val="004C6B04"/>
    <w:rsid w:val="004D3431"/>
    <w:rsid w:val="004D4636"/>
    <w:rsid w:val="004D7952"/>
    <w:rsid w:val="004E1D15"/>
    <w:rsid w:val="004E2E84"/>
    <w:rsid w:val="004E66E5"/>
    <w:rsid w:val="004E70C7"/>
    <w:rsid w:val="004F007F"/>
    <w:rsid w:val="004F3868"/>
    <w:rsid w:val="004F5349"/>
    <w:rsid w:val="004F716E"/>
    <w:rsid w:val="004F74B2"/>
    <w:rsid w:val="00501344"/>
    <w:rsid w:val="00503DD8"/>
    <w:rsid w:val="00504664"/>
    <w:rsid w:val="00505758"/>
    <w:rsid w:val="005163F6"/>
    <w:rsid w:val="00516590"/>
    <w:rsid w:val="0051689A"/>
    <w:rsid w:val="00516CB0"/>
    <w:rsid w:val="00516E8E"/>
    <w:rsid w:val="00517E1B"/>
    <w:rsid w:val="00520553"/>
    <w:rsid w:val="00520AC9"/>
    <w:rsid w:val="00522BCD"/>
    <w:rsid w:val="005232D1"/>
    <w:rsid w:val="0052334C"/>
    <w:rsid w:val="005246AE"/>
    <w:rsid w:val="00524CC3"/>
    <w:rsid w:val="00524DF0"/>
    <w:rsid w:val="00530F90"/>
    <w:rsid w:val="00530F91"/>
    <w:rsid w:val="00531B4F"/>
    <w:rsid w:val="00532683"/>
    <w:rsid w:val="00533156"/>
    <w:rsid w:val="00533B79"/>
    <w:rsid w:val="0053479B"/>
    <w:rsid w:val="005348A0"/>
    <w:rsid w:val="00534CFA"/>
    <w:rsid w:val="00534DD1"/>
    <w:rsid w:val="00537E1A"/>
    <w:rsid w:val="00543D69"/>
    <w:rsid w:val="0054595C"/>
    <w:rsid w:val="00545FAE"/>
    <w:rsid w:val="00552346"/>
    <w:rsid w:val="00553B8B"/>
    <w:rsid w:val="00553E41"/>
    <w:rsid w:val="00553EA3"/>
    <w:rsid w:val="00554127"/>
    <w:rsid w:val="00554479"/>
    <w:rsid w:val="00554756"/>
    <w:rsid w:val="00557399"/>
    <w:rsid w:val="00557E4A"/>
    <w:rsid w:val="00560893"/>
    <w:rsid w:val="00560E13"/>
    <w:rsid w:val="00564D53"/>
    <w:rsid w:val="005725E5"/>
    <w:rsid w:val="0057260E"/>
    <w:rsid w:val="00573E66"/>
    <w:rsid w:val="00576578"/>
    <w:rsid w:val="0058101F"/>
    <w:rsid w:val="00581887"/>
    <w:rsid w:val="00582032"/>
    <w:rsid w:val="005860FF"/>
    <w:rsid w:val="00587655"/>
    <w:rsid w:val="00590515"/>
    <w:rsid w:val="00591B88"/>
    <w:rsid w:val="00591FE6"/>
    <w:rsid w:val="00594954"/>
    <w:rsid w:val="00596635"/>
    <w:rsid w:val="005977AD"/>
    <w:rsid w:val="00597B6B"/>
    <w:rsid w:val="005A00BA"/>
    <w:rsid w:val="005A7F8B"/>
    <w:rsid w:val="005B2D7C"/>
    <w:rsid w:val="005B5F09"/>
    <w:rsid w:val="005B63FD"/>
    <w:rsid w:val="005B6C4A"/>
    <w:rsid w:val="005B7EFB"/>
    <w:rsid w:val="005C105A"/>
    <w:rsid w:val="005C33B7"/>
    <w:rsid w:val="005C3651"/>
    <w:rsid w:val="005C3CCE"/>
    <w:rsid w:val="005C5048"/>
    <w:rsid w:val="005C582B"/>
    <w:rsid w:val="005C588C"/>
    <w:rsid w:val="005C74BF"/>
    <w:rsid w:val="005C7789"/>
    <w:rsid w:val="005C7F67"/>
    <w:rsid w:val="005D29EB"/>
    <w:rsid w:val="005D357D"/>
    <w:rsid w:val="005D49B0"/>
    <w:rsid w:val="005D6C17"/>
    <w:rsid w:val="005D716C"/>
    <w:rsid w:val="005D74CC"/>
    <w:rsid w:val="005D7AAB"/>
    <w:rsid w:val="005E05F1"/>
    <w:rsid w:val="005E2C61"/>
    <w:rsid w:val="005E49CF"/>
    <w:rsid w:val="005E71C9"/>
    <w:rsid w:val="005F048B"/>
    <w:rsid w:val="005F1C2A"/>
    <w:rsid w:val="005F6EC7"/>
    <w:rsid w:val="005F7A0C"/>
    <w:rsid w:val="006017A9"/>
    <w:rsid w:val="00602BB9"/>
    <w:rsid w:val="006072A8"/>
    <w:rsid w:val="00607C32"/>
    <w:rsid w:val="00610168"/>
    <w:rsid w:val="00611664"/>
    <w:rsid w:val="00613176"/>
    <w:rsid w:val="006131EF"/>
    <w:rsid w:val="00613BD0"/>
    <w:rsid w:val="0061427F"/>
    <w:rsid w:val="0061468B"/>
    <w:rsid w:val="00614D87"/>
    <w:rsid w:val="00616F7C"/>
    <w:rsid w:val="006203CE"/>
    <w:rsid w:val="00620EEC"/>
    <w:rsid w:val="006212C5"/>
    <w:rsid w:val="006254E6"/>
    <w:rsid w:val="00627A8C"/>
    <w:rsid w:val="00630311"/>
    <w:rsid w:val="006308F0"/>
    <w:rsid w:val="00631E4B"/>
    <w:rsid w:val="00632250"/>
    <w:rsid w:val="0063306E"/>
    <w:rsid w:val="00633444"/>
    <w:rsid w:val="006361EA"/>
    <w:rsid w:val="00636B3F"/>
    <w:rsid w:val="006378A7"/>
    <w:rsid w:val="00637DB4"/>
    <w:rsid w:val="00637ED3"/>
    <w:rsid w:val="00641062"/>
    <w:rsid w:val="00641978"/>
    <w:rsid w:val="00641B65"/>
    <w:rsid w:val="00642688"/>
    <w:rsid w:val="00643BE4"/>
    <w:rsid w:val="00646FD4"/>
    <w:rsid w:val="00650796"/>
    <w:rsid w:val="0065121B"/>
    <w:rsid w:val="006527CD"/>
    <w:rsid w:val="00653B27"/>
    <w:rsid w:val="00657300"/>
    <w:rsid w:val="00657559"/>
    <w:rsid w:val="0065762C"/>
    <w:rsid w:val="00661800"/>
    <w:rsid w:val="00663979"/>
    <w:rsid w:val="00670B32"/>
    <w:rsid w:val="00670E19"/>
    <w:rsid w:val="00675289"/>
    <w:rsid w:val="00675EFA"/>
    <w:rsid w:val="00681A20"/>
    <w:rsid w:val="00682633"/>
    <w:rsid w:val="006853C3"/>
    <w:rsid w:val="00687AC8"/>
    <w:rsid w:val="00687D48"/>
    <w:rsid w:val="0069179F"/>
    <w:rsid w:val="006A05DE"/>
    <w:rsid w:val="006A56ED"/>
    <w:rsid w:val="006A6EE4"/>
    <w:rsid w:val="006A7CD2"/>
    <w:rsid w:val="006B056C"/>
    <w:rsid w:val="006B4338"/>
    <w:rsid w:val="006B450C"/>
    <w:rsid w:val="006B45F0"/>
    <w:rsid w:val="006B4D68"/>
    <w:rsid w:val="006B6544"/>
    <w:rsid w:val="006C08D1"/>
    <w:rsid w:val="006C4EB6"/>
    <w:rsid w:val="006C5228"/>
    <w:rsid w:val="006C79AD"/>
    <w:rsid w:val="006D084B"/>
    <w:rsid w:val="006D0928"/>
    <w:rsid w:val="006D1740"/>
    <w:rsid w:val="006D32F8"/>
    <w:rsid w:val="006D3B39"/>
    <w:rsid w:val="006D4D0C"/>
    <w:rsid w:val="006D5858"/>
    <w:rsid w:val="006D7F32"/>
    <w:rsid w:val="006E140C"/>
    <w:rsid w:val="006E22B9"/>
    <w:rsid w:val="006E2501"/>
    <w:rsid w:val="006E2540"/>
    <w:rsid w:val="006E2968"/>
    <w:rsid w:val="006E2B91"/>
    <w:rsid w:val="006E4C04"/>
    <w:rsid w:val="006E4CBC"/>
    <w:rsid w:val="006E4F3A"/>
    <w:rsid w:val="006E6217"/>
    <w:rsid w:val="006F4C20"/>
    <w:rsid w:val="006F4CB8"/>
    <w:rsid w:val="006F504A"/>
    <w:rsid w:val="006F55C3"/>
    <w:rsid w:val="006F723E"/>
    <w:rsid w:val="00700448"/>
    <w:rsid w:val="007014E2"/>
    <w:rsid w:val="00703F48"/>
    <w:rsid w:val="00704AFA"/>
    <w:rsid w:val="00704ED0"/>
    <w:rsid w:val="007072B2"/>
    <w:rsid w:val="0071337D"/>
    <w:rsid w:val="00714408"/>
    <w:rsid w:val="007146E6"/>
    <w:rsid w:val="007146F2"/>
    <w:rsid w:val="007150B7"/>
    <w:rsid w:val="007155DF"/>
    <w:rsid w:val="00720228"/>
    <w:rsid w:val="00723DA9"/>
    <w:rsid w:val="007258AC"/>
    <w:rsid w:val="00725D51"/>
    <w:rsid w:val="00733149"/>
    <w:rsid w:val="00733200"/>
    <w:rsid w:val="00733DC2"/>
    <w:rsid w:val="00734C1F"/>
    <w:rsid w:val="00736203"/>
    <w:rsid w:val="007426FA"/>
    <w:rsid w:val="007445F4"/>
    <w:rsid w:val="0074669B"/>
    <w:rsid w:val="00747049"/>
    <w:rsid w:val="00752085"/>
    <w:rsid w:val="007520D9"/>
    <w:rsid w:val="00754287"/>
    <w:rsid w:val="0075462F"/>
    <w:rsid w:val="007563E0"/>
    <w:rsid w:val="00757CC1"/>
    <w:rsid w:val="00760BB8"/>
    <w:rsid w:val="00763640"/>
    <w:rsid w:val="0076415E"/>
    <w:rsid w:val="007678C5"/>
    <w:rsid w:val="00767924"/>
    <w:rsid w:val="007710DB"/>
    <w:rsid w:val="00772E31"/>
    <w:rsid w:val="007802C0"/>
    <w:rsid w:val="00781804"/>
    <w:rsid w:val="00781FC0"/>
    <w:rsid w:val="0078604F"/>
    <w:rsid w:val="00795367"/>
    <w:rsid w:val="007A0CDB"/>
    <w:rsid w:val="007A2C32"/>
    <w:rsid w:val="007A3558"/>
    <w:rsid w:val="007A3665"/>
    <w:rsid w:val="007A46BB"/>
    <w:rsid w:val="007A4F48"/>
    <w:rsid w:val="007A5282"/>
    <w:rsid w:val="007A53D9"/>
    <w:rsid w:val="007A60EB"/>
    <w:rsid w:val="007A69AF"/>
    <w:rsid w:val="007B02F3"/>
    <w:rsid w:val="007B1222"/>
    <w:rsid w:val="007C1A79"/>
    <w:rsid w:val="007C2D87"/>
    <w:rsid w:val="007C3A85"/>
    <w:rsid w:val="007C3F91"/>
    <w:rsid w:val="007C583F"/>
    <w:rsid w:val="007C778B"/>
    <w:rsid w:val="007C7899"/>
    <w:rsid w:val="007D28E7"/>
    <w:rsid w:val="007D39DF"/>
    <w:rsid w:val="007D4958"/>
    <w:rsid w:val="007E1A76"/>
    <w:rsid w:val="007E1B3A"/>
    <w:rsid w:val="007E33CE"/>
    <w:rsid w:val="007E3E17"/>
    <w:rsid w:val="007E4A47"/>
    <w:rsid w:val="007E541F"/>
    <w:rsid w:val="007E5C01"/>
    <w:rsid w:val="007E5C37"/>
    <w:rsid w:val="007E643D"/>
    <w:rsid w:val="007E6E70"/>
    <w:rsid w:val="007F1DD4"/>
    <w:rsid w:val="007F20B3"/>
    <w:rsid w:val="007F30E0"/>
    <w:rsid w:val="007F4036"/>
    <w:rsid w:val="007F4353"/>
    <w:rsid w:val="007F4A2F"/>
    <w:rsid w:val="008013A4"/>
    <w:rsid w:val="00801A0D"/>
    <w:rsid w:val="008026CE"/>
    <w:rsid w:val="00806948"/>
    <w:rsid w:val="00807319"/>
    <w:rsid w:val="008077A7"/>
    <w:rsid w:val="008107B1"/>
    <w:rsid w:val="008125B4"/>
    <w:rsid w:val="00813DA4"/>
    <w:rsid w:val="0081446C"/>
    <w:rsid w:val="008165B1"/>
    <w:rsid w:val="00817CDC"/>
    <w:rsid w:val="00822147"/>
    <w:rsid w:val="00825E85"/>
    <w:rsid w:val="00826B75"/>
    <w:rsid w:val="00827219"/>
    <w:rsid w:val="0082778D"/>
    <w:rsid w:val="0083127A"/>
    <w:rsid w:val="008321AF"/>
    <w:rsid w:val="0083290E"/>
    <w:rsid w:val="0083297B"/>
    <w:rsid w:val="008337BC"/>
    <w:rsid w:val="00840C5D"/>
    <w:rsid w:val="0084587A"/>
    <w:rsid w:val="008501DB"/>
    <w:rsid w:val="00854EFF"/>
    <w:rsid w:val="00856708"/>
    <w:rsid w:val="00860763"/>
    <w:rsid w:val="00861BD9"/>
    <w:rsid w:val="00861F7F"/>
    <w:rsid w:val="00862340"/>
    <w:rsid w:val="00863DE9"/>
    <w:rsid w:val="00865723"/>
    <w:rsid w:val="00865DC6"/>
    <w:rsid w:val="00865E47"/>
    <w:rsid w:val="0087042C"/>
    <w:rsid w:val="00870E18"/>
    <w:rsid w:val="008723F8"/>
    <w:rsid w:val="00874818"/>
    <w:rsid w:val="008752EB"/>
    <w:rsid w:val="00875EB6"/>
    <w:rsid w:val="00876B1A"/>
    <w:rsid w:val="00881650"/>
    <w:rsid w:val="00881E53"/>
    <w:rsid w:val="00881FC2"/>
    <w:rsid w:val="00882EB2"/>
    <w:rsid w:val="00886C41"/>
    <w:rsid w:val="008873FD"/>
    <w:rsid w:val="00887ED6"/>
    <w:rsid w:val="008917AB"/>
    <w:rsid w:val="00893261"/>
    <w:rsid w:val="00893E0A"/>
    <w:rsid w:val="00894BAC"/>
    <w:rsid w:val="00895DD7"/>
    <w:rsid w:val="008A0203"/>
    <w:rsid w:val="008A0673"/>
    <w:rsid w:val="008A4649"/>
    <w:rsid w:val="008A531F"/>
    <w:rsid w:val="008A5A2F"/>
    <w:rsid w:val="008A6A29"/>
    <w:rsid w:val="008B0903"/>
    <w:rsid w:val="008B15A6"/>
    <w:rsid w:val="008B3D15"/>
    <w:rsid w:val="008B441C"/>
    <w:rsid w:val="008B4E2D"/>
    <w:rsid w:val="008B5A3E"/>
    <w:rsid w:val="008C2F7A"/>
    <w:rsid w:val="008C62E7"/>
    <w:rsid w:val="008C673A"/>
    <w:rsid w:val="008D15C7"/>
    <w:rsid w:val="008D3C0B"/>
    <w:rsid w:val="008D4387"/>
    <w:rsid w:val="008D7CB9"/>
    <w:rsid w:val="008E33BD"/>
    <w:rsid w:val="008E3914"/>
    <w:rsid w:val="008E5DDE"/>
    <w:rsid w:val="008E7F0A"/>
    <w:rsid w:val="008F06A2"/>
    <w:rsid w:val="008F3356"/>
    <w:rsid w:val="008F63F2"/>
    <w:rsid w:val="008F70AB"/>
    <w:rsid w:val="008F73BD"/>
    <w:rsid w:val="0090516D"/>
    <w:rsid w:val="00907A40"/>
    <w:rsid w:val="00910B33"/>
    <w:rsid w:val="00913928"/>
    <w:rsid w:val="00913AFC"/>
    <w:rsid w:val="009141E7"/>
    <w:rsid w:val="00914639"/>
    <w:rsid w:val="00915F66"/>
    <w:rsid w:val="00920321"/>
    <w:rsid w:val="00921E9C"/>
    <w:rsid w:val="00923621"/>
    <w:rsid w:val="0092423B"/>
    <w:rsid w:val="009255ED"/>
    <w:rsid w:val="009263D8"/>
    <w:rsid w:val="00926A82"/>
    <w:rsid w:val="00926C77"/>
    <w:rsid w:val="00932A9C"/>
    <w:rsid w:val="0093649E"/>
    <w:rsid w:val="00936CE4"/>
    <w:rsid w:val="00937758"/>
    <w:rsid w:val="00937DAC"/>
    <w:rsid w:val="009434D9"/>
    <w:rsid w:val="00945E3B"/>
    <w:rsid w:val="00947536"/>
    <w:rsid w:val="00950311"/>
    <w:rsid w:val="00950C1E"/>
    <w:rsid w:val="00951B85"/>
    <w:rsid w:val="00954B6B"/>
    <w:rsid w:val="00955BAD"/>
    <w:rsid w:val="009568C7"/>
    <w:rsid w:val="009570A9"/>
    <w:rsid w:val="009617EB"/>
    <w:rsid w:val="00964145"/>
    <w:rsid w:val="0096490D"/>
    <w:rsid w:val="00966A1C"/>
    <w:rsid w:val="00966AFA"/>
    <w:rsid w:val="00966D89"/>
    <w:rsid w:val="009673F5"/>
    <w:rsid w:val="00970DDE"/>
    <w:rsid w:val="0097217A"/>
    <w:rsid w:val="00972C29"/>
    <w:rsid w:val="00973F7A"/>
    <w:rsid w:val="0098049C"/>
    <w:rsid w:val="0098143A"/>
    <w:rsid w:val="00982439"/>
    <w:rsid w:val="0098507E"/>
    <w:rsid w:val="009917F7"/>
    <w:rsid w:val="009920E3"/>
    <w:rsid w:val="00992435"/>
    <w:rsid w:val="009A1497"/>
    <w:rsid w:val="009A34AE"/>
    <w:rsid w:val="009A3CDC"/>
    <w:rsid w:val="009A3D2E"/>
    <w:rsid w:val="009A77E7"/>
    <w:rsid w:val="009B1F04"/>
    <w:rsid w:val="009B4954"/>
    <w:rsid w:val="009B56C2"/>
    <w:rsid w:val="009B5E84"/>
    <w:rsid w:val="009B6081"/>
    <w:rsid w:val="009B6B8A"/>
    <w:rsid w:val="009B7E90"/>
    <w:rsid w:val="009C0F9E"/>
    <w:rsid w:val="009C16FC"/>
    <w:rsid w:val="009C18F3"/>
    <w:rsid w:val="009C2AFE"/>
    <w:rsid w:val="009D0878"/>
    <w:rsid w:val="009D178B"/>
    <w:rsid w:val="009D3BF8"/>
    <w:rsid w:val="009D5330"/>
    <w:rsid w:val="009D60F6"/>
    <w:rsid w:val="009D7EC9"/>
    <w:rsid w:val="009E1922"/>
    <w:rsid w:val="009E213B"/>
    <w:rsid w:val="009E2679"/>
    <w:rsid w:val="009E38CC"/>
    <w:rsid w:val="009E3E4F"/>
    <w:rsid w:val="009E72D7"/>
    <w:rsid w:val="009F0BCA"/>
    <w:rsid w:val="009F15A7"/>
    <w:rsid w:val="009F1FD4"/>
    <w:rsid w:val="009F25AD"/>
    <w:rsid w:val="009F42D8"/>
    <w:rsid w:val="009F70BD"/>
    <w:rsid w:val="009F74EA"/>
    <w:rsid w:val="009F77B6"/>
    <w:rsid w:val="009F7D0F"/>
    <w:rsid w:val="00A016E5"/>
    <w:rsid w:val="00A057A4"/>
    <w:rsid w:val="00A06CB8"/>
    <w:rsid w:val="00A07918"/>
    <w:rsid w:val="00A11D36"/>
    <w:rsid w:val="00A13C63"/>
    <w:rsid w:val="00A142EF"/>
    <w:rsid w:val="00A158FB"/>
    <w:rsid w:val="00A16714"/>
    <w:rsid w:val="00A20F16"/>
    <w:rsid w:val="00A210CC"/>
    <w:rsid w:val="00A2259A"/>
    <w:rsid w:val="00A233DF"/>
    <w:rsid w:val="00A23A51"/>
    <w:rsid w:val="00A23C5C"/>
    <w:rsid w:val="00A314ED"/>
    <w:rsid w:val="00A32239"/>
    <w:rsid w:val="00A3370E"/>
    <w:rsid w:val="00A35D40"/>
    <w:rsid w:val="00A37A9E"/>
    <w:rsid w:val="00A37D9A"/>
    <w:rsid w:val="00A41E10"/>
    <w:rsid w:val="00A41FB4"/>
    <w:rsid w:val="00A42848"/>
    <w:rsid w:val="00A44686"/>
    <w:rsid w:val="00A46B61"/>
    <w:rsid w:val="00A472AB"/>
    <w:rsid w:val="00A524F4"/>
    <w:rsid w:val="00A53C06"/>
    <w:rsid w:val="00A5491E"/>
    <w:rsid w:val="00A602E9"/>
    <w:rsid w:val="00A61C1D"/>
    <w:rsid w:val="00A61F2B"/>
    <w:rsid w:val="00A64644"/>
    <w:rsid w:val="00A65B32"/>
    <w:rsid w:val="00A70438"/>
    <w:rsid w:val="00A70462"/>
    <w:rsid w:val="00A7108A"/>
    <w:rsid w:val="00A71A2A"/>
    <w:rsid w:val="00A72C90"/>
    <w:rsid w:val="00A72D21"/>
    <w:rsid w:val="00A733C5"/>
    <w:rsid w:val="00A75CAB"/>
    <w:rsid w:val="00A76CE3"/>
    <w:rsid w:val="00A76FDB"/>
    <w:rsid w:val="00A81508"/>
    <w:rsid w:val="00A82D21"/>
    <w:rsid w:val="00A83553"/>
    <w:rsid w:val="00A93899"/>
    <w:rsid w:val="00A940A5"/>
    <w:rsid w:val="00A94624"/>
    <w:rsid w:val="00A95055"/>
    <w:rsid w:val="00A9655E"/>
    <w:rsid w:val="00A96630"/>
    <w:rsid w:val="00A974A4"/>
    <w:rsid w:val="00A97571"/>
    <w:rsid w:val="00AA21CB"/>
    <w:rsid w:val="00AA28AD"/>
    <w:rsid w:val="00AA5CF9"/>
    <w:rsid w:val="00AB0088"/>
    <w:rsid w:val="00AB0A66"/>
    <w:rsid w:val="00AB4E7A"/>
    <w:rsid w:val="00AB6B1D"/>
    <w:rsid w:val="00AC0594"/>
    <w:rsid w:val="00AC16C3"/>
    <w:rsid w:val="00AC38F1"/>
    <w:rsid w:val="00AC3EA2"/>
    <w:rsid w:val="00AC5890"/>
    <w:rsid w:val="00AC6E70"/>
    <w:rsid w:val="00AD02D0"/>
    <w:rsid w:val="00AD0ED5"/>
    <w:rsid w:val="00AD14D1"/>
    <w:rsid w:val="00AE07FE"/>
    <w:rsid w:val="00AE6484"/>
    <w:rsid w:val="00AE70FA"/>
    <w:rsid w:val="00AF16F3"/>
    <w:rsid w:val="00AF4627"/>
    <w:rsid w:val="00AF5094"/>
    <w:rsid w:val="00B007F9"/>
    <w:rsid w:val="00B01C8E"/>
    <w:rsid w:val="00B0210C"/>
    <w:rsid w:val="00B03912"/>
    <w:rsid w:val="00B05588"/>
    <w:rsid w:val="00B07A7D"/>
    <w:rsid w:val="00B10033"/>
    <w:rsid w:val="00B108F3"/>
    <w:rsid w:val="00B1582B"/>
    <w:rsid w:val="00B15839"/>
    <w:rsid w:val="00B15E51"/>
    <w:rsid w:val="00B15FC3"/>
    <w:rsid w:val="00B17A47"/>
    <w:rsid w:val="00B17DAC"/>
    <w:rsid w:val="00B17E68"/>
    <w:rsid w:val="00B209EE"/>
    <w:rsid w:val="00B21D83"/>
    <w:rsid w:val="00B24352"/>
    <w:rsid w:val="00B27207"/>
    <w:rsid w:val="00B273DF"/>
    <w:rsid w:val="00B3083D"/>
    <w:rsid w:val="00B3350E"/>
    <w:rsid w:val="00B33A53"/>
    <w:rsid w:val="00B35DE5"/>
    <w:rsid w:val="00B36983"/>
    <w:rsid w:val="00B3726E"/>
    <w:rsid w:val="00B37AB7"/>
    <w:rsid w:val="00B400E4"/>
    <w:rsid w:val="00B43523"/>
    <w:rsid w:val="00B45168"/>
    <w:rsid w:val="00B458CC"/>
    <w:rsid w:val="00B47507"/>
    <w:rsid w:val="00B51CDC"/>
    <w:rsid w:val="00B52354"/>
    <w:rsid w:val="00B529B4"/>
    <w:rsid w:val="00B55624"/>
    <w:rsid w:val="00B5635E"/>
    <w:rsid w:val="00B569F9"/>
    <w:rsid w:val="00B56EB8"/>
    <w:rsid w:val="00B57737"/>
    <w:rsid w:val="00B63AF5"/>
    <w:rsid w:val="00B661B3"/>
    <w:rsid w:val="00B6629F"/>
    <w:rsid w:val="00B728A3"/>
    <w:rsid w:val="00B732F0"/>
    <w:rsid w:val="00B73E5E"/>
    <w:rsid w:val="00B75792"/>
    <w:rsid w:val="00B77012"/>
    <w:rsid w:val="00B77CFD"/>
    <w:rsid w:val="00B803C3"/>
    <w:rsid w:val="00B8150C"/>
    <w:rsid w:val="00B8154D"/>
    <w:rsid w:val="00B81FFB"/>
    <w:rsid w:val="00B834A5"/>
    <w:rsid w:val="00B85F36"/>
    <w:rsid w:val="00B86771"/>
    <w:rsid w:val="00B87437"/>
    <w:rsid w:val="00B94FEE"/>
    <w:rsid w:val="00B97692"/>
    <w:rsid w:val="00B97DC7"/>
    <w:rsid w:val="00BA2B38"/>
    <w:rsid w:val="00BB0083"/>
    <w:rsid w:val="00BB2513"/>
    <w:rsid w:val="00BB26FF"/>
    <w:rsid w:val="00BB2FE9"/>
    <w:rsid w:val="00BB6669"/>
    <w:rsid w:val="00BB7A24"/>
    <w:rsid w:val="00BC0A65"/>
    <w:rsid w:val="00BC4AA0"/>
    <w:rsid w:val="00BC7BE7"/>
    <w:rsid w:val="00BD5B86"/>
    <w:rsid w:val="00BD5C67"/>
    <w:rsid w:val="00BE1E8F"/>
    <w:rsid w:val="00BE29E7"/>
    <w:rsid w:val="00BE7161"/>
    <w:rsid w:val="00BE723B"/>
    <w:rsid w:val="00BE7AB5"/>
    <w:rsid w:val="00BF0E1F"/>
    <w:rsid w:val="00BF6676"/>
    <w:rsid w:val="00BF76A6"/>
    <w:rsid w:val="00C00949"/>
    <w:rsid w:val="00C01AF2"/>
    <w:rsid w:val="00C0346B"/>
    <w:rsid w:val="00C037F6"/>
    <w:rsid w:val="00C03F6A"/>
    <w:rsid w:val="00C065F2"/>
    <w:rsid w:val="00C10179"/>
    <w:rsid w:val="00C10606"/>
    <w:rsid w:val="00C10E87"/>
    <w:rsid w:val="00C112D8"/>
    <w:rsid w:val="00C139F2"/>
    <w:rsid w:val="00C14A0F"/>
    <w:rsid w:val="00C15133"/>
    <w:rsid w:val="00C15727"/>
    <w:rsid w:val="00C15EDB"/>
    <w:rsid w:val="00C173FD"/>
    <w:rsid w:val="00C22C3F"/>
    <w:rsid w:val="00C23C6D"/>
    <w:rsid w:val="00C25F3A"/>
    <w:rsid w:val="00C2684E"/>
    <w:rsid w:val="00C27212"/>
    <w:rsid w:val="00C27823"/>
    <w:rsid w:val="00C309BD"/>
    <w:rsid w:val="00C32F7E"/>
    <w:rsid w:val="00C3432C"/>
    <w:rsid w:val="00C355E7"/>
    <w:rsid w:val="00C358FF"/>
    <w:rsid w:val="00C36524"/>
    <w:rsid w:val="00C36A78"/>
    <w:rsid w:val="00C41D82"/>
    <w:rsid w:val="00C43569"/>
    <w:rsid w:val="00C507E4"/>
    <w:rsid w:val="00C50E3B"/>
    <w:rsid w:val="00C51DAF"/>
    <w:rsid w:val="00C52797"/>
    <w:rsid w:val="00C52C36"/>
    <w:rsid w:val="00C55687"/>
    <w:rsid w:val="00C55876"/>
    <w:rsid w:val="00C62EA2"/>
    <w:rsid w:val="00C63F5B"/>
    <w:rsid w:val="00C648B8"/>
    <w:rsid w:val="00C64DDE"/>
    <w:rsid w:val="00C65DBE"/>
    <w:rsid w:val="00C66419"/>
    <w:rsid w:val="00C66507"/>
    <w:rsid w:val="00C66EA6"/>
    <w:rsid w:val="00C72E08"/>
    <w:rsid w:val="00C7337B"/>
    <w:rsid w:val="00C74C59"/>
    <w:rsid w:val="00C75866"/>
    <w:rsid w:val="00C76383"/>
    <w:rsid w:val="00C76880"/>
    <w:rsid w:val="00C82269"/>
    <w:rsid w:val="00C832E7"/>
    <w:rsid w:val="00C83478"/>
    <w:rsid w:val="00C863D8"/>
    <w:rsid w:val="00C87A19"/>
    <w:rsid w:val="00C87F26"/>
    <w:rsid w:val="00C90190"/>
    <w:rsid w:val="00C92E42"/>
    <w:rsid w:val="00C947CE"/>
    <w:rsid w:val="00C96675"/>
    <w:rsid w:val="00CA1DC6"/>
    <w:rsid w:val="00CA2DC6"/>
    <w:rsid w:val="00CA5F63"/>
    <w:rsid w:val="00CA6C28"/>
    <w:rsid w:val="00CB223B"/>
    <w:rsid w:val="00CB30CE"/>
    <w:rsid w:val="00CB7AAA"/>
    <w:rsid w:val="00CC243A"/>
    <w:rsid w:val="00CC28C4"/>
    <w:rsid w:val="00CC2FAD"/>
    <w:rsid w:val="00CC5DFF"/>
    <w:rsid w:val="00CD1887"/>
    <w:rsid w:val="00CD2C0A"/>
    <w:rsid w:val="00CD3839"/>
    <w:rsid w:val="00CD580F"/>
    <w:rsid w:val="00CD5B9F"/>
    <w:rsid w:val="00CD5EBB"/>
    <w:rsid w:val="00CE025F"/>
    <w:rsid w:val="00CE0410"/>
    <w:rsid w:val="00CE16A3"/>
    <w:rsid w:val="00CE1C78"/>
    <w:rsid w:val="00CE1F68"/>
    <w:rsid w:val="00CE574D"/>
    <w:rsid w:val="00CE6E03"/>
    <w:rsid w:val="00CE7449"/>
    <w:rsid w:val="00CE7F52"/>
    <w:rsid w:val="00CF0D55"/>
    <w:rsid w:val="00CF14C6"/>
    <w:rsid w:val="00CF41DC"/>
    <w:rsid w:val="00CF4558"/>
    <w:rsid w:val="00D0060F"/>
    <w:rsid w:val="00D01402"/>
    <w:rsid w:val="00D038FB"/>
    <w:rsid w:val="00D04B70"/>
    <w:rsid w:val="00D05434"/>
    <w:rsid w:val="00D061CE"/>
    <w:rsid w:val="00D0759E"/>
    <w:rsid w:val="00D1077F"/>
    <w:rsid w:val="00D109C8"/>
    <w:rsid w:val="00D10AA1"/>
    <w:rsid w:val="00D1118B"/>
    <w:rsid w:val="00D111A6"/>
    <w:rsid w:val="00D115C7"/>
    <w:rsid w:val="00D11E11"/>
    <w:rsid w:val="00D13188"/>
    <w:rsid w:val="00D14CDC"/>
    <w:rsid w:val="00D15BF2"/>
    <w:rsid w:val="00D16BD5"/>
    <w:rsid w:val="00D1734B"/>
    <w:rsid w:val="00D207C9"/>
    <w:rsid w:val="00D20A01"/>
    <w:rsid w:val="00D247B6"/>
    <w:rsid w:val="00D24C8B"/>
    <w:rsid w:val="00D2562E"/>
    <w:rsid w:val="00D26879"/>
    <w:rsid w:val="00D332D6"/>
    <w:rsid w:val="00D35E8A"/>
    <w:rsid w:val="00D40EC8"/>
    <w:rsid w:val="00D4594A"/>
    <w:rsid w:val="00D4626A"/>
    <w:rsid w:val="00D47724"/>
    <w:rsid w:val="00D51C41"/>
    <w:rsid w:val="00D530C0"/>
    <w:rsid w:val="00D53A16"/>
    <w:rsid w:val="00D545A4"/>
    <w:rsid w:val="00D55F4F"/>
    <w:rsid w:val="00D5623F"/>
    <w:rsid w:val="00D5691C"/>
    <w:rsid w:val="00D57FE3"/>
    <w:rsid w:val="00D60800"/>
    <w:rsid w:val="00D61E8F"/>
    <w:rsid w:val="00D6200C"/>
    <w:rsid w:val="00D65BE9"/>
    <w:rsid w:val="00D71A18"/>
    <w:rsid w:val="00D72F71"/>
    <w:rsid w:val="00D739F6"/>
    <w:rsid w:val="00D73DC9"/>
    <w:rsid w:val="00D7708B"/>
    <w:rsid w:val="00D80E0C"/>
    <w:rsid w:val="00D8103C"/>
    <w:rsid w:val="00D82439"/>
    <w:rsid w:val="00D825DB"/>
    <w:rsid w:val="00D845CD"/>
    <w:rsid w:val="00D8488E"/>
    <w:rsid w:val="00D85844"/>
    <w:rsid w:val="00D871A3"/>
    <w:rsid w:val="00D87677"/>
    <w:rsid w:val="00D876E6"/>
    <w:rsid w:val="00D90E07"/>
    <w:rsid w:val="00D92945"/>
    <w:rsid w:val="00D936CA"/>
    <w:rsid w:val="00D95785"/>
    <w:rsid w:val="00D963F9"/>
    <w:rsid w:val="00DA003F"/>
    <w:rsid w:val="00DA2F8A"/>
    <w:rsid w:val="00DA4951"/>
    <w:rsid w:val="00DA647D"/>
    <w:rsid w:val="00DB1C0D"/>
    <w:rsid w:val="00DB3592"/>
    <w:rsid w:val="00DB5641"/>
    <w:rsid w:val="00DB5E04"/>
    <w:rsid w:val="00DC10A5"/>
    <w:rsid w:val="00DC2D1B"/>
    <w:rsid w:val="00DC3335"/>
    <w:rsid w:val="00DC39D8"/>
    <w:rsid w:val="00DC4388"/>
    <w:rsid w:val="00DC6ACB"/>
    <w:rsid w:val="00DD17D2"/>
    <w:rsid w:val="00DD1E73"/>
    <w:rsid w:val="00DD1F6E"/>
    <w:rsid w:val="00DD26FB"/>
    <w:rsid w:val="00DD281E"/>
    <w:rsid w:val="00DD4572"/>
    <w:rsid w:val="00DD4745"/>
    <w:rsid w:val="00DD5368"/>
    <w:rsid w:val="00DD5B87"/>
    <w:rsid w:val="00DD6685"/>
    <w:rsid w:val="00DD7648"/>
    <w:rsid w:val="00DE60B8"/>
    <w:rsid w:val="00DF1912"/>
    <w:rsid w:val="00DF1FF8"/>
    <w:rsid w:val="00DF2D43"/>
    <w:rsid w:val="00DF36B5"/>
    <w:rsid w:val="00DF7D04"/>
    <w:rsid w:val="00E00398"/>
    <w:rsid w:val="00E0222A"/>
    <w:rsid w:val="00E057EA"/>
    <w:rsid w:val="00E05B69"/>
    <w:rsid w:val="00E06B80"/>
    <w:rsid w:val="00E072E0"/>
    <w:rsid w:val="00E14656"/>
    <w:rsid w:val="00E161BF"/>
    <w:rsid w:val="00E16387"/>
    <w:rsid w:val="00E16D64"/>
    <w:rsid w:val="00E17B46"/>
    <w:rsid w:val="00E227EF"/>
    <w:rsid w:val="00E24B64"/>
    <w:rsid w:val="00E25E45"/>
    <w:rsid w:val="00E302F4"/>
    <w:rsid w:val="00E31153"/>
    <w:rsid w:val="00E329EE"/>
    <w:rsid w:val="00E32F40"/>
    <w:rsid w:val="00E34792"/>
    <w:rsid w:val="00E358EE"/>
    <w:rsid w:val="00E424C6"/>
    <w:rsid w:val="00E4567B"/>
    <w:rsid w:val="00E5433D"/>
    <w:rsid w:val="00E61FAB"/>
    <w:rsid w:val="00E63873"/>
    <w:rsid w:val="00E63E40"/>
    <w:rsid w:val="00E64A8E"/>
    <w:rsid w:val="00E65958"/>
    <w:rsid w:val="00E66547"/>
    <w:rsid w:val="00E70A35"/>
    <w:rsid w:val="00E72822"/>
    <w:rsid w:val="00E7294B"/>
    <w:rsid w:val="00E746F3"/>
    <w:rsid w:val="00E81B64"/>
    <w:rsid w:val="00E83FF8"/>
    <w:rsid w:val="00E86FD0"/>
    <w:rsid w:val="00E87330"/>
    <w:rsid w:val="00E876BA"/>
    <w:rsid w:val="00E87F3B"/>
    <w:rsid w:val="00E90202"/>
    <w:rsid w:val="00E90DCE"/>
    <w:rsid w:val="00E94E05"/>
    <w:rsid w:val="00E96096"/>
    <w:rsid w:val="00E97235"/>
    <w:rsid w:val="00EA06E6"/>
    <w:rsid w:val="00EA3AA1"/>
    <w:rsid w:val="00EA7CBF"/>
    <w:rsid w:val="00EA7D11"/>
    <w:rsid w:val="00EA7EDD"/>
    <w:rsid w:val="00EB2086"/>
    <w:rsid w:val="00EB23BD"/>
    <w:rsid w:val="00EB59D5"/>
    <w:rsid w:val="00EB733D"/>
    <w:rsid w:val="00EB771F"/>
    <w:rsid w:val="00EB7DEC"/>
    <w:rsid w:val="00EC2CA8"/>
    <w:rsid w:val="00EC367A"/>
    <w:rsid w:val="00EC3683"/>
    <w:rsid w:val="00EC3909"/>
    <w:rsid w:val="00EC5DCD"/>
    <w:rsid w:val="00ED612D"/>
    <w:rsid w:val="00ED7CD2"/>
    <w:rsid w:val="00EE2C65"/>
    <w:rsid w:val="00EE4013"/>
    <w:rsid w:val="00EE4317"/>
    <w:rsid w:val="00EF26C8"/>
    <w:rsid w:val="00EF4471"/>
    <w:rsid w:val="00EF6182"/>
    <w:rsid w:val="00F009B2"/>
    <w:rsid w:val="00F02730"/>
    <w:rsid w:val="00F02F94"/>
    <w:rsid w:val="00F0690A"/>
    <w:rsid w:val="00F120F2"/>
    <w:rsid w:val="00F124DC"/>
    <w:rsid w:val="00F12985"/>
    <w:rsid w:val="00F13AB3"/>
    <w:rsid w:val="00F13AB8"/>
    <w:rsid w:val="00F21122"/>
    <w:rsid w:val="00F227FE"/>
    <w:rsid w:val="00F24905"/>
    <w:rsid w:val="00F25EF3"/>
    <w:rsid w:val="00F27002"/>
    <w:rsid w:val="00F323BF"/>
    <w:rsid w:val="00F33516"/>
    <w:rsid w:val="00F342F0"/>
    <w:rsid w:val="00F3519C"/>
    <w:rsid w:val="00F42214"/>
    <w:rsid w:val="00F4453E"/>
    <w:rsid w:val="00F46714"/>
    <w:rsid w:val="00F46C88"/>
    <w:rsid w:val="00F52731"/>
    <w:rsid w:val="00F5702C"/>
    <w:rsid w:val="00F5737A"/>
    <w:rsid w:val="00F609C3"/>
    <w:rsid w:val="00F628AB"/>
    <w:rsid w:val="00F63DD9"/>
    <w:rsid w:val="00F64AD1"/>
    <w:rsid w:val="00F65AB5"/>
    <w:rsid w:val="00F678F7"/>
    <w:rsid w:val="00F71321"/>
    <w:rsid w:val="00F7304C"/>
    <w:rsid w:val="00F81A6D"/>
    <w:rsid w:val="00F8473A"/>
    <w:rsid w:val="00F85535"/>
    <w:rsid w:val="00F8593E"/>
    <w:rsid w:val="00F8630D"/>
    <w:rsid w:val="00F868B6"/>
    <w:rsid w:val="00F86BDE"/>
    <w:rsid w:val="00F87615"/>
    <w:rsid w:val="00F92AD2"/>
    <w:rsid w:val="00F9319C"/>
    <w:rsid w:val="00F9338E"/>
    <w:rsid w:val="00F93DFB"/>
    <w:rsid w:val="00F94F7F"/>
    <w:rsid w:val="00F95CF9"/>
    <w:rsid w:val="00F979C5"/>
    <w:rsid w:val="00FA031D"/>
    <w:rsid w:val="00FA06E6"/>
    <w:rsid w:val="00FA095D"/>
    <w:rsid w:val="00FA1A41"/>
    <w:rsid w:val="00FA3D82"/>
    <w:rsid w:val="00FA4A96"/>
    <w:rsid w:val="00FA4E03"/>
    <w:rsid w:val="00FA6604"/>
    <w:rsid w:val="00FB4EB5"/>
    <w:rsid w:val="00FC094E"/>
    <w:rsid w:val="00FC0C34"/>
    <w:rsid w:val="00FC1A99"/>
    <w:rsid w:val="00FC2BA4"/>
    <w:rsid w:val="00FC30D0"/>
    <w:rsid w:val="00FC3932"/>
    <w:rsid w:val="00FC5BD2"/>
    <w:rsid w:val="00FC6DA7"/>
    <w:rsid w:val="00FC7243"/>
    <w:rsid w:val="00FD017F"/>
    <w:rsid w:val="00FD0F1F"/>
    <w:rsid w:val="00FD2978"/>
    <w:rsid w:val="00FD2EEC"/>
    <w:rsid w:val="00FD2F4F"/>
    <w:rsid w:val="00FD34FC"/>
    <w:rsid w:val="00FD40F1"/>
    <w:rsid w:val="00FD7DA9"/>
    <w:rsid w:val="00FE2158"/>
    <w:rsid w:val="00FE4068"/>
    <w:rsid w:val="00FE47B4"/>
    <w:rsid w:val="00FE5EF2"/>
    <w:rsid w:val="00FF3657"/>
    <w:rsid w:val="00FF3B78"/>
    <w:rsid w:val="00FF5EE5"/>
    <w:rsid w:val="00FF690D"/>
    <w:rsid w:val="00FF72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uiPriority="0"/>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C6DA7"/>
    <w:pPr>
      <w:spacing w:after="200" w:line="276" w:lineRule="auto"/>
    </w:pPr>
    <w:rPr>
      <w:lang w:eastAsia="en-US"/>
    </w:rPr>
  </w:style>
  <w:style w:type="paragraph" w:styleId="Heading1">
    <w:name w:val="heading 1"/>
    <w:basedOn w:val="Heading2"/>
    <w:next w:val="Normal"/>
    <w:link w:val="Heading1Char"/>
    <w:uiPriority w:val="9"/>
    <w:qFormat/>
    <w:rsid w:val="00524CC3"/>
    <w:pPr>
      <w:numPr>
        <w:ilvl w:val="0"/>
      </w:numPr>
      <w:outlineLvl w:val="0"/>
    </w:pPr>
    <w:rPr>
      <w:sz w:val="44"/>
      <w:szCs w:val="44"/>
    </w:rPr>
  </w:style>
  <w:style w:type="paragraph" w:styleId="Heading2">
    <w:name w:val="heading 2"/>
    <w:basedOn w:val="Normal"/>
    <w:next w:val="Normal"/>
    <w:link w:val="Heading2Char"/>
    <w:uiPriority w:val="9"/>
    <w:qFormat/>
    <w:rsid w:val="00524CC3"/>
    <w:pPr>
      <w:keepNext/>
      <w:numPr>
        <w:ilvl w:val="1"/>
        <w:numId w:val="24"/>
      </w:numPr>
      <w:spacing w:after="120" w:line="240" w:lineRule="auto"/>
      <w:outlineLvl w:val="1"/>
    </w:pPr>
    <w:rPr>
      <w:rFonts w:eastAsia="Dotum" w:cs="Calibri"/>
      <w:sz w:val="32"/>
      <w:szCs w:val="36"/>
    </w:rPr>
  </w:style>
  <w:style w:type="paragraph" w:styleId="Heading3">
    <w:name w:val="heading 3"/>
    <w:basedOn w:val="Heading4"/>
    <w:next w:val="Normal"/>
    <w:link w:val="Heading3Char"/>
    <w:uiPriority w:val="9"/>
    <w:qFormat/>
    <w:rsid w:val="00611664"/>
    <w:pPr>
      <w:numPr>
        <w:ilvl w:val="2"/>
      </w:numPr>
      <w:outlineLvl w:val="2"/>
    </w:pPr>
    <w:rPr>
      <w:color w:val="C00000"/>
    </w:rPr>
  </w:style>
  <w:style w:type="paragraph" w:styleId="Heading4">
    <w:name w:val="heading 4"/>
    <w:basedOn w:val="Normal"/>
    <w:next w:val="Normal"/>
    <w:link w:val="Heading4Char"/>
    <w:uiPriority w:val="9"/>
    <w:qFormat/>
    <w:rsid w:val="007E5C37"/>
    <w:pPr>
      <w:numPr>
        <w:ilvl w:val="3"/>
        <w:numId w:val="24"/>
      </w:numPr>
      <w:spacing w:after="0"/>
      <w:outlineLvl w:val="3"/>
    </w:pPr>
    <w:rPr>
      <w:rFonts w:cs="Calibri"/>
      <w:b/>
    </w:rPr>
  </w:style>
  <w:style w:type="paragraph" w:styleId="Heading5">
    <w:name w:val="heading 5"/>
    <w:basedOn w:val="Normal"/>
    <w:next w:val="Normal"/>
    <w:link w:val="Heading5Char"/>
    <w:uiPriority w:val="9"/>
    <w:qFormat/>
    <w:rsid w:val="00B3726E"/>
    <w:pPr>
      <w:keepNext/>
      <w:keepLines/>
      <w:numPr>
        <w:ilvl w:val="4"/>
        <w:numId w:val="24"/>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qFormat/>
    <w:rsid w:val="00B3726E"/>
    <w:pPr>
      <w:keepNext/>
      <w:keepLines/>
      <w:numPr>
        <w:ilvl w:val="5"/>
        <w:numId w:val="24"/>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B3726E"/>
    <w:pPr>
      <w:keepNext/>
      <w:keepLines/>
      <w:numPr>
        <w:ilvl w:val="6"/>
        <w:numId w:val="24"/>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B3726E"/>
    <w:pPr>
      <w:keepNext/>
      <w:keepLines/>
      <w:numPr>
        <w:ilvl w:val="7"/>
        <w:numId w:val="24"/>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B3726E"/>
    <w:pPr>
      <w:keepNext/>
      <w:keepLines/>
      <w:numPr>
        <w:ilvl w:val="8"/>
        <w:numId w:val="24"/>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24CC3"/>
    <w:rPr>
      <w:rFonts w:eastAsia="Dotum" w:cs="Calibri"/>
      <w:sz w:val="44"/>
      <w:szCs w:val="44"/>
      <w:lang w:eastAsia="en-US"/>
    </w:rPr>
  </w:style>
  <w:style w:type="character" w:customStyle="1" w:styleId="Heading2Char">
    <w:name w:val="Heading 2 Char"/>
    <w:basedOn w:val="DefaultParagraphFont"/>
    <w:link w:val="Heading2"/>
    <w:uiPriority w:val="9"/>
    <w:locked/>
    <w:rsid w:val="00524CC3"/>
    <w:rPr>
      <w:rFonts w:eastAsia="Dotum" w:cs="Calibri"/>
      <w:sz w:val="32"/>
      <w:szCs w:val="36"/>
      <w:lang w:eastAsia="en-US"/>
    </w:rPr>
  </w:style>
  <w:style w:type="character" w:customStyle="1" w:styleId="Heading3Char">
    <w:name w:val="Heading 3 Char"/>
    <w:basedOn w:val="DefaultParagraphFont"/>
    <w:link w:val="Heading3"/>
    <w:uiPriority w:val="9"/>
    <w:locked/>
    <w:rsid w:val="00611664"/>
    <w:rPr>
      <w:rFonts w:cs="Calibri"/>
      <w:b/>
      <w:color w:val="C00000"/>
      <w:lang w:eastAsia="en-US"/>
    </w:rPr>
  </w:style>
  <w:style w:type="character" w:customStyle="1" w:styleId="Heading4Char">
    <w:name w:val="Heading 4 Char"/>
    <w:basedOn w:val="DefaultParagraphFont"/>
    <w:link w:val="Heading4"/>
    <w:uiPriority w:val="9"/>
    <w:locked/>
    <w:rsid w:val="007E5C37"/>
    <w:rPr>
      <w:rFonts w:cs="Calibri"/>
      <w:b/>
      <w:lang w:eastAsia="en-US"/>
    </w:rPr>
  </w:style>
  <w:style w:type="character" w:customStyle="1" w:styleId="Heading5Char">
    <w:name w:val="Heading 5 Char"/>
    <w:basedOn w:val="DefaultParagraphFont"/>
    <w:link w:val="Heading5"/>
    <w:uiPriority w:val="9"/>
    <w:locked/>
    <w:rsid w:val="00B3726E"/>
    <w:rPr>
      <w:rFonts w:ascii="Cambria" w:eastAsia="Times New Roman" w:hAnsi="Cambria"/>
      <w:color w:val="243F60"/>
      <w:lang w:eastAsia="en-US"/>
    </w:rPr>
  </w:style>
  <w:style w:type="character" w:customStyle="1" w:styleId="Heading6Char">
    <w:name w:val="Heading 6 Char"/>
    <w:basedOn w:val="DefaultParagraphFont"/>
    <w:link w:val="Heading6"/>
    <w:uiPriority w:val="9"/>
    <w:locked/>
    <w:rsid w:val="00B3726E"/>
    <w:rPr>
      <w:rFonts w:ascii="Cambria" w:eastAsia="Times New Roman" w:hAnsi="Cambria"/>
      <w:i/>
      <w:iCs/>
      <w:color w:val="243F60"/>
      <w:lang w:eastAsia="en-US"/>
    </w:rPr>
  </w:style>
  <w:style w:type="character" w:customStyle="1" w:styleId="Heading7Char">
    <w:name w:val="Heading 7 Char"/>
    <w:basedOn w:val="DefaultParagraphFont"/>
    <w:link w:val="Heading7"/>
    <w:uiPriority w:val="9"/>
    <w:locked/>
    <w:rsid w:val="00B3726E"/>
    <w:rPr>
      <w:rFonts w:ascii="Cambria" w:eastAsia="Times New Roman" w:hAnsi="Cambria"/>
      <w:i/>
      <w:iCs/>
      <w:color w:val="404040"/>
      <w:lang w:eastAsia="en-US"/>
    </w:rPr>
  </w:style>
  <w:style w:type="character" w:customStyle="1" w:styleId="Heading8Char">
    <w:name w:val="Heading 8 Char"/>
    <w:basedOn w:val="DefaultParagraphFont"/>
    <w:link w:val="Heading8"/>
    <w:uiPriority w:val="9"/>
    <w:locked/>
    <w:rsid w:val="00B3726E"/>
    <w:rPr>
      <w:rFonts w:ascii="Cambria" w:eastAsia="Times New Roman" w:hAnsi="Cambria"/>
      <w:color w:val="404040"/>
      <w:sz w:val="20"/>
      <w:szCs w:val="20"/>
      <w:lang w:eastAsia="en-US"/>
    </w:rPr>
  </w:style>
  <w:style w:type="character" w:customStyle="1" w:styleId="Heading9Char">
    <w:name w:val="Heading 9 Char"/>
    <w:basedOn w:val="DefaultParagraphFont"/>
    <w:link w:val="Heading9"/>
    <w:uiPriority w:val="9"/>
    <w:locked/>
    <w:rsid w:val="00B3726E"/>
    <w:rPr>
      <w:rFonts w:ascii="Cambria" w:eastAsia="Times New Roman" w:hAnsi="Cambria"/>
      <w:i/>
      <w:iCs/>
      <w:color w:val="404040"/>
      <w:sz w:val="20"/>
      <w:szCs w:val="20"/>
      <w:lang w:eastAsia="en-US"/>
    </w:rPr>
  </w:style>
  <w:style w:type="paragraph" w:styleId="ListParagraph">
    <w:name w:val="List Paragraph"/>
    <w:basedOn w:val="Normal"/>
    <w:link w:val="ListParagraphChar"/>
    <w:uiPriority w:val="34"/>
    <w:qFormat/>
    <w:rsid w:val="00B3726E"/>
    <w:pPr>
      <w:ind w:left="720"/>
      <w:contextualSpacing/>
    </w:pPr>
  </w:style>
  <w:style w:type="table" w:styleId="TableGrid">
    <w:name w:val="Table Grid"/>
    <w:basedOn w:val="TableNormal"/>
    <w:uiPriority w:val="59"/>
    <w:rsid w:val="00B372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imes New Roman" w:hAnsi="Arial"/>
      <w:caps/>
      <w:color w:val="1E1E1E"/>
      <w:spacing w:val="-22"/>
      <w:w w:val="105"/>
      <w:kern w:val="28"/>
      <w:sz w:val="80"/>
      <w:szCs w:val="80"/>
    </w:rPr>
  </w:style>
  <w:style w:type="character" w:customStyle="1" w:styleId="TitleChar">
    <w:name w:val="Title Char"/>
    <w:basedOn w:val="DefaultParagraphFont"/>
    <w:link w:val="Title"/>
    <w:uiPriority w:val="10"/>
    <w:locked/>
    <w:rsid w:val="00036EDC"/>
    <w:rPr>
      <w:rFonts w:ascii="Arial" w:hAnsi="Arial" w:cs="Times New Roman"/>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Cambria" w:eastAsia="Times New Roman" w:hAnsi="Cambria"/>
      <w:i/>
      <w:iCs/>
      <w:color w:val="C60C30"/>
      <w:spacing w:val="15"/>
      <w:sz w:val="24"/>
      <w:szCs w:val="24"/>
    </w:rPr>
  </w:style>
  <w:style w:type="character" w:customStyle="1" w:styleId="SubtitleChar">
    <w:name w:val="Subtitle Char"/>
    <w:basedOn w:val="DefaultParagraphFont"/>
    <w:link w:val="Subtitle"/>
    <w:uiPriority w:val="11"/>
    <w:locked/>
    <w:rsid w:val="004D4636"/>
    <w:rPr>
      <w:rFonts w:ascii="Cambria" w:hAnsi="Cambria" w:cs="Times New Roman"/>
      <w:i/>
      <w:iCs/>
      <w:color w:val="C60C30"/>
      <w:spacing w:val="15"/>
      <w:sz w:val="24"/>
      <w:szCs w:val="24"/>
    </w:rPr>
  </w:style>
  <w:style w:type="paragraph" w:styleId="Header">
    <w:name w:val="header"/>
    <w:basedOn w:val="Normal"/>
    <w:link w:val="HeaderChar"/>
    <w:uiPriority w:val="99"/>
    <w:rsid w:val="00856708"/>
    <w:pPr>
      <w:tabs>
        <w:tab w:val="center" w:pos="4513"/>
        <w:tab w:val="right" w:pos="9026"/>
      </w:tabs>
      <w:spacing w:after="0"/>
    </w:pPr>
  </w:style>
  <w:style w:type="character" w:customStyle="1" w:styleId="HeaderChar">
    <w:name w:val="Header Char"/>
    <w:basedOn w:val="DefaultParagraphFont"/>
    <w:link w:val="Header"/>
    <w:uiPriority w:val="99"/>
    <w:locked/>
    <w:rsid w:val="00856708"/>
    <w:rPr>
      <w:rFonts w:ascii="Calibri" w:eastAsia="Dotum" w:hAnsi="Calibri" w:cs="Calibri"/>
    </w:rPr>
  </w:style>
  <w:style w:type="paragraph" w:styleId="Footer">
    <w:name w:val="footer"/>
    <w:basedOn w:val="Normal"/>
    <w:link w:val="FooterChar"/>
    <w:uiPriority w:val="99"/>
    <w:rsid w:val="00856708"/>
    <w:pPr>
      <w:tabs>
        <w:tab w:val="center" w:pos="4513"/>
        <w:tab w:val="right" w:pos="9026"/>
      </w:tabs>
      <w:spacing w:after="0"/>
    </w:pPr>
  </w:style>
  <w:style w:type="character" w:customStyle="1" w:styleId="FooterChar">
    <w:name w:val="Footer Char"/>
    <w:basedOn w:val="DefaultParagraphFont"/>
    <w:link w:val="Footer"/>
    <w:uiPriority w:val="99"/>
    <w:locked/>
    <w:rsid w:val="00856708"/>
    <w:rPr>
      <w:rFonts w:ascii="Calibri" w:eastAsia="Dotum" w:hAnsi="Calibri" w:cs="Calibri"/>
    </w:rPr>
  </w:style>
  <w:style w:type="paragraph" w:styleId="NormalWeb">
    <w:name w:val="Normal (Web)"/>
    <w:basedOn w:val="Normal"/>
    <w:uiPriority w:val="99"/>
    <w:rsid w:val="00AD02D0"/>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rsid w:val="00AD02D0"/>
    <w:rPr>
      <w:rFonts w:cs="Times New Roman"/>
      <w:color w:val="0000FF"/>
      <w:u w:val="single"/>
    </w:rPr>
  </w:style>
  <w:style w:type="paragraph" w:styleId="BalloonText">
    <w:name w:val="Balloon Text"/>
    <w:basedOn w:val="Normal"/>
    <w:link w:val="BalloonTextChar"/>
    <w:uiPriority w:val="99"/>
    <w:rsid w:val="00AD02D0"/>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AD02D0"/>
    <w:rPr>
      <w:rFonts w:ascii="Tahoma" w:eastAsia="Dotum" w:hAnsi="Tahoma" w:cs="Tahoma"/>
      <w:sz w:val="16"/>
      <w:szCs w:val="16"/>
    </w:rPr>
  </w:style>
  <w:style w:type="paragraph" w:styleId="BodyText">
    <w:name w:val="Body Text"/>
    <w:basedOn w:val="Normal"/>
    <w:link w:val="BodyTextChar"/>
    <w:uiPriority w:val="99"/>
    <w:rsid w:val="009F7D0F"/>
    <w:pPr>
      <w:tabs>
        <w:tab w:val="left" w:pos="1560"/>
      </w:tabs>
      <w:spacing w:after="120" w:line="240" w:lineRule="auto"/>
      <w:ind w:right="879"/>
    </w:pPr>
    <w:rPr>
      <w:rFonts w:ascii="Arial" w:eastAsia="Times New Roman" w:hAnsi="Arial"/>
      <w:sz w:val="24"/>
      <w:szCs w:val="20"/>
      <w:lang w:val="en-GB"/>
    </w:rPr>
  </w:style>
  <w:style w:type="character" w:customStyle="1" w:styleId="BodyTextChar">
    <w:name w:val="Body Text Char"/>
    <w:basedOn w:val="DefaultParagraphFont"/>
    <w:link w:val="BodyText"/>
    <w:uiPriority w:val="99"/>
    <w:locked/>
    <w:rsid w:val="009F7D0F"/>
    <w:rPr>
      <w:rFonts w:ascii="Arial" w:hAnsi="Arial" w:cs="Times New Roman"/>
      <w:sz w:val="20"/>
      <w:szCs w:val="20"/>
      <w:lang w:val="en-GB"/>
    </w:rPr>
  </w:style>
  <w:style w:type="paragraph" w:customStyle="1" w:styleId="StyleHeading1Left">
    <w:name w:val="Style Heading 1 + Left"/>
    <w:basedOn w:val="Heading1"/>
    <w:uiPriority w:val="99"/>
    <w:rsid w:val="009F7D0F"/>
    <w:pPr>
      <w:tabs>
        <w:tab w:val="left" w:pos="709"/>
        <w:tab w:val="left" w:pos="1418"/>
        <w:tab w:val="left" w:pos="2126"/>
        <w:tab w:val="left" w:pos="2835"/>
      </w:tabs>
      <w:spacing w:before="120"/>
    </w:pPr>
    <w:rPr>
      <w:rFonts w:ascii="Arial Bold" w:eastAsia="Times New Roman" w:hAnsi="Arial Bold" w:cs="Times New Roman"/>
      <w:b/>
      <w:caps/>
      <w:color w:val="800000"/>
      <w:szCs w:val="20"/>
      <w:lang w:val="en-GB"/>
    </w:rPr>
  </w:style>
  <w:style w:type="table" w:styleId="TableContemporary">
    <w:name w:val="Table Contemporary"/>
    <w:basedOn w:val="TableNormal"/>
    <w:uiPriority w:val="99"/>
    <w:rsid w:val="009F7D0F"/>
    <w:rPr>
      <w:rFonts w:eastAsia="Times New Roman"/>
      <w:sz w:val="20"/>
      <w:szCs w:val="20"/>
    </w:rPr>
    <w:tblPr>
      <w:tblStyleRowBandSize w:val="1"/>
      <w:tblBorders>
        <w:insideH w:val="single" w:sz="18" w:space="0" w:color="FFFFFF"/>
        <w:insideV w:val="single" w:sz="18" w:space="0" w:color="FFFFFF"/>
      </w:tblBorders>
    </w:tblPr>
    <w:tblStylePr w:type="firstRow">
      <w:rPr>
        <w:rFonts w:ascii="Cambria" w:hAnsi="Cambria"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TableContents">
    <w:name w:val="Table Contents"/>
    <w:basedOn w:val="Normal"/>
    <w:uiPriority w:val="99"/>
    <w:rsid w:val="009F7D0F"/>
    <w:pPr>
      <w:spacing w:after="0" w:line="240" w:lineRule="auto"/>
    </w:pPr>
    <w:rPr>
      <w:rFonts w:ascii="Arial" w:hAnsi="Arial"/>
      <w:sz w:val="18"/>
      <w:szCs w:val="20"/>
      <w:lang w:val="en-US" w:eastAsia="en-AU"/>
    </w:rPr>
  </w:style>
  <w:style w:type="character" w:styleId="Emphasis">
    <w:name w:val="Emphasis"/>
    <w:basedOn w:val="DefaultParagraphFont"/>
    <w:uiPriority w:val="20"/>
    <w:qFormat/>
    <w:rsid w:val="009F7D0F"/>
    <w:rPr>
      <w:rFonts w:cs="Times New Roman"/>
      <w:i/>
      <w:iCs/>
    </w:rPr>
  </w:style>
  <w:style w:type="character" w:styleId="Strong">
    <w:name w:val="Strong"/>
    <w:basedOn w:val="DefaultParagraphFont"/>
    <w:uiPriority w:val="22"/>
    <w:qFormat/>
    <w:rsid w:val="009F7D0F"/>
    <w:rPr>
      <w:rFonts w:cs="Times New Roman"/>
      <w:b/>
      <w:bCs/>
    </w:rPr>
  </w:style>
  <w:style w:type="paragraph" w:styleId="BodyTextFirstIndent">
    <w:name w:val="Body Text First Indent"/>
    <w:basedOn w:val="BodyText"/>
    <w:link w:val="BodyTextFirstIndentChar"/>
    <w:uiPriority w:val="99"/>
    <w:rsid w:val="009F7D0F"/>
    <w:pPr>
      <w:tabs>
        <w:tab w:val="clear" w:pos="1560"/>
      </w:tabs>
      <w:spacing w:after="200" w:line="276" w:lineRule="auto"/>
      <w:ind w:right="0" w:firstLine="360"/>
    </w:pPr>
    <w:rPr>
      <w:rFonts w:ascii="Calibri" w:eastAsia="Calibri" w:hAnsi="Calibri"/>
      <w:sz w:val="22"/>
      <w:szCs w:val="22"/>
      <w:lang w:val="en-AU"/>
    </w:rPr>
  </w:style>
  <w:style w:type="character" w:customStyle="1" w:styleId="BodyTextFirstIndentChar">
    <w:name w:val="Body Text First Indent Char"/>
    <w:basedOn w:val="BodyTextChar"/>
    <w:link w:val="BodyTextFirstIndent"/>
    <w:uiPriority w:val="99"/>
    <w:locked/>
    <w:rsid w:val="009F7D0F"/>
    <w:rPr>
      <w:rFonts w:ascii="Arial" w:hAnsi="Arial" w:cs="Times New Roman"/>
      <w:sz w:val="20"/>
      <w:szCs w:val="20"/>
      <w:lang w:val="en-GB"/>
    </w:rPr>
  </w:style>
  <w:style w:type="paragraph" w:styleId="BodyText2">
    <w:name w:val="Body Text 2"/>
    <w:basedOn w:val="Normal"/>
    <w:link w:val="BodyText2Char"/>
    <w:uiPriority w:val="99"/>
    <w:rsid w:val="009F7D0F"/>
    <w:pPr>
      <w:spacing w:after="120" w:line="480" w:lineRule="auto"/>
    </w:pPr>
  </w:style>
  <w:style w:type="character" w:customStyle="1" w:styleId="BodyText2Char">
    <w:name w:val="Body Text 2 Char"/>
    <w:basedOn w:val="DefaultParagraphFont"/>
    <w:link w:val="BodyText2"/>
    <w:uiPriority w:val="99"/>
    <w:locked/>
    <w:rsid w:val="009F7D0F"/>
    <w:rPr>
      <w:rFonts w:cs="Times New Roman"/>
    </w:rPr>
  </w:style>
  <w:style w:type="paragraph" w:styleId="BodyText3">
    <w:name w:val="Body Text 3"/>
    <w:basedOn w:val="Normal"/>
    <w:link w:val="BodyText3Char"/>
    <w:uiPriority w:val="99"/>
    <w:rsid w:val="009F7D0F"/>
    <w:pPr>
      <w:spacing w:after="120"/>
    </w:pPr>
    <w:rPr>
      <w:sz w:val="16"/>
      <w:szCs w:val="16"/>
    </w:rPr>
  </w:style>
  <w:style w:type="character" w:customStyle="1" w:styleId="BodyText3Char">
    <w:name w:val="Body Text 3 Char"/>
    <w:basedOn w:val="DefaultParagraphFont"/>
    <w:link w:val="BodyText3"/>
    <w:uiPriority w:val="99"/>
    <w:locked/>
    <w:rsid w:val="009F7D0F"/>
    <w:rPr>
      <w:rFonts w:cs="Times New Roman"/>
      <w:sz w:val="16"/>
      <w:szCs w:val="16"/>
    </w:rPr>
  </w:style>
  <w:style w:type="paragraph" w:styleId="ListNumber">
    <w:name w:val="List Number"/>
    <w:basedOn w:val="Normal"/>
    <w:uiPriority w:val="99"/>
    <w:rsid w:val="009F7D0F"/>
    <w:pPr>
      <w:numPr>
        <w:numId w:val="1"/>
      </w:numPr>
      <w:contextualSpacing/>
    </w:pPr>
  </w:style>
  <w:style w:type="paragraph" w:styleId="Revision">
    <w:name w:val="Revision"/>
    <w:hidden/>
    <w:uiPriority w:val="99"/>
    <w:semiHidden/>
    <w:rsid w:val="009F7D0F"/>
    <w:rPr>
      <w:lang w:eastAsia="en-US"/>
    </w:rPr>
  </w:style>
  <w:style w:type="paragraph" w:styleId="ListBullet">
    <w:name w:val="List Bullet"/>
    <w:basedOn w:val="Normal"/>
    <w:uiPriority w:val="99"/>
    <w:rsid w:val="00FC6DA7"/>
    <w:pPr>
      <w:tabs>
        <w:tab w:val="num" w:pos="360"/>
      </w:tabs>
      <w:ind w:left="360" w:hanging="360"/>
      <w:contextualSpacing/>
    </w:pPr>
  </w:style>
  <w:style w:type="character" w:styleId="FollowedHyperlink">
    <w:name w:val="FollowedHyperlink"/>
    <w:basedOn w:val="DefaultParagraphFont"/>
    <w:uiPriority w:val="99"/>
    <w:rsid w:val="009F7D0F"/>
    <w:rPr>
      <w:rFonts w:cs="Times New Roman"/>
      <w:color w:val="800080"/>
      <w:u w:val="single"/>
    </w:rPr>
  </w:style>
  <w:style w:type="paragraph" w:styleId="Caption">
    <w:name w:val="caption"/>
    <w:basedOn w:val="Normal"/>
    <w:next w:val="Normal"/>
    <w:uiPriority w:val="99"/>
    <w:qFormat/>
    <w:rsid w:val="00FC6DA7"/>
    <w:pPr>
      <w:spacing w:line="240" w:lineRule="auto"/>
    </w:pPr>
    <w:rPr>
      <w:b/>
      <w:bCs/>
      <w:sz w:val="18"/>
      <w:szCs w:val="18"/>
    </w:rPr>
  </w:style>
  <w:style w:type="paragraph" w:customStyle="1" w:styleId="05-AuthTable1">
    <w:name w:val="05-AuthTable1"/>
    <w:basedOn w:val="Normal"/>
    <w:uiPriority w:val="99"/>
    <w:rsid w:val="009F7D0F"/>
    <w:pPr>
      <w:spacing w:before="20" w:after="20" w:line="360" w:lineRule="auto"/>
      <w:jc w:val="both"/>
    </w:pPr>
    <w:rPr>
      <w:rFonts w:ascii="Arial" w:eastAsia="Times New Roman" w:hAnsi="Arial"/>
      <w:b/>
      <w:bCs/>
      <w:color w:val="FFFFFF"/>
      <w:szCs w:val="20"/>
      <w:lang w:eastAsia="en-AU"/>
    </w:rPr>
  </w:style>
  <w:style w:type="paragraph" w:customStyle="1" w:styleId="05-AuthTable2">
    <w:name w:val="05-AuthTable2"/>
    <w:basedOn w:val="Normal"/>
    <w:uiPriority w:val="99"/>
    <w:rsid w:val="009F7D0F"/>
    <w:pPr>
      <w:spacing w:before="20" w:after="20" w:line="360" w:lineRule="auto"/>
      <w:jc w:val="both"/>
    </w:pPr>
    <w:rPr>
      <w:rFonts w:ascii="Arial" w:eastAsia="Times New Roman" w:hAnsi="Arial"/>
      <w:color w:val="000000"/>
      <w:sz w:val="20"/>
      <w:szCs w:val="20"/>
      <w:lang w:eastAsia="en-AU"/>
    </w:rPr>
  </w:style>
  <w:style w:type="paragraph" w:customStyle="1" w:styleId="05-AuthTable3">
    <w:name w:val="05-AuthTable3"/>
    <w:basedOn w:val="Normal"/>
    <w:link w:val="05-AuthTable3CharChar"/>
    <w:uiPriority w:val="99"/>
    <w:rsid w:val="009F7D0F"/>
    <w:pPr>
      <w:spacing w:before="20" w:after="20" w:line="360" w:lineRule="auto"/>
      <w:jc w:val="both"/>
    </w:pPr>
    <w:rPr>
      <w:rFonts w:ascii="Arial" w:eastAsia="Times New Roman" w:hAnsi="Arial"/>
      <w:sz w:val="20"/>
      <w:szCs w:val="20"/>
      <w:lang w:eastAsia="en-AU"/>
    </w:rPr>
  </w:style>
  <w:style w:type="character" w:customStyle="1" w:styleId="05-AuthTable3CharChar">
    <w:name w:val="05-AuthTable3 Char Char"/>
    <w:basedOn w:val="DefaultParagraphFont"/>
    <w:link w:val="05-AuthTable3"/>
    <w:uiPriority w:val="99"/>
    <w:locked/>
    <w:rsid w:val="009F7D0F"/>
    <w:rPr>
      <w:rFonts w:ascii="Arial" w:hAnsi="Arial" w:cs="Times New Roman"/>
      <w:sz w:val="20"/>
      <w:szCs w:val="20"/>
      <w:lang w:eastAsia="en-AU"/>
    </w:rPr>
  </w:style>
  <w:style w:type="paragraph" w:customStyle="1" w:styleId="05-AuthTable4">
    <w:name w:val="05-AuthTable4"/>
    <w:basedOn w:val="Normal"/>
    <w:uiPriority w:val="99"/>
    <w:rsid w:val="009F7D0F"/>
    <w:pPr>
      <w:spacing w:before="20" w:after="20" w:line="360" w:lineRule="auto"/>
      <w:jc w:val="both"/>
    </w:pPr>
    <w:rPr>
      <w:rFonts w:ascii="Arial" w:eastAsia="Times New Roman" w:hAnsi="Arial"/>
      <w:b/>
      <w:bCs/>
      <w:sz w:val="20"/>
      <w:szCs w:val="20"/>
      <w:lang w:eastAsia="en-AU"/>
    </w:rPr>
  </w:style>
  <w:style w:type="paragraph" w:customStyle="1" w:styleId="HeaderEven">
    <w:name w:val="Header Even"/>
    <w:basedOn w:val="Header"/>
    <w:uiPriority w:val="99"/>
    <w:rsid w:val="00A5491E"/>
    <w:pPr>
      <w:keepNext/>
      <w:pBdr>
        <w:bottom w:val="single" w:sz="2" w:space="2" w:color="335876"/>
      </w:pBdr>
      <w:tabs>
        <w:tab w:val="clear" w:pos="4513"/>
        <w:tab w:val="clear" w:pos="9026"/>
        <w:tab w:val="right" w:pos="9070"/>
      </w:tabs>
      <w:spacing w:line="240" w:lineRule="auto"/>
    </w:pPr>
    <w:rPr>
      <w:rFonts w:ascii="Arial" w:eastAsia="Times New Roman" w:hAnsi="Arial" w:cs="Arial"/>
      <w:color w:val="335876"/>
      <w:sz w:val="18"/>
      <w:szCs w:val="20"/>
      <w:lang w:eastAsia="en-AU"/>
    </w:rPr>
  </w:style>
  <w:style w:type="character" w:styleId="PageNumber">
    <w:name w:val="page number"/>
    <w:basedOn w:val="DefaultParagraphFont"/>
    <w:uiPriority w:val="99"/>
    <w:rsid w:val="00A5491E"/>
    <w:rPr>
      <w:rFonts w:cs="Times New Roman"/>
    </w:rPr>
  </w:style>
  <w:style w:type="paragraph" w:styleId="TOCHeading">
    <w:name w:val="TOC Heading"/>
    <w:basedOn w:val="Heading1"/>
    <w:next w:val="Normal"/>
    <w:uiPriority w:val="99"/>
    <w:qFormat/>
    <w:rsid w:val="00063B05"/>
    <w:pPr>
      <w:keepLines/>
      <w:spacing w:after="0" w:line="276" w:lineRule="auto"/>
      <w:outlineLvl w:val="9"/>
    </w:pPr>
    <w:rPr>
      <w:rFonts w:ascii="Cambria" w:eastAsia="Times New Roman" w:hAnsi="Cambria" w:cs="Times New Roman"/>
      <w:b/>
      <w:color w:val="365F91"/>
      <w:sz w:val="28"/>
      <w:szCs w:val="28"/>
      <w:lang w:val="en-US" w:eastAsia="ja-JP"/>
    </w:rPr>
  </w:style>
  <w:style w:type="paragraph" w:styleId="TOC2">
    <w:name w:val="toc 2"/>
    <w:basedOn w:val="Normal"/>
    <w:next w:val="Normal"/>
    <w:autoRedefine/>
    <w:uiPriority w:val="39"/>
    <w:rsid w:val="002A6E1E"/>
    <w:pPr>
      <w:tabs>
        <w:tab w:val="left" w:pos="880"/>
        <w:tab w:val="right" w:leader="dot" w:pos="8931"/>
      </w:tabs>
      <w:spacing w:after="100"/>
      <w:ind w:left="220"/>
    </w:pPr>
  </w:style>
  <w:style w:type="paragraph" w:styleId="TOC1">
    <w:name w:val="toc 1"/>
    <w:basedOn w:val="Normal"/>
    <w:next w:val="Normal"/>
    <w:autoRedefine/>
    <w:uiPriority w:val="39"/>
    <w:rsid w:val="002A6E1E"/>
    <w:pPr>
      <w:tabs>
        <w:tab w:val="left" w:pos="440"/>
        <w:tab w:val="right" w:leader="dot" w:pos="8931"/>
      </w:tabs>
      <w:spacing w:after="100"/>
    </w:pPr>
  </w:style>
  <w:style w:type="paragraph" w:styleId="TOC3">
    <w:name w:val="toc 3"/>
    <w:basedOn w:val="Normal"/>
    <w:next w:val="Normal"/>
    <w:autoRedefine/>
    <w:uiPriority w:val="99"/>
    <w:rsid w:val="00063B05"/>
    <w:pPr>
      <w:spacing w:after="100"/>
      <w:ind w:left="440"/>
    </w:pPr>
  </w:style>
  <w:style w:type="character" w:styleId="CommentReference">
    <w:name w:val="annotation reference"/>
    <w:basedOn w:val="DefaultParagraphFont"/>
    <w:uiPriority w:val="99"/>
    <w:rsid w:val="00DA2F8A"/>
    <w:rPr>
      <w:rFonts w:cs="Times New Roman"/>
      <w:sz w:val="16"/>
      <w:szCs w:val="16"/>
    </w:rPr>
  </w:style>
  <w:style w:type="paragraph" w:styleId="CommentText">
    <w:name w:val="annotation text"/>
    <w:basedOn w:val="Normal"/>
    <w:link w:val="CommentTextChar"/>
    <w:uiPriority w:val="99"/>
    <w:rsid w:val="00DA2F8A"/>
    <w:pPr>
      <w:spacing w:line="240" w:lineRule="auto"/>
    </w:pPr>
    <w:rPr>
      <w:sz w:val="20"/>
      <w:szCs w:val="20"/>
    </w:rPr>
  </w:style>
  <w:style w:type="character" w:customStyle="1" w:styleId="CommentTextChar">
    <w:name w:val="Comment Text Char"/>
    <w:basedOn w:val="DefaultParagraphFont"/>
    <w:link w:val="CommentText"/>
    <w:uiPriority w:val="99"/>
    <w:locked/>
    <w:rsid w:val="00DA2F8A"/>
    <w:rPr>
      <w:rFonts w:cs="Times New Roman"/>
      <w:sz w:val="20"/>
      <w:szCs w:val="20"/>
    </w:rPr>
  </w:style>
  <w:style w:type="paragraph" w:styleId="CommentSubject">
    <w:name w:val="annotation subject"/>
    <w:basedOn w:val="CommentText"/>
    <w:next w:val="CommentText"/>
    <w:link w:val="CommentSubjectChar"/>
    <w:uiPriority w:val="99"/>
    <w:rsid w:val="00DA2F8A"/>
    <w:rPr>
      <w:b/>
      <w:bCs/>
    </w:rPr>
  </w:style>
  <w:style w:type="character" w:customStyle="1" w:styleId="CommentSubjectChar">
    <w:name w:val="Comment Subject Char"/>
    <w:basedOn w:val="CommentTextChar"/>
    <w:link w:val="CommentSubject"/>
    <w:uiPriority w:val="99"/>
    <w:locked/>
    <w:rsid w:val="00DA2F8A"/>
    <w:rPr>
      <w:rFonts w:cs="Times New Roman"/>
      <w:b/>
      <w:bCs/>
      <w:sz w:val="20"/>
      <w:szCs w:val="20"/>
    </w:rPr>
  </w:style>
  <w:style w:type="paragraph" w:styleId="TOC4">
    <w:name w:val="toc 4"/>
    <w:basedOn w:val="Normal"/>
    <w:next w:val="Normal"/>
    <w:autoRedefine/>
    <w:uiPriority w:val="99"/>
    <w:rsid w:val="00E24B64"/>
    <w:pPr>
      <w:spacing w:after="100"/>
      <w:ind w:left="660"/>
    </w:pPr>
    <w:rPr>
      <w:rFonts w:eastAsia="Times New Roman"/>
      <w:lang w:eastAsia="en-AU"/>
    </w:rPr>
  </w:style>
  <w:style w:type="paragraph" w:styleId="TOC5">
    <w:name w:val="toc 5"/>
    <w:basedOn w:val="Normal"/>
    <w:next w:val="Normal"/>
    <w:autoRedefine/>
    <w:uiPriority w:val="99"/>
    <w:rsid w:val="00E24B64"/>
    <w:pPr>
      <w:spacing w:after="100"/>
      <w:ind w:left="880"/>
    </w:pPr>
    <w:rPr>
      <w:rFonts w:eastAsia="Times New Roman"/>
      <w:lang w:eastAsia="en-AU"/>
    </w:rPr>
  </w:style>
  <w:style w:type="paragraph" w:styleId="TOC6">
    <w:name w:val="toc 6"/>
    <w:basedOn w:val="Normal"/>
    <w:next w:val="Normal"/>
    <w:autoRedefine/>
    <w:uiPriority w:val="99"/>
    <w:rsid w:val="00E24B64"/>
    <w:pPr>
      <w:spacing w:after="100"/>
      <w:ind w:left="1100"/>
    </w:pPr>
    <w:rPr>
      <w:rFonts w:eastAsia="Times New Roman"/>
      <w:lang w:eastAsia="en-AU"/>
    </w:rPr>
  </w:style>
  <w:style w:type="paragraph" w:styleId="TOC7">
    <w:name w:val="toc 7"/>
    <w:basedOn w:val="Normal"/>
    <w:next w:val="Normal"/>
    <w:autoRedefine/>
    <w:uiPriority w:val="99"/>
    <w:rsid w:val="00E24B64"/>
    <w:pPr>
      <w:spacing w:after="100"/>
      <w:ind w:left="1320"/>
    </w:pPr>
    <w:rPr>
      <w:rFonts w:eastAsia="Times New Roman"/>
      <w:lang w:eastAsia="en-AU"/>
    </w:rPr>
  </w:style>
  <w:style w:type="paragraph" w:styleId="TOC8">
    <w:name w:val="toc 8"/>
    <w:basedOn w:val="Normal"/>
    <w:next w:val="Normal"/>
    <w:autoRedefine/>
    <w:uiPriority w:val="99"/>
    <w:rsid w:val="00E24B64"/>
    <w:pPr>
      <w:spacing w:after="100"/>
      <w:ind w:left="1540"/>
    </w:pPr>
    <w:rPr>
      <w:rFonts w:eastAsia="Times New Roman"/>
      <w:lang w:eastAsia="en-AU"/>
    </w:rPr>
  </w:style>
  <w:style w:type="paragraph" w:styleId="TOC9">
    <w:name w:val="toc 9"/>
    <w:basedOn w:val="Normal"/>
    <w:next w:val="Normal"/>
    <w:autoRedefine/>
    <w:uiPriority w:val="99"/>
    <w:rsid w:val="00E24B64"/>
    <w:pPr>
      <w:spacing w:after="100"/>
      <w:ind w:left="1760"/>
    </w:pPr>
    <w:rPr>
      <w:rFonts w:eastAsia="Times New Roman"/>
      <w:lang w:eastAsia="en-AU"/>
    </w:rPr>
  </w:style>
  <w:style w:type="paragraph" w:customStyle="1" w:styleId="TableText">
    <w:name w:val="Table Text"/>
    <w:basedOn w:val="Normal"/>
    <w:rsid w:val="00EB2086"/>
    <w:pPr>
      <w:keepLines/>
      <w:spacing w:before="120" w:line="240" w:lineRule="auto"/>
    </w:pPr>
    <w:rPr>
      <w:rFonts w:eastAsia="Dotum" w:cs="Calibri"/>
      <w:szCs w:val="20"/>
      <w:lang w:eastAsia="en-AU"/>
    </w:rPr>
  </w:style>
  <w:style w:type="paragraph" w:customStyle="1" w:styleId="Guidance">
    <w:name w:val="Guidance"/>
    <w:basedOn w:val="BodyText"/>
    <w:uiPriority w:val="99"/>
    <w:rsid w:val="00EB2086"/>
    <w:pPr>
      <w:pBdr>
        <w:top w:val="single" w:sz="4" w:space="6" w:color="auto"/>
        <w:left w:val="single" w:sz="4" w:space="6" w:color="auto"/>
        <w:bottom w:val="single" w:sz="4" w:space="6" w:color="auto"/>
        <w:right w:val="single" w:sz="4" w:space="6" w:color="auto"/>
      </w:pBdr>
      <w:tabs>
        <w:tab w:val="clear" w:pos="1560"/>
      </w:tabs>
      <w:spacing w:after="0"/>
      <w:ind w:left="851" w:right="0"/>
    </w:pPr>
    <w:rPr>
      <w:rFonts w:ascii="Calibri" w:eastAsia="Dotum" w:hAnsi="Calibri" w:cs="Calibri"/>
      <w:i/>
      <w:sz w:val="20"/>
      <w:szCs w:val="22"/>
      <w:lang w:val="en-AU" w:eastAsia="en-AU"/>
    </w:rPr>
  </w:style>
  <w:style w:type="paragraph" w:customStyle="1" w:styleId="TableTitle">
    <w:name w:val="Table Title"/>
    <w:basedOn w:val="TableText"/>
    <w:rsid w:val="00EB2086"/>
    <w:rPr>
      <w:rFonts w:ascii="Arial" w:hAnsi="Arial"/>
      <w:b/>
    </w:rPr>
  </w:style>
  <w:style w:type="paragraph" w:customStyle="1" w:styleId="AppendixHeading">
    <w:name w:val="Appendix Heading"/>
    <w:basedOn w:val="Normal"/>
    <w:uiPriority w:val="99"/>
    <w:rsid w:val="00EB2086"/>
    <w:pPr>
      <w:spacing w:before="240" w:line="240" w:lineRule="auto"/>
    </w:pPr>
    <w:rPr>
      <w:rFonts w:ascii="Arial" w:eastAsia="Dotum" w:hAnsi="Arial" w:cs="Calibri"/>
      <w:b/>
      <w:sz w:val="28"/>
      <w:lang w:eastAsia="en-AU"/>
    </w:rPr>
  </w:style>
  <w:style w:type="paragraph" w:customStyle="1" w:styleId="StyleHeading1JustifiedAfter9pt">
    <w:name w:val="Style Heading 1 + Justified After:  9 pt"/>
    <w:basedOn w:val="Heading1"/>
    <w:uiPriority w:val="99"/>
    <w:rsid w:val="00EB2086"/>
    <w:pPr>
      <w:keepNext w:val="0"/>
      <w:widowControl w:val="0"/>
      <w:numPr>
        <w:numId w:val="0"/>
      </w:numPr>
      <w:spacing w:before="480" w:after="180"/>
      <w:ind w:right="6"/>
      <w:jc w:val="both"/>
    </w:pPr>
    <w:rPr>
      <w:rFonts w:eastAsia="HYGothic-Extra" w:cs="Times New Roman"/>
      <w:bCs/>
      <w:color w:val="1E1E1E"/>
      <w:spacing w:val="-20"/>
      <w:sz w:val="72"/>
      <w:szCs w:val="20"/>
      <w:lang w:eastAsia="en-AU"/>
    </w:rPr>
  </w:style>
  <w:style w:type="paragraph" w:customStyle="1" w:styleId="04-SectionHeading">
    <w:name w:val="04-Section Heading"/>
    <w:basedOn w:val="Normal"/>
    <w:uiPriority w:val="99"/>
    <w:rsid w:val="00EB2086"/>
    <w:pPr>
      <w:spacing w:before="120" w:line="240" w:lineRule="auto"/>
      <w:jc w:val="both"/>
    </w:pPr>
    <w:rPr>
      <w:rFonts w:ascii="Arial" w:eastAsia="Dotum" w:hAnsi="Arial" w:cs="Calibri"/>
      <w:caps/>
      <w:color w:val="006699"/>
      <w:kern w:val="36"/>
      <w:sz w:val="36"/>
      <w:szCs w:val="20"/>
      <w:lang w:eastAsia="en-AU"/>
    </w:rPr>
  </w:style>
  <w:style w:type="paragraph" w:customStyle="1" w:styleId="15-IndentedNormal">
    <w:name w:val="15- Indented Normal"/>
    <w:basedOn w:val="Normal"/>
    <w:uiPriority w:val="99"/>
    <w:rsid w:val="00EB2086"/>
    <w:pPr>
      <w:spacing w:after="0" w:line="240" w:lineRule="auto"/>
      <w:ind w:left="737"/>
      <w:jc w:val="both"/>
    </w:pPr>
    <w:rPr>
      <w:rFonts w:ascii="Arial" w:eastAsia="Dotum" w:hAnsi="Arial" w:cs="Calibri"/>
      <w:szCs w:val="20"/>
      <w:lang w:eastAsia="en-AU"/>
    </w:rPr>
  </w:style>
  <w:style w:type="paragraph" w:customStyle="1" w:styleId="01-Title1">
    <w:name w:val="01-Title1"/>
    <w:basedOn w:val="Normal"/>
    <w:uiPriority w:val="99"/>
    <w:rsid w:val="00EB2086"/>
    <w:pPr>
      <w:spacing w:after="0" w:line="240" w:lineRule="auto"/>
      <w:ind w:right="2155"/>
      <w:jc w:val="right"/>
    </w:pPr>
    <w:rPr>
      <w:rFonts w:ascii="Verdana" w:eastAsia="Dotum" w:hAnsi="Verdana" w:cs="Calibri"/>
      <w:b/>
      <w:bCs/>
      <w:color w:val="006699"/>
      <w:sz w:val="44"/>
      <w:szCs w:val="20"/>
      <w:lang w:eastAsia="en-AU"/>
    </w:rPr>
  </w:style>
  <w:style w:type="paragraph" w:customStyle="1" w:styleId="02-Title2">
    <w:name w:val="02-Title2"/>
    <w:basedOn w:val="Normal"/>
    <w:uiPriority w:val="99"/>
    <w:rsid w:val="00EB2086"/>
    <w:pPr>
      <w:spacing w:after="0" w:line="240" w:lineRule="auto"/>
      <w:jc w:val="right"/>
    </w:pPr>
    <w:rPr>
      <w:rFonts w:ascii="Verdana" w:eastAsia="Dotum" w:hAnsi="Verdana" w:cs="Calibri"/>
      <w:b/>
      <w:bCs/>
      <w:color w:val="006699"/>
      <w:sz w:val="44"/>
      <w:szCs w:val="20"/>
      <w:lang w:eastAsia="en-AU"/>
    </w:rPr>
  </w:style>
  <w:style w:type="paragraph" w:customStyle="1" w:styleId="03-DocumentProperties">
    <w:name w:val="03-Document Properties"/>
    <w:basedOn w:val="Normal"/>
    <w:uiPriority w:val="99"/>
    <w:rsid w:val="00EB2086"/>
    <w:pPr>
      <w:keepLines/>
      <w:spacing w:before="120" w:line="240" w:lineRule="auto"/>
      <w:ind w:left="-11"/>
    </w:pPr>
    <w:rPr>
      <w:rFonts w:ascii="Arial" w:eastAsia="Dotum" w:hAnsi="Arial" w:cs="Calibri"/>
      <w:b/>
      <w:bCs/>
      <w:color w:val="FFFFFF"/>
      <w:sz w:val="19"/>
      <w:szCs w:val="20"/>
      <w:lang w:val="en-GB" w:eastAsia="en-AU"/>
    </w:rPr>
  </w:style>
  <w:style w:type="paragraph" w:customStyle="1" w:styleId="03-DocumentProperities2">
    <w:name w:val="03 - Document Properities2"/>
    <w:basedOn w:val="Normal"/>
    <w:uiPriority w:val="99"/>
    <w:rsid w:val="00EB2086"/>
    <w:pPr>
      <w:spacing w:line="240" w:lineRule="auto"/>
    </w:pPr>
    <w:rPr>
      <w:rFonts w:ascii="Arial" w:eastAsia="Dotum" w:hAnsi="Arial" w:cs="Calibri"/>
      <w:sz w:val="19"/>
      <w:szCs w:val="20"/>
      <w:lang w:eastAsia="en-AU"/>
    </w:rPr>
  </w:style>
  <w:style w:type="paragraph" w:styleId="BodyTextIndent">
    <w:name w:val="Body Text Indent"/>
    <w:basedOn w:val="Normal"/>
    <w:link w:val="BodyTextIndentChar"/>
    <w:uiPriority w:val="99"/>
    <w:rsid w:val="00EB2086"/>
    <w:pPr>
      <w:spacing w:line="240" w:lineRule="auto"/>
      <w:ind w:left="283"/>
    </w:pPr>
    <w:rPr>
      <w:rFonts w:eastAsia="Dotum" w:cs="Calibri"/>
      <w:sz w:val="24"/>
      <w:szCs w:val="20"/>
      <w:lang w:eastAsia="en-AU"/>
    </w:rPr>
  </w:style>
  <w:style w:type="character" w:customStyle="1" w:styleId="BodyTextIndentChar">
    <w:name w:val="Body Text Indent Char"/>
    <w:basedOn w:val="DefaultParagraphFont"/>
    <w:link w:val="BodyTextIndent"/>
    <w:uiPriority w:val="99"/>
    <w:locked/>
    <w:rsid w:val="00EB2086"/>
    <w:rPr>
      <w:rFonts w:ascii="Calibri" w:eastAsia="Dotum" w:hAnsi="Calibri" w:cs="Calibri"/>
      <w:sz w:val="20"/>
      <w:szCs w:val="20"/>
      <w:lang w:eastAsia="en-AU"/>
    </w:rPr>
  </w:style>
  <w:style w:type="paragraph" w:customStyle="1" w:styleId="ParagraphItalic">
    <w:name w:val="ParagraphItalic"/>
    <w:basedOn w:val="Normal"/>
    <w:uiPriority w:val="99"/>
    <w:rsid w:val="00EB2086"/>
    <w:pPr>
      <w:spacing w:after="240" w:line="240" w:lineRule="auto"/>
      <w:ind w:left="1440"/>
      <w:jc w:val="both"/>
    </w:pPr>
    <w:rPr>
      <w:rFonts w:eastAsia="Dotum" w:cs="Calibri"/>
      <w:i/>
      <w:sz w:val="24"/>
      <w:szCs w:val="20"/>
      <w:lang w:eastAsia="en-AU"/>
    </w:rPr>
  </w:style>
  <w:style w:type="paragraph" w:customStyle="1" w:styleId="Default">
    <w:name w:val="Default"/>
    <w:rsid w:val="00EB2086"/>
    <w:pPr>
      <w:autoSpaceDE w:val="0"/>
      <w:autoSpaceDN w:val="0"/>
      <w:adjustRightInd w:val="0"/>
      <w:spacing w:after="200" w:line="276" w:lineRule="auto"/>
    </w:pPr>
    <w:rPr>
      <w:rFonts w:ascii="Arial" w:hAnsi="Arial" w:cs="Arial"/>
      <w:color w:val="000000"/>
      <w:sz w:val="24"/>
      <w:szCs w:val="24"/>
    </w:rPr>
  </w:style>
  <w:style w:type="paragraph" w:styleId="FootnoteText">
    <w:name w:val="footnote text"/>
    <w:basedOn w:val="Normal"/>
    <w:link w:val="FootnoteTextChar"/>
    <w:uiPriority w:val="99"/>
    <w:semiHidden/>
    <w:rsid w:val="009A3D2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A3D2E"/>
    <w:rPr>
      <w:rFonts w:cs="Times New Roman"/>
      <w:sz w:val="20"/>
      <w:szCs w:val="20"/>
    </w:rPr>
  </w:style>
  <w:style w:type="character" w:styleId="FootnoteReference">
    <w:name w:val="footnote reference"/>
    <w:aliases w:val="(NECG) Footnote Reference,(NECG) Footnote Reference1,(NECG) Footnote Reference2,(NECG) Footnote Reference11,(NECG) Footnote Reference3,(NECG) Footnote Reference12,(NECG) Footnote Reference4"/>
    <w:basedOn w:val="DefaultParagraphFont"/>
    <w:uiPriority w:val="99"/>
    <w:rsid w:val="009A3D2E"/>
    <w:rPr>
      <w:rFonts w:cs="Times New Roman"/>
      <w:vertAlign w:val="superscript"/>
    </w:rPr>
  </w:style>
  <w:style w:type="numbering" w:customStyle="1" w:styleId="BulletPoint">
    <w:name w:val="Bullet Point"/>
    <w:rsid w:val="00936B17"/>
    <w:pPr>
      <w:numPr>
        <w:numId w:val="2"/>
      </w:numPr>
    </w:pPr>
  </w:style>
  <w:style w:type="character" w:customStyle="1" w:styleId="ListParagraphChar">
    <w:name w:val="List Paragraph Char"/>
    <w:link w:val="ListParagraph"/>
    <w:uiPriority w:val="34"/>
    <w:rsid w:val="00A057A4"/>
    <w:rPr>
      <w:lang w:eastAsia="en-US"/>
    </w:rPr>
  </w:style>
  <w:style w:type="paragraph" w:styleId="NoSpacing">
    <w:name w:val="No Spacing"/>
    <w:uiPriority w:val="1"/>
    <w:qFormat/>
    <w:rsid w:val="00A057A4"/>
    <w:rPr>
      <w:rFonts w:eastAsia="Dotum" w:cs="Calibri"/>
      <w:lang w:eastAsia="en-US"/>
    </w:rPr>
  </w:style>
  <w:style w:type="paragraph" w:customStyle="1" w:styleId="78b098ae-d197-4711-b406-c2e0e49d644f">
    <w:name w:val="78b098ae-d197-4711-b406-c2e0e49d644f"/>
    <w:basedOn w:val="Normal"/>
    <w:uiPriority w:val="99"/>
    <w:rsid w:val="00B529B4"/>
    <w:pPr>
      <w:spacing w:after="0" w:line="240" w:lineRule="auto"/>
    </w:pPr>
    <w:rPr>
      <w:rFonts w:ascii="Times New Roman" w:eastAsiaTheme="minorHAnsi" w:hAnsi="Times New Roman"/>
      <w:sz w:val="24"/>
      <w:szCs w:val="24"/>
      <w:lang w:eastAsia="en-AU"/>
    </w:rPr>
  </w:style>
  <w:style w:type="numbering" w:customStyle="1" w:styleId="Indents1">
    <w:name w:val="Indents1"/>
    <w:rsid w:val="002A6E1E"/>
    <w:pPr>
      <w:numPr>
        <w:numId w:val="4"/>
      </w:numPr>
    </w:pPr>
  </w:style>
  <w:style w:type="numbering" w:customStyle="1" w:styleId="BulletList1">
    <w:name w:val="Bullet List1"/>
    <w:rsid w:val="002A6E1E"/>
    <w:pPr>
      <w:numPr>
        <w:numId w:val="5"/>
      </w:numPr>
    </w:pPr>
  </w:style>
  <w:style w:type="paragraph" w:styleId="EndnoteText">
    <w:name w:val="endnote text"/>
    <w:basedOn w:val="Normal"/>
    <w:link w:val="EndnoteTextChar"/>
    <w:uiPriority w:val="99"/>
    <w:semiHidden/>
    <w:unhideWhenUsed/>
    <w:rsid w:val="00C355E7"/>
    <w:pPr>
      <w:spacing w:after="0" w:line="240" w:lineRule="auto"/>
    </w:pPr>
    <w:rPr>
      <w:rFonts w:eastAsiaTheme="minorHAnsi" w:cs="Calibri"/>
      <w:color w:val="000000"/>
      <w:sz w:val="20"/>
      <w:szCs w:val="20"/>
    </w:rPr>
  </w:style>
  <w:style w:type="character" w:customStyle="1" w:styleId="EndnoteTextChar">
    <w:name w:val="Endnote Text Char"/>
    <w:basedOn w:val="DefaultParagraphFont"/>
    <w:link w:val="EndnoteText"/>
    <w:uiPriority w:val="99"/>
    <w:semiHidden/>
    <w:rsid w:val="00C355E7"/>
    <w:rPr>
      <w:rFonts w:eastAsiaTheme="minorHAnsi" w:cs="Calibri"/>
      <w:color w:val="000000"/>
      <w:sz w:val="20"/>
      <w:szCs w:val="20"/>
      <w:lang w:eastAsia="en-US"/>
    </w:rPr>
  </w:style>
  <w:style w:type="character" w:customStyle="1" w:styleId="InstructionText">
    <w:name w:val="Instruction Text"/>
    <w:qFormat/>
    <w:rsid w:val="007072B2"/>
    <w:rPr>
      <w:rFonts w:ascii="Calibri" w:hAnsi="Calibri"/>
      <w:i/>
      <w:iCs w:val="0"/>
      <w:color w:val="0070C0"/>
      <w:sz w:val="18"/>
    </w:rPr>
  </w:style>
  <w:style w:type="paragraph" w:customStyle="1" w:styleId="TableHeading">
    <w:name w:val="Table Heading"/>
    <w:basedOn w:val="Normal"/>
    <w:rsid w:val="007072B2"/>
    <w:pPr>
      <w:keepLines/>
      <w:spacing w:before="60" w:after="60" w:line="240" w:lineRule="auto"/>
    </w:pPr>
    <w:rPr>
      <w:rFonts w:ascii="Arial" w:eastAsia="Times New Roman" w:hAnsi="Arial"/>
      <w:b/>
      <w:sz w:val="21"/>
      <w:lang w:eastAsia="en-AU"/>
    </w:rPr>
  </w:style>
  <w:style w:type="table" w:styleId="LightList-Accent6">
    <w:name w:val="Light List Accent 6"/>
    <w:basedOn w:val="TableNormal"/>
    <w:uiPriority w:val="61"/>
    <w:rsid w:val="00E83FF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c91e74f3-53ae-48c4-b2a7-975d0ae2f0bc">
    <w:name w:val="c91e74f3-53ae-48c4-b2a7-975d0ae2f0bc"/>
    <w:basedOn w:val="Normal"/>
    <w:uiPriority w:val="99"/>
    <w:rsid w:val="00A70438"/>
    <w:pPr>
      <w:spacing w:after="0" w:line="240" w:lineRule="auto"/>
    </w:pPr>
    <w:rPr>
      <w:rFonts w:ascii="Times New Roman" w:eastAsiaTheme="minorHAnsi" w:hAnsi="Times New Roman"/>
      <w:sz w:val="24"/>
      <w:szCs w:val="24"/>
      <w:lang w:eastAsia="en-AU"/>
    </w:rPr>
  </w:style>
  <w:style w:type="table" w:styleId="LightGrid-Accent5">
    <w:name w:val="Light Grid Accent 5"/>
    <w:basedOn w:val="TableNormal"/>
    <w:uiPriority w:val="62"/>
    <w:rsid w:val="002A3955"/>
    <w:rPr>
      <w:rFonts w:asciiTheme="minorHAnsi" w:eastAsiaTheme="minorHAnsi" w:hAnsi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NoList1">
    <w:name w:val="No List1"/>
    <w:next w:val="NoList"/>
    <w:uiPriority w:val="99"/>
    <w:semiHidden/>
    <w:unhideWhenUsed/>
    <w:rsid w:val="00607C32"/>
  </w:style>
  <w:style w:type="numbering" w:customStyle="1" w:styleId="NoList2">
    <w:name w:val="No List2"/>
    <w:next w:val="NoList"/>
    <w:uiPriority w:val="99"/>
    <w:semiHidden/>
    <w:unhideWhenUsed/>
    <w:rsid w:val="00CE1F68"/>
  </w:style>
  <w:style w:type="character" w:styleId="HTMLAcronym">
    <w:name w:val="HTML Acronym"/>
    <w:basedOn w:val="DefaultParagraphFont"/>
    <w:uiPriority w:val="99"/>
    <w:semiHidden/>
    <w:unhideWhenUsed/>
    <w:rsid w:val="00973F7A"/>
  </w:style>
  <w:style w:type="paragraph" w:styleId="z-TopofForm">
    <w:name w:val="HTML Top of Form"/>
    <w:basedOn w:val="Normal"/>
    <w:next w:val="Normal"/>
    <w:link w:val="z-TopofFormChar"/>
    <w:hidden/>
    <w:uiPriority w:val="99"/>
    <w:semiHidden/>
    <w:unhideWhenUsed/>
    <w:rsid w:val="00E06B8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6B80"/>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E06B8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6B80"/>
    <w:rPr>
      <w:rFonts w:ascii="Arial" w:hAnsi="Arial" w:cs="Arial"/>
      <w:vanish/>
      <w:sz w:val="16"/>
      <w:szCs w:val="16"/>
      <w:lang w:eastAsia="en-US"/>
    </w:rPr>
  </w:style>
  <w:style w:type="table" w:customStyle="1" w:styleId="IgTable">
    <w:name w:val="Ig Table"/>
    <w:basedOn w:val="LightList"/>
    <w:uiPriority w:val="99"/>
    <w:rsid w:val="008A6A29"/>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sz w:val="22"/>
      </w:rPr>
      <w:tblPr/>
      <w:tcPr>
        <w:shd w:val="clear" w:color="auto" w:fill="C0000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8A6A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ndnoteReference">
    <w:name w:val="endnote reference"/>
    <w:basedOn w:val="DefaultParagraphFont"/>
    <w:uiPriority w:val="99"/>
    <w:semiHidden/>
    <w:unhideWhenUsed/>
    <w:rsid w:val="00B33A53"/>
    <w:rPr>
      <w:vertAlign w:val="superscript"/>
    </w:rPr>
  </w:style>
  <w:style w:type="character" w:customStyle="1" w:styleId="st">
    <w:name w:val="st"/>
    <w:basedOn w:val="DefaultParagraphFont"/>
    <w:rsid w:val="00817CDC"/>
  </w:style>
  <w:style w:type="paragraph" w:customStyle="1" w:styleId="TableRow">
    <w:name w:val="Table Row"/>
    <w:basedOn w:val="Normal"/>
    <w:link w:val="TableRowChar"/>
    <w:qFormat/>
    <w:rsid w:val="00817CDC"/>
    <w:pPr>
      <w:widowControl w:val="0"/>
      <w:autoSpaceDE w:val="0"/>
      <w:autoSpaceDN w:val="0"/>
      <w:adjustRightInd w:val="0"/>
      <w:spacing w:before="40" w:after="40" w:line="240" w:lineRule="auto"/>
    </w:pPr>
    <w:rPr>
      <w:rFonts w:asciiTheme="majorHAnsi" w:eastAsiaTheme="minorEastAsia" w:hAnsiTheme="majorHAnsi" w:cs="Arial"/>
      <w:sz w:val="16"/>
      <w:szCs w:val="16"/>
    </w:rPr>
  </w:style>
  <w:style w:type="character" w:customStyle="1" w:styleId="TableRowChar">
    <w:name w:val="Table Row Char"/>
    <w:basedOn w:val="DefaultParagraphFont"/>
    <w:link w:val="TableRow"/>
    <w:rsid w:val="00817CDC"/>
    <w:rPr>
      <w:rFonts w:asciiTheme="majorHAnsi" w:eastAsiaTheme="minorEastAsia" w:hAnsiTheme="majorHAnsi" w:cs="Arial"/>
      <w:sz w:val="16"/>
      <w:szCs w:val="16"/>
      <w:lang w:eastAsia="en-US"/>
    </w:rPr>
  </w:style>
  <w:style w:type="paragraph" w:customStyle="1" w:styleId="ExtensionPoints">
    <w:name w:val="Extension Points"/>
    <w:basedOn w:val="Normal"/>
    <w:link w:val="ExtensionPointsChar"/>
    <w:qFormat/>
    <w:rsid w:val="00907A40"/>
    <w:pPr>
      <w:numPr>
        <w:numId w:val="40"/>
      </w:numPr>
      <w:spacing w:after="120" w:line="240" w:lineRule="auto"/>
    </w:pPr>
    <w:rPr>
      <w:rFonts w:eastAsiaTheme="minorEastAsia" w:cstheme="minorBidi"/>
      <w:bCs/>
      <w:sz w:val="20"/>
    </w:rPr>
  </w:style>
  <w:style w:type="character" w:customStyle="1" w:styleId="ExtensionPointsChar">
    <w:name w:val="Extension Points Char"/>
    <w:basedOn w:val="DefaultParagraphFont"/>
    <w:link w:val="ExtensionPoints"/>
    <w:rsid w:val="00907A40"/>
    <w:rPr>
      <w:rFonts w:eastAsiaTheme="minorEastAsia" w:cstheme="minorBidi"/>
      <w:bCs/>
      <w:sz w:val="20"/>
      <w:lang w:eastAsia="en-US"/>
    </w:rPr>
  </w:style>
  <w:style w:type="character" w:customStyle="1" w:styleId="A16">
    <w:name w:val="A16"/>
    <w:uiPriority w:val="99"/>
    <w:rsid w:val="00286A78"/>
    <w:rPr>
      <w:color w:val="004321"/>
      <w:sz w:val="18"/>
      <w:szCs w:val="18"/>
      <w:u w:val="single"/>
    </w:rPr>
  </w:style>
  <w:style w:type="character" w:customStyle="1" w:styleId="UpdatedChar">
    <w:name w:val="Updated Char"/>
    <w:basedOn w:val="DefaultParagraphFont"/>
    <w:link w:val="Updated"/>
    <w:locked/>
    <w:rsid w:val="00A70462"/>
    <w:rPr>
      <w:shd w:val="clear" w:color="auto" w:fill="8DB3E2"/>
    </w:rPr>
  </w:style>
  <w:style w:type="paragraph" w:customStyle="1" w:styleId="Updated">
    <w:name w:val="Updated"/>
    <w:basedOn w:val="Normal"/>
    <w:link w:val="UpdatedChar"/>
    <w:rsid w:val="00A70462"/>
    <w:pPr>
      <w:shd w:val="clear" w:color="auto" w:fill="8DB3E2"/>
      <w:spacing w:after="120"/>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uiPriority="0"/>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C6DA7"/>
    <w:pPr>
      <w:spacing w:after="200" w:line="276" w:lineRule="auto"/>
    </w:pPr>
    <w:rPr>
      <w:lang w:eastAsia="en-US"/>
    </w:rPr>
  </w:style>
  <w:style w:type="paragraph" w:styleId="Heading1">
    <w:name w:val="heading 1"/>
    <w:basedOn w:val="Heading2"/>
    <w:next w:val="Normal"/>
    <w:link w:val="Heading1Char"/>
    <w:uiPriority w:val="9"/>
    <w:qFormat/>
    <w:rsid w:val="00524CC3"/>
    <w:pPr>
      <w:numPr>
        <w:ilvl w:val="0"/>
      </w:numPr>
      <w:outlineLvl w:val="0"/>
    </w:pPr>
    <w:rPr>
      <w:sz w:val="44"/>
      <w:szCs w:val="44"/>
    </w:rPr>
  </w:style>
  <w:style w:type="paragraph" w:styleId="Heading2">
    <w:name w:val="heading 2"/>
    <w:basedOn w:val="Normal"/>
    <w:next w:val="Normal"/>
    <w:link w:val="Heading2Char"/>
    <w:uiPriority w:val="9"/>
    <w:qFormat/>
    <w:rsid w:val="00524CC3"/>
    <w:pPr>
      <w:keepNext/>
      <w:numPr>
        <w:ilvl w:val="1"/>
        <w:numId w:val="24"/>
      </w:numPr>
      <w:spacing w:after="120" w:line="240" w:lineRule="auto"/>
      <w:outlineLvl w:val="1"/>
    </w:pPr>
    <w:rPr>
      <w:rFonts w:eastAsia="Dotum" w:cs="Calibri"/>
      <w:sz w:val="32"/>
      <w:szCs w:val="36"/>
    </w:rPr>
  </w:style>
  <w:style w:type="paragraph" w:styleId="Heading3">
    <w:name w:val="heading 3"/>
    <w:basedOn w:val="Heading4"/>
    <w:next w:val="Normal"/>
    <w:link w:val="Heading3Char"/>
    <w:uiPriority w:val="9"/>
    <w:qFormat/>
    <w:rsid w:val="00611664"/>
    <w:pPr>
      <w:numPr>
        <w:ilvl w:val="2"/>
      </w:numPr>
      <w:outlineLvl w:val="2"/>
    </w:pPr>
    <w:rPr>
      <w:color w:val="C00000"/>
    </w:rPr>
  </w:style>
  <w:style w:type="paragraph" w:styleId="Heading4">
    <w:name w:val="heading 4"/>
    <w:basedOn w:val="Normal"/>
    <w:next w:val="Normal"/>
    <w:link w:val="Heading4Char"/>
    <w:uiPriority w:val="9"/>
    <w:qFormat/>
    <w:rsid w:val="007E5C37"/>
    <w:pPr>
      <w:numPr>
        <w:ilvl w:val="3"/>
        <w:numId w:val="24"/>
      </w:numPr>
      <w:spacing w:after="0"/>
      <w:outlineLvl w:val="3"/>
    </w:pPr>
    <w:rPr>
      <w:rFonts w:cs="Calibri"/>
      <w:b/>
    </w:rPr>
  </w:style>
  <w:style w:type="paragraph" w:styleId="Heading5">
    <w:name w:val="heading 5"/>
    <w:basedOn w:val="Normal"/>
    <w:next w:val="Normal"/>
    <w:link w:val="Heading5Char"/>
    <w:uiPriority w:val="9"/>
    <w:qFormat/>
    <w:rsid w:val="00B3726E"/>
    <w:pPr>
      <w:keepNext/>
      <w:keepLines/>
      <w:numPr>
        <w:ilvl w:val="4"/>
        <w:numId w:val="24"/>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qFormat/>
    <w:rsid w:val="00B3726E"/>
    <w:pPr>
      <w:keepNext/>
      <w:keepLines/>
      <w:numPr>
        <w:ilvl w:val="5"/>
        <w:numId w:val="24"/>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B3726E"/>
    <w:pPr>
      <w:keepNext/>
      <w:keepLines/>
      <w:numPr>
        <w:ilvl w:val="6"/>
        <w:numId w:val="24"/>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B3726E"/>
    <w:pPr>
      <w:keepNext/>
      <w:keepLines/>
      <w:numPr>
        <w:ilvl w:val="7"/>
        <w:numId w:val="24"/>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B3726E"/>
    <w:pPr>
      <w:keepNext/>
      <w:keepLines/>
      <w:numPr>
        <w:ilvl w:val="8"/>
        <w:numId w:val="24"/>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24CC3"/>
    <w:rPr>
      <w:rFonts w:eastAsia="Dotum" w:cs="Calibri"/>
      <w:sz w:val="44"/>
      <w:szCs w:val="44"/>
      <w:lang w:eastAsia="en-US"/>
    </w:rPr>
  </w:style>
  <w:style w:type="character" w:customStyle="1" w:styleId="Heading2Char">
    <w:name w:val="Heading 2 Char"/>
    <w:basedOn w:val="DefaultParagraphFont"/>
    <w:link w:val="Heading2"/>
    <w:uiPriority w:val="9"/>
    <w:locked/>
    <w:rsid w:val="00524CC3"/>
    <w:rPr>
      <w:rFonts w:eastAsia="Dotum" w:cs="Calibri"/>
      <w:sz w:val="32"/>
      <w:szCs w:val="36"/>
      <w:lang w:eastAsia="en-US"/>
    </w:rPr>
  </w:style>
  <w:style w:type="character" w:customStyle="1" w:styleId="Heading3Char">
    <w:name w:val="Heading 3 Char"/>
    <w:basedOn w:val="DefaultParagraphFont"/>
    <w:link w:val="Heading3"/>
    <w:uiPriority w:val="9"/>
    <w:locked/>
    <w:rsid w:val="00611664"/>
    <w:rPr>
      <w:rFonts w:cs="Calibri"/>
      <w:b/>
      <w:color w:val="C00000"/>
      <w:lang w:eastAsia="en-US"/>
    </w:rPr>
  </w:style>
  <w:style w:type="character" w:customStyle="1" w:styleId="Heading4Char">
    <w:name w:val="Heading 4 Char"/>
    <w:basedOn w:val="DefaultParagraphFont"/>
    <w:link w:val="Heading4"/>
    <w:uiPriority w:val="9"/>
    <w:locked/>
    <w:rsid w:val="007E5C37"/>
    <w:rPr>
      <w:rFonts w:cs="Calibri"/>
      <w:b/>
      <w:lang w:eastAsia="en-US"/>
    </w:rPr>
  </w:style>
  <w:style w:type="character" w:customStyle="1" w:styleId="Heading5Char">
    <w:name w:val="Heading 5 Char"/>
    <w:basedOn w:val="DefaultParagraphFont"/>
    <w:link w:val="Heading5"/>
    <w:uiPriority w:val="9"/>
    <w:locked/>
    <w:rsid w:val="00B3726E"/>
    <w:rPr>
      <w:rFonts w:ascii="Cambria" w:eastAsia="Times New Roman" w:hAnsi="Cambria"/>
      <w:color w:val="243F60"/>
      <w:lang w:eastAsia="en-US"/>
    </w:rPr>
  </w:style>
  <w:style w:type="character" w:customStyle="1" w:styleId="Heading6Char">
    <w:name w:val="Heading 6 Char"/>
    <w:basedOn w:val="DefaultParagraphFont"/>
    <w:link w:val="Heading6"/>
    <w:uiPriority w:val="9"/>
    <w:locked/>
    <w:rsid w:val="00B3726E"/>
    <w:rPr>
      <w:rFonts w:ascii="Cambria" w:eastAsia="Times New Roman" w:hAnsi="Cambria"/>
      <w:i/>
      <w:iCs/>
      <w:color w:val="243F60"/>
      <w:lang w:eastAsia="en-US"/>
    </w:rPr>
  </w:style>
  <w:style w:type="character" w:customStyle="1" w:styleId="Heading7Char">
    <w:name w:val="Heading 7 Char"/>
    <w:basedOn w:val="DefaultParagraphFont"/>
    <w:link w:val="Heading7"/>
    <w:uiPriority w:val="9"/>
    <w:locked/>
    <w:rsid w:val="00B3726E"/>
    <w:rPr>
      <w:rFonts w:ascii="Cambria" w:eastAsia="Times New Roman" w:hAnsi="Cambria"/>
      <w:i/>
      <w:iCs/>
      <w:color w:val="404040"/>
      <w:lang w:eastAsia="en-US"/>
    </w:rPr>
  </w:style>
  <w:style w:type="character" w:customStyle="1" w:styleId="Heading8Char">
    <w:name w:val="Heading 8 Char"/>
    <w:basedOn w:val="DefaultParagraphFont"/>
    <w:link w:val="Heading8"/>
    <w:uiPriority w:val="9"/>
    <w:locked/>
    <w:rsid w:val="00B3726E"/>
    <w:rPr>
      <w:rFonts w:ascii="Cambria" w:eastAsia="Times New Roman" w:hAnsi="Cambria"/>
      <w:color w:val="404040"/>
      <w:sz w:val="20"/>
      <w:szCs w:val="20"/>
      <w:lang w:eastAsia="en-US"/>
    </w:rPr>
  </w:style>
  <w:style w:type="character" w:customStyle="1" w:styleId="Heading9Char">
    <w:name w:val="Heading 9 Char"/>
    <w:basedOn w:val="DefaultParagraphFont"/>
    <w:link w:val="Heading9"/>
    <w:uiPriority w:val="9"/>
    <w:locked/>
    <w:rsid w:val="00B3726E"/>
    <w:rPr>
      <w:rFonts w:ascii="Cambria" w:eastAsia="Times New Roman" w:hAnsi="Cambria"/>
      <w:i/>
      <w:iCs/>
      <w:color w:val="404040"/>
      <w:sz w:val="20"/>
      <w:szCs w:val="20"/>
      <w:lang w:eastAsia="en-US"/>
    </w:rPr>
  </w:style>
  <w:style w:type="paragraph" w:styleId="ListParagraph">
    <w:name w:val="List Paragraph"/>
    <w:basedOn w:val="Normal"/>
    <w:link w:val="ListParagraphChar"/>
    <w:uiPriority w:val="34"/>
    <w:qFormat/>
    <w:rsid w:val="00B3726E"/>
    <w:pPr>
      <w:ind w:left="720"/>
      <w:contextualSpacing/>
    </w:pPr>
  </w:style>
  <w:style w:type="table" w:styleId="TableGrid">
    <w:name w:val="Table Grid"/>
    <w:basedOn w:val="TableNormal"/>
    <w:uiPriority w:val="59"/>
    <w:rsid w:val="00B3726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imes New Roman" w:hAnsi="Arial"/>
      <w:caps/>
      <w:color w:val="1E1E1E"/>
      <w:spacing w:val="-22"/>
      <w:w w:val="105"/>
      <w:kern w:val="28"/>
      <w:sz w:val="80"/>
      <w:szCs w:val="80"/>
    </w:rPr>
  </w:style>
  <w:style w:type="character" w:customStyle="1" w:styleId="TitleChar">
    <w:name w:val="Title Char"/>
    <w:basedOn w:val="DefaultParagraphFont"/>
    <w:link w:val="Title"/>
    <w:uiPriority w:val="10"/>
    <w:locked/>
    <w:rsid w:val="00036EDC"/>
    <w:rPr>
      <w:rFonts w:ascii="Arial" w:hAnsi="Arial" w:cs="Times New Roman"/>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Cambria" w:eastAsia="Times New Roman" w:hAnsi="Cambria"/>
      <w:i/>
      <w:iCs/>
      <w:color w:val="C60C30"/>
      <w:spacing w:val="15"/>
      <w:sz w:val="24"/>
      <w:szCs w:val="24"/>
    </w:rPr>
  </w:style>
  <w:style w:type="character" w:customStyle="1" w:styleId="SubtitleChar">
    <w:name w:val="Subtitle Char"/>
    <w:basedOn w:val="DefaultParagraphFont"/>
    <w:link w:val="Subtitle"/>
    <w:uiPriority w:val="11"/>
    <w:locked/>
    <w:rsid w:val="004D4636"/>
    <w:rPr>
      <w:rFonts w:ascii="Cambria" w:hAnsi="Cambria" w:cs="Times New Roman"/>
      <w:i/>
      <w:iCs/>
      <w:color w:val="C60C30"/>
      <w:spacing w:val="15"/>
      <w:sz w:val="24"/>
      <w:szCs w:val="24"/>
    </w:rPr>
  </w:style>
  <w:style w:type="paragraph" w:styleId="Header">
    <w:name w:val="header"/>
    <w:basedOn w:val="Normal"/>
    <w:link w:val="HeaderChar"/>
    <w:uiPriority w:val="99"/>
    <w:rsid w:val="00856708"/>
    <w:pPr>
      <w:tabs>
        <w:tab w:val="center" w:pos="4513"/>
        <w:tab w:val="right" w:pos="9026"/>
      </w:tabs>
      <w:spacing w:after="0"/>
    </w:pPr>
  </w:style>
  <w:style w:type="character" w:customStyle="1" w:styleId="HeaderChar">
    <w:name w:val="Header Char"/>
    <w:basedOn w:val="DefaultParagraphFont"/>
    <w:link w:val="Header"/>
    <w:uiPriority w:val="99"/>
    <w:locked/>
    <w:rsid w:val="00856708"/>
    <w:rPr>
      <w:rFonts w:ascii="Calibri" w:eastAsia="Dotum" w:hAnsi="Calibri" w:cs="Calibri"/>
    </w:rPr>
  </w:style>
  <w:style w:type="paragraph" w:styleId="Footer">
    <w:name w:val="footer"/>
    <w:basedOn w:val="Normal"/>
    <w:link w:val="FooterChar"/>
    <w:uiPriority w:val="99"/>
    <w:rsid w:val="00856708"/>
    <w:pPr>
      <w:tabs>
        <w:tab w:val="center" w:pos="4513"/>
        <w:tab w:val="right" w:pos="9026"/>
      </w:tabs>
      <w:spacing w:after="0"/>
    </w:pPr>
  </w:style>
  <w:style w:type="character" w:customStyle="1" w:styleId="FooterChar">
    <w:name w:val="Footer Char"/>
    <w:basedOn w:val="DefaultParagraphFont"/>
    <w:link w:val="Footer"/>
    <w:uiPriority w:val="99"/>
    <w:locked/>
    <w:rsid w:val="00856708"/>
    <w:rPr>
      <w:rFonts w:ascii="Calibri" w:eastAsia="Dotum" w:hAnsi="Calibri" w:cs="Calibri"/>
    </w:rPr>
  </w:style>
  <w:style w:type="paragraph" w:styleId="NormalWeb">
    <w:name w:val="Normal (Web)"/>
    <w:basedOn w:val="Normal"/>
    <w:uiPriority w:val="99"/>
    <w:rsid w:val="00AD02D0"/>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rsid w:val="00AD02D0"/>
    <w:rPr>
      <w:rFonts w:cs="Times New Roman"/>
      <w:color w:val="0000FF"/>
      <w:u w:val="single"/>
    </w:rPr>
  </w:style>
  <w:style w:type="paragraph" w:styleId="BalloonText">
    <w:name w:val="Balloon Text"/>
    <w:basedOn w:val="Normal"/>
    <w:link w:val="BalloonTextChar"/>
    <w:uiPriority w:val="99"/>
    <w:rsid w:val="00AD02D0"/>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AD02D0"/>
    <w:rPr>
      <w:rFonts w:ascii="Tahoma" w:eastAsia="Dotum" w:hAnsi="Tahoma" w:cs="Tahoma"/>
      <w:sz w:val="16"/>
      <w:szCs w:val="16"/>
    </w:rPr>
  </w:style>
  <w:style w:type="paragraph" w:styleId="BodyText">
    <w:name w:val="Body Text"/>
    <w:basedOn w:val="Normal"/>
    <w:link w:val="BodyTextChar"/>
    <w:uiPriority w:val="99"/>
    <w:rsid w:val="009F7D0F"/>
    <w:pPr>
      <w:tabs>
        <w:tab w:val="left" w:pos="1560"/>
      </w:tabs>
      <w:spacing w:after="120" w:line="240" w:lineRule="auto"/>
      <w:ind w:right="879"/>
    </w:pPr>
    <w:rPr>
      <w:rFonts w:ascii="Arial" w:eastAsia="Times New Roman" w:hAnsi="Arial"/>
      <w:sz w:val="24"/>
      <w:szCs w:val="20"/>
      <w:lang w:val="en-GB"/>
    </w:rPr>
  </w:style>
  <w:style w:type="character" w:customStyle="1" w:styleId="BodyTextChar">
    <w:name w:val="Body Text Char"/>
    <w:basedOn w:val="DefaultParagraphFont"/>
    <w:link w:val="BodyText"/>
    <w:uiPriority w:val="99"/>
    <w:locked/>
    <w:rsid w:val="009F7D0F"/>
    <w:rPr>
      <w:rFonts w:ascii="Arial" w:hAnsi="Arial" w:cs="Times New Roman"/>
      <w:sz w:val="20"/>
      <w:szCs w:val="20"/>
      <w:lang w:val="en-GB"/>
    </w:rPr>
  </w:style>
  <w:style w:type="paragraph" w:customStyle="1" w:styleId="StyleHeading1Left">
    <w:name w:val="Style Heading 1 + Left"/>
    <w:basedOn w:val="Heading1"/>
    <w:uiPriority w:val="99"/>
    <w:rsid w:val="009F7D0F"/>
    <w:pPr>
      <w:tabs>
        <w:tab w:val="left" w:pos="709"/>
        <w:tab w:val="left" w:pos="1418"/>
        <w:tab w:val="left" w:pos="2126"/>
        <w:tab w:val="left" w:pos="2835"/>
      </w:tabs>
      <w:spacing w:before="120"/>
    </w:pPr>
    <w:rPr>
      <w:rFonts w:ascii="Arial Bold" w:eastAsia="Times New Roman" w:hAnsi="Arial Bold" w:cs="Times New Roman"/>
      <w:b/>
      <w:caps/>
      <w:color w:val="800000"/>
      <w:szCs w:val="20"/>
      <w:lang w:val="en-GB"/>
    </w:rPr>
  </w:style>
  <w:style w:type="table" w:styleId="TableContemporary">
    <w:name w:val="Table Contemporary"/>
    <w:basedOn w:val="TableNormal"/>
    <w:uiPriority w:val="99"/>
    <w:rsid w:val="009F7D0F"/>
    <w:rPr>
      <w:rFonts w:eastAsia="Times New Roman"/>
      <w:sz w:val="20"/>
      <w:szCs w:val="20"/>
    </w:rPr>
    <w:tblPr>
      <w:tblStyleRowBandSize w:val="1"/>
      <w:tblBorders>
        <w:insideH w:val="single" w:sz="18" w:space="0" w:color="FFFFFF"/>
        <w:insideV w:val="single" w:sz="18" w:space="0" w:color="FFFFFF"/>
      </w:tblBorders>
    </w:tblPr>
    <w:tblStylePr w:type="firstRow">
      <w:rPr>
        <w:rFonts w:ascii="Cambria" w:hAnsi="Cambria"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TableContents">
    <w:name w:val="Table Contents"/>
    <w:basedOn w:val="Normal"/>
    <w:uiPriority w:val="99"/>
    <w:rsid w:val="009F7D0F"/>
    <w:pPr>
      <w:spacing w:after="0" w:line="240" w:lineRule="auto"/>
    </w:pPr>
    <w:rPr>
      <w:rFonts w:ascii="Arial" w:hAnsi="Arial"/>
      <w:sz w:val="18"/>
      <w:szCs w:val="20"/>
      <w:lang w:val="en-US" w:eastAsia="en-AU"/>
    </w:rPr>
  </w:style>
  <w:style w:type="character" w:styleId="Emphasis">
    <w:name w:val="Emphasis"/>
    <w:basedOn w:val="DefaultParagraphFont"/>
    <w:uiPriority w:val="20"/>
    <w:qFormat/>
    <w:rsid w:val="009F7D0F"/>
    <w:rPr>
      <w:rFonts w:cs="Times New Roman"/>
      <w:i/>
      <w:iCs/>
    </w:rPr>
  </w:style>
  <w:style w:type="character" w:styleId="Strong">
    <w:name w:val="Strong"/>
    <w:basedOn w:val="DefaultParagraphFont"/>
    <w:uiPriority w:val="22"/>
    <w:qFormat/>
    <w:rsid w:val="009F7D0F"/>
    <w:rPr>
      <w:rFonts w:cs="Times New Roman"/>
      <w:b/>
      <w:bCs/>
    </w:rPr>
  </w:style>
  <w:style w:type="paragraph" w:styleId="BodyTextFirstIndent">
    <w:name w:val="Body Text First Indent"/>
    <w:basedOn w:val="BodyText"/>
    <w:link w:val="BodyTextFirstIndentChar"/>
    <w:uiPriority w:val="99"/>
    <w:rsid w:val="009F7D0F"/>
    <w:pPr>
      <w:tabs>
        <w:tab w:val="clear" w:pos="1560"/>
      </w:tabs>
      <w:spacing w:after="200" w:line="276" w:lineRule="auto"/>
      <w:ind w:right="0" w:firstLine="360"/>
    </w:pPr>
    <w:rPr>
      <w:rFonts w:ascii="Calibri" w:eastAsia="Calibri" w:hAnsi="Calibri"/>
      <w:sz w:val="22"/>
      <w:szCs w:val="22"/>
      <w:lang w:val="en-AU"/>
    </w:rPr>
  </w:style>
  <w:style w:type="character" w:customStyle="1" w:styleId="BodyTextFirstIndentChar">
    <w:name w:val="Body Text First Indent Char"/>
    <w:basedOn w:val="BodyTextChar"/>
    <w:link w:val="BodyTextFirstIndent"/>
    <w:uiPriority w:val="99"/>
    <w:locked/>
    <w:rsid w:val="009F7D0F"/>
    <w:rPr>
      <w:rFonts w:ascii="Arial" w:hAnsi="Arial" w:cs="Times New Roman"/>
      <w:sz w:val="20"/>
      <w:szCs w:val="20"/>
      <w:lang w:val="en-GB"/>
    </w:rPr>
  </w:style>
  <w:style w:type="paragraph" w:styleId="BodyText2">
    <w:name w:val="Body Text 2"/>
    <w:basedOn w:val="Normal"/>
    <w:link w:val="BodyText2Char"/>
    <w:uiPriority w:val="99"/>
    <w:rsid w:val="009F7D0F"/>
    <w:pPr>
      <w:spacing w:after="120" w:line="480" w:lineRule="auto"/>
    </w:pPr>
  </w:style>
  <w:style w:type="character" w:customStyle="1" w:styleId="BodyText2Char">
    <w:name w:val="Body Text 2 Char"/>
    <w:basedOn w:val="DefaultParagraphFont"/>
    <w:link w:val="BodyText2"/>
    <w:uiPriority w:val="99"/>
    <w:locked/>
    <w:rsid w:val="009F7D0F"/>
    <w:rPr>
      <w:rFonts w:cs="Times New Roman"/>
    </w:rPr>
  </w:style>
  <w:style w:type="paragraph" w:styleId="BodyText3">
    <w:name w:val="Body Text 3"/>
    <w:basedOn w:val="Normal"/>
    <w:link w:val="BodyText3Char"/>
    <w:uiPriority w:val="99"/>
    <w:rsid w:val="009F7D0F"/>
    <w:pPr>
      <w:spacing w:after="120"/>
    </w:pPr>
    <w:rPr>
      <w:sz w:val="16"/>
      <w:szCs w:val="16"/>
    </w:rPr>
  </w:style>
  <w:style w:type="character" w:customStyle="1" w:styleId="BodyText3Char">
    <w:name w:val="Body Text 3 Char"/>
    <w:basedOn w:val="DefaultParagraphFont"/>
    <w:link w:val="BodyText3"/>
    <w:uiPriority w:val="99"/>
    <w:locked/>
    <w:rsid w:val="009F7D0F"/>
    <w:rPr>
      <w:rFonts w:cs="Times New Roman"/>
      <w:sz w:val="16"/>
      <w:szCs w:val="16"/>
    </w:rPr>
  </w:style>
  <w:style w:type="paragraph" w:styleId="ListNumber">
    <w:name w:val="List Number"/>
    <w:basedOn w:val="Normal"/>
    <w:uiPriority w:val="99"/>
    <w:rsid w:val="009F7D0F"/>
    <w:pPr>
      <w:numPr>
        <w:numId w:val="1"/>
      </w:numPr>
      <w:contextualSpacing/>
    </w:pPr>
  </w:style>
  <w:style w:type="paragraph" w:styleId="Revision">
    <w:name w:val="Revision"/>
    <w:hidden/>
    <w:uiPriority w:val="99"/>
    <w:semiHidden/>
    <w:rsid w:val="009F7D0F"/>
    <w:rPr>
      <w:lang w:eastAsia="en-US"/>
    </w:rPr>
  </w:style>
  <w:style w:type="paragraph" w:styleId="ListBullet">
    <w:name w:val="List Bullet"/>
    <w:basedOn w:val="Normal"/>
    <w:uiPriority w:val="99"/>
    <w:rsid w:val="00FC6DA7"/>
    <w:pPr>
      <w:tabs>
        <w:tab w:val="num" w:pos="360"/>
      </w:tabs>
      <w:ind w:left="360" w:hanging="360"/>
      <w:contextualSpacing/>
    </w:pPr>
  </w:style>
  <w:style w:type="character" w:styleId="FollowedHyperlink">
    <w:name w:val="FollowedHyperlink"/>
    <w:basedOn w:val="DefaultParagraphFont"/>
    <w:uiPriority w:val="99"/>
    <w:rsid w:val="009F7D0F"/>
    <w:rPr>
      <w:rFonts w:cs="Times New Roman"/>
      <w:color w:val="800080"/>
      <w:u w:val="single"/>
    </w:rPr>
  </w:style>
  <w:style w:type="paragraph" w:styleId="Caption">
    <w:name w:val="caption"/>
    <w:basedOn w:val="Normal"/>
    <w:next w:val="Normal"/>
    <w:uiPriority w:val="99"/>
    <w:qFormat/>
    <w:rsid w:val="00FC6DA7"/>
    <w:pPr>
      <w:spacing w:line="240" w:lineRule="auto"/>
    </w:pPr>
    <w:rPr>
      <w:b/>
      <w:bCs/>
      <w:sz w:val="18"/>
      <w:szCs w:val="18"/>
    </w:rPr>
  </w:style>
  <w:style w:type="paragraph" w:customStyle="1" w:styleId="05-AuthTable1">
    <w:name w:val="05-AuthTable1"/>
    <w:basedOn w:val="Normal"/>
    <w:uiPriority w:val="99"/>
    <w:rsid w:val="009F7D0F"/>
    <w:pPr>
      <w:spacing w:before="20" w:after="20" w:line="360" w:lineRule="auto"/>
      <w:jc w:val="both"/>
    </w:pPr>
    <w:rPr>
      <w:rFonts w:ascii="Arial" w:eastAsia="Times New Roman" w:hAnsi="Arial"/>
      <w:b/>
      <w:bCs/>
      <w:color w:val="FFFFFF"/>
      <w:szCs w:val="20"/>
      <w:lang w:eastAsia="en-AU"/>
    </w:rPr>
  </w:style>
  <w:style w:type="paragraph" w:customStyle="1" w:styleId="05-AuthTable2">
    <w:name w:val="05-AuthTable2"/>
    <w:basedOn w:val="Normal"/>
    <w:uiPriority w:val="99"/>
    <w:rsid w:val="009F7D0F"/>
    <w:pPr>
      <w:spacing w:before="20" w:after="20" w:line="360" w:lineRule="auto"/>
      <w:jc w:val="both"/>
    </w:pPr>
    <w:rPr>
      <w:rFonts w:ascii="Arial" w:eastAsia="Times New Roman" w:hAnsi="Arial"/>
      <w:color w:val="000000"/>
      <w:sz w:val="20"/>
      <w:szCs w:val="20"/>
      <w:lang w:eastAsia="en-AU"/>
    </w:rPr>
  </w:style>
  <w:style w:type="paragraph" w:customStyle="1" w:styleId="05-AuthTable3">
    <w:name w:val="05-AuthTable3"/>
    <w:basedOn w:val="Normal"/>
    <w:link w:val="05-AuthTable3CharChar"/>
    <w:uiPriority w:val="99"/>
    <w:rsid w:val="009F7D0F"/>
    <w:pPr>
      <w:spacing w:before="20" w:after="20" w:line="360" w:lineRule="auto"/>
      <w:jc w:val="both"/>
    </w:pPr>
    <w:rPr>
      <w:rFonts w:ascii="Arial" w:eastAsia="Times New Roman" w:hAnsi="Arial"/>
      <w:sz w:val="20"/>
      <w:szCs w:val="20"/>
      <w:lang w:eastAsia="en-AU"/>
    </w:rPr>
  </w:style>
  <w:style w:type="character" w:customStyle="1" w:styleId="05-AuthTable3CharChar">
    <w:name w:val="05-AuthTable3 Char Char"/>
    <w:basedOn w:val="DefaultParagraphFont"/>
    <w:link w:val="05-AuthTable3"/>
    <w:uiPriority w:val="99"/>
    <w:locked/>
    <w:rsid w:val="009F7D0F"/>
    <w:rPr>
      <w:rFonts w:ascii="Arial" w:hAnsi="Arial" w:cs="Times New Roman"/>
      <w:sz w:val="20"/>
      <w:szCs w:val="20"/>
      <w:lang w:eastAsia="en-AU"/>
    </w:rPr>
  </w:style>
  <w:style w:type="paragraph" w:customStyle="1" w:styleId="05-AuthTable4">
    <w:name w:val="05-AuthTable4"/>
    <w:basedOn w:val="Normal"/>
    <w:uiPriority w:val="99"/>
    <w:rsid w:val="009F7D0F"/>
    <w:pPr>
      <w:spacing w:before="20" w:after="20" w:line="360" w:lineRule="auto"/>
      <w:jc w:val="both"/>
    </w:pPr>
    <w:rPr>
      <w:rFonts w:ascii="Arial" w:eastAsia="Times New Roman" w:hAnsi="Arial"/>
      <w:b/>
      <w:bCs/>
      <w:sz w:val="20"/>
      <w:szCs w:val="20"/>
      <w:lang w:eastAsia="en-AU"/>
    </w:rPr>
  </w:style>
  <w:style w:type="paragraph" w:customStyle="1" w:styleId="HeaderEven">
    <w:name w:val="Header Even"/>
    <w:basedOn w:val="Header"/>
    <w:uiPriority w:val="99"/>
    <w:rsid w:val="00A5491E"/>
    <w:pPr>
      <w:keepNext/>
      <w:pBdr>
        <w:bottom w:val="single" w:sz="2" w:space="2" w:color="335876"/>
      </w:pBdr>
      <w:tabs>
        <w:tab w:val="clear" w:pos="4513"/>
        <w:tab w:val="clear" w:pos="9026"/>
        <w:tab w:val="right" w:pos="9070"/>
      </w:tabs>
      <w:spacing w:line="240" w:lineRule="auto"/>
    </w:pPr>
    <w:rPr>
      <w:rFonts w:ascii="Arial" w:eastAsia="Times New Roman" w:hAnsi="Arial" w:cs="Arial"/>
      <w:color w:val="335876"/>
      <w:sz w:val="18"/>
      <w:szCs w:val="20"/>
      <w:lang w:eastAsia="en-AU"/>
    </w:rPr>
  </w:style>
  <w:style w:type="character" w:styleId="PageNumber">
    <w:name w:val="page number"/>
    <w:basedOn w:val="DefaultParagraphFont"/>
    <w:uiPriority w:val="99"/>
    <w:rsid w:val="00A5491E"/>
    <w:rPr>
      <w:rFonts w:cs="Times New Roman"/>
    </w:rPr>
  </w:style>
  <w:style w:type="paragraph" w:styleId="TOCHeading">
    <w:name w:val="TOC Heading"/>
    <w:basedOn w:val="Heading1"/>
    <w:next w:val="Normal"/>
    <w:uiPriority w:val="99"/>
    <w:qFormat/>
    <w:rsid w:val="00063B05"/>
    <w:pPr>
      <w:keepLines/>
      <w:spacing w:after="0" w:line="276" w:lineRule="auto"/>
      <w:outlineLvl w:val="9"/>
    </w:pPr>
    <w:rPr>
      <w:rFonts w:ascii="Cambria" w:eastAsia="Times New Roman" w:hAnsi="Cambria" w:cs="Times New Roman"/>
      <w:b/>
      <w:color w:val="365F91"/>
      <w:sz w:val="28"/>
      <w:szCs w:val="28"/>
      <w:lang w:val="en-US" w:eastAsia="ja-JP"/>
    </w:rPr>
  </w:style>
  <w:style w:type="paragraph" w:styleId="TOC2">
    <w:name w:val="toc 2"/>
    <w:basedOn w:val="Normal"/>
    <w:next w:val="Normal"/>
    <w:autoRedefine/>
    <w:uiPriority w:val="39"/>
    <w:rsid w:val="002A6E1E"/>
    <w:pPr>
      <w:tabs>
        <w:tab w:val="left" w:pos="880"/>
        <w:tab w:val="right" w:leader="dot" w:pos="8931"/>
      </w:tabs>
      <w:spacing w:after="100"/>
      <w:ind w:left="220"/>
    </w:pPr>
  </w:style>
  <w:style w:type="paragraph" w:styleId="TOC1">
    <w:name w:val="toc 1"/>
    <w:basedOn w:val="Normal"/>
    <w:next w:val="Normal"/>
    <w:autoRedefine/>
    <w:uiPriority w:val="39"/>
    <w:rsid w:val="002A6E1E"/>
    <w:pPr>
      <w:tabs>
        <w:tab w:val="left" w:pos="440"/>
        <w:tab w:val="right" w:leader="dot" w:pos="8931"/>
      </w:tabs>
      <w:spacing w:after="100"/>
    </w:pPr>
  </w:style>
  <w:style w:type="paragraph" w:styleId="TOC3">
    <w:name w:val="toc 3"/>
    <w:basedOn w:val="Normal"/>
    <w:next w:val="Normal"/>
    <w:autoRedefine/>
    <w:uiPriority w:val="99"/>
    <w:rsid w:val="00063B05"/>
    <w:pPr>
      <w:spacing w:after="100"/>
      <w:ind w:left="440"/>
    </w:pPr>
  </w:style>
  <w:style w:type="character" w:styleId="CommentReference">
    <w:name w:val="annotation reference"/>
    <w:basedOn w:val="DefaultParagraphFont"/>
    <w:uiPriority w:val="99"/>
    <w:rsid w:val="00DA2F8A"/>
    <w:rPr>
      <w:rFonts w:cs="Times New Roman"/>
      <w:sz w:val="16"/>
      <w:szCs w:val="16"/>
    </w:rPr>
  </w:style>
  <w:style w:type="paragraph" w:styleId="CommentText">
    <w:name w:val="annotation text"/>
    <w:basedOn w:val="Normal"/>
    <w:link w:val="CommentTextChar"/>
    <w:uiPriority w:val="99"/>
    <w:rsid w:val="00DA2F8A"/>
    <w:pPr>
      <w:spacing w:line="240" w:lineRule="auto"/>
    </w:pPr>
    <w:rPr>
      <w:sz w:val="20"/>
      <w:szCs w:val="20"/>
    </w:rPr>
  </w:style>
  <w:style w:type="character" w:customStyle="1" w:styleId="CommentTextChar">
    <w:name w:val="Comment Text Char"/>
    <w:basedOn w:val="DefaultParagraphFont"/>
    <w:link w:val="CommentText"/>
    <w:uiPriority w:val="99"/>
    <w:locked/>
    <w:rsid w:val="00DA2F8A"/>
    <w:rPr>
      <w:rFonts w:cs="Times New Roman"/>
      <w:sz w:val="20"/>
      <w:szCs w:val="20"/>
    </w:rPr>
  </w:style>
  <w:style w:type="paragraph" w:styleId="CommentSubject">
    <w:name w:val="annotation subject"/>
    <w:basedOn w:val="CommentText"/>
    <w:next w:val="CommentText"/>
    <w:link w:val="CommentSubjectChar"/>
    <w:uiPriority w:val="99"/>
    <w:rsid w:val="00DA2F8A"/>
    <w:rPr>
      <w:b/>
      <w:bCs/>
    </w:rPr>
  </w:style>
  <w:style w:type="character" w:customStyle="1" w:styleId="CommentSubjectChar">
    <w:name w:val="Comment Subject Char"/>
    <w:basedOn w:val="CommentTextChar"/>
    <w:link w:val="CommentSubject"/>
    <w:uiPriority w:val="99"/>
    <w:locked/>
    <w:rsid w:val="00DA2F8A"/>
    <w:rPr>
      <w:rFonts w:cs="Times New Roman"/>
      <w:b/>
      <w:bCs/>
      <w:sz w:val="20"/>
      <w:szCs w:val="20"/>
    </w:rPr>
  </w:style>
  <w:style w:type="paragraph" w:styleId="TOC4">
    <w:name w:val="toc 4"/>
    <w:basedOn w:val="Normal"/>
    <w:next w:val="Normal"/>
    <w:autoRedefine/>
    <w:uiPriority w:val="99"/>
    <w:rsid w:val="00E24B64"/>
    <w:pPr>
      <w:spacing w:after="100"/>
      <w:ind w:left="660"/>
    </w:pPr>
    <w:rPr>
      <w:rFonts w:eastAsia="Times New Roman"/>
      <w:lang w:eastAsia="en-AU"/>
    </w:rPr>
  </w:style>
  <w:style w:type="paragraph" w:styleId="TOC5">
    <w:name w:val="toc 5"/>
    <w:basedOn w:val="Normal"/>
    <w:next w:val="Normal"/>
    <w:autoRedefine/>
    <w:uiPriority w:val="99"/>
    <w:rsid w:val="00E24B64"/>
    <w:pPr>
      <w:spacing w:after="100"/>
      <w:ind w:left="880"/>
    </w:pPr>
    <w:rPr>
      <w:rFonts w:eastAsia="Times New Roman"/>
      <w:lang w:eastAsia="en-AU"/>
    </w:rPr>
  </w:style>
  <w:style w:type="paragraph" w:styleId="TOC6">
    <w:name w:val="toc 6"/>
    <w:basedOn w:val="Normal"/>
    <w:next w:val="Normal"/>
    <w:autoRedefine/>
    <w:uiPriority w:val="99"/>
    <w:rsid w:val="00E24B64"/>
    <w:pPr>
      <w:spacing w:after="100"/>
      <w:ind w:left="1100"/>
    </w:pPr>
    <w:rPr>
      <w:rFonts w:eastAsia="Times New Roman"/>
      <w:lang w:eastAsia="en-AU"/>
    </w:rPr>
  </w:style>
  <w:style w:type="paragraph" w:styleId="TOC7">
    <w:name w:val="toc 7"/>
    <w:basedOn w:val="Normal"/>
    <w:next w:val="Normal"/>
    <w:autoRedefine/>
    <w:uiPriority w:val="99"/>
    <w:rsid w:val="00E24B64"/>
    <w:pPr>
      <w:spacing w:after="100"/>
      <w:ind w:left="1320"/>
    </w:pPr>
    <w:rPr>
      <w:rFonts w:eastAsia="Times New Roman"/>
      <w:lang w:eastAsia="en-AU"/>
    </w:rPr>
  </w:style>
  <w:style w:type="paragraph" w:styleId="TOC8">
    <w:name w:val="toc 8"/>
    <w:basedOn w:val="Normal"/>
    <w:next w:val="Normal"/>
    <w:autoRedefine/>
    <w:uiPriority w:val="99"/>
    <w:rsid w:val="00E24B64"/>
    <w:pPr>
      <w:spacing w:after="100"/>
      <w:ind w:left="1540"/>
    </w:pPr>
    <w:rPr>
      <w:rFonts w:eastAsia="Times New Roman"/>
      <w:lang w:eastAsia="en-AU"/>
    </w:rPr>
  </w:style>
  <w:style w:type="paragraph" w:styleId="TOC9">
    <w:name w:val="toc 9"/>
    <w:basedOn w:val="Normal"/>
    <w:next w:val="Normal"/>
    <w:autoRedefine/>
    <w:uiPriority w:val="99"/>
    <w:rsid w:val="00E24B64"/>
    <w:pPr>
      <w:spacing w:after="100"/>
      <w:ind w:left="1760"/>
    </w:pPr>
    <w:rPr>
      <w:rFonts w:eastAsia="Times New Roman"/>
      <w:lang w:eastAsia="en-AU"/>
    </w:rPr>
  </w:style>
  <w:style w:type="paragraph" w:customStyle="1" w:styleId="TableText">
    <w:name w:val="Table Text"/>
    <w:basedOn w:val="Normal"/>
    <w:rsid w:val="00EB2086"/>
    <w:pPr>
      <w:keepLines/>
      <w:spacing w:before="120" w:line="240" w:lineRule="auto"/>
    </w:pPr>
    <w:rPr>
      <w:rFonts w:eastAsia="Dotum" w:cs="Calibri"/>
      <w:szCs w:val="20"/>
      <w:lang w:eastAsia="en-AU"/>
    </w:rPr>
  </w:style>
  <w:style w:type="paragraph" w:customStyle="1" w:styleId="Guidance">
    <w:name w:val="Guidance"/>
    <w:basedOn w:val="BodyText"/>
    <w:uiPriority w:val="99"/>
    <w:rsid w:val="00EB2086"/>
    <w:pPr>
      <w:pBdr>
        <w:top w:val="single" w:sz="4" w:space="6" w:color="auto"/>
        <w:left w:val="single" w:sz="4" w:space="6" w:color="auto"/>
        <w:bottom w:val="single" w:sz="4" w:space="6" w:color="auto"/>
        <w:right w:val="single" w:sz="4" w:space="6" w:color="auto"/>
      </w:pBdr>
      <w:tabs>
        <w:tab w:val="clear" w:pos="1560"/>
      </w:tabs>
      <w:spacing w:after="0"/>
      <w:ind w:left="851" w:right="0"/>
    </w:pPr>
    <w:rPr>
      <w:rFonts w:ascii="Calibri" w:eastAsia="Dotum" w:hAnsi="Calibri" w:cs="Calibri"/>
      <w:i/>
      <w:sz w:val="20"/>
      <w:szCs w:val="22"/>
      <w:lang w:val="en-AU" w:eastAsia="en-AU"/>
    </w:rPr>
  </w:style>
  <w:style w:type="paragraph" w:customStyle="1" w:styleId="TableTitle">
    <w:name w:val="Table Title"/>
    <w:basedOn w:val="TableText"/>
    <w:rsid w:val="00EB2086"/>
    <w:rPr>
      <w:rFonts w:ascii="Arial" w:hAnsi="Arial"/>
      <w:b/>
    </w:rPr>
  </w:style>
  <w:style w:type="paragraph" w:customStyle="1" w:styleId="AppendixHeading">
    <w:name w:val="Appendix Heading"/>
    <w:basedOn w:val="Normal"/>
    <w:uiPriority w:val="99"/>
    <w:rsid w:val="00EB2086"/>
    <w:pPr>
      <w:spacing w:before="240" w:line="240" w:lineRule="auto"/>
    </w:pPr>
    <w:rPr>
      <w:rFonts w:ascii="Arial" w:eastAsia="Dotum" w:hAnsi="Arial" w:cs="Calibri"/>
      <w:b/>
      <w:sz w:val="28"/>
      <w:lang w:eastAsia="en-AU"/>
    </w:rPr>
  </w:style>
  <w:style w:type="paragraph" w:customStyle="1" w:styleId="StyleHeading1JustifiedAfter9pt">
    <w:name w:val="Style Heading 1 + Justified After:  9 pt"/>
    <w:basedOn w:val="Heading1"/>
    <w:uiPriority w:val="99"/>
    <w:rsid w:val="00EB2086"/>
    <w:pPr>
      <w:keepNext w:val="0"/>
      <w:widowControl w:val="0"/>
      <w:numPr>
        <w:numId w:val="0"/>
      </w:numPr>
      <w:spacing w:before="480" w:after="180"/>
      <w:ind w:right="6"/>
      <w:jc w:val="both"/>
    </w:pPr>
    <w:rPr>
      <w:rFonts w:eastAsia="HYGothic-Extra" w:cs="Times New Roman"/>
      <w:bCs/>
      <w:color w:val="1E1E1E"/>
      <w:spacing w:val="-20"/>
      <w:sz w:val="72"/>
      <w:szCs w:val="20"/>
      <w:lang w:eastAsia="en-AU"/>
    </w:rPr>
  </w:style>
  <w:style w:type="paragraph" w:customStyle="1" w:styleId="04-SectionHeading">
    <w:name w:val="04-Section Heading"/>
    <w:basedOn w:val="Normal"/>
    <w:uiPriority w:val="99"/>
    <w:rsid w:val="00EB2086"/>
    <w:pPr>
      <w:spacing w:before="120" w:line="240" w:lineRule="auto"/>
      <w:jc w:val="both"/>
    </w:pPr>
    <w:rPr>
      <w:rFonts w:ascii="Arial" w:eastAsia="Dotum" w:hAnsi="Arial" w:cs="Calibri"/>
      <w:caps/>
      <w:color w:val="006699"/>
      <w:kern w:val="36"/>
      <w:sz w:val="36"/>
      <w:szCs w:val="20"/>
      <w:lang w:eastAsia="en-AU"/>
    </w:rPr>
  </w:style>
  <w:style w:type="paragraph" w:customStyle="1" w:styleId="15-IndentedNormal">
    <w:name w:val="15- Indented Normal"/>
    <w:basedOn w:val="Normal"/>
    <w:uiPriority w:val="99"/>
    <w:rsid w:val="00EB2086"/>
    <w:pPr>
      <w:spacing w:after="0" w:line="240" w:lineRule="auto"/>
      <w:ind w:left="737"/>
      <w:jc w:val="both"/>
    </w:pPr>
    <w:rPr>
      <w:rFonts w:ascii="Arial" w:eastAsia="Dotum" w:hAnsi="Arial" w:cs="Calibri"/>
      <w:szCs w:val="20"/>
      <w:lang w:eastAsia="en-AU"/>
    </w:rPr>
  </w:style>
  <w:style w:type="paragraph" w:customStyle="1" w:styleId="01-Title1">
    <w:name w:val="01-Title1"/>
    <w:basedOn w:val="Normal"/>
    <w:uiPriority w:val="99"/>
    <w:rsid w:val="00EB2086"/>
    <w:pPr>
      <w:spacing w:after="0" w:line="240" w:lineRule="auto"/>
      <w:ind w:right="2155"/>
      <w:jc w:val="right"/>
    </w:pPr>
    <w:rPr>
      <w:rFonts w:ascii="Verdana" w:eastAsia="Dotum" w:hAnsi="Verdana" w:cs="Calibri"/>
      <w:b/>
      <w:bCs/>
      <w:color w:val="006699"/>
      <w:sz w:val="44"/>
      <w:szCs w:val="20"/>
      <w:lang w:eastAsia="en-AU"/>
    </w:rPr>
  </w:style>
  <w:style w:type="paragraph" w:customStyle="1" w:styleId="02-Title2">
    <w:name w:val="02-Title2"/>
    <w:basedOn w:val="Normal"/>
    <w:uiPriority w:val="99"/>
    <w:rsid w:val="00EB2086"/>
    <w:pPr>
      <w:spacing w:after="0" w:line="240" w:lineRule="auto"/>
      <w:jc w:val="right"/>
    </w:pPr>
    <w:rPr>
      <w:rFonts w:ascii="Verdana" w:eastAsia="Dotum" w:hAnsi="Verdana" w:cs="Calibri"/>
      <w:b/>
      <w:bCs/>
      <w:color w:val="006699"/>
      <w:sz w:val="44"/>
      <w:szCs w:val="20"/>
      <w:lang w:eastAsia="en-AU"/>
    </w:rPr>
  </w:style>
  <w:style w:type="paragraph" w:customStyle="1" w:styleId="03-DocumentProperties">
    <w:name w:val="03-Document Properties"/>
    <w:basedOn w:val="Normal"/>
    <w:uiPriority w:val="99"/>
    <w:rsid w:val="00EB2086"/>
    <w:pPr>
      <w:keepLines/>
      <w:spacing w:before="120" w:line="240" w:lineRule="auto"/>
      <w:ind w:left="-11"/>
    </w:pPr>
    <w:rPr>
      <w:rFonts w:ascii="Arial" w:eastAsia="Dotum" w:hAnsi="Arial" w:cs="Calibri"/>
      <w:b/>
      <w:bCs/>
      <w:color w:val="FFFFFF"/>
      <w:sz w:val="19"/>
      <w:szCs w:val="20"/>
      <w:lang w:val="en-GB" w:eastAsia="en-AU"/>
    </w:rPr>
  </w:style>
  <w:style w:type="paragraph" w:customStyle="1" w:styleId="03-DocumentProperities2">
    <w:name w:val="03 - Document Properities2"/>
    <w:basedOn w:val="Normal"/>
    <w:uiPriority w:val="99"/>
    <w:rsid w:val="00EB2086"/>
    <w:pPr>
      <w:spacing w:line="240" w:lineRule="auto"/>
    </w:pPr>
    <w:rPr>
      <w:rFonts w:ascii="Arial" w:eastAsia="Dotum" w:hAnsi="Arial" w:cs="Calibri"/>
      <w:sz w:val="19"/>
      <w:szCs w:val="20"/>
      <w:lang w:eastAsia="en-AU"/>
    </w:rPr>
  </w:style>
  <w:style w:type="paragraph" w:styleId="BodyTextIndent">
    <w:name w:val="Body Text Indent"/>
    <w:basedOn w:val="Normal"/>
    <w:link w:val="BodyTextIndentChar"/>
    <w:uiPriority w:val="99"/>
    <w:rsid w:val="00EB2086"/>
    <w:pPr>
      <w:spacing w:line="240" w:lineRule="auto"/>
      <w:ind w:left="283"/>
    </w:pPr>
    <w:rPr>
      <w:rFonts w:eastAsia="Dotum" w:cs="Calibri"/>
      <w:sz w:val="24"/>
      <w:szCs w:val="20"/>
      <w:lang w:eastAsia="en-AU"/>
    </w:rPr>
  </w:style>
  <w:style w:type="character" w:customStyle="1" w:styleId="BodyTextIndentChar">
    <w:name w:val="Body Text Indent Char"/>
    <w:basedOn w:val="DefaultParagraphFont"/>
    <w:link w:val="BodyTextIndent"/>
    <w:uiPriority w:val="99"/>
    <w:locked/>
    <w:rsid w:val="00EB2086"/>
    <w:rPr>
      <w:rFonts w:ascii="Calibri" w:eastAsia="Dotum" w:hAnsi="Calibri" w:cs="Calibri"/>
      <w:sz w:val="20"/>
      <w:szCs w:val="20"/>
      <w:lang w:eastAsia="en-AU"/>
    </w:rPr>
  </w:style>
  <w:style w:type="paragraph" w:customStyle="1" w:styleId="ParagraphItalic">
    <w:name w:val="ParagraphItalic"/>
    <w:basedOn w:val="Normal"/>
    <w:uiPriority w:val="99"/>
    <w:rsid w:val="00EB2086"/>
    <w:pPr>
      <w:spacing w:after="240" w:line="240" w:lineRule="auto"/>
      <w:ind w:left="1440"/>
      <w:jc w:val="both"/>
    </w:pPr>
    <w:rPr>
      <w:rFonts w:eastAsia="Dotum" w:cs="Calibri"/>
      <w:i/>
      <w:sz w:val="24"/>
      <w:szCs w:val="20"/>
      <w:lang w:eastAsia="en-AU"/>
    </w:rPr>
  </w:style>
  <w:style w:type="paragraph" w:customStyle="1" w:styleId="Default">
    <w:name w:val="Default"/>
    <w:rsid w:val="00EB2086"/>
    <w:pPr>
      <w:autoSpaceDE w:val="0"/>
      <w:autoSpaceDN w:val="0"/>
      <w:adjustRightInd w:val="0"/>
      <w:spacing w:after="200" w:line="276" w:lineRule="auto"/>
    </w:pPr>
    <w:rPr>
      <w:rFonts w:ascii="Arial" w:hAnsi="Arial" w:cs="Arial"/>
      <w:color w:val="000000"/>
      <w:sz w:val="24"/>
      <w:szCs w:val="24"/>
    </w:rPr>
  </w:style>
  <w:style w:type="paragraph" w:styleId="FootnoteText">
    <w:name w:val="footnote text"/>
    <w:basedOn w:val="Normal"/>
    <w:link w:val="FootnoteTextChar"/>
    <w:uiPriority w:val="99"/>
    <w:semiHidden/>
    <w:rsid w:val="009A3D2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A3D2E"/>
    <w:rPr>
      <w:rFonts w:cs="Times New Roman"/>
      <w:sz w:val="20"/>
      <w:szCs w:val="20"/>
    </w:rPr>
  </w:style>
  <w:style w:type="character" w:styleId="FootnoteReference">
    <w:name w:val="footnote reference"/>
    <w:aliases w:val="(NECG) Footnote Reference,(NECG) Footnote Reference1,(NECG) Footnote Reference2,(NECG) Footnote Reference11,(NECG) Footnote Reference3,(NECG) Footnote Reference12,(NECG) Footnote Reference4"/>
    <w:basedOn w:val="DefaultParagraphFont"/>
    <w:uiPriority w:val="99"/>
    <w:rsid w:val="009A3D2E"/>
    <w:rPr>
      <w:rFonts w:cs="Times New Roman"/>
      <w:vertAlign w:val="superscript"/>
    </w:rPr>
  </w:style>
  <w:style w:type="numbering" w:customStyle="1" w:styleId="BulletPoint">
    <w:name w:val="Bullet Point"/>
    <w:rsid w:val="00936B17"/>
    <w:pPr>
      <w:numPr>
        <w:numId w:val="2"/>
      </w:numPr>
    </w:pPr>
  </w:style>
  <w:style w:type="character" w:customStyle="1" w:styleId="ListParagraphChar">
    <w:name w:val="List Paragraph Char"/>
    <w:link w:val="ListParagraph"/>
    <w:uiPriority w:val="34"/>
    <w:rsid w:val="00A057A4"/>
    <w:rPr>
      <w:lang w:eastAsia="en-US"/>
    </w:rPr>
  </w:style>
  <w:style w:type="paragraph" w:styleId="NoSpacing">
    <w:name w:val="No Spacing"/>
    <w:uiPriority w:val="1"/>
    <w:qFormat/>
    <w:rsid w:val="00A057A4"/>
    <w:rPr>
      <w:rFonts w:eastAsia="Dotum" w:cs="Calibri"/>
      <w:lang w:eastAsia="en-US"/>
    </w:rPr>
  </w:style>
  <w:style w:type="paragraph" w:customStyle="1" w:styleId="78b098ae-d197-4711-b406-c2e0e49d644f">
    <w:name w:val="78b098ae-d197-4711-b406-c2e0e49d644f"/>
    <w:basedOn w:val="Normal"/>
    <w:uiPriority w:val="99"/>
    <w:rsid w:val="00B529B4"/>
    <w:pPr>
      <w:spacing w:after="0" w:line="240" w:lineRule="auto"/>
    </w:pPr>
    <w:rPr>
      <w:rFonts w:ascii="Times New Roman" w:eastAsiaTheme="minorHAnsi" w:hAnsi="Times New Roman"/>
      <w:sz w:val="24"/>
      <w:szCs w:val="24"/>
      <w:lang w:eastAsia="en-AU"/>
    </w:rPr>
  </w:style>
  <w:style w:type="numbering" w:customStyle="1" w:styleId="Indents1">
    <w:name w:val="Indents1"/>
    <w:rsid w:val="002A6E1E"/>
    <w:pPr>
      <w:numPr>
        <w:numId w:val="4"/>
      </w:numPr>
    </w:pPr>
  </w:style>
  <w:style w:type="numbering" w:customStyle="1" w:styleId="BulletList1">
    <w:name w:val="Bullet List1"/>
    <w:rsid w:val="002A6E1E"/>
    <w:pPr>
      <w:numPr>
        <w:numId w:val="5"/>
      </w:numPr>
    </w:pPr>
  </w:style>
  <w:style w:type="paragraph" w:styleId="EndnoteText">
    <w:name w:val="endnote text"/>
    <w:basedOn w:val="Normal"/>
    <w:link w:val="EndnoteTextChar"/>
    <w:uiPriority w:val="99"/>
    <w:semiHidden/>
    <w:unhideWhenUsed/>
    <w:rsid w:val="00C355E7"/>
    <w:pPr>
      <w:spacing w:after="0" w:line="240" w:lineRule="auto"/>
    </w:pPr>
    <w:rPr>
      <w:rFonts w:eastAsiaTheme="minorHAnsi" w:cs="Calibri"/>
      <w:color w:val="000000"/>
      <w:sz w:val="20"/>
      <w:szCs w:val="20"/>
    </w:rPr>
  </w:style>
  <w:style w:type="character" w:customStyle="1" w:styleId="EndnoteTextChar">
    <w:name w:val="Endnote Text Char"/>
    <w:basedOn w:val="DefaultParagraphFont"/>
    <w:link w:val="EndnoteText"/>
    <w:uiPriority w:val="99"/>
    <w:semiHidden/>
    <w:rsid w:val="00C355E7"/>
    <w:rPr>
      <w:rFonts w:eastAsiaTheme="minorHAnsi" w:cs="Calibri"/>
      <w:color w:val="000000"/>
      <w:sz w:val="20"/>
      <w:szCs w:val="20"/>
      <w:lang w:eastAsia="en-US"/>
    </w:rPr>
  </w:style>
  <w:style w:type="character" w:customStyle="1" w:styleId="InstructionText">
    <w:name w:val="Instruction Text"/>
    <w:qFormat/>
    <w:rsid w:val="007072B2"/>
    <w:rPr>
      <w:rFonts w:ascii="Calibri" w:hAnsi="Calibri"/>
      <w:i/>
      <w:iCs w:val="0"/>
      <w:color w:val="0070C0"/>
      <w:sz w:val="18"/>
    </w:rPr>
  </w:style>
  <w:style w:type="paragraph" w:customStyle="1" w:styleId="TableHeading">
    <w:name w:val="Table Heading"/>
    <w:basedOn w:val="Normal"/>
    <w:rsid w:val="007072B2"/>
    <w:pPr>
      <w:keepLines/>
      <w:spacing w:before="60" w:after="60" w:line="240" w:lineRule="auto"/>
    </w:pPr>
    <w:rPr>
      <w:rFonts w:ascii="Arial" w:eastAsia="Times New Roman" w:hAnsi="Arial"/>
      <w:b/>
      <w:sz w:val="21"/>
      <w:lang w:eastAsia="en-AU"/>
    </w:rPr>
  </w:style>
  <w:style w:type="table" w:styleId="LightList-Accent6">
    <w:name w:val="Light List Accent 6"/>
    <w:basedOn w:val="TableNormal"/>
    <w:uiPriority w:val="61"/>
    <w:rsid w:val="00E83FF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c91e74f3-53ae-48c4-b2a7-975d0ae2f0bc">
    <w:name w:val="c91e74f3-53ae-48c4-b2a7-975d0ae2f0bc"/>
    <w:basedOn w:val="Normal"/>
    <w:uiPriority w:val="99"/>
    <w:rsid w:val="00A70438"/>
    <w:pPr>
      <w:spacing w:after="0" w:line="240" w:lineRule="auto"/>
    </w:pPr>
    <w:rPr>
      <w:rFonts w:ascii="Times New Roman" w:eastAsiaTheme="minorHAnsi" w:hAnsi="Times New Roman"/>
      <w:sz w:val="24"/>
      <w:szCs w:val="24"/>
      <w:lang w:eastAsia="en-AU"/>
    </w:rPr>
  </w:style>
  <w:style w:type="table" w:styleId="LightGrid-Accent5">
    <w:name w:val="Light Grid Accent 5"/>
    <w:basedOn w:val="TableNormal"/>
    <w:uiPriority w:val="62"/>
    <w:rsid w:val="002A3955"/>
    <w:rPr>
      <w:rFonts w:asciiTheme="minorHAnsi" w:eastAsiaTheme="minorHAnsi" w:hAnsi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NoList1">
    <w:name w:val="No List1"/>
    <w:next w:val="NoList"/>
    <w:uiPriority w:val="99"/>
    <w:semiHidden/>
    <w:unhideWhenUsed/>
    <w:rsid w:val="00607C32"/>
  </w:style>
  <w:style w:type="numbering" w:customStyle="1" w:styleId="NoList2">
    <w:name w:val="No List2"/>
    <w:next w:val="NoList"/>
    <w:uiPriority w:val="99"/>
    <w:semiHidden/>
    <w:unhideWhenUsed/>
    <w:rsid w:val="00CE1F68"/>
  </w:style>
  <w:style w:type="character" w:styleId="HTMLAcronym">
    <w:name w:val="HTML Acronym"/>
    <w:basedOn w:val="DefaultParagraphFont"/>
    <w:uiPriority w:val="99"/>
    <w:semiHidden/>
    <w:unhideWhenUsed/>
    <w:rsid w:val="00973F7A"/>
  </w:style>
  <w:style w:type="paragraph" w:styleId="z-TopofForm">
    <w:name w:val="HTML Top of Form"/>
    <w:basedOn w:val="Normal"/>
    <w:next w:val="Normal"/>
    <w:link w:val="z-TopofFormChar"/>
    <w:hidden/>
    <w:uiPriority w:val="99"/>
    <w:semiHidden/>
    <w:unhideWhenUsed/>
    <w:rsid w:val="00E06B8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06B80"/>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E06B8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06B80"/>
    <w:rPr>
      <w:rFonts w:ascii="Arial" w:hAnsi="Arial" w:cs="Arial"/>
      <w:vanish/>
      <w:sz w:val="16"/>
      <w:szCs w:val="16"/>
      <w:lang w:eastAsia="en-US"/>
    </w:rPr>
  </w:style>
  <w:style w:type="table" w:customStyle="1" w:styleId="IgTable">
    <w:name w:val="Ig Table"/>
    <w:basedOn w:val="LightList"/>
    <w:uiPriority w:val="99"/>
    <w:rsid w:val="008A6A29"/>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sz w:val="22"/>
      </w:rPr>
      <w:tblPr/>
      <w:tcPr>
        <w:shd w:val="clear" w:color="auto" w:fill="C0000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8A6A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ndnoteReference">
    <w:name w:val="endnote reference"/>
    <w:basedOn w:val="DefaultParagraphFont"/>
    <w:uiPriority w:val="99"/>
    <w:semiHidden/>
    <w:unhideWhenUsed/>
    <w:rsid w:val="00B33A53"/>
    <w:rPr>
      <w:vertAlign w:val="superscript"/>
    </w:rPr>
  </w:style>
  <w:style w:type="character" w:customStyle="1" w:styleId="st">
    <w:name w:val="st"/>
    <w:basedOn w:val="DefaultParagraphFont"/>
    <w:rsid w:val="00817CDC"/>
  </w:style>
  <w:style w:type="paragraph" w:customStyle="1" w:styleId="TableRow">
    <w:name w:val="Table Row"/>
    <w:basedOn w:val="Normal"/>
    <w:link w:val="TableRowChar"/>
    <w:qFormat/>
    <w:rsid w:val="00817CDC"/>
    <w:pPr>
      <w:widowControl w:val="0"/>
      <w:autoSpaceDE w:val="0"/>
      <w:autoSpaceDN w:val="0"/>
      <w:adjustRightInd w:val="0"/>
      <w:spacing w:before="40" w:after="40" w:line="240" w:lineRule="auto"/>
    </w:pPr>
    <w:rPr>
      <w:rFonts w:asciiTheme="majorHAnsi" w:eastAsiaTheme="minorEastAsia" w:hAnsiTheme="majorHAnsi" w:cs="Arial"/>
      <w:sz w:val="16"/>
      <w:szCs w:val="16"/>
    </w:rPr>
  </w:style>
  <w:style w:type="character" w:customStyle="1" w:styleId="TableRowChar">
    <w:name w:val="Table Row Char"/>
    <w:basedOn w:val="DefaultParagraphFont"/>
    <w:link w:val="TableRow"/>
    <w:rsid w:val="00817CDC"/>
    <w:rPr>
      <w:rFonts w:asciiTheme="majorHAnsi" w:eastAsiaTheme="minorEastAsia" w:hAnsiTheme="majorHAnsi" w:cs="Arial"/>
      <w:sz w:val="16"/>
      <w:szCs w:val="16"/>
      <w:lang w:eastAsia="en-US"/>
    </w:rPr>
  </w:style>
  <w:style w:type="paragraph" w:customStyle="1" w:styleId="ExtensionPoints">
    <w:name w:val="Extension Points"/>
    <w:basedOn w:val="Normal"/>
    <w:link w:val="ExtensionPointsChar"/>
    <w:qFormat/>
    <w:rsid w:val="00907A40"/>
    <w:pPr>
      <w:numPr>
        <w:numId w:val="40"/>
      </w:numPr>
      <w:spacing w:after="120" w:line="240" w:lineRule="auto"/>
    </w:pPr>
    <w:rPr>
      <w:rFonts w:eastAsiaTheme="minorEastAsia" w:cstheme="minorBidi"/>
      <w:bCs/>
      <w:sz w:val="20"/>
    </w:rPr>
  </w:style>
  <w:style w:type="character" w:customStyle="1" w:styleId="ExtensionPointsChar">
    <w:name w:val="Extension Points Char"/>
    <w:basedOn w:val="DefaultParagraphFont"/>
    <w:link w:val="ExtensionPoints"/>
    <w:rsid w:val="00907A40"/>
    <w:rPr>
      <w:rFonts w:eastAsiaTheme="minorEastAsia" w:cstheme="minorBidi"/>
      <w:bCs/>
      <w:sz w:val="20"/>
      <w:lang w:eastAsia="en-US"/>
    </w:rPr>
  </w:style>
  <w:style w:type="character" w:customStyle="1" w:styleId="A16">
    <w:name w:val="A16"/>
    <w:uiPriority w:val="99"/>
    <w:rsid w:val="00286A78"/>
    <w:rPr>
      <w:color w:val="004321"/>
      <w:sz w:val="18"/>
      <w:szCs w:val="18"/>
      <w:u w:val="single"/>
    </w:rPr>
  </w:style>
  <w:style w:type="character" w:customStyle="1" w:styleId="UpdatedChar">
    <w:name w:val="Updated Char"/>
    <w:basedOn w:val="DefaultParagraphFont"/>
    <w:link w:val="Updated"/>
    <w:locked/>
    <w:rsid w:val="00A70462"/>
    <w:rPr>
      <w:shd w:val="clear" w:color="auto" w:fill="8DB3E2"/>
    </w:rPr>
  </w:style>
  <w:style w:type="paragraph" w:customStyle="1" w:styleId="Updated">
    <w:name w:val="Updated"/>
    <w:basedOn w:val="Normal"/>
    <w:link w:val="UpdatedChar"/>
    <w:rsid w:val="00A70462"/>
    <w:pPr>
      <w:shd w:val="clear" w:color="auto" w:fill="8DB3E2"/>
      <w:spacing w:after="120"/>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528">
      <w:bodyDiv w:val="1"/>
      <w:marLeft w:val="0"/>
      <w:marRight w:val="0"/>
      <w:marTop w:val="0"/>
      <w:marBottom w:val="0"/>
      <w:divBdr>
        <w:top w:val="none" w:sz="0" w:space="0" w:color="auto"/>
        <w:left w:val="none" w:sz="0" w:space="0" w:color="auto"/>
        <w:bottom w:val="none" w:sz="0" w:space="0" w:color="auto"/>
        <w:right w:val="none" w:sz="0" w:space="0" w:color="auto"/>
      </w:divBdr>
      <w:divsChild>
        <w:div w:id="458914945">
          <w:marLeft w:val="0"/>
          <w:marRight w:val="0"/>
          <w:marTop w:val="0"/>
          <w:marBottom w:val="0"/>
          <w:divBdr>
            <w:top w:val="none" w:sz="0" w:space="0" w:color="auto"/>
            <w:left w:val="none" w:sz="0" w:space="0" w:color="auto"/>
            <w:bottom w:val="none" w:sz="0" w:space="0" w:color="auto"/>
            <w:right w:val="none" w:sz="0" w:space="0" w:color="auto"/>
          </w:divBdr>
          <w:divsChild>
            <w:div w:id="853422951">
              <w:marLeft w:val="0"/>
              <w:marRight w:val="0"/>
              <w:marTop w:val="0"/>
              <w:marBottom w:val="0"/>
              <w:divBdr>
                <w:top w:val="none" w:sz="0" w:space="0" w:color="auto"/>
                <w:left w:val="none" w:sz="0" w:space="0" w:color="auto"/>
                <w:bottom w:val="none" w:sz="0" w:space="0" w:color="auto"/>
                <w:right w:val="none" w:sz="0" w:space="0" w:color="auto"/>
              </w:divBdr>
              <w:divsChild>
                <w:div w:id="666716246">
                  <w:marLeft w:val="0"/>
                  <w:marRight w:val="0"/>
                  <w:marTop w:val="0"/>
                  <w:marBottom w:val="0"/>
                  <w:divBdr>
                    <w:top w:val="none" w:sz="0" w:space="0" w:color="auto"/>
                    <w:left w:val="none" w:sz="0" w:space="0" w:color="auto"/>
                    <w:bottom w:val="none" w:sz="0" w:space="0" w:color="auto"/>
                    <w:right w:val="none" w:sz="0" w:space="0" w:color="auto"/>
                  </w:divBdr>
                  <w:divsChild>
                    <w:div w:id="772549596">
                      <w:marLeft w:val="0"/>
                      <w:marRight w:val="0"/>
                      <w:marTop w:val="0"/>
                      <w:marBottom w:val="0"/>
                      <w:divBdr>
                        <w:top w:val="none" w:sz="0" w:space="0" w:color="auto"/>
                        <w:left w:val="none" w:sz="0" w:space="0" w:color="auto"/>
                        <w:bottom w:val="none" w:sz="0" w:space="0" w:color="auto"/>
                        <w:right w:val="none" w:sz="0" w:space="0" w:color="auto"/>
                      </w:divBdr>
                      <w:divsChild>
                        <w:div w:id="446774381">
                          <w:marLeft w:val="150"/>
                          <w:marRight w:val="150"/>
                          <w:marTop w:val="0"/>
                          <w:marBottom w:val="0"/>
                          <w:divBdr>
                            <w:top w:val="none" w:sz="0" w:space="0" w:color="auto"/>
                            <w:left w:val="none" w:sz="0" w:space="0" w:color="auto"/>
                            <w:bottom w:val="none" w:sz="0" w:space="0" w:color="auto"/>
                            <w:right w:val="none" w:sz="0" w:space="0" w:color="auto"/>
                          </w:divBdr>
                          <w:divsChild>
                            <w:div w:id="1227646543">
                              <w:marLeft w:val="0"/>
                              <w:marRight w:val="0"/>
                              <w:marTop w:val="0"/>
                              <w:marBottom w:val="150"/>
                              <w:divBdr>
                                <w:top w:val="none" w:sz="0" w:space="0" w:color="auto"/>
                                <w:left w:val="none" w:sz="0" w:space="0" w:color="auto"/>
                                <w:bottom w:val="none" w:sz="0" w:space="0" w:color="auto"/>
                                <w:right w:val="none" w:sz="0" w:space="0" w:color="auto"/>
                              </w:divBdr>
                              <w:divsChild>
                                <w:div w:id="1912353557">
                                  <w:marLeft w:val="0"/>
                                  <w:marRight w:val="0"/>
                                  <w:marTop w:val="0"/>
                                  <w:marBottom w:val="0"/>
                                  <w:divBdr>
                                    <w:top w:val="none" w:sz="0" w:space="0" w:color="auto"/>
                                    <w:left w:val="none" w:sz="0" w:space="0" w:color="auto"/>
                                    <w:bottom w:val="none" w:sz="0" w:space="0" w:color="auto"/>
                                    <w:right w:val="none" w:sz="0" w:space="0" w:color="auto"/>
                                  </w:divBdr>
                                  <w:divsChild>
                                    <w:div w:id="1903103924">
                                      <w:marLeft w:val="0"/>
                                      <w:marRight w:val="0"/>
                                      <w:marTop w:val="0"/>
                                      <w:marBottom w:val="0"/>
                                      <w:divBdr>
                                        <w:top w:val="none" w:sz="0" w:space="0" w:color="auto"/>
                                        <w:left w:val="none" w:sz="0" w:space="0" w:color="auto"/>
                                        <w:bottom w:val="none" w:sz="0" w:space="0" w:color="auto"/>
                                        <w:right w:val="none" w:sz="0" w:space="0" w:color="auto"/>
                                      </w:divBdr>
                                      <w:divsChild>
                                        <w:div w:id="2002612862">
                                          <w:marLeft w:val="0"/>
                                          <w:marRight w:val="0"/>
                                          <w:marTop w:val="0"/>
                                          <w:marBottom w:val="0"/>
                                          <w:divBdr>
                                            <w:top w:val="none" w:sz="0" w:space="0" w:color="auto"/>
                                            <w:left w:val="none" w:sz="0" w:space="0" w:color="auto"/>
                                            <w:bottom w:val="none" w:sz="0" w:space="0" w:color="auto"/>
                                            <w:right w:val="none" w:sz="0" w:space="0" w:color="auto"/>
                                          </w:divBdr>
                                          <w:divsChild>
                                            <w:div w:id="1732147402">
                                              <w:marLeft w:val="0"/>
                                              <w:marRight w:val="0"/>
                                              <w:marTop w:val="0"/>
                                              <w:marBottom w:val="0"/>
                                              <w:divBdr>
                                                <w:top w:val="none" w:sz="0" w:space="0" w:color="auto"/>
                                                <w:left w:val="none" w:sz="0" w:space="0" w:color="auto"/>
                                                <w:bottom w:val="none" w:sz="0" w:space="0" w:color="auto"/>
                                                <w:right w:val="none" w:sz="0" w:space="0" w:color="auto"/>
                                              </w:divBdr>
                                              <w:divsChild>
                                                <w:div w:id="1789662075">
                                                  <w:marLeft w:val="0"/>
                                                  <w:marRight w:val="0"/>
                                                  <w:marTop w:val="0"/>
                                                  <w:marBottom w:val="0"/>
                                                  <w:divBdr>
                                                    <w:top w:val="none" w:sz="0" w:space="0" w:color="auto"/>
                                                    <w:left w:val="none" w:sz="0" w:space="0" w:color="auto"/>
                                                    <w:bottom w:val="none" w:sz="0" w:space="0" w:color="auto"/>
                                                    <w:right w:val="none" w:sz="0" w:space="0" w:color="auto"/>
                                                  </w:divBdr>
                                                  <w:divsChild>
                                                    <w:div w:id="488518442">
                                                      <w:marLeft w:val="0"/>
                                                      <w:marRight w:val="0"/>
                                                      <w:marTop w:val="0"/>
                                                      <w:marBottom w:val="0"/>
                                                      <w:divBdr>
                                                        <w:top w:val="none" w:sz="0" w:space="0" w:color="auto"/>
                                                        <w:left w:val="none" w:sz="0" w:space="0" w:color="auto"/>
                                                        <w:bottom w:val="none" w:sz="0" w:space="0" w:color="auto"/>
                                                        <w:right w:val="none" w:sz="0" w:space="0" w:color="auto"/>
                                                      </w:divBdr>
                                                      <w:divsChild>
                                                        <w:div w:id="2042825920">
                                                          <w:marLeft w:val="0"/>
                                                          <w:marRight w:val="0"/>
                                                          <w:marTop w:val="0"/>
                                                          <w:marBottom w:val="0"/>
                                                          <w:divBdr>
                                                            <w:top w:val="none" w:sz="0" w:space="0" w:color="auto"/>
                                                            <w:left w:val="none" w:sz="0" w:space="0" w:color="auto"/>
                                                            <w:bottom w:val="none" w:sz="0" w:space="0" w:color="auto"/>
                                                            <w:right w:val="none" w:sz="0" w:space="0" w:color="auto"/>
                                                          </w:divBdr>
                                                          <w:divsChild>
                                                            <w:div w:id="675424142">
                                                              <w:marLeft w:val="0"/>
                                                              <w:marRight w:val="0"/>
                                                              <w:marTop w:val="0"/>
                                                              <w:marBottom w:val="0"/>
                                                              <w:divBdr>
                                                                <w:top w:val="none" w:sz="0" w:space="0" w:color="auto"/>
                                                                <w:left w:val="none" w:sz="0" w:space="0" w:color="auto"/>
                                                                <w:bottom w:val="none" w:sz="0" w:space="0" w:color="auto"/>
                                                                <w:right w:val="none" w:sz="0" w:space="0" w:color="auto"/>
                                                              </w:divBdr>
                                                              <w:divsChild>
                                                                <w:div w:id="2132287725">
                                                                  <w:marLeft w:val="0"/>
                                                                  <w:marRight w:val="0"/>
                                                                  <w:marTop w:val="0"/>
                                                                  <w:marBottom w:val="0"/>
                                                                  <w:divBdr>
                                                                    <w:top w:val="none" w:sz="0" w:space="0" w:color="auto"/>
                                                                    <w:left w:val="none" w:sz="0" w:space="0" w:color="auto"/>
                                                                    <w:bottom w:val="none" w:sz="0" w:space="0" w:color="auto"/>
                                                                    <w:right w:val="none" w:sz="0" w:space="0" w:color="auto"/>
                                                                  </w:divBdr>
                                                                  <w:divsChild>
                                                                    <w:div w:id="1801220841">
                                                                      <w:marLeft w:val="0"/>
                                                                      <w:marRight w:val="0"/>
                                                                      <w:marTop w:val="0"/>
                                                                      <w:marBottom w:val="0"/>
                                                                      <w:divBdr>
                                                                        <w:top w:val="single" w:sz="2" w:space="4" w:color="DEDEDE"/>
                                                                        <w:left w:val="single" w:sz="2" w:space="4" w:color="DEDEDE"/>
                                                                        <w:bottom w:val="single" w:sz="2" w:space="4" w:color="DEDEDE"/>
                                                                        <w:right w:val="single" w:sz="2" w:space="4" w:color="DEDEDE"/>
                                                                      </w:divBdr>
                                                                      <w:divsChild>
                                                                        <w:div w:id="1669093442">
                                                                          <w:marLeft w:val="0"/>
                                                                          <w:marRight w:val="0"/>
                                                                          <w:marTop w:val="0"/>
                                                                          <w:marBottom w:val="0"/>
                                                                          <w:divBdr>
                                                                            <w:top w:val="none" w:sz="0" w:space="0" w:color="auto"/>
                                                                            <w:left w:val="none" w:sz="0" w:space="0" w:color="auto"/>
                                                                            <w:bottom w:val="none" w:sz="0" w:space="0" w:color="auto"/>
                                                                            <w:right w:val="none" w:sz="0" w:space="0" w:color="auto"/>
                                                                          </w:divBdr>
                                                                          <w:divsChild>
                                                                            <w:div w:id="15200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56813">
      <w:bodyDiv w:val="1"/>
      <w:marLeft w:val="0"/>
      <w:marRight w:val="0"/>
      <w:marTop w:val="0"/>
      <w:marBottom w:val="0"/>
      <w:divBdr>
        <w:top w:val="none" w:sz="0" w:space="0" w:color="auto"/>
        <w:left w:val="none" w:sz="0" w:space="0" w:color="auto"/>
        <w:bottom w:val="none" w:sz="0" w:space="0" w:color="auto"/>
        <w:right w:val="none" w:sz="0" w:space="0" w:color="auto"/>
      </w:divBdr>
      <w:divsChild>
        <w:div w:id="7761414">
          <w:marLeft w:val="0"/>
          <w:marRight w:val="0"/>
          <w:marTop w:val="0"/>
          <w:marBottom w:val="0"/>
          <w:divBdr>
            <w:top w:val="none" w:sz="0" w:space="0" w:color="auto"/>
            <w:left w:val="none" w:sz="0" w:space="0" w:color="auto"/>
            <w:bottom w:val="none" w:sz="0" w:space="0" w:color="auto"/>
            <w:right w:val="none" w:sz="0" w:space="0" w:color="auto"/>
          </w:divBdr>
          <w:divsChild>
            <w:div w:id="1684238164">
              <w:marLeft w:val="0"/>
              <w:marRight w:val="0"/>
              <w:marTop w:val="0"/>
              <w:marBottom w:val="0"/>
              <w:divBdr>
                <w:top w:val="none" w:sz="0" w:space="0" w:color="auto"/>
                <w:left w:val="none" w:sz="0" w:space="0" w:color="auto"/>
                <w:bottom w:val="none" w:sz="0" w:space="0" w:color="auto"/>
                <w:right w:val="none" w:sz="0" w:space="0" w:color="auto"/>
              </w:divBdr>
              <w:divsChild>
                <w:div w:id="1791240865">
                  <w:marLeft w:val="0"/>
                  <w:marRight w:val="0"/>
                  <w:marTop w:val="0"/>
                  <w:marBottom w:val="0"/>
                  <w:divBdr>
                    <w:top w:val="none" w:sz="0" w:space="0" w:color="auto"/>
                    <w:left w:val="none" w:sz="0" w:space="0" w:color="auto"/>
                    <w:bottom w:val="none" w:sz="0" w:space="0" w:color="auto"/>
                    <w:right w:val="none" w:sz="0" w:space="0" w:color="auto"/>
                  </w:divBdr>
                  <w:divsChild>
                    <w:div w:id="1770350061">
                      <w:marLeft w:val="0"/>
                      <w:marRight w:val="0"/>
                      <w:marTop w:val="0"/>
                      <w:marBottom w:val="0"/>
                      <w:divBdr>
                        <w:top w:val="none" w:sz="0" w:space="0" w:color="auto"/>
                        <w:left w:val="none" w:sz="0" w:space="0" w:color="auto"/>
                        <w:bottom w:val="none" w:sz="0" w:space="0" w:color="auto"/>
                        <w:right w:val="none" w:sz="0" w:space="0" w:color="auto"/>
                      </w:divBdr>
                      <w:divsChild>
                        <w:div w:id="1011225727">
                          <w:marLeft w:val="150"/>
                          <w:marRight w:val="150"/>
                          <w:marTop w:val="0"/>
                          <w:marBottom w:val="0"/>
                          <w:divBdr>
                            <w:top w:val="none" w:sz="0" w:space="0" w:color="auto"/>
                            <w:left w:val="none" w:sz="0" w:space="0" w:color="auto"/>
                            <w:bottom w:val="none" w:sz="0" w:space="0" w:color="auto"/>
                            <w:right w:val="none" w:sz="0" w:space="0" w:color="auto"/>
                          </w:divBdr>
                          <w:divsChild>
                            <w:div w:id="1811172762">
                              <w:marLeft w:val="0"/>
                              <w:marRight w:val="0"/>
                              <w:marTop w:val="0"/>
                              <w:marBottom w:val="150"/>
                              <w:divBdr>
                                <w:top w:val="none" w:sz="0" w:space="0" w:color="auto"/>
                                <w:left w:val="none" w:sz="0" w:space="0" w:color="auto"/>
                                <w:bottom w:val="none" w:sz="0" w:space="0" w:color="auto"/>
                                <w:right w:val="none" w:sz="0" w:space="0" w:color="auto"/>
                              </w:divBdr>
                              <w:divsChild>
                                <w:div w:id="1993674309">
                                  <w:marLeft w:val="0"/>
                                  <w:marRight w:val="0"/>
                                  <w:marTop w:val="0"/>
                                  <w:marBottom w:val="0"/>
                                  <w:divBdr>
                                    <w:top w:val="none" w:sz="0" w:space="0" w:color="auto"/>
                                    <w:left w:val="none" w:sz="0" w:space="0" w:color="auto"/>
                                    <w:bottom w:val="none" w:sz="0" w:space="0" w:color="auto"/>
                                    <w:right w:val="none" w:sz="0" w:space="0" w:color="auto"/>
                                  </w:divBdr>
                                  <w:divsChild>
                                    <w:div w:id="340667885">
                                      <w:marLeft w:val="0"/>
                                      <w:marRight w:val="0"/>
                                      <w:marTop w:val="0"/>
                                      <w:marBottom w:val="0"/>
                                      <w:divBdr>
                                        <w:top w:val="none" w:sz="0" w:space="0" w:color="auto"/>
                                        <w:left w:val="none" w:sz="0" w:space="0" w:color="auto"/>
                                        <w:bottom w:val="none" w:sz="0" w:space="0" w:color="auto"/>
                                        <w:right w:val="none" w:sz="0" w:space="0" w:color="auto"/>
                                      </w:divBdr>
                                      <w:divsChild>
                                        <w:div w:id="431244066">
                                          <w:marLeft w:val="0"/>
                                          <w:marRight w:val="0"/>
                                          <w:marTop w:val="0"/>
                                          <w:marBottom w:val="0"/>
                                          <w:divBdr>
                                            <w:top w:val="none" w:sz="0" w:space="0" w:color="auto"/>
                                            <w:left w:val="none" w:sz="0" w:space="0" w:color="auto"/>
                                            <w:bottom w:val="none" w:sz="0" w:space="0" w:color="auto"/>
                                            <w:right w:val="none" w:sz="0" w:space="0" w:color="auto"/>
                                          </w:divBdr>
                                          <w:divsChild>
                                            <w:div w:id="1659728858">
                                              <w:marLeft w:val="0"/>
                                              <w:marRight w:val="0"/>
                                              <w:marTop w:val="0"/>
                                              <w:marBottom w:val="0"/>
                                              <w:divBdr>
                                                <w:top w:val="none" w:sz="0" w:space="0" w:color="auto"/>
                                                <w:left w:val="none" w:sz="0" w:space="0" w:color="auto"/>
                                                <w:bottom w:val="none" w:sz="0" w:space="0" w:color="auto"/>
                                                <w:right w:val="none" w:sz="0" w:space="0" w:color="auto"/>
                                              </w:divBdr>
                                              <w:divsChild>
                                                <w:div w:id="1438789521">
                                                  <w:marLeft w:val="0"/>
                                                  <w:marRight w:val="0"/>
                                                  <w:marTop w:val="0"/>
                                                  <w:marBottom w:val="0"/>
                                                  <w:divBdr>
                                                    <w:top w:val="none" w:sz="0" w:space="0" w:color="auto"/>
                                                    <w:left w:val="none" w:sz="0" w:space="0" w:color="auto"/>
                                                    <w:bottom w:val="none" w:sz="0" w:space="0" w:color="auto"/>
                                                    <w:right w:val="none" w:sz="0" w:space="0" w:color="auto"/>
                                                  </w:divBdr>
                                                  <w:divsChild>
                                                    <w:div w:id="1805393174">
                                                      <w:marLeft w:val="0"/>
                                                      <w:marRight w:val="0"/>
                                                      <w:marTop w:val="0"/>
                                                      <w:marBottom w:val="0"/>
                                                      <w:divBdr>
                                                        <w:top w:val="none" w:sz="0" w:space="0" w:color="auto"/>
                                                        <w:left w:val="none" w:sz="0" w:space="0" w:color="auto"/>
                                                        <w:bottom w:val="none" w:sz="0" w:space="0" w:color="auto"/>
                                                        <w:right w:val="none" w:sz="0" w:space="0" w:color="auto"/>
                                                      </w:divBdr>
                                                      <w:divsChild>
                                                        <w:div w:id="1113860242">
                                                          <w:marLeft w:val="0"/>
                                                          <w:marRight w:val="0"/>
                                                          <w:marTop w:val="0"/>
                                                          <w:marBottom w:val="0"/>
                                                          <w:divBdr>
                                                            <w:top w:val="none" w:sz="0" w:space="0" w:color="auto"/>
                                                            <w:left w:val="none" w:sz="0" w:space="0" w:color="auto"/>
                                                            <w:bottom w:val="none" w:sz="0" w:space="0" w:color="auto"/>
                                                            <w:right w:val="none" w:sz="0" w:space="0" w:color="auto"/>
                                                          </w:divBdr>
                                                          <w:divsChild>
                                                            <w:div w:id="660307838">
                                                              <w:marLeft w:val="0"/>
                                                              <w:marRight w:val="0"/>
                                                              <w:marTop w:val="0"/>
                                                              <w:marBottom w:val="0"/>
                                                              <w:divBdr>
                                                                <w:top w:val="none" w:sz="0" w:space="0" w:color="auto"/>
                                                                <w:left w:val="none" w:sz="0" w:space="0" w:color="auto"/>
                                                                <w:bottom w:val="none" w:sz="0" w:space="0" w:color="auto"/>
                                                                <w:right w:val="none" w:sz="0" w:space="0" w:color="auto"/>
                                                              </w:divBdr>
                                                              <w:divsChild>
                                                                <w:div w:id="1288506880">
                                                                  <w:marLeft w:val="0"/>
                                                                  <w:marRight w:val="0"/>
                                                                  <w:marTop w:val="0"/>
                                                                  <w:marBottom w:val="0"/>
                                                                  <w:divBdr>
                                                                    <w:top w:val="none" w:sz="0" w:space="0" w:color="auto"/>
                                                                    <w:left w:val="none" w:sz="0" w:space="0" w:color="auto"/>
                                                                    <w:bottom w:val="none" w:sz="0" w:space="0" w:color="auto"/>
                                                                    <w:right w:val="none" w:sz="0" w:space="0" w:color="auto"/>
                                                                  </w:divBdr>
                                                                  <w:divsChild>
                                                                    <w:div w:id="1362240867">
                                                                      <w:marLeft w:val="0"/>
                                                                      <w:marRight w:val="0"/>
                                                                      <w:marTop w:val="0"/>
                                                                      <w:marBottom w:val="0"/>
                                                                      <w:divBdr>
                                                                        <w:top w:val="single" w:sz="2" w:space="4" w:color="DEDEDE"/>
                                                                        <w:left w:val="single" w:sz="2" w:space="4" w:color="DEDEDE"/>
                                                                        <w:bottom w:val="single" w:sz="2" w:space="4" w:color="DEDEDE"/>
                                                                        <w:right w:val="single" w:sz="2" w:space="4" w:color="DEDEDE"/>
                                                                      </w:divBdr>
                                                                      <w:divsChild>
                                                                        <w:div w:id="2088960402">
                                                                          <w:marLeft w:val="0"/>
                                                                          <w:marRight w:val="0"/>
                                                                          <w:marTop w:val="0"/>
                                                                          <w:marBottom w:val="0"/>
                                                                          <w:divBdr>
                                                                            <w:top w:val="none" w:sz="0" w:space="0" w:color="auto"/>
                                                                            <w:left w:val="none" w:sz="0" w:space="0" w:color="auto"/>
                                                                            <w:bottom w:val="none" w:sz="0" w:space="0" w:color="auto"/>
                                                                            <w:right w:val="none" w:sz="0" w:space="0" w:color="auto"/>
                                                                          </w:divBdr>
                                                                          <w:divsChild>
                                                                            <w:div w:id="21392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11444">
      <w:bodyDiv w:val="1"/>
      <w:marLeft w:val="0"/>
      <w:marRight w:val="0"/>
      <w:marTop w:val="0"/>
      <w:marBottom w:val="0"/>
      <w:divBdr>
        <w:top w:val="none" w:sz="0" w:space="0" w:color="auto"/>
        <w:left w:val="none" w:sz="0" w:space="0" w:color="auto"/>
        <w:bottom w:val="none" w:sz="0" w:space="0" w:color="auto"/>
        <w:right w:val="none" w:sz="0" w:space="0" w:color="auto"/>
      </w:divBdr>
    </w:div>
    <w:div w:id="173687227">
      <w:bodyDiv w:val="1"/>
      <w:marLeft w:val="0"/>
      <w:marRight w:val="0"/>
      <w:marTop w:val="0"/>
      <w:marBottom w:val="0"/>
      <w:divBdr>
        <w:top w:val="none" w:sz="0" w:space="0" w:color="auto"/>
        <w:left w:val="none" w:sz="0" w:space="0" w:color="auto"/>
        <w:bottom w:val="none" w:sz="0" w:space="0" w:color="auto"/>
        <w:right w:val="none" w:sz="0" w:space="0" w:color="auto"/>
      </w:divBdr>
    </w:div>
    <w:div w:id="264967686">
      <w:bodyDiv w:val="1"/>
      <w:marLeft w:val="0"/>
      <w:marRight w:val="0"/>
      <w:marTop w:val="0"/>
      <w:marBottom w:val="0"/>
      <w:divBdr>
        <w:top w:val="none" w:sz="0" w:space="0" w:color="auto"/>
        <w:left w:val="none" w:sz="0" w:space="0" w:color="auto"/>
        <w:bottom w:val="none" w:sz="0" w:space="0" w:color="auto"/>
        <w:right w:val="none" w:sz="0" w:space="0" w:color="auto"/>
      </w:divBdr>
      <w:divsChild>
        <w:div w:id="1885095114">
          <w:marLeft w:val="0"/>
          <w:marRight w:val="0"/>
          <w:marTop w:val="0"/>
          <w:marBottom w:val="0"/>
          <w:divBdr>
            <w:top w:val="none" w:sz="0" w:space="0" w:color="auto"/>
            <w:left w:val="none" w:sz="0" w:space="0" w:color="auto"/>
            <w:bottom w:val="none" w:sz="0" w:space="0" w:color="auto"/>
            <w:right w:val="none" w:sz="0" w:space="0" w:color="auto"/>
          </w:divBdr>
          <w:divsChild>
            <w:div w:id="1508599468">
              <w:marLeft w:val="0"/>
              <w:marRight w:val="0"/>
              <w:marTop w:val="0"/>
              <w:marBottom w:val="0"/>
              <w:divBdr>
                <w:top w:val="none" w:sz="0" w:space="0" w:color="auto"/>
                <w:left w:val="none" w:sz="0" w:space="0" w:color="auto"/>
                <w:bottom w:val="none" w:sz="0" w:space="0" w:color="auto"/>
                <w:right w:val="none" w:sz="0" w:space="0" w:color="auto"/>
              </w:divBdr>
              <w:divsChild>
                <w:div w:id="529757288">
                  <w:marLeft w:val="0"/>
                  <w:marRight w:val="0"/>
                  <w:marTop w:val="0"/>
                  <w:marBottom w:val="0"/>
                  <w:divBdr>
                    <w:top w:val="none" w:sz="0" w:space="0" w:color="auto"/>
                    <w:left w:val="none" w:sz="0" w:space="0" w:color="auto"/>
                    <w:bottom w:val="none" w:sz="0" w:space="0" w:color="auto"/>
                    <w:right w:val="none" w:sz="0" w:space="0" w:color="auto"/>
                  </w:divBdr>
                  <w:divsChild>
                    <w:div w:id="10136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669240">
      <w:bodyDiv w:val="1"/>
      <w:marLeft w:val="0"/>
      <w:marRight w:val="0"/>
      <w:marTop w:val="0"/>
      <w:marBottom w:val="0"/>
      <w:divBdr>
        <w:top w:val="none" w:sz="0" w:space="0" w:color="auto"/>
        <w:left w:val="none" w:sz="0" w:space="0" w:color="auto"/>
        <w:bottom w:val="none" w:sz="0" w:space="0" w:color="auto"/>
        <w:right w:val="none" w:sz="0" w:space="0" w:color="auto"/>
      </w:divBdr>
    </w:div>
    <w:div w:id="460266568">
      <w:bodyDiv w:val="1"/>
      <w:marLeft w:val="0"/>
      <w:marRight w:val="0"/>
      <w:marTop w:val="0"/>
      <w:marBottom w:val="0"/>
      <w:divBdr>
        <w:top w:val="none" w:sz="0" w:space="0" w:color="auto"/>
        <w:left w:val="none" w:sz="0" w:space="0" w:color="auto"/>
        <w:bottom w:val="none" w:sz="0" w:space="0" w:color="auto"/>
        <w:right w:val="none" w:sz="0" w:space="0" w:color="auto"/>
      </w:divBdr>
    </w:div>
    <w:div w:id="486435952">
      <w:bodyDiv w:val="1"/>
      <w:marLeft w:val="0"/>
      <w:marRight w:val="0"/>
      <w:marTop w:val="0"/>
      <w:marBottom w:val="0"/>
      <w:divBdr>
        <w:top w:val="none" w:sz="0" w:space="0" w:color="auto"/>
        <w:left w:val="none" w:sz="0" w:space="0" w:color="auto"/>
        <w:bottom w:val="none" w:sz="0" w:space="0" w:color="auto"/>
        <w:right w:val="none" w:sz="0" w:space="0" w:color="auto"/>
      </w:divBdr>
    </w:div>
    <w:div w:id="548226042">
      <w:marLeft w:val="0"/>
      <w:marRight w:val="0"/>
      <w:marTop w:val="0"/>
      <w:marBottom w:val="0"/>
      <w:divBdr>
        <w:top w:val="none" w:sz="0" w:space="0" w:color="auto"/>
        <w:left w:val="none" w:sz="0" w:space="0" w:color="auto"/>
        <w:bottom w:val="none" w:sz="0" w:space="0" w:color="auto"/>
        <w:right w:val="none" w:sz="0" w:space="0" w:color="auto"/>
      </w:divBdr>
      <w:divsChild>
        <w:div w:id="548226044">
          <w:marLeft w:val="0"/>
          <w:marRight w:val="150"/>
          <w:marTop w:val="0"/>
          <w:marBottom w:val="0"/>
          <w:divBdr>
            <w:top w:val="none" w:sz="0" w:space="0" w:color="auto"/>
            <w:left w:val="none" w:sz="0" w:space="0" w:color="auto"/>
            <w:bottom w:val="none" w:sz="0" w:space="0" w:color="auto"/>
            <w:right w:val="none" w:sz="0" w:space="0" w:color="auto"/>
          </w:divBdr>
          <w:divsChild>
            <w:div w:id="548226048">
              <w:marLeft w:val="0"/>
              <w:marRight w:val="0"/>
              <w:marTop w:val="0"/>
              <w:marBottom w:val="0"/>
              <w:divBdr>
                <w:top w:val="none" w:sz="0" w:space="0" w:color="auto"/>
                <w:left w:val="none" w:sz="0" w:space="0" w:color="auto"/>
                <w:bottom w:val="none" w:sz="0" w:space="0" w:color="auto"/>
                <w:right w:val="none" w:sz="0" w:space="0" w:color="auto"/>
              </w:divBdr>
              <w:divsChild>
                <w:div w:id="548226053">
                  <w:marLeft w:val="0"/>
                  <w:marRight w:val="0"/>
                  <w:marTop w:val="0"/>
                  <w:marBottom w:val="0"/>
                  <w:divBdr>
                    <w:top w:val="none" w:sz="0" w:space="0" w:color="auto"/>
                    <w:left w:val="none" w:sz="0" w:space="0" w:color="auto"/>
                    <w:bottom w:val="none" w:sz="0" w:space="0" w:color="auto"/>
                    <w:right w:val="none" w:sz="0" w:space="0" w:color="auto"/>
                  </w:divBdr>
                  <w:divsChild>
                    <w:div w:id="5482260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8226047">
          <w:marLeft w:val="0"/>
          <w:marRight w:val="0"/>
          <w:marTop w:val="0"/>
          <w:marBottom w:val="225"/>
          <w:divBdr>
            <w:top w:val="none" w:sz="0" w:space="0" w:color="auto"/>
            <w:left w:val="none" w:sz="0" w:space="0" w:color="auto"/>
            <w:bottom w:val="none" w:sz="0" w:space="0" w:color="auto"/>
            <w:right w:val="none" w:sz="0" w:space="0" w:color="auto"/>
          </w:divBdr>
        </w:div>
      </w:divsChild>
    </w:div>
    <w:div w:id="548226043">
      <w:marLeft w:val="0"/>
      <w:marRight w:val="0"/>
      <w:marTop w:val="0"/>
      <w:marBottom w:val="0"/>
      <w:divBdr>
        <w:top w:val="none" w:sz="0" w:space="0" w:color="auto"/>
        <w:left w:val="none" w:sz="0" w:space="0" w:color="auto"/>
        <w:bottom w:val="none" w:sz="0" w:space="0" w:color="auto"/>
        <w:right w:val="none" w:sz="0" w:space="0" w:color="auto"/>
      </w:divBdr>
    </w:div>
    <w:div w:id="548226045">
      <w:marLeft w:val="0"/>
      <w:marRight w:val="0"/>
      <w:marTop w:val="0"/>
      <w:marBottom w:val="0"/>
      <w:divBdr>
        <w:top w:val="none" w:sz="0" w:space="0" w:color="auto"/>
        <w:left w:val="none" w:sz="0" w:space="0" w:color="auto"/>
        <w:bottom w:val="none" w:sz="0" w:space="0" w:color="auto"/>
        <w:right w:val="none" w:sz="0" w:space="0" w:color="auto"/>
      </w:divBdr>
    </w:div>
    <w:div w:id="548226046">
      <w:marLeft w:val="0"/>
      <w:marRight w:val="0"/>
      <w:marTop w:val="0"/>
      <w:marBottom w:val="0"/>
      <w:divBdr>
        <w:top w:val="none" w:sz="0" w:space="0" w:color="auto"/>
        <w:left w:val="none" w:sz="0" w:space="0" w:color="auto"/>
        <w:bottom w:val="none" w:sz="0" w:space="0" w:color="auto"/>
        <w:right w:val="none" w:sz="0" w:space="0" w:color="auto"/>
      </w:divBdr>
    </w:div>
    <w:div w:id="548226049">
      <w:marLeft w:val="0"/>
      <w:marRight w:val="0"/>
      <w:marTop w:val="0"/>
      <w:marBottom w:val="0"/>
      <w:divBdr>
        <w:top w:val="none" w:sz="0" w:space="0" w:color="auto"/>
        <w:left w:val="none" w:sz="0" w:space="0" w:color="auto"/>
        <w:bottom w:val="none" w:sz="0" w:space="0" w:color="auto"/>
        <w:right w:val="none" w:sz="0" w:space="0" w:color="auto"/>
      </w:divBdr>
    </w:div>
    <w:div w:id="548226050">
      <w:marLeft w:val="0"/>
      <w:marRight w:val="0"/>
      <w:marTop w:val="0"/>
      <w:marBottom w:val="0"/>
      <w:divBdr>
        <w:top w:val="none" w:sz="0" w:space="0" w:color="auto"/>
        <w:left w:val="none" w:sz="0" w:space="0" w:color="auto"/>
        <w:bottom w:val="none" w:sz="0" w:space="0" w:color="auto"/>
        <w:right w:val="none" w:sz="0" w:space="0" w:color="auto"/>
      </w:divBdr>
    </w:div>
    <w:div w:id="548226051">
      <w:marLeft w:val="0"/>
      <w:marRight w:val="0"/>
      <w:marTop w:val="0"/>
      <w:marBottom w:val="0"/>
      <w:divBdr>
        <w:top w:val="none" w:sz="0" w:space="0" w:color="auto"/>
        <w:left w:val="none" w:sz="0" w:space="0" w:color="auto"/>
        <w:bottom w:val="none" w:sz="0" w:space="0" w:color="auto"/>
        <w:right w:val="none" w:sz="0" w:space="0" w:color="auto"/>
      </w:divBdr>
    </w:div>
    <w:div w:id="548226054">
      <w:marLeft w:val="0"/>
      <w:marRight w:val="0"/>
      <w:marTop w:val="0"/>
      <w:marBottom w:val="0"/>
      <w:divBdr>
        <w:top w:val="none" w:sz="0" w:space="0" w:color="auto"/>
        <w:left w:val="none" w:sz="0" w:space="0" w:color="auto"/>
        <w:bottom w:val="none" w:sz="0" w:space="0" w:color="auto"/>
        <w:right w:val="none" w:sz="0" w:space="0" w:color="auto"/>
      </w:divBdr>
    </w:div>
    <w:div w:id="645747427">
      <w:bodyDiv w:val="1"/>
      <w:marLeft w:val="0"/>
      <w:marRight w:val="0"/>
      <w:marTop w:val="0"/>
      <w:marBottom w:val="0"/>
      <w:divBdr>
        <w:top w:val="none" w:sz="0" w:space="0" w:color="auto"/>
        <w:left w:val="none" w:sz="0" w:space="0" w:color="auto"/>
        <w:bottom w:val="none" w:sz="0" w:space="0" w:color="auto"/>
        <w:right w:val="none" w:sz="0" w:space="0" w:color="auto"/>
      </w:divBdr>
      <w:divsChild>
        <w:div w:id="1717387523">
          <w:marLeft w:val="0"/>
          <w:marRight w:val="0"/>
          <w:marTop w:val="0"/>
          <w:marBottom w:val="0"/>
          <w:divBdr>
            <w:top w:val="none" w:sz="0" w:space="0" w:color="auto"/>
            <w:left w:val="none" w:sz="0" w:space="0" w:color="auto"/>
            <w:bottom w:val="none" w:sz="0" w:space="0" w:color="auto"/>
            <w:right w:val="none" w:sz="0" w:space="0" w:color="auto"/>
          </w:divBdr>
          <w:divsChild>
            <w:div w:id="971255393">
              <w:marLeft w:val="0"/>
              <w:marRight w:val="0"/>
              <w:marTop w:val="0"/>
              <w:marBottom w:val="0"/>
              <w:divBdr>
                <w:top w:val="none" w:sz="0" w:space="0" w:color="auto"/>
                <w:left w:val="none" w:sz="0" w:space="0" w:color="auto"/>
                <w:bottom w:val="none" w:sz="0" w:space="0" w:color="auto"/>
                <w:right w:val="none" w:sz="0" w:space="0" w:color="auto"/>
              </w:divBdr>
              <w:divsChild>
                <w:div w:id="1179782250">
                  <w:marLeft w:val="0"/>
                  <w:marRight w:val="0"/>
                  <w:marTop w:val="0"/>
                  <w:marBottom w:val="0"/>
                  <w:divBdr>
                    <w:top w:val="none" w:sz="0" w:space="0" w:color="auto"/>
                    <w:left w:val="none" w:sz="0" w:space="0" w:color="auto"/>
                    <w:bottom w:val="none" w:sz="0" w:space="0" w:color="auto"/>
                    <w:right w:val="none" w:sz="0" w:space="0" w:color="auto"/>
                  </w:divBdr>
                  <w:divsChild>
                    <w:div w:id="603002763">
                      <w:marLeft w:val="0"/>
                      <w:marRight w:val="0"/>
                      <w:marTop w:val="0"/>
                      <w:marBottom w:val="0"/>
                      <w:divBdr>
                        <w:top w:val="none" w:sz="0" w:space="0" w:color="auto"/>
                        <w:left w:val="none" w:sz="0" w:space="0" w:color="auto"/>
                        <w:bottom w:val="none" w:sz="0" w:space="0" w:color="auto"/>
                        <w:right w:val="none" w:sz="0" w:space="0" w:color="auto"/>
                      </w:divBdr>
                      <w:divsChild>
                        <w:div w:id="82999565">
                          <w:marLeft w:val="150"/>
                          <w:marRight w:val="150"/>
                          <w:marTop w:val="0"/>
                          <w:marBottom w:val="0"/>
                          <w:divBdr>
                            <w:top w:val="none" w:sz="0" w:space="0" w:color="auto"/>
                            <w:left w:val="none" w:sz="0" w:space="0" w:color="auto"/>
                            <w:bottom w:val="none" w:sz="0" w:space="0" w:color="auto"/>
                            <w:right w:val="none" w:sz="0" w:space="0" w:color="auto"/>
                          </w:divBdr>
                          <w:divsChild>
                            <w:div w:id="1789349443">
                              <w:marLeft w:val="0"/>
                              <w:marRight w:val="0"/>
                              <w:marTop w:val="0"/>
                              <w:marBottom w:val="150"/>
                              <w:divBdr>
                                <w:top w:val="none" w:sz="0" w:space="0" w:color="auto"/>
                                <w:left w:val="none" w:sz="0" w:space="0" w:color="auto"/>
                                <w:bottom w:val="none" w:sz="0" w:space="0" w:color="auto"/>
                                <w:right w:val="none" w:sz="0" w:space="0" w:color="auto"/>
                              </w:divBdr>
                              <w:divsChild>
                                <w:div w:id="1068116557">
                                  <w:marLeft w:val="0"/>
                                  <w:marRight w:val="0"/>
                                  <w:marTop w:val="0"/>
                                  <w:marBottom w:val="0"/>
                                  <w:divBdr>
                                    <w:top w:val="none" w:sz="0" w:space="0" w:color="auto"/>
                                    <w:left w:val="none" w:sz="0" w:space="0" w:color="auto"/>
                                    <w:bottom w:val="none" w:sz="0" w:space="0" w:color="auto"/>
                                    <w:right w:val="none" w:sz="0" w:space="0" w:color="auto"/>
                                  </w:divBdr>
                                  <w:divsChild>
                                    <w:div w:id="1472288012">
                                      <w:marLeft w:val="0"/>
                                      <w:marRight w:val="0"/>
                                      <w:marTop w:val="0"/>
                                      <w:marBottom w:val="0"/>
                                      <w:divBdr>
                                        <w:top w:val="none" w:sz="0" w:space="0" w:color="auto"/>
                                        <w:left w:val="none" w:sz="0" w:space="0" w:color="auto"/>
                                        <w:bottom w:val="none" w:sz="0" w:space="0" w:color="auto"/>
                                        <w:right w:val="none" w:sz="0" w:space="0" w:color="auto"/>
                                      </w:divBdr>
                                      <w:divsChild>
                                        <w:div w:id="1857772176">
                                          <w:marLeft w:val="0"/>
                                          <w:marRight w:val="0"/>
                                          <w:marTop w:val="0"/>
                                          <w:marBottom w:val="0"/>
                                          <w:divBdr>
                                            <w:top w:val="none" w:sz="0" w:space="0" w:color="auto"/>
                                            <w:left w:val="none" w:sz="0" w:space="0" w:color="auto"/>
                                            <w:bottom w:val="none" w:sz="0" w:space="0" w:color="auto"/>
                                            <w:right w:val="none" w:sz="0" w:space="0" w:color="auto"/>
                                          </w:divBdr>
                                          <w:divsChild>
                                            <w:div w:id="673459710">
                                              <w:marLeft w:val="0"/>
                                              <w:marRight w:val="0"/>
                                              <w:marTop w:val="0"/>
                                              <w:marBottom w:val="0"/>
                                              <w:divBdr>
                                                <w:top w:val="none" w:sz="0" w:space="0" w:color="auto"/>
                                                <w:left w:val="none" w:sz="0" w:space="0" w:color="auto"/>
                                                <w:bottom w:val="none" w:sz="0" w:space="0" w:color="auto"/>
                                                <w:right w:val="none" w:sz="0" w:space="0" w:color="auto"/>
                                              </w:divBdr>
                                              <w:divsChild>
                                                <w:div w:id="1081028956">
                                                  <w:marLeft w:val="0"/>
                                                  <w:marRight w:val="0"/>
                                                  <w:marTop w:val="0"/>
                                                  <w:marBottom w:val="0"/>
                                                  <w:divBdr>
                                                    <w:top w:val="none" w:sz="0" w:space="0" w:color="auto"/>
                                                    <w:left w:val="none" w:sz="0" w:space="0" w:color="auto"/>
                                                    <w:bottom w:val="none" w:sz="0" w:space="0" w:color="auto"/>
                                                    <w:right w:val="none" w:sz="0" w:space="0" w:color="auto"/>
                                                  </w:divBdr>
                                                  <w:divsChild>
                                                    <w:div w:id="1399356416">
                                                      <w:marLeft w:val="0"/>
                                                      <w:marRight w:val="0"/>
                                                      <w:marTop w:val="0"/>
                                                      <w:marBottom w:val="0"/>
                                                      <w:divBdr>
                                                        <w:top w:val="none" w:sz="0" w:space="0" w:color="auto"/>
                                                        <w:left w:val="none" w:sz="0" w:space="0" w:color="auto"/>
                                                        <w:bottom w:val="none" w:sz="0" w:space="0" w:color="auto"/>
                                                        <w:right w:val="none" w:sz="0" w:space="0" w:color="auto"/>
                                                      </w:divBdr>
                                                      <w:divsChild>
                                                        <w:div w:id="1850363932">
                                                          <w:marLeft w:val="0"/>
                                                          <w:marRight w:val="0"/>
                                                          <w:marTop w:val="0"/>
                                                          <w:marBottom w:val="0"/>
                                                          <w:divBdr>
                                                            <w:top w:val="none" w:sz="0" w:space="0" w:color="auto"/>
                                                            <w:left w:val="none" w:sz="0" w:space="0" w:color="auto"/>
                                                            <w:bottom w:val="none" w:sz="0" w:space="0" w:color="auto"/>
                                                            <w:right w:val="none" w:sz="0" w:space="0" w:color="auto"/>
                                                          </w:divBdr>
                                                          <w:divsChild>
                                                            <w:div w:id="570895830">
                                                              <w:marLeft w:val="0"/>
                                                              <w:marRight w:val="0"/>
                                                              <w:marTop w:val="0"/>
                                                              <w:marBottom w:val="0"/>
                                                              <w:divBdr>
                                                                <w:top w:val="none" w:sz="0" w:space="0" w:color="auto"/>
                                                                <w:left w:val="none" w:sz="0" w:space="0" w:color="auto"/>
                                                                <w:bottom w:val="none" w:sz="0" w:space="0" w:color="auto"/>
                                                                <w:right w:val="none" w:sz="0" w:space="0" w:color="auto"/>
                                                              </w:divBdr>
                                                              <w:divsChild>
                                                                <w:div w:id="1355157839">
                                                                  <w:marLeft w:val="0"/>
                                                                  <w:marRight w:val="0"/>
                                                                  <w:marTop w:val="0"/>
                                                                  <w:marBottom w:val="0"/>
                                                                  <w:divBdr>
                                                                    <w:top w:val="none" w:sz="0" w:space="0" w:color="auto"/>
                                                                    <w:left w:val="none" w:sz="0" w:space="0" w:color="auto"/>
                                                                    <w:bottom w:val="none" w:sz="0" w:space="0" w:color="auto"/>
                                                                    <w:right w:val="none" w:sz="0" w:space="0" w:color="auto"/>
                                                                  </w:divBdr>
                                                                  <w:divsChild>
                                                                    <w:div w:id="1298756381">
                                                                      <w:marLeft w:val="0"/>
                                                                      <w:marRight w:val="0"/>
                                                                      <w:marTop w:val="0"/>
                                                                      <w:marBottom w:val="0"/>
                                                                      <w:divBdr>
                                                                        <w:top w:val="single" w:sz="2" w:space="4" w:color="DEDEDE"/>
                                                                        <w:left w:val="single" w:sz="2" w:space="4" w:color="DEDEDE"/>
                                                                        <w:bottom w:val="single" w:sz="2" w:space="4" w:color="DEDEDE"/>
                                                                        <w:right w:val="single" w:sz="2" w:space="4" w:color="DEDEDE"/>
                                                                      </w:divBdr>
                                                                      <w:divsChild>
                                                                        <w:div w:id="119736169">
                                                                          <w:marLeft w:val="0"/>
                                                                          <w:marRight w:val="0"/>
                                                                          <w:marTop w:val="0"/>
                                                                          <w:marBottom w:val="0"/>
                                                                          <w:divBdr>
                                                                            <w:top w:val="none" w:sz="0" w:space="0" w:color="auto"/>
                                                                            <w:left w:val="none" w:sz="0" w:space="0" w:color="auto"/>
                                                                            <w:bottom w:val="none" w:sz="0" w:space="0" w:color="auto"/>
                                                                            <w:right w:val="none" w:sz="0" w:space="0" w:color="auto"/>
                                                                          </w:divBdr>
                                                                          <w:divsChild>
                                                                            <w:div w:id="2109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085342">
      <w:bodyDiv w:val="1"/>
      <w:marLeft w:val="0"/>
      <w:marRight w:val="0"/>
      <w:marTop w:val="0"/>
      <w:marBottom w:val="0"/>
      <w:divBdr>
        <w:top w:val="none" w:sz="0" w:space="0" w:color="auto"/>
        <w:left w:val="none" w:sz="0" w:space="0" w:color="auto"/>
        <w:bottom w:val="none" w:sz="0" w:space="0" w:color="auto"/>
        <w:right w:val="none" w:sz="0" w:space="0" w:color="auto"/>
      </w:divBdr>
    </w:div>
    <w:div w:id="840655434">
      <w:bodyDiv w:val="1"/>
      <w:marLeft w:val="0"/>
      <w:marRight w:val="0"/>
      <w:marTop w:val="0"/>
      <w:marBottom w:val="0"/>
      <w:divBdr>
        <w:top w:val="none" w:sz="0" w:space="0" w:color="auto"/>
        <w:left w:val="none" w:sz="0" w:space="0" w:color="auto"/>
        <w:bottom w:val="none" w:sz="0" w:space="0" w:color="auto"/>
        <w:right w:val="none" w:sz="0" w:space="0" w:color="auto"/>
      </w:divBdr>
    </w:div>
    <w:div w:id="866069280">
      <w:bodyDiv w:val="1"/>
      <w:marLeft w:val="0"/>
      <w:marRight w:val="0"/>
      <w:marTop w:val="0"/>
      <w:marBottom w:val="0"/>
      <w:divBdr>
        <w:top w:val="none" w:sz="0" w:space="0" w:color="auto"/>
        <w:left w:val="none" w:sz="0" w:space="0" w:color="auto"/>
        <w:bottom w:val="none" w:sz="0" w:space="0" w:color="auto"/>
        <w:right w:val="none" w:sz="0" w:space="0" w:color="auto"/>
      </w:divBdr>
    </w:div>
    <w:div w:id="906300287">
      <w:bodyDiv w:val="1"/>
      <w:marLeft w:val="0"/>
      <w:marRight w:val="0"/>
      <w:marTop w:val="0"/>
      <w:marBottom w:val="0"/>
      <w:divBdr>
        <w:top w:val="none" w:sz="0" w:space="0" w:color="auto"/>
        <w:left w:val="none" w:sz="0" w:space="0" w:color="auto"/>
        <w:bottom w:val="none" w:sz="0" w:space="0" w:color="auto"/>
        <w:right w:val="none" w:sz="0" w:space="0" w:color="auto"/>
      </w:divBdr>
    </w:div>
    <w:div w:id="914514118">
      <w:bodyDiv w:val="1"/>
      <w:marLeft w:val="0"/>
      <w:marRight w:val="0"/>
      <w:marTop w:val="0"/>
      <w:marBottom w:val="0"/>
      <w:divBdr>
        <w:top w:val="none" w:sz="0" w:space="0" w:color="auto"/>
        <w:left w:val="none" w:sz="0" w:space="0" w:color="auto"/>
        <w:bottom w:val="none" w:sz="0" w:space="0" w:color="auto"/>
        <w:right w:val="none" w:sz="0" w:space="0" w:color="auto"/>
      </w:divBdr>
      <w:divsChild>
        <w:div w:id="1549604830">
          <w:marLeft w:val="0"/>
          <w:marRight w:val="0"/>
          <w:marTop w:val="0"/>
          <w:marBottom w:val="0"/>
          <w:divBdr>
            <w:top w:val="none" w:sz="0" w:space="0" w:color="auto"/>
            <w:left w:val="none" w:sz="0" w:space="0" w:color="auto"/>
            <w:bottom w:val="none" w:sz="0" w:space="0" w:color="auto"/>
            <w:right w:val="none" w:sz="0" w:space="0" w:color="auto"/>
          </w:divBdr>
          <w:divsChild>
            <w:div w:id="947081314">
              <w:marLeft w:val="0"/>
              <w:marRight w:val="0"/>
              <w:marTop w:val="0"/>
              <w:marBottom w:val="0"/>
              <w:divBdr>
                <w:top w:val="none" w:sz="0" w:space="0" w:color="auto"/>
                <w:left w:val="none" w:sz="0" w:space="0" w:color="auto"/>
                <w:bottom w:val="none" w:sz="0" w:space="0" w:color="auto"/>
                <w:right w:val="none" w:sz="0" w:space="0" w:color="auto"/>
              </w:divBdr>
              <w:divsChild>
                <w:div w:id="1972784668">
                  <w:marLeft w:val="0"/>
                  <w:marRight w:val="0"/>
                  <w:marTop w:val="0"/>
                  <w:marBottom w:val="0"/>
                  <w:divBdr>
                    <w:top w:val="none" w:sz="0" w:space="0" w:color="auto"/>
                    <w:left w:val="none" w:sz="0" w:space="0" w:color="auto"/>
                    <w:bottom w:val="none" w:sz="0" w:space="0" w:color="auto"/>
                    <w:right w:val="none" w:sz="0" w:space="0" w:color="auto"/>
                  </w:divBdr>
                  <w:divsChild>
                    <w:div w:id="1524199832">
                      <w:marLeft w:val="0"/>
                      <w:marRight w:val="0"/>
                      <w:marTop w:val="0"/>
                      <w:marBottom w:val="0"/>
                      <w:divBdr>
                        <w:top w:val="none" w:sz="0" w:space="0" w:color="auto"/>
                        <w:left w:val="none" w:sz="0" w:space="0" w:color="auto"/>
                        <w:bottom w:val="none" w:sz="0" w:space="0" w:color="auto"/>
                        <w:right w:val="none" w:sz="0" w:space="0" w:color="auto"/>
                      </w:divBdr>
                      <w:divsChild>
                        <w:div w:id="618953355">
                          <w:marLeft w:val="150"/>
                          <w:marRight w:val="150"/>
                          <w:marTop w:val="0"/>
                          <w:marBottom w:val="0"/>
                          <w:divBdr>
                            <w:top w:val="none" w:sz="0" w:space="0" w:color="auto"/>
                            <w:left w:val="none" w:sz="0" w:space="0" w:color="auto"/>
                            <w:bottom w:val="none" w:sz="0" w:space="0" w:color="auto"/>
                            <w:right w:val="none" w:sz="0" w:space="0" w:color="auto"/>
                          </w:divBdr>
                          <w:divsChild>
                            <w:div w:id="94328916">
                              <w:marLeft w:val="0"/>
                              <w:marRight w:val="0"/>
                              <w:marTop w:val="0"/>
                              <w:marBottom w:val="150"/>
                              <w:divBdr>
                                <w:top w:val="none" w:sz="0" w:space="0" w:color="auto"/>
                                <w:left w:val="none" w:sz="0" w:space="0" w:color="auto"/>
                                <w:bottom w:val="none" w:sz="0" w:space="0" w:color="auto"/>
                                <w:right w:val="none" w:sz="0" w:space="0" w:color="auto"/>
                              </w:divBdr>
                              <w:divsChild>
                                <w:div w:id="1832527695">
                                  <w:marLeft w:val="0"/>
                                  <w:marRight w:val="0"/>
                                  <w:marTop w:val="0"/>
                                  <w:marBottom w:val="0"/>
                                  <w:divBdr>
                                    <w:top w:val="none" w:sz="0" w:space="0" w:color="auto"/>
                                    <w:left w:val="none" w:sz="0" w:space="0" w:color="auto"/>
                                    <w:bottom w:val="none" w:sz="0" w:space="0" w:color="auto"/>
                                    <w:right w:val="none" w:sz="0" w:space="0" w:color="auto"/>
                                  </w:divBdr>
                                  <w:divsChild>
                                    <w:div w:id="513881611">
                                      <w:marLeft w:val="0"/>
                                      <w:marRight w:val="0"/>
                                      <w:marTop w:val="0"/>
                                      <w:marBottom w:val="0"/>
                                      <w:divBdr>
                                        <w:top w:val="none" w:sz="0" w:space="0" w:color="auto"/>
                                        <w:left w:val="none" w:sz="0" w:space="0" w:color="auto"/>
                                        <w:bottom w:val="none" w:sz="0" w:space="0" w:color="auto"/>
                                        <w:right w:val="none" w:sz="0" w:space="0" w:color="auto"/>
                                      </w:divBdr>
                                      <w:divsChild>
                                        <w:div w:id="2006281581">
                                          <w:marLeft w:val="0"/>
                                          <w:marRight w:val="0"/>
                                          <w:marTop w:val="0"/>
                                          <w:marBottom w:val="0"/>
                                          <w:divBdr>
                                            <w:top w:val="none" w:sz="0" w:space="0" w:color="auto"/>
                                            <w:left w:val="none" w:sz="0" w:space="0" w:color="auto"/>
                                            <w:bottom w:val="none" w:sz="0" w:space="0" w:color="auto"/>
                                            <w:right w:val="none" w:sz="0" w:space="0" w:color="auto"/>
                                          </w:divBdr>
                                          <w:divsChild>
                                            <w:div w:id="608044829">
                                              <w:marLeft w:val="0"/>
                                              <w:marRight w:val="0"/>
                                              <w:marTop w:val="0"/>
                                              <w:marBottom w:val="0"/>
                                              <w:divBdr>
                                                <w:top w:val="none" w:sz="0" w:space="0" w:color="auto"/>
                                                <w:left w:val="none" w:sz="0" w:space="0" w:color="auto"/>
                                                <w:bottom w:val="none" w:sz="0" w:space="0" w:color="auto"/>
                                                <w:right w:val="none" w:sz="0" w:space="0" w:color="auto"/>
                                              </w:divBdr>
                                              <w:divsChild>
                                                <w:div w:id="1534996881">
                                                  <w:marLeft w:val="0"/>
                                                  <w:marRight w:val="0"/>
                                                  <w:marTop w:val="0"/>
                                                  <w:marBottom w:val="0"/>
                                                  <w:divBdr>
                                                    <w:top w:val="none" w:sz="0" w:space="0" w:color="auto"/>
                                                    <w:left w:val="none" w:sz="0" w:space="0" w:color="auto"/>
                                                    <w:bottom w:val="none" w:sz="0" w:space="0" w:color="auto"/>
                                                    <w:right w:val="none" w:sz="0" w:space="0" w:color="auto"/>
                                                  </w:divBdr>
                                                  <w:divsChild>
                                                    <w:div w:id="2133745236">
                                                      <w:marLeft w:val="0"/>
                                                      <w:marRight w:val="0"/>
                                                      <w:marTop w:val="0"/>
                                                      <w:marBottom w:val="0"/>
                                                      <w:divBdr>
                                                        <w:top w:val="none" w:sz="0" w:space="0" w:color="auto"/>
                                                        <w:left w:val="none" w:sz="0" w:space="0" w:color="auto"/>
                                                        <w:bottom w:val="none" w:sz="0" w:space="0" w:color="auto"/>
                                                        <w:right w:val="none" w:sz="0" w:space="0" w:color="auto"/>
                                                      </w:divBdr>
                                                      <w:divsChild>
                                                        <w:div w:id="1780367918">
                                                          <w:marLeft w:val="0"/>
                                                          <w:marRight w:val="0"/>
                                                          <w:marTop w:val="0"/>
                                                          <w:marBottom w:val="0"/>
                                                          <w:divBdr>
                                                            <w:top w:val="none" w:sz="0" w:space="0" w:color="auto"/>
                                                            <w:left w:val="none" w:sz="0" w:space="0" w:color="auto"/>
                                                            <w:bottom w:val="none" w:sz="0" w:space="0" w:color="auto"/>
                                                            <w:right w:val="none" w:sz="0" w:space="0" w:color="auto"/>
                                                          </w:divBdr>
                                                          <w:divsChild>
                                                            <w:div w:id="990987335">
                                                              <w:marLeft w:val="0"/>
                                                              <w:marRight w:val="0"/>
                                                              <w:marTop w:val="0"/>
                                                              <w:marBottom w:val="0"/>
                                                              <w:divBdr>
                                                                <w:top w:val="none" w:sz="0" w:space="0" w:color="auto"/>
                                                                <w:left w:val="none" w:sz="0" w:space="0" w:color="auto"/>
                                                                <w:bottom w:val="none" w:sz="0" w:space="0" w:color="auto"/>
                                                                <w:right w:val="none" w:sz="0" w:space="0" w:color="auto"/>
                                                              </w:divBdr>
                                                              <w:divsChild>
                                                                <w:div w:id="97338364">
                                                                  <w:marLeft w:val="0"/>
                                                                  <w:marRight w:val="0"/>
                                                                  <w:marTop w:val="0"/>
                                                                  <w:marBottom w:val="0"/>
                                                                  <w:divBdr>
                                                                    <w:top w:val="none" w:sz="0" w:space="0" w:color="auto"/>
                                                                    <w:left w:val="none" w:sz="0" w:space="0" w:color="auto"/>
                                                                    <w:bottom w:val="none" w:sz="0" w:space="0" w:color="auto"/>
                                                                    <w:right w:val="none" w:sz="0" w:space="0" w:color="auto"/>
                                                                  </w:divBdr>
                                                                  <w:divsChild>
                                                                    <w:div w:id="73288399">
                                                                      <w:marLeft w:val="0"/>
                                                                      <w:marRight w:val="0"/>
                                                                      <w:marTop w:val="0"/>
                                                                      <w:marBottom w:val="0"/>
                                                                      <w:divBdr>
                                                                        <w:top w:val="single" w:sz="2" w:space="4" w:color="DEDEDE"/>
                                                                        <w:left w:val="single" w:sz="2" w:space="4" w:color="DEDEDE"/>
                                                                        <w:bottom w:val="single" w:sz="2" w:space="4" w:color="DEDEDE"/>
                                                                        <w:right w:val="single" w:sz="2" w:space="4" w:color="DEDEDE"/>
                                                                      </w:divBdr>
                                                                      <w:divsChild>
                                                                        <w:div w:id="1155297982">
                                                                          <w:marLeft w:val="0"/>
                                                                          <w:marRight w:val="0"/>
                                                                          <w:marTop w:val="0"/>
                                                                          <w:marBottom w:val="0"/>
                                                                          <w:divBdr>
                                                                            <w:top w:val="none" w:sz="0" w:space="0" w:color="auto"/>
                                                                            <w:left w:val="none" w:sz="0" w:space="0" w:color="auto"/>
                                                                            <w:bottom w:val="none" w:sz="0" w:space="0" w:color="auto"/>
                                                                            <w:right w:val="none" w:sz="0" w:space="0" w:color="auto"/>
                                                                          </w:divBdr>
                                                                          <w:divsChild>
                                                                            <w:div w:id="17139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663569">
      <w:bodyDiv w:val="1"/>
      <w:marLeft w:val="0"/>
      <w:marRight w:val="0"/>
      <w:marTop w:val="0"/>
      <w:marBottom w:val="0"/>
      <w:divBdr>
        <w:top w:val="none" w:sz="0" w:space="0" w:color="auto"/>
        <w:left w:val="none" w:sz="0" w:space="0" w:color="auto"/>
        <w:bottom w:val="none" w:sz="0" w:space="0" w:color="auto"/>
        <w:right w:val="none" w:sz="0" w:space="0" w:color="auto"/>
      </w:divBdr>
    </w:div>
    <w:div w:id="1044672118">
      <w:bodyDiv w:val="1"/>
      <w:marLeft w:val="0"/>
      <w:marRight w:val="0"/>
      <w:marTop w:val="0"/>
      <w:marBottom w:val="0"/>
      <w:divBdr>
        <w:top w:val="none" w:sz="0" w:space="0" w:color="auto"/>
        <w:left w:val="none" w:sz="0" w:space="0" w:color="auto"/>
        <w:bottom w:val="none" w:sz="0" w:space="0" w:color="auto"/>
        <w:right w:val="none" w:sz="0" w:space="0" w:color="auto"/>
      </w:divBdr>
    </w:div>
    <w:div w:id="1137379610">
      <w:bodyDiv w:val="1"/>
      <w:marLeft w:val="0"/>
      <w:marRight w:val="0"/>
      <w:marTop w:val="0"/>
      <w:marBottom w:val="0"/>
      <w:divBdr>
        <w:top w:val="none" w:sz="0" w:space="0" w:color="auto"/>
        <w:left w:val="none" w:sz="0" w:space="0" w:color="auto"/>
        <w:bottom w:val="none" w:sz="0" w:space="0" w:color="auto"/>
        <w:right w:val="none" w:sz="0" w:space="0" w:color="auto"/>
      </w:divBdr>
      <w:divsChild>
        <w:div w:id="1678537738">
          <w:marLeft w:val="0"/>
          <w:marRight w:val="0"/>
          <w:marTop w:val="0"/>
          <w:marBottom w:val="0"/>
          <w:divBdr>
            <w:top w:val="none" w:sz="0" w:space="0" w:color="auto"/>
            <w:left w:val="none" w:sz="0" w:space="0" w:color="auto"/>
            <w:bottom w:val="none" w:sz="0" w:space="0" w:color="auto"/>
            <w:right w:val="none" w:sz="0" w:space="0" w:color="auto"/>
          </w:divBdr>
          <w:divsChild>
            <w:div w:id="403992453">
              <w:marLeft w:val="0"/>
              <w:marRight w:val="0"/>
              <w:marTop w:val="0"/>
              <w:marBottom w:val="0"/>
              <w:divBdr>
                <w:top w:val="none" w:sz="0" w:space="0" w:color="auto"/>
                <w:left w:val="none" w:sz="0" w:space="0" w:color="auto"/>
                <w:bottom w:val="none" w:sz="0" w:space="0" w:color="auto"/>
                <w:right w:val="none" w:sz="0" w:space="0" w:color="auto"/>
              </w:divBdr>
              <w:divsChild>
                <w:div w:id="127750714">
                  <w:marLeft w:val="0"/>
                  <w:marRight w:val="0"/>
                  <w:marTop w:val="0"/>
                  <w:marBottom w:val="0"/>
                  <w:divBdr>
                    <w:top w:val="none" w:sz="0" w:space="0" w:color="auto"/>
                    <w:left w:val="none" w:sz="0" w:space="0" w:color="auto"/>
                    <w:bottom w:val="none" w:sz="0" w:space="0" w:color="auto"/>
                    <w:right w:val="none" w:sz="0" w:space="0" w:color="auto"/>
                  </w:divBdr>
                  <w:divsChild>
                    <w:div w:id="1302885815">
                      <w:marLeft w:val="0"/>
                      <w:marRight w:val="0"/>
                      <w:marTop w:val="0"/>
                      <w:marBottom w:val="0"/>
                      <w:divBdr>
                        <w:top w:val="none" w:sz="0" w:space="0" w:color="auto"/>
                        <w:left w:val="none" w:sz="0" w:space="0" w:color="auto"/>
                        <w:bottom w:val="none" w:sz="0" w:space="0" w:color="auto"/>
                        <w:right w:val="none" w:sz="0" w:space="0" w:color="auto"/>
                      </w:divBdr>
                      <w:divsChild>
                        <w:div w:id="2098671635">
                          <w:marLeft w:val="150"/>
                          <w:marRight w:val="150"/>
                          <w:marTop w:val="0"/>
                          <w:marBottom w:val="0"/>
                          <w:divBdr>
                            <w:top w:val="none" w:sz="0" w:space="0" w:color="auto"/>
                            <w:left w:val="none" w:sz="0" w:space="0" w:color="auto"/>
                            <w:bottom w:val="none" w:sz="0" w:space="0" w:color="auto"/>
                            <w:right w:val="none" w:sz="0" w:space="0" w:color="auto"/>
                          </w:divBdr>
                          <w:divsChild>
                            <w:div w:id="1807968467">
                              <w:marLeft w:val="0"/>
                              <w:marRight w:val="0"/>
                              <w:marTop w:val="0"/>
                              <w:marBottom w:val="150"/>
                              <w:divBdr>
                                <w:top w:val="none" w:sz="0" w:space="0" w:color="auto"/>
                                <w:left w:val="none" w:sz="0" w:space="0" w:color="auto"/>
                                <w:bottom w:val="none" w:sz="0" w:space="0" w:color="auto"/>
                                <w:right w:val="none" w:sz="0" w:space="0" w:color="auto"/>
                              </w:divBdr>
                              <w:divsChild>
                                <w:div w:id="142506739">
                                  <w:marLeft w:val="0"/>
                                  <w:marRight w:val="0"/>
                                  <w:marTop w:val="0"/>
                                  <w:marBottom w:val="0"/>
                                  <w:divBdr>
                                    <w:top w:val="none" w:sz="0" w:space="0" w:color="auto"/>
                                    <w:left w:val="none" w:sz="0" w:space="0" w:color="auto"/>
                                    <w:bottom w:val="none" w:sz="0" w:space="0" w:color="auto"/>
                                    <w:right w:val="none" w:sz="0" w:space="0" w:color="auto"/>
                                  </w:divBdr>
                                  <w:divsChild>
                                    <w:div w:id="1048147106">
                                      <w:marLeft w:val="0"/>
                                      <w:marRight w:val="0"/>
                                      <w:marTop w:val="0"/>
                                      <w:marBottom w:val="0"/>
                                      <w:divBdr>
                                        <w:top w:val="none" w:sz="0" w:space="0" w:color="auto"/>
                                        <w:left w:val="none" w:sz="0" w:space="0" w:color="auto"/>
                                        <w:bottom w:val="none" w:sz="0" w:space="0" w:color="auto"/>
                                        <w:right w:val="none" w:sz="0" w:space="0" w:color="auto"/>
                                      </w:divBdr>
                                      <w:divsChild>
                                        <w:div w:id="433591896">
                                          <w:marLeft w:val="0"/>
                                          <w:marRight w:val="0"/>
                                          <w:marTop w:val="0"/>
                                          <w:marBottom w:val="0"/>
                                          <w:divBdr>
                                            <w:top w:val="none" w:sz="0" w:space="0" w:color="auto"/>
                                            <w:left w:val="none" w:sz="0" w:space="0" w:color="auto"/>
                                            <w:bottom w:val="none" w:sz="0" w:space="0" w:color="auto"/>
                                            <w:right w:val="none" w:sz="0" w:space="0" w:color="auto"/>
                                          </w:divBdr>
                                          <w:divsChild>
                                            <w:div w:id="1220092724">
                                              <w:marLeft w:val="0"/>
                                              <w:marRight w:val="0"/>
                                              <w:marTop w:val="0"/>
                                              <w:marBottom w:val="0"/>
                                              <w:divBdr>
                                                <w:top w:val="none" w:sz="0" w:space="0" w:color="auto"/>
                                                <w:left w:val="none" w:sz="0" w:space="0" w:color="auto"/>
                                                <w:bottom w:val="none" w:sz="0" w:space="0" w:color="auto"/>
                                                <w:right w:val="none" w:sz="0" w:space="0" w:color="auto"/>
                                              </w:divBdr>
                                              <w:divsChild>
                                                <w:div w:id="1543979171">
                                                  <w:marLeft w:val="0"/>
                                                  <w:marRight w:val="0"/>
                                                  <w:marTop w:val="0"/>
                                                  <w:marBottom w:val="0"/>
                                                  <w:divBdr>
                                                    <w:top w:val="none" w:sz="0" w:space="0" w:color="auto"/>
                                                    <w:left w:val="none" w:sz="0" w:space="0" w:color="auto"/>
                                                    <w:bottom w:val="none" w:sz="0" w:space="0" w:color="auto"/>
                                                    <w:right w:val="none" w:sz="0" w:space="0" w:color="auto"/>
                                                  </w:divBdr>
                                                  <w:divsChild>
                                                    <w:div w:id="1131751623">
                                                      <w:marLeft w:val="0"/>
                                                      <w:marRight w:val="0"/>
                                                      <w:marTop w:val="0"/>
                                                      <w:marBottom w:val="0"/>
                                                      <w:divBdr>
                                                        <w:top w:val="none" w:sz="0" w:space="0" w:color="auto"/>
                                                        <w:left w:val="none" w:sz="0" w:space="0" w:color="auto"/>
                                                        <w:bottom w:val="none" w:sz="0" w:space="0" w:color="auto"/>
                                                        <w:right w:val="none" w:sz="0" w:space="0" w:color="auto"/>
                                                      </w:divBdr>
                                                      <w:divsChild>
                                                        <w:div w:id="54277726">
                                                          <w:marLeft w:val="0"/>
                                                          <w:marRight w:val="0"/>
                                                          <w:marTop w:val="0"/>
                                                          <w:marBottom w:val="0"/>
                                                          <w:divBdr>
                                                            <w:top w:val="none" w:sz="0" w:space="0" w:color="auto"/>
                                                            <w:left w:val="none" w:sz="0" w:space="0" w:color="auto"/>
                                                            <w:bottom w:val="none" w:sz="0" w:space="0" w:color="auto"/>
                                                            <w:right w:val="none" w:sz="0" w:space="0" w:color="auto"/>
                                                          </w:divBdr>
                                                          <w:divsChild>
                                                            <w:div w:id="1650789577">
                                                              <w:marLeft w:val="0"/>
                                                              <w:marRight w:val="0"/>
                                                              <w:marTop w:val="0"/>
                                                              <w:marBottom w:val="0"/>
                                                              <w:divBdr>
                                                                <w:top w:val="none" w:sz="0" w:space="0" w:color="auto"/>
                                                                <w:left w:val="none" w:sz="0" w:space="0" w:color="auto"/>
                                                                <w:bottom w:val="none" w:sz="0" w:space="0" w:color="auto"/>
                                                                <w:right w:val="none" w:sz="0" w:space="0" w:color="auto"/>
                                                              </w:divBdr>
                                                              <w:divsChild>
                                                                <w:div w:id="348681030">
                                                                  <w:marLeft w:val="0"/>
                                                                  <w:marRight w:val="0"/>
                                                                  <w:marTop w:val="0"/>
                                                                  <w:marBottom w:val="0"/>
                                                                  <w:divBdr>
                                                                    <w:top w:val="none" w:sz="0" w:space="0" w:color="auto"/>
                                                                    <w:left w:val="none" w:sz="0" w:space="0" w:color="auto"/>
                                                                    <w:bottom w:val="none" w:sz="0" w:space="0" w:color="auto"/>
                                                                    <w:right w:val="none" w:sz="0" w:space="0" w:color="auto"/>
                                                                  </w:divBdr>
                                                                  <w:divsChild>
                                                                    <w:div w:id="137502075">
                                                                      <w:marLeft w:val="0"/>
                                                                      <w:marRight w:val="0"/>
                                                                      <w:marTop w:val="0"/>
                                                                      <w:marBottom w:val="0"/>
                                                                      <w:divBdr>
                                                                        <w:top w:val="single" w:sz="2" w:space="4" w:color="DEDEDE"/>
                                                                        <w:left w:val="single" w:sz="2" w:space="4" w:color="DEDEDE"/>
                                                                        <w:bottom w:val="single" w:sz="2" w:space="4" w:color="DEDEDE"/>
                                                                        <w:right w:val="single" w:sz="2" w:space="4" w:color="DEDEDE"/>
                                                                      </w:divBdr>
                                                                      <w:divsChild>
                                                                        <w:div w:id="34238792">
                                                                          <w:marLeft w:val="0"/>
                                                                          <w:marRight w:val="0"/>
                                                                          <w:marTop w:val="0"/>
                                                                          <w:marBottom w:val="0"/>
                                                                          <w:divBdr>
                                                                            <w:top w:val="none" w:sz="0" w:space="0" w:color="auto"/>
                                                                            <w:left w:val="none" w:sz="0" w:space="0" w:color="auto"/>
                                                                            <w:bottom w:val="none" w:sz="0" w:space="0" w:color="auto"/>
                                                                            <w:right w:val="none" w:sz="0" w:space="0" w:color="auto"/>
                                                                          </w:divBdr>
                                                                          <w:divsChild>
                                                                            <w:div w:id="1499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00666">
      <w:bodyDiv w:val="1"/>
      <w:marLeft w:val="0"/>
      <w:marRight w:val="0"/>
      <w:marTop w:val="0"/>
      <w:marBottom w:val="0"/>
      <w:divBdr>
        <w:top w:val="none" w:sz="0" w:space="0" w:color="auto"/>
        <w:left w:val="none" w:sz="0" w:space="0" w:color="auto"/>
        <w:bottom w:val="none" w:sz="0" w:space="0" w:color="auto"/>
        <w:right w:val="none" w:sz="0" w:space="0" w:color="auto"/>
      </w:divBdr>
    </w:div>
    <w:div w:id="1188565462">
      <w:bodyDiv w:val="1"/>
      <w:marLeft w:val="0"/>
      <w:marRight w:val="0"/>
      <w:marTop w:val="0"/>
      <w:marBottom w:val="0"/>
      <w:divBdr>
        <w:top w:val="none" w:sz="0" w:space="0" w:color="auto"/>
        <w:left w:val="none" w:sz="0" w:space="0" w:color="auto"/>
        <w:bottom w:val="none" w:sz="0" w:space="0" w:color="auto"/>
        <w:right w:val="none" w:sz="0" w:space="0" w:color="auto"/>
      </w:divBdr>
      <w:divsChild>
        <w:div w:id="2085448953">
          <w:marLeft w:val="0"/>
          <w:marRight w:val="0"/>
          <w:marTop w:val="0"/>
          <w:marBottom w:val="0"/>
          <w:divBdr>
            <w:top w:val="none" w:sz="0" w:space="0" w:color="auto"/>
            <w:left w:val="none" w:sz="0" w:space="0" w:color="auto"/>
            <w:bottom w:val="none" w:sz="0" w:space="0" w:color="auto"/>
            <w:right w:val="none" w:sz="0" w:space="0" w:color="auto"/>
          </w:divBdr>
          <w:divsChild>
            <w:div w:id="1436710743">
              <w:marLeft w:val="0"/>
              <w:marRight w:val="0"/>
              <w:marTop w:val="0"/>
              <w:marBottom w:val="0"/>
              <w:divBdr>
                <w:top w:val="none" w:sz="0" w:space="0" w:color="auto"/>
                <w:left w:val="none" w:sz="0" w:space="0" w:color="auto"/>
                <w:bottom w:val="none" w:sz="0" w:space="0" w:color="auto"/>
                <w:right w:val="none" w:sz="0" w:space="0" w:color="auto"/>
              </w:divBdr>
              <w:divsChild>
                <w:div w:id="1111707949">
                  <w:marLeft w:val="0"/>
                  <w:marRight w:val="0"/>
                  <w:marTop w:val="0"/>
                  <w:marBottom w:val="0"/>
                  <w:divBdr>
                    <w:top w:val="none" w:sz="0" w:space="0" w:color="auto"/>
                    <w:left w:val="none" w:sz="0" w:space="0" w:color="auto"/>
                    <w:bottom w:val="none" w:sz="0" w:space="0" w:color="auto"/>
                    <w:right w:val="none" w:sz="0" w:space="0" w:color="auto"/>
                  </w:divBdr>
                  <w:divsChild>
                    <w:div w:id="740325583">
                      <w:marLeft w:val="0"/>
                      <w:marRight w:val="0"/>
                      <w:marTop w:val="0"/>
                      <w:marBottom w:val="0"/>
                      <w:divBdr>
                        <w:top w:val="none" w:sz="0" w:space="0" w:color="auto"/>
                        <w:left w:val="none" w:sz="0" w:space="0" w:color="auto"/>
                        <w:bottom w:val="none" w:sz="0" w:space="0" w:color="auto"/>
                        <w:right w:val="none" w:sz="0" w:space="0" w:color="auto"/>
                      </w:divBdr>
                      <w:divsChild>
                        <w:div w:id="1939285573">
                          <w:marLeft w:val="150"/>
                          <w:marRight w:val="150"/>
                          <w:marTop w:val="0"/>
                          <w:marBottom w:val="0"/>
                          <w:divBdr>
                            <w:top w:val="none" w:sz="0" w:space="0" w:color="auto"/>
                            <w:left w:val="none" w:sz="0" w:space="0" w:color="auto"/>
                            <w:bottom w:val="none" w:sz="0" w:space="0" w:color="auto"/>
                            <w:right w:val="none" w:sz="0" w:space="0" w:color="auto"/>
                          </w:divBdr>
                          <w:divsChild>
                            <w:div w:id="1553616481">
                              <w:marLeft w:val="0"/>
                              <w:marRight w:val="0"/>
                              <w:marTop w:val="0"/>
                              <w:marBottom w:val="150"/>
                              <w:divBdr>
                                <w:top w:val="none" w:sz="0" w:space="0" w:color="auto"/>
                                <w:left w:val="none" w:sz="0" w:space="0" w:color="auto"/>
                                <w:bottom w:val="none" w:sz="0" w:space="0" w:color="auto"/>
                                <w:right w:val="none" w:sz="0" w:space="0" w:color="auto"/>
                              </w:divBdr>
                              <w:divsChild>
                                <w:div w:id="1224751654">
                                  <w:marLeft w:val="0"/>
                                  <w:marRight w:val="0"/>
                                  <w:marTop w:val="0"/>
                                  <w:marBottom w:val="0"/>
                                  <w:divBdr>
                                    <w:top w:val="none" w:sz="0" w:space="0" w:color="auto"/>
                                    <w:left w:val="none" w:sz="0" w:space="0" w:color="auto"/>
                                    <w:bottom w:val="none" w:sz="0" w:space="0" w:color="auto"/>
                                    <w:right w:val="none" w:sz="0" w:space="0" w:color="auto"/>
                                  </w:divBdr>
                                  <w:divsChild>
                                    <w:div w:id="1672443767">
                                      <w:marLeft w:val="0"/>
                                      <w:marRight w:val="0"/>
                                      <w:marTop w:val="0"/>
                                      <w:marBottom w:val="0"/>
                                      <w:divBdr>
                                        <w:top w:val="none" w:sz="0" w:space="0" w:color="auto"/>
                                        <w:left w:val="none" w:sz="0" w:space="0" w:color="auto"/>
                                        <w:bottom w:val="none" w:sz="0" w:space="0" w:color="auto"/>
                                        <w:right w:val="none" w:sz="0" w:space="0" w:color="auto"/>
                                      </w:divBdr>
                                      <w:divsChild>
                                        <w:div w:id="306477097">
                                          <w:marLeft w:val="0"/>
                                          <w:marRight w:val="0"/>
                                          <w:marTop w:val="0"/>
                                          <w:marBottom w:val="0"/>
                                          <w:divBdr>
                                            <w:top w:val="none" w:sz="0" w:space="0" w:color="auto"/>
                                            <w:left w:val="none" w:sz="0" w:space="0" w:color="auto"/>
                                            <w:bottom w:val="none" w:sz="0" w:space="0" w:color="auto"/>
                                            <w:right w:val="none" w:sz="0" w:space="0" w:color="auto"/>
                                          </w:divBdr>
                                          <w:divsChild>
                                            <w:div w:id="2130590738">
                                              <w:marLeft w:val="0"/>
                                              <w:marRight w:val="0"/>
                                              <w:marTop w:val="0"/>
                                              <w:marBottom w:val="0"/>
                                              <w:divBdr>
                                                <w:top w:val="none" w:sz="0" w:space="0" w:color="auto"/>
                                                <w:left w:val="none" w:sz="0" w:space="0" w:color="auto"/>
                                                <w:bottom w:val="none" w:sz="0" w:space="0" w:color="auto"/>
                                                <w:right w:val="none" w:sz="0" w:space="0" w:color="auto"/>
                                              </w:divBdr>
                                              <w:divsChild>
                                                <w:div w:id="639582119">
                                                  <w:marLeft w:val="0"/>
                                                  <w:marRight w:val="0"/>
                                                  <w:marTop w:val="0"/>
                                                  <w:marBottom w:val="0"/>
                                                  <w:divBdr>
                                                    <w:top w:val="none" w:sz="0" w:space="0" w:color="auto"/>
                                                    <w:left w:val="none" w:sz="0" w:space="0" w:color="auto"/>
                                                    <w:bottom w:val="none" w:sz="0" w:space="0" w:color="auto"/>
                                                    <w:right w:val="none" w:sz="0" w:space="0" w:color="auto"/>
                                                  </w:divBdr>
                                                  <w:divsChild>
                                                    <w:div w:id="898828072">
                                                      <w:marLeft w:val="0"/>
                                                      <w:marRight w:val="0"/>
                                                      <w:marTop w:val="0"/>
                                                      <w:marBottom w:val="0"/>
                                                      <w:divBdr>
                                                        <w:top w:val="none" w:sz="0" w:space="0" w:color="auto"/>
                                                        <w:left w:val="none" w:sz="0" w:space="0" w:color="auto"/>
                                                        <w:bottom w:val="none" w:sz="0" w:space="0" w:color="auto"/>
                                                        <w:right w:val="none" w:sz="0" w:space="0" w:color="auto"/>
                                                      </w:divBdr>
                                                      <w:divsChild>
                                                        <w:div w:id="1040515851">
                                                          <w:marLeft w:val="0"/>
                                                          <w:marRight w:val="0"/>
                                                          <w:marTop w:val="0"/>
                                                          <w:marBottom w:val="0"/>
                                                          <w:divBdr>
                                                            <w:top w:val="none" w:sz="0" w:space="0" w:color="auto"/>
                                                            <w:left w:val="none" w:sz="0" w:space="0" w:color="auto"/>
                                                            <w:bottom w:val="none" w:sz="0" w:space="0" w:color="auto"/>
                                                            <w:right w:val="none" w:sz="0" w:space="0" w:color="auto"/>
                                                          </w:divBdr>
                                                          <w:divsChild>
                                                            <w:div w:id="991639611">
                                                              <w:marLeft w:val="0"/>
                                                              <w:marRight w:val="0"/>
                                                              <w:marTop w:val="0"/>
                                                              <w:marBottom w:val="0"/>
                                                              <w:divBdr>
                                                                <w:top w:val="none" w:sz="0" w:space="0" w:color="auto"/>
                                                                <w:left w:val="none" w:sz="0" w:space="0" w:color="auto"/>
                                                                <w:bottom w:val="none" w:sz="0" w:space="0" w:color="auto"/>
                                                                <w:right w:val="none" w:sz="0" w:space="0" w:color="auto"/>
                                                              </w:divBdr>
                                                              <w:divsChild>
                                                                <w:div w:id="748430060">
                                                                  <w:marLeft w:val="0"/>
                                                                  <w:marRight w:val="0"/>
                                                                  <w:marTop w:val="0"/>
                                                                  <w:marBottom w:val="0"/>
                                                                  <w:divBdr>
                                                                    <w:top w:val="none" w:sz="0" w:space="0" w:color="auto"/>
                                                                    <w:left w:val="none" w:sz="0" w:space="0" w:color="auto"/>
                                                                    <w:bottom w:val="none" w:sz="0" w:space="0" w:color="auto"/>
                                                                    <w:right w:val="none" w:sz="0" w:space="0" w:color="auto"/>
                                                                  </w:divBdr>
                                                                  <w:divsChild>
                                                                    <w:div w:id="749542129">
                                                                      <w:marLeft w:val="0"/>
                                                                      <w:marRight w:val="0"/>
                                                                      <w:marTop w:val="0"/>
                                                                      <w:marBottom w:val="0"/>
                                                                      <w:divBdr>
                                                                        <w:top w:val="single" w:sz="2" w:space="4" w:color="DEDEDE"/>
                                                                        <w:left w:val="single" w:sz="2" w:space="4" w:color="DEDEDE"/>
                                                                        <w:bottom w:val="single" w:sz="2" w:space="4" w:color="DEDEDE"/>
                                                                        <w:right w:val="single" w:sz="2" w:space="4" w:color="DEDEDE"/>
                                                                      </w:divBdr>
                                                                      <w:divsChild>
                                                                        <w:div w:id="216356938">
                                                                          <w:marLeft w:val="0"/>
                                                                          <w:marRight w:val="0"/>
                                                                          <w:marTop w:val="0"/>
                                                                          <w:marBottom w:val="0"/>
                                                                          <w:divBdr>
                                                                            <w:top w:val="none" w:sz="0" w:space="0" w:color="auto"/>
                                                                            <w:left w:val="none" w:sz="0" w:space="0" w:color="auto"/>
                                                                            <w:bottom w:val="none" w:sz="0" w:space="0" w:color="auto"/>
                                                                            <w:right w:val="none" w:sz="0" w:space="0" w:color="auto"/>
                                                                          </w:divBdr>
                                                                          <w:divsChild>
                                                                            <w:div w:id="160706910">
                                                                              <w:marLeft w:val="0"/>
                                                                              <w:marRight w:val="0"/>
                                                                              <w:marTop w:val="0"/>
                                                                              <w:marBottom w:val="0"/>
                                                                              <w:divBdr>
                                                                                <w:top w:val="none" w:sz="0" w:space="0" w:color="auto"/>
                                                                                <w:left w:val="none" w:sz="0" w:space="0" w:color="auto"/>
                                                                                <w:bottom w:val="none" w:sz="0" w:space="0" w:color="auto"/>
                                                                                <w:right w:val="none" w:sz="0" w:space="0" w:color="auto"/>
                                                                              </w:divBdr>
                                                                              <w:divsChild>
                                                                                <w:div w:id="488864420">
                                                                                  <w:blockQuote w:val="1"/>
                                                                                  <w:marLeft w:val="75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499545">
      <w:bodyDiv w:val="1"/>
      <w:marLeft w:val="0"/>
      <w:marRight w:val="0"/>
      <w:marTop w:val="0"/>
      <w:marBottom w:val="0"/>
      <w:divBdr>
        <w:top w:val="none" w:sz="0" w:space="0" w:color="auto"/>
        <w:left w:val="none" w:sz="0" w:space="0" w:color="auto"/>
        <w:bottom w:val="none" w:sz="0" w:space="0" w:color="auto"/>
        <w:right w:val="none" w:sz="0" w:space="0" w:color="auto"/>
      </w:divBdr>
      <w:divsChild>
        <w:div w:id="1846751114">
          <w:marLeft w:val="0"/>
          <w:marRight w:val="0"/>
          <w:marTop w:val="0"/>
          <w:marBottom w:val="0"/>
          <w:divBdr>
            <w:top w:val="none" w:sz="0" w:space="0" w:color="auto"/>
            <w:left w:val="none" w:sz="0" w:space="0" w:color="auto"/>
            <w:bottom w:val="none" w:sz="0" w:space="0" w:color="auto"/>
            <w:right w:val="none" w:sz="0" w:space="0" w:color="auto"/>
          </w:divBdr>
          <w:divsChild>
            <w:div w:id="78986267">
              <w:marLeft w:val="0"/>
              <w:marRight w:val="0"/>
              <w:marTop w:val="0"/>
              <w:marBottom w:val="0"/>
              <w:divBdr>
                <w:top w:val="none" w:sz="0" w:space="0" w:color="auto"/>
                <w:left w:val="none" w:sz="0" w:space="0" w:color="auto"/>
                <w:bottom w:val="none" w:sz="0" w:space="0" w:color="auto"/>
                <w:right w:val="none" w:sz="0" w:space="0" w:color="auto"/>
              </w:divBdr>
              <w:divsChild>
                <w:div w:id="132531772">
                  <w:marLeft w:val="0"/>
                  <w:marRight w:val="0"/>
                  <w:marTop w:val="0"/>
                  <w:marBottom w:val="0"/>
                  <w:divBdr>
                    <w:top w:val="none" w:sz="0" w:space="0" w:color="auto"/>
                    <w:left w:val="none" w:sz="0" w:space="0" w:color="auto"/>
                    <w:bottom w:val="none" w:sz="0" w:space="0" w:color="auto"/>
                    <w:right w:val="none" w:sz="0" w:space="0" w:color="auto"/>
                  </w:divBdr>
                  <w:divsChild>
                    <w:div w:id="948699687">
                      <w:marLeft w:val="0"/>
                      <w:marRight w:val="0"/>
                      <w:marTop w:val="0"/>
                      <w:marBottom w:val="0"/>
                      <w:divBdr>
                        <w:top w:val="none" w:sz="0" w:space="0" w:color="auto"/>
                        <w:left w:val="none" w:sz="0" w:space="0" w:color="auto"/>
                        <w:bottom w:val="none" w:sz="0" w:space="0" w:color="auto"/>
                        <w:right w:val="none" w:sz="0" w:space="0" w:color="auto"/>
                      </w:divBdr>
                      <w:divsChild>
                        <w:div w:id="966204863">
                          <w:marLeft w:val="150"/>
                          <w:marRight w:val="150"/>
                          <w:marTop w:val="0"/>
                          <w:marBottom w:val="0"/>
                          <w:divBdr>
                            <w:top w:val="none" w:sz="0" w:space="0" w:color="auto"/>
                            <w:left w:val="none" w:sz="0" w:space="0" w:color="auto"/>
                            <w:bottom w:val="none" w:sz="0" w:space="0" w:color="auto"/>
                            <w:right w:val="none" w:sz="0" w:space="0" w:color="auto"/>
                          </w:divBdr>
                          <w:divsChild>
                            <w:div w:id="574821622">
                              <w:marLeft w:val="0"/>
                              <w:marRight w:val="0"/>
                              <w:marTop w:val="0"/>
                              <w:marBottom w:val="150"/>
                              <w:divBdr>
                                <w:top w:val="none" w:sz="0" w:space="0" w:color="auto"/>
                                <w:left w:val="none" w:sz="0" w:space="0" w:color="auto"/>
                                <w:bottom w:val="none" w:sz="0" w:space="0" w:color="auto"/>
                                <w:right w:val="none" w:sz="0" w:space="0" w:color="auto"/>
                              </w:divBdr>
                              <w:divsChild>
                                <w:div w:id="1219439446">
                                  <w:marLeft w:val="0"/>
                                  <w:marRight w:val="0"/>
                                  <w:marTop w:val="0"/>
                                  <w:marBottom w:val="0"/>
                                  <w:divBdr>
                                    <w:top w:val="none" w:sz="0" w:space="0" w:color="auto"/>
                                    <w:left w:val="none" w:sz="0" w:space="0" w:color="auto"/>
                                    <w:bottom w:val="none" w:sz="0" w:space="0" w:color="auto"/>
                                    <w:right w:val="none" w:sz="0" w:space="0" w:color="auto"/>
                                  </w:divBdr>
                                  <w:divsChild>
                                    <w:div w:id="731538134">
                                      <w:marLeft w:val="0"/>
                                      <w:marRight w:val="0"/>
                                      <w:marTop w:val="0"/>
                                      <w:marBottom w:val="0"/>
                                      <w:divBdr>
                                        <w:top w:val="none" w:sz="0" w:space="0" w:color="auto"/>
                                        <w:left w:val="none" w:sz="0" w:space="0" w:color="auto"/>
                                        <w:bottom w:val="none" w:sz="0" w:space="0" w:color="auto"/>
                                        <w:right w:val="none" w:sz="0" w:space="0" w:color="auto"/>
                                      </w:divBdr>
                                      <w:divsChild>
                                        <w:div w:id="2142723610">
                                          <w:marLeft w:val="0"/>
                                          <w:marRight w:val="0"/>
                                          <w:marTop w:val="0"/>
                                          <w:marBottom w:val="0"/>
                                          <w:divBdr>
                                            <w:top w:val="none" w:sz="0" w:space="0" w:color="auto"/>
                                            <w:left w:val="none" w:sz="0" w:space="0" w:color="auto"/>
                                            <w:bottom w:val="none" w:sz="0" w:space="0" w:color="auto"/>
                                            <w:right w:val="none" w:sz="0" w:space="0" w:color="auto"/>
                                          </w:divBdr>
                                          <w:divsChild>
                                            <w:div w:id="354428453">
                                              <w:marLeft w:val="0"/>
                                              <w:marRight w:val="0"/>
                                              <w:marTop w:val="0"/>
                                              <w:marBottom w:val="0"/>
                                              <w:divBdr>
                                                <w:top w:val="none" w:sz="0" w:space="0" w:color="auto"/>
                                                <w:left w:val="none" w:sz="0" w:space="0" w:color="auto"/>
                                                <w:bottom w:val="none" w:sz="0" w:space="0" w:color="auto"/>
                                                <w:right w:val="none" w:sz="0" w:space="0" w:color="auto"/>
                                              </w:divBdr>
                                              <w:divsChild>
                                                <w:div w:id="197547922">
                                                  <w:marLeft w:val="0"/>
                                                  <w:marRight w:val="0"/>
                                                  <w:marTop w:val="0"/>
                                                  <w:marBottom w:val="0"/>
                                                  <w:divBdr>
                                                    <w:top w:val="none" w:sz="0" w:space="0" w:color="auto"/>
                                                    <w:left w:val="none" w:sz="0" w:space="0" w:color="auto"/>
                                                    <w:bottom w:val="none" w:sz="0" w:space="0" w:color="auto"/>
                                                    <w:right w:val="none" w:sz="0" w:space="0" w:color="auto"/>
                                                  </w:divBdr>
                                                  <w:divsChild>
                                                    <w:div w:id="118307454">
                                                      <w:marLeft w:val="0"/>
                                                      <w:marRight w:val="0"/>
                                                      <w:marTop w:val="0"/>
                                                      <w:marBottom w:val="0"/>
                                                      <w:divBdr>
                                                        <w:top w:val="none" w:sz="0" w:space="0" w:color="auto"/>
                                                        <w:left w:val="none" w:sz="0" w:space="0" w:color="auto"/>
                                                        <w:bottom w:val="none" w:sz="0" w:space="0" w:color="auto"/>
                                                        <w:right w:val="none" w:sz="0" w:space="0" w:color="auto"/>
                                                      </w:divBdr>
                                                      <w:divsChild>
                                                        <w:div w:id="627199108">
                                                          <w:marLeft w:val="0"/>
                                                          <w:marRight w:val="0"/>
                                                          <w:marTop w:val="0"/>
                                                          <w:marBottom w:val="0"/>
                                                          <w:divBdr>
                                                            <w:top w:val="none" w:sz="0" w:space="0" w:color="auto"/>
                                                            <w:left w:val="none" w:sz="0" w:space="0" w:color="auto"/>
                                                            <w:bottom w:val="none" w:sz="0" w:space="0" w:color="auto"/>
                                                            <w:right w:val="none" w:sz="0" w:space="0" w:color="auto"/>
                                                          </w:divBdr>
                                                          <w:divsChild>
                                                            <w:div w:id="366026054">
                                                              <w:marLeft w:val="0"/>
                                                              <w:marRight w:val="0"/>
                                                              <w:marTop w:val="0"/>
                                                              <w:marBottom w:val="0"/>
                                                              <w:divBdr>
                                                                <w:top w:val="none" w:sz="0" w:space="0" w:color="auto"/>
                                                                <w:left w:val="none" w:sz="0" w:space="0" w:color="auto"/>
                                                                <w:bottom w:val="none" w:sz="0" w:space="0" w:color="auto"/>
                                                                <w:right w:val="none" w:sz="0" w:space="0" w:color="auto"/>
                                                              </w:divBdr>
                                                              <w:divsChild>
                                                                <w:div w:id="1589384204">
                                                                  <w:marLeft w:val="0"/>
                                                                  <w:marRight w:val="0"/>
                                                                  <w:marTop w:val="0"/>
                                                                  <w:marBottom w:val="0"/>
                                                                  <w:divBdr>
                                                                    <w:top w:val="none" w:sz="0" w:space="0" w:color="auto"/>
                                                                    <w:left w:val="none" w:sz="0" w:space="0" w:color="auto"/>
                                                                    <w:bottom w:val="none" w:sz="0" w:space="0" w:color="auto"/>
                                                                    <w:right w:val="none" w:sz="0" w:space="0" w:color="auto"/>
                                                                  </w:divBdr>
                                                                  <w:divsChild>
                                                                    <w:div w:id="1454326621">
                                                                      <w:marLeft w:val="0"/>
                                                                      <w:marRight w:val="0"/>
                                                                      <w:marTop w:val="0"/>
                                                                      <w:marBottom w:val="0"/>
                                                                      <w:divBdr>
                                                                        <w:top w:val="single" w:sz="2" w:space="4" w:color="DEDEDE"/>
                                                                        <w:left w:val="single" w:sz="2" w:space="4" w:color="DEDEDE"/>
                                                                        <w:bottom w:val="single" w:sz="2" w:space="4" w:color="DEDEDE"/>
                                                                        <w:right w:val="single" w:sz="2" w:space="4" w:color="DEDEDE"/>
                                                                      </w:divBdr>
                                                                      <w:divsChild>
                                                                        <w:div w:id="1701590179">
                                                                          <w:marLeft w:val="0"/>
                                                                          <w:marRight w:val="0"/>
                                                                          <w:marTop w:val="0"/>
                                                                          <w:marBottom w:val="0"/>
                                                                          <w:divBdr>
                                                                            <w:top w:val="none" w:sz="0" w:space="0" w:color="auto"/>
                                                                            <w:left w:val="none" w:sz="0" w:space="0" w:color="auto"/>
                                                                            <w:bottom w:val="none" w:sz="0" w:space="0" w:color="auto"/>
                                                                            <w:right w:val="none" w:sz="0" w:space="0" w:color="auto"/>
                                                                          </w:divBdr>
                                                                          <w:divsChild>
                                                                            <w:div w:id="21433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564470">
      <w:bodyDiv w:val="1"/>
      <w:marLeft w:val="0"/>
      <w:marRight w:val="0"/>
      <w:marTop w:val="0"/>
      <w:marBottom w:val="0"/>
      <w:divBdr>
        <w:top w:val="none" w:sz="0" w:space="0" w:color="auto"/>
        <w:left w:val="none" w:sz="0" w:space="0" w:color="auto"/>
        <w:bottom w:val="none" w:sz="0" w:space="0" w:color="auto"/>
        <w:right w:val="none" w:sz="0" w:space="0" w:color="auto"/>
      </w:divBdr>
    </w:div>
    <w:div w:id="1266502328">
      <w:bodyDiv w:val="1"/>
      <w:marLeft w:val="0"/>
      <w:marRight w:val="0"/>
      <w:marTop w:val="0"/>
      <w:marBottom w:val="0"/>
      <w:divBdr>
        <w:top w:val="none" w:sz="0" w:space="0" w:color="auto"/>
        <w:left w:val="none" w:sz="0" w:space="0" w:color="auto"/>
        <w:bottom w:val="none" w:sz="0" w:space="0" w:color="auto"/>
        <w:right w:val="none" w:sz="0" w:space="0" w:color="auto"/>
      </w:divBdr>
    </w:div>
    <w:div w:id="1291791104">
      <w:bodyDiv w:val="1"/>
      <w:marLeft w:val="0"/>
      <w:marRight w:val="0"/>
      <w:marTop w:val="0"/>
      <w:marBottom w:val="0"/>
      <w:divBdr>
        <w:top w:val="none" w:sz="0" w:space="0" w:color="auto"/>
        <w:left w:val="none" w:sz="0" w:space="0" w:color="auto"/>
        <w:bottom w:val="none" w:sz="0" w:space="0" w:color="auto"/>
        <w:right w:val="none" w:sz="0" w:space="0" w:color="auto"/>
      </w:divBdr>
    </w:div>
    <w:div w:id="1294408376">
      <w:bodyDiv w:val="1"/>
      <w:marLeft w:val="0"/>
      <w:marRight w:val="0"/>
      <w:marTop w:val="0"/>
      <w:marBottom w:val="0"/>
      <w:divBdr>
        <w:top w:val="none" w:sz="0" w:space="0" w:color="auto"/>
        <w:left w:val="none" w:sz="0" w:space="0" w:color="auto"/>
        <w:bottom w:val="none" w:sz="0" w:space="0" w:color="auto"/>
        <w:right w:val="none" w:sz="0" w:space="0" w:color="auto"/>
      </w:divBdr>
    </w:div>
    <w:div w:id="1325429214">
      <w:bodyDiv w:val="1"/>
      <w:marLeft w:val="0"/>
      <w:marRight w:val="0"/>
      <w:marTop w:val="0"/>
      <w:marBottom w:val="0"/>
      <w:divBdr>
        <w:top w:val="none" w:sz="0" w:space="0" w:color="auto"/>
        <w:left w:val="none" w:sz="0" w:space="0" w:color="auto"/>
        <w:bottom w:val="none" w:sz="0" w:space="0" w:color="auto"/>
        <w:right w:val="none" w:sz="0" w:space="0" w:color="auto"/>
      </w:divBdr>
    </w:div>
    <w:div w:id="1336223494">
      <w:bodyDiv w:val="1"/>
      <w:marLeft w:val="0"/>
      <w:marRight w:val="0"/>
      <w:marTop w:val="0"/>
      <w:marBottom w:val="0"/>
      <w:divBdr>
        <w:top w:val="none" w:sz="0" w:space="0" w:color="auto"/>
        <w:left w:val="none" w:sz="0" w:space="0" w:color="auto"/>
        <w:bottom w:val="none" w:sz="0" w:space="0" w:color="auto"/>
        <w:right w:val="none" w:sz="0" w:space="0" w:color="auto"/>
      </w:divBdr>
    </w:div>
    <w:div w:id="1364330559">
      <w:bodyDiv w:val="1"/>
      <w:marLeft w:val="0"/>
      <w:marRight w:val="0"/>
      <w:marTop w:val="0"/>
      <w:marBottom w:val="0"/>
      <w:divBdr>
        <w:top w:val="none" w:sz="0" w:space="0" w:color="auto"/>
        <w:left w:val="none" w:sz="0" w:space="0" w:color="auto"/>
        <w:bottom w:val="none" w:sz="0" w:space="0" w:color="auto"/>
        <w:right w:val="none" w:sz="0" w:space="0" w:color="auto"/>
      </w:divBdr>
      <w:divsChild>
        <w:div w:id="1801217040">
          <w:marLeft w:val="0"/>
          <w:marRight w:val="0"/>
          <w:marTop w:val="0"/>
          <w:marBottom w:val="0"/>
          <w:divBdr>
            <w:top w:val="none" w:sz="0" w:space="0" w:color="auto"/>
            <w:left w:val="none" w:sz="0" w:space="0" w:color="auto"/>
            <w:bottom w:val="none" w:sz="0" w:space="0" w:color="auto"/>
            <w:right w:val="none" w:sz="0" w:space="0" w:color="auto"/>
          </w:divBdr>
          <w:divsChild>
            <w:div w:id="1296522519">
              <w:marLeft w:val="0"/>
              <w:marRight w:val="0"/>
              <w:marTop w:val="0"/>
              <w:marBottom w:val="0"/>
              <w:divBdr>
                <w:top w:val="none" w:sz="0" w:space="0" w:color="auto"/>
                <w:left w:val="none" w:sz="0" w:space="0" w:color="auto"/>
                <w:bottom w:val="none" w:sz="0" w:space="0" w:color="auto"/>
                <w:right w:val="none" w:sz="0" w:space="0" w:color="auto"/>
              </w:divBdr>
              <w:divsChild>
                <w:div w:id="512229635">
                  <w:marLeft w:val="0"/>
                  <w:marRight w:val="0"/>
                  <w:marTop w:val="0"/>
                  <w:marBottom w:val="0"/>
                  <w:divBdr>
                    <w:top w:val="none" w:sz="0" w:space="0" w:color="auto"/>
                    <w:left w:val="none" w:sz="0" w:space="0" w:color="auto"/>
                    <w:bottom w:val="none" w:sz="0" w:space="0" w:color="auto"/>
                    <w:right w:val="none" w:sz="0" w:space="0" w:color="auto"/>
                  </w:divBdr>
                  <w:divsChild>
                    <w:div w:id="1903130099">
                      <w:marLeft w:val="0"/>
                      <w:marRight w:val="0"/>
                      <w:marTop w:val="0"/>
                      <w:marBottom w:val="0"/>
                      <w:divBdr>
                        <w:top w:val="none" w:sz="0" w:space="0" w:color="auto"/>
                        <w:left w:val="none" w:sz="0" w:space="0" w:color="auto"/>
                        <w:bottom w:val="none" w:sz="0" w:space="0" w:color="auto"/>
                        <w:right w:val="none" w:sz="0" w:space="0" w:color="auto"/>
                      </w:divBdr>
                      <w:divsChild>
                        <w:div w:id="536815762">
                          <w:marLeft w:val="150"/>
                          <w:marRight w:val="150"/>
                          <w:marTop w:val="0"/>
                          <w:marBottom w:val="0"/>
                          <w:divBdr>
                            <w:top w:val="none" w:sz="0" w:space="0" w:color="auto"/>
                            <w:left w:val="none" w:sz="0" w:space="0" w:color="auto"/>
                            <w:bottom w:val="none" w:sz="0" w:space="0" w:color="auto"/>
                            <w:right w:val="none" w:sz="0" w:space="0" w:color="auto"/>
                          </w:divBdr>
                          <w:divsChild>
                            <w:div w:id="1453400597">
                              <w:marLeft w:val="0"/>
                              <w:marRight w:val="0"/>
                              <w:marTop w:val="0"/>
                              <w:marBottom w:val="150"/>
                              <w:divBdr>
                                <w:top w:val="none" w:sz="0" w:space="0" w:color="auto"/>
                                <w:left w:val="none" w:sz="0" w:space="0" w:color="auto"/>
                                <w:bottom w:val="none" w:sz="0" w:space="0" w:color="auto"/>
                                <w:right w:val="none" w:sz="0" w:space="0" w:color="auto"/>
                              </w:divBdr>
                              <w:divsChild>
                                <w:div w:id="791637355">
                                  <w:marLeft w:val="0"/>
                                  <w:marRight w:val="0"/>
                                  <w:marTop w:val="0"/>
                                  <w:marBottom w:val="0"/>
                                  <w:divBdr>
                                    <w:top w:val="none" w:sz="0" w:space="0" w:color="auto"/>
                                    <w:left w:val="none" w:sz="0" w:space="0" w:color="auto"/>
                                    <w:bottom w:val="none" w:sz="0" w:space="0" w:color="auto"/>
                                    <w:right w:val="none" w:sz="0" w:space="0" w:color="auto"/>
                                  </w:divBdr>
                                  <w:divsChild>
                                    <w:div w:id="1149055094">
                                      <w:marLeft w:val="0"/>
                                      <w:marRight w:val="0"/>
                                      <w:marTop w:val="0"/>
                                      <w:marBottom w:val="0"/>
                                      <w:divBdr>
                                        <w:top w:val="none" w:sz="0" w:space="0" w:color="auto"/>
                                        <w:left w:val="none" w:sz="0" w:space="0" w:color="auto"/>
                                        <w:bottom w:val="none" w:sz="0" w:space="0" w:color="auto"/>
                                        <w:right w:val="none" w:sz="0" w:space="0" w:color="auto"/>
                                      </w:divBdr>
                                      <w:divsChild>
                                        <w:div w:id="820148538">
                                          <w:marLeft w:val="0"/>
                                          <w:marRight w:val="0"/>
                                          <w:marTop w:val="0"/>
                                          <w:marBottom w:val="0"/>
                                          <w:divBdr>
                                            <w:top w:val="none" w:sz="0" w:space="0" w:color="auto"/>
                                            <w:left w:val="none" w:sz="0" w:space="0" w:color="auto"/>
                                            <w:bottom w:val="none" w:sz="0" w:space="0" w:color="auto"/>
                                            <w:right w:val="none" w:sz="0" w:space="0" w:color="auto"/>
                                          </w:divBdr>
                                          <w:divsChild>
                                            <w:div w:id="307515108">
                                              <w:marLeft w:val="0"/>
                                              <w:marRight w:val="0"/>
                                              <w:marTop w:val="0"/>
                                              <w:marBottom w:val="0"/>
                                              <w:divBdr>
                                                <w:top w:val="none" w:sz="0" w:space="0" w:color="auto"/>
                                                <w:left w:val="none" w:sz="0" w:space="0" w:color="auto"/>
                                                <w:bottom w:val="none" w:sz="0" w:space="0" w:color="auto"/>
                                                <w:right w:val="none" w:sz="0" w:space="0" w:color="auto"/>
                                              </w:divBdr>
                                              <w:divsChild>
                                                <w:div w:id="1056779965">
                                                  <w:marLeft w:val="0"/>
                                                  <w:marRight w:val="0"/>
                                                  <w:marTop w:val="0"/>
                                                  <w:marBottom w:val="0"/>
                                                  <w:divBdr>
                                                    <w:top w:val="none" w:sz="0" w:space="0" w:color="auto"/>
                                                    <w:left w:val="none" w:sz="0" w:space="0" w:color="auto"/>
                                                    <w:bottom w:val="none" w:sz="0" w:space="0" w:color="auto"/>
                                                    <w:right w:val="none" w:sz="0" w:space="0" w:color="auto"/>
                                                  </w:divBdr>
                                                  <w:divsChild>
                                                    <w:div w:id="1171601567">
                                                      <w:marLeft w:val="0"/>
                                                      <w:marRight w:val="0"/>
                                                      <w:marTop w:val="0"/>
                                                      <w:marBottom w:val="0"/>
                                                      <w:divBdr>
                                                        <w:top w:val="none" w:sz="0" w:space="0" w:color="auto"/>
                                                        <w:left w:val="none" w:sz="0" w:space="0" w:color="auto"/>
                                                        <w:bottom w:val="none" w:sz="0" w:space="0" w:color="auto"/>
                                                        <w:right w:val="none" w:sz="0" w:space="0" w:color="auto"/>
                                                      </w:divBdr>
                                                      <w:divsChild>
                                                        <w:div w:id="914239483">
                                                          <w:marLeft w:val="0"/>
                                                          <w:marRight w:val="0"/>
                                                          <w:marTop w:val="0"/>
                                                          <w:marBottom w:val="0"/>
                                                          <w:divBdr>
                                                            <w:top w:val="none" w:sz="0" w:space="0" w:color="auto"/>
                                                            <w:left w:val="none" w:sz="0" w:space="0" w:color="auto"/>
                                                            <w:bottom w:val="none" w:sz="0" w:space="0" w:color="auto"/>
                                                            <w:right w:val="none" w:sz="0" w:space="0" w:color="auto"/>
                                                          </w:divBdr>
                                                          <w:divsChild>
                                                            <w:div w:id="1203252395">
                                                              <w:marLeft w:val="0"/>
                                                              <w:marRight w:val="0"/>
                                                              <w:marTop w:val="0"/>
                                                              <w:marBottom w:val="0"/>
                                                              <w:divBdr>
                                                                <w:top w:val="none" w:sz="0" w:space="0" w:color="auto"/>
                                                                <w:left w:val="none" w:sz="0" w:space="0" w:color="auto"/>
                                                                <w:bottom w:val="none" w:sz="0" w:space="0" w:color="auto"/>
                                                                <w:right w:val="none" w:sz="0" w:space="0" w:color="auto"/>
                                                              </w:divBdr>
                                                              <w:divsChild>
                                                                <w:div w:id="1114521273">
                                                                  <w:marLeft w:val="0"/>
                                                                  <w:marRight w:val="0"/>
                                                                  <w:marTop w:val="0"/>
                                                                  <w:marBottom w:val="0"/>
                                                                  <w:divBdr>
                                                                    <w:top w:val="none" w:sz="0" w:space="0" w:color="auto"/>
                                                                    <w:left w:val="none" w:sz="0" w:space="0" w:color="auto"/>
                                                                    <w:bottom w:val="none" w:sz="0" w:space="0" w:color="auto"/>
                                                                    <w:right w:val="none" w:sz="0" w:space="0" w:color="auto"/>
                                                                  </w:divBdr>
                                                                  <w:divsChild>
                                                                    <w:div w:id="1366326666">
                                                                      <w:marLeft w:val="0"/>
                                                                      <w:marRight w:val="0"/>
                                                                      <w:marTop w:val="0"/>
                                                                      <w:marBottom w:val="0"/>
                                                                      <w:divBdr>
                                                                        <w:top w:val="single" w:sz="2" w:space="4" w:color="DEDEDE"/>
                                                                        <w:left w:val="single" w:sz="2" w:space="4" w:color="DEDEDE"/>
                                                                        <w:bottom w:val="single" w:sz="2" w:space="4" w:color="DEDEDE"/>
                                                                        <w:right w:val="single" w:sz="2" w:space="4" w:color="DEDEDE"/>
                                                                      </w:divBdr>
                                                                      <w:divsChild>
                                                                        <w:div w:id="1096629277">
                                                                          <w:marLeft w:val="0"/>
                                                                          <w:marRight w:val="0"/>
                                                                          <w:marTop w:val="0"/>
                                                                          <w:marBottom w:val="0"/>
                                                                          <w:divBdr>
                                                                            <w:top w:val="none" w:sz="0" w:space="0" w:color="auto"/>
                                                                            <w:left w:val="none" w:sz="0" w:space="0" w:color="auto"/>
                                                                            <w:bottom w:val="none" w:sz="0" w:space="0" w:color="auto"/>
                                                                            <w:right w:val="none" w:sz="0" w:space="0" w:color="auto"/>
                                                                          </w:divBdr>
                                                                          <w:divsChild>
                                                                            <w:div w:id="6191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706832">
      <w:bodyDiv w:val="1"/>
      <w:marLeft w:val="0"/>
      <w:marRight w:val="0"/>
      <w:marTop w:val="0"/>
      <w:marBottom w:val="0"/>
      <w:divBdr>
        <w:top w:val="none" w:sz="0" w:space="0" w:color="auto"/>
        <w:left w:val="none" w:sz="0" w:space="0" w:color="auto"/>
        <w:bottom w:val="none" w:sz="0" w:space="0" w:color="auto"/>
        <w:right w:val="none" w:sz="0" w:space="0" w:color="auto"/>
      </w:divBdr>
    </w:div>
    <w:div w:id="1707366510">
      <w:bodyDiv w:val="1"/>
      <w:marLeft w:val="0"/>
      <w:marRight w:val="0"/>
      <w:marTop w:val="0"/>
      <w:marBottom w:val="0"/>
      <w:divBdr>
        <w:top w:val="none" w:sz="0" w:space="0" w:color="auto"/>
        <w:left w:val="none" w:sz="0" w:space="0" w:color="auto"/>
        <w:bottom w:val="none" w:sz="0" w:space="0" w:color="auto"/>
        <w:right w:val="none" w:sz="0" w:space="0" w:color="auto"/>
      </w:divBdr>
    </w:div>
    <w:div w:id="1811092175">
      <w:bodyDiv w:val="1"/>
      <w:marLeft w:val="0"/>
      <w:marRight w:val="0"/>
      <w:marTop w:val="0"/>
      <w:marBottom w:val="0"/>
      <w:divBdr>
        <w:top w:val="none" w:sz="0" w:space="0" w:color="auto"/>
        <w:left w:val="none" w:sz="0" w:space="0" w:color="auto"/>
        <w:bottom w:val="none" w:sz="0" w:space="0" w:color="auto"/>
        <w:right w:val="none" w:sz="0" w:space="0" w:color="auto"/>
      </w:divBdr>
    </w:div>
    <w:div w:id="1868637344">
      <w:bodyDiv w:val="1"/>
      <w:marLeft w:val="0"/>
      <w:marRight w:val="0"/>
      <w:marTop w:val="0"/>
      <w:marBottom w:val="0"/>
      <w:divBdr>
        <w:top w:val="none" w:sz="0" w:space="0" w:color="auto"/>
        <w:left w:val="none" w:sz="0" w:space="0" w:color="auto"/>
        <w:bottom w:val="none" w:sz="0" w:space="0" w:color="auto"/>
        <w:right w:val="none" w:sz="0" w:space="0" w:color="auto"/>
      </w:divBdr>
      <w:divsChild>
        <w:div w:id="729547332">
          <w:marLeft w:val="0"/>
          <w:marRight w:val="0"/>
          <w:marTop w:val="0"/>
          <w:marBottom w:val="0"/>
          <w:divBdr>
            <w:top w:val="none" w:sz="0" w:space="0" w:color="auto"/>
            <w:left w:val="none" w:sz="0" w:space="0" w:color="auto"/>
            <w:bottom w:val="none" w:sz="0" w:space="0" w:color="auto"/>
            <w:right w:val="none" w:sz="0" w:space="0" w:color="auto"/>
          </w:divBdr>
          <w:divsChild>
            <w:div w:id="534385780">
              <w:marLeft w:val="0"/>
              <w:marRight w:val="0"/>
              <w:marTop w:val="0"/>
              <w:marBottom w:val="0"/>
              <w:divBdr>
                <w:top w:val="none" w:sz="0" w:space="0" w:color="auto"/>
                <w:left w:val="none" w:sz="0" w:space="0" w:color="auto"/>
                <w:bottom w:val="none" w:sz="0" w:space="0" w:color="auto"/>
                <w:right w:val="none" w:sz="0" w:space="0" w:color="auto"/>
              </w:divBdr>
              <w:divsChild>
                <w:div w:id="233391166">
                  <w:marLeft w:val="0"/>
                  <w:marRight w:val="0"/>
                  <w:marTop w:val="0"/>
                  <w:marBottom w:val="0"/>
                  <w:divBdr>
                    <w:top w:val="none" w:sz="0" w:space="0" w:color="auto"/>
                    <w:left w:val="none" w:sz="0" w:space="0" w:color="auto"/>
                    <w:bottom w:val="none" w:sz="0" w:space="0" w:color="auto"/>
                    <w:right w:val="none" w:sz="0" w:space="0" w:color="auto"/>
                  </w:divBdr>
                  <w:divsChild>
                    <w:div w:id="858740566">
                      <w:marLeft w:val="0"/>
                      <w:marRight w:val="0"/>
                      <w:marTop w:val="0"/>
                      <w:marBottom w:val="0"/>
                      <w:divBdr>
                        <w:top w:val="none" w:sz="0" w:space="0" w:color="auto"/>
                        <w:left w:val="none" w:sz="0" w:space="0" w:color="auto"/>
                        <w:bottom w:val="none" w:sz="0" w:space="0" w:color="auto"/>
                        <w:right w:val="none" w:sz="0" w:space="0" w:color="auto"/>
                      </w:divBdr>
                      <w:divsChild>
                        <w:div w:id="208884766">
                          <w:marLeft w:val="150"/>
                          <w:marRight w:val="150"/>
                          <w:marTop w:val="0"/>
                          <w:marBottom w:val="0"/>
                          <w:divBdr>
                            <w:top w:val="none" w:sz="0" w:space="0" w:color="auto"/>
                            <w:left w:val="none" w:sz="0" w:space="0" w:color="auto"/>
                            <w:bottom w:val="none" w:sz="0" w:space="0" w:color="auto"/>
                            <w:right w:val="none" w:sz="0" w:space="0" w:color="auto"/>
                          </w:divBdr>
                          <w:divsChild>
                            <w:div w:id="898246132">
                              <w:marLeft w:val="0"/>
                              <w:marRight w:val="0"/>
                              <w:marTop w:val="0"/>
                              <w:marBottom w:val="150"/>
                              <w:divBdr>
                                <w:top w:val="none" w:sz="0" w:space="0" w:color="auto"/>
                                <w:left w:val="none" w:sz="0" w:space="0" w:color="auto"/>
                                <w:bottom w:val="none" w:sz="0" w:space="0" w:color="auto"/>
                                <w:right w:val="none" w:sz="0" w:space="0" w:color="auto"/>
                              </w:divBdr>
                              <w:divsChild>
                                <w:div w:id="2053647268">
                                  <w:marLeft w:val="0"/>
                                  <w:marRight w:val="0"/>
                                  <w:marTop w:val="0"/>
                                  <w:marBottom w:val="0"/>
                                  <w:divBdr>
                                    <w:top w:val="none" w:sz="0" w:space="0" w:color="auto"/>
                                    <w:left w:val="none" w:sz="0" w:space="0" w:color="auto"/>
                                    <w:bottom w:val="none" w:sz="0" w:space="0" w:color="auto"/>
                                    <w:right w:val="none" w:sz="0" w:space="0" w:color="auto"/>
                                  </w:divBdr>
                                  <w:divsChild>
                                    <w:div w:id="1295983068">
                                      <w:marLeft w:val="0"/>
                                      <w:marRight w:val="0"/>
                                      <w:marTop w:val="0"/>
                                      <w:marBottom w:val="0"/>
                                      <w:divBdr>
                                        <w:top w:val="none" w:sz="0" w:space="0" w:color="auto"/>
                                        <w:left w:val="none" w:sz="0" w:space="0" w:color="auto"/>
                                        <w:bottom w:val="none" w:sz="0" w:space="0" w:color="auto"/>
                                        <w:right w:val="none" w:sz="0" w:space="0" w:color="auto"/>
                                      </w:divBdr>
                                      <w:divsChild>
                                        <w:div w:id="1779135128">
                                          <w:marLeft w:val="0"/>
                                          <w:marRight w:val="0"/>
                                          <w:marTop w:val="0"/>
                                          <w:marBottom w:val="0"/>
                                          <w:divBdr>
                                            <w:top w:val="none" w:sz="0" w:space="0" w:color="auto"/>
                                            <w:left w:val="none" w:sz="0" w:space="0" w:color="auto"/>
                                            <w:bottom w:val="none" w:sz="0" w:space="0" w:color="auto"/>
                                            <w:right w:val="none" w:sz="0" w:space="0" w:color="auto"/>
                                          </w:divBdr>
                                          <w:divsChild>
                                            <w:div w:id="2114744344">
                                              <w:marLeft w:val="0"/>
                                              <w:marRight w:val="0"/>
                                              <w:marTop w:val="0"/>
                                              <w:marBottom w:val="0"/>
                                              <w:divBdr>
                                                <w:top w:val="none" w:sz="0" w:space="0" w:color="auto"/>
                                                <w:left w:val="none" w:sz="0" w:space="0" w:color="auto"/>
                                                <w:bottom w:val="none" w:sz="0" w:space="0" w:color="auto"/>
                                                <w:right w:val="none" w:sz="0" w:space="0" w:color="auto"/>
                                              </w:divBdr>
                                              <w:divsChild>
                                                <w:div w:id="760374112">
                                                  <w:marLeft w:val="0"/>
                                                  <w:marRight w:val="0"/>
                                                  <w:marTop w:val="0"/>
                                                  <w:marBottom w:val="0"/>
                                                  <w:divBdr>
                                                    <w:top w:val="none" w:sz="0" w:space="0" w:color="auto"/>
                                                    <w:left w:val="none" w:sz="0" w:space="0" w:color="auto"/>
                                                    <w:bottom w:val="none" w:sz="0" w:space="0" w:color="auto"/>
                                                    <w:right w:val="none" w:sz="0" w:space="0" w:color="auto"/>
                                                  </w:divBdr>
                                                  <w:divsChild>
                                                    <w:div w:id="89090173">
                                                      <w:marLeft w:val="0"/>
                                                      <w:marRight w:val="0"/>
                                                      <w:marTop w:val="0"/>
                                                      <w:marBottom w:val="0"/>
                                                      <w:divBdr>
                                                        <w:top w:val="none" w:sz="0" w:space="0" w:color="auto"/>
                                                        <w:left w:val="none" w:sz="0" w:space="0" w:color="auto"/>
                                                        <w:bottom w:val="none" w:sz="0" w:space="0" w:color="auto"/>
                                                        <w:right w:val="none" w:sz="0" w:space="0" w:color="auto"/>
                                                      </w:divBdr>
                                                      <w:divsChild>
                                                        <w:div w:id="1337345876">
                                                          <w:marLeft w:val="0"/>
                                                          <w:marRight w:val="0"/>
                                                          <w:marTop w:val="0"/>
                                                          <w:marBottom w:val="0"/>
                                                          <w:divBdr>
                                                            <w:top w:val="none" w:sz="0" w:space="0" w:color="auto"/>
                                                            <w:left w:val="none" w:sz="0" w:space="0" w:color="auto"/>
                                                            <w:bottom w:val="none" w:sz="0" w:space="0" w:color="auto"/>
                                                            <w:right w:val="none" w:sz="0" w:space="0" w:color="auto"/>
                                                          </w:divBdr>
                                                          <w:divsChild>
                                                            <w:div w:id="1000693368">
                                                              <w:marLeft w:val="0"/>
                                                              <w:marRight w:val="0"/>
                                                              <w:marTop w:val="0"/>
                                                              <w:marBottom w:val="0"/>
                                                              <w:divBdr>
                                                                <w:top w:val="none" w:sz="0" w:space="0" w:color="auto"/>
                                                                <w:left w:val="none" w:sz="0" w:space="0" w:color="auto"/>
                                                                <w:bottom w:val="none" w:sz="0" w:space="0" w:color="auto"/>
                                                                <w:right w:val="none" w:sz="0" w:space="0" w:color="auto"/>
                                                              </w:divBdr>
                                                              <w:divsChild>
                                                                <w:div w:id="939066947">
                                                                  <w:marLeft w:val="0"/>
                                                                  <w:marRight w:val="0"/>
                                                                  <w:marTop w:val="0"/>
                                                                  <w:marBottom w:val="0"/>
                                                                  <w:divBdr>
                                                                    <w:top w:val="none" w:sz="0" w:space="0" w:color="auto"/>
                                                                    <w:left w:val="none" w:sz="0" w:space="0" w:color="auto"/>
                                                                    <w:bottom w:val="none" w:sz="0" w:space="0" w:color="auto"/>
                                                                    <w:right w:val="none" w:sz="0" w:space="0" w:color="auto"/>
                                                                  </w:divBdr>
                                                                  <w:divsChild>
                                                                    <w:div w:id="2080399081">
                                                                      <w:marLeft w:val="0"/>
                                                                      <w:marRight w:val="0"/>
                                                                      <w:marTop w:val="0"/>
                                                                      <w:marBottom w:val="0"/>
                                                                      <w:divBdr>
                                                                        <w:top w:val="single" w:sz="2" w:space="4" w:color="DEDEDE"/>
                                                                        <w:left w:val="single" w:sz="2" w:space="4" w:color="DEDEDE"/>
                                                                        <w:bottom w:val="single" w:sz="2" w:space="4" w:color="DEDEDE"/>
                                                                        <w:right w:val="single" w:sz="2" w:space="4" w:color="DEDEDE"/>
                                                                      </w:divBdr>
                                                                      <w:divsChild>
                                                                        <w:div w:id="1692342720">
                                                                          <w:marLeft w:val="0"/>
                                                                          <w:marRight w:val="0"/>
                                                                          <w:marTop w:val="0"/>
                                                                          <w:marBottom w:val="0"/>
                                                                          <w:divBdr>
                                                                            <w:top w:val="none" w:sz="0" w:space="0" w:color="auto"/>
                                                                            <w:left w:val="none" w:sz="0" w:space="0" w:color="auto"/>
                                                                            <w:bottom w:val="none" w:sz="0" w:space="0" w:color="auto"/>
                                                                            <w:right w:val="none" w:sz="0" w:space="0" w:color="auto"/>
                                                                          </w:divBdr>
                                                                          <w:divsChild>
                                                                            <w:div w:id="1167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3304446">
      <w:bodyDiv w:val="1"/>
      <w:marLeft w:val="0"/>
      <w:marRight w:val="0"/>
      <w:marTop w:val="0"/>
      <w:marBottom w:val="0"/>
      <w:divBdr>
        <w:top w:val="none" w:sz="0" w:space="0" w:color="auto"/>
        <w:left w:val="none" w:sz="0" w:space="0" w:color="auto"/>
        <w:bottom w:val="none" w:sz="0" w:space="0" w:color="auto"/>
        <w:right w:val="none" w:sz="0" w:space="0" w:color="auto"/>
      </w:divBdr>
      <w:divsChild>
        <w:div w:id="79639952">
          <w:marLeft w:val="0"/>
          <w:marRight w:val="0"/>
          <w:marTop w:val="0"/>
          <w:marBottom w:val="0"/>
          <w:divBdr>
            <w:top w:val="none" w:sz="0" w:space="0" w:color="auto"/>
            <w:left w:val="none" w:sz="0" w:space="0" w:color="auto"/>
            <w:bottom w:val="none" w:sz="0" w:space="0" w:color="auto"/>
            <w:right w:val="none" w:sz="0" w:space="0" w:color="auto"/>
          </w:divBdr>
          <w:divsChild>
            <w:div w:id="1444573532">
              <w:marLeft w:val="0"/>
              <w:marRight w:val="0"/>
              <w:marTop w:val="0"/>
              <w:marBottom w:val="0"/>
              <w:divBdr>
                <w:top w:val="none" w:sz="0" w:space="0" w:color="auto"/>
                <w:left w:val="none" w:sz="0" w:space="0" w:color="auto"/>
                <w:bottom w:val="none" w:sz="0" w:space="0" w:color="auto"/>
                <w:right w:val="none" w:sz="0" w:space="0" w:color="auto"/>
              </w:divBdr>
              <w:divsChild>
                <w:div w:id="218517695">
                  <w:marLeft w:val="0"/>
                  <w:marRight w:val="0"/>
                  <w:marTop w:val="0"/>
                  <w:marBottom w:val="0"/>
                  <w:divBdr>
                    <w:top w:val="none" w:sz="0" w:space="0" w:color="auto"/>
                    <w:left w:val="none" w:sz="0" w:space="0" w:color="auto"/>
                    <w:bottom w:val="none" w:sz="0" w:space="0" w:color="auto"/>
                    <w:right w:val="none" w:sz="0" w:space="0" w:color="auto"/>
                  </w:divBdr>
                  <w:divsChild>
                    <w:div w:id="1743915533">
                      <w:marLeft w:val="0"/>
                      <w:marRight w:val="0"/>
                      <w:marTop w:val="0"/>
                      <w:marBottom w:val="0"/>
                      <w:divBdr>
                        <w:top w:val="none" w:sz="0" w:space="0" w:color="auto"/>
                        <w:left w:val="none" w:sz="0" w:space="0" w:color="auto"/>
                        <w:bottom w:val="none" w:sz="0" w:space="0" w:color="auto"/>
                        <w:right w:val="none" w:sz="0" w:space="0" w:color="auto"/>
                      </w:divBdr>
                      <w:divsChild>
                        <w:div w:id="632685257">
                          <w:marLeft w:val="0"/>
                          <w:marRight w:val="0"/>
                          <w:marTop w:val="0"/>
                          <w:marBottom w:val="0"/>
                          <w:divBdr>
                            <w:top w:val="none" w:sz="0" w:space="0" w:color="auto"/>
                            <w:left w:val="none" w:sz="0" w:space="0" w:color="auto"/>
                            <w:bottom w:val="none" w:sz="0" w:space="0" w:color="auto"/>
                            <w:right w:val="none" w:sz="0" w:space="0" w:color="auto"/>
                          </w:divBdr>
                          <w:divsChild>
                            <w:div w:id="12000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653119">
      <w:bodyDiv w:val="1"/>
      <w:marLeft w:val="0"/>
      <w:marRight w:val="0"/>
      <w:marTop w:val="0"/>
      <w:marBottom w:val="0"/>
      <w:divBdr>
        <w:top w:val="none" w:sz="0" w:space="0" w:color="auto"/>
        <w:left w:val="none" w:sz="0" w:space="0" w:color="auto"/>
        <w:bottom w:val="none" w:sz="0" w:space="0" w:color="auto"/>
        <w:right w:val="none" w:sz="0" w:space="0" w:color="auto"/>
      </w:divBdr>
    </w:div>
    <w:div w:id="1997101359">
      <w:bodyDiv w:val="1"/>
      <w:marLeft w:val="0"/>
      <w:marRight w:val="0"/>
      <w:marTop w:val="0"/>
      <w:marBottom w:val="0"/>
      <w:divBdr>
        <w:top w:val="none" w:sz="0" w:space="0" w:color="auto"/>
        <w:left w:val="none" w:sz="0" w:space="0" w:color="auto"/>
        <w:bottom w:val="none" w:sz="0" w:space="0" w:color="auto"/>
        <w:right w:val="none" w:sz="0" w:space="0" w:color="auto"/>
      </w:divBdr>
      <w:divsChild>
        <w:div w:id="1819299201">
          <w:marLeft w:val="0"/>
          <w:marRight w:val="0"/>
          <w:marTop w:val="0"/>
          <w:marBottom w:val="0"/>
          <w:divBdr>
            <w:top w:val="none" w:sz="0" w:space="0" w:color="auto"/>
            <w:left w:val="none" w:sz="0" w:space="0" w:color="auto"/>
            <w:bottom w:val="none" w:sz="0" w:space="0" w:color="auto"/>
            <w:right w:val="none" w:sz="0" w:space="0" w:color="auto"/>
          </w:divBdr>
          <w:divsChild>
            <w:div w:id="275260284">
              <w:marLeft w:val="0"/>
              <w:marRight w:val="0"/>
              <w:marTop w:val="0"/>
              <w:marBottom w:val="0"/>
              <w:divBdr>
                <w:top w:val="none" w:sz="0" w:space="0" w:color="auto"/>
                <w:left w:val="none" w:sz="0" w:space="0" w:color="auto"/>
                <w:bottom w:val="none" w:sz="0" w:space="0" w:color="auto"/>
                <w:right w:val="none" w:sz="0" w:space="0" w:color="auto"/>
              </w:divBdr>
              <w:divsChild>
                <w:div w:id="1218586484">
                  <w:marLeft w:val="0"/>
                  <w:marRight w:val="0"/>
                  <w:marTop w:val="0"/>
                  <w:marBottom w:val="0"/>
                  <w:divBdr>
                    <w:top w:val="none" w:sz="0" w:space="0" w:color="auto"/>
                    <w:left w:val="none" w:sz="0" w:space="0" w:color="auto"/>
                    <w:bottom w:val="none" w:sz="0" w:space="0" w:color="auto"/>
                    <w:right w:val="none" w:sz="0" w:space="0" w:color="auto"/>
                  </w:divBdr>
                  <w:divsChild>
                    <w:div w:id="1855070155">
                      <w:marLeft w:val="0"/>
                      <w:marRight w:val="0"/>
                      <w:marTop w:val="0"/>
                      <w:marBottom w:val="0"/>
                      <w:divBdr>
                        <w:top w:val="none" w:sz="0" w:space="0" w:color="auto"/>
                        <w:left w:val="none" w:sz="0" w:space="0" w:color="auto"/>
                        <w:bottom w:val="none" w:sz="0" w:space="0" w:color="auto"/>
                        <w:right w:val="none" w:sz="0" w:space="0" w:color="auto"/>
                      </w:divBdr>
                      <w:divsChild>
                        <w:div w:id="1188641786">
                          <w:marLeft w:val="150"/>
                          <w:marRight w:val="150"/>
                          <w:marTop w:val="0"/>
                          <w:marBottom w:val="0"/>
                          <w:divBdr>
                            <w:top w:val="none" w:sz="0" w:space="0" w:color="auto"/>
                            <w:left w:val="none" w:sz="0" w:space="0" w:color="auto"/>
                            <w:bottom w:val="none" w:sz="0" w:space="0" w:color="auto"/>
                            <w:right w:val="none" w:sz="0" w:space="0" w:color="auto"/>
                          </w:divBdr>
                          <w:divsChild>
                            <w:div w:id="852189686">
                              <w:marLeft w:val="0"/>
                              <w:marRight w:val="0"/>
                              <w:marTop w:val="0"/>
                              <w:marBottom w:val="150"/>
                              <w:divBdr>
                                <w:top w:val="none" w:sz="0" w:space="0" w:color="auto"/>
                                <w:left w:val="none" w:sz="0" w:space="0" w:color="auto"/>
                                <w:bottom w:val="none" w:sz="0" w:space="0" w:color="auto"/>
                                <w:right w:val="none" w:sz="0" w:space="0" w:color="auto"/>
                              </w:divBdr>
                              <w:divsChild>
                                <w:div w:id="189882833">
                                  <w:marLeft w:val="0"/>
                                  <w:marRight w:val="0"/>
                                  <w:marTop w:val="0"/>
                                  <w:marBottom w:val="0"/>
                                  <w:divBdr>
                                    <w:top w:val="none" w:sz="0" w:space="0" w:color="auto"/>
                                    <w:left w:val="none" w:sz="0" w:space="0" w:color="auto"/>
                                    <w:bottom w:val="none" w:sz="0" w:space="0" w:color="auto"/>
                                    <w:right w:val="none" w:sz="0" w:space="0" w:color="auto"/>
                                  </w:divBdr>
                                  <w:divsChild>
                                    <w:div w:id="283737958">
                                      <w:marLeft w:val="0"/>
                                      <w:marRight w:val="0"/>
                                      <w:marTop w:val="0"/>
                                      <w:marBottom w:val="0"/>
                                      <w:divBdr>
                                        <w:top w:val="none" w:sz="0" w:space="0" w:color="auto"/>
                                        <w:left w:val="none" w:sz="0" w:space="0" w:color="auto"/>
                                        <w:bottom w:val="none" w:sz="0" w:space="0" w:color="auto"/>
                                        <w:right w:val="none" w:sz="0" w:space="0" w:color="auto"/>
                                      </w:divBdr>
                                      <w:divsChild>
                                        <w:div w:id="579758625">
                                          <w:marLeft w:val="0"/>
                                          <w:marRight w:val="0"/>
                                          <w:marTop w:val="0"/>
                                          <w:marBottom w:val="0"/>
                                          <w:divBdr>
                                            <w:top w:val="none" w:sz="0" w:space="0" w:color="auto"/>
                                            <w:left w:val="none" w:sz="0" w:space="0" w:color="auto"/>
                                            <w:bottom w:val="none" w:sz="0" w:space="0" w:color="auto"/>
                                            <w:right w:val="none" w:sz="0" w:space="0" w:color="auto"/>
                                          </w:divBdr>
                                          <w:divsChild>
                                            <w:div w:id="531069931">
                                              <w:marLeft w:val="0"/>
                                              <w:marRight w:val="0"/>
                                              <w:marTop w:val="0"/>
                                              <w:marBottom w:val="0"/>
                                              <w:divBdr>
                                                <w:top w:val="none" w:sz="0" w:space="0" w:color="auto"/>
                                                <w:left w:val="none" w:sz="0" w:space="0" w:color="auto"/>
                                                <w:bottom w:val="none" w:sz="0" w:space="0" w:color="auto"/>
                                                <w:right w:val="none" w:sz="0" w:space="0" w:color="auto"/>
                                              </w:divBdr>
                                              <w:divsChild>
                                                <w:div w:id="1284338613">
                                                  <w:marLeft w:val="0"/>
                                                  <w:marRight w:val="0"/>
                                                  <w:marTop w:val="0"/>
                                                  <w:marBottom w:val="0"/>
                                                  <w:divBdr>
                                                    <w:top w:val="none" w:sz="0" w:space="0" w:color="auto"/>
                                                    <w:left w:val="none" w:sz="0" w:space="0" w:color="auto"/>
                                                    <w:bottom w:val="none" w:sz="0" w:space="0" w:color="auto"/>
                                                    <w:right w:val="none" w:sz="0" w:space="0" w:color="auto"/>
                                                  </w:divBdr>
                                                  <w:divsChild>
                                                    <w:div w:id="525094255">
                                                      <w:marLeft w:val="0"/>
                                                      <w:marRight w:val="0"/>
                                                      <w:marTop w:val="0"/>
                                                      <w:marBottom w:val="0"/>
                                                      <w:divBdr>
                                                        <w:top w:val="none" w:sz="0" w:space="0" w:color="auto"/>
                                                        <w:left w:val="none" w:sz="0" w:space="0" w:color="auto"/>
                                                        <w:bottom w:val="none" w:sz="0" w:space="0" w:color="auto"/>
                                                        <w:right w:val="none" w:sz="0" w:space="0" w:color="auto"/>
                                                      </w:divBdr>
                                                      <w:divsChild>
                                                        <w:div w:id="655256427">
                                                          <w:marLeft w:val="0"/>
                                                          <w:marRight w:val="0"/>
                                                          <w:marTop w:val="0"/>
                                                          <w:marBottom w:val="0"/>
                                                          <w:divBdr>
                                                            <w:top w:val="none" w:sz="0" w:space="0" w:color="auto"/>
                                                            <w:left w:val="none" w:sz="0" w:space="0" w:color="auto"/>
                                                            <w:bottom w:val="none" w:sz="0" w:space="0" w:color="auto"/>
                                                            <w:right w:val="none" w:sz="0" w:space="0" w:color="auto"/>
                                                          </w:divBdr>
                                                          <w:divsChild>
                                                            <w:div w:id="1130241557">
                                                              <w:marLeft w:val="0"/>
                                                              <w:marRight w:val="0"/>
                                                              <w:marTop w:val="0"/>
                                                              <w:marBottom w:val="0"/>
                                                              <w:divBdr>
                                                                <w:top w:val="none" w:sz="0" w:space="0" w:color="auto"/>
                                                                <w:left w:val="none" w:sz="0" w:space="0" w:color="auto"/>
                                                                <w:bottom w:val="none" w:sz="0" w:space="0" w:color="auto"/>
                                                                <w:right w:val="none" w:sz="0" w:space="0" w:color="auto"/>
                                                              </w:divBdr>
                                                              <w:divsChild>
                                                                <w:div w:id="743721704">
                                                                  <w:marLeft w:val="0"/>
                                                                  <w:marRight w:val="0"/>
                                                                  <w:marTop w:val="0"/>
                                                                  <w:marBottom w:val="0"/>
                                                                  <w:divBdr>
                                                                    <w:top w:val="none" w:sz="0" w:space="0" w:color="auto"/>
                                                                    <w:left w:val="none" w:sz="0" w:space="0" w:color="auto"/>
                                                                    <w:bottom w:val="none" w:sz="0" w:space="0" w:color="auto"/>
                                                                    <w:right w:val="none" w:sz="0" w:space="0" w:color="auto"/>
                                                                  </w:divBdr>
                                                                  <w:divsChild>
                                                                    <w:div w:id="211311190">
                                                                      <w:marLeft w:val="0"/>
                                                                      <w:marRight w:val="0"/>
                                                                      <w:marTop w:val="0"/>
                                                                      <w:marBottom w:val="0"/>
                                                                      <w:divBdr>
                                                                        <w:top w:val="single" w:sz="2" w:space="4" w:color="DEDEDE"/>
                                                                        <w:left w:val="single" w:sz="2" w:space="4" w:color="DEDEDE"/>
                                                                        <w:bottom w:val="single" w:sz="2" w:space="4" w:color="DEDEDE"/>
                                                                        <w:right w:val="single" w:sz="2" w:space="4" w:color="DEDEDE"/>
                                                                      </w:divBdr>
                                                                      <w:divsChild>
                                                                        <w:div w:id="216206133">
                                                                          <w:marLeft w:val="0"/>
                                                                          <w:marRight w:val="0"/>
                                                                          <w:marTop w:val="0"/>
                                                                          <w:marBottom w:val="0"/>
                                                                          <w:divBdr>
                                                                            <w:top w:val="none" w:sz="0" w:space="0" w:color="auto"/>
                                                                            <w:left w:val="none" w:sz="0" w:space="0" w:color="auto"/>
                                                                            <w:bottom w:val="none" w:sz="0" w:space="0" w:color="auto"/>
                                                                            <w:right w:val="none" w:sz="0" w:space="0" w:color="auto"/>
                                                                          </w:divBdr>
                                                                          <w:divsChild>
                                                                            <w:div w:id="876504822">
                                                                              <w:marLeft w:val="0"/>
                                                                              <w:marRight w:val="0"/>
                                                                              <w:marTop w:val="0"/>
                                                                              <w:marBottom w:val="0"/>
                                                                              <w:divBdr>
                                                                                <w:top w:val="none" w:sz="0" w:space="0" w:color="auto"/>
                                                                                <w:left w:val="none" w:sz="0" w:space="0" w:color="auto"/>
                                                                                <w:bottom w:val="none" w:sz="0" w:space="0" w:color="auto"/>
                                                                                <w:right w:val="none" w:sz="0" w:space="0" w:color="auto"/>
                                                                              </w:divBdr>
                                                                              <w:divsChild>
                                                                                <w:div w:id="325206776">
                                                                                  <w:blockQuote w:val="1"/>
                                                                                  <w:marLeft w:val="75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3067643">
      <w:bodyDiv w:val="1"/>
      <w:marLeft w:val="0"/>
      <w:marRight w:val="0"/>
      <w:marTop w:val="0"/>
      <w:marBottom w:val="0"/>
      <w:divBdr>
        <w:top w:val="none" w:sz="0" w:space="0" w:color="auto"/>
        <w:left w:val="none" w:sz="0" w:space="0" w:color="auto"/>
        <w:bottom w:val="none" w:sz="0" w:space="0" w:color="auto"/>
        <w:right w:val="none" w:sz="0" w:space="0" w:color="auto"/>
      </w:divBdr>
    </w:div>
    <w:div w:id="2053189176">
      <w:bodyDiv w:val="1"/>
      <w:marLeft w:val="0"/>
      <w:marRight w:val="0"/>
      <w:marTop w:val="0"/>
      <w:marBottom w:val="0"/>
      <w:divBdr>
        <w:top w:val="none" w:sz="0" w:space="0" w:color="auto"/>
        <w:left w:val="none" w:sz="0" w:space="0" w:color="auto"/>
        <w:bottom w:val="none" w:sz="0" w:space="0" w:color="auto"/>
        <w:right w:val="none" w:sz="0" w:space="0" w:color="auto"/>
      </w:divBdr>
    </w:div>
    <w:div w:id="2089419379">
      <w:bodyDiv w:val="1"/>
      <w:marLeft w:val="0"/>
      <w:marRight w:val="0"/>
      <w:marTop w:val="0"/>
      <w:marBottom w:val="0"/>
      <w:divBdr>
        <w:top w:val="none" w:sz="0" w:space="0" w:color="auto"/>
        <w:left w:val="none" w:sz="0" w:space="0" w:color="auto"/>
        <w:bottom w:val="none" w:sz="0" w:space="0" w:color="auto"/>
        <w:right w:val="none" w:sz="0" w:space="0" w:color="auto"/>
      </w:divBdr>
    </w:div>
    <w:div w:id="21351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privacy@blood.gov.au" TargetMode="External"/><Relationship Id="rId26" Type="http://schemas.openxmlformats.org/officeDocument/2006/relationships/hyperlink" Target="http://www.blood.gov.au/privacy" TargetMode="External"/><Relationship Id="rId3" Type="http://schemas.openxmlformats.org/officeDocument/2006/relationships/styles" Target="styles.xml"/><Relationship Id="rId21" Type="http://schemas.openxmlformats.org/officeDocument/2006/relationships/hyperlink" Target="http://www.blood.gov.au/system/files/documents/nba-privacy-policy_0.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blood.gov.au/Ig-publications" TargetMode="External"/><Relationship Id="rId25" Type="http://schemas.openxmlformats.org/officeDocument/2006/relationships/hyperlink" Target="http://www.blood.gov.au/Ig-publication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aic.gov.au/privacy/privacy-resources/privacy-fact-sheets/other/privacy-fact-sheet-17-australian-privacy-principles" TargetMode="External"/><Relationship Id="rId20" Type="http://schemas.openxmlformats.org/officeDocument/2006/relationships/hyperlink" Target="http://www.blood.gov.au/system/files/documents/nba-privacy-policy_0.pdf" TargetMode="External"/><Relationship Id="rId29" Type="http://schemas.openxmlformats.org/officeDocument/2006/relationships/hyperlink" Target="mailto:privacy@blood.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privacy@blood.gov.au" TargetMode="External"/><Relationship Id="rId32" Type="http://schemas.openxmlformats.org/officeDocument/2006/relationships/hyperlink" Target="http://dreams/Default.aspx?urilist=269716,"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blood.gov.au/Ig-publications" TargetMode="External"/><Relationship Id="rId28" Type="http://schemas.openxmlformats.org/officeDocument/2006/relationships/hyperlink" Target="http://www.blood.gov.au/privacy" TargetMode="Externa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yperlink" Target="mailto:support@blood.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lood.gov.au/jbc" TargetMode="External"/><Relationship Id="rId22" Type="http://schemas.openxmlformats.org/officeDocument/2006/relationships/hyperlink" Target="http://www.blood.gov.au/system/files/documents/Ig%20Governance%20National%20Policy%20Website.pdf" TargetMode="External"/><Relationship Id="rId27" Type="http://schemas.openxmlformats.org/officeDocument/2006/relationships/hyperlink" Target="mailto:support@blood.gov.au" TargetMode="External"/><Relationship Id="rId30" Type="http://schemas.openxmlformats.org/officeDocument/2006/relationships/hyperlink" Target="mailto:support@blood.gov.au"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blood.gov.au/system/files/documents/nba-national-blood-agreement-full-varied.pdf" TargetMode="External"/><Relationship Id="rId2" Type="http://schemas.openxmlformats.org/officeDocument/2006/relationships/hyperlink" Target="http://www.comlaw.gov.au/Series/C2004A01114" TargetMode="External"/><Relationship Id="rId1" Type="http://schemas.openxmlformats.org/officeDocument/2006/relationships/hyperlink" Target="http://www.oaic.gov.au/privacy/privacy-act/australian-privacy-principles" TargetMode="External"/><Relationship Id="rId6" Type="http://schemas.openxmlformats.org/officeDocument/2006/relationships/hyperlink" Target="http://www.blood.gov.au/system/files/documents/Ig%20Governance%20National%20Policy%20Website.pdf" TargetMode="External"/><Relationship Id="rId5" Type="http://schemas.openxmlformats.org/officeDocument/2006/relationships/hyperlink" Target="http://www.naa.gov.au/records-management/agency/keep-destroy-transfer/agency-ra/index.aspx." TargetMode="External"/><Relationship Id="rId4" Type="http://schemas.openxmlformats.org/officeDocument/2006/relationships/hyperlink" Target="http://www.blood.gov.au/system/files/documents/nba-national-blood-agreement-full-vari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F2503-DE3C-4BB5-8D54-12ECC2C6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5674</TotalTime>
  <Pages>107</Pages>
  <Words>28129</Words>
  <Characters>163358</Characters>
  <Application>Microsoft Office Word</Application>
  <DocSecurity>0</DocSecurity>
  <Lines>1361</Lines>
  <Paragraphs>382</Paragraphs>
  <ScaleCrop>false</ScaleCrop>
  <HeadingPairs>
    <vt:vector size="2" baseType="variant">
      <vt:variant>
        <vt:lpstr>Title</vt:lpstr>
      </vt:variant>
      <vt:variant>
        <vt:i4>1</vt:i4>
      </vt:variant>
    </vt:vector>
  </HeadingPairs>
  <TitlesOfParts>
    <vt:vector size="1" baseType="lpstr">
      <vt:lpstr>Ig System Development Project Management Plan - Phase 1</vt:lpstr>
    </vt:vector>
  </TitlesOfParts>
  <Company>The National Blood Authority, Australia</Company>
  <LinksUpToDate>false</LinksUpToDate>
  <CharactersWithSpaces>191105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 System Development Project Management Plan - Phase 1</dc:title>
  <dc:creator>Melody Black</dc:creator>
  <cp:keywords>Ig, system development, governance</cp:keywords>
  <dc:description>This is the initial draft of the Ig System Development Project Management Plan.  It addressed Phase 1 only, the requirements gathering phase.  On completion of phase one the document will be updated to include subsequent phases.</dc:description>
  <cp:lastModifiedBy>Melody Black</cp:lastModifiedBy>
  <cp:revision>63</cp:revision>
  <cp:lastPrinted>2015-05-12T05:58:00Z</cp:lastPrinted>
  <dcterms:created xsi:type="dcterms:W3CDTF">2015-05-07T05:18:00Z</dcterms:created>
  <dcterms:modified xsi:type="dcterms:W3CDTF">2016-01-15T01:13:00Z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_NewReviewCycle">
    <vt:lpwstr/>
  </property>
  <property fmtid="{D5CDD505-2E9C-101B-9397-08002B2CF9AE}" pid="4" name="Status">
    <vt:lpwstr>0.1</vt:lpwstr>
  </property>
</Properties>
</file>